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F21"/>
        <w:jc w:val="center"/>
        <w:rPr>
          <w:rFonts w:eastAsia="華康中黑體" w:cs="Times New Roman"/>
          <w:sz w:val="40"/>
          <w:szCs w:val="40"/>
        </w:rPr>
      </w:pPr>
      <w:r>
        <w:rPr>
          <w:rFonts w:cs="Times New Roman" w:eastAsia="華康中黑體"/>
          <w:sz w:val="40"/>
          <w:szCs w:val="40"/>
        </w:rPr>
        <w:t>會議過程正式紀錄</w:t>
      </w:r>
    </w:p>
    <w:p>
      <w:pPr>
        <w:pStyle w:val="Normal"/>
        <w:jc w:val="center"/>
        <w:rPr>
          <w:b/>
          <w:b/>
          <w:sz w:val="40"/>
          <w:szCs w:val="40"/>
        </w:rPr>
      </w:pPr>
      <w:r>
        <w:rPr>
          <w:b/>
          <w:sz w:val="40"/>
          <w:szCs w:val="40"/>
        </w:rPr>
        <w:t>OFFICIAL RECORD OF PROCEEDINGS</w:t>
      </w:r>
    </w:p>
    <w:p>
      <w:pPr>
        <w:pStyle w:val="Normal"/>
        <w:tabs>
          <w:tab w:val="left" w:pos="720" w:leader="none"/>
          <w:tab w:val="left" w:pos="2415" w:leader="none"/>
        </w:tabs>
        <w:jc w:val="center"/>
        <w:rPr>
          <w:sz w:val="27"/>
          <w:szCs w:val="27"/>
        </w:rPr>
      </w:pPr>
      <w:r>
        <w:rPr>
          <w:sz w:val="27"/>
          <w:szCs w:val="27"/>
        </w:rPr>
      </w:r>
    </w:p>
    <w:p>
      <w:pPr>
        <w:pStyle w:val="F21"/>
        <w:jc w:val="center"/>
        <w:rPr>
          <w:rFonts w:eastAsia="華康中黑體" w:cs="Times New Roman"/>
          <w:b/>
          <w:b/>
          <w:sz w:val="28"/>
          <w:szCs w:val="28"/>
        </w:rPr>
      </w:pPr>
      <w:r>
        <w:rPr>
          <w:rFonts w:eastAsia="華康中黑體" w:cs="Times New Roman"/>
          <w:b/>
          <w:sz w:val="28"/>
          <w:szCs w:val="28"/>
        </w:rPr>
        <w:t>2015</w:t>
      </w:r>
      <w:r>
        <w:rPr>
          <w:rFonts w:cs="Times New Roman" w:eastAsia="華康中黑體"/>
          <w:b/>
          <w:sz w:val="28"/>
          <w:szCs w:val="28"/>
        </w:rPr>
        <w:t>年</w:t>
      </w:r>
      <w:r>
        <w:rPr>
          <w:rFonts w:eastAsia="華康中黑體" w:cs="Times New Roman"/>
          <w:b/>
          <w:sz w:val="28"/>
          <w:szCs w:val="28"/>
        </w:rPr>
        <w:t>3</w:t>
      </w:r>
      <w:r>
        <w:rPr>
          <w:rFonts w:cs="Times New Roman" w:eastAsia="華康中黑體"/>
          <w:b/>
          <w:sz w:val="28"/>
          <w:szCs w:val="28"/>
        </w:rPr>
        <w:t>月</w:t>
      </w:r>
      <w:r>
        <w:rPr>
          <w:rFonts w:eastAsia="華康中黑體" w:cs="Times New Roman"/>
          <w:b/>
          <w:sz w:val="28"/>
          <w:szCs w:val="28"/>
        </w:rPr>
        <w:t>25</w:t>
      </w:r>
      <w:r>
        <w:rPr>
          <w:rFonts w:cs="Times New Roman" w:eastAsia="華康中黑體"/>
          <w:b/>
          <w:sz w:val="28"/>
          <w:szCs w:val="28"/>
        </w:rPr>
        <w:t>日星期三</w:t>
      </w:r>
    </w:p>
    <w:p>
      <w:pPr>
        <w:pStyle w:val="Normal"/>
        <w:jc w:val="center"/>
        <w:rPr>
          <w:b/>
          <w:b/>
          <w:sz w:val="40"/>
          <w:szCs w:val="40"/>
        </w:rPr>
      </w:pPr>
      <w:r>
        <w:rPr>
          <w:b/>
          <w:sz w:val="40"/>
          <w:szCs w:val="40"/>
        </w:rPr>
        <w:t>Wednesday, 25 March 2015</w:t>
      </w:r>
    </w:p>
    <w:p>
      <w:pPr>
        <w:pStyle w:val="Normal"/>
        <w:jc w:val="center"/>
        <w:rPr>
          <w:szCs w:val="28"/>
        </w:rPr>
      </w:pPr>
      <w:r>
        <w:rPr>
          <w:szCs w:val="28"/>
        </w:rPr>
      </w:r>
    </w:p>
    <w:p>
      <w:pPr>
        <w:pStyle w:val="F21"/>
        <w:jc w:val="center"/>
        <w:rPr>
          <w:rFonts w:eastAsia="華康中黑體" w:cs="Times New Roman"/>
          <w:b/>
          <w:b/>
          <w:sz w:val="28"/>
          <w:szCs w:val="28"/>
        </w:rPr>
      </w:pPr>
      <w:r>
        <w:rPr>
          <w:rFonts w:cs="Times New Roman" w:eastAsia="華康中黑體"/>
          <w:b/>
          <w:sz w:val="28"/>
          <w:szCs w:val="28"/>
        </w:rPr>
        <w:t>上午</w:t>
      </w:r>
      <w:r>
        <w:rPr>
          <w:rFonts w:eastAsia="華康中黑體" w:cs="Times New Roman"/>
          <w:b/>
          <w:sz w:val="28"/>
          <w:szCs w:val="28"/>
        </w:rPr>
        <w:t>11</w:t>
      </w:r>
      <w:r>
        <w:rPr>
          <w:rFonts w:cs="Times New Roman" w:eastAsia="華康中黑體"/>
          <w:b/>
          <w:sz w:val="28"/>
          <w:szCs w:val="28"/>
        </w:rPr>
        <w:t>時正會議開始</w:t>
      </w:r>
    </w:p>
    <w:p>
      <w:pPr>
        <w:pStyle w:val="Normal"/>
        <w:jc w:val="center"/>
        <w:rPr>
          <w:b/>
          <w:b/>
          <w:sz w:val="40"/>
          <w:szCs w:val="40"/>
        </w:rPr>
      </w:pPr>
      <w:r>
        <w:rPr>
          <w:b/>
          <w:sz w:val="40"/>
          <w:szCs w:val="40"/>
        </w:rPr>
        <w:t>The Council met at Eleven o'clock</w:t>
      </w:r>
    </w:p>
    <w:p>
      <w:pPr>
        <w:pStyle w:val="F21"/>
        <w:rPr>
          <w:rFonts w:cs="Times New Roman"/>
        </w:rPr>
      </w:pPr>
      <w:r>
        <w:rPr>
          <w:rFonts w:cs="Times New Roman"/>
        </w:rPr>
      </w:r>
    </w:p>
    <w:p>
      <w:pPr>
        <w:pStyle w:val="F21"/>
        <w:rPr>
          <w:rFonts w:cs="Times New Roman"/>
        </w:rPr>
      </w:pPr>
      <w:r>
        <w:rPr>
          <w:rFonts w:cs="Times New Roman"/>
        </w:rPr>
      </w:r>
    </w:p>
    <w:p>
      <w:pPr>
        <w:pStyle w:val="F21"/>
        <w:rPr>
          <w:rFonts w:eastAsia="華康中黑體" w:cs="Times New Roman"/>
          <w:sz w:val="36"/>
          <w:szCs w:val="36"/>
        </w:rPr>
      </w:pPr>
      <w:bookmarkStart w:id="0" w:name="mbp"/>
      <w:r>
        <w:rPr>
          <w:rFonts w:cs="Times New Roman" w:eastAsia="華康中黑體"/>
          <w:sz w:val="36"/>
          <w:szCs w:val="36"/>
        </w:rPr>
        <w:t>出席議員：</w:t>
      </w:r>
    </w:p>
    <w:p>
      <w:pPr>
        <w:pStyle w:val="Normal"/>
        <w:rPr>
          <w:b/>
          <w:b/>
          <w:sz w:val="36"/>
          <w:szCs w:val="36"/>
        </w:rPr>
      </w:pPr>
      <w:bookmarkStart w:id="1" w:name="mbp"/>
      <w:r>
        <w:rPr>
          <w:b/>
          <w:sz w:val="36"/>
          <w:szCs w:val="36"/>
        </w:rPr>
        <w:t>MEMBERS PRESENT:</w:t>
      </w:r>
      <w:bookmarkEnd w:id="1"/>
    </w:p>
    <w:p>
      <w:pPr>
        <w:pStyle w:val="Normal"/>
        <w:rPr>
          <w:sz w:val="27"/>
          <w:szCs w:val="27"/>
        </w:rPr>
      </w:pPr>
      <w:r>
        <w:rPr>
          <w:sz w:val="27"/>
          <w:szCs w:val="27"/>
        </w:rPr>
      </w:r>
    </w:p>
    <w:p>
      <w:pPr>
        <w:pStyle w:val="F21"/>
        <w:rPr>
          <w:rFonts w:cs="Times New Roman"/>
          <w:spacing w:val="0"/>
          <w:sz w:val="28"/>
          <w:szCs w:val="28"/>
          <w:lang w:val="en-GB"/>
        </w:rPr>
      </w:pPr>
      <w:r>
        <w:rPr>
          <w:rFonts w:cs="Times New Roman"/>
        </w:rPr>
        <w:t>主席曾鈺成議員</w:t>
      </w:r>
      <w:r>
        <w:rPr>
          <w:rFonts w:cs="Times New Roman"/>
          <w:spacing w:val="0"/>
          <w:sz w:val="28"/>
          <w:szCs w:val="28"/>
          <w:lang w:val="en-GB"/>
        </w:rPr>
        <w:t>, G.B.S., J.P.</w:t>
      </w:r>
    </w:p>
    <w:p>
      <w:pPr>
        <w:pStyle w:val="Normal"/>
        <w:rPr>
          <w:szCs w:val="28"/>
        </w:rPr>
      </w:pPr>
      <w:r>
        <w:rPr>
          <w:szCs w:val="28"/>
        </w:rPr>
        <w:t>THE PRESIDENT</w:t>
      </w:r>
    </w:p>
    <w:p>
      <w:pPr>
        <w:pStyle w:val="Normal"/>
        <w:rPr>
          <w:szCs w:val="28"/>
        </w:rPr>
      </w:pPr>
      <w:r>
        <w:rPr>
          <w:szCs w:val="28"/>
        </w:rPr>
        <w:t>THE HONOURABLE JASPER TSANG YOK-SING, G.B.S., J.P.</w:t>
      </w:r>
    </w:p>
    <w:p>
      <w:pPr>
        <w:pStyle w:val="Normal"/>
        <w:rPr>
          <w:szCs w:val="28"/>
        </w:rPr>
      </w:pPr>
      <w:r>
        <w:rPr>
          <w:szCs w:val="28"/>
        </w:rPr>
      </w:r>
    </w:p>
    <w:p>
      <w:pPr>
        <w:pStyle w:val="F21"/>
        <w:rPr>
          <w:rFonts w:cs="Times New Roman"/>
        </w:rPr>
      </w:pPr>
      <w:r>
        <w:rPr>
          <w:rFonts w:cs="Times New Roman"/>
        </w:rPr>
        <w:t>何俊仁議員</w:t>
      </w:r>
    </w:p>
    <w:p>
      <w:pPr>
        <w:pStyle w:val="Normal"/>
        <w:rPr>
          <w:szCs w:val="28"/>
        </w:rPr>
      </w:pPr>
      <w:r>
        <w:rPr>
          <w:szCs w:val="28"/>
        </w:rPr>
        <w:t>THE HONOURABLE ALBERT HO CHUN-YAN</w:t>
      </w:r>
    </w:p>
    <w:p>
      <w:pPr>
        <w:pStyle w:val="Normal"/>
        <w:rPr>
          <w:szCs w:val="28"/>
        </w:rPr>
      </w:pPr>
      <w:r>
        <w:rPr>
          <w:szCs w:val="28"/>
        </w:rPr>
      </w:r>
    </w:p>
    <w:p>
      <w:pPr>
        <w:pStyle w:val="F21"/>
        <w:rPr>
          <w:rFonts w:cs="Times New Roman"/>
        </w:rPr>
      </w:pPr>
      <w:r>
        <w:rPr>
          <w:rFonts w:cs="Times New Roman"/>
        </w:rPr>
        <w:t>李卓人議員</w:t>
      </w:r>
    </w:p>
    <w:p>
      <w:pPr>
        <w:pStyle w:val="Normal"/>
        <w:rPr>
          <w:szCs w:val="28"/>
        </w:rPr>
      </w:pPr>
      <w:r>
        <w:rPr>
          <w:szCs w:val="28"/>
        </w:rPr>
        <w:t>THE HONOURABLE LEE CHEUK-YAN</w:t>
      </w:r>
    </w:p>
    <w:p>
      <w:pPr>
        <w:pStyle w:val="Normal"/>
        <w:rPr>
          <w:szCs w:val="28"/>
          <w:lang w:val="en-US"/>
        </w:rPr>
      </w:pPr>
      <w:r>
        <w:rPr>
          <w:szCs w:val="28"/>
          <w:lang w:val="en-US"/>
        </w:rPr>
      </w:r>
    </w:p>
    <w:p>
      <w:pPr>
        <w:pStyle w:val="F21"/>
        <w:rPr>
          <w:rFonts w:cs="Times New Roman"/>
        </w:rPr>
      </w:pPr>
      <w:r>
        <w:rPr>
          <w:rFonts w:cs="Times New Roman"/>
        </w:rPr>
        <w:t>涂謹申議員</w:t>
      </w:r>
    </w:p>
    <w:p>
      <w:pPr>
        <w:pStyle w:val="Normal"/>
        <w:rPr>
          <w:szCs w:val="28"/>
        </w:rPr>
      </w:pPr>
      <w:r>
        <w:rPr>
          <w:szCs w:val="28"/>
        </w:rPr>
        <w:t>THE HONOURABLE JAMES TO KUN-SUN</w:t>
      </w:r>
    </w:p>
    <w:p>
      <w:pPr>
        <w:pStyle w:val="Normal"/>
        <w:rPr>
          <w:szCs w:val="28"/>
          <w:lang w:val="en-US"/>
        </w:rPr>
      </w:pPr>
      <w:r>
        <w:rPr>
          <w:szCs w:val="28"/>
          <w:lang w:val="en-US"/>
        </w:rPr>
      </w:r>
    </w:p>
    <w:p>
      <w:pPr>
        <w:pStyle w:val="F21"/>
        <w:rPr>
          <w:rFonts w:cs="Times New Roman"/>
          <w:spacing w:val="0"/>
          <w:sz w:val="28"/>
          <w:szCs w:val="28"/>
          <w:lang w:val="en-GB"/>
        </w:rPr>
      </w:pPr>
      <w:r>
        <w:rPr>
          <w:rFonts w:cs="Times New Roman"/>
        </w:rPr>
        <w:t>陳鑑林議員</w:t>
      </w:r>
      <w:r>
        <w:rPr>
          <w:rFonts w:cs="Times New Roman"/>
          <w:spacing w:val="0"/>
          <w:sz w:val="28"/>
          <w:szCs w:val="28"/>
          <w:lang w:val="en-GB"/>
        </w:rPr>
        <w:t>, S.B.S., J.P.</w:t>
      </w:r>
    </w:p>
    <w:p>
      <w:pPr>
        <w:pStyle w:val="Normal"/>
        <w:rPr>
          <w:szCs w:val="28"/>
        </w:rPr>
      </w:pPr>
      <w:r>
        <w:rPr>
          <w:szCs w:val="28"/>
        </w:rPr>
        <w:t>THE HONOURABLE CHAN KAM-LAM, S.B.S., J.P.</w:t>
      </w:r>
    </w:p>
    <w:p>
      <w:pPr>
        <w:pStyle w:val="Normal"/>
        <w:rPr>
          <w:szCs w:val="28"/>
        </w:rPr>
      </w:pPr>
      <w:r>
        <w:rPr>
          <w:szCs w:val="28"/>
        </w:rPr>
      </w:r>
    </w:p>
    <w:p>
      <w:pPr>
        <w:pStyle w:val="F21"/>
        <w:rPr>
          <w:rFonts w:cs="Times New Roman"/>
        </w:rPr>
      </w:pPr>
      <w:r>
        <w:rPr>
          <w:rFonts w:cs="Times New Roman"/>
        </w:rPr>
        <w:t>梁耀忠議員</w:t>
      </w:r>
    </w:p>
    <w:p>
      <w:pPr>
        <w:pStyle w:val="Normal"/>
        <w:rPr>
          <w:szCs w:val="28"/>
        </w:rPr>
      </w:pPr>
      <w:r>
        <w:rPr>
          <w:szCs w:val="28"/>
        </w:rPr>
        <w:t>THE HONOURABLE LEUNG YIU-CHUNG</w:t>
      </w:r>
    </w:p>
    <w:p>
      <w:pPr>
        <w:pStyle w:val="Normal"/>
        <w:rPr>
          <w:szCs w:val="28"/>
          <w:lang w:val="en-US"/>
        </w:rPr>
      </w:pPr>
      <w:r>
        <w:rPr>
          <w:szCs w:val="28"/>
          <w:lang w:val="en-US"/>
        </w:rPr>
      </w:r>
    </w:p>
    <w:p>
      <w:pPr>
        <w:pStyle w:val="F21"/>
        <w:rPr>
          <w:rFonts w:cs="Times New Roman"/>
          <w:spacing w:val="0"/>
          <w:sz w:val="28"/>
          <w:szCs w:val="28"/>
          <w:lang w:val="en-GB"/>
        </w:rPr>
      </w:pPr>
      <w:r>
        <w:rPr>
          <w:rFonts w:cs="Times New Roman"/>
        </w:rPr>
        <w:t>劉皇發議員</w:t>
      </w:r>
      <w:r>
        <w:rPr>
          <w:rFonts w:cs="Times New Roman"/>
          <w:spacing w:val="0"/>
          <w:sz w:val="28"/>
          <w:szCs w:val="28"/>
          <w:lang w:val="en-GB"/>
        </w:rPr>
        <w:t>,</w:t>
      </w:r>
      <w:r>
        <w:rPr>
          <w:rFonts w:cs="Times New Roman"/>
        </w:rPr>
        <w:t xml:space="preserve"> </w:t>
      </w:r>
      <w:r>
        <w:rPr>
          <w:rFonts w:cs="Times New Roman"/>
        </w:rPr>
        <w:t>大紫荊勳賢</w:t>
      </w:r>
      <w:r>
        <w:rPr>
          <w:rFonts w:cs="Times New Roman"/>
          <w:spacing w:val="0"/>
          <w:sz w:val="28"/>
          <w:szCs w:val="28"/>
          <w:lang w:val="en-GB"/>
        </w:rPr>
        <w:t>, G.B.S., J.P.</w:t>
      </w:r>
    </w:p>
    <w:p>
      <w:pPr>
        <w:pStyle w:val="Normal"/>
        <w:rPr>
          <w:szCs w:val="28"/>
        </w:rPr>
      </w:pPr>
      <w:r>
        <w:rPr>
          <w:szCs w:val="28"/>
        </w:rPr>
        <w:t>DR THE HONOURABLE LAU WONG-FAT, G.B.M., G.B.S., J.P.</w:t>
      </w:r>
    </w:p>
    <w:p>
      <w:pPr>
        <w:pStyle w:val="Normal"/>
        <w:widowControl/>
        <w:tabs>
          <w:tab w:val="clear" w:pos="720"/>
        </w:tabs>
        <w:spacing w:lineRule="auto" w:line="276" w:before="0" w:after="200"/>
        <w:jc w:val="left"/>
        <w:rPr>
          <w:szCs w:val="28"/>
        </w:rPr>
      </w:pPr>
      <w:r>
        <w:rPr>
          <w:szCs w:val="28"/>
        </w:rPr>
      </w:r>
      <w:r>
        <w:br w:type="page"/>
      </w:r>
    </w:p>
    <w:p>
      <w:pPr>
        <w:pStyle w:val="F21"/>
        <w:spacing w:lineRule="atLeast" w:line="350"/>
        <w:rPr>
          <w:rFonts w:cs="Times New Roman"/>
          <w:spacing w:val="0"/>
          <w:sz w:val="28"/>
          <w:szCs w:val="28"/>
          <w:lang w:val="en-GB"/>
        </w:rPr>
      </w:pPr>
      <w:r>
        <w:rPr>
          <w:rFonts w:cs="Times New Roman"/>
        </w:rPr>
        <w:t>劉慧卿議員</w:t>
      </w:r>
      <w:r>
        <w:rPr>
          <w:rFonts w:cs="Times New Roman"/>
          <w:spacing w:val="0"/>
          <w:sz w:val="28"/>
          <w:szCs w:val="28"/>
          <w:lang w:val="en-GB"/>
        </w:rPr>
        <w:t>, J.P.</w:t>
      </w:r>
    </w:p>
    <w:p>
      <w:pPr>
        <w:pStyle w:val="Normal"/>
        <w:spacing w:lineRule="atLeast" w:line="350"/>
        <w:rPr>
          <w:szCs w:val="28"/>
        </w:rPr>
      </w:pPr>
      <w:r>
        <w:rPr>
          <w:szCs w:val="28"/>
        </w:rPr>
        <w:t>THE HONOURABLE EMILY LAU WAI-HING, J.P.</w:t>
      </w:r>
    </w:p>
    <w:p>
      <w:pPr>
        <w:pStyle w:val="Normal"/>
        <w:spacing w:lineRule="atLeast" w:line="350"/>
        <w:rPr>
          <w:szCs w:val="28"/>
        </w:rPr>
      </w:pPr>
      <w:r>
        <w:rPr>
          <w:szCs w:val="28"/>
        </w:rPr>
      </w:r>
    </w:p>
    <w:p>
      <w:pPr>
        <w:pStyle w:val="F21"/>
        <w:spacing w:lineRule="atLeast" w:line="350"/>
        <w:rPr>
          <w:rFonts w:cs="Times New Roman"/>
          <w:spacing w:val="0"/>
          <w:sz w:val="28"/>
          <w:szCs w:val="28"/>
          <w:lang w:val="en-GB"/>
        </w:rPr>
      </w:pPr>
      <w:r>
        <w:rPr>
          <w:rFonts w:cs="Times New Roman"/>
        </w:rPr>
        <w:t>譚耀宗議員</w:t>
      </w:r>
      <w:r>
        <w:rPr>
          <w:rFonts w:cs="Times New Roman"/>
          <w:spacing w:val="0"/>
          <w:sz w:val="28"/>
          <w:szCs w:val="28"/>
          <w:lang w:val="en-GB"/>
        </w:rPr>
        <w:t>, G.B.S., J.P.</w:t>
      </w:r>
    </w:p>
    <w:p>
      <w:pPr>
        <w:pStyle w:val="Normal"/>
        <w:spacing w:lineRule="atLeast" w:line="350"/>
        <w:rPr>
          <w:szCs w:val="28"/>
        </w:rPr>
      </w:pPr>
      <w:r>
        <w:rPr>
          <w:szCs w:val="28"/>
        </w:rPr>
        <w:t>THE HONOURABLE TAM YIU-CHUNG, G.B.S., J.P.</w:t>
      </w:r>
    </w:p>
    <w:p>
      <w:pPr>
        <w:pStyle w:val="Normal"/>
        <w:spacing w:lineRule="atLeast" w:line="350"/>
        <w:rPr>
          <w:szCs w:val="28"/>
          <w:lang w:val="en-US"/>
        </w:rPr>
      </w:pPr>
      <w:r>
        <w:rPr>
          <w:szCs w:val="28"/>
          <w:lang w:val="en-US"/>
        </w:rPr>
      </w:r>
    </w:p>
    <w:p>
      <w:pPr>
        <w:pStyle w:val="F21"/>
        <w:spacing w:lineRule="atLeast" w:line="350"/>
        <w:rPr>
          <w:rFonts w:cs="Times New Roman"/>
          <w:spacing w:val="0"/>
          <w:sz w:val="28"/>
          <w:szCs w:val="28"/>
          <w:lang w:val="en-GB"/>
        </w:rPr>
      </w:pPr>
      <w:r>
        <w:rPr>
          <w:rFonts w:cs="Times New Roman"/>
        </w:rPr>
        <w:t>張宇人議員</w:t>
      </w:r>
      <w:r>
        <w:rPr>
          <w:rFonts w:cs="Times New Roman"/>
          <w:spacing w:val="0"/>
          <w:sz w:val="28"/>
          <w:szCs w:val="28"/>
          <w:lang w:val="en-GB"/>
        </w:rPr>
        <w:t>, S.B.S., J.P.</w:t>
      </w:r>
    </w:p>
    <w:p>
      <w:pPr>
        <w:pStyle w:val="Normal"/>
        <w:spacing w:lineRule="atLeast" w:line="350"/>
        <w:rPr>
          <w:szCs w:val="28"/>
        </w:rPr>
      </w:pPr>
      <w:r>
        <w:rPr>
          <w:szCs w:val="28"/>
        </w:rPr>
        <w:t>THE HONOURABLE TOMMY CHEUNG YU-YAN, S.B.S., J.P.</w:t>
      </w:r>
    </w:p>
    <w:p>
      <w:pPr>
        <w:pStyle w:val="Normal"/>
        <w:spacing w:lineRule="atLeast" w:line="350"/>
        <w:rPr>
          <w:szCs w:val="28"/>
        </w:rPr>
      </w:pPr>
      <w:r>
        <w:rPr>
          <w:szCs w:val="28"/>
        </w:rPr>
      </w:r>
    </w:p>
    <w:p>
      <w:pPr>
        <w:pStyle w:val="F21"/>
        <w:spacing w:lineRule="atLeast" w:line="350"/>
        <w:rPr>
          <w:rFonts w:cs="Times New Roman"/>
          <w:spacing w:val="0"/>
          <w:sz w:val="28"/>
          <w:szCs w:val="28"/>
          <w:lang w:val="en-GB"/>
        </w:rPr>
      </w:pPr>
      <w:r>
        <w:rPr>
          <w:rFonts w:cs="Times New Roman"/>
        </w:rPr>
        <w:t>馮檢基議員</w:t>
      </w:r>
      <w:r>
        <w:rPr>
          <w:rFonts w:cs="Times New Roman"/>
          <w:spacing w:val="0"/>
          <w:sz w:val="28"/>
          <w:szCs w:val="28"/>
          <w:lang w:val="en-GB"/>
        </w:rPr>
        <w:t>, S.B.S., J.P.</w:t>
      </w:r>
    </w:p>
    <w:p>
      <w:pPr>
        <w:pStyle w:val="Normal"/>
        <w:spacing w:lineRule="atLeast" w:line="350"/>
        <w:rPr>
          <w:szCs w:val="28"/>
        </w:rPr>
      </w:pPr>
      <w:r>
        <w:rPr>
          <w:szCs w:val="28"/>
        </w:rPr>
        <w:t>THE HONOURABLE FREDERICK FUNG KIN-KEE, S.B.S., J.P.</w:t>
      </w:r>
    </w:p>
    <w:p>
      <w:pPr>
        <w:pStyle w:val="Normal"/>
        <w:spacing w:lineRule="atLeast" w:line="350"/>
        <w:rPr>
          <w:szCs w:val="28"/>
        </w:rPr>
      </w:pPr>
      <w:r>
        <w:rPr>
          <w:szCs w:val="28"/>
        </w:rPr>
      </w:r>
    </w:p>
    <w:p>
      <w:pPr>
        <w:pStyle w:val="F21"/>
        <w:spacing w:lineRule="atLeast" w:line="350"/>
        <w:rPr>
          <w:rFonts w:cs="Times New Roman"/>
          <w:spacing w:val="0"/>
          <w:sz w:val="28"/>
          <w:szCs w:val="28"/>
          <w:lang w:val="en-GB"/>
        </w:rPr>
      </w:pPr>
      <w:r>
        <w:rPr>
          <w:rFonts w:cs="Times New Roman"/>
        </w:rPr>
        <w:t>方剛議員</w:t>
      </w:r>
      <w:r>
        <w:rPr>
          <w:rFonts w:cs="Times New Roman"/>
          <w:spacing w:val="0"/>
          <w:sz w:val="28"/>
          <w:szCs w:val="28"/>
          <w:lang w:val="en-GB"/>
        </w:rPr>
        <w:t>, S.B.S., J.P.</w:t>
      </w:r>
    </w:p>
    <w:p>
      <w:pPr>
        <w:pStyle w:val="Normal"/>
        <w:spacing w:lineRule="atLeast" w:line="350"/>
        <w:rPr>
          <w:szCs w:val="28"/>
        </w:rPr>
      </w:pPr>
      <w:r>
        <w:rPr>
          <w:szCs w:val="28"/>
        </w:rPr>
        <w:t>THE HONOURABLE VINCENT FANG KANG, S.B.S., J.P.</w:t>
      </w:r>
    </w:p>
    <w:p>
      <w:pPr>
        <w:pStyle w:val="Normal"/>
        <w:spacing w:lineRule="atLeast" w:line="350"/>
        <w:rPr>
          <w:szCs w:val="28"/>
        </w:rPr>
      </w:pPr>
      <w:r>
        <w:rPr>
          <w:szCs w:val="28"/>
        </w:rPr>
      </w:r>
    </w:p>
    <w:p>
      <w:pPr>
        <w:pStyle w:val="F21"/>
        <w:spacing w:lineRule="atLeast" w:line="350"/>
        <w:rPr>
          <w:rFonts w:cs="Times New Roman"/>
          <w:spacing w:val="0"/>
          <w:sz w:val="28"/>
          <w:szCs w:val="28"/>
          <w:lang w:val="en-GB"/>
        </w:rPr>
      </w:pPr>
      <w:r>
        <w:rPr>
          <w:rFonts w:cs="Times New Roman"/>
        </w:rPr>
        <w:t>王國興議員</w:t>
      </w:r>
      <w:r>
        <w:rPr>
          <w:rFonts w:cs="Times New Roman"/>
          <w:spacing w:val="0"/>
          <w:sz w:val="28"/>
          <w:szCs w:val="28"/>
          <w:lang w:val="en-GB"/>
        </w:rPr>
        <w:t>, B.B.S., M.H.</w:t>
      </w:r>
    </w:p>
    <w:p>
      <w:pPr>
        <w:pStyle w:val="Normal"/>
        <w:spacing w:lineRule="atLeast" w:line="350"/>
        <w:rPr>
          <w:szCs w:val="28"/>
        </w:rPr>
      </w:pPr>
      <w:r>
        <w:rPr>
          <w:szCs w:val="28"/>
        </w:rPr>
        <w:t>THE HONOURABLE WONG KWOK-HING, B.B.S., M.H.</w:t>
      </w:r>
    </w:p>
    <w:p>
      <w:pPr>
        <w:pStyle w:val="Normal"/>
        <w:spacing w:lineRule="atLeast" w:line="350"/>
        <w:rPr>
          <w:szCs w:val="28"/>
        </w:rPr>
      </w:pPr>
      <w:r>
        <w:rPr>
          <w:szCs w:val="28"/>
        </w:rPr>
      </w:r>
    </w:p>
    <w:p>
      <w:pPr>
        <w:pStyle w:val="F21"/>
        <w:spacing w:lineRule="atLeast" w:line="350"/>
        <w:rPr>
          <w:rFonts w:cs="Times New Roman"/>
          <w:spacing w:val="0"/>
          <w:sz w:val="28"/>
          <w:szCs w:val="28"/>
          <w:lang w:val="en-GB"/>
        </w:rPr>
      </w:pPr>
      <w:r>
        <w:rPr>
          <w:rFonts w:cs="Times New Roman"/>
        </w:rPr>
        <w:t>李國麟議員</w:t>
      </w:r>
      <w:r>
        <w:rPr>
          <w:rFonts w:cs="Times New Roman"/>
          <w:spacing w:val="0"/>
          <w:sz w:val="28"/>
          <w:szCs w:val="28"/>
          <w:lang w:val="en-GB"/>
        </w:rPr>
        <w:t>, S.B.S., J.P., Ph.D., R.N.</w:t>
      </w:r>
    </w:p>
    <w:p>
      <w:pPr>
        <w:pStyle w:val="Normal"/>
        <w:spacing w:lineRule="atLeast" w:line="350"/>
        <w:rPr>
          <w:szCs w:val="28"/>
        </w:rPr>
      </w:pPr>
      <w:r>
        <w:rPr>
          <w:szCs w:val="28"/>
        </w:rPr>
        <w:t>PROF THE HONOURABLE JOSEPH LEE KOK-LONG, S.B.S., J.P., Ph.D., R.N.</w:t>
      </w:r>
    </w:p>
    <w:p>
      <w:pPr>
        <w:pStyle w:val="Normal"/>
        <w:spacing w:lineRule="atLeast" w:line="350"/>
        <w:rPr>
          <w:szCs w:val="28"/>
        </w:rPr>
      </w:pPr>
      <w:r>
        <w:rPr>
          <w:szCs w:val="28"/>
        </w:rPr>
      </w:r>
    </w:p>
    <w:p>
      <w:pPr>
        <w:pStyle w:val="F21"/>
        <w:spacing w:lineRule="atLeast" w:line="350"/>
        <w:rPr>
          <w:rFonts w:cs="Times New Roman"/>
          <w:spacing w:val="0"/>
          <w:sz w:val="28"/>
          <w:szCs w:val="28"/>
          <w:lang w:val="en-GB"/>
        </w:rPr>
      </w:pPr>
      <w:r>
        <w:rPr>
          <w:rFonts w:cs="Times New Roman"/>
        </w:rPr>
        <w:t>林健鋒議員</w:t>
      </w:r>
      <w:r>
        <w:rPr>
          <w:rFonts w:cs="Times New Roman"/>
          <w:spacing w:val="0"/>
          <w:sz w:val="28"/>
          <w:szCs w:val="28"/>
          <w:lang w:val="en-GB"/>
        </w:rPr>
        <w:t>, G.B.S., J.P.</w:t>
      </w:r>
    </w:p>
    <w:p>
      <w:pPr>
        <w:pStyle w:val="Normal"/>
        <w:spacing w:lineRule="atLeast" w:line="350"/>
        <w:rPr>
          <w:szCs w:val="28"/>
        </w:rPr>
      </w:pPr>
      <w:r>
        <w:rPr>
          <w:szCs w:val="28"/>
        </w:rPr>
        <w:t>THE HONOURABLE JEFFREY LAM KIN-FUNG, G.B.S., J.P.</w:t>
      </w:r>
    </w:p>
    <w:p>
      <w:pPr>
        <w:pStyle w:val="Normal"/>
        <w:spacing w:lineRule="atLeast" w:line="350"/>
        <w:rPr>
          <w:szCs w:val="28"/>
        </w:rPr>
      </w:pPr>
      <w:r>
        <w:rPr>
          <w:szCs w:val="28"/>
        </w:rPr>
      </w:r>
    </w:p>
    <w:p>
      <w:pPr>
        <w:pStyle w:val="F21"/>
        <w:spacing w:lineRule="atLeast" w:line="350"/>
        <w:rPr>
          <w:rFonts w:cs="Times New Roman"/>
          <w:spacing w:val="0"/>
          <w:sz w:val="28"/>
          <w:szCs w:val="28"/>
          <w:lang w:val="en-GB"/>
        </w:rPr>
      </w:pPr>
      <w:r>
        <w:rPr>
          <w:rFonts w:cs="Times New Roman"/>
        </w:rPr>
        <w:t>梁君彥議員</w:t>
      </w:r>
      <w:r>
        <w:rPr>
          <w:rFonts w:cs="Times New Roman"/>
          <w:spacing w:val="0"/>
          <w:sz w:val="28"/>
          <w:szCs w:val="28"/>
          <w:lang w:val="en-GB"/>
        </w:rPr>
        <w:t>, G.B.S., J.P.</w:t>
      </w:r>
    </w:p>
    <w:p>
      <w:pPr>
        <w:pStyle w:val="Normal"/>
        <w:spacing w:lineRule="atLeast" w:line="350"/>
        <w:rPr>
          <w:szCs w:val="28"/>
        </w:rPr>
      </w:pPr>
      <w:r>
        <w:rPr>
          <w:szCs w:val="28"/>
        </w:rPr>
        <w:t>THE HONOURABLE ANDREW LEUNG KWAN-YUEN, G.B.S., J.P.</w:t>
      </w:r>
    </w:p>
    <w:p>
      <w:pPr>
        <w:pStyle w:val="Normal"/>
        <w:spacing w:lineRule="atLeast" w:line="350"/>
        <w:rPr>
          <w:szCs w:val="28"/>
        </w:rPr>
      </w:pPr>
      <w:r>
        <w:rPr>
          <w:szCs w:val="28"/>
        </w:rPr>
      </w:r>
    </w:p>
    <w:p>
      <w:pPr>
        <w:pStyle w:val="F21"/>
        <w:spacing w:lineRule="atLeast" w:line="350"/>
        <w:rPr>
          <w:rFonts w:cs="Times New Roman"/>
          <w:spacing w:val="0"/>
          <w:sz w:val="28"/>
          <w:szCs w:val="28"/>
          <w:lang w:val="en-GB"/>
        </w:rPr>
      </w:pPr>
      <w:r>
        <w:rPr>
          <w:rFonts w:cs="Times New Roman"/>
        </w:rPr>
        <w:t>黃定光議員</w:t>
      </w:r>
      <w:r>
        <w:rPr>
          <w:rFonts w:cs="Times New Roman"/>
          <w:spacing w:val="0"/>
          <w:sz w:val="28"/>
          <w:szCs w:val="28"/>
          <w:lang w:val="en-GB"/>
        </w:rPr>
        <w:t>, S.B.S., J.P.</w:t>
      </w:r>
    </w:p>
    <w:p>
      <w:pPr>
        <w:pStyle w:val="Normal"/>
        <w:spacing w:lineRule="atLeast" w:line="350"/>
        <w:rPr>
          <w:szCs w:val="28"/>
        </w:rPr>
      </w:pPr>
      <w:r>
        <w:rPr>
          <w:szCs w:val="28"/>
        </w:rPr>
        <w:t>THE HONOURABLE WONG TING-KWONG, S.B.S., J.P.</w:t>
      </w:r>
    </w:p>
    <w:p>
      <w:pPr>
        <w:pStyle w:val="Normal"/>
        <w:spacing w:lineRule="atLeast" w:line="350"/>
        <w:rPr>
          <w:szCs w:val="28"/>
        </w:rPr>
      </w:pPr>
      <w:r>
        <w:rPr>
          <w:szCs w:val="28"/>
        </w:rPr>
      </w:r>
    </w:p>
    <w:p>
      <w:pPr>
        <w:pStyle w:val="F21"/>
        <w:spacing w:lineRule="atLeast" w:line="350"/>
        <w:rPr>
          <w:rFonts w:cs="Times New Roman"/>
          <w:spacing w:val="0"/>
          <w:sz w:val="28"/>
          <w:szCs w:val="28"/>
          <w:lang w:val="en-GB"/>
        </w:rPr>
      </w:pPr>
      <w:r>
        <w:rPr>
          <w:rFonts w:cs="Times New Roman"/>
        </w:rPr>
        <w:t>湯家驊議員</w:t>
      </w:r>
      <w:r>
        <w:rPr>
          <w:rFonts w:cs="Times New Roman"/>
          <w:spacing w:val="0"/>
          <w:sz w:val="28"/>
          <w:szCs w:val="28"/>
          <w:lang w:val="en-GB"/>
        </w:rPr>
        <w:t>, S.C.</w:t>
      </w:r>
    </w:p>
    <w:p>
      <w:pPr>
        <w:pStyle w:val="Normal"/>
        <w:spacing w:lineRule="atLeast" w:line="350"/>
        <w:rPr>
          <w:szCs w:val="28"/>
        </w:rPr>
      </w:pPr>
      <w:r>
        <w:rPr>
          <w:szCs w:val="28"/>
        </w:rPr>
        <w:t>THE HONOURABLE RONNY TONG KA-WAH, S.C.</w:t>
      </w:r>
    </w:p>
    <w:p>
      <w:pPr>
        <w:pStyle w:val="Normal"/>
        <w:spacing w:lineRule="atLeast" w:line="350"/>
        <w:rPr>
          <w:szCs w:val="28"/>
        </w:rPr>
      </w:pPr>
      <w:r>
        <w:rPr>
          <w:szCs w:val="28"/>
        </w:rPr>
      </w:r>
    </w:p>
    <w:p>
      <w:pPr>
        <w:pStyle w:val="F21"/>
        <w:spacing w:lineRule="atLeast" w:line="350"/>
        <w:rPr>
          <w:rFonts w:cs="Times New Roman"/>
        </w:rPr>
      </w:pPr>
      <w:r>
        <w:rPr>
          <w:rFonts w:cs="Times New Roman"/>
        </w:rPr>
        <w:t>何秀蘭議員</w:t>
      </w:r>
      <w:r>
        <w:rPr>
          <w:rFonts w:cs="Times New Roman"/>
          <w:spacing w:val="0"/>
          <w:sz w:val="28"/>
          <w:szCs w:val="28"/>
          <w:lang w:val="en-GB"/>
        </w:rPr>
        <w:t>, J.P.</w:t>
      </w:r>
    </w:p>
    <w:p>
      <w:pPr>
        <w:pStyle w:val="Normal"/>
        <w:spacing w:lineRule="atLeast" w:line="350"/>
        <w:rPr>
          <w:szCs w:val="28"/>
        </w:rPr>
      </w:pPr>
      <w:r>
        <w:rPr>
          <w:szCs w:val="28"/>
        </w:rPr>
        <w:t>THE HONOURABLE CYD HO SAU-LAN, J.P.</w:t>
      </w:r>
    </w:p>
    <w:p>
      <w:pPr>
        <w:pStyle w:val="F21"/>
        <w:spacing w:lineRule="atLeast" w:line="350"/>
        <w:rPr>
          <w:rFonts w:cs="Times New Roman"/>
          <w:szCs w:val="28"/>
        </w:rPr>
      </w:pPr>
      <w:r>
        <w:rPr>
          <w:rFonts w:cs="Times New Roman"/>
          <w:szCs w:val="28"/>
        </w:rPr>
      </w:r>
    </w:p>
    <w:p>
      <w:pPr>
        <w:pStyle w:val="F21"/>
        <w:spacing w:lineRule="atLeast" w:line="350"/>
        <w:rPr>
          <w:rFonts w:cs="Times New Roman"/>
          <w:spacing w:val="0"/>
          <w:sz w:val="28"/>
          <w:szCs w:val="28"/>
          <w:lang w:val="en-GB"/>
        </w:rPr>
      </w:pPr>
      <w:r>
        <w:rPr>
          <w:rFonts w:cs="Times New Roman"/>
        </w:rPr>
        <w:t>李慧琼議員</w:t>
      </w:r>
      <w:r>
        <w:rPr>
          <w:rFonts w:cs="Times New Roman"/>
          <w:spacing w:val="0"/>
          <w:sz w:val="28"/>
          <w:szCs w:val="28"/>
          <w:lang w:val="en-GB"/>
        </w:rPr>
        <w:t>, J.P.</w:t>
      </w:r>
    </w:p>
    <w:p>
      <w:pPr>
        <w:pStyle w:val="Normal"/>
        <w:spacing w:lineRule="atLeast" w:line="350"/>
        <w:rPr>
          <w:szCs w:val="28"/>
        </w:rPr>
      </w:pPr>
      <w:r>
        <w:rPr>
          <w:szCs w:val="28"/>
        </w:rPr>
        <w:t>THE HONOURABLE STARRY LEE WAI-KING, J.P.</w:t>
      </w:r>
      <w:r>
        <w:br w:type="page"/>
      </w:r>
    </w:p>
    <w:p>
      <w:pPr>
        <w:pStyle w:val="F21"/>
        <w:rPr>
          <w:rFonts w:cs="Times New Roman"/>
          <w:spacing w:val="0"/>
          <w:sz w:val="28"/>
          <w:szCs w:val="28"/>
          <w:lang w:val="en-GB"/>
        </w:rPr>
      </w:pPr>
      <w:r>
        <w:rPr>
          <w:rFonts w:cs="Times New Roman"/>
        </w:rPr>
        <w:t>林大輝議員</w:t>
      </w:r>
      <w:r>
        <w:rPr>
          <w:rFonts w:cs="Times New Roman"/>
          <w:spacing w:val="0"/>
          <w:sz w:val="28"/>
          <w:szCs w:val="28"/>
          <w:lang w:val="en-GB"/>
        </w:rPr>
        <w:t>, S.B.S., J.P.</w:t>
      </w:r>
    </w:p>
    <w:p>
      <w:pPr>
        <w:pStyle w:val="Normal"/>
        <w:rPr>
          <w:szCs w:val="28"/>
        </w:rPr>
      </w:pPr>
      <w:r>
        <w:rPr>
          <w:szCs w:val="28"/>
        </w:rPr>
        <w:t>DR THE HONOURABLE LAM TAI-FAI, S.B.S., J.P.</w:t>
      </w:r>
    </w:p>
    <w:p>
      <w:pPr>
        <w:pStyle w:val="Normal"/>
        <w:tabs>
          <w:tab w:val="left" w:pos="720" w:leader="none"/>
          <w:tab w:val="left" w:pos="2127" w:leader="none"/>
        </w:tabs>
        <w:rPr>
          <w:spacing w:val="10"/>
          <w:szCs w:val="28"/>
        </w:rPr>
      </w:pPr>
      <w:r>
        <w:rPr>
          <w:spacing w:val="10"/>
          <w:szCs w:val="28"/>
        </w:rPr>
      </w:r>
    </w:p>
    <w:p>
      <w:pPr>
        <w:pStyle w:val="F21"/>
        <w:rPr>
          <w:rFonts w:cs="Times New Roman"/>
          <w:spacing w:val="0"/>
          <w:sz w:val="28"/>
          <w:szCs w:val="28"/>
          <w:lang w:val="en-GB"/>
        </w:rPr>
      </w:pPr>
      <w:r>
        <w:rPr>
          <w:rFonts w:cs="Times New Roman"/>
        </w:rPr>
        <w:t>陳克勤議員</w:t>
      </w:r>
      <w:r>
        <w:rPr>
          <w:rFonts w:cs="Times New Roman"/>
          <w:spacing w:val="0"/>
          <w:sz w:val="28"/>
          <w:szCs w:val="28"/>
          <w:lang w:val="en-GB"/>
        </w:rPr>
        <w:t>, J.P.</w:t>
      </w:r>
    </w:p>
    <w:p>
      <w:pPr>
        <w:pStyle w:val="Normal"/>
        <w:rPr>
          <w:szCs w:val="28"/>
        </w:rPr>
      </w:pPr>
      <w:r>
        <w:rPr>
          <w:szCs w:val="28"/>
        </w:rPr>
        <w:t>THE HONOURABLE CHAN HAK-KAN, J.P.</w:t>
      </w:r>
    </w:p>
    <w:p>
      <w:pPr>
        <w:pStyle w:val="Normal"/>
        <w:tabs>
          <w:tab w:val="left" w:pos="720" w:leader="none"/>
          <w:tab w:val="left" w:pos="2280" w:leader="none"/>
        </w:tabs>
        <w:rPr>
          <w:spacing w:val="10"/>
          <w:szCs w:val="28"/>
        </w:rPr>
      </w:pPr>
      <w:r>
        <w:rPr>
          <w:spacing w:val="10"/>
          <w:szCs w:val="28"/>
        </w:rPr>
      </w:r>
    </w:p>
    <w:p>
      <w:pPr>
        <w:pStyle w:val="F21"/>
        <w:rPr>
          <w:rFonts w:cs="Times New Roman"/>
          <w:spacing w:val="0"/>
          <w:sz w:val="28"/>
          <w:szCs w:val="28"/>
          <w:lang w:val="en-GB"/>
        </w:rPr>
      </w:pPr>
      <w:r>
        <w:rPr>
          <w:rFonts w:cs="Times New Roman"/>
        </w:rPr>
        <w:t>陳健波議員</w:t>
      </w:r>
      <w:r>
        <w:rPr>
          <w:rFonts w:cs="Times New Roman"/>
          <w:spacing w:val="0"/>
          <w:sz w:val="28"/>
          <w:szCs w:val="28"/>
          <w:lang w:val="en-GB"/>
        </w:rPr>
        <w:t>, B.B.S., J.P.</w:t>
      </w:r>
    </w:p>
    <w:p>
      <w:pPr>
        <w:pStyle w:val="Normal"/>
        <w:rPr>
          <w:szCs w:val="28"/>
        </w:rPr>
      </w:pPr>
      <w:r>
        <w:rPr>
          <w:szCs w:val="28"/>
        </w:rPr>
        <w:t>THE HONOURABLE CHAN KIN-POR, B.B.S., J.P.</w:t>
      </w:r>
    </w:p>
    <w:p>
      <w:pPr>
        <w:pStyle w:val="Normal"/>
        <w:tabs>
          <w:tab w:val="left" w:pos="720" w:leader="none"/>
          <w:tab w:val="left" w:pos="2127" w:leader="none"/>
        </w:tabs>
        <w:rPr>
          <w:spacing w:val="10"/>
          <w:szCs w:val="28"/>
        </w:rPr>
      </w:pPr>
      <w:r>
        <w:rPr>
          <w:spacing w:val="10"/>
          <w:szCs w:val="28"/>
        </w:rPr>
      </w:r>
    </w:p>
    <w:p>
      <w:pPr>
        <w:pStyle w:val="F21"/>
        <w:rPr>
          <w:rFonts w:cs="Times New Roman"/>
          <w:spacing w:val="0"/>
          <w:sz w:val="28"/>
          <w:szCs w:val="28"/>
          <w:lang w:val="en-GB"/>
        </w:rPr>
      </w:pPr>
      <w:r>
        <w:rPr>
          <w:rFonts w:cs="Times New Roman"/>
        </w:rPr>
        <w:t>梁美芬議員</w:t>
      </w:r>
      <w:r>
        <w:rPr>
          <w:rFonts w:cs="Times New Roman"/>
          <w:spacing w:val="0"/>
          <w:sz w:val="28"/>
          <w:szCs w:val="28"/>
          <w:lang w:val="en-GB"/>
        </w:rPr>
        <w:t>, S.B.S., J.P.</w:t>
      </w:r>
    </w:p>
    <w:p>
      <w:pPr>
        <w:pStyle w:val="Normal"/>
        <w:rPr>
          <w:szCs w:val="28"/>
        </w:rPr>
      </w:pPr>
      <w:r>
        <w:rPr>
          <w:szCs w:val="28"/>
        </w:rPr>
        <w:t>DR THE HONOURABLE PRISCILLA LEUNG MEI-FUN, S.B.S., J.P.</w:t>
      </w:r>
    </w:p>
    <w:p>
      <w:pPr>
        <w:pStyle w:val="Normal"/>
        <w:tabs>
          <w:tab w:val="left" w:pos="720" w:leader="none"/>
          <w:tab w:val="left" w:pos="2280" w:leader="none"/>
        </w:tabs>
        <w:rPr>
          <w:spacing w:val="10"/>
          <w:szCs w:val="28"/>
        </w:rPr>
      </w:pPr>
      <w:r>
        <w:rPr>
          <w:spacing w:val="10"/>
          <w:szCs w:val="28"/>
        </w:rPr>
      </w:r>
    </w:p>
    <w:p>
      <w:pPr>
        <w:pStyle w:val="F21"/>
        <w:rPr>
          <w:rFonts w:cs="Times New Roman"/>
        </w:rPr>
      </w:pPr>
      <w:r>
        <w:rPr>
          <w:rFonts w:cs="Times New Roman"/>
        </w:rPr>
        <w:t>梁家騮議員</w:t>
      </w:r>
    </w:p>
    <w:p>
      <w:pPr>
        <w:pStyle w:val="Normal"/>
        <w:rPr>
          <w:szCs w:val="28"/>
        </w:rPr>
      </w:pPr>
      <w:r>
        <w:rPr>
          <w:szCs w:val="28"/>
        </w:rPr>
        <w:t>DR THE HONOURABLE LEUNG KA-LAU</w:t>
      </w:r>
    </w:p>
    <w:p>
      <w:pPr>
        <w:pStyle w:val="Normal"/>
        <w:tabs>
          <w:tab w:val="left" w:pos="336" w:leader="none"/>
          <w:tab w:val="left" w:pos="720" w:leader="none"/>
          <w:tab w:val="left" w:pos="2126" w:leader="none"/>
        </w:tabs>
        <w:rPr>
          <w:spacing w:val="10"/>
          <w:sz w:val="27"/>
          <w:szCs w:val="27"/>
        </w:rPr>
      </w:pPr>
      <w:r>
        <w:rPr>
          <w:spacing w:val="10"/>
          <w:sz w:val="27"/>
          <w:szCs w:val="27"/>
        </w:rPr>
      </w:r>
    </w:p>
    <w:p>
      <w:pPr>
        <w:pStyle w:val="F21"/>
        <w:rPr>
          <w:rFonts w:cs="Times New Roman"/>
        </w:rPr>
      </w:pPr>
      <w:r>
        <w:rPr>
          <w:rFonts w:cs="Times New Roman"/>
        </w:rPr>
        <w:t>張國柱議員</w:t>
      </w:r>
    </w:p>
    <w:p>
      <w:pPr>
        <w:pStyle w:val="Normal"/>
        <w:rPr>
          <w:szCs w:val="28"/>
        </w:rPr>
      </w:pPr>
      <w:r>
        <w:rPr>
          <w:szCs w:val="28"/>
        </w:rPr>
        <w:t>THE HONOURABLE CHEUNG KWOK-CHE</w:t>
      </w:r>
    </w:p>
    <w:p>
      <w:pPr>
        <w:pStyle w:val="Normal"/>
        <w:tabs>
          <w:tab w:val="left" w:pos="336" w:leader="none"/>
          <w:tab w:val="left" w:pos="720" w:leader="none"/>
          <w:tab w:val="left" w:pos="2127" w:leader="none"/>
        </w:tabs>
        <w:rPr>
          <w:spacing w:val="10"/>
          <w:sz w:val="27"/>
          <w:szCs w:val="27"/>
          <w:lang w:val="en-US"/>
        </w:rPr>
      </w:pPr>
      <w:r>
        <w:rPr>
          <w:spacing w:val="10"/>
          <w:sz w:val="27"/>
          <w:szCs w:val="27"/>
          <w:lang w:val="en-US"/>
        </w:rPr>
      </w:r>
    </w:p>
    <w:p>
      <w:pPr>
        <w:pStyle w:val="F21"/>
        <w:rPr>
          <w:rFonts w:cs="Times New Roman"/>
          <w:spacing w:val="0"/>
          <w:sz w:val="28"/>
          <w:szCs w:val="28"/>
          <w:lang w:val="en-GB"/>
        </w:rPr>
      </w:pPr>
      <w:r>
        <w:rPr>
          <w:rFonts w:cs="Times New Roman"/>
        </w:rPr>
        <w:t>黃國健議員</w:t>
      </w:r>
      <w:r>
        <w:rPr>
          <w:rFonts w:cs="Times New Roman"/>
          <w:spacing w:val="0"/>
          <w:sz w:val="28"/>
          <w:szCs w:val="28"/>
          <w:lang w:val="en-GB"/>
        </w:rPr>
        <w:t>, S.B.S.</w:t>
      </w:r>
    </w:p>
    <w:p>
      <w:pPr>
        <w:pStyle w:val="Normal"/>
        <w:rPr>
          <w:szCs w:val="28"/>
        </w:rPr>
      </w:pPr>
      <w:r>
        <w:rPr>
          <w:szCs w:val="28"/>
        </w:rPr>
        <w:t>THE HONOURABLE WONG KWOK-KIN, S.B.S.</w:t>
      </w:r>
    </w:p>
    <w:p>
      <w:pPr>
        <w:pStyle w:val="Normal"/>
        <w:tabs>
          <w:tab w:val="left" w:pos="720" w:leader="none"/>
          <w:tab w:val="left" w:pos="2280" w:leader="none"/>
        </w:tabs>
        <w:rPr>
          <w:spacing w:val="10"/>
          <w:szCs w:val="28"/>
        </w:rPr>
      </w:pPr>
      <w:r>
        <w:rPr>
          <w:spacing w:val="10"/>
          <w:szCs w:val="28"/>
        </w:rPr>
      </w:r>
    </w:p>
    <w:p>
      <w:pPr>
        <w:pStyle w:val="F21"/>
        <w:rPr>
          <w:rFonts w:cs="Times New Roman"/>
          <w:spacing w:val="0"/>
          <w:sz w:val="28"/>
          <w:szCs w:val="28"/>
          <w:lang w:val="en-GB"/>
        </w:rPr>
      </w:pPr>
      <w:r>
        <w:rPr>
          <w:rFonts w:cs="Times New Roman"/>
        </w:rPr>
        <w:t>葉國謙議員</w:t>
      </w:r>
      <w:r>
        <w:rPr>
          <w:rFonts w:cs="Times New Roman"/>
          <w:spacing w:val="0"/>
          <w:sz w:val="28"/>
          <w:szCs w:val="28"/>
          <w:lang w:val="en-GB"/>
        </w:rPr>
        <w:t>, G.B.S., J.P.</w:t>
      </w:r>
    </w:p>
    <w:p>
      <w:pPr>
        <w:pStyle w:val="Normal"/>
        <w:rPr>
          <w:szCs w:val="28"/>
        </w:rPr>
      </w:pPr>
      <w:r>
        <w:rPr>
          <w:szCs w:val="28"/>
        </w:rPr>
        <w:t>THE HONOURABLE IP KWOK-HIM, G.B.S.,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spacing w:val="0"/>
          <w:sz w:val="28"/>
          <w:szCs w:val="28"/>
          <w:lang w:val="en-GB"/>
        </w:rPr>
      </w:pPr>
      <w:r>
        <w:rPr>
          <w:rFonts w:cs="Times New Roman"/>
        </w:rPr>
        <w:t>葉劉淑儀議員</w:t>
      </w:r>
      <w:r>
        <w:rPr>
          <w:rFonts w:cs="Times New Roman"/>
          <w:spacing w:val="0"/>
          <w:sz w:val="28"/>
          <w:szCs w:val="28"/>
          <w:lang w:val="en-GB"/>
        </w:rPr>
        <w:t>, G.B.S., J.P.</w:t>
      </w:r>
    </w:p>
    <w:p>
      <w:pPr>
        <w:pStyle w:val="Normal"/>
        <w:rPr>
          <w:szCs w:val="28"/>
        </w:rPr>
      </w:pPr>
      <w:r>
        <w:rPr>
          <w:szCs w:val="28"/>
        </w:rPr>
        <w:t>THE HONOURABLE MRS REGINA IP LAU SUK-YEE, G.B.S., J.P.</w:t>
      </w:r>
    </w:p>
    <w:p>
      <w:pPr>
        <w:pStyle w:val="Normal"/>
        <w:tabs>
          <w:tab w:val="left" w:pos="720" w:leader="none"/>
          <w:tab w:val="left" w:pos="2280" w:leader="none"/>
        </w:tabs>
        <w:rPr>
          <w:spacing w:val="10"/>
          <w:szCs w:val="28"/>
        </w:rPr>
      </w:pPr>
      <w:r>
        <w:rPr>
          <w:spacing w:val="10"/>
          <w:szCs w:val="28"/>
        </w:rPr>
      </w:r>
    </w:p>
    <w:p>
      <w:pPr>
        <w:pStyle w:val="F21"/>
        <w:rPr>
          <w:rFonts w:cs="Times New Roman"/>
          <w:spacing w:val="0"/>
          <w:sz w:val="28"/>
          <w:szCs w:val="28"/>
          <w:lang w:val="en-GB"/>
        </w:rPr>
      </w:pPr>
      <w:r>
        <w:rPr>
          <w:rFonts w:cs="Times New Roman"/>
        </w:rPr>
        <w:t>謝偉俊議員</w:t>
      </w:r>
      <w:r>
        <w:rPr>
          <w:rFonts w:cs="Times New Roman"/>
          <w:spacing w:val="0"/>
          <w:sz w:val="28"/>
          <w:szCs w:val="28"/>
          <w:lang w:val="en-GB"/>
        </w:rPr>
        <w:t>, J.P.</w:t>
      </w:r>
    </w:p>
    <w:p>
      <w:pPr>
        <w:pStyle w:val="Normal"/>
        <w:rPr>
          <w:szCs w:val="28"/>
        </w:rPr>
      </w:pPr>
      <w:r>
        <w:rPr>
          <w:szCs w:val="28"/>
        </w:rPr>
        <w:t>THE HONOURABLE PAUL TSE WAI-CHUN,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spacing w:val="0"/>
          <w:sz w:val="28"/>
          <w:szCs w:val="28"/>
          <w:lang w:val="en-GB"/>
        </w:rPr>
      </w:pPr>
      <w:r>
        <w:rPr>
          <w:rFonts w:cs="Times New Roman"/>
        </w:rPr>
        <w:t>梁家傑議員</w:t>
      </w:r>
      <w:r>
        <w:rPr>
          <w:rFonts w:cs="Times New Roman"/>
          <w:spacing w:val="0"/>
          <w:sz w:val="28"/>
          <w:szCs w:val="28"/>
          <w:lang w:val="en-GB"/>
        </w:rPr>
        <w:t>, S.C.</w:t>
      </w:r>
    </w:p>
    <w:p>
      <w:pPr>
        <w:pStyle w:val="Normal"/>
        <w:rPr>
          <w:szCs w:val="28"/>
        </w:rPr>
      </w:pPr>
      <w:r>
        <w:rPr>
          <w:szCs w:val="28"/>
        </w:rPr>
        <w:t>THE HONOURABLE ALAN LEONG KAH-KIT, S.C.</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rPr>
      </w:pPr>
      <w:r>
        <w:rPr>
          <w:rFonts w:cs="Times New Roman"/>
        </w:rPr>
        <w:t>梁國雄議員</w:t>
      </w:r>
    </w:p>
    <w:p>
      <w:pPr>
        <w:pStyle w:val="Normal"/>
        <w:rPr>
          <w:szCs w:val="28"/>
        </w:rPr>
      </w:pPr>
      <w:r>
        <w:rPr>
          <w:szCs w:val="28"/>
        </w:rPr>
        <w:t>THE HONOURABLE LEUNG KWOK-HUNG</w:t>
      </w:r>
    </w:p>
    <w:p>
      <w:pPr>
        <w:pStyle w:val="F21"/>
        <w:rPr>
          <w:rFonts w:cs="Times New Roman"/>
          <w:spacing w:val="10"/>
          <w:szCs w:val="27"/>
        </w:rPr>
      </w:pPr>
      <w:r>
        <w:rPr>
          <w:rFonts w:cs="Times New Roman"/>
          <w:spacing w:val="10"/>
          <w:szCs w:val="27"/>
        </w:rPr>
      </w:r>
    </w:p>
    <w:p>
      <w:pPr>
        <w:pStyle w:val="Normal"/>
        <w:tabs>
          <w:tab w:val="left" w:pos="336" w:leader="none"/>
          <w:tab w:val="left" w:pos="720" w:leader="none"/>
          <w:tab w:val="left" w:pos="2126" w:leader="none"/>
        </w:tabs>
        <w:rPr>
          <w:spacing w:val="20"/>
          <w:sz w:val="27"/>
          <w:szCs w:val="22"/>
          <w:lang w:val="en-US"/>
        </w:rPr>
      </w:pPr>
      <w:r>
        <w:rPr>
          <w:spacing w:val="20"/>
          <w:sz w:val="27"/>
        </w:rPr>
        <w:t>陳偉業議員</w:t>
      </w:r>
    </w:p>
    <w:p>
      <w:pPr>
        <w:pStyle w:val="Normal"/>
        <w:rPr>
          <w:szCs w:val="28"/>
        </w:rPr>
      </w:pPr>
      <w:r>
        <w:rPr>
          <w:szCs w:val="28"/>
        </w:rPr>
        <w:t>THE HONOURABLE ALBERT CHAN WAI-YIP</w:t>
      </w:r>
      <w:r>
        <w:br w:type="page"/>
      </w:r>
    </w:p>
    <w:p>
      <w:pPr>
        <w:pStyle w:val="F21"/>
        <w:rPr>
          <w:rFonts w:cs="Times New Roman"/>
        </w:rPr>
      </w:pPr>
      <w:r>
        <w:rPr>
          <w:rFonts w:cs="Times New Roman"/>
        </w:rPr>
        <w:t>黃毓民議員</w:t>
      </w:r>
    </w:p>
    <w:p>
      <w:pPr>
        <w:pStyle w:val="Normal"/>
        <w:rPr>
          <w:szCs w:val="28"/>
        </w:rPr>
      </w:pPr>
      <w:r>
        <w:rPr>
          <w:szCs w:val="28"/>
        </w:rPr>
        <w:t>THE HONOURABLE WONG YUK-MAN</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rPr>
      </w:pPr>
      <w:r>
        <w:rPr>
          <w:rFonts w:cs="Times New Roman"/>
        </w:rPr>
        <w:t>毛孟靜議員</w:t>
      </w:r>
    </w:p>
    <w:p>
      <w:pPr>
        <w:pStyle w:val="Normal"/>
        <w:tabs>
          <w:tab w:val="left" w:pos="336" w:leader="none"/>
          <w:tab w:val="left" w:pos="720" w:leader="none"/>
          <w:tab w:val="left" w:pos="2126" w:leader="none"/>
        </w:tabs>
        <w:rPr>
          <w:szCs w:val="28"/>
        </w:rPr>
      </w:pPr>
      <w:r>
        <w:rPr>
          <w:szCs w:val="28"/>
        </w:rPr>
        <w:t>THE HONOURABLE CLAUDIA MO</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spacing w:val="0"/>
          <w:sz w:val="28"/>
          <w:szCs w:val="28"/>
          <w:lang w:val="en-GB"/>
        </w:rPr>
      </w:pPr>
      <w:r>
        <w:rPr>
          <w:rFonts w:cs="Times New Roman"/>
        </w:rPr>
        <w:t>田北辰議員</w:t>
      </w:r>
      <w:r>
        <w:rPr>
          <w:rFonts w:cs="Times New Roman"/>
          <w:spacing w:val="0"/>
          <w:sz w:val="28"/>
          <w:szCs w:val="28"/>
          <w:lang w:val="en-GB"/>
        </w:rPr>
        <w:t>, B.B.S., J.P.</w:t>
      </w:r>
    </w:p>
    <w:p>
      <w:pPr>
        <w:pStyle w:val="Normal"/>
        <w:tabs>
          <w:tab w:val="left" w:pos="336" w:leader="none"/>
          <w:tab w:val="left" w:pos="720" w:leader="none"/>
          <w:tab w:val="left" w:pos="2126" w:leader="none"/>
        </w:tabs>
        <w:rPr>
          <w:szCs w:val="28"/>
        </w:rPr>
      </w:pPr>
      <w:r>
        <w:rPr>
          <w:szCs w:val="28"/>
        </w:rPr>
        <w:t>THE HONOURABLE MICHAEL TIEN PUK-SUN, B.B.S., J.P.</w:t>
      </w:r>
    </w:p>
    <w:p>
      <w:pPr>
        <w:pStyle w:val="Normal"/>
        <w:tabs>
          <w:tab w:val="left" w:pos="336" w:leader="none"/>
          <w:tab w:val="left" w:pos="720" w:leader="none"/>
          <w:tab w:val="left" w:pos="2126" w:leader="none"/>
        </w:tabs>
        <w:rPr>
          <w:szCs w:val="28"/>
        </w:rPr>
      </w:pPr>
      <w:r>
        <w:rPr>
          <w:szCs w:val="28"/>
        </w:rPr>
      </w:r>
    </w:p>
    <w:p>
      <w:pPr>
        <w:pStyle w:val="F21"/>
        <w:rPr>
          <w:rFonts w:cs="Times New Roman"/>
          <w:spacing w:val="0"/>
          <w:sz w:val="28"/>
          <w:szCs w:val="28"/>
          <w:lang w:val="en-GB"/>
        </w:rPr>
      </w:pPr>
      <w:r>
        <w:rPr>
          <w:rFonts w:cs="Times New Roman"/>
        </w:rPr>
        <w:t>田北俊議員</w:t>
      </w:r>
      <w:r>
        <w:rPr>
          <w:rFonts w:cs="Times New Roman"/>
          <w:spacing w:val="0"/>
          <w:sz w:val="28"/>
          <w:szCs w:val="28"/>
          <w:lang w:val="en-GB"/>
        </w:rPr>
        <w:t>, G.B.S., J.P.</w:t>
      </w:r>
    </w:p>
    <w:p>
      <w:pPr>
        <w:pStyle w:val="Normal"/>
        <w:tabs>
          <w:tab w:val="left" w:pos="336" w:leader="none"/>
          <w:tab w:val="left" w:pos="720" w:leader="none"/>
          <w:tab w:val="left" w:pos="2126" w:leader="none"/>
        </w:tabs>
        <w:rPr>
          <w:szCs w:val="28"/>
        </w:rPr>
      </w:pPr>
      <w:r>
        <w:rPr>
          <w:szCs w:val="28"/>
        </w:rPr>
        <w:t>THE HONOURABLE JAMES TIEN PEI-CHUN, G.B.S.,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spacing w:val="0"/>
          <w:sz w:val="28"/>
          <w:szCs w:val="28"/>
          <w:lang w:val="en-GB"/>
        </w:rPr>
      </w:pPr>
      <w:r>
        <w:rPr>
          <w:rFonts w:cs="Times New Roman"/>
        </w:rPr>
        <w:t>吳亮星議員</w:t>
      </w:r>
      <w:r>
        <w:rPr>
          <w:rFonts w:cs="Times New Roman"/>
          <w:spacing w:val="0"/>
          <w:sz w:val="28"/>
          <w:szCs w:val="28"/>
          <w:lang w:val="en-GB"/>
        </w:rPr>
        <w:t>, S.B.S., J.P.</w:t>
      </w:r>
    </w:p>
    <w:p>
      <w:pPr>
        <w:pStyle w:val="Normal"/>
        <w:tabs>
          <w:tab w:val="left" w:pos="336" w:leader="none"/>
          <w:tab w:val="left" w:pos="720" w:leader="none"/>
          <w:tab w:val="left" w:pos="2126" w:leader="none"/>
        </w:tabs>
        <w:rPr>
          <w:szCs w:val="28"/>
        </w:rPr>
      </w:pPr>
      <w:r>
        <w:rPr>
          <w:szCs w:val="28"/>
        </w:rPr>
        <w:t>THE HONOURABLE NG LEUNG-SING, S.B.S.,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rPr>
      </w:pPr>
      <w:r>
        <w:rPr>
          <w:rFonts w:cs="Times New Roman"/>
        </w:rPr>
        <w:t>何俊賢議員</w:t>
      </w:r>
    </w:p>
    <w:p>
      <w:pPr>
        <w:pStyle w:val="Normal"/>
        <w:tabs>
          <w:tab w:val="left" w:pos="336" w:leader="none"/>
          <w:tab w:val="left" w:pos="720" w:leader="none"/>
          <w:tab w:val="left" w:pos="2126" w:leader="none"/>
        </w:tabs>
        <w:rPr>
          <w:szCs w:val="28"/>
        </w:rPr>
      </w:pPr>
      <w:r>
        <w:rPr>
          <w:szCs w:val="28"/>
        </w:rPr>
        <w:t>THE HONOURABLE STEVEN HO CHUN-YIN</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rPr>
      </w:pPr>
      <w:r>
        <w:rPr>
          <w:rFonts w:cs="Times New Roman"/>
        </w:rPr>
        <w:t>易志明議員</w:t>
      </w:r>
    </w:p>
    <w:p>
      <w:pPr>
        <w:pStyle w:val="Normal"/>
        <w:tabs>
          <w:tab w:val="left" w:pos="336" w:leader="none"/>
          <w:tab w:val="left" w:pos="720" w:leader="none"/>
          <w:tab w:val="left" w:pos="2126" w:leader="none"/>
        </w:tabs>
        <w:rPr>
          <w:szCs w:val="28"/>
        </w:rPr>
      </w:pPr>
      <w:r>
        <w:rPr>
          <w:szCs w:val="28"/>
        </w:rPr>
        <w:t>THE HONOURABLE FRANKIE YICK CHI-MING</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spacing w:val="0"/>
          <w:sz w:val="28"/>
          <w:szCs w:val="28"/>
          <w:lang w:val="en-GB"/>
        </w:rPr>
      </w:pPr>
      <w:r>
        <w:rPr>
          <w:rFonts w:cs="Times New Roman"/>
        </w:rPr>
        <w:t>胡志偉議員</w:t>
      </w:r>
      <w:r>
        <w:rPr>
          <w:rFonts w:cs="Times New Roman"/>
          <w:spacing w:val="0"/>
          <w:sz w:val="28"/>
          <w:szCs w:val="28"/>
          <w:lang w:val="en-GB"/>
        </w:rPr>
        <w:t>, M.H.</w:t>
      </w:r>
    </w:p>
    <w:p>
      <w:pPr>
        <w:pStyle w:val="Normal"/>
        <w:tabs>
          <w:tab w:val="left" w:pos="336" w:leader="none"/>
          <w:tab w:val="left" w:pos="720" w:leader="none"/>
          <w:tab w:val="left" w:pos="2126" w:leader="none"/>
        </w:tabs>
        <w:rPr>
          <w:spacing w:val="10"/>
          <w:szCs w:val="28"/>
        </w:rPr>
      </w:pPr>
      <w:r>
        <w:rPr>
          <w:szCs w:val="28"/>
        </w:rPr>
        <w:t>THE HONOURABLE</w:t>
      </w:r>
      <w:r>
        <w:rPr/>
        <w:t xml:space="preserve"> </w:t>
      </w:r>
      <w:r>
        <w:rPr>
          <w:szCs w:val="28"/>
        </w:rPr>
        <w:t>WU CHI-WAI, M.H.</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rPr>
      </w:pPr>
      <w:r>
        <w:rPr>
          <w:rFonts w:cs="Times New Roman"/>
        </w:rPr>
        <w:t>姚思榮議員</w:t>
      </w:r>
    </w:p>
    <w:p>
      <w:pPr>
        <w:pStyle w:val="Normal"/>
        <w:tabs>
          <w:tab w:val="left" w:pos="336" w:leader="none"/>
          <w:tab w:val="left" w:pos="720" w:leader="none"/>
          <w:tab w:val="left" w:pos="2126" w:leader="none"/>
        </w:tabs>
        <w:rPr>
          <w:szCs w:val="28"/>
        </w:rPr>
      </w:pPr>
      <w:r>
        <w:rPr>
          <w:szCs w:val="28"/>
        </w:rPr>
        <w:t>THE HONOURABLE YIU SI-WING</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rPr>
      </w:pPr>
      <w:r>
        <w:rPr>
          <w:rFonts w:cs="Times New Roman"/>
        </w:rPr>
        <w:t>范國威議員</w:t>
      </w:r>
    </w:p>
    <w:p>
      <w:pPr>
        <w:pStyle w:val="Normal"/>
        <w:tabs>
          <w:tab w:val="left" w:pos="336" w:leader="none"/>
          <w:tab w:val="left" w:pos="720" w:leader="none"/>
          <w:tab w:val="left" w:pos="2126" w:leader="none"/>
        </w:tabs>
        <w:rPr>
          <w:spacing w:val="10"/>
          <w:sz w:val="27"/>
          <w:szCs w:val="27"/>
          <w:lang w:val="en-US"/>
        </w:rPr>
      </w:pPr>
      <w:r>
        <w:rPr>
          <w:szCs w:val="28"/>
        </w:rPr>
        <w:t>THE HONOURABLE GARY FAN KWOK-WAI</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spacing w:val="0"/>
          <w:sz w:val="28"/>
          <w:szCs w:val="28"/>
          <w:lang w:val="en-GB"/>
        </w:rPr>
      </w:pPr>
      <w:r>
        <w:rPr>
          <w:rFonts w:cs="Times New Roman"/>
        </w:rPr>
        <w:t>馬逢國議員</w:t>
      </w:r>
      <w:r>
        <w:rPr>
          <w:rFonts w:cs="Times New Roman"/>
          <w:spacing w:val="0"/>
          <w:sz w:val="28"/>
          <w:szCs w:val="28"/>
          <w:lang w:val="en-GB"/>
        </w:rPr>
        <w:t>, S.B.S., J.P.</w:t>
      </w:r>
    </w:p>
    <w:p>
      <w:pPr>
        <w:pStyle w:val="Normal"/>
        <w:tabs>
          <w:tab w:val="left" w:pos="336" w:leader="none"/>
          <w:tab w:val="left" w:pos="720" w:leader="none"/>
          <w:tab w:val="left" w:pos="2126" w:leader="none"/>
        </w:tabs>
        <w:rPr>
          <w:szCs w:val="28"/>
        </w:rPr>
      </w:pPr>
      <w:r>
        <w:rPr>
          <w:szCs w:val="28"/>
        </w:rPr>
        <w:t>THE HONOURABLE MA FUNG-KWOK, S.B.S.,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rPr>
      </w:pPr>
      <w:r>
        <w:rPr>
          <w:rFonts w:cs="Times New Roman"/>
        </w:rPr>
        <w:t>莫乃光議員</w:t>
      </w:r>
      <w:r>
        <w:rPr>
          <w:rFonts w:cs="Times New Roman"/>
          <w:spacing w:val="0"/>
          <w:sz w:val="28"/>
          <w:szCs w:val="28"/>
          <w:lang w:val="en-GB"/>
        </w:rPr>
        <w:t>, J.P.</w:t>
      </w:r>
    </w:p>
    <w:p>
      <w:pPr>
        <w:pStyle w:val="Normal"/>
        <w:tabs>
          <w:tab w:val="left" w:pos="336" w:leader="none"/>
          <w:tab w:val="left" w:pos="720" w:leader="none"/>
          <w:tab w:val="left" w:pos="2126" w:leader="none"/>
        </w:tabs>
        <w:rPr>
          <w:spacing w:val="10"/>
          <w:sz w:val="27"/>
          <w:szCs w:val="27"/>
          <w:lang w:val="en-US"/>
        </w:rPr>
      </w:pPr>
      <w:r>
        <w:rPr>
          <w:szCs w:val="28"/>
        </w:rPr>
        <w:t>THE HONOURABLE CHARLES PETER MOK, J.P.</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rPr>
      </w:pPr>
      <w:r>
        <w:rPr>
          <w:rFonts w:cs="Times New Roman"/>
        </w:rPr>
        <w:t>陳志全議員</w:t>
      </w:r>
    </w:p>
    <w:p>
      <w:pPr>
        <w:pStyle w:val="Normal"/>
        <w:tabs>
          <w:tab w:val="left" w:pos="336" w:leader="none"/>
          <w:tab w:val="left" w:pos="720" w:leader="none"/>
          <w:tab w:val="left" w:pos="2126" w:leader="none"/>
        </w:tabs>
        <w:rPr>
          <w:spacing w:val="10"/>
          <w:sz w:val="27"/>
          <w:szCs w:val="27"/>
          <w:lang w:val="en-US"/>
        </w:rPr>
      </w:pPr>
      <w:r>
        <w:rPr>
          <w:szCs w:val="28"/>
        </w:rPr>
        <w:t>THE HONOURABLE CHAN CHI-CHUEN</w:t>
      </w:r>
      <w:r>
        <w:br w:type="page"/>
      </w:r>
    </w:p>
    <w:p>
      <w:pPr>
        <w:pStyle w:val="F21"/>
        <w:rPr>
          <w:rFonts w:cs="Times New Roman"/>
        </w:rPr>
      </w:pPr>
      <w:r>
        <w:rPr>
          <w:rFonts w:cs="Times New Roman"/>
        </w:rPr>
        <w:t>陳恒鑌議員</w:t>
      </w:r>
      <w:r>
        <w:rPr>
          <w:rFonts w:cs="Times New Roman"/>
          <w:spacing w:val="0"/>
          <w:sz w:val="28"/>
          <w:szCs w:val="28"/>
          <w:lang w:val="en-GB"/>
        </w:rPr>
        <w:t>, J.P.</w:t>
      </w:r>
    </w:p>
    <w:p>
      <w:pPr>
        <w:pStyle w:val="Normal"/>
        <w:tabs>
          <w:tab w:val="left" w:pos="336" w:leader="none"/>
          <w:tab w:val="left" w:pos="720" w:leader="none"/>
          <w:tab w:val="left" w:pos="2126" w:leader="none"/>
        </w:tabs>
        <w:rPr>
          <w:spacing w:val="10"/>
          <w:sz w:val="27"/>
          <w:szCs w:val="27"/>
          <w:lang w:val="en-US"/>
        </w:rPr>
      </w:pPr>
      <w:r>
        <w:rPr>
          <w:szCs w:val="28"/>
        </w:rPr>
        <w:t>THE HONOURABLE CHAN HAN-PAN, J.P.</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rPr>
      </w:pPr>
      <w:r>
        <w:rPr>
          <w:rFonts w:cs="Times New Roman"/>
        </w:rPr>
        <w:t>陳家洛議員</w:t>
      </w:r>
    </w:p>
    <w:p>
      <w:pPr>
        <w:pStyle w:val="Normal"/>
        <w:tabs>
          <w:tab w:val="left" w:pos="336" w:leader="none"/>
          <w:tab w:val="left" w:pos="720" w:leader="none"/>
          <w:tab w:val="left" w:pos="2126" w:leader="none"/>
        </w:tabs>
        <w:rPr>
          <w:spacing w:val="10"/>
          <w:sz w:val="27"/>
          <w:szCs w:val="27"/>
          <w:lang w:val="en-US"/>
        </w:rPr>
      </w:pPr>
      <w:r>
        <w:rPr>
          <w:szCs w:val="28"/>
        </w:rPr>
        <w:t>DR THE HONOURABLE KENNETH CHAN KA-LOK</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spacing w:val="0"/>
          <w:sz w:val="28"/>
          <w:szCs w:val="28"/>
          <w:lang w:val="en-GB"/>
        </w:rPr>
      </w:pPr>
      <w:r>
        <w:rPr>
          <w:rFonts w:cs="Times New Roman"/>
        </w:rPr>
        <w:t>陳婉嫻議員</w:t>
      </w:r>
      <w:r>
        <w:rPr>
          <w:rFonts w:cs="Times New Roman"/>
          <w:spacing w:val="0"/>
          <w:sz w:val="28"/>
          <w:szCs w:val="28"/>
          <w:lang w:val="en-GB"/>
        </w:rPr>
        <w:t>, S.B.S., J.P.</w:t>
      </w:r>
    </w:p>
    <w:p>
      <w:pPr>
        <w:pStyle w:val="Normal"/>
        <w:tabs>
          <w:tab w:val="left" w:pos="336" w:leader="none"/>
          <w:tab w:val="left" w:pos="720" w:leader="none"/>
          <w:tab w:val="left" w:pos="2126" w:leader="none"/>
        </w:tabs>
        <w:rPr>
          <w:spacing w:val="10"/>
          <w:szCs w:val="28"/>
        </w:rPr>
      </w:pPr>
      <w:r>
        <w:rPr>
          <w:szCs w:val="28"/>
        </w:rPr>
        <w:t>THE HONOURABLE CHAN YUEN-HAN, S.B.S.,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spacing w:val="0"/>
          <w:sz w:val="28"/>
          <w:szCs w:val="28"/>
          <w:lang w:val="en-GB"/>
        </w:rPr>
      </w:pPr>
      <w:r>
        <w:rPr>
          <w:rFonts w:cs="Times New Roman"/>
        </w:rPr>
        <w:t>梁志祥議員</w:t>
      </w:r>
      <w:r>
        <w:rPr>
          <w:rFonts w:cs="Times New Roman"/>
          <w:spacing w:val="0"/>
          <w:sz w:val="28"/>
          <w:szCs w:val="28"/>
          <w:lang w:val="en-GB"/>
        </w:rPr>
        <w:t>, B.B.S., M.H., J.P.</w:t>
      </w:r>
    </w:p>
    <w:p>
      <w:pPr>
        <w:pStyle w:val="Normal"/>
        <w:tabs>
          <w:tab w:val="left" w:pos="336" w:leader="none"/>
          <w:tab w:val="left" w:pos="720" w:leader="none"/>
          <w:tab w:val="left" w:pos="2126" w:leader="none"/>
        </w:tabs>
        <w:rPr>
          <w:szCs w:val="28"/>
        </w:rPr>
      </w:pPr>
      <w:r>
        <w:rPr>
          <w:szCs w:val="28"/>
        </w:rPr>
        <w:t>THE HONOURABLE LEUNG CHE-CHEUNG, B.B.S., M.H.,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rPr>
      </w:pPr>
      <w:r>
        <w:rPr>
          <w:rFonts w:cs="Times New Roman"/>
        </w:rPr>
        <w:t>梁繼昌議員</w:t>
      </w:r>
    </w:p>
    <w:p>
      <w:pPr>
        <w:pStyle w:val="Normal"/>
        <w:tabs>
          <w:tab w:val="left" w:pos="336" w:leader="none"/>
          <w:tab w:val="left" w:pos="720" w:leader="none"/>
          <w:tab w:val="left" w:pos="2126" w:leader="none"/>
        </w:tabs>
        <w:rPr>
          <w:spacing w:val="10"/>
          <w:sz w:val="27"/>
          <w:szCs w:val="27"/>
          <w:lang w:val="en-US"/>
        </w:rPr>
      </w:pPr>
      <w:r>
        <w:rPr>
          <w:szCs w:val="28"/>
        </w:rPr>
        <w:t>THE HONOURABLE KENNETH LEUNG</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spacing w:val="0"/>
          <w:sz w:val="28"/>
          <w:szCs w:val="28"/>
          <w:lang w:val="en-GB"/>
        </w:rPr>
      </w:pPr>
      <w:r>
        <w:rPr>
          <w:rFonts w:cs="Times New Roman"/>
        </w:rPr>
        <w:t>麥美娟議員</w:t>
      </w:r>
      <w:r>
        <w:rPr>
          <w:rFonts w:cs="Times New Roman"/>
          <w:spacing w:val="0"/>
          <w:sz w:val="28"/>
          <w:szCs w:val="28"/>
          <w:lang w:val="en-GB"/>
        </w:rPr>
        <w:t>, J.P.</w:t>
      </w:r>
    </w:p>
    <w:p>
      <w:pPr>
        <w:pStyle w:val="Normal"/>
        <w:tabs>
          <w:tab w:val="left" w:pos="336" w:leader="none"/>
          <w:tab w:val="left" w:pos="720" w:leader="none"/>
          <w:tab w:val="left" w:pos="2126" w:leader="none"/>
        </w:tabs>
        <w:rPr>
          <w:spacing w:val="10"/>
          <w:szCs w:val="28"/>
        </w:rPr>
      </w:pPr>
      <w:r>
        <w:rPr>
          <w:szCs w:val="28"/>
        </w:rPr>
        <w:t>THE HONOURABLE ALICE MAK MEI-KUEN,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rPr>
      </w:pPr>
      <w:r>
        <w:rPr>
          <w:rFonts w:cs="Times New Roman"/>
        </w:rPr>
        <w:t>郭家麒議員</w:t>
      </w:r>
    </w:p>
    <w:p>
      <w:pPr>
        <w:pStyle w:val="Normal"/>
        <w:tabs>
          <w:tab w:val="left" w:pos="336" w:leader="none"/>
          <w:tab w:val="left" w:pos="720" w:leader="none"/>
          <w:tab w:val="left" w:pos="2126" w:leader="none"/>
        </w:tabs>
        <w:rPr>
          <w:szCs w:val="28"/>
          <w:lang w:val="en-US"/>
        </w:rPr>
      </w:pPr>
      <w:r>
        <w:rPr>
          <w:szCs w:val="28"/>
        </w:rPr>
        <w:t>DR THE HONOURABLE</w:t>
      </w:r>
      <w:r>
        <w:rPr>
          <w:szCs w:val="28"/>
          <w:lang w:val="en-US"/>
        </w:rPr>
        <w:t xml:space="preserve"> KWOK KA-KI</w:t>
      </w:r>
    </w:p>
    <w:p>
      <w:pPr>
        <w:pStyle w:val="Normal"/>
        <w:tabs>
          <w:tab w:val="left" w:pos="336" w:leader="none"/>
          <w:tab w:val="left" w:pos="720" w:leader="none"/>
          <w:tab w:val="left" w:pos="2126" w:leader="none"/>
        </w:tabs>
        <w:rPr>
          <w:spacing w:val="10"/>
          <w:szCs w:val="28"/>
          <w:lang w:val="en-US"/>
        </w:rPr>
      </w:pPr>
      <w:r>
        <w:rPr>
          <w:spacing w:val="10"/>
          <w:szCs w:val="28"/>
          <w:lang w:val="en-US"/>
        </w:rPr>
      </w:r>
    </w:p>
    <w:p>
      <w:pPr>
        <w:pStyle w:val="F21"/>
        <w:rPr>
          <w:rFonts w:cs="Times New Roman"/>
        </w:rPr>
      </w:pPr>
      <w:r>
        <w:rPr>
          <w:rFonts w:cs="Times New Roman"/>
        </w:rPr>
        <w:t>郭偉强議員</w:t>
      </w:r>
    </w:p>
    <w:p>
      <w:pPr>
        <w:pStyle w:val="Normal"/>
        <w:tabs>
          <w:tab w:val="left" w:pos="336" w:leader="none"/>
          <w:tab w:val="left" w:pos="720" w:leader="none"/>
          <w:tab w:val="left" w:pos="2126" w:leader="none"/>
        </w:tabs>
        <w:rPr>
          <w:szCs w:val="28"/>
        </w:rPr>
      </w:pPr>
      <w:r>
        <w:rPr>
          <w:szCs w:val="28"/>
        </w:rPr>
        <w:t>THE HONOURABLE KWOK WAI-KEUNG</w:t>
      </w:r>
    </w:p>
    <w:p>
      <w:pPr>
        <w:pStyle w:val="Normal"/>
        <w:tabs>
          <w:tab w:val="left" w:pos="336" w:leader="none"/>
          <w:tab w:val="left" w:pos="720" w:leader="none"/>
          <w:tab w:val="left" w:pos="2126" w:leader="none"/>
        </w:tabs>
        <w:rPr>
          <w:spacing w:val="10"/>
          <w:sz w:val="27"/>
          <w:szCs w:val="27"/>
          <w:lang w:val="en-US"/>
        </w:rPr>
      </w:pPr>
      <w:r>
        <w:rPr>
          <w:spacing w:val="10"/>
          <w:sz w:val="27"/>
          <w:szCs w:val="27"/>
          <w:lang w:val="en-US"/>
        </w:rPr>
      </w:r>
    </w:p>
    <w:p>
      <w:pPr>
        <w:pStyle w:val="F21"/>
        <w:rPr>
          <w:rFonts w:cs="Times New Roman"/>
        </w:rPr>
      </w:pPr>
      <w:r>
        <w:rPr>
          <w:rFonts w:cs="Times New Roman"/>
        </w:rPr>
        <w:t>郭榮鏗議員</w:t>
      </w:r>
    </w:p>
    <w:p>
      <w:pPr>
        <w:pStyle w:val="Normal"/>
        <w:tabs>
          <w:tab w:val="left" w:pos="336" w:leader="none"/>
          <w:tab w:val="left" w:pos="720" w:leader="none"/>
          <w:tab w:val="left" w:pos="2126" w:leader="none"/>
        </w:tabs>
        <w:rPr>
          <w:spacing w:val="10"/>
          <w:sz w:val="27"/>
          <w:szCs w:val="27"/>
          <w:lang w:val="en-US"/>
        </w:rPr>
      </w:pPr>
      <w:r>
        <w:rPr>
          <w:szCs w:val="28"/>
        </w:rPr>
        <w:t>THE HONOURABLE DENNIS KWOK</w:t>
      </w:r>
    </w:p>
    <w:p>
      <w:pPr>
        <w:pStyle w:val="Normal"/>
        <w:tabs>
          <w:tab w:val="left" w:pos="336" w:leader="none"/>
          <w:tab w:val="left" w:pos="720" w:leader="none"/>
          <w:tab w:val="left" w:pos="2126" w:leader="none"/>
        </w:tabs>
        <w:rPr>
          <w:szCs w:val="28"/>
          <w:lang w:val="en-US"/>
        </w:rPr>
      </w:pPr>
      <w:r>
        <w:rPr>
          <w:szCs w:val="28"/>
          <w:lang w:val="en-US"/>
        </w:rPr>
      </w:r>
    </w:p>
    <w:p>
      <w:pPr>
        <w:pStyle w:val="F21"/>
        <w:rPr>
          <w:rFonts w:cs="Times New Roman"/>
          <w:spacing w:val="0"/>
          <w:sz w:val="28"/>
          <w:szCs w:val="28"/>
          <w:lang w:val="en-GB"/>
        </w:rPr>
      </w:pPr>
      <w:r>
        <w:rPr>
          <w:rFonts w:cs="Times New Roman"/>
        </w:rPr>
        <w:t>張華峰議員</w:t>
      </w:r>
      <w:r>
        <w:rPr>
          <w:rFonts w:cs="Times New Roman"/>
          <w:spacing w:val="0"/>
          <w:sz w:val="28"/>
          <w:szCs w:val="28"/>
          <w:lang w:val="en-GB"/>
        </w:rPr>
        <w:t>, S.B.S., J.P.</w:t>
      </w:r>
    </w:p>
    <w:p>
      <w:pPr>
        <w:pStyle w:val="Normal"/>
        <w:tabs>
          <w:tab w:val="left" w:pos="336" w:leader="none"/>
          <w:tab w:val="left" w:pos="720" w:leader="none"/>
          <w:tab w:val="left" w:pos="2126" w:leader="none"/>
        </w:tabs>
        <w:rPr>
          <w:spacing w:val="10"/>
          <w:szCs w:val="28"/>
        </w:rPr>
      </w:pPr>
      <w:r>
        <w:rPr>
          <w:szCs w:val="28"/>
        </w:rPr>
        <w:t>THE HONOURABLE CHRISTOPHER CHEUNG WAH-FUNG, S.B.S.,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rPr>
      </w:pPr>
      <w:r>
        <w:rPr>
          <w:rFonts w:cs="Times New Roman"/>
        </w:rPr>
        <w:t>張超雄議員</w:t>
      </w:r>
    </w:p>
    <w:p>
      <w:pPr>
        <w:pStyle w:val="Normal"/>
        <w:tabs>
          <w:tab w:val="left" w:pos="336" w:leader="none"/>
          <w:tab w:val="left" w:pos="720" w:leader="none"/>
          <w:tab w:val="left" w:pos="2126" w:leader="none"/>
        </w:tabs>
        <w:rPr>
          <w:spacing w:val="10"/>
          <w:sz w:val="27"/>
          <w:szCs w:val="27"/>
          <w:lang w:val="en-US"/>
        </w:rPr>
      </w:pPr>
      <w:r>
        <w:rPr>
          <w:szCs w:val="28"/>
        </w:rPr>
        <w:t>DR THE HONOURABLE FERNANDO CHEUNG CHIU-HUNG</w:t>
      </w:r>
    </w:p>
    <w:p>
      <w:pPr>
        <w:pStyle w:val="Normal"/>
        <w:tabs>
          <w:tab w:val="left" w:pos="336" w:leader="none"/>
          <w:tab w:val="left" w:pos="720" w:leader="none"/>
          <w:tab w:val="left" w:pos="2126" w:leader="none"/>
        </w:tabs>
        <w:rPr>
          <w:szCs w:val="28"/>
          <w:lang w:val="en-US"/>
        </w:rPr>
      </w:pPr>
      <w:r>
        <w:rPr>
          <w:szCs w:val="28"/>
          <w:lang w:val="en-US"/>
        </w:rPr>
      </w:r>
    </w:p>
    <w:p>
      <w:pPr>
        <w:pStyle w:val="F21"/>
        <w:rPr>
          <w:rFonts w:cs="Times New Roman"/>
          <w:spacing w:val="0"/>
          <w:sz w:val="28"/>
          <w:szCs w:val="28"/>
          <w:lang w:val="en-GB"/>
        </w:rPr>
      </w:pPr>
      <w:r>
        <w:rPr>
          <w:rFonts w:cs="Times New Roman"/>
        </w:rPr>
        <w:t>單仲偕議員</w:t>
      </w:r>
      <w:r>
        <w:rPr>
          <w:rFonts w:cs="Times New Roman"/>
          <w:spacing w:val="0"/>
          <w:sz w:val="28"/>
          <w:szCs w:val="28"/>
          <w:lang w:val="en-GB"/>
        </w:rPr>
        <w:t>, S.B.S., J.P.</w:t>
      </w:r>
    </w:p>
    <w:p>
      <w:pPr>
        <w:pStyle w:val="Normal"/>
        <w:tabs>
          <w:tab w:val="left" w:pos="336" w:leader="none"/>
          <w:tab w:val="left" w:pos="720" w:leader="none"/>
          <w:tab w:val="left" w:pos="2126" w:leader="none"/>
        </w:tabs>
        <w:rPr>
          <w:spacing w:val="10"/>
          <w:szCs w:val="28"/>
        </w:rPr>
      </w:pPr>
      <w:r>
        <w:rPr>
          <w:szCs w:val="28"/>
        </w:rPr>
        <w:t>THE HONOURABLE SIN CHUNG-KAI, S.B.S., J.P.</w:t>
      </w:r>
    </w:p>
    <w:p>
      <w:pPr>
        <w:pStyle w:val="Normal"/>
        <w:tabs>
          <w:tab w:val="left" w:pos="336" w:leader="none"/>
          <w:tab w:val="left" w:pos="720" w:leader="none"/>
          <w:tab w:val="left" w:pos="2126" w:leader="none"/>
        </w:tabs>
        <w:rPr>
          <w:spacing w:val="10"/>
          <w:szCs w:val="28"/>
        </w:rPr>
      </w:pPr>
      <w:r>
        <w:rPr>
          <w:spacing w:val="10"/>
          <w:szCs w:val="28"/>
        </w:rPr>
      </w:r>
    </w:p>
    <w:p>
      <w:pPr>
        <w:pStyle w:val="F21"/>
        <w:rPr>
          <w:rFonts w:cs="Times New Roman"/>
        </w:rPr>
      </w:pPr>
      <w:r>
        <w:rPr>
          <w:rFonts w:cs="Times New Roman"/>
        </w:rPr>
        <w:t>黃碧雲議員</w:t>
      </w:r>
    </w:p>
    <w:p>
      <w:pPr>
        <w:pStyle w:val="Normal"/>
        <w:tabs>
          <w:tab w:val="left" w:pos="336" w:leader="none"/>
          <w:tab w:val="left" w:pos="720" w:leader="none"/>
          <w:tab w:val="left" w:pos="2126" w:leader="none"/>
        </w:tabs>
        <w:rPr>
          <w:spacing w:val="10"/>
          <w:sz w:val="27"/>
          <w:szCs w:val="27"/>
          <w:lang w:val="en-US"/>
        </w:rPr>
      </w:pPr>
      <w:r>
        <w:rPr>
          <w:szCs w:val="28"/>
        </w:rPr>
        <w:t>DR THE HONOURABLE HELENA WONG PIK-WAN</w:t>
      </w:r>
      <w:r>
        <w:br w:type="page"/>
      </w:r>
    </w:p>
    <w:p>
      <w:pPr>
        <w:pStyle w:val="F21"/>
        <w:spacing w:lineRule="atLeast" w:line="370"/>
        <w:rPr>
          <w:rFonts w:cs="Times New Roman"/>
        </w:rPr>
      </w:pPr>
      <w:r>
        <w:rPr>
          <w:rFonts w:cs="Times New Roman"/>
        </w:rPr>
        <w:t>葉建源議員</w:t>
      </w:r>
    </w:p>
    <w:p>
      <w:pPr>
        <w:pStyle w:val="Normal"/>
        <w:tabs>
          <w:tab w:val="left" w:pos="336" w:leader="none"/>
          <w:tab w:val="left" w:pos="720" w:leader="none"/>
          <w:tab w:val="left" w:pos="2126" w:leader="none"/>
        </w:tabs>
        <w:spacing w:lineRule="atLeast" w:line="370"/>
        <w:rPr>
          <w:spacing w:val="10"/>
          <w:sz w:val="27"/>
          <w:szCs w:val="27"/>
        </w:rPr>
      </w:pPr>
      <w:r>
        <w:rPr>
          <w:szCs w:val="28"/>
        </w:rPr>
        <w:t>THE HONOURABLE IP KIN-YUEN</w:t>
      </w:r>
    </w:p>
    <w:p>
      <w:pPr>
        <w:pStyle w:val="Normal"/>
        <w:tabs>
          <w:tab w:val="left" w:pos="336" w:leader="none"/>
          <w:tab w:val="left" w:pos="720" w:leader="none"/>
          <w:tab w:val="left" w:pos="2126" w:leader="none"/>
        </w:tabs>
        <w:spacing w:lineRule="atLeast" w:line="370"/>
        <w:rPr>
          <w:spacing w:val="10"/>
          <w:sz w:val="27"/>
          <w:szCs w:val="27"/>
        </w:rPr>
      </w:pPr>
      <w:r>
        <w:rPr>
          <w:spacing w:val="10"/>
          <w:sz w:val="27"/>
          <w:szCs w:val="27"/>
        </w:rPr>
      </w:r>
    </w:p>
    <w:p>
      <w:pPr>
        <w:pStyle w:val="F21"/>
        <w:spacing w:lineRule="atLeast" w:line="370"/>
        <w:rPr>
          <w:rFonts w:cs="Times New Roman"/>
          <w:spacing w:val="0"/>
          <w:sz w:val="28"/>
          <w:szCs w:val="28"/>
          <w:lang w:val="en-GB"/>
        </w:rPr>
      </w:pPr>
      <w:r>
        <w:rPr>
          <w:rFonts w:cs="Times New Roman"/>
        </w:rPr>
        <w:t>葛珮帆議員</w:t>
      </w:r>
      <w:r>
        <w:rPr>
          <w:rFonts w:cs="Times New Roman"/>
          <w:spacing w:val="0"/>
          <w:sz w:val="28"/>
          <w:szCs w:val="28"/>
          <w:lang w:val="en-GB"/>
        </w:rPr>
        <w:t>, J.P.</w:t>
      </w:r>
    </w:p>
    <w:p>
      <w:pPr>
        <w:pStyle w:val="Normal"/>
        <w:tabs>
          <w:tab w:val="left" w:pos="336" w:leader="none"/>
          <w:tab w:val="left" w:pos="720" w:leader="none"/>
          <w:tab w:val="left" w:pos="2126" w:leader="none"/>
        </w:tabs>
        <w:spacing w:lineRule="atLeast" w:line="370"/>
        <w:rPr>
          <w:szCs w:val="28"/>
        </w:rPr>
      </w:pPr>
      <w:r>
        <w:rPr>
          <w:szCs w:val="28"/>
        </w:rPr>
        <w:t>DR THE HONOURABLE ELIZABETH QUAT, J.P.</w:t>
      </w:r>
    </w:p>
    <w:p>
      <w:pPr>
        <w:pStyle w:val="Normal"/>
        <w:tabs>
          <w:tab w:val="left" w:pos="336" w:leader="none"/>
          <w:tab w:val="left" w:pos="720" w:leader="none"/>
          <w:tab w:val="left" w:pos="2126" w:leader="none"/>
        </w:tabs>
        <w:spacing w:lineRule="atLeast" w:line="370"/>
        <w:rPr>
          <w:spacing w:val="10"/>
          <w:szCs w:val="28"/>
        </w:rPr>
      </w:pPr>
      <w:r>
        <w:rPr>
          <w:spacing w:val="10"/>
          <w:szCs w:val="28"/>
        </w:rPr>
      </w:r>
    </w:p>
    <w:p>
      <w:pPr>
        <w:pStyle w:val="F21"/>
        <w:spacing w:lineRule="atLeast" w:line="370"/>
        <w:rPr>
          <w:rFonts w:cs="Times New Roman"/>
          <w:spacing w:val="0"/>
          <w:sz w:val="28"/>
          <w:szCs w:val="28"/>
          <w:lang w:val="en-GB"/>
        </w:rPr>
      </w:pPr>
      <w:r>
        <w:rPr>
          <w:rFonts w:cs="Times New Roman"/>
        </w:rPr>
        <w:t>廖長江議員</w:t>
      </w:r>
      <w:r>
        <w:rPr>
          <w:rFonts w:cs="Times New Roman"/>
          <w:spacing w:val="0"/>
          <w:sz w:val="28"/>
          <w:szCs w:val="28"/>
          <w:lang w:val="en-GB"/>
        </w:rPr>
        <w:t>, S.B.S., J.P.</w:t>
      </w:r>
    </w:p>
    <w:p>
      <w:pPr>
        <w:pStyle w:val="Normal"/>
        <w:tabs>
          <w:tab w:val="left" w:pos="336" w:leader="none"/>
          <w:tab w:val="left" w:pos="720" w:leader="none"/>
          <w:tab w:val="left" w:pos="2126" w:leader="none"/>
        </w:tabs>
        <w:spacing w:lineRule="atLeast" w:line="370"/>
        <w:rPr>
          <w:szCs w:val="28"/>
        </w:rPr>
      </w:pPr>
      <w:r>
        <w:rPr>
          <w:szCs w:val="28"/>
        </w:rPr>
        <w:t>THE HONOURABLE MARTIN LIAO CHEUNG-KONG, S.B.S., J.P.</w:t>
      </w:r>
    </w:p>
    <w:p>
      <w:pPr>
        <w:pStyle w:val="Normal"/>
        <w:tabs>
          <w:tab w:val="left" w:pos="336" w:leader="none"/>
          <w:tab w:val="left" w:pos="720" w:leader="none"/>
          <w:tab w:val="left" w:pos="2126" w:leader="none"/>
        </w:tabs>
        <w:spacing w:lineRule="atLeast" w:line="370"/>
        <w:rPr>
          <w:spacing w:val="10"/>
          <w:szCs w:val="28"/>
        </w:rPr>
      </w:pPr>
      <w:r>
        <w:rPr>
          <w:spacing w:val="10"/>
          <w:szCs w:val="28"/>
        </w:rPr>
      </w:r>
    </w:p>
    <w:p>
      <w:pPr>
        <w:pStyle w:val="F21"/>
        <w:spacing w:lineRule="atLeast" w:line="370"/>
        <w:rPr>
          <w:rFonts w:cs="Times New Roman"/>
          <w:spacing w:val="0"/>
          <w:sz w:val="28"/>
          <w:szCs w:val="28"/>
          <w:lang w:val="en-GB"/>
        </w:rPr>
      </w:pPr>
      <w:r>
        <w:rPr>
          <w:rFonts w:cs="Times New Roman"/>
        </w:rPr>
        <w:t>潘兆平議員</w:t>
      </w:r>
      <w:r>
        <w:rPr>
          <w:rFonts w:cs="Times New Roman"/>
          <w:spacing w:val="0"/>
          <w:sz w:val="28"/>
          <w:szCs w:val="28"/>
          <w:lang w:val="en-GB"/>
        </w:rPr>
        <w:t>, B.B.S., M.H.</w:t>
      </w:r>
    </w:p>
    <w:p>
      <w:pPr>
        <w:pStyle w:val="Normal"/>
        <w:tabs>
          <w:tab w:val="left" w:pos="336" w:leader="none"/>
          <w:tab w:val="left" w:pos="720" w:leader="none"/>
          <w:tab w:val="left" w:pos="2126" w:leader="none"/>
        </w:tabs>
        <w:spacing w:lineRule="atLeast" w:line="370"/>
        <w:rPr>
          <w:szCs w:val="28"/>
          <w:lang w:val="en-US"/>
        </w:rPr>
      </w:pPr>
      <w:r>
        <w:rPr>
          <w:szCs w:val="28"/>
        </w:rPr>
        <w:t xml:space="preserve">THE </w:t>
      </w:r>
      <w:r>
        <w:rPr/>
        <w:t>HONOURABLE</w:t>
      </w:r>
      <w:r>
        <w:rPr>
          <w:szCs w:val="28"/>
        </w:rPr>
        <w:t xml:space="preserve"> POON SIU-PING, B.B.S., M.H.</w:t>
      </w:r>
    </w:p>
    <w:p>
      <w:pPr>
        <w:pStyle w:val="Normal"/>
        <w:tabs>
          <w:tab w:val="left" w:pos="336" w:leader="none"/>
          <w:tab w:val="left" w:pos="720" w:leader="none"/>
          <w:tab w:val="left" w:pos="2126" w:leader="none"/>
        </w:tabs>
        <w:spacing w:lineRule="atLeast" w:line="370"/>
        <w:rPr>
          <w:spacing w:val="10"/>
          <w:sz w:val="27"/>
          <w:szCs w:val="28"/>
          <w:lang w:val="en-US"/>
        </w:rPr>
      </w:pPr>
      <w:r>
        <w:rPr>
          <w:spacing w:val="10"/>
          <w:sz w:val="27"/>
          <w:szCs w:val="28"/>
          <w:lang w:val="en-US"/>
        </w:rPr>
      </w:r>
    </w:p>
    <w:p>
      <w:pPr>
        <w:pStyle w:val="F21"/>
        <w:spacing w:lineRule="atLeast" w:line="370"/>
        <w:rPr>
          <w:rFonts w:cs="Times New Roman"/>
        </w:rPr>
      </w:pPr>
      <w:r>
        <w:rPr>
          <w:rFonts w:cs="Times New Roman"/>
        </w:rPr>
        <w:t>鄧家彪議員</w:t>
      </w:r>
      <w:r>
        <w:rPr>
          <w:rFonts w:cs="Times New Roman"/>
          <w:spacing w:val="0"/>
          <w:sz w:val="28"/>
          <w:szCs w:val="28"/>
          <w:lang w:val="en-GB"/>
        </w:rPr>
        <w:t>, J.P.</w:t>
      </w:r>
    </w:p>
    <w:p>
      <w:pPr>
        <w:pStyle w:val="Normal"/>
        <w:tabs>
          <w:tab w:val="left" w:pos="336" w:leader="none"/>
          <w:tab w:val="left" w:pos="720" w:leader="none"/>
          <w:tab w:val="left" w:pos="2126" w:leader="none"/>
        </w:tabs>
        <w:spacing w:lineRule="atLeast" w:line="370"/>
        <w:rPr>
          <w:szCs w:val="28"/>
          <w:lang w:val="en-US"/>
        </w:rPr>
      </w:pPr>
      <w:r>
        <w:rPr>
          <w:szCs w:val="28"/>
        </w:rPr>
        <w:t xml:space="preserve">THE HONOURABLE </w:t>
      </w:r>
      <w:r>
        <w:rPr>
          <w:szCs w:val="28"/>
          <w:lang w:val="en-US"/>
        </w:rPr>
        <w:t>TANG KA-PIU</w:t>
      </w:r>
      <w:r>
        <w:rPr>
          <w:szCs w:val="28"/>
        </w:rPr>
        <w:t>, J.P.</w:t>
      </w:r>
    </w:p>
    <w:p>
      <w:pPr>
        <w:pStyle w:val="Normal"/>
        <w:tabs>
          <w:tab w:val="left" w:pos="336" w:leader="none"/>
          <w:tab w:val="left" w:pos="720" w:leader="none"/>
          <w:tab w:val="left" w:pos="2126" w:leader="none"/>
        </w:tabs>
        <w:spacing w:lineRule="atLeast" w:line="370"/>
        <w:rPr>
          <w:spacing w:val="10"/>
          <w:szCs w:val="28"/>
          <w:lang w:val="en-US"/>
        </w:rPr>
      </w:pPr>
      <w:r>
        <w:rPr>
          <w:spacing w:val="10"/>
          <w:szCs w:val="28"/>
          <w:lang w:val="en-US"/>
        </w:rPr>
      </w:r>
    </w:p>
    <w:p>
      <w:pPr>
        <w:pStyle w:val="F21"/>
        <w:spacing w:lineRule="atLeast" w:line="370"/>
        <w:rPr>
          <w:rFonts w:cs="Times New Roman"/>
          <w:spacing w:val="0"/>
          <w:sz w:val="28"/>
          <w:szCs w:val="28"/>
          <w:lang w:val="en-GB"/>
        </w:rPr>
      </w:pPr>
      <w:r>
        <w:rPr>
          <w:rFonts w:cs="Times New Roman"/>
        </w:rPr>
        <w:t>蔣麗芸議員</w:t>
      </w:r>
      <w:r>
        <w:rPr>
          <w:rFonts w:cs="Times New Roman"/>
          <w:spacing w:val="0"/>
          <w:sz w:val="28"/>
          <w:szCs w:val="28"/>
          <w:lang w:val="en-GB"/>
        </w:rPr>
        <w:t>, J.P.</w:t>
      </w:r>
    </w:p>
    <w:p>
      <w:pPr>
        <w:pStyle w:val="Normal"/>
        <w:tabs>
          <w:tab w:val="left" w:pos="336" w:leader="none"/>
          <w:tab w:val="left" w:pos="720" w:leader="none"/>
          <w:tab w:val="left" w:pos="2126" w:leader="none"/>
        </w:tabs>
        <w:spacing w:lineRule="atLeast" w:line="370"/>
        <w:rPr>
          <w:szCs w:val="28"/>
        </w:rPr>
      </w:pPr>
      <w:r>
        <w:rPr>
          <w:szCs w:val="28"/>
        </w:rPr>
        <w:t>DR THE HONOURABLE CHIANG LAI-WAN, J.P.</w:t>
      </w:r>
    </w:p>
    <w:p>
      <w:pPr>
        <w:pStyle w:val="Normal"/>
        <w:tabs>
          <w:tab w:val="left" w:pos="336" w:leader="none"/>
          <w:tab w:val="left" w:pos="720" w:leader="none"/>
          <w:tab w:val="left" w:pos="2126" w:leader="none"/>
        </w:tabs>
        <w:spacing w:lineRule="atLeast" w:line="370"/>
        <w:rPr>
          <w:spacing w:val="10"/>
          <w:szCs w:val="28"/>
        </w:rPr>
      </w:pPr>
      <w:r>
        <w:rPr>
          <w:spacing w:val="10"/>
          <w:szCs w:val="28"/>
        </w:rPr>
      </w:r>
    </w:p>
    <w:p>
      <w:pPr>
        <w:pStyle w:val="F21"/>
        <w:spacing w:lineRule="atLeast" w:line="370"/>
        <w:rPr>
          <w:rFonts w:cs="Times New Roman"/>
          <w:szCs w:val="28"/>
        </w:rPr>
      </w:pPr>
      <w:r>
        <w:rPr>
          <w:rFonts w:cs="Times New Roman"/>
        </w:rPr>
        <w:t>盧偉國議員</w:t>
      </w:r>
      <w:r>
        <w:rPr>
          <w:rFonts w:cs="Times New Roman"/>
          <w:spacing w:val="0"/>
          <w:sz w:val="28"/>
          <w:szCs w:val="28"/>
          <w:lang w:val="en-GB"/>
        </w:rPr>
        <w:t>, B.B.S., M.H., J.P.</w:t>
      </w:r>
    </w:p>
    <w:p>
      <w:pPr>
        <w:pStyle w:val="Normal"/>
        <w:tabs>
          <w:tab w:val="left" w:pos="336" w:leader="none"/>
          <w:tab w:val="left" w:pos="720" w:leader="none"/>
          <w:tab w:val="left" w:pos="2126" w:leader="none"/>
        </w:tabs>
        <w:spacing w:lineRule="atLeast" w:line="370"/>
        <w:rPr>
          <w:szCs w:val="28"/>
        </w:rPr>
      </w:pPr>
      <w:r>
        <w:rPr>
          <w:szCs w:val="28"/>
        </w:rPr>
        <w:t>IR DR THE HONOURABLE LO WAI-KWOK, B.B.S., M.H., J.P.</w:t>
      </w:r>
    </w:p>
    <w:p>
      <w:pPr>
        <w:pStyle w:val="Normal"/>
        <w:tabs>
          <w:tab w:val="left" w:pos="336" w:leader="none"/>
          <w:tab w:val="left" w:pos="720" w:leader="none"/>
          <w:tab w:val="left" w:pos="2126" w:leader="none"/>
        </w:tabs>
        <w:spacing w:lineRule="atLeast" w:line="370"/>
        <w:rPr>
          <w:spacing w:val="10"/>
          <w:szCs w:val="28"/>
        </w:rPr>
      </w:pPr>
      <w:r>
        <w:rPr>
          <w:spacing w:val="10"/>
          <w:szCs w:val="28"/>
        </w:rPr>
      </w:r>
    </w:p>
    <w:p>
      <w:pPr>
        <w:pStyle w:val="F21"/>
        <w:spacing w:lineRule="atLeast" w:line="370"/>
        <w:rPr>
          <w:rFonts w:cs="Times New Roman"/>
        </w:rPr>
      </w:pPr>
      <w:r>
        <w:rPr>
          <w:rFonts w:cs="Times New Roman"/>
        </w:rPr>
        <w:t>鍾國斌議員</w:t>
      </w:r>
    </w:p>
    <w:p>
      <w:pPr>
        <w:pStyle w:val="Normal"/>
        <w:tabs>
          <w:tab w:val="left" w:pos="336" w:leader="none"/>
          <w:tab w:val="left" w:pos="720" w:leader="none"/>
          <w:tab w:val="left" w:pos="2126" w:leader="none"/>
        </w:tabs>
        <w:spacing w:lineRule="atLeast" w:line="370"/>
        <w:rPr>
          <w:spacing w:val="10"/>
          <w:szCs w:val="28"/>
        </w:rPr>
      </w:pPr>
      <w:r>
        <w:rPr>
          <w:szCs w:val="28"/>
        </w:rPr>
        <w:t>THE HONOURABLE CHUNG KWOK-PAN</w:t>
      </w:r>
    </w:p>
    <w:p>
      <w:pPr>
        <w:pStyle w:val="Normal"/>
        <w:tabs>
          <w:tab w:val="left" w:pos="336" w:leader="none"/>
          <w:tab w:val="left" w:pos="720" w:leader="none"/>
          <w:tab w:val="left" w:pos="2126" w:leader="none"/>
        </w:tabs>
        <w:spacing w:lineRule="atLeast" w:line="370"/>
        <w:rPr>
          <w:spacing w:val="10"/>
          <w:sz w:val="27"/>
          <w:szCs w:val="27"/>
          <w:lang w:val="en-US"/>
        </w:rPr>
      </w:pPr>
      <w:r>
        <w:rPr>
          <w:spacing w:val="10"/>
          <w:sz w:val="27"/>
          <w:szCs w:val="27"/>
          <w:lang w:val="en-US"/>
        </w:rPr>
      </w:r>
    </w:p>
    <w:p>
      <w:pPr>
        <w:pStyle w:val="F21"/>
        <w:spacing w:lineRule="atLeast" w:line="370"/>
        <w:rPr>
          <w:rFonts w:cs="Times New Roman"/>
          <w:spacing w:val="0"/>
          <w:sz w:val="28"/>
          <w:szCs w:val="28"/>
          <w:lang w:val="en-GB"/>
        </w:rPr>
      </w:pPr>
      <w:r>
        <w:rPr>
          <w:rFonts w:cs="Times New Roman"/>
        </w:rPr>
        <w:t>鍾樹根議員</w:t>
      </w:r>
      <w:r>
        <w:rPr>
          <w:rFonts w:cs="Times New Roman"/>
          <w:spacing w:val="0"/>
          <w:sz w:val="28"/>
          <w:szCs w:val="28"/>
          <w:lang w:val="en-GB"/>
        </w:rPr>
        <w:t>, B.B.S., M.H., J.P.</w:t>
      </w:r>
    </w:p>
    <w:p>
      <w:pPr>
        <w:pStyle w:val="Normal"/>
        <w:tabs>
          <w:tab w:val="left" w:pos="336" w:leader="none"/>
          <w:tab w:val="left" w:pos="720" w:leader="none"/>
          <w:tab w:val="left" w:pos="2126" w:leader="none"/>
        </w:tabs>
        <w:spacing w:lineRule="atLeast" w:line="370"/>
        <w:rPr>
          <w:spacing w:val="10"/>
          <w:sz w:val="27"/>
          <w:szCs w:val="27"/>
          <w:lang w:val="en-US"/>
        </w:rPr>
      </w:pPr>
      <w:r>
        <w:rPr>
          <w:szCs w:val="28"/>
        </w:rPr>
        <w:t>THE HONOURABLE CHRISTOPHER CHUNG SHU-KUN, B.B.S., M.H., J.P.</w:t>
      </w:r>
    </w:p>
    <w:p>
      <w:pPr>
        <w:pStyle w:val="Normal"/>
        <w:tabs>
          <w:tab w:val="left" w:pos="336" w:leader="none"/>
          <w:tab w:val="left" w:pos="720" w:leader="none"/>
          <w:tab w:val="left" w:pos="2126" w:leader="none"/>
        </w:tabs>
        <w:spacing w:lineRule="atLeast" w:line="370"/>
        <w:rPr>
          <w:spacing w:val="10"/>
          <w:szCs w:val="28"/>
          <w:lang w:val="en-US"/>
        </w:rPr>
      </w:pPr>
      <w:r>
        <w:rPr>
          <w:spacing w:val="10"/>
          <w:szCs w:val="28"/>
          <w:lang w:val="en-US"/>
        </w:rPr>
      </w:r>
    </w:p>
    <w:p>
      <w:pPr>
        <w:pStyle w:val="F21"/>
        <w:spacing w:lineRule="atLeast" w:line="370"/>
        <w:rPr>
          <w:rFonts w:cs="Times New Roman"/>
        </w:rPr>
      </w:pPr>
      <w:r>
        <w:rPr>
          <w:rFonts w:cs="Times New Roman"/>
        </w:rPr>
        <w:t>謝偉銓議員</w:t>
      </w:r>
      <w:r>
        <w:rPr>
          <w:rFonts w:cs="Times New Roman"/>
          <w:spacing w:val="0"/>
          <w:sz w:val="28"/>
          <w:szCs w:val="28"/>
          <w:lang w:val="en-GB"/>
        </w:rPr>
        <w:t>, B.B.S.</w:t>
      </w:r>
    </w:p>
    <w:p>
      <w:pPr>
        <w:pStyle w:val="Normal"/>
        <w:tabs>
          <w:tab w:val="left" w:pos="336" w:leader="none"/>
          <w:tab w:val="left" w:pos="720" w:leader="none"/>
          <w:tab w:val="left" w:pos="2126" w:leader="none"/>
        </w:tabs>
        <w:spacing w:lineRule="atLeast" w:line="370"/>
        <w:rPr>
          <w:szCs w:val="28"/>
        </w:rPr>
      </w:pPr>
      <w:r>
        <w:rPr>
          <w:szCs w:val="28"/>
        </w:rPr>
        <w:t>THE HONOURABLE TONY TSE WAI-CHUEN, B.B.S.</w:t>
      </w:r>
    </w:p>
    <w:p>
      <w:pPr>
        <w:pStyle w:val="Normal"/>
        <w:spacing w:lineRule="atLeast" w:line="370"/>
        <w:rPr/>
      </w:pPr>
      <w:r>
        <w:rPr/>
      </w:r>
    </w:p>
    <w:p>
      <w:pPr>
        <w:pStyle w:val="Normal"/>
        <w:spacing w:lineRule="atLeast" w:line="370"/>
        <w:rPr/>
      </w:pPr>
      <w:r>
        <w:rPr/>
      </w:r>
    </w:p>
    <w:p>
      <w:pPr>
        <w:pStyle w:val="F21"/>
        <w:spacing w:lineRule="atLeast" w:line="370"/>
        <w:rPr>
          <w:rFonts w:eastAsia="華康中黑體" w:cs="Times New Roman"/>
          <w:sz w:val="36"/>
          <w:szCs w:val="36"/>
        </w:rPr>
      </w:pPr>
      <w:bookmarkStart w:id="2" w:name="mba"/>
      <w:r>
        <w:rPr>
          <w:rFonts w:cs="Times New Roman" w:eastAsia="華康中黑體"/>
          <w:sz w:val="36"/>
          <w:szCs w:val="36"/>
        </w:rPr>
        <w:t>缺席議員：</w:t>
      </w:r>
    </w:p>
    <w:p>
      <w:pPr>
        <w:pStyle w:val="Normal"/>
        <w:spacing w:lineRule="atLeast" w:line="370"/>
        <w:rPr>
          <w:b/>
          <w:b/>
          <w:sz w:val="36"/>
          <w:szCs w:val="36"/>
        </w:rPr>
      </w:pPr>
      <w:bookmarkStart w:id="3" w:name="mba"/>
      <w:r>
        <w:rPr>
          <w:b/>
          <w:sz w:val="36"/>
          <w:szCs w:val="36"/>
        </w:rPr>
        <w:t>MEMBER ABSENT:</w:t>
      </w:r>
      <w:bookmarkEnd w:id="3"/>
    </w:p>
    <w:p>
      <w:pPr>
        <w:pStyle w:val="Normal"/>
        <w:spacing w:lineRule="atLeast" w:line="370"/>
        <w:rPr>
          <w:szCs w:val="28"/>
        </w:rPr>
      </w:pPr>
      <w:r>
        <w:rPr>
          <w:szCs w:val="28"/>
        </w:rPr>
      </w:r>
    </w:p>
    <w:p>
      <w:pPr>
        <w:pStyle w:val="F21"/>
        <w:spacing w:lineRule="atLeast" w:line="370"/>
        <w:rPr>
          <w:rFonts w:cs="Times New Roman"/>
          <w:spacing w:val="0"/>
          <w:sz w:val="28"/>
          <w:szCs w:val="28"/>
          <w:lang w:val="en-GB"/>
        </w:rPr>
      </w:pPr>
      <w:r>
        <w:rPr>
          <w:rFonts w:cs="Times New Roman"/>
        </w:rPr>
        <w:t>石禮謙議員</w:t>
      </w:r>
      <w:r>
        <w:rPr>
          <w:rFonts w:cs="Times New Roman"/>
          <w:spacing w:val="0"/>
          <w:sz w:val="28"/>
          <w:szCs w:val="28"/>
          <w:lang w:val="en-GB"/>
        </w:rPr>
        <w:t>, G.B.S., J.P.</w:t>
      </w:r>
    </w:p>
    <w:p>
      <w:pPr>
        <w:pStyle w:val="Normal"/>
        <w:spacing w:lineRule="atLeast" w:line="370"/>
        <w:rPr>
          <w:szCs w:val="28"/>
        </w:rPr>
      </w:pPr>
      <w:r>
        <w:rPr>
          <w:szCs w:val="28"/>
        </w:rPr>
        <w:t>THE HONOURABLE ABRAHAM SHEK LAI-HIM, G.B.S., J.P.</w:t>
      </w:r>
    </w:p>
    <w:p>
      <w:pPr>
        <w:pStyle w:val="F21"/>
        <w:spacing w:lineRule="exact" w:line="20"/>
        <w:rPr>
          <w:rFonts w:cs="Times New Roman"/>
          <w:lang w:val="en-GB"/>
        </w:rPr>
      </w:pPr>
      <w:r>
        <w:rPr>
          <w:rFonts w:cs="Times New Roman"/>
          <w:lang w:val="en-GB"/>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spacing w:lineRule="atLeast" w:line="320"/>
        <w:rPr>
          <w:rFonts w:eastAsia="華康中黑體" w:cs="Times New Roman"/>
          <w:sz w:val="36"/>
          <w:szCs w:val="36"/>
        </w:rPr>
      </w:pPr>
      <w:bookmarkStart w:id="4" w:name="poa"/>
      <w:r>
        <w:rPr>
          <w:rFonts w:cs="Times New Roman" w:eastAsia="華康中黑體"/>
          <w:sz w:val="36"/>
          <w:szCs w:val="36"/>
        </w:rPr>
        <w:t>出席政府官員：</w:t>
      </w:r>
    </w:p>
    <w:p>
      <w:pPr>
        <w:pStyle w:val="F21"/>
        <w:spacing w:lineRule="atLeast" w:line="320"/>
        <w:rPr>
          <w:rFonts w:cs="Times New Roman"/>
          <w:b/>
          <w:b/>
          <w:spacing w:val="0"/>
          <w:sz w:val="36"/>
          <w:szCs w:val="36"/>
          <w:lang w:val="en-GB"/>
        </w:rPr>
      </w:pPr>
      <w:bookmarkStart w:id="5" w:name="poa"/>
      <w:r>
        <w:rPr>
          <w:rFonts w:cs="Times New Roman"/>
          <w:b/>
          <w:spacing w:val="0"/>
          <w:sz w:val="36"/>
          <w:szCs w:val="36"/>
          <w:lang w:val="en-GB"/>
        </w:rPr>
        <w:t>PUBLIC OFFICERS ATTENDING:</w:t>
      </w:r>
      <w:bookmarkEnd w:id="5"/>
    </w:p>
    <w:p>
      <w:pPr>
        <w:pStyle w:val="Normal"/>
        <w:spacing w:lineRule="atLeast" w:line="320"/>
        <w:rPr/>
      </w:pPr>
      <w:r>
        <w:rPr/>
      </w:r>
    </w:p>
    <w:p>
      <w:pPr>
        <w:pStyle w:val="F21"/>
        <w:spacing w:lineRule="atLeast" w:line="320"/>
        <w:rPr>
          <w:rFonts w:cs="Times New Roman"/>
        </w:rPr>
      </w:pPr>
      <w:r>
        <w:rPr>
          <w:rFonts w:cs="Times New Roman"/>
        </w:rPr>
        <w:t>財政司司長曾俊華先生</w:t>
      </w:r>
      <w:r>
        <w:rPr>
          <w:rFonts w:cs="Times New Roman"/>
          <w:sz w:val="28"/>
        </w:rPr>
        <w:t xml:space="preserve">, </w:t>
      </w:r>
      <w:r>
        <w:rPr>
          <w:rFonts w:cs="Times New Roman"/>
        </w:rPr>
        <w:t>大紫荊勳賢</w:t>
      </w:r>
      <w:r>
        <w:rPr>
          <w:rFonts w:cs="Times New Roman"/>
          <w:sz w:val="28"/>
        </w:rPr>
        <w:t xml:space="preserve">, </w:t>
      </w:r>
      <w:r>
        <w:rPr>
          <w:rFonts w:cs="Times New Roman"/>
          <w:spacing w:val="0"/>
          <w:sz w:val="28"/>
          <w:szCs w:val="28"/>
        </w:rPr>
        <w:t>J.P.</w:t>
      </w:r>
    </w:p>
    <w:p>
      <w:pPr>
        <w:pStyle w:val="Normal"/>
        <w:spacing w:lineRule="atLeast" w:line="320"/>
        <w:rPr/>
      </w:pPr>
      <w:r>
        <w:rPr/>
        <w:t>THE HONOURABLE JOHN TSANG CHUN-WAH, G.B.M., J.P.</w:t>
      </w:r>
    </w:p>
    <w:p>
      <w:pPr>
        <w:pStyle w:val="Normal"/>
        <w:spacing w:lineRule="atLeast" w:line="320"/>
        <w:rPr/>
      </w:pPr>
      <w:r>
        <w:rPr/>
        <w:t>THE FINANCIAL SECRETARY</w:t>
      </w:r>
    </w:p>
    <w:p>
      <w:pPr>
        <w:pStyle w:val="Normal"/>
        <w:spacing w:lineRule="atLeast" w:line="320"/>
        <w:rPr/>
      </w:pPr>
      <w:r>
        <w:rPr/>
      </w:r>
    </w:p>
    <w:p>
      <w:pPr>
        <w:pStyle w:val="F21"/>
        <w:spacing w:lineRule="atLeast" w:line="320"/>
        <w:rPr>
          <w:rFonts w:cs="Times New Roman"/>
          <w:szCs w:val="28"/>
        </w:rPr>
      </w:pPr>
      <w:r>
        <w:rPr>
          <w:rFonts w:cs="Times New Roman"/>
        </w:rPr>
        <w:t>運輸及房屋局局長張炳良教授</w:t>
      </w:r>
      <w:r>
        <w:rPr>
          <w:rFonts w:cs="Times New Roman"/>
          <w:sz w:val="28"/>
        </w:rPr>
        <w:t xml:space="preserve">, </w:t>
      </w:r>
      <w:r>
        <w:rPr>
          <w:rFonts w:cs="Times New Roman"/>
          <w:spacing w:val="0"/>
          <w:sz w:val="28"/>
          <w:szCs w:val="28"/>
        </w:rPr>
        <w:t>G.B.S., J.P.</w:t>
      </w:r>
    </w:p>
    <w:p>
      <w:pPr>
        <w:pStyle w:val="Normal"/>
        <w:spacing w:lineRule="atLeast" w:line="320"/>
        <w:rPr>
          <w:caps/>
          <w:szCs w:val="22"/>
        </w:rPr>
      </w:pPr>
      <w:r>
        <w:rPr>
          <w:caps/>
        </w:rPr>
        <w:t>Prof The Honourable Anthony CHEUNG Bing-leung, G.B.S., J.P.</w:t>
      </w:r>
    </w:p>
    <w:p>
      <w:pPr>
        <w:pStyle w:val="Normal"/>
        <w:spacing w:lineRule="atLeast" w:line="320"/>
        <w:rPr/>
      </w:pPr>
      <w:r>
        <w:rPr/>
        <w:t>SECRETARY FOR TRANSPORT AND HOUSING</w:t>
      </w:r>
    </w:p>
    <w:p>
      <w:pPr>
        <w:pStyle w:val="Normal"/>
        <w:spacing w:lineRule="atLeast" w:line="320"/>
        <w:rPr/>
      </w:pPr>
      <w:r>
        <w:rPr/>
      </w:r>
    </w:p>
    <w:p>
      <w:pPr>
        <w:pStyle w:val="F21"/>
        <w:spacing w:lineRule="atLeast" w:line="320"/>
        <w:rPr>
          <w:rFonts w:cs="Times New Roman"/>
          <w:szCs w:val="28"/>
        </w:rPr>
      </w:pPr>
      <w:r>
        <w:rPr>
          <w:rFonts w:cs="Times New Roman"/>
        </w:rPr>
        <w:t>財經事務及庫務局局長陳家強教授</w:t>
      </w:r>
      <w:r>
        <w:rPr>
          <w:rFonts w:cs="Times New Roman"/>
          <w:sz w:val="28"/>
        </w:rPr>
        <w:t xml:space="preserve">, </w:t>
      </w:r>
      <w:r>
        <w:rPr>
          <w:rFonts w:cs="Times New Roman"/>
          <w:spacing w:val="0"/>
          <w:sz w:val="28"/>
          <w:szCs w:val="28"/>
        </w:rPr>
        <w:t>G.B.S., J.P.</w:t>
      </w:r>
    </w:p>
    <w:p>
      <w:pPr>
        <w:pStyle w:val="Normal"/>
        <w:spacing w:lineRule="atLeast" w:line="320"/>
        <w:rPr>
          <w:szCs w:val="22"/>
        </w:rPr>
      </w:pPr>
      <w:r>
        <w:rPr/>
        <w:t>PROF THE HONOURABLE K C CHAN, G.B.S., J.P.</w:t>
      </w:r>
    </w:p>
    <w:p>
      <w:pPr>
        <w:pStyle w:val="Normal"/>
        <w:spacing w:lineRule="atLeast" w:line="320"/>
        <w:rPr/>
      </w:pPr>
      <w:r>
        <w:rPr/>
        <w:t>SECRETARY FOR FINANCIAL SERVICES AND THE TREASURY</w:t>
      </w:r>
    </w:p>
    <w:p>
      <w:pPr>
        <w:pStyle w:val="Normal"/>
        <w:spacing w:lineRule="atLeast" w:line="320"/>
        <w:rPr/>
      </w:pPr>
      <w:r>
        <w:rPr/>
      </w:r>
    </w:p>
    <w:p>
      <w:pPr>
        <w:pStyle w:val="F21"/>
        <w:spacing w:lineRule="atLeast" w:line="320"/>
        <w:rPr>
          <w:rFonts w:cs="Times New Roman"/>
          <w:szCs w:val="28"/>
        </w:rPr>
      </w:pPr>
      <w:r>
        <w:rPr>
          <w:rFonts w:cs="Times New Roman"/>
        </w:rPr>
        <w:t>商務及經濟發展局局長蘇錦樑先生</w:t>
      </w:r>
      <w:r>
        <w:rPr>
          <w:rFonts w:cs="Times New Roman"/>
          <w:sz w:val="28"/>
        </w:rPr>
        <w:t xml:space="preserve">, </w:t>
      </w:r>
      <w:r>
        <w:rPr>
          <w:rFonts w:cs="Times New Roman"/>
          <w:spacing w:val="0"/>
          <w:sz w:val="28"/>
          <w:szCs w:val="28"/>
        </w:rPr>
        <w:t>G.B.S., J.P.</w:t>
      </w:r>
    </w:p>
    <w:p>
      <w:pPr>
        <w:pStyle w:val="Normal"/>
        <w:spacing w:lineRule="atLeast" w:line="320"/>
        <w:rPr>
          <w:szCs w:val="22"/>
        </w:rPr>
      </w:pPr>
      <w:r>
        <w:rPr/>
        <w:t>THE HONOURABLE GREGORY SO KAM-LEUNG,</w:t>
      </w:r>
      <w:r>
        <w:rPr>
          <w:szCs w:val="28"/>
        </w:rPr>
        <w:t xml:space="preserve"> G.B.S., </w:t>
      </w:r>
      <w:r>
        <w:rPr/>
        <w:t>J.P.</w:t>
      </w:r>
    </w:p>
    <w:p>
      <w:pPr>
        <w:pStyle w:val="Normal"/>
        <w:spacing w:lineRule="atLeast" w:line="320"/>
        <w:rPr/>
      </w:pPr>
      <w:r>
        <w:rPr/>
        <w:t>SECRETARY FOR COMMERCE AND ECONOMIC DEVELOPMENT</w:t>
      </w:r>
    </w:p>
    <w:p>
      <w:pPr>
        <w:pStyle w:val="Normal"/>
        <w:spacing w:lineRule="atLeast" w:line="320"/>
        <w:rPr/>
      </w:pPr>
      <w:r>
        <w:rPr/>
      </w:r>
    </w:p>
    <w:p>
      <w:pPr>
        <w:pStyle w:val="F21"/>
        <w:spacing w:lineRule="atLeast" w:line="320"/>
        <w:rPr>
          <w:rFonts w:cs="Times New Roman"/>
          <w:szCs w:val="28"/>
        </w:rPr>
      </w:pPr>
      <w:r>
        <w:rPr>
          <w:rFonts w:cs="Times New Roman"/>
        </w:rPr>
        <w:t>政制及內地事務局局長譚志源先生</w:t>
      </w:r>
      <w:r>
        <w:rPr>
          <w:rFonts w:cs="Times New Roman"/>
          <w:sz w:val="28"/>
        </w:rPr>
        <w:t xml:space="preserve">, </w:t>
      </w:r>
      <w:r>
        <w:rPr>
          <w:rFonts w:cs="Times New Roman"/>
          <w:spacing w:val="0"/>
          <w:sz w:val="28"/>
          <w:szCs w:val="28"/>
        </w:rPr>
        <w:t>G.B.S., J.P.</w:t>
      </w:r>
    </w:p>
    <w:p>
      <w:pPr>
        <w:pStyle w:val="Normal"/>
        <w:spacing w:lineRule="atLeast" w:line="320"/>
        <w:rPr>
          <w:szCs w:val="22"/>
        </w:rPr>
      </w:pPr>
      <w:r>
        <w:rPr/>
        <w:t>THE HONOURABLE RAYMOND TAM CHI-YUEN,</w:t>
      </w:r>
      <w:r>
        <w:rPr>
          <w:szCs w:val="28"/>
        </w:rPr>
        <w:t xml:space="preserve"> G.B.S., </w:t>
      </w:r>
      <w:r>
        <w:rPr/>
        <w:t>J.P.</w:t>
      </w:r>
    </w:p>
    <w:p>
      <w:pPr>
        <w:pStyle w:val="Normal"/>
        <w:spacing w:lineRule="atLeast" w:line="320"/>
        <w:rPr/>
      </w:pPr>
      <w:r>
        <w:rPr/>
        <w:t>SECRETARY FOR CONSTITUTIONAL AND MAINLAND AFFAIRS</w:t>
      </w:r>
    </w:p>
    <w:p>
      <w:pPr>
        <w:pStyle w:val="Normal"/>
        <w:spacing w:lineRule="atLeast" w:line="320"/>
        <w:rPr/>
      </w:pPr>
      <w:r>
        <w:rPr/>
      </w:r>
    </w:p>
    <w:p>
      <w:pPr>
        <w:pStyle w:val="F21"/>
        <w:spacing w:lineRule="atLeast" w:line="320"/>
        <w:rPr>
          <w:rFonts w:cs="Times New Roman"/>
          <w:szCs w:val="28"/>
        </w:rPr>
      </w:pPr>
      <w:r>
        <w:rPr>
          <w:rFonts w:cs="Times New Roman"/>
        </w:rPr>
        <w:t>食物及衞生局局長高永文醫生</w:t>
      </w:r>
      <w:r>
        <w:rPr>
          <w:rFonts w:cs="Times New Roman"/>
          <w:sz w:val="28"/>
        </w:rPr>
        <w:t xml:space="preserve">, </w:t>
      </w:r>
      <w:r>
        <w:rPr>
          <w:rFonts w:cs="Times New Roman"/>
          <w:caps/>
          <w:spacing w:val="0"/>
          <w:sz w:val="28"/>
          <w:szCs w:val="28"/>
        </w:rPr>
        <w:t>B.B.S., J.P.</w:t>
      </w:r>
    </w:p>
    <w:p>
      <w:pPr>
        <w:pStyle w:val="Normal"/>
        <w:spacing w:lineRule="atLeast" w:line="320"/>
        <w:rPr>
          <w:caps/>
          <w:szCs w:val="22"/>
        </w:rPr>
      </w:pPr>
      <w:r>
        <w:rPr>
          <w:caps/>
        </w:rPr>
        <w:t>Dr the Honourable KO Wing-man, B.B.S., J.P.</w:t>
      </w:r>
    </w:p>
    <w:p>
      <w:pPr>
        <w:pStyle w:val="Normal"/>
        <w:spacing w:lineRule="atLeast" w:line="320"/>
        <w:rPr/>
      </w:pPr>
      <w:r>
        <w:rPr/>
        <w:t>SECRETARY FOR FOOD AND HEALTH</w:t>
      </w:r>
    </w:p>
    <w:p>
      <w:pPr>
        <w:pStyle w:val="Normal"/>
        <w:spacing w:lineRule="atLeast" w:line="320"/>
        <w:rPr/>
      </w:pPr>
      <w:r>
        <w:rPr/>
      </w:r>
    </w:p>
    <w:p>
      <w:pPr>
        <w:pStyle w:val="F21"/>
        <w:spacing w:lineRule="atLeast" w:line="320"/>
        <w:rPr>
          <w:rFonts w:cs="Times New Roman"/>
        </w:rPr>
      </w:pPr>
      <w:r>
        <w:rPr>
          <w:rFonts w:cs="Times New Roman"/>
        </w:rPr>
        <w:t>環境局局長黃錦星先生</w:t>
      </w:r>
      <w:r>
        <w:rPr>
          <w:rFonts w:cs="Times New Roman"/>
          <w:sz w:val="28"/>
        </w:rPr>
        <w:t xml:space="preserve">, </w:t>
      </w:r>
      <w:r>
        <w:rPr>
          <w:rFonts w:cs="Times New Roman"/>
          <w:spacing w:val="0"/>
          <w:sz w:val="28"/>
          <w:szCs w:val="28"/>
        </w:rPr>
        <w:t>J.P.</w:t>
      </w:r>
    </w:p>
    <w:p>
      <w:pPr>
        <w:pStyle w:val="Normal"/>
        <w:spacing w:lineRule="atLeast" w:line="320"/>
        <w:rPr>
          <w:caps/>
        </w:rPr>
      </w:pPr>
      <w:r>
        <w:rPr>
          <w:caps/>
        </w:rPr>
        <w:t>The Honourable WONG Kam-sing, J.P.</w:t>
      </w:r>
    </w:p>
    <w:p>
      <w:pPr>
        <w:pStyle w:val="Normal"/>
        <w:spacing w:lineRule="atLeast" w:line="320"/>
        <w:rPr/>
      </w:pPr>
      <w:r>
        <w:rPr/>
        <w:t>SECRETARY FOR THE ENVIRONMENT</w:t>
      </w:r>
    </w:p>
    <w:p>
      <w:pPr>
        <w:pStyle w:val="Normal"/>
        <w:spacing w:lineRule="atLeast" w:line="320"/>
        <w:rPr/>
      </w:pPr>
      <w:r>
        <w:rPr/>
      </w:r>
    </w:p>
    <w:p>
      <w:pPr>
        <w:pStyle w:val="F21"/>
        <w:spacing w:lineRule="atLeast" w:line="320"/>
        <w:rPr>
          <w:rFonts w:cs="Times New Roman"/>
        </w:rPr>
      </w:pPr>
      <w:r>
        <w:rPr>
          <w:rFonts w:cs="Times New Roman"/>
        </w:rPr>
        <w:t>食物及衞生局副局長陳肇始教授</w:t>
      </w:r>
      <w:r>
        <w:rPr>
          <w:rFonts w:cs="Times New Roman"/>
          <w:spacing w:val="0"/>
          <w:sz w:val="28"/>
        </w:rPr>
        <w:t>,</w:t>
      </w:r>
      <w:r>
        <w:rPr>
          <w:rFonts w:cs="Times New Roman"/>
          <w:spacing w:val="0"/>
          <w:sz w:val="28"/>
          <w:szCs w:val="28"/>
        </w:rPr>
        <w:t xml:space="preserve"> J.P.</w:t>
      </w:r>
    </w:p>
    <w:p>
      <w:pPr>
        <w:pStyle w:val="Normal"/>
        <w:spacing w:lineRule="atLeast" w:line="320"/>
        <w:rPr>
          <w:caps/>
        </w:rPr>
      </w:pPr>
      <w:r>
        <w:rPr>
          <w:caps/>
        </w:rPr>
        <w:t>Prof Sophia CHAN Siu-chee</w:t>
      </w:r>
      <w:r>
        <w:rPr/>
        <w:t>,</w:t>
      </w:r>
      <w:r>
        <w:rPr>
          <w:szCs w:val="28"/>
        </w:rPr>
        <w:t xml:space="preserve"> J.P.</w:t>
      </w:r>
    </w:p>
    <w:p>
      <w:pPr>
        <w:pStyle w:val="Normal"/>
        <w:spacing w:lineRule="atLeast" w:line="320"/>
        <w:rPr>
          <w:caps/>
        </w:rPr>
      </w:pPr>
      <w:r>
        <w:rPr>
          <w:caps/>
        </w:rPr>
        <w:t>Under Secretary for Food and Health</w:t>
      </w:r>
    </w:p>
    <w:p>
      <w:pPr>
        <w:pStyle w:val="Normal"/>
        <w:rPr/>
      </w:pPr>
      <w:r>
        <w:rPr/>
      </w:r>
    </w:p>
    <w:p>
      <w:pPr>
        <w:pStyle w:val="F21"/>
        <w:spacing w:lineRule="atLeast" w:line="330"/>
        <w:rPr>
          <w:rFonts w:cs="Times New Roman"/>
          <w:spacing w:val="0"/>
          <w:sz w:val="28"/>
          <w:szCs w:val="28"/>
        </w:rPr>
      </w:pPr>
      <w:r>
        <w:rPr>
          <w:rFonts w:cs="Times New Roman"/>
        </w:rPr>
        <w:t>商務及經濟發展局副局長梁敬國先生</w:t>
      </w:r>
      <w:r>
        <w:rPr>
          <w:rFonts w:cs="Times New Roman"/>
          <w:spacing w:val="0"/>
          <w:sz w:val="28"/>
          <w:szCs w:val="28"/>
        </w:rPr>
        <w:t>, J.P.</w:t>
      </w:r>
    </w:p>
    <w:p>
      <w:pPr>
        <w:pStyle w:val="Normal"/>
        <w:spacing w:lineRule="atLeast" w:line="330"/>
        <w:rPr>
          <w:caps/>
        </w:rPr>
      </w:pPr>
      <w:r>
        <w:rPr>
          <w:caps/>
        </w:rPr>
        <w:t>Mr godfrey Leung King-kwok, J.P.</w:t>
      </w:r>
    </w:p>
    <w:p>
      <w:pPr>
        <w:pStyle w:val="Normal"/>
        <w:spacing w:lineRule="atLeast" w:line="330"/>
        <w:rPr>
          <w:caps/>
        </w:rPr>
      </w:pPr>
      <w:r>
        <w:rPr>
          <w:caps/>
        </w:rPr>
        <w:t>Under Secretary for Commerce and economic development</w:t>
      </w:r>
    </w:p>
    <w:p>
      <w:pPr>
        <w:pStyle w:val="Normal"/>
        <w:spacing w:lineRule="exact" w:line="20"/>
        <w:rPr/>
      </w:pPr>
      <w:r>
        <w:rPr/>
      </w:r>
    </w:p>
    <w:p>
      <w:pPr>
        <w:pStyle w:val="Normal"/>
        <w:widowControl/>
        <w:tabs>
          <w:tab w:val="clear" w:pos="720"/>
        </w:tabs>
        <w:spacing w:lineRule="exact" w:line="20"/>
        <w:jc w:val="left"/>
        <w:rPr>
          <w:lang w:val="en-US"/>
        </w:rPr>
      </w:pPr>
      <w:r>
        <w:rPr>
          <w:lang w:val="en-US"/>
        </w:rPr>
      </w:r>
      <w:r>
        <w:br w:type="page"/>
      </w:r>
    </w:p>
    <w:p>
      <w:pPr>
        <w:pStyle w:val="F21"/>
        <w:rPr>
          <w:rFonts w:eastAsia="華康中黑體" w:cs="Times New Roman"/>
          <w:sz w:val="36"/>
          <w:szCs w:val="36"/>
        </w:rPr>
      </w:pPr>
      <w:bookmarkStart w:id="6" w:name="cia"/>
      <w:r>
        <w:rPr>
          <w:rFonts w:cs="Times New Roman" w:eastAsia="華康中黑體"/>
          <w:sz w:val="36"/>
          <w:szCs w:val="36"/>
        </w:rPr>
        <w:t>列席秘書：</w:t>
      </w:r>
    </w:p>
    <w:p>
      <w:pPr>
        <w:pStyle w:val="F21"/>
        <w:rPr>
          <w:rFonts w:cs="Times New Roman"/>
          <w:b/>
          <w:b/>
          <w:spacing w:val="0"/>
          <w:sz w:val="36"/>
          <w:szCs w:val="36"/>
          <w:lang w:val="en-GB"/>
        </w:rPr>
      </w:pPr>
      <w:bookmarkStart w:id="7" w:name="cia"/>
      <w:r>
        <w:rPr>
          <w:rFonts w:cs="Times New Roman"/>
          <w:b/>
          <w:spacing w:val="0"/>
          <w:sz w:val="36"/>
          <w:szCs w:val="36"/>
          <w:lang w:val="en-GB"/>
        </w:rPr>
        <w:t>CLERKS IN ATTENDANCE:</w:t>
      </w:r>
      <w:bookmarkEnd w:id="7"/>
    </w:p>
    <w:p>
      <w:pPr>
        <w:pStyle w:val="Normal"/>
        <w:rPr/>
      </w:pPr>
      <w:r>
        <w:rPr/>
      </w:r>
    </w:p>
    <w:p>
      <w:pPr>
        <w:pStyle w:val="F21"/>
        <w:rPr>
          <w:rFonts w:cs="Times New Roman"/>
        </w:rPr>
      </w:pPr>
      <w:r>
        <w:rPr>
          <w:rFonts w:cs="Times New Roman"/>
        </w:rPr>
        <w:t>秘書長陳維安先生</w:t>
      </w:r>
      <w:r>
        <w:rPr>
          <w:rFonts w:cs="Times New Roman"/>
          <w:sz w:val="28"/>
        </w:rPr>
        <w:t xml:space="preserve">, </w:t>
      </w:r>
      <w:r>
        <w:rPr>
          <w:rFonts w:cs="Times New Roman"/>
          <w:caps/>
          <w:spacing w:val="0"/>
          <w:sz w:val="28"/>
          <w:szCs w:val="28"/>
        </w:rPr>
        <w:t>S.B.S.</w:t>
      </w:r>
    </w:p>
    <w:p>
      <w:pPr>
        <w:pStyle w:val="Normal"/>
        <w:rPr/>
      </w:pPr>
      <w:r>
        <w:rPr/>
        <w:t>MR K</w:t>
      </w:r>
      <w:r>
        <w:rPr>
          <w:lang w:val="en-US"/>
        </w:rPr>
        <w:t>ENNETH</w:t>
      </w:r>
      <w:r>
        <w:rPr/>
        <w:t xml:space="preserve"> CHEN WEI-ON,</w:t>
      </w:r>
      <w:r>
        <w:rPr>
          <w:caps/>
        </w:rPr>
        <w:t xml:space="preserve"> S.B.S., </w:t>
      </w:r>
      <w:r>
        <w:rPr/>
        <w:t>SECRETARY GENERAL</w:t>
      </w:r>
    </w:p>
    <w:p>
      <w:pPr>
        <w:pStyle w:val="Normal"/>
        <w:rPr/>
      </w:pPr>
      <w:r>
        <w:rPr/>
      </w:r>
    </w:p>
    <w:p>
      <w:pPr>
        <w:pStyle w:val="F21"/>
        <w:rPr>
          <w:rFonts w:cs="Times New Roman"/>
        </w:rPr>
      </w:pPr>
      <w:r>
        <w:rPr>
          <w:rFonts w:cs="Times New Roman"/>
        </w:rPr>
        <w:t>副秘書長林鄭寶玲女士</w:t>
      </w:r>
    </w:p>
    <w:p>
      <w:pPr>
        <w:pStyle w:val="Normal"/>
        <w:rPr/>
      </w:pPr>
      <w:r>
        <w:rPr/>
        <w:t>MRS JUSTINA LAM CHENG BO-LING, DEPUTY SECRETARY GENERAL</w:t>
      </w:r>
    </w:p>
    <w:p>
      <w:pPr>
        <w:pStyle w:val="Normal"/>
        <w:rPr/>
      </w:pPr>
      <w:r>
        <w:rPr/>
      </w:r>
    </w:p>
    <w:p>
      <w:pPr>
        <w:pStyle w:val="F21"/>
        <w:rPr>
          <w:rFonts w:cs="Times New Roman"/>
        </w:rPr>
      </w:pPr>
      <w:r>
        <w:rPr>
          <w:rFonts w:cs="Times New Roman"/>
        </w:rPr>
        <w:t>助理秘書長戴燕萍小姐</w:t>
      </w:r>
    </w:p>
    <w:p>
      <w:pPr>
        <w:pStyle w:val="Normal"/>
        <w:rPr/>
      </w:pPr>
      <w:r>
        <w:rPr/>
        <w:t xml:space="preserve">MISS </w:t>
      </w:r>
      <w:r>
        <w:rPr>
          <w:caps/>
        </w:rPr>
        <w:t>Flora TAI Yin-ping</w:t>
      </w:r>
      <w:r>
        <w:rPr/>
        <w:t>, ASSISTANT SECRETARY GENERAL</w:t>
      </w:r>
    </w:p>
    <w:p>
      <w:pPr>
        <w:pStyle w:val="Normal"/>
        <w:rPr>
          <w:lang w:val="en-US"/>
        </w:rPr>
      </w:pPr>
      <w:r>
        <w:rPr>
          <w:lang w:val="en-US"/>
        </w:rPr>
      </w:r>
    </w:p>
    <w:p>
      <w:pPr>
        <w:pStyle w:val="F21"/>
        <w:rPr>
          <w:rFonts w:cs="Times New Roman"/>
        </w:rPr>
      </w:pPr>
      <w:r>
        <w:rPr>
          <w:rFonts w:cs="Times New Roman"/>
        </w:rPr>
        <w:t>助理秘書長梁慶儀女士</w:t>
      </w:r>
    </w:p>
    <w:p>
      <w:pPr>
        <w:pStyle w:val="Normal"/>
        <w:rPr/>
      </w:pPr>
      <w:r>
        <w:rPr/>
        <w:t>MISS ODELIA LEUNG HING-YEE, ASSISTANT SECRETARY GENERAL</w:t>
      </w:r>
    </w:p>
    <w:p>
      <w:pPr>
        <w:pStyle w:val="F21"/>
        <w:rPr>
          <w:rFonts w:cs="Times New Roman"/>
        </w:rPr>
      </w:pPr>
      <w:r>
        <w:rPr>
          <w:rFonts w:cs="Times New Roman"/>
        </w:rPr>
      </w:r>
    </w:p>
    <w:p>
      <w:pPr>
        <w:pStyle w:val="F21"/>
        <w:spacing w:lineRule="atLeast" w:line="380"/>
        <w:rPr>
          <w:rFonts w:cs="Times New Roman"/>
        </w:rPr>
      </w:pPr>
      <w:r>
        <w:rPr>
          <w:rFonts w:cs="Times New Roman"/>
        </w:rPr>
      </w:r>
      <w:r>
        <w:br w:type="page"/>
      </w:r>
    </w:p>
    <w:p>
      <w:pPr>
        <w:pStyle w:val="F21"/>
        <w:tabs>
          <w:tab w:val="left" w:pos="567" w:leader="none"/>
          <w:tab w:val="left" w:pos="851" w:leader="none"/>
        </w:tabs>
        <w:snapToGrid w:val="false"/>
        <w:spacing w:lineRule="atLeast" w:line="340"/>
        <w:rPr>
          <w:rFonts w:cs="Times New Roman"/>
        </w:rPr>
      </w:pPr>
      <w:r>
        <w:rPr>
          <w:rFonts w:cs="Times New Roman" w:eastAsia="華康中黑體"/>
          <w:b/>
        </w:rPr>
        <w:t>主席</w:t>
      </w:r>
      <w:r>
        <w:rPr>
          <w:rFonts w:cs="Times New Roman"/>
        </w:rPr>
        <w:t>：秘書，請響鐘傳召議員進入會議廳。</w:t>
      </w:r>
    </w:p>
    <w:p>
      <w:pPr>
        <w:pStyle w:val="F21"/>
        <w:snapToGrid w:val="false"/>
        <w:spacing w:lineRule="atLeast" w:line="340"/>
        <w:rPr>
          <w:rFonts w:cs="Times New Roman"/>
        </w:rPr>
      </w:pPr>
      <w:r>
        <w:rPr>
          <w:rFonts w:cs="Times New Roman"/>
        </w:rPr>
      </w:r>
    </w:p>
    <w:p>
      <w:pPr>
        <w:pStyle w:val="F21"/>
        <w:spacing w:lineRule="atLeast" w:line="340"/>
        <w:rPr>
          <w:rFonts w:cs="Times New Roman"/>
        </w:rPr>
      </w:pPr>
      <w:r>
        <w:rPr>
          <w:rFonts w:cs="Times New Roman"/>
        </w:rPr>
        <w:t>(</w:t>
      </w:r>
      <w:r>
        <w:rPr>
          <w:rFonts w:cs="Times New Roman"/>
        </w:rPr>
        <w:t>在傳召鐘響後，多位議員進入會議廳</w:t>
      </w:r>
      <w:r>
        <w:rPr>
          <w:rFonts w:cs="Times New Roman"/>
        </w:rPr>
        <w:t>)</w:t>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rPr>
      </w:r>
    </w:p>
    <w:p>
      <w:pPr>
        <w:pStyle w:val="F21"/>
        <w:spacing w:lineRule="atLeast" w:line="340"/>
        <w:rPr>
          <w:rFonts w:eastAsia="華康中黑體" w:cs="Times New Roman"/>
          <w:b/>
          <w:b/>
          <w:sz w:val="28"/>
          <w:szCs w:val="28"/>
        </w:rPr>
      </w:pPr>
      <w:bookmarkStart w:id="8" w:name="top"/>
      <w:r>
        <w:rPr>
          <w:rFonts w:cs="Times New Roman" w:eastAsia="華康中黑體"/>
          <w:b/>
          <w:sz w:val="28"/>
          <w:szCs w:val="28"/>
        </w:rPr>
        <w:t>提交文件</w:t>
      </w:r>
    </w:p>
    <w:p>
      <w:pPr>
        <w:pStyle w:val="Normal"/>
        <w:spacing w:lineRule="atLeast" w:line="340"/>
        <w:rPr>
          <w:b/>
          <w:b/>
          <w:szCs w:val="28"/>
        </w:rPr>
      </w:pPr>
      <w:bookmarkStart w:id="9" w:name="top"/>
      <w:r>
        <w:rPr>
          <w:b/>
          <w:szCs w:val="28"/>
        </w:rPr>
        <w:t>TABLING OF PAPERS</w:t>
      </w:r>
      <w:bookmarkEnd w:id="9"/>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rPr>
        <w:t>下列文件是根據《議事規則》第</w:t>
      </w:r>
      <w:r>
        <w:rPr>
          <w:rFonts w:cs="Times New Roman"/>
        </w:rPr>
        <w:t>21(2)</w:t>
      </w:r>
      <w:r>
        <w:rPr>
          <w:rFonts w:cs="Times New Roman"/>
        </w:rPr>
        <w:t>條的規定提交：</w:t>
      </w:r>
    </w:p>
    <w:p>
      <w:pPr>
        <w:pStyle w:val="Normal"/>
        <w:spacing w:lineRule="atLeast" w:line="340"/>
        <w:rPr/>
      </w:pPr>
      <w:r>
        <w:rPr/>
        <w:t>The following papers were laid on the table under Rule 21(2) of the Rules of Procedure:</w:t>
      </w:r>
    </w:p>
    <w:p>
      <w:pPr>
        <w:pStyle w:val="F21"/>
        <w:spacing w:lineRule="atLeast" w:line="340"/>
        <w:rPr>
          <w:rFonts w:cs="Times New Roman"/>
        </w:rPr>
      </w:pPr>
      <w:r>
        <w:rPr>
          <w:rFonts w:cs="Times New Roman"/>
        </w:rPr>
      </w:r>
    </w:p>
    <w:p>
      <w:pPr>
        <w:pStyle w:val="F21"/>
        <w:tabs>
          <w:tab w:val="clear" w:pos="567"/>
          <w:tab w:val="right" w:pos="9214" w:leader="none"/>
        </w:tabs>
        <w:spacing w:lineRule="atLeast" w:line="340"/>
        <w:rPr>
          <w:rFonts w:cs="Times New Roman"/>
        </w:rPr>
      </w:pPr>
      <w:r>
        <w:rPr>
          <w:rFonts w:cs="Times New Roman"/>
        </w:rPr>
        <w:t>附屬法例／文書</w:t>
      </w:r>
      <w:r>
        <w:rPr>
          <w:rFonts w:cs="Times New Roman"/>
        </w:rPr>
        <w:tab/>
      </w:r>
      <w:r>
        <w:rPr>
          <w:rFonts w:cs="Times New Roman"/>
          <w:i/>
        </w:rPr>
        <w:t>法律公告編號</w:t>
      </w:r>
    </w:p>
    <w:tbl>
      <w:tblPr>
        <w:tblW w:w="8902" w:type="dxa"/>
        <w:jc w:val="left"/>
        <w:tblInd w:w="0" w:type="dxa"/>
        <w:tblCellMar>
          <w:top w:w="0" w:type="dxa"/>
          <w:left w:w="0" w:type="dxa"/>
          <w:bottom w:w="0" w:type="dxa"/>
          <w:right w:w="0" w:type="dxa"/>
        </w:tblCellMar>
        <w:tblLook w:val="01e0" w:noHBand="0" w:noVBand="0" w:firstColumn="1" w:lastRow="1" w:lastColumn="1" w:firstRow="1"/>
      </w:tblPr>
      <w:tblGrid>
        <w:gridCol w:w="7200"/>
        <w:gridCol w:w="510"/>
        <w:gridCol w:w="1192"/>
      </w:tblGrid>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t>《</w:t>
            </w:r>
            <w:r>
              <w:rPr>
                <w:rFonts w:cs="Times New Roman"/>
              </w:rPr>
              <w:t>2015</w:t>
            </w:r>
            <w:r>
              <w:rPr>
                <w:rFonts w:cs="Times New Roman"/>
              </w:rPr>
              <w:t>年商船</w:t>
            </w:r>
            <w:r>
              <w:rPr>
                <w:rFonts w:cs="Times New Roman"/>
              </w:rPr>
              <w:t>(</w:t>
            </w:r>
            <w:r>
              <w:rPr>
                <w:rFonts w:cs="Times New Roman"/>
              </w:rPr>
              <w:t>防止及控制污染</w:t>
            </w:r>
            <w:r>
              <w:rPr>
                <w:rFonts w:cs="Times New Roman"/>
              </w:rPr>
              <w:t>)(</w:t>
            </w:r>
            <w:r>
              <w:rPr>
                <w:rFonts w:cs="Times New Roman"/>
              </w:rPr>
              <w:t>費用</w:t>
            </w:r>
            <w:r>
              <w:rPr>
                <w:rFonts w:cs="Times New Roman"/>
              </w:rPr>
              <w:t>)(</w:t>
            </w:r>
            <w:r>
              <w:rPr>
                <w:rFonts w:cs="Times New Roman"/>
              </w:rPr>
              <w:t>修訂</w:t>
            </w:r>
            <w:r>
              <w:rPr>
                <w:rFonts w:cs="Times New Roman"/>
              </w:rPr>
              <w:t>)</w:t>
              <w:br/>
            </w:r>
            <w:r>
              <w:rPr>
                <w:rFonts w:cs="Times New Roman"/>
              </w:rPr>
              <w:t>規例》</w:t>
            </w:r>
            <w:r>
              <w:rPr>
                <w:rFonts w:cs="Times New Roman"/>
              </w:rPr>
              <w:tab/>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r>
          </w:p>
          <w:p>
            <w:pPr>
              <w:pStyle w:val="F21"/>
              <w:tabs>
                <w:tab w:val="clear" w:pos="567"/>
              </w:tabs>
              <w:spacing w:lineRule="atLeast" w:line="340"/>
              <w:jc w:val="right"/>
              <w:rPr>
                <w:rFonts w:cs="Times New Roman"/>
              </w:rPr>
            </w:pPr>
            <w:r>
              <w:rPr>
                <w:rFonts w:cs="Times New Roman"/>
              </w:rPr>
              <w:t>53/2015</w:t>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t>《商船</w:t>
            </w:r>
            <w:r>
              <w:rPr>
                <w:rFonts w:cs="Times New Roman"/>
              </w:rPr>
              <w:t>(</w:t>
            </w:r>
            <w:r>
              <w:rPr>
                <w:rFonts w:cs="Times New Roman"/>
              </w:rPr>
              <w:t>控制船舶有害防污底系統</w:t>
            </w:r>
            <w:r>
              <w:rPr>
                <w:rFonts w:cs="Times New Roman"/>
              </w:rPr>
              <w:t>)</w:t>
            </w:r>
            <w:r>
              <w:rPr>
                <w:rFonts w:cs="Times New Roman"/>
              </w:rPr>
              <w:t>規例》</w:t>
            </w:r>
            <w:r>
              <w:rPr>
                <w:rFonts w:cs="Times New Roman"/>
              </w:rPr>
              <w:tab/>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t>54/2015</w:t>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t>《</w:t>
            </w:r>
            <w:r>
              <w:rPr>
                <w:rFonts w:cs="Times New Roman"/>
              </w:rPr>
              <w:t>2015</w:t>
            </w:r>
            <w:r>
              <w:rPr>
                <w:rFonts w:cs="Times New Roman"/>
              </w:rPr>
              <w:t>年公眾娛樂場所</w:t>
            </w:r>
            <w:r>
              <w:rPr>
                <w:rFonts w:cs="Times New Roman"/>
              </w:rPr>
              <w:t>(</w:t>
            </w:r>
            <w:r>
              <w:rPr>
                <w:rFonts w:cs="Times New Roman"/>
              </w:rPr>
              <w:t>豁免</w:t>
            </w:r>
            <w:r>
              <w:rPr>
                <w:rFonts w:cs="Times New Roman"/>
              </w:rPr>
              <w:t>)(</w:t>
            </w:r>
            <w:r>
              <w:rPr>
                <w:rFonts w:cs="Times New Roman"/>
              </w:rPr>
              <w:t>修訂</w:t>
            </w:r>
            <w:r>
              <w:rPr>
                <w:rFonts w:cs="Times New Roman"/>
              </w:rPr>
              <w:t>)</w:t>
            </w:r>
            <w:r>
              <w:rPr>
                <w:rFonts w:cs="Times New Roman"/>
              </w:rPr>
              <w:t>令》</w:t>
            </w:r>
            <w:r>
              <w:rPr>
                <w:rFonts w:cs="Times New Roman"/>
              </w:rPr>
              <w:tab/>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t>55/2015</w:t>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t>《</w:t>
            </w:r>
            <w:r>
              <w:rPr>
                <w:rFonts w:cs="Times New Roman"/>
              </w:rPr>
              <w:t>2015</w:t>
            </w:r>
            <w:r>
              <w:rPr>
                <w:rFonts w:cs="Times New Roman"/>
              </w:rPr>
              <w:t>年領養</w:t>
            </w:r>
            <w:r>
              <w:rPr>
                <w:rFonts w:cs="Times New Roman"/>
              </w:rPr>
              <w:t>(</w:t>
            </w:r>
            <w:r>
              <w:rPr>
                <w:rFonts w:cs="Times New Roman"/>
              </w:rPr>
              <w:t>修訂</w:t>
            </w:r>
            <w:r>
              <w:rPr>
                <w:rFonts w:cs="Times New Roman"/>
              </w:rPr>
              <w:t>)</w:t>
            </w:r>
            <w:r>
              <w:rPr>
                <w:rFonts w:cs="Times New Roman"/>
              </w:rPr>
              <w:t>規則》</w:t>
            </w:r>
            <w:r>
              <w:rPr>
                <w:rFonts w:cs="Times New Roman"/>
              </w:rPr>
              <w:tab/>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t>56/2015</w:t>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t>《</w:t>
            </w:r>
            <w:r>
              <w:rPr>
                <w:rFonts w:cs="Times New Roman"/>
              </w:rPr>
              <w:t>2015</w:t>
            </w:r>
            <w:r>
              <w:rPr>
                <w:rFonts w:cs="Times New Roman"/>
              </w:rPr>
              <w:t>年公約領養</w:t>
            </w:r>
            <w:r>
              <w:rPr>
                <w:rFonts w:cs="Times New Roman"/>
              </w:rPr>
              <w:t>(</w:t>
            </w:r>
            <w:r>
              <w:rPr>
                <w:rFonts w:cs="Times New Roman"/>
              </w:rPr>
              <w:t>修訂</w:t>
            </w:r>
            <w:r>
              <w:rPr>
                <w:rFonts w:cs="Times New Roman"/>
              </w:rPr>
              <w:t>)</w:t>
            </w:r>
            <w:r>
              <w:rPr>
                <w:rFonts w:cs="Times New Roman"/>
              </w:rPr>
              <w:t>規則》</w:t>
            </w:r>
            <w:r>
              <w:rPr>
                <w:rFonts w:cs="Times New Roman"/>
              </w:rPr>
              <w:tab/>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t>57/2015</w:t>
            </w:r>
          </w:p>
        </w:tc>
      </w:tr>
      <w:tr>
        <w:trPr/>
        <w:tc>
          <w:tcPr>
            <w:tcW w:w="7200" w:type="dxa"/>
            <w:tcBorders/>
          </w:tcPr>
          <w:p>
            <w:pPr>
              <w:pStyle w:val="F21"/>
              <w:tabs>
                <w:tab w:val="clear" w:pos="567"/>
                <w:tab w:val="right" w:pos="7139" w:leader="dot"/>
              </w:tabs>
              <w:spacing w:lineRule="atLeast" w:line="340"/>
              <w:ind w:left="1531" w:right="62" w:hanging="964"/>
              <w:jc w:val="left"/>
              <w:rPr>
                <w:rFonts w:cs="Times New Roman"/>
              </w:rPr>
            </w:pPr>
            <w:r>
              <w:rPr>
                <w:rFonts w:cs="Times New Roman"/>
              </w:rPr>
            </w:r>
          </w:p>
        </w:tc>
        <w:tc>
          <w:tcPr>
            <w:tcW w:w="510" w:type="dxa"/>
            <w:tcBorders/>
          </w:tcPr>
          <w:p>
            <w:pPr>
              <w:pStyle w:val="F21"/>
              <w:tabs>
                <w:tab w:val="clear" w:pos="567"/>
              </w:tabs>
              <w:spacing w:lineRule="atLeast" w:line="340"/>
              <w:rPr>
                <w:rFonts w:cs="Times New Roman"/>
              </w:rPr>
            </w:pPr>
            <w:r>
              <w:rPr>
                <w:rFonts w:cs="Times New Roman"/>
              </w:rPr>
            </w:r>
          </w:p>
        </w:tc>
        <w:tc>
          <w:tcPr>
            <w:tcW w:w="1192" w:type="dxa"/>
            <w:tcBorders/>
          </w:tcPr>
          <w:p>
            <w:pPr>
              <w:pStyle w:val="F21"/>
              <w:tabs>
                <w:tab w:val="clear" w:pos="567"/>
              </w:tabs>
              <w:spacing w:lineRule="atLeast" w:line="340"/>
              <w:jc w:val="right"/>
              <w:rPr>
                <w:rFonts w:cs="Times New Roman"/>
              </w:rPr>
            </w:pPr>
            <w:r>
              <w:rPr>
                <w:rFonts w:cs="Times New Roman"/>
              </w:rPr>
            </w:r>
          </w:p>
        </w:tc>
      </w:tr>
    </w:tbl>
    <w:p>
      <w:pPr>
        <w:pStyle w:val="F21"/>
        <w:spacing w:lineRule="atLeast" w:line="340"/>
        <w:rPr>
          <w:rFonts w:cs="Times New Roman"/>
        </w:rPr>
      </w:pPr>
      <w:r>
        <w:rPr>
          <w:rFonts w:cs="Times New Roman"/>
        </w:rPr>
      </w:r>
    </w:p>
    <w:p>
      <w:pPr>
        <w:pStyle w:val="Normal"/>
        <w:tabs>
          <w:tab w:val="left" w:pos="720" w:leader="none"/>
          <w:tab w:val="left" w:pos="7842" w:leader="none"/>
        </w:tabs>
        <w:spacing w:lineRule="atLeast" w:line="340"/>
        <w:rPr/>
      </w:pPr>
      <w:r>
        <w:rPr/>
        <w:t>Subsidiary Legislation/Instruments</w:t>
        <w:tab/>
      </w:r>
      <w:r>
        <w:rPr>
          <w:i/>
        </w:rPr>
        <w:t>L.N. No.</w:t>
      </w:r>
    </w:p>
    <w:p>
      <w:pPr>
        <w:pStyle w:val="F21"/>
        <w:spacing w:lineRule="atLeast" w:line="340"/>
        <w:rPr>
          <w:rFonts w:cs="Times New Roman"/>
        </w:rPr>
      </w:pPr>
      <w:r>
        <w:rPr>
          <w:rFonts w:cs="Times New Roman"/>
        </w:rPr>
      </w:r>
    </w:p>
    <w:tbl>
      <w:tblPr>
        <w:tblW w:w="8868" w:type="dxa"/>
        <w:jc w:val="left"/>
        <w:tblInd w:w="0" w:type="dxa"/>
        <w:tblCellMar>
          <w:top w:w="0" w:type="dxa"/>
          <w:left w:w="0" w:type="dxa"/>
          <w:bottom w:w="0" w:type="dxa"/>
          <w:right w:w="0" w:type="dxa"/>
        </w:tblCellMar>
        <w:tblLook w:val="01e0" w:noHBand="0" w:noVBand="0" w:firstColumn="1" w:lastRow="1" w:lastColumn="1" w:firstRow="1"/>
      </w:tblPr>
      <w:tblGrid>
        <w:gridCol w:w="7677"/>
        <w:gridCol w:w="1190"/>
      </w:tblGrid>
      <w:tr>
        <w:trPr/>
        <w:tc>
          <w:tcPr>
            <w:tcW w:w="7677" w:type="dxa"/>
            <w:tcBorders/>
          </w:tcPr>
          <w:p>
            <w:pPr>
              <w:pStyle w:val="Normal"/>
              <w:tabs>
                <w:tab w:val="left" w:pos="720" w:leader="none"/>
                <w:tab w:val="right" w:pos="7201" w:leader="dot"/>
              </w:tabs>
              <w:spacing w:lineRule="atLeast" w:line="340"/>
              <w:ind w:left="1571" w:hanging="851"/>
              <w:jc w:val="left"/>
              <w:rPr/>
            </w:pPr>
            <w:r>
              <w:rPr/>
              <w:t>Merchant Shipping (Prevention and Control of Pollution) (Fees) (Amendment) Regulation 2015</w:t>
              <w:tab/>
            </w:r>
          </w:p>
        </w:tc>
        <w:tc>
          <w:tcPr>
            <w:tcW w:w="1190" w:type="dxa"/>
            <w:tcBorders/>
          </w:tcPr>
          <w:p>
            <w:pPr>
              <w:pStyle w:val="Normal"/>
              <w:tabs>
                <w:tab w:val="left" w:pos="720" w:leader="none"/>
                <w:tab w:val="right" w:pos="7201" w:leader="dot"/>
              </w:tabs>
              <w:spacing w:lineRule="atLeast" w:line="340"/>
              <w:jc w:val="right"/>
              <w:rPr/>
            </w:pPr>
            <w:r>
              <w:rPr/>
            </w:r>
          </w:p>
          <w:p>
            <w:pPr>
              <w:pStyle w:val="Normal"/>
              <w:tabs>
                <w:tab w:val="left" w:pos="720" w:leader="none"/>
                <w:tab w:val="right" w:pos="7201" w:leader="dot"/>
              </w:tabs>
              <w:spacing w:lineRule="atLeast" w:line="340"/>
              <w:jc w:val="right"/>
              <w:rPr/>
            </w:pPr>
            <w:r>
              <w:rPr/>
              <w:t>53/2015</w:t>
            </w:r>
          </w:p>
        </w:tc>
      </w:tr>
      <w:tr>
        <w:trPr/>
        <w:tc>
          <w:tcPr>
            <w:tcW w:w="7677" w:type="dxa"/>
            <w:tcBorders/>
          </w:tcPr>
          <w:p>
            <w:pPr>
              <w:pStyle w:val="Normal"/>
              <w:tabs>
                <w:tab w:val="left" w:pos="720" w:leader="none"/>
                <w:tab w:val="right" w:pos="7201" w:leader="dot"/>
              </w:tabs>
              <w:spacing w:lineRule="atLeast" w:line="340"/>
              <w:ind w:left="1571" w:hanging="851"/>
              <w:jc w:val="left"/>
              <w:rPr/>
            </w:pPr>
            <w:r>
              <w:rPr/>
            </w:r>
          </w:p>
        </w:tc>
        <w:tc>
          <w:tcPr>
            <w:tcW w:w="1190" w:type="dxa"/>
            <w:tcBorders/>
          </w:tcPr>
          <w:p>
            <w:pPr>
              <w:pStyle w:val="Normal"/>
              <w:tabs>
                <w:tab w:val="left" w:pos="720" w:leader="none"/>
                <w:tab w:val="right" w:pos="7201" w:leader="dot"/>
              </w:tabs>
              <w:spacing w:lineRule="atLeast" w:line="340"/>
              <w:jc w:val="right"/>
              <w:rPr/>
            </w:pPr>
            <w:r>
              <w:rPr/>
            </w:r>
          </w:p>
        </w:tc>
      </w:tr>
      <w:tr>
        <w:trPr/>
        <w:tc>
          <w:tcPr>
            <w:tcW w:w="7677" w:type="dxa"/>
            <w:tcBorders/>
          </w:tcPr>
          <w:p>
            <w:pPr>
              <w:pStyle w:val="Normal"/>
              <w:tabs>
                <w:tab w:val="left" w:pos="720" w:leader="none"/>
                <w:tab w:val="right" w:pos="7201" w:leader="dot"/>
              </w:tabs>
              <w:spacing w:lineRule="atLeast" w:line="340"/>
              <w:ind w:left="1571" w:hanging="851"/>
              <w:jc w:val="left"/>
              <w:rPr/>
            </w:pPr>
            <w:r>
              <w:rPr/>
              <w:t>Merchant Shipping (Control of Harmful Anti-Fouling Systems on Ships) Regulation</w:t>
              <w:tab/>
            </w:r>
          </w:p>
        </w:tc>
        <w:tc>
          <w:tcPr>
            <w:tcW w:w="1190" w:type="dxa"/>
            <w:tcBorders/>
          </w:tcPr>
          <w:p>
            <w:pPr>
              <w:pStyle w:val="Normal"/>
              <w:tabs>
                <w:tab w:val="left" w:pos="720" w:leader="none"/>
                <w:tab w:val="right" w:pos="7201" w:leader="dot"/>
              </w:tabs>
              <w:spacing w:lineRule="atLeast" w:line="340"/>
              <w:jc w:val="right"/>
              <w:rPr/>
            </w:pPr>
            <w:r>
              <w:rPr/>
            </w:r>
          </w:p>
          <w:p>
            <w:pPr>
              <w:pStyle w:val="Normal"/>
              <w:tabs>
                <w:tab w:val="left" w:pos="720" w:leader="none"/>
                <w:tab w:val="right" w:pos="7201" w:leader="dot"/>
              </w:tabs>
              <w:spacing w:lineRule="atLeast" w:line="340"/>
              <w:jc w:val="right"/>
              <w:rPr/>
            </w:pPr>
            <w:r>
              <w:rPr/>
              <w:t>54/2015</w:t>
            </w:r>
          </w:p>
        </w:tc>
      </w:tr>
      <w:tr>
        <w:trPr/>
        <w:tc>
          <w:tcPr>
            <w:tcW w:w="7677" w:type="dxa"/>
            <w:tcBorders/>
          </w:tcPr>
          <w:p>
            <w:pPr>
              <w:pStyle w:val="Normal"/>
              <w:tabs>
                <w:tab w:val="left" w:pos="720" w:leader="none"/>
                <w:tab w:val="right" w:pos="7201" w:leader="dot"/>
              </w:tabs>
              <w:spacing w:lineRule="atLeast" w:line="340"/>
              <w:ind w:left="1571" w:hanging="851"/>
              <w:jc w:val="left"/>
              <w:rPr/>
            </w:pPr>
            <w:r>
              <w:rPr/>
            </w:r>
          </w:p>
        </w:tc>
        <w:tc>
          <w:tcPr>
            <w:tcW w:w="1190" w:type="dxa"/>
            <w:tcBorders/>
          </w:tcPr>
          <w:p>
            <w:pPr>
              <w:pStyle w:val="Normal"/>
              <w:tabs>
                <w:tab w:val="left" w:pos="720" w:leader="none"/>
                <w:tab w:val="right" w:pos="7201" w:leader="dot"/>
              </w:tabs>
              <w:spacing w:lineRule="atLeast" w:line="340"/>
              <w:jc w:val="right"/>
              <w:rPr/>
            </w:pPr>
            <w:r>
              <w:rPr/>
            </w:r>
          </w:p>
        </w:tc>
      </w:tr>
      <w:tr>
        <w:trPr/>
        <w:tc>
          <w:tcPr>
            <w:tcW w:w="7677" w:type="dxa"/>
            <w:tcBorders/>
          </w:tcPr>
          <w:p>
            <w:pPr>
              <w:pStyle w:val="Normal"/>
              <w:tabs>
                <w:tab w:val="left" w:pos="720" w:leader="none"/>
                <w:tab w:val="right" w:pos="7201" w:leader="dot"/>
              </w:tabs>
              <w:spacing w:lineRule="atLeast" w:line="340"/>
              <w:ind w:left="1571" w:hanging="851"/>
              <w:jc w:val="left"/>
              <w:rPr/>
            </w:pPr>
            <w:r>
              <w:rPr/>
              <w:t>Places of Public Entertainment (Exemption) (Amendment) Order 2015</w:t>
              <w:tab/>
            </w:r>
          </w:p>
        </w:tc>
        <w:tc>
          <w:tcPr>
            <w:tcW w:w="1190" w:type="dxa"/>
            <w:tcBorders/>
          </w:tcPr>
          <w:p>
            <w:pPr>
              <w:pStyle w:val="Normal"/>
              <w:tabs>
                <w:tab w:val="left" w:pos="720" w:leader="none"/>
                <w:tab w:val="right" w:pos="7201" w:leader="dot"/>
              </w:tabs>
              <w:spacing w:lineRule="atLeast" w:line="340"/>
              <w:jc w:val="right"/>
              <w:rPr/>
            </w:pPr>
            <w:r>
              <w:rPr/>
            </w:r>
          </w:p>
          <w:p>
            <w:pPr>
              <w:pStyle w:val="Normal"/>
              <w:tabs>
                <w:tab w:val="left" w:pos="720" w:leader="none"/>
                <w:tab w:val="right" w:pos="7201" w:leader="dot"/>
              </w:tabs>
              <w:spacing w:lineRule="atLeast" w:line="340"/>
              <w:jc w:val="right"/>
              <w:rPr/>
            </w:pPr>
            <w:r>
              <w:rPr/>
              <w:t>55/2015</w:t>
            </w:r>
          </w:p>
        </w:tc>
      </w:tr>
      <w:tr>
        <w:trPr/>
        <w:tc>
          <w:tcPr>
            <w:tcW w:w="7677" w:type="dxa"/>
            <w:tcBorders/>
          </w:tcPr>
          <w:p>
            <w:pPr>
              <w:pStyle w:val="Normal"/>
              <w:tabs>
                <w:tab w:val="left" w:pos="720" w:leader="none"/>
                <w:tab w:val="right" w:pos="7201" w:leader="dot"/>
              </w:tabs>
              <w:spacing w:lineRule="atLeast" w:line="340"/>
              <w:ind w:left="1571" w:hanging="851"/>
              <w:jc w:val="left"/>
              <w:rPr/>
            </w:pPr>
            <w:r>
              <w:rPr/>
            </w:r>
          </w:p>
        </w:tc>
        <w:tc>
          <w:tcPr>
            <w:tcW w:w="1190" w:type="dxa"/>
            <w:tcBorders/>
          </w:tcPr>
          <w:p>
            <w:pPr>
              <w:pStyle w:val="Normal"/>
              <w:tabs>
                <w:tab w:val="left" w:pos="720" w:leader="none"/>
                <w:tab w:val="right" w:pos="7201" w:leader="dot"/>
              </w:tabs>
              <w:spacing w:lineRule="atLeast" w:line="340"/>
              <w:jc w:val="right"/>
              <w:rPr/>
            </w:pPr>
            <w:r>
              <w:rPr/>
            </w:r>
          </w:p>
        </w:tc>
      </w:tr>
      <w:tr>
        <w:trPr/>
        <w:tc>
          <w:tcPr>
            <w:tcW w:w="7677" w:type="dxa"/>
            <w:tcBorders/>
          </w:tcPr>
          <w:p>
            <w:pPr>
              <w:pStyle w:val="Normal"/>
              <w:tabs>
                <w:tab w:val="left" w:pos="720" w:leader="none"/>
                <w:tab w:val="right" w:pos="7201" w:leader="dot"/>
              </w:tabs>
              <w:spacing w:lineRule="atLeast" w:line="340"/>
              <w:ind w:left="1571" w:hanging="851"/>
              <w:jc w:val="left"/>
              <w:rPr/>
            </w:pPr>
            <w:r>
              <w:rPr/>
              <w:t>Adoption (Amendment) Rules 2015</w:t>
              <w:tab/>
            </w:r>
          </w:p>
        </w:tc>
        <w:tc>
          <w:tcPr>
            <w:tcW w:w="1190" w:type="dxa"/>
            <w:tcBorders/>
          </w:tcPr>
          <w:p>
            <w:pPr>
              <w:pStyle w:val="Normal"/>
              <w:tabs>
                <w:tab w:val="left" w:pos="720" w:leader="none"/>
                <w:tab w:val="right" w:pos="7201" w:leader="dot"/>
              </w:tabs>
              <w:spacing w:lineRule="atLeast" w:line="340"/>
              <w:jc w:val="right"/>
              <w:rPr/>
            </w:pPr>
            <w:r>
              <w:rPr/>
              <w:t>56/2015</w:t>
            </w:r>
          </w:p>
        </w:tc>
      </w:tr>
      <w:tr>
        <w:trPr/>
        <w:tc>
          <w:tcPr>
            <w:tcW w:w="7677" w:type="dxa"/>
            <w:tcBorders/>
          </w:tcPr>
          <w:p>
            <w:pPr>
              <w:pStyle w:val="Normal"/>
              <w:tabs>
                <w:tab w:val="left" w:pos="720" w:leader="none"/>
                <w:tab w:val="right" w:pos="7201" w:leader="dot"/>
              </w:tabs>
              <w:spacing w:lineRule="atLeast" w:line="340"/>
              <w:ind w:left="1571" w:hanging="851"/>
              <w:jc w:val="left"/>
              <w:rPr/>
            </w:pPr>
            <w:r>
              <w:rPr/>
            </w:r>
          </w:p>
        </w:tc>
        <w:tc>
          <w:tcPr>
            <w:tcW w:w="1190" w:type="dxa"/>
            <w:tcBorders/>
          </w:tcPr>
          <w:p>
            <w:pPr>
              <w:pStyle w:val="Normal"/>
              <w:tabs>
                <w:tab w:val="left" w:pos="720" w:leader="none"/>
                <w:tab w:val="right" w:pos="7201" w:leader="dot"/>
              </w:tabs>
              <w:spacing w:lineRule="atLeast" w:line="340"/>
              <w:jc w:val="right"/>
              <w:rPr/>
            </w:pPr>
            <w:r>
              <w:rPr/>
            </w:r>
          </w:p>
        </w:tc>
      </w:tr>
      <w:tr>
        <w:trPr/>
        <w:tc>
          <w:tcPr>
            <w:tcW w:w="7677" w:type="dxa"/>
            <w:tcBorders/>
          </w:tcPr>
          <w:p>
            <w:pPr>
              <w:pStyle w:val="Normal"/>
              <w:tabs>
                <w:tab w:val="left" w:pos="720" w:leader="none"/>
                <w:tab w:val="right" w:pos="7201" w:leader="dot"/>
              </w:tabs>
              <w:spacing w:lineRule="atLeast" w:line="340"/>
              <w:ind w:left="1571" w:hanging="851"/>
              <w:jc w:val="left"/>
              <w:rPr/>
            </w:pPr>
            <w:r>
              <w:rPr/>
              <w:t>Convention Adoption (Amendment) Rules 2015</w:t>
              <w:tab/>
            </w:r>
          </w:p>
        </w:tc>
        <w:tc>
          <w:tcPr>
            <w:tcW w:w="1190" w:type="dxa"/>
            <w:tcBorders/>
          </w:tcPr>
          <w:p>
            <w:pPr>
              <w:pStyle w:val="Normal"/>
              <w:tabs>
                <w:tab w:val="left" w:pos="720" w:leader="none"/>
                <w:tab w:val="right" w:pos="7201" w:leader="dot"/>
              </w:tabs>
              <w:spacing w:lineRule="atLeast" w:line="340"/>
              <w:jc w:val="right"/>
              <w:rPr/>
            </w:pPr>
            <w:r>
              <w:rPr/>
              <w:t>57/2015</w:t>
            </w:r>
          </w:p>
        </w:tc>
      </w:tr>
    </w:tbl>
    <w:p>
      <w:pPr>
        <w:pStyle w:val="F21"/>
        <w:rPr>
          <w:rFonts w:cs="Times New Roman"/>
        </w:rPr>
      </w:pPr>
      <w:r>
        <w:rPr>
          <w:rFonts w:cs="Times New Roman"/>
        </w:rPr>
        <w:t>其他文件</w:t>
      </w:r>
    </w:p>
    <w:p>
      <w:pPr>
        <w:pStyle w:val="F21"/>
        <w:rPr>
          <w:rFonts w:cs="Times New Roman"/>
        </w:rPr>
      </w:pPr>
      <w:r>
        <w:rPr>
          <w:rFonts w:cs="Times New Roman"/>
        </w:rPr>
      </w:r>
    </w:p>
    <w:p>
      <w:pPr>
        <w:pStyle w:val="F21"/>
        <w:tabs>
          <w:tab w:val="left" w:pos="567" w:leader="none"/>
          <w:tab w:val="left" w:pos="1985" w:leader="none"/>
        </w:tabs>
        <w:ind w:left="2552" w:hanging="1985"/>
        <w:rPr>
          <w:rFonts w:cs="Times New Roman"/>
        </w:rPr>
      </w:pPr>
      <w:r>
        <w:rPr>
          <w:rFonts w:cs="Times New Roman"/>
        </w:rPr>
        <w:t>第</w:t>
      </w:r>
      <w:r>
        <w:rPr>
          <w:rFonts w:cs="Times New Roman"/>
        </w:rPr>
        <w:t>83</w:t>
      </w:r>
      <w:r>
        <w:rPr>
          <w:rFonts w:cs="Times New Roman"/>
        </w:rPr>
        <w:t>號</w:t>
      </w:r>
      <w:r>
        <w:rPr>
          <w:rFonts w:cs="Times New Roman"/>
        </w:rPr>
        <w:tab/>
        <w:t>―</w:t>
        <w:tab/>
      </w:r>
      <w:r>
        <w:rPr>
          <w:rFonts w:cs="Times New Roman"/>
        </w:rPr>
        <w:t>愛滋病信託基金</w:t>
      </w:r>
    </w:p>
    <w:p>
      <w:pPr>
        <w:pStyle w:val="F21"/>
        <w:tabs>
          <w:tab w:val="left" w:pos="567" w:leader="none"/>
          <w:tab w:val="left" w:pos="1985" w:leader="none"/>
        </w:tabs>
        <w:ind w:left="2552" w:hanging="1985"/>
        <w:rPr>
          <w:rFonts w:cs="Times New Roman"/>
        </w:rPr>
      </w:pPr>
      <w:r>
        <w:rPr>
          <w:rFonts w:cs="Times New Roman"/>
        </w:rPr>
        <w:tab/>
        <w:tab/>
      </w:r>
      <w:r>
        <w:rPr>
          <w:rFonts w:cs="Times New Roman"/>
        </w:rPr>
        <w:t>截至</w:t>
      </w:r>
      <w:r>
        <w:rPr>
          <w:rFonts w:cs="Times New Roman"/>
        </w:rPr>
        <w:t>2014</w:t>
      </w:r>
      <w:r>
        <w:rPr>
          <w:rFonts w:cs="Times New Roman"/>
        </w:rPr>
        <w:t>年</w:t>
      </w:r>
      <w:r>
        <w:rPr>
          <w:rFonts w:cs="Times New Roman"/>
        </w:rPr>
        <w:t>3</w:t>
      </w:r>
      <w:r>
        <w:rPr>
          <w:rFonts w:cs="Times New Roman"/>
        </w:rPr>
        <w:t>月</w:t>
      </w:r>
      <w:r>
        <w:rPr>
          <w:rFonts w:cs="Times New Roman"/>
        </w:rPr>
        <w:t>31</w:t>
      </w:r>
      <w:r>
        <w:rPr>
          <w:rFonts w:cs="Times New Roman"/>
        </w:rPr>
        <w:t>日止年度的財務報表</w:t>
      </w:r>
    </w:p>
    <w:p>
      <w:pPr>
        <w:pStyle w:val="F21"/>
        <w:tabs>
          <w:tab w:val="left" w:pos="567" w:leader="none"/>
          <w:tab w:val="left" w:pos="1985" w:leader="none"/>
        </w:tabs>
        <w:ind w:left="2552" w:hanging="1985"/>
        <w:rPr>
          <w:rFonts w:cs="Times New Roman"/>
        </w:rPr>
      </w:pPr>
      <w:r>
        <w:rPr>
          <w:rFonts w:cs="Times New Roman"/>
        </w:rPr>
      </w:r>
    </w:p>
    <w:p>
      <w:pPr>
        <w:pStyle w:val="F21"/>
        <w:tabs>
          <w:tab w:val="left" w:pos="567" w:leader="none"/>
          <w:tab w:val="left" w:pos="1985" w:leader="none"/>
        </w:tabs>
        <w:ind w:left="2552" w:hanging="1985"/>
        <w:rPr>
          <w:rFonts w:cs="Times New Roman"/>
        </w:rPr>
      </w:pPr>
      <w:r>
        <w:rPr>
          <w:rFonts w:cs="Times New Roman"/>
        </w:rPr>
        <w:t>第</w:t>
      </w:r>
      <w:r>
        <w:rPr>
          <w:rFonts w:cs="Times New Roman"/>
        </w:rPr>
        <w:t>84</w:t>
      </w:r>
      <w:r>
        <w:rPr>
          <w:rFonts w:cs="Times New Roman"/>
        </w:rPr>
        <w:t>號</w:t>
      </w:r>
      <w:r>
        <w:rPr>
          <w:rFonts w:cs="Times New Roman"/>
        </w:rPr>
        <w:tab/>
        <w:t>―</w:t>
        <w:tab/>
      </w:r>
      <w:r>
        <w:rPr>
          <w:rFonts w:cs="Times New Roman"/>
        </w:rPr>
        <w:t>自資專上教育基金</w:t>
      </w:r>
    </w:p>
    <w:p>
      <w:pPr>
        <w:pStyle w:val="F21"/>
        <w:tabs>
          <w:tab w:val="left" w:pos="567" w:leader="none"/>
          <w:tab w:val="left" w:pos="1985" w:leader="none"/>
        </w:tabs>
        <w:ind w:left="2552" w:hanging="1985"/>
        <w:rPr>
          <w:rFonts w:cs="Times New Roman"/>
        </w:rPr>
      </w:pPr>
      <w:r>
        <w:rPr>
          <w:rFonts w:cs="Times New Roman"/>
        </w:rPr>
        <w:tab/>
        <w:tab/>
      </w:r>
      <w:r>
        <w:rPr>
          <w:rFonts w:cs="Times New Roman"/>
        </w:rPr>
        <w:t>截至</w:t>
      </w:r>
      <w:r>
        <w:rPr>
          <w:rFonts w:cs="Times New Roman"/>
        </w:rPr>
        <w:t>2014</w:t>
      </w:r>
      <w:r>
        <w:rPr>
          <w:rFonts w:cs="Times New Roman"/>
        </w:rPr>
        <w:t>年</w:t>
      </w:r>
      <w:r>
        <w:rPr>
          <w:rFonts w:cs="Times New Roman"/>
        </w:rPr>
        <w:t>8</w:t>
      </w:r>
      <w:r>
        <w:rPr>
          <w:rFonts w:cs="Times New Roman"/>
        </w:rPr>
        <w:t>月</w:t>
      </w:r>
      <w:r>
        <w:rPr>
          <w:rFonts w:cs="Times New Roman"/>
        </w:rPr>
        <w:t>31</w:t>
      </w:r>
      <w:r>
        <w:rPr>
          <w:rFonts w:cs="Times New Roman"/>
        </w:rPr>
        <w:t>日止年度的財務報表</w:t>
      </w:r>
    </w:p>
    <w:p>
      <w:pPr>
        <w:pStyle w:val="F21"/>
        <w:tabs>
          <w:tab w:val="left" w:pos="567" w:leader="none"/>
          <w:tab w:val="left" w:pos="1985" w:leader="none"/>
        </w:tabs>
        <w:ind w:left="2552" w:hanging="1985"/>
        <w:rPr>
          <w:rFonts w:cs="Times New Roman"/>
        </w:rPr>
      </w:pPr>
      <w:r>
        <w:rPr>
          <w:rFonts w:cs="Times New Roman"/>
        </w:rPr>
      </w:r>
    </w:p>
    <w:p>
      <w:pPr>
        <w:pStyle w:val="F21"/>
        <w:tabs>
          <w:tab w:val="left" w:pos="567" w:leader="none"/>
          <w:tab w:val="left" w:pos="1985" w:leader="none"/>
        </w:tabs>
        <w:ind w:left="2552" w:hanging="1985"/>
        <w:rPr>
          <w:rFonts w:cs="Times New Roman"/>
        </w:rPr>
      </w:pPr>
      <w:r>
        <w:rPr>
          <w:rFonts w:cs="Times New Roman"/>
        </w:rPr>
        <w:t>第</w:t>
      </w:r>
      <w:r>
        <w:rPr>
          <w:rFonts w:cs="Times New Roman"/>
        </w:rPr>
        <w:t>85</w:t>
      </w:r>
      <w:r>
        <w:rPr>
          <w:rFonts w:cs="Times New Roman"/>
        </w:rPr>
        <w:t>號</w:t>
      </w:r>
      <w:r>
        <w:rPr>
          <w:rFonts w:cs="Times New Roman"/>
        </w:rPr>
        <w:tab/>
        <w:t>―</w:t>
        <w:tab/>
      </w:r>
      <w:r>
        <w:rPr>
          <w:rFonts w:cs="Times New Roman"/>
        </w:rPr>
        <w:t>香港特別行政區政府獎學基金</w:t>
      </w:r>
    </w:p>
    <w:p>
      <w:pPr>
        <w:pStyle w:val="F21"/>
        <w:tabs>
          <w:tab w:val="left" w:pos="567" w:leader="none"/>
          <w:tab w:val="left" w:pos="1985" w:leader="none"/>
        </w:tabs>
        <w:ind w:left="2552" w:hanging="1985"/>
        <w:rPr>
          <w:rFonts w:cs="Times New Roman"/>
        </w:rPr>
      </w:pPr>
      <w:r>
        <w:rPr>
          <w:rFonts w:cs="Times New Roman"/>
        </w:rPr>
        <w:tab/>
        <w:tab/>
      </w:r>
      <w:r>
        <w:rPr>
          <w:rFonts w:cs="Times New Roman"/>
        </w:rPr>
        <w:t>截至</w:t>
      </w:r>
      <w:r>
        <w:rPr>
          <w:rFonts w:cs="Times New Roman"/>
        </w:rPr>
        <w:t>2014</w:t>
      </w:r>
      <w:r>
        <w:rPr>
          <w:rFonts w:cs="Times New Roman"/>
        </w:rPr>
        <w:t>年</w:t>
      </w:r>
      <w:r>
        <w:rPr>
          <w:rFonts w:cs="Times New Roman"/>
        </w:rPr>
        <w:t>8</w:t>
      </w:r>
      <w:r>
        <w:rPr>
          <w:rFonts w:cs="Times New Roman"/>
        </w:rPr>
        <w:t>月</w:t>
      </w:r>
      <w:r>
        <w:rPr>
          <w:rFonts w:cs="Times New Roman"/>
        </w:rPr>
        <w:t>31</w:t>
      </w:r>
      <w:r>
        <w:rPr>
          <w:rFonts w:cs="Times New Roman"/>
        </w:rPr>
        <w:t>日止年度的財務報表</w:t>
      </w:r>
    </w:p>
    <w:p>
      <w:pPr>
        <w:pStyle w:val="F21"/>
        <w:tabs>
          <w:tab w:val="left" w:pos="567" w:leader="none"/>
          <w:tab w:val="left" w:pos="1985" w:leader="none"/>
        </w:tabs>
        <w:ind w:left="2552" w:hanging="1985"/>
        <w:rPr>
          <w:rFonts w:cs="Times New Roman"/>
        </w:rPr>
      </w:pPr>
      <w:r>
        <w:rPr>
          <w:rFonts w:cs="Times New Roman"/>
        </w:rPr>
      </w:r>
    </w:p>
    <w:p>
      <w:pPr>
        <w:pStyle w:val="F21"/>
        <w:tabs>
          <w:tab w:val="left" w:pos="567" w:leader="none"/>
          <w:tab w:val="left" w:pos="1985" w:leader="none"/>
        </w:tabs>
        <w:ind w:left="2552" w:hanging="1985"/>
        <w:rPr>
          <w:rFonts w:cs="Times New Roman"/>
        </w:rPr>
      </w:pPr>
      <w:r>
        <w:rPr>
          <w:rFonts w:cs="Times New Roman"/>
        </w:rPr>
        <w:t>第</w:t>
      </w:r>
      <w:r>
        <w:rPr>
          <w:rFonts w:cs="Times New Roman"/>
        </w:rPr>
        <w:t>86</w:t>
      </w:r>
      <w:r>
        <w:rPr>
          <w:rFonts w:cs="Times New Roman"/>
        </w:rPr>
        <w:t>號</w:t>
      </w:r>
      <w:r>
        <w:rPr>
          <w:rFonts w:cs="Times New Roman"/>
        </w:rPr>
        <w:tab/>
        <w:t>―</w:t>
        <w:tab/>
      </w:r>
      <w:r>
        <w:rPr>
          <w:rFonts w:cs="Times New Roman"/>
        </w:rPr>
        <w:t>二零一四至一五年度第三季</w:t>
      </w:r>
    </w:p>
    <w:p>
      <w:pPr>
        <w:pStyle w:val="F21"/>
        <w:tabs>
          <w:tab w:val="left" w:pos="567" w:leader="none"/>
          <w:tab w:val="left" w:pos="1985" w:leader="none"/>
        </w:tabs>
        <w:ind w:left="2552" w:hanging="1985"/>
        <w:rPr>
          <w:rFonts w:cs="Times New Roman"/>
        </w:rPr>
      </w:pPr>
      <w:r>
        <w:rPr>
          <w:rFonts w:cs="Times New Roman"/>
        </w:rPr>
        <w:tab/>
        <w:tab/>
      </w:r>
      <w:r>
        <w:rPr>
          <w:rFonts w:cs="Times New Roman"/>
        </w:rPr>
        <w:t>核准開支預算所作出的修改報告</w:t>
      </w:r>
    </w:p>
    <w:p>
      <w:pPr>
        <w:pStyle w:val="F21"/>
        <w:tabs>
          <w:tab w:val="left" w:pos="567" w:leader="none"/>
          <w:tab w:val="left" w:pos="1985" w:leader="none"/>
        </w:tabs>
        <w:ind w:left="2552" w:hanging="1985"/>
        <w:rPr>
          <w:rFonts w:cs="Times New Roman"/>
        </w:rPr>
      </w:pPr>
      <w:r>
        <w:rPr>
          <w:rFonts w:cs="Times New Roman"/>
        </w:rPr>
        <w:tab/>
        <w:tab/>
      </w:r>
      <w:r>
        <w:rPr>
          <w:rFonts w:cs="Times New Roman"/>
        </w:rPr>
        <w:t>《公共財政條例》：第</w:t>
      </w:r>
      <w:r>
        <w:rPr>
          <w:rFonts w:cs="Times New Roman"/>
        </w:rPr>
        <w:t>8</w:t>
      </w:r>
      <w:r>
        <w:rPr>
          <w:rFonts w:cs="Times New Roman"/>
        </w:rPr>
        <w:t>條</w:t>
      </w:r>
    </w:p>
    <w:p>
      <w:pPr>
        <w:pStyle w:val="F21"/>
        <w:tabs>
          <w:tab w:val="left" w:pos="567" w:leader="none"/>
          <w:tab w:val="left" w:pos="1985" w:leader="none"/>
        </w:tabs>
        <w:ind w:left="2552" w:hanging="1985"/>
        <w:rPr>
          <w:rFonts w:cs="Times New Roman"/>
        </w:rPr>
      </w:pPr>
      <w:r>
        <w:rPr>
          <w:rFonts w:cs="Times New Roman"/>
        </w:rPr>
      </w:r>
    </w:p>
    <w:p>
      <w:pPr>
        <w:pStyle w:val="F21"/>
        <w:tabs>
          <w:tab w:val="left" w:pos="567" w:leader="none"/>
          <w:tab w:val="left" w:pos="1985" w:leader="none"/>
        </w:tabs>
        <w:ind w:left="2552" w:hanging="1985"/>
        <w:rPr>
          <w:rFonts w:cs="Times New Roman"/>
        </w:rPr>
      </w:pPr>
      <w:r>
        <w:rPr>
          <w:rFonts w:cs="Times New Roman"/>
        </w:rPr>
        <w:t>第</w:t>
      </w:r>
      <w:r>
        <w:rPr>
          <w:rFonts w:cs="Times New Roman"/>
        </w:rPr>
        <w:t>87</w:t>
      </w:r>
      <w:r>
        <w:rPr>
          <w:rFonts w:cs="Times New Roman"/>
        </w:rPr>
        <w:t>號</w:t>
      </w:r>
      <w:r>
        <w:rPr>
          <w:rFonts w:cs="Times New Roman"/>
        </w:rPr>
        <w:tab/>
        <w:t>―</w:t>
        <w:tab/>
      </w:r>
      <w:r>
        <w:rPr>
          <w:rFonts w:cs="Times New Roman"/>
        </w:rPr>
        <w:t>僱員再培訓局</w:t>
      </w:r>
    </w:p>
    <w:p>
      <w:pPr>
        <w:pStyle w:val="F21"/>
        <w:tabs>
          <w:tab w:val="left" w:pos="567" w:leader="none"/>
          <w:tab w:val="left" w:pos="1985" w:leader="none"/>
        </w:tabs>
        <w:ind w:left="2552" w:hanging="1985"/>
        <w:rPr>
          <w:rFonts w:cs="Times New Roman"/>
        </w:rPr>
      </w:pPr>
      <w:r>
        <w:rPr>
          <w:rFonts w:cs="Times New Roman"/>
        </w:rPr>
        <w:tab/>
        <w:tab/>
        <w:t>2013-14</w:t>
      </w:r>
      <w:r>
        <w:rPr>
          <w:rFonts w:cs="Times New Roman"/>
        </w:rPr>
        <w:t>年度年報</w:t>
      </w:r>
    </w:p>
    <w:p>
      <w:pPr>
        <w:pStyle w:val="F21"/>
        <w:rPr>
          <w:rFonts w:cs="Times New Roman"/>
        </w:rPr>
      </w:pPr>
      <w:r>
        <w:rPr>
          <w:rFonts w:cs="Times New Roman"/>
        </w:rPr>
      </w:r>
    </w:p>
    <w:p>
      <w:pPr>
        <w:pStyle w:val="F21"/>
        <w:rPr>
          <w:rFonts w:cs="Times New Roman"/>
        </w:rPr>
      </w:pPr>
      <w:r>
        <w:rPr>
          <w:rFonts w:cs="Times New Roman"/>
        </w:rPr>
        <w:tab/>
      </w:r>
      <w:r>
        <w:rPr>
          <w:rFonts w:cs="Times New Roman"/>
        </w:rPr>
        <w:t>內務委員會有關研究附屬法例及其他文書的第</w:t>
      </w:r>
      <w:r>
        <w:rPr>
          <w:rFonts w:cs="Times New Roman"/>
        </w:rPr>
        <w:t>15/14-15</w:t>
      </w:r>
      <w:r>
        <w:rPr>
          <w:rFonts w:cs="Times New Roman"/>
        </w:rPr>
        <w:t>號報告</w:t>
      </w:r>
    </w:p>
    <w:p>
      <w:pPr>
        <w:pStyle w:val="F21"/>
        <w:rPr>
          <w:rFonts w:cs="Times New Roman"/>
        </w:rPr>
      </w:pPr>
      <w:r>
        <w:rPr>
          <w:rFonts w:cs="Times New Roman"/>
        </w:rPr>
      </w:r>
    </w:p>
    <w:p>
      <w:pPr>
        <w:pStyle w:val="F21"/>
        <w:rPr>
          <w:rFonts w:cs="Times New Roman"/>
        </w:rPr>
      </w:pPr>
      <w:r>
        <w:rPr>
          <w:rFonts w:cs="Times New Roman"/>
        </w:rPr>
        <w:tab/>
      </w:r>
      <w:r>
        <w:rPr>
          <w:rFonts w:cs="Times New Roman"/>
        </w:rPr>
        <w:t>《區域供冷服務條例草案》委員會報告</w:t>
      </w:r>
    </w:p>
    <w:p>
      <w:pPr>
        <w:pStyle w:val="F21"/>
        <w:rPr>
          <w:rFonts w:cs="Times New Roman"/>
        </w:rPr>
      </w:pPr>
      <w:r>
        <w:rPr>
          <w:rFonts w:cs="Times New Roman"/>
        </w:rPr>
      </w:r>
    </w:p>
    <w:p>
      <w:pPr>
        <w:pStyle w:val="F21"/>
        <w:rPr>
          <w:rFonts w:cs="Times New Roman"/>
        </w:rPr>
      </w:pPr>
      <w:r>
        <w:rPr>
          <w:rFonts w:cs="Times New Roman"/>
        </w:rPr>
      </w:r>
    </w:p>
    <w:p>
      <w:pPr>
        <w:pStyle w:val="Normal"/>
        <w:rPr/>
      </w:pPr>
      <w:r>
        <w:rPr/>
        <w:t>Other Papers</w:t>
      </w:r>
    </w:p>
    <w:p>
      <w:pPr>
        <w:pStyle w:val="F21"/>
        <w:rPr>
          <w:rFonts w:cs="Times New Roman"/>
        </w:rPr>
      </w:pPr>
      <w:r>
        <w:rPr>
          <w:rFonts w:cs="Times New Roman"/>
        </w:rPr>
      </w:r>
    </w:p>
    <w:tbl>
      <w:tblPr>
        <w:tblW w:w="8442" w:type="dxa"/>
        <w:jc w:val="left"/>
        <w:tblInd w:w="697" w:type="dxa"/>
        <w:tblCellMar>
          <w:top w:w="0" w:type="dxa"/>
          <w:left w:w="0" w:type="dxa"/>
          <w:bottom w:w="0" w:type="dxa"/>
          <w:right w:w="0" w:type="dxa"/>
        </w:tblCellMar>
        <w:tblLook w:val="01e0" w:noHBand="0" w:noVBand="0" w:firstColumn="1" w:lastRow="1" w:lastColumn="1" w:firstRow="1"/>
      </w:tblPr>
      <w:tblGrid>
        <w:gridCol w:w="1133"/>
        <w:gridCol w:w="562"/>
        <w:gridCol w:w="6747"/>
      </w:tblGrid>
      <w:tr>
        <w:trPr/>
        <w:tc>
          <w:tcPr>
            <w:tcW w:w="1133" w:type="dxa"/>
            <w:tcBorders/>
          </w:tcPr>
          <w:p>
            <w:pPr>
              <w:pStyle w:val="Normal"/>
              <w:rPr/>
            </w:pPr>
            <w:r>
              <w:rPr/>
              <w:t>No. 83</w:t>
            </w:r>
          </w:p>
        </w:tc>
        <w:tc>
          <w:tcPr>
            <w:tcW w:w="562" w:type="dxa"/>
            <w:tcBorders/>
          </w:tcPr>
          <w:p>
            <w:pPr>
              <w:pStyle w:val="Normal"/>
              <w:rPr/>
            </w:pPr>
            <w:r>
              <w:rPr/>
              <w:t>─</w:t>
            </w:r>
          </w:p>
        </w:tc>
        <w:tc>
          <w:tcPr>
            <w:tcW w:w="6747" w:type="dxa"/>
            <w:tcBorders/>
          </w:tcPr>
          <w:p>
            <w:pPr>
              <w:pStyle w:val="Normal"/>
              <w:rPr/>
            </w:pPr>
            <w:r>
              <w:rPr/>
              <w:t>AIDS Trust Fund</w:t>
            </w:r>
          </w:p>
          <w:p>
            <w:pPr>
              <w:pStyle w:val="Normal"/>
              <w:rPr/>
            </w:pPr>
            <w:r>
              <w:rPr/>
              <w:t>Financial statements for the year ended 31 March 2014</w:t>
            </w:r>
          </w:p>
        </w:tc>
      </w:tr>
      <w:tr>
        <w:trPr/>
        <w:tc>
          <w:tcPr>
            <w:tcW w:w="1133" w:type="dxa"/>
            <w:tcBorders/>
          </w:tcPr>
          <w:p>
            <w:pPr>
              <w:pStyle w:val="Normal"/>
              <w:rPr/>
            </w:pPr>
            <w:r>
              <w:rPr/>
            </w:r>
          </w:p>
        </w:tc>
        <w:tc>
          <w:tcPr>
            <w:tcW w:w="562" w:type="dxa"/>
            <w:tcBorders/>
          </w:tcPr>
          <w:p>
            <w:pPr>
              <w:pStyle w:val="Normal"/>
              <w:rPr/>
            </w:pPr>
            <w:r>
              <w:rPr/>
            </w:r>
          </w:p>
        </w:tc>
        <w:tc>
          <w:tcPr>
            <w:tcW w:w="6747" w:type="dxa"/>
            <w:tcBorders/>
          </w:tcPr>
          <w:p>
            <w:pPr>
              <w:pStyle w:val="Normal"/>
              <w:rPr/>
            </w:pPr>
            <w:r>
              <w:rPr/>
            </w:r>
          </w:p>
        </w:tc>
      </w:tr>
      <w:tr>
        <w:trPr/>
        <w:tc>
          <w:tcPr>
            <w:tcW w:w="1133" w:type="dxa"/>
            <w:tcBorders/>
          </w:tcPr>
          <w:p>
            <w:pPr>
              <w:pStyle w:val="Normal"/>
              <w:rPr/>
            </w:pPr>
            <w:r>
              <w:rPr/>
              <w:t>No. 84</w:t>
            </w:r>
          </w:p>
        </w:tc>
        <w:tc>
          <w:tcPr>
            <w:tcW w:w="562" w:type="dxa"/>
            <w:tcBorders/>
          </w:tcPr>
          <w:p>
            <w:pPr>
              <w:pStyle w:val="Normal"/>
              <w:rPr/>
            </w:pPr>
            <w:r>
              <w:rPr/>
              <w:t>─</w:t>
            </w:r>
          </w:p>
        </w:tc>
        <w:tc>
          <w:tcPr>
            <w:tcW w:w="6747" w:type="dxa"/>
            <w:tcBorders/>
          </w:tcPr>
          <w:p>
            <w:pPr>
              <w:pStyle w:val="Normal"/>
              <w:rPr/>
            </w:pPr>
            <w:r>
              <w:rPr/>
              <w:t>Self-financing Post-secondary Education Fund</w:t>
            </w:r>
          </w:p>
          <w:p>
            <w:pPr>
              <w:pStyle w:val="Normal"/>
              <w:rPr/>
            </w:pPr>
            <w:r>
              <w:rPr/>
              <w:t>Financial statements for the year ended 31 August 2014</w:t>
            </w:r>
          </w:p>
        </w:tc>
      </w:tr>
      <w:tr>
        <w:trPr/>
        <w:tc>
          <w:tcPr>
            <w:tcW w:w="1133" w:type="dxa"/>
            <w:tcBorders/>
          </w:tcPr>
          <w:p>
            <w:pPr>
              <w:pStyle w:val="Normal"/>
              <w:rPr/>
            </w:pPr>
            <w:r>
              <w:rPr/>
            </w:r>
          </w:p>
        </w:tc>
        <w:tc>
          <w:tcPr>
            <w:tcW w:w="562" w:type="dxa"/>
            <w:tcBorders/>
          </w:tcPr>
          <w:p>
            <w:pPr>
              <w:pStyle w:val="Normal"/>
              <w:rPr/>
            </w:pPr>
            <w:r>
              <w:rPr/>
            </w:r>
          </w:p>
        </w:tc>
        <w:tc>
          <w:tcPr>
            <w:tcW w:w="6747" w:type="dxa"/>
            <w:tcBorders/>
          </w:tcPr>
          <w:p>
            <w:pPr>
              <w:pStyle w:val="Normal"/>
              <w:rPr/>
            </w:pPr>
            <w:r>
              <w:rPr/>
            </w:r>
          </w:p>
        </w:tc>
      </w:tr>
      <w:tr>
        <w:trPr/>
        <w:tc>
          <w:tcPr>
            <w:tcW w:w="1133" w:type="dxa"/>
            <w:tcBorders/>
          </w:tcPr>
          <w:p>
            <w:pPr>
              <w:pStyle w:val="Normal"/>
              <w:rPr/>
            </w:pPr>
            <w:r>
              <w:rPr/>
              <w:t>No. 85</w:t>
            </w:r>
          </w:p>
        </w:tc>
        <w:tc>
          <w:tcPr>
            <w:tcW w:w="562" w:type="dxa"/>
            <w:tcBorders/>
          </w:tcPr>
          <w:p>
            <w:pPr>
              <w:pStyle w:val="Normal"/>
              <w:rPr/>
            </w:pPr>
            <w:r>
              <w:rPr/>
              <w:t>─</w:t>
            </w:r>
          </w:p>
        </w:tc>
        <w:tc>
          <w:tcPr>
            <w:tcW w:w="6747" w:type="dxa"/>
            <w:tcBorders/>
          </w:tcPr>
          <w:p>
            <w:pPr>
              <w:pStyle w:val="Normal"/>
              <w:rPr/>
            </w:pPr>
            <w:r>
              <w:rPr/>
              <w:t>HKSAR Government Scholarship Fund</w:t>
            </w:r>
          </w:p>
          <w:p>
            <w:pPr>
              <w:pStyle w:val="Normal"/>
              <w:rPr/>
            </w:pPr>
            <w:r>
              <w:rPr/>
              <w:t>Financial statements for the year ended 31 August 2014</w:t>
            </w:r>
          </w:p>
        </w:tc>
      </w:tr>
      <w:tr>
        <w:trPr/>
        <w:tc>
          <w:tcPr>
            <w:tcW w:w="1133" w:type="dxa"/>
            <w:tcBorders/>
          </w:tcPr>
          <w:p>
            <w:pPr>
              <w:pStyle w:val="Normal"/>
              <w:rPr/>
            </w:pPr>
            <w:r>
              <w:rPr/>
            </w:r>
          </w:p>
        </w:tc>
        <w:tc>
          <w:tcPr>
            <w:tcW w:w="562" w:type="dxa"/>
            <w:tcBorders/>
          </w:tcPr>
          <w:p>
            <w:pPr>
              <w:pStyle w:val="Normal"/>
              <w:rPr/>
            </w:pPr>
            <w:r>
              <w:rPr/>
            </w:r>
          </w:p>
        </w:tc>
        <w:tc>
          <w:tcPr>
            <w:tcW w:w="6747" w:type="dxa"/>
            <w:tcBorders/>
          </w:tcPr>
          <w:p>
            <w:pPr>
              <w:pStyle w:val="Normal"/>
              <w:rPr/>
            </w:pPr>
            <w:r>
              <w:rPr/>
            </w:r>
          </w:p>
        </w:tc>
      </w:tr>
      <w:tr>
        <w:trPr/>
        <w:tc>
          <w:tcPr>
            <w:tcW w:w="1133" w:type="dxa"/>
            <w:tcBorders/>
          </w:tcPr>
          <w:p>
            <w:pPr>
              <w:pStyle w:val="Normal"/>
              <w:rPr/>
            </w:pPr>
            <w:r>
              <w:rPr/>
              <w:t>No. 86</w:t>
            </w:r>
          </w:p>
        </w:tc>
        <w:tc>
          <w:tcPr>
            <w:tcW w:w="562" w:type="dxa"/>
            <w:tcBorders/>
          </w:tcPr>
          <w:p>
            <w:pPr>
              <w:pStyle w:val="Normal"/>
              <w:rPr/>
            </w:pPr>
            <w:r>
              <w:rPr/>
              <w:t>─</w:t>
            </w:r>
          </w:p>
        </w:tc>
        <w:tc>
          <w:tcPr>
            <w:tcW w:w="6747" w:type="dxa"/>
            <w:tcBorders/>
          </w:tcPr>
          <w:p>
            <w:pPr>
              <w:pStyle w:val="Normal"/>
              <w:ind w:right="57" w:hanging="0"/>
              <w:rPr/>
            </w:pPr>
            <w:r>
              <w:rPr/>
              <w:t>Report of changes made to the approved Estimates of Expenditure during the third quarter of 2014-15</w:t>
            </w:r>
          </w:p>
          <w:p>
            <w:pPr>
              <w:pStyle w:val="Normal"/>
              <w:rPr/>
            </w:pPr>
            <w:r>
              <w:rPr/>
              <w:t>Public Finance Ordinance: Section 8</w:t>
            </w:r>
          </w:p>
        </w:tc>
      </w:tr>
      <w:tr>
        <w:trPr/>
        <w:tc>
          <w:tcPr>
            <w:tcW w:w="1133" w:type="dxa"/>
            <w:tcBorders/>
          </w:tcPr>
          <w:p>
            <w:pPr>
              <w:pStyle w:val="Normal"/>
              <w:rPr/>
            </w:pPr>
            <w:r>
              <w:rPr/>
            </w:r>
          </w:p>
        </w:tc>
        <w:tc>
          <w:tcPr>
            <w:tcW w:w="562" w:type="dxa"/>
            <w:tcBorders/>
          </w:tcPr>
          <w:p>
            <w:pPr>
              <w:pStyle w:val="Normal"/>
              <w:rPr/>
            </w:pPr>
            <w:r>
              <w:rPr/>
            </w:r>
          </w:p>
        </w:tc>
        <w:tc>
          <w:tcPr>
            <w:tcW w:w="6747" w:type="dxa"/>
            <w:tcBorders/>
          </w:tcPr>
          <w:p>
            <w:pPr>
              <w:pStyle w:val="Normal"/>
              <w:rPr/>
            </w:pPr>
            <w:r>
              <w:rPr/>
            </w:r>
          </w:p>
        </w:tc>
      </w:tr>
      <w:tr>
        <w:trPr/>
        <w:tc>
          <w:tcPr>
            <w:tcW w:w="1133" w:type="dxa"/>
            <w:tcBorders/>
          </w:tcPr>
          <w:p>
            <w:pPr>
              <w:pStyle w:val="Normal"/>
              <w:spacing w:lineRule="atLeast" w:line="370"/>
              <w:rPr/>
            </w:pPr>
            <w:r>
              <w:rPr/>
              <w:t>No. 87</w:t>
            </w:r>
          </w:p>
        </w:tc>
        <w:tc>
          <w:tcPr>
            <w:tcW w:w="562" w:type="dxa"/>
            <w:tcBorders/>
          </w:tcPr>
          <w:p>
            <w:pPr>
              <w:pStyle w:val="Normal"/>
              <w:spacing w:lineRule="atLeast" w:line="370"/>
              <w:rPr/>
            </w:pPr>
            <w:r>
              <w:rPr/>
              <w:t>─</w:t>
            </w:r>
          </w:p>
        </w:tc>
        <w:tc>
          <w:tcPr>
            <w:tcW w:w="6747" w:type="dxa"/>
            <w:tcBorders/>
          </w:tcPr>
          <w:p>
            <w:pPr>
              <w:pStyle w:val="Normal"/>
              <w:spacing w:lineRule="atLeast" w:line="370"/>
              <w:rPr/>
            </w:pPr>
            <w:r>
              <w:rPr/>
              <w:t>Employees Retraining Board</w:t>
            </w:r>
          </w:p>
          <w:p>
            <w:pPr>
              <w:pStyle w:val="Normal"/>
              <w:spacing w:lineRule="atLeast" w:line="370"/>
              <w:rPr/>
            </w:pPr>
            <w:r>
              <w:rPr/>
              <w:t>Annual Report 2013-14</w:t>
            </w:r>
          </w:p>
        </w:tc>
      </w:tr>
      <w:tr>
        <w:trPr/>
        <w:tc>
          <w:tcPr>
            <w:tcW w:w="1133" w:type="dxa"/>
            <w:tcBorders/>
          </w:tcPr>
          <w:p>
            <w:pPr>
              <w:pStyle w:val="Normal"/>
              <w:spacing w:lineRule="atLeast" w:line="370"/>
              <w:rPr/>
            </w:pPr>
            <w:r>
              <w:rPr/>
            </w:r>
          </w:p>
        </w:tc>
        <w:tc>
          <w:tcPr>
            <w:tcW w:w="562" w:type="dxa"/>
            <w:tcBorders/>
          </w:tcPr>
          <w:p>
            <w:pPr>
              <w:pStyle w:val="Normal"/>
              <w:spacing w:lineRule="atLeast" w:line="370"/>
              <w:rPr/>
            </w:pPr>
            <w:r>
              <w:rPr/>
            </w:r>
          </w:p>
        </w:tc>
        <w:tc>
          <w:tcPr>
            <w:tcW w:w="6747" w:type="dxa"/>
            <w:tcBorders/>
          </w:tcPr>
          <w:p>
            <w:pPr>
              <w:pStyle w:val="Normal"/>
              <w:spacing w:lineRule="atLeast" w:line="370"/>
              <w:rPr/>
            </w:pPr>
            <w:r>
              <w:rPr/>
            </w:r>
          </w:p>
        </w:tc>
      </w:tr>
      <w:tr>
        <w:trPr/>
        <w:tc>
          <w:tcPr>
            <w:tcW w:w="8442" w:type="dxa"/>
            <w:gridSpan w:val="3"/>
            <w:tcBorders/>
          </w:tcPr>
          <w:p>
            <w:pPr>
              <w:pStyle w:val="Normal"/>
              <w:spacing w:lineRule="atLeast" w:line="370"/>
              <w:ind w:right="57" w:hanging="0"/>
              <w:rPr/>
            </w:pPr>
            <w:r>
              <w:rPr/>
              <w:t>Report No. 15/14-15 of the House Committee on Consideration of Subsidiary Legislation and Other Instruments</w:t>
            </w:r>
          </w:p>
        </w:tc>
      </w:tr>
      <w:tr>
        <w:trPr/>
        <w:tc>
          <w:tcPr>
            <w:tcW w:w="1133" w:type="dxa"/>
            <w:tcBorders/>
          </w:tcPr>
          <w:p>
            <w:pPr>
              <w:pStyle w:val="Normal"/>
              <w:spacing w:lineRule="atLeast" w:line="370"/>
              <w:rPr/>
            </w:pPr>
            <w:r>
              <w:rPr/>
            </w:r>
          </w:p>
        </w:tc>
        <w:tc>
          <w:tcPr>
            <w:tcW w:w="562" w:type="dxa"/>
            <w:tcBorders/>
          </w:tcPr>
          <w:p>
            <w:pPr>
              <w:pStyle w:val="Normal"/>
              <w:spacing w:lineRule="atLeast" w:line="370"/>
              <w:rPr/>
            </w:pPr>
            <w:r>
              <w:rPr/>
            </w:r>
          </w:p>
        </w:tc>
        <w:tc>
          <w:tcPr>
            <w:tcW w:w="6747" w:type="dxa"/>
            <w:tcBorders/>
          </w:tcPr>
          <w:p>
            <w:pPr>
              <w:pStyle w:val="Normal"/>
              <w:spacing w:lineRule="atLeast" w:line="370"/>
              <w:rPr/>
            </w:pPr>
            <w:r>
              <w:rPr/>
            </w:r>
          </w:p>
        </w:tc>
      </w:tr>
      <w:tr>
        <w:trPr/>
        <w:tc>
          <w:tcPr>
            <w:tcW w:w="8442" w:type="dxa"/>
            <w:gridSpan w:val="3"/>
            <w:tcBorders/>
          </w:tcPr>
          <w:p>
            <w:pPr>
              <w:pStyle w:val="Normal"/>
              <w:spacing w:lineRule="atLeast" w:line="370"/>
              <w:rPr/>
            </w:pPr>
            <w:r>
              <w:rPr/>
              <w:t>Report of the Bills Committee on District Cooling Services Bill</w:t>
            </w:r>
          </w:p>
        </w:tc>
      </w:tr>
    </w:tbl>
    <w:p>
      <w:pPr>
        <w:pStyle w:val="Normal"/>
        <w:widowControl/>
        <w:tabs>
          <w:tab w:val="clear" w:pos="720"/>
        </w:tabs>
        <w:spacing w:lineRule="atLeast" w:line="370"/>
        <w:jc w:val="left"/>
        <w:rPr>
          <w:lang w:val="en-US"/>
        </w:rPr>
      </w:pPr>
      <w:r>
        <w:rPr>
          <w:lang w:val="en-US"/>
        </w:rPr>
      </w:r>
    </w:p>
    <w:p>
      <w:pPr>
        <w:pStyle w:val="Normal"/>
        <w:widowControl/>
        <w:tabs>
          <w:tab w:val="clear" w:pos="720"/>
        </w:tabs>
        <w:spacing w:lineRule="atLeast" w:line="370"/>
        <w:jc w:val="left"/>
        <w:rPr>
          <w:spacing w:val="20"/>
          <w:sz w:val="27"/>
          <w:szCs w:val="22"/>
          <w:lang w:val="en-US"/>
        </w:rPr>
      </w:pPr>
      <w:r>
        <w:rPr>
          <w:spacing w:val="20"/>
          <w:sz w:val="27"/>
          <w:szCs w:val="22"/>
          <w:lang w:val="en-US"/>
        </w:rPr>
      </w:r>
    </w:p>
    <w:p>
      <w:pPr>
        <w:pStyle w:val="F21"/>
        <w:spacing w:lineRule="atLeast" w:line="370"/>
        <w:rPr>
          <w:rFonts w:eastAsia="華康中黑體" w:cs="Times New Roman"/>
          <w:b/>
          <w:b/>
          <w:sz w:val="28"/>
          <w:szCs w:val="28"/>
        </w:rPr>
      </w:pPr>
      <w:bookmarkStart w:id="10" w:name="orq"/>
      <w:r>
        <w:rPr>
          <w:rFonts w:cs="Times New Roman" w:eastAsia="華康中黑體"/>
          <w:b/>
          <w:sz w:val="28"/>
          <w:szCs w:val="28"/>
        </w:rPr>
        <w:t>議員質詢的口頭答覆</w:t>
      </w:r>
    </w:p>
    <w:p>
      <w:pPr>
        <w:pStyle w:val="Normal"/>
        <w:spacing w:lineRule="atLeast" w:line="370"/>
        <w:rPr>
          <w:b/>
          <w:b/>
          <w:color w:val="FF0000"/>
          <w:spacing w:val="20"/>
          <w:sz w:val="27"/>
          <w:szCs w:val="27"/>
          <w:lang w:val="en-US"/>
        </w:rPr>
      </w:pPr>
      <w:bookmarkStart w:id="11" w:name="orq"/>
      <w:r>
        <w:rPr>
          <w:b/>
        </w:rPr>
        <w:t>ORAL ANSWERS TO QUESTIONS</w:t>
      </w:r>
      <w:bookmarkEnd w:id="11"/>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eastAsia="華康中黑體"/>
          <w:b/>
        </w:rPr>
        <w:t>主席</w:t>
      </w:r>
      <w:r>
        <w:rPr>
          <w:rFonts w:cs="Times New Roman"/>
        </w:rPr>
        <w:t>：質詢。第一項質詢。</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eastAsia="華康中黑體" w:cs="Times New Roman"/>
          <w:b/>
          <w:b/>
        </w:rPr>
      </w:pPr>
      <w:bookmarkStart w:id="12" w:name="orq01"/>
      <w:r>
        <w:rPr>
          <w:rFonts w:cs="Times New Roman" w:eastAsia="華康中黑體"/>
          <w:b/>
        </w:rPr>
        <w:t>在香港發展數據中心</w:t>
      </w:r>
    </w:p>
    <w:p>
      <w:pPr>
        <w:pStyle w:val="Normal"/>
        <w:spacing w:lineRule="atLeast" w:line="370"/>
        <w:rPr>
          <w:b/>
          <w:b/>
        </w:rPr>
      </w:pPr>
      <w:bookmarkStart w:id="13" w:name="orq01"/>
      <w:r>
        <w:rPr>
          <w:b/>
        </w:rPr>
        <w:t>Development of Data Centres in Hong Kong</w:t>
      </w:r>
      <w:bookmarkEnd w:id="13"/>
    </w:p>
    <w:p>
      <w:pPr>
        <w:pStyle w:val="F21"/>
        <w:spacing w:lineRule="atLeast" w:line="370"/>
        <w:rPr>
          <w:rFonts w:cs="Times New Roman"/>
        </w:rPr>
      </w:pPr>
      <w:r>
        <w:rPr>
          <w:rFonts w:cs="Times New Roman"/>
        </w:rPr>
      </w:r>
    </w:p>
    <w:p>
      <w:pPr>
        <w:pStyle w:val="F21"/>
        <w:spacing w:lineRule="atLeast" w:line="370"/>
        <w:rPr>
          <w:i/>
          <w:i/>
          <w:szCs w:val="27"/>
        </w:rPr>
      </w:pPr>
      <w:r>
        <w:rPr>
          <w:rFonts w:eastAsia="華康中黑體"/>
          <w:b/>
          <w:szCs w:val="27"/>
        </w:rPr>
        <w:t>1.</w:t>
        <w:tab/>
      </w:r>
      <w:r>
        <w:rPr>
          <w:rFonts w:eastAsia="華康中黑體"/>
          <w:b/>
          <w:szCs w:val="27"/>
        </w:rPr>
        <w:t>馮檢基議員</w:t>
      </w:r>
      <w:r>
        <w:rPr>
          <w:szCs w:val="27"/>
        </w:rPr>
        <w:t>：</w:t>
      </w:r>
      <w:r>
        <w:rPr>
          <w:i/>
          <w:szCs w:val="27"/>
        </w:rPr>
        <w:t>主席，本人曾於上月</w:t>
      </w:r>
      <w:r>
        <w:rPr>
          <w:i/>
          <w:szCs w:val="27"/>
        </w:rPr>
        <w:t>11</w:t>
      </w:r>
      <w:r>
        <w:rPr>
          <w:i/>
          <w:szCs w:val="27"/>
        </w:rPr>
        <w:t>日就香港科技園公司</w:t>
      </w:r>
      <w:r>
        <w:rPr>
          <w:i/>
          <w:szCs w:val="27"/>
        </w:rPr>
        <w:t>(</w:t>
      </w:r>
      <w:r>
        <w:rPr>
          <w:i/>
          <w:szCs w:val="27"/>
        </w:rPr>
        <w:t>下稱“科技園公司”</w:t>
      </w:r>
      <w:r>
        <w:rPr>
          <w:i/>
          <w:szCs w:val="27"/>
        </w:rPr>
        <w:t>)</w:t>
      </w:r>
      <w:r>
        <w:rPr>
          <w:i/>
          <w:szCs w:val="27"/>
        </w:rPr>
        <w:t>批出轄下工業邨用地，以供發展數據中心事宜提出質詢。就此，政府可否告知本會：</w:t>
      </w:r>
    </w:p>
    <w:p>
      <w:pPr>
        <w:pStyle w:val="F21"/>
        <w:spacing w:lineRule="atLeast" w:line="370"/>
        <w:rPr>
          <w:i/>
          <w:i/>
          <w:szCs w:val="27"/>
        </w:rPr>
      </w:pPr>
      <w:r>
        <w:rPr>
          <w:i/>
          <w:szCs w:val="27"/>
        </w:rPr>
      </w:r>
    </w:p>
    <w:p>
      <w:pPr>
        <w:pStyle w:val="Style13"/>
        <w:spacing w:lineRule="atLeast" w:line="370"/>
        <w:rPr/>
      </w:pPr>
      <w:r>
        <w:rPr/>
        <w:t>(</w:t>
      </w:r>
      <w:r>
        <w:rPr/>
        <w:t>一</w:t>
      </w:r>
      <w:r>
        <w:rPr/>
        <w:t>)</w:t>
        <w:tab/>
      </w:r>
      <w:r>
        <w:rPr/>
        <w:t>鑒於當局在答覆中表示，“科技園公司過去亦曾就一些懷疑出現出租或分租第三者的個案進行調查。個別被證實有違反地契條款及條件</w:t>
      </w:r>
      <w:r>
        <w:rPr/>
        <w:t>(</w:t>
      </w:r>
      <w:r>
        <w:rPr/>
        <w:t>下稱‘違契’</w:t>
      </w:r>
      <w:r>
        <w:rPr/>
        <w:t>)</w:t>
      </w:r>
      <w:r>
        <w:rPr/>
        <w:t>的承批人都在科技園公司跟進後糾正違規情況。科技園公司會繼續監察工業邨內數據中心的運作，按照租契協議採取適當跟進行動”，政府是否知悉過去</w:t>
      </w:r>
      <w:r>
        <w:rPr/>
        <w:t>3</w:t>
      </w:r>
      <w:r>
        <w:rPr/>
        <w:t>年的違契個案的詳情，以及對違契承批人作出懲處的機制為何，包括首次及重複違契的罰則，以及在甚麼情況下會收回用地；與各承批人簽訂的租契是否已載有該等懲處條款；若是，詳情為何；若否，科技園公司會否考慮加入該等條款；若不會考慮，原因為何；</w:t>
      </w:r>
    </w:p>
    <w:p>
      <w:pPr>
        <w:pStyle w:val="Style13"/>
        <w:spacing w:lineRule="atLeast" w:line="370"/>
        <w:rPr/>
      </w:pPr>
      <w:r>
        <w:rPr/>
      </w:r>
    </w:p>
    <w:p>
      <w:pPr>
        <w:pStyle w:val="Style13"/>
        <w:spacing w:lineRule="atLeast" w:line="370"/>
        <w:rPr>
          <w:i w:val="false"/>
          <w:i w:val="false"/>
        </w:rPr>
      </w:pPr>
      <w:r>
        <w:rPr/>
        <w:t>(</w:t>
      </w:r>
      <w:r>
        <w:rPr/>
        <w:t>二</w:t>
      </w:r>
      <w:r>
        <w:rPr/>
        <w:t>)</w:t>
        <w:tab/>
      </w:r>
      <w:r>
        <w:rPr/>
        <w:t>鑒於科技園公司一方面需吸引投資者進駐工業邨以賺取收入，另一方面又負責監察獲批工業邨用地的公司有否違契，當局如何避免該公司在履行該兩項職能時產生角色和利益的衝突；及</w:t>
      </w:r>
      <w:r>
        <w:br w:type="page"/>
      </w:r>
    </w:p>
    <w:p>
      <w:pPr>
        <w:pStyle w:val="Style13"/>
        <w:rPr/>
      </w:pPr>
      <w:r>
        <w:rPr/>
        <w:t>(</w:t>
      </w:r>
      <w:r>
        <w:rPr/>
        <w:t>三</w:t>
      </w:r>
      <w:r>
        <w:rPr/>
        <w:t>)</w:t>
        <w:tab/>
      </w:r>
      <w:r>
        <w:rPr/>
        <w:t>當局在制訂策略以推動數據中心發展的過程中，有否以“提供公平的營商環境”作為考慮因素和原則；若有，鑒於科技園公司以低於市值的地價批出工業邨用地，因此吸引了不少跨國企業進駐工業邨設立數據中心，當局有否評估該做法有否令在工業邨外設立數據中心的營辦商面對不公平的營商環境；若有不公平的情況，當局會否全面檢討有關的策略，以期締造公平和透明度高的營商環境？</w:t>
      </w:r>
    </w:p>
    <w:p>
      <w:pPr>
        <w:pStyle w:val="Style13"/>
        <w:ind w:left="0" w:hanging="0"/>
        <w:rPr/>
      </w:pPr>
      <w:r>
        <w:rPr/>
      </w:r>
    </w:p>
    <w:p>
      <w:pPr>
        <w:pStyle w:val="Style13"/>
        <w:ind w:left="0" w:hanging="0"/>
        <w:rPr/>
      </w:pPr>
      <w:r>
        <w:rPr/>
      </w:r>
    </w:p>
    <w:p>
      <w:pPr>
        <w:pStyle w:val="Style13"/>
        <w:ind w:left="0" w:hanging="0"/>
        <w:rPr>
          <w:i w:val="false"/>
          <w:i w:val="false"/>
        </w:rPr>
      </w:pPr>
      <w:r>
        <w:rPr>
          <w:rFonts w:eastAsia="華康中黑體"/>
          <w:b/>
          <w:i w:val="false"/>
          <w:szCs w:val="27"/>
        </w:rPr>
        <w:t>商務及經濟發展局局長</w:t>
      </w:r>
      <w:r>
        <w:rPr>
          <w:i w:val="false"/>
          <w:szCs w:val="27"/>
        </w:rPr>
        <w:t>：主席，</w:t>
      </w:r>
      <w:r>
        <w:rPr>
          <w:i w:val="false"/>
        </w:rPr>
        <w:t>政府為滿足本地製造業對土地的需求，在</w:t>
      </w:r>
      <w:r>
        <w:rPr>
          <w:i w:val="false"/>
        </w:rPr>
        <w:t>70</w:t>
      </w:r>
      <w:r>
        <w:rPr>
          <w:i w:val="false"/>
        </w:rPr>
        <w:t>年代制訂了工業邨計劃，旨在：</w:t>
      </w:r>
    </w:p>
    <w:p>
      <w:pPr>
        <w:pStyle w:val="Style13"/>
        <w:ind w:left="0" w:hanging="0"/>
        <w:rPr>
          <w:i w:val="false"/>
          <w:i w:val="false"/>
        </w:rPr>
      </w:pPr>
      <w:r>
        <w:rPr>
          <w:i w:val="false"/>
        </w:rPr>
      </w:r>
    </w:p>
    <w:p>
      <w:pPr>
        <w:pStyle w:val="Style13"/>
        <w:ind w:left="1134" w:hanging="567"/>
        <w:rPr>
          <w:i w:val="false"/>
          <w:i w:val="false"/>
        </w:rPr>
      </w:pPr>
      <w:r>
        <w:rPr>
          <w:i w:val="false"/>
        </w:rPr>
        <w:t>(1)</w:t>
        <w:tab/>
      </w:r>
      <w:r>
        <w:rPr>
          <w:i w:val="false"/>
        </w:rPr>
        <w:t>擴闊工業／生產基礎，提升技術水平，從而帶動更多元化的經濟發展；及</w:t>
      </w:r>
    </w:p>
    <w:p>
      <w:pPr>
        <w:pStyle w:val="Style13"/>
        <w:ind w:left="1134" w:hanging="567"/>
        <w:rPr>
          <w:i w:val="false"/>
          <w:i w:val="false"/>
        </w:rPr>
      </w:pPr>
      <w:r>
        <w:rPr>
          <w:i w:val="false"/>
        </w:rPr>
      </w:r>
    </w:p>
    <w:p>
      <w:pPr>
        <w:pStyle w:val="Style13"/>
        <w:ind w:left="1134" w:hanging="567"/>
        <w:rPr>
          <w:i w:val="false"/>
          <w:i w:val="false"/>
        </w:rPr>
      </w:pPr>
      <w:r>
        <w:rPr>
          <w:i w:val="false"/>
        </w:rPr>
        <w:t>(2)</w:t>
        <w:tab/>
      </w:r>
      <w:r>
        <w:rPr>
          <w:i w:val="false"/>
        </w:rPr>
        <w:t>為有特別需要的製造業，如需要更多橫向空間、重樓面負荷量、高樓底及／或因環境因素而未能在分層工廠大廈或須遠離市區運作的製造業提供土地。</w:t>
      </w:r>
    </w:p>
    <w:p>
      <w:pPr>
        <w:pStyle w:val="Style13"/>
        <w:ind w:left="0" w:hanging="0"/>
        <w:rPr>
          <w:i w:val="false"/>
          <w:i w:val="false"/>
        </w:rPr>
      </w:pPr>
      <w:r>
        <w:rPr>
          <w:i w:val="false"/>
        </w:rPr>
      </w:r>
    </w:p>
    <w:p>
      <w:pPr>
        <w:pStyle w:val="Style13"/>
        <w:ind w:left="0" w:hanging="0"/>
        <w:rPr>
          <w:i w:val="false"/>
          <w:i w:val="false"/>
        </w:rPr>
      </w:pPr>
      <w:r>
        <w:rPr>
          <w:i w:val="false"/>
        </w:rPr>
        <w:tab/>
      </w:r>
      <w:r>
        <w:rPr>
          <w:i w:val="false"/>
        </w:rPr>
        <w:t>目前，科技園公司負責管理位於大埔、元朗和將軍澳的</w:t>
      </w:r>
      <w:r>
        <w:rPr>
          <w:i w:val="false"/>
        </w:rPr>
        <w:t>3</w:t>
      </w:r>
      <w:r>
        <w:rPr>
          <w:i w:val="false"/>
        </w:rPr>
        <w:t>個工業邨，合共提供</w:t>
      </w:r>
      <w:r>
        <w:rPr>
          <w:i w:val="false"/>
        </w:rPr>
        <w:t>217</w:t>
      </w:r>
      <w:r>
        <w:rPr>
          <w:i w:val="false"/>
        </w:rPr>
        <w:t>公頃土地，以供長期租用至</w:t>
      </w:r>
      <w:r>
        <w:rPr>
          <w:i w:val="false"/>
        </w:rPr>
        <w:t>2047</w:t>
      </w:r>
      <w:r>
        <w:rPr>
          <w:i w:val="false"/>
        </w:rPr>
        <w:t>年。工業邨的營運情況見證了香港產業結構的轉型。大埔工業邨及元朗工業邨分別在</w:t>
      </w:r>
      <w:r>
        <w:rPr>
          <w:i w:val="false"/>
        </w:rPr>
        <w:t>1978</w:t>
      </w:r>
      <w:r>
        <w:rPr>
          <w:i w:val="false"/>
        </w:rPr>
        <w:t>年及</w:t>
      </w:r>
      <w:r>
        <w:rPr>
          <w:i w:val="false"/>
        </w:rPr>
        <w:t>1980</w:t>
      </w:r>
      <w:r>
        <w:rPr>
          <w:i w:val="false"/>
        </w:rPr>
        <w:t>年啟用，初期的主要批地用途為傳統的製造業，例如機械零件、金屬產品、包裝物料、建築材料，以及大量用水的行業如廢紙再造及漂染等。到</w:t>
      </w:r>
      <w:r>
        <w:rPr>
          <w:i w:val="false"/>
        </w:rPr>
        <w:t>80</w:t>
      </w:r>
      <w:r>
        <w:rPr>
          <w:i w:val="false"/>
        </w:rPr>
        <w:t>年代末至</w:t>
      </w:r>
      <w:r>
        <w:rPr>
          <w:i w:val="false"/>
        </w:rPr>
        <w:t>90</w:t>
      </w:r>
      <w:r>
        <w:rPr>
          <w:i w:val="false"/>
        </w:rPr>
        <w:t>年代初，隨着科技進步，製造電子零件如印刷電路板及半導體的新項目開始進駐兩個工業邨。食物及飲品生產業、印刷出版業也是當時工業邨內的主要行業。將軍澳工業邨於</w:t>
      </w:r>
      <w:r>
        <w:rPr>
          <w:i w:val="false"/>
        </w:rPr>
        <w:t>1994</w:t>
      </w:r>
      <w:r>
        <w:rPr>
          <w:i w:val="false"/>
        </w:rPr>
        <w:t>年至</w:t>
      </w:r>
      <w:r>
        <w:rPr>
          <w:i w:val="false"/>
        </w:rPr>
        <w:t>1996</w:t>
      </w:r>
      <w:r>
        <w:rPr>
          <w:i w:val="false"/>
        </w:rPr>
        <w:t>年分兩個階段啟用，為需要大面積用地或臨海的廠商提供更多機會。基於土地資源短缺和高成本等因素，不少從事大規模生產的產業已陸續遷移內地。不過，香港具有其他競爭優勢，例如位置適中、鄰近龐大的內地市場、具國際水平的知識產權保護制度、擁有良好“品牌”、充裕的研發人才等。這些優勢令香港適合發展高增值和高科技的產業，例如高端數據中心、醫藥和其他綠色產業等。有見及此，於</w:t>
      </w:r>
      <w:r>
        <w:rPr>
          <w:i w:val="false"/>
        </w:rPr>
        <w:t>1998</w:t>
      </w:r>
      <w:r>
        <w:rPr>
          <w:i w:val="false"/>
        </w:rPr>
        <w:t>年，政府將在工業邨可進行的工業活動範圍擴展至工業服務業，包括廣播和電訊業。</w:t>
      </w:r>
    </w:p>
    <w:p>
      <w:pPr>
        <w:pStyle w:val="Style13"/>
        <w:ind w:left="0" w:hanging="0"/>
        <w:rPr>
          <w:i w:val="false"/>
          <w:i w:val="false"/>
        </w:rPr>
      </w:pPr>
      <w:r>
        <w:rPr>
          <w:i w:val="false"/>
        </w:rPr>
      </w:r>
    </w:p>
    <w:p>
      <w:pPr>
        <w:pStyle w:val="Style13"/>
        <w:ind w:left="0" w:hanging="0"/>
        <w:rPr>
          <w:i w:val="false"/>
          <w:i w:val="false"/>
        </w:rPr>
      </w:pPr>
      <w:r>
        <w:rPr>
          <w:i w:val="false"/>
        </w:rPr>
        <w:tab/>
      </w:r>
      <w:r>
        <w:rPr>
          <w:i w:val="false"/>
        </w:rPr>
        <w:t>根據現時的工業邨政策，科技園公司按土地開發成本釐定工業邨的地價，並根據通脹及當前市況定期調整；科技園公司不會指定個別工業邨用地的產業；所有符合進駐工業邨基本條件的產業均可提出申請；科技園公司亦會按相同機制審批所有申請，以及監察其在工業邨內的運作情況。</w:t>
      </w:r>
    </w:p>
    <w:p>
      <w:pPr>
        <w:pStyle w:val="Style13"/>
        <w:ind w:left="0" w:hanging="0"/>
        <w:rPr>
          <w:i w:val="false"/>
          <w:i w:val="false"/>
        </w:rPr>
      </w:pPr>
      <w:r>
        <w:rPr>
          <w:i w:val="false"/>
        </w:rPr>
      </w:r>
    </w:p>
    <w:p>
      <w:pPr>
        <w:pStyle w:val="Style13"/>
        <w:ind w:left="0" w:hanging="0"/>
        <w:rPr>
          <w:i w:val="false"/>
          <w:i w:val="false"/>
        </w:rPr>
      </w:pPr>
      <w:r>
        <w:rPr>
          <w:i w:val="false"/>
        </w:rPr>
        <w:tab/>
      </w:r>
      <w:r>
        <w:rPr>
          <w:i w:val="false"/>
        </w:rPr>
        <w:t>我現就質詢的</w:t>
      </w:r>
      <w:r>
        <w:rPr>
          <w:i w:val="false"/>
        </w:rPr>
        <w:t>3</w:t>
      </w:r>
      <w:r>
        <w:rPr>
          <w:i w:val="false"/>
        </w:rPr>
        <w:t>個部分答覆如下：</w:t>
      </w:r>
    </w:p>
    <w:p>
      <w:pPr>
        <w:pStyle w:val="Style13"/>
        <w:ind w:left="0" w:hanging="0"/>
        <w:rPr>
          <w:i w:val="false"/>
          <w:i w:val="false"/>
        </w:rPr>
      </w:pPr>
      <w:r>
        <w:rPr>
          <w:i w:val="false"/>
        </w:rPr>
      </w:r>
    </w:p>
    <w:p>
      <w:pPr>
        <w:pStyle w:val="Style13"/>
        <w:rPr>
          <w:i w:val="false"/>
          <w:i w:val="false"/>
        </w:rPr>
      </w:pPr>
      <w:r>
        <w:rPr>
          <w:i w:val="false"/>
        </w:rPr>
        <w:t>(</w:t>
      </w:r>
      <w:r>
        <w:rPr>
          <w:i w:val="false"/>
        </w:rPr>
        <w:t>一</w:t>
      </w:r>
      <w:r>
        <w:rPr>
          <w:i w:val="false"/>
        </w:rPr>
        <w:t>)</w:t>
        <w:tab/>
      </w:r>
      <w:r>
        <w:rPr>
          <w:i w:val="false"/>
        </w:rPr>
        <w:t>科技園公司作為工業邨的管理人，會定期派員進入廠房實地巡查及記錄運作狀況。在過去</w:t>
      </w:r>
      <w:r>
        <w:rPr>
          <w:i w:val="false"/>
        </w:rPr>
        <w:t>3</w:t>
      </w:r>
      <w:r>
        <w:rPr>
          <w:i w:val="false"/>
        </w:rPr>
        <w:t>年，只有一宗懷疑出現出租或分租予第三者的個案涉及數據中心的運作。科技園公司於</w:t>
      </w:r>
      <w:r>
        <w:rPr>
          <w:i w:val="false"/>
        </w:rPr>
        <w:t>2013</w:t>
      </w:r>
      <w:r>
        <w:rPr>
          <w:i w:val="false"/>
        </w:rPr>
        <w:t>年起已對該數據中心作出多次實地調查，以及向有關營運商作出查詢。目前，科技園公司正根據所得的資料徵詢法律意見，並繼續與該數據中心進行商討。如科技園公司證實該承批人違反租契協議的條款及條件，會按契約條款採取合適的法律行動。由於涉及有關數據中心的敏感商業資料，以及影響日後可能進行的司法程序，我們未能透露有關詳情。</w:t>
      </w:r>
    </w:p>
    <w:p>
      <w:pPr>
        <w:pStyle w:val="Style13"/>
        <w:rPr>
          <w:i w:val="false"/>
          <w:i w:val="false"/>
        </w:rPr>
      </w:pPr>
      <w:r>
        <w:rPr>
          <w:i w:val="false"/>
        </w:rPr>
      </w:r>
    </w:p>
    <w:p>
      <w:pPr>
        <w:pStyle w:val="Style13"/>
        <w:rPr>
          <w:i w:val="false"/>
          <w:i w:val="false"/>
        </w:rPr>
      </w:pPr>
      <w:r>
        <w:rPr>
          <w:i w:val="false"/>
        </w:rPr>
        <w:tab/>
      </w:r>
      <w:r>
        <w:rPr>
          <w:i w:val="false"/>
        </w:rPr>
        <w:t>一般而言，科技園公司會就懷疑違反地契條款及條件的運作，向有關承批人作出查詢並要求停止有關違規行為。如證實承批人違反租契協議的條款及條件，並拒絕採取合適的補救措施，科技園公司會視乎有關違規情況的嚴重性，按契約條款採取合適的法律行動，包括徵收額外地價。如情況仍未有改善，科技園公司有權根據租契協議而啟動重收土地的程序。所有在工業邨用地的租契協議已列明科技園公司可就違規情況採取行動。然而，由於每個違規個案的情況並不相同，部分複雜的個案更需要在徵詢法律意見後，才可決定應採取的行動，所以，如要預先訂明重複違契的處理方案，我們認為這並不可行。</w:t>
      </w:r>
    </w:p>
    <w:p>
      <w:pPr>
        <w:pStyle w:val="Style13"/>
        <w:rPr>
          <w:i w:val="false"/>
          <w:i w:val="false"/>
        </w:rPr>
      </w:pPr>
      <w:r>
        <w:rPr>
          <w:i w:val="false"/>
        </w:rPr>
      </w:r>
    </w:p>
    <w:p>
      <w:pPr>
        <w:pStyle w:val="Style13"/>
        <w:rPr>
          <w:i w:val="false"/>
          <w:i w:val="false"/>
        </w:rPr>
      </w:pPr>
      <w:r>
        <w:rPr>
          <w:i w:val="false"/>
        </w:rPr>
        <w:t>(</w:t>
      </w:r>
      <w:r>
        <w:rPr>
          <w:i w:val="false"/>
        </w:rPr>
        <w:t>二</w:t>
      </w:r>
      <w:r>
        <w:rPr>
          <w:i w:val="false"/>
        </w:rPr>
        <w:t>)</w:t>
        <w:tab/>
      </w:r>
      <w:r>
        <w:rPr>
          <w:i w:val="false"/>
        </w:rPr>
        <w:t>正如前文所述，工業邨計劃的目的是要擴闊香港的工業基礎及提升其科技水平，從而帶動香港經濟的整體發展。科技園公司需因應香港的產業需求的轉變，提供合適用地予特別用途的製造及服務業，使香港經濟朝高增值的路線發展。為落實這個公共政策目標，科技園公司制訂了公平公正的批地條件和具透明度的地價政策，這適用於所有工業邨內的產業。為保證承批人會根據批地條款作業，工業邨設有嚴格的監察機制，管理層亦會就執行契約條款的工作向政府委任的董事局匯報。這對落實工業邨政策是必須的，並不會令科技園公司在管理工業邨事宜上出現角色或利益的衝突。</w:t>
      </w:r>
    </w:p>
    <w:p>
      <w:pPr>
        <w:pStyle w:val="Style13"/>
        <w:rPr>
          <w:i w:val="false"/>
          <w:i w:val="false"/>
        </w:rPr>
      </w:pPr>
      <w:r>
        <w:rPr>
          <w:i w:val="false"/>
        </w:rPr>
      </w:r>
    </w:p>
    <w:p>
      <w:pPr>
        <w:pStyle w:val="Style13"/>
        <w:rPr>
          <w:i w:val="false"/>
          <w:i w:val="false"/>
        </w:rPr>
      </w:pPr>
      <w:r>
        <w:rPr>
          <w:i w:val="false"/>
        </w:rPr>
        <w:t>(</w:t>
      </w:r>
      <w:r>
        <w:rPr>
          <w:i w:val="false"/>
        </w:rPr>
        <w:t>三</w:t>
      </w:r>
      <w:r>
        <w:rPr>
          <w:i w:val="false"/>
        </w:rPr>
        <w:t>)</w:t>
        <w:tab/>
      </w:r>
      <w:r>
        <w:rPr>
          <w:i w:val="false"/>
        </w:rPr>
        <w:t>公平的營商環境是香港賴以成功的基石，是政府制訂所有政策及措施時必定考慮的因素和原則。在工業邨土地營運的數據中心與其他在工業邨營運者一樣，亦必須遵守科技園公司批出土地的準則、條件及限制。</w:t>
      </w:r>
    </w:p>
    <w:p>
      <w:pPr>
        <w:pStyle w:val="Style13"/>
        <w:rPr>
          <w:i w:val="false"/>
          <w:i w:val="false"/>
        </w:rPr>
      </w:pPr>
      <w:r>
        <w:rPr>
          <w:i w:val="false"/>
        </w:rPr>
      </w:r>
    </w:p>
    <w:p>
      <w:pPr>
        <w:pStyle w:val="Style13"/>
        <w:rPr>
          <w:i w:val="false"/>
          <w:i w:val="false"/>
        </w:rPr>
      </w:pPr>
      <w:r>
        <w:rPr>
          <w:i w:val="false"/>
        </w:rPr>
        <w:tab/>
      </w:r>
      <w:r>
        <w:rPr>
          <w:i w:val="false"/>
        </w:rPr>
        <w:t>就發展數據中心的政策而言，由於數據中心是支持經濟持續增長及鞏固香港貿易及金融中心地位的重要基礎建設，政府推行多項便利措施，包括提供土地、鼓勵改建工廈及利用工業用地，以及提供一站式支援服務，促進數據中心的發展。這些措施均適用於不同類型大小的數據中心。我們不斷因應數據中心業界的意見，檢討及優化利便數據中心發展的措施，以期締造有利的營商環境。</w:t>
      </w:r>
    </w:p>
    <w:p>
      <w:pPr>
        <w:pStyle w:val="F21"/>
        <w:rPr>
          <w:rFonts w:cs="Times New Roman"/>
        </w:rPr>
      </w:pPr>
      <w:r>
        <w:rPr>
          <w:rFonts w:cs="Times New Roman"/>
        </w:rPr>
      </w:r>
    </w:p>
    <w:p>
      <w:pPr>
        <w:pStyle w:val="F21"/>
        <w:rPr>
          <w:rFonts w:cs="Times New Roman"/>
        </w:rPr>
      </w:pPr>
      <w:r>
        <w:rPr>
          <w:rFonts w:cs="Times New Roman"/>
        </w:rPr>
      </w:r>
    </w:p>
    <w:p>
      <w:pPr>
        <w:pStyle w:val="F21"/>
        <w:rPr>
          <w:i/>
          <w:i/>
          <w:szCs w:val="27"/>
        </w:rPr>
      </w:pPr>
      <w:r>
        <w:rPr>
          <w:rFonts w:ascii="華康中黑體" w:hAnsi="華康中黑體" w:cs="華康中黑體" w:eastAsia="華康中黑體"/>
          <w:b/>
          <w:szCs w:val="27"/>
        </w:rPr>
        <w:t>馮檢基議員</w:t>
      </w:r>
      <w:r>
        <w:rPr>
          <w:szCs w:val="27"/>
        </w:rPr>
        <w:t>：</w:t>
      </w:r>
      <w:r>
        <w:rPr>
          <w:i/>
          <w:szCs w:val="27"/>
        </w:rPr>
        <w:t>主席，企業在香港設立數據中心等於承諾會長期進駐香港。其實，數據中心也可以成為香港的新產業，但這須靠土地規劃及相關政策協助設立平台，有關企業才可將數據中心發展得更好、更大。</w:t>
      </w:r>
    </w:p>
    <w:p>
      <w:pPr>
        <w:pStyle w:val="F21"/>
        <w:rPr>
          <w:i/>
          <w:i/>
          <w:szCs w:val="27"/>
        </w:rPr>
      </w:pPr>
      <w:r>
        <w:rPr>
          <w:i/>
          <w:szCs w:val="27"/>
        </w:rPr>
      </w:r>
    </w:p>
    <w:p>
      <w:pPr>
        <w:pStyle w:val="F21"/>
        <w:rPr>
          <w:szCs w:val="27"/>
        </w:rPr>
      </w:pPr>
      <w:r>
        <w:rPr>
          <w:i/>
          <w:szCs w:val="27"/>
        </w:rPr>
        <w:tab/>
      </w:r>
      <w:r>
        <w:rPr>
          <w:i/>
          <w:szCs w:val="27"/>
        </w:rPr>
        <w:t>主席，當年谷歌把香港與新加坡進行比較，而由於新加坡已就數據中心作出</w:t>
      </w:r>
      <w:r>
        <w:rPr>
          <w:i/>
          <w:szCs w:val="27"/>
        </w:rPr>
        <w:t>10</w:t>
      </w:r>
      <w:r>
        <w:rPr>
          <w:i/>
          <w:szCs w:val="27"/>
        </w:rPr>
        <w:t>年的土地規劃，讓其知道可以如何利用政府政策和土地規劃發展數據中心，但香港卻沒有，因此谷歌選擇進駐新加坡而非香港。我的補充質詢是，政府會否檢討現時制訂的土地規劃政策，譬如就數據中心訂定</w:t>
      </w:r>
      <w:r>
        <w:rPr>
          <w:i/>
          <w:szCs w:val="27"/>
        </w:rPr>
        <w:t>10</w:t>
      </w:r>
      <w:r>
        <w:rPr>
          <w:i/>
          <w:szCs w:val="27"/>
        </w:rPr>
        <w:t>年土地規劃的路線圖及時間表，讓有關企業可以在香港計劃發展數據中心？</w:t>
      </w:r>
    </w:p>
    <w:p>
      <w:pPr>
        <w:pStyle w:val="F21"/>
        <w:rPr>
          <w:szCs w:val="27"/>
        </w:rPr>
      </w:pPr>
      <w:r>
        <w:rPr>
          <w:szCs w:val="27"/>
        </w:rPr>
      </w:r>
    </w:p>
    <w:p>
      <w:pPr>
        <w:pStyle w:val="F21"/>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rFonts w:cs="Times New Roman"/>
          <w:szCs w:val="27"/>
        </w:rPr>
      </w:pPr>
      <w:r>
        <w:rPr>
          <w:rFonts w:ascii="華康中黑體" w:hAnsi="華康中黑體" w:cs="華康中黑體" w:eastAsia="華康中黑體"/>
          <w:b/>
          <w:szCs w:val="27"/>
        </w:rPr>
        <w:t>商務及經濟發展局局長</w:t>
      </w:r>
      <w:r>
        <w:rPr>
          <w:szCs w:val="27"/>
        </w:rPr>
        <w:t>：主席，谷歌擱置在香港設立數據中心的計劃純屬一項商業決定，我不會在此作出評論。事實上，在數據中心發展方面，香港是亞太區首選的數據中心地點。發展數據中心必須具備多項條件，而香港正好具備這些條件。第一，便利的營商環境；第二，對私隱資料的保障；第三，資訊保安；第四，資訊自由流通；第五，資訊科技的基礎建設完善；以及第六，亦是非常重要的，就是數據中心須有充足的電力供應才能配合。香港不但具備發展數據中心的便利措施，而且過往政府在提供土地方面所訂的政策，例如活用工廈等，均有助數據中心在香港發展。所以，很多跨國公司在香港設立數據中心，例如</w:t>
      </w:r>
      <w:r>
        <w:rPr>
          <w:szCs w:val="27"/>
        </w:rPr>
        <w:t>NTT</w:t>
      </w:r>
      <w:r>
        <w:rPr>
          <w:szCs w:val="27"/>
        </w:rPr>
        <w:t>、</w:t>
      </w:r>
      <w:r>
        <w:rPr>
          <w:szCs w:val="27"/>
        </w:rPr>
        <w:t>Global Switch</w:t>
      </w:r>
      <w:r>
        <w:rPr>
          <w:szCs w:val="27"/>
        </w:rPr>
        <w:t>、</w:t>
      </w:r>
      <w:r>
        <w:rPr>
          <w:szCs w:val="27"/>
        </w:rPr>
        <w:t>Pacnet</w:t>
      </w:r>
      <w:r>
        <w:rPr>
          <w:szCs w:val="27"/>
        </w:rPr>
        <w:t>、中國移動、</w:t>
      </w:r>
      <w:r>
        <w:rPr>
          <w:szCs w:val="27"/>
        </w:rPr>
        <w:t>DRT</w:t>
      </w:r>
      <w:r>
        <w:rPr>
          <w:szCs w:val="27"/>
        </w:rPr>
        <w:t>等。這些公司均已在香港建立高端數據中心。</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：你的補充質詢是否未獲答覆？</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馮檢基議員</w:t>
      </w:r>
      <w:r>
        <w:rPr>
          <w:szCs w:val="27"/>
        </w:rPr>
        <w:t>：</w:t>
      </w:r>
      <w:r>
        <w:rPr>
          <w:i/>
          <w:szCs w:val="27"/>
        </w:rPr>
        <w:t>局長沒有回答我的補充質詢。我是問政府會否就數據中心的發展制訂為期</w:t>
      </w:r>
      <w:r>
        <w:rPr>
          <w:i/>
          <w:szCs w:val="27"/>
        </w:rPr>
        <w:t>10</w:t>
      </w:r>
      <w:r>
        <w:rPr>
          <w:i/>
          <w:szCs w:val="27"/>
        </w:rPr>
        <w:t>年的土地規劃時間表或路線圖。</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：局長，可否從土地政策方面作答？</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細明體" w:hAnsi="華康細明體" w:cs="華康中黑體" w:eastAsia="華康中黑體"/>
          <w:b/>
          <w:szCs w:val="27"/>
        </w:rPr>
        <w:t>商務及經濟發展局局長</w:t>
      </w:r>
      <w:r>
        <w:rPr>
          <w:szCs w:val="27"/>
        </w:rPr>
        <w:t>：主席，關於數據中心的發展，工業邨已批出</w:t>
      </w:r>
      <w:r>
        <w:rPr>
          <w:szCs w:val="27"/>
        </w:rPr>
        <w:t>19</w:t>
      </w:r>
      <w:r>
        <w:rPr>
          <w:szCs w:val="27"/>
        </w:rPr>
        <w:t>公頃土地以供數據中心發展。其實，數據中心除了可設於一般工廈外，更高端的數據中心過往亦能在香港</w:t>
      </w:r>
      <w:r>
        <w:rPr>
          <w:szCs w:val="27"/>
        </w:rPr>
        <w:t>(</w:t>
      </w:r>
      <w:r>
        <w:rPr>
          <w:szCs w:val="27"/>
        </w:rPr>
        <w:t>例如工業邨</w:t>
      </w:r>
      <w:r>
        <w:rPr>
          <w:szCs w:val="27"/>
        </w:rPr>
        <w:t>)</w:t>
      </w:r>
      <w:r>
        <w:rPr>
          <w:szCs w:val="27"/>
        </w:rPr>
        <w:t>找到合適的地方。</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陳克勤議員</w:t>
      </w:r>
      <w:r>
        <w:rPr>
          <w:szCs w:val="27"/>
        </w:rPr>
        <w:t>：</w:t>
      </w:r>
      <w:r>
        <w:rPr>
          <w:i/>
          <w:szCs w:val="27"/>
        </w:rPr>
        <w:t>主席，當初政府設立工業邨時，是計劃資助本地製造業的發展，故此以較低廉的地價租予廠家興建廠房。然而，我現時卻看到將軍澳工業邨竟以低地價方式租予私人機構興建數據中心。正如馮檢基議員剛才所說，在有關土地上興建的數據中心過半數屬於跨國企業，這會否令人覺得政府是利用公帑資助或補貼外國企業？這與政府最初設立工業邨的原意是否相違背呢？</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細明體" w:hAnsi="華康細明體" w:cs="華康中黑體" w:eastAsia="華康中黑體"/>
          <w:b/>
          <w:szCs w:val="27"/>
        </w:rPr>
        <w:t>商務及經濟發展局局長</w:t>
      </w:r>
      <w:r>
        <w:rPr>
          <w:szCs w:val="27"/>
        </w:rPr>
        <w:t>：主席，無論是跨國公司或本地公司，申請工業邨用地的條件完全相同，我們都是按公平、公正的原則及劃一的標準和程序處理。申請工業邨用地須符合的條件包括：有關項目無法於一般多層工廠大廈或商業大廈內運作；業務不屬於政府規例所訂明的厭惡性行業，或項目的業務並非以存倉及倉庫為主。當然，我們亦要考慮有關項目是否涉及新型或經改良的產品或服務，或涉及新型或經改良技術，這些都是我們想引入的。此外，有關項目是否主要利用本地材料和人力資源的高增值項目；與本地行業急需的產品或服務有關；對我們的出口業務有顯著貢獻；涉及重要投資，例如在新機械和新設備方面，以及需僱用大量高級技術人員亦是重要考慮因素。所以，工業邨是朝向高增值及高技術發展，故此不論是本地公司或跨國公司，只要符合上述標準都可以提出申請。</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黃定光議員</w:t>
      </w:r>
      <w:r>
        <w:rPr>
          <w:szCs w:val="27"/>
        </w:rPr>
        <w:t>：</w:t>
      </w:r>
      <w:r>
        <w:rPr>
          <w:i/>
          <w:szCs w:val="27"/>
        </w:rPr>
        <w:t>香港的工業現正處於新舊交替期間，低技術及低增值的舊工業已經式微，而高科技及高增值的新工業正在興起，現時位於大埔、元朗及將軍澳的工業邨均分別於上世紀</w:t>
      </w:r>
      <w:r>
        <w:rPr>
          <w:i/>
          <w:szCs w:val="27"/>
        </w:rPr>
        <w:t>1978</w:t>
      </w:r>
      <w:r>
        <w:rPr>
          <w:i/>
          <w:szCs w:val="27"/>
        </w:rPr>
        <w:t>年、</w:t>
      </w:r>
      <w:r>
        <w:rPr>
          <w:i/>
          <w:szCs w:val="27"/>
        </w:rPr>
        <w:t>1980</w:t>
      </w:r>
      <w:r>
        <w:rPr>
          <w:i/>
          <w:szCs w:val="27"/>
        </w:rPr>
        <w:t>年及</w:t>
      </w:r>
      <w:r>
        <w:rPr>
          <w:i/>
          <w:szCs w:val="27"/>
        </w:rPr>
        <w:t>1994</w:t>
      </w:r>
      <w:r>
        <w:rPr>
          <w:i/>
          <w:szCs w:val="27"/>
        </w:rPr>
        <w:t>年啟用，並已運作數十年。我想問，政府有否檢討現行政策能否配合工業轉型的需要，以及有何措施配合這些改革？</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細明體" w:hAnsi="華康細明體" w:cs="華康中黑體" w:eastAsia="華康中黑體"/>
          <w:b/>
          <w:szCs w:val="27"/>
        </w:rPr>
        <w:t>商務及經濟發展局局長</w:t>
      </w:r>
      <w:r>
        <w:rPr>
          <w:szCs w:val="27"/>
        </w:rPr>
        <w:t>：主席，黃議員說得很對，工業邨過往一直因應香港產業類別及經濟發展的轉型而不斷更新和改變，而工業邨的發展亦須與時並進。我剛才在主體答覆也提到，鑒於服務業的經濟角色越來越重要，因此政府在</w:t>
      </w:r>
      <w:r>
        <w:rPr>
          <w:szCs w:val="27"/>
        </w:rPr>
        <w:t>1998</w:t>
      </w:r>
      <w:r>
        <w:rPr>
          <w:szCs w:val="27"/>
        </w:rPr>
        <w:t>年已把工業邨內可進行活動的範圍擴展至涵蓋工業服務，例如廣播和電訊業。科技園公司一直希望提升工業邨內土地的使用率，以及吸納更多對香港經濟有裨益的產業。最近，科技園公司完成一項有關土地使用情況及長遠發展方向的檢討，而所提建議可分為數部分，包括更新工業邨政策，以強化創新及科技行業在香港的產業鏈及充分利用工業邨內的土地。科技園公司將會推展一項新工業邨計劃，而有關這項檢討的建議，我們將於</w:t>
      </w:r>
      <w:r>
        <w:rPr>
          <w:szCs w:val="27"/>
        </w:rPr>
        <w:t>4</w:t>
      </w:r>
      <w:r>
        <w:rPr>
          <w:szCs w:val="27"/>
        </w:rPr>
        <w:t>月份舉行的工商事務委員會會議上向各位議員匯報。</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eastAsia="華康中黑體"/>
          <w:b/>
          <w:szCs w:val="27"/>
        </w:rPr>
        <w:t>梁繼昌議員</w:t>
      </w:r>
      <w:r>
        <w:rPr>
          <w:szCs w:val="27"/>
        </w:rPr>
        <w:t>：</w:t>
      </w:r>
      <w:r>
        <w:rPr>
          <w:i/>
          <w:szCs w:val="27"/>
        </w:rPr>
        <w:t>主席，局長剛才說了很多有關工業邨土地供應的問題，其實當局有否統計全港適合發展數據中心的土地供應為何？如果有，詳情為何？此外，當局有否統計和預測本港數據中心的業務增長率，以及本港的土地供應能否滿足有關的業務增長率？</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商務及經濟發展局局長</w:t>
      </w:r>
      <w:r>
        <w:rPr>
          <w:szCs w:val="27"/>
        </w:rPr>
        <w:t>：主席，香港的土地資源的確有限，所以我們過往已採取各項不同措施，以期增加這方面的土地供應。至於有關將來用量的評估，由於科技發展迅速，因此很難在現階段指出這數年內的土地需求是多少，但我們會盡量增加這方面的供應。</w:t>
      </w:r>
    </w:p>
    <w:p>
      <w:pPr>
        <w:pStyle w:val="F21"/>
        <w:spacing w:lineRule="atLeast" w:line="370"/>
        <w:rPr>
          <w:szCs w:val="27"/>
        </w:rPr>
      </w:pPr>
      <w:r>
        <w:rPr>
          <w:szCs w:val="27"/>
        </w:rPr>
      </w:r>
    </w:p>
    <w:p>
      <w:pPr>
        <w:pStyle w:val="F21"/>
        <w:spacing w:lineRule="atLeast" w:line="370"/>
        <w:rPr>
          <w:szCs w:val="27"/>
        </w:rPr>
      </w:pPr>
      <w:r>
        <w:rPr>
          <w:szCs w:val="27"/>
        </w:rPr>
        <w:tab/>
      </w:r>
      <w:r>
        <w:rPr>
          <w:szCs w:val="27"/>
        </w:rPr>
        <w:t>事實上，過往我們已推行多項便利措施，包括提供土地讓業界發展高端的數據中心。政府更在將軍澳預留</w:t>
      </w:r>
      <w:r>
        <w:rPr>
          <w:szCs w:val="27"/>
        </w:rPr>
        <w:t>3</w:t>
      </w:r>
      <w:r>
        <w:rPr>
          <w:szCs w:val="27"/>
        </w:rPr>
        <w:t>幅土地，而第一幅</w:t>
      </w:r>
      <w:r>
        <w:rPr>
          <w:szCs w:val="27"/>
        </w:rPr>
        <w:t>1</w:t>
      </w:r>
      <w:r>
        <w:rPr>
          <w:szCs w:val="27"/>
        </w:rPr>
        <w:t>公頃土地已於</w:t>
      </w:r>
      <w:r>
        <w:rPr>
          <w:szCs w:val="27"/>
        </w:rPr>
        <w:t>2013</w:t>
      </w:r>
      <w:r>
        <w:rPr>
          <w:szCs w:val="27"/>
        </w:rPr>
        <w:t>年</w:t>
      </w:r>
      <w:r>
        <w:rPr>
          <w:szCs w:val="27"/>
        </w:rPr>
        <w:t>10</w:t>
      </w:r>
      <w:r>
        <w:rPr>
          <w:szCs w:val="27"/>
        </w:rPr>
        <w:t>月透過公開招標售出，我們現正計劃把另外兩幅供發展數據中心的相連土地，同樣以公開招標方式出售。</w:t>
      </w:r>
    </w:p>
    <w:p>
      <w:pPr>
        <w:pStyle w:val="F21"/>
        <w:spacing w:lineRule="atLeast" w:line="370"/>
        <w:rPr>
          <w:szCs w:val="27"/>
        </w:rPr>
      </w:pPr>
      <w:r>
        <w:rPr>
          <w:szCs w:val="27"/>
        </w:rPr>
      </w:r>
    </w:p>
    <w:p>
      <w:pPr>
        <w:pStyle w:val="F21"/>
        <w:spacing w:lineRule="atLeast" w:line="370"/>
        <w:rPr>
          <w:szCs w:val="27"/>
        </w:rPr>
      </w:pPr>
      <w:r>
        <w:rPr>
          <w:szCs w:val="27"/>
        </w:rPr>
        <w:tab/>
      </w:r>
      <w:r>
        <w:rPr>
          <w:szCs w:val="27"/>
        </w:rPr>
        <w:t>此外，我們亦鼓勵在工廈和工業用地發展數據中心，並已在</w:t>
      </w:r>
      <w:r>
        <w:rPr>
          <w:szCs w:val="27"/>
        </w:rPr>
        <w:t>2012</w:t>
      </w:r>
      <w:r>
        <w:rPr>
          <w:szCs w:val="27"/>
        </w:rPr>
        <w:t>年</w:t>
      </w:r>
      <w:r>
        <w:rPr>
          <w:szCs w:val="27"/>
        </w:rPr>
        <w:t>6</w:t>
      </w:r>
      <w:r>
        <w:rPr>
          <w:szCs w:val="27"/>
        </w:rPr>
        <w:t>月推出多項適用於不同類型的數據中心的優惠政策。政府內部更已提供一站式的支援服務，以便有意設立數據中心的人士獲得這方面的資訊，務求配合有關的工作。</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eastAsia="華康中黑體"/>
          <w:b/>
          <w:szCs w:val="27"/>
        </w:rPr>
        <w:t>梁耀忠議員</w:t>
      </w:r>
      <w:r>
        <w:rPr>
          <w:szCs w:val="27"/>
        </w:rPr>
        <w:t>：</w:t>
      </w:r>
      <w:r>
        <w:rPr>
          <w:i/>
          <w:szCs w:val="27"/>
        </w:rPr>
        <w:t>主席，正如大家所知，工業邨是以低廉的租值出租予指定的行業使用，並由科技園公司負責管理。據局長表示，過去</w:t>
      </w:r>
      <w:r>
        <w:rPr>
          <w:i/>
          <w:szCs w:val="27"/>
        </w:rPr>
        <w:t>3</w:t>
      </w:r>
      <w:r>
        <w:rPr>
          <w:i/>
          <w:szCs w:val="27"/>
        </w:rPr>
        <w:t>年，只有一宗涉及承租機構的運作不符合要求的情況。</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我想問局長，如果管理工作是由科技園公司負責，那麼甚麼機構負責監管科技園公司呢？監管詳情為何？上述違規事件可能是由科技園公司發現，但亦有可能是有人舉報才發現的。管理公司是否盡責實在令人質疑，因為如果管理公司不盡責，會構成嚴重的影響，就是無法公平使用有關土地，甚至對其他人造成不公平，因為如果其他人無法租用工業邨，便要租用私人土地，租金一定較高，致令土地的使用有欠妥當</w:t>
      </w:r>
      <w:r>
        <w:rPr>
          <w:i/>
          <w:szCs w:val="27"/>
        </w:rPr>
        <w:t>......</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：梁議員，你已提出了補充質詢，請讓局長作答。</w:t>
      </w:r>
    </w:p>
    <w:p>
      <w:pPr>
        <w:pStyle w:val="F21"/>
        <w:spacing w:lineRule="atLeast" w:line="370"/>
        <w:rPr>
          <w:rFonts w:eastAsia="華康中黑體"/>
          <w:b/>
          <w:b/>
          <w:szCs w:val="27"/>
        </w:rPr>
      </w:pPr>
      <w:r>
        <w:rPr>
          <w:rFonts w:eastAsia="華康中黑體"/>
          <w:b/>
          <w:szCs w:val="27"/>
        </w:rPr>
      </w:r>
    </w:p>
    <w:p>
      <w:pPr>
        <w:pStyle w:val="F21"/>
        <w:spacing w:lineRule="atLeast" w:line="370"/>
        <w:rPr>
          <w:rFonts w:eastAsia="華康中黑體"/>
          <w:b/>
          <w:b/>
          <w:szCs w:val="27"/>
        </w:rPr>
      </w:pPr>
      <w:r>
        <w:rPr>
          <w:rFonts w:eastAsia="華康中黑體"/>
          <w:b/>
          <w:szCs w:val="27"/>
        </w:rPr>
      </w:r>
    </w:p>
    <w:p>
      <w:pPr>
        <w:pStyle w:val="F21"/>
        <w:spacing w:lineRule="atLeast" w:line="370"/>
        <w:rPr>
          <w:i/>
          <w:i/>
          <w:szCs w:val="27"/>
        </w:rPr>
      </w:pPr>
      <w:r>
        <w:rPr>
          <w:rFonts w:eastAsia="華康中黑體"/>
          <w:b/>
          <w:szCs w:val="27"/>
        </w:rPr>
        <w:t>梁耀忠議員</w:t>
      </w:r>
      <w:r>
        <w:rPr>
          <w:szCs w:val="27"/>
        </w:rPr>
        <w:t>：</w:t>
      </w:r>
      <w:r>
        <w:rPr>
          <w:i/>
          <w:szCs w:val="27"/>
        </w:rPr>
        <w:t>我希望局長可以詳細解釋科技園公司如何受到監管，以及監管詳情為何？</w:t>
      </w:r>
    </w:p>
    <w:p>
      <w:pPr>
        <w:pStyle w:val="F21"/>
        <w:spacing w:lineRule="atLeast" w:line="370"/>
        <w:rPr>
          <w:i/>
          <w:i/>
          <w:szCs w:val="27"/>
        </w:rPr>
      </w:pPr>
      <w:r>
        <w:rPr>
          <w:i/>
          <w:szCs w:val="27"/>
        </w:rPr>
      </w:r>
    </w:p>
    <w:p>
      <w:pPr>
        <w:pStyle w:val="F21"/>
        <w:spacing w:lineRule="atLeast" w:line="370"/>
        <w:rPr>
          <w:i/>
          <w:i/>
          <w:szCs w:val="27"/>
        </w:rPr>
      </w:pPr>
      <w:r>
        <w:rPr>
          <w:i/>
          <w:szCs w:val="27"/>
        </w:rPr>
      </w:r>
    </w:p>
    <w:p>
      <w:pPr>
        <w:pStyle w:val="F21"/>
        <w:spacing w:lineRule="atLeast" w:line="370"/>
        <w:rPr>
          <w:szCs w:val="27"/>
        </w:rPr>
      </w:pPr>
      <w:r>
        <w:rPr>
          <w:rFonts w:eastAsia="華康中黑體"/>
          <w:b/>
          <w:szCs w:val="27"/>
        </w:rPr>
        <w:t>商務及經濟發展局局長</w:t>
      </w:r>
      <w:r>
        <w:rPr>
          <w:szCs w:val="27"/>
        </w:rPr>
        <w:t>：主席，首先，我想先澄清一點，議員說有指定行業，但其實並沒有指定產業。我剛才在回答議員的提問時，已很清楚說明工業邨的進駐條件，是沒有指定產業的，只要符合各項條件便可以申請。因此，並沒有任何指定產業。</w:t>
      </w:r>
    </w:p>
    <w:p>
      <w:pPr>
        <w:pStyle w:val="F21"/>
        <w:spacing w:lineRule="atLeast" w:line="370"/>
        <w:rPr>
          <w:szCs w:val="27"/>
        </w:rPr>
      </w:pPr>
      <w:r>
        <w:rPr>
          <w:szCs w:val="27"/>
        </w:rPr>
      </w:r>
    </w:p>
    <w:p>
      <w:pPr>
        <w:pStyle w:val="F21"/>
        <w:spacing w:lineRule="atLeast" w:line="370"/>
        <w:rPr>
          <w:szCs w:val="27"/>
        </w:rPr>
      </w:pPr>
      <w:r>
        <w:rPr>
          <w:szCs w:val="27"/>
        </w:rPr>
        <w:tab/>
      </w:r>
      <w:r>
        <w:rPr>
          <w:szCs w:val="27"/>
        </w:rPr>
        <w:t>不過，一旦批地後，契約會很清楚列明須進行何種經濟活動及所訂計劃。只有符合各項條件才獲批給土地，承租人須簽署合約，並按相關條款運作。</w:t>
      </w:r>
      <w:r>
        <w:br w:type="page"/>
      </w:r>
    </w:p>
    <w:p>
      <w:pPr>
        <w:pStyle w:val="F21"/>
        <w:rPr>
          <w:szCs w:val="27"/>
        </w:rPr>
      </w:pPr>
      <w:r>
        <w:rPr>
          <w:szCs w:val="27"/>
        </w:rPr>
        <w:tab/>
      </w:r>
      <w:r>
        <w:rPr>
          <w:szCs w:val="27"/>
        </w:rPr>
        <w:t>因此，在監管方面，其實自</w:t>
      </w:r>
      <w:r>
        <w:rPr>
          <w:szCs w:val="27"/>
        </w:rPr>
        <w:t>2011</w:t>
      </w:r>
      <w:r>
        <w:rPr>
          <w:szCs w:val="27"/>
        </w:rPr>
        <w:t>年開始科技園公司已處理了不少發展延誤或停產項目。科技園公司一直進行巡查、協商和查詢，並已將很多地方活化。所以，除接受投訴外，科技園公司亦會主動進行調查，它在這方面的工作是有目共睹的。</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eastAsia="華康中黑體"/>
          <w:b/>
          <w:szCs w:val="27"/>
        </w:rPr>
        <w:t>梁耀忠議員</w:t>
      </w:r>
      <w:r>
        <w:rPr>
          <w:szCs w:val="27"/>
        </w:rPr>
        <w:t>：</w:t>
      </w:r>
      <w:r>
        <w:rPr>
          <w:i/>
          <w:szCs w:val="27"/>
        </w:rPr>
        <w:t>局長誤會了我的意思，我是問由甚麼機構監管管理公司，而不是管理公司如何監管承租公司。</w:t>
      </w:r>
    </w:p>
    <w:p>
      <w:pPr>
        <w:pStyle w:val="F21"/>
        <w:spacing w:lineRule="atLeast" w:line="370"/>
        <w:rPr>
          <w:i/>
          <w:i/>
          <w:szCs w:val="27"/>
        </w:rPr>
      </w:pPr>
      <w:r>
        <w:rPr>
          <w:i/>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：局長，管理公司是否受其他機構監管？</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商務及經濟發展局局長</w:t>
      </w:r>
      <w:r>
        <w:rPr>
          <w:szCs w:val="27"/>
        </w:rPr>
        <w:t>：科技園公司設有一個董事局，監管有關職員進行這方面的工作。職員會向管理層匯報，然後由管理層向董事局匯報，董事局會留意和監察有關的工作。</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：本會就這項質詢已用了超過</w:t>
      </w:r>
      <w:r>
        <w:rPr>
          <w:szCs w:val="27"/>
        </w:rPr>
        <w:t>23</w:t>
      </w:r>
      <w:r>
        <w:rPr>
          <w:szCs w:val="27"/>
        </w:rPr>
        <w:t>分鐘。第二項質詢。</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eastAsia="華康中黑體" w:cs="Times New Roman"/>
          <w:b/>
          <w:b/>
        </w:rPr>
      </w:pPr>
      <w:bookmarkStart w:id="14" w:name="orq02"/>
      <w:r>
        <w:rPr>
          <w:rFonts w:cs="Times New Roman" w:eastAsia="華康中黑體"/>
          <w:b/>
        </w:rPr>
        <w:t>調查香港商品交易所有限公司的涉嫌違規個案</w:t>
      </w:r>
    </w:p>
    <w:p>
      <w:pPr>
        <w:pStyle w:val="Normal"/>
        <w:spacing w:lineRule="atLeast" w:line="370"/>
        <w:rPr>
          <w:b/>
          <w:b/>
        </w:rPr>
      </w:pPr>
      <w:bookmarkStart w:id="15" w:name="orq02"/>
      <w:r>
        <w:rPr>
          <w:b/>
        </w:rPr>
        <w:t>Investigations into Suspected Irregularities of Hong Kong Mercantile Exchange Limited</w:t>
      </w:r>
      <w:bookmarkEnd w:id="15"/>
    </w:p>
    <w:p>
      <w:pPr>
        <w:pStyle w:val="F21"/>
        <w:spacing w:lineRule="atLeast" w:line="370"/>
        <w:rPr>
          <w:rFonts w:cs="Times New Roman"/>
        </w:rPr>
      </w:pPr>
      <w:r>
        <w:rPr>
          <w:rFonts w:cs="Times New Roman"/>
        </w:rPr>
      </w:r>
    </w:p>
    <w:p>
      <w:pPr>
        <w:pStyle w:val="F21"/>
        <w:spacing w:lineRule="atLeast" w:line="370"/>
        <w:rPr>
          <w:i/>
          <w:i/>
          <w:szCs w:val="27"/>
        </w:rPr>
      </w:pPr>
      <w:r>
        <w:rPr>
          <w:rFonts w:eastAsia="華康中黑體"/>
          <w:b/>
          <w:szCs w:val="27"/>
        </w:rPr>
        <w:t>2.</w:t>
        <w:tab/>
      </w:r>
      <w:r>
        <w:rPr>
          <w:rFonts w:eastAsia="華康中黑體"/>
          <w:b/>
          <w:szCs w:val="27"/>
        </w:rPr>
        <w:t>田北俊議員</w:t>
      </w:r>
      <w:r>
        <w:rPr>
          <w:szCs w:val="27"/>
        </w:rPr>
        <w:t>：</w:t>
      </w:r>
      <w:r>
        <w:rPr>
          <w:i/>
          <w:szCs w:val="27"/>
        </w:rPr>
        <w:t>主席，政府於</w:t>
      </w:r>
      <w:r>
        <w:rPr>
          <w:i/>
          <w:szCs w:val="27"/>
        </w:rPr>
        <w:t>2013</w:t>
      </w:r>
      <w:r>
        <w:rPr>
          <w:i/>
          <w:szCs w:val="27"/>
        </w:rPr>
        <w:t>年</w:t>
      </w:r>
      <w:r>
        <w:rPr>
          <w:i/>
          <w:szCs w:val="27"/>
        </w:rPr>
        <w:t>7</w:t>
      </w:r>
      <w:r>
        <w:rPr>
          <w:i/>
          <w:szCs w:val="27"/>
        </w:rPr>
        <w:t>月</w:t>
      </w:r>
      <w:r>
        <w:rPr>
          <w:i/>
          <w:szCs w:val="27"/>
        </w:rPr>
        <w:t>10</w:t>
      </w:r>
      <w:r>
        <w:rPr>
          <w:i/>
          <w:szCs w:val="27"/>
        </w:rPr>
        <w:t>日回覆本人的質詢時表示，證券及期貨事務監察委員會</w:t>
      </w:r>
      <w:r>
        <w:rPr>
          <w:i/>
          <w:szCs w:val="27"/>
        </w:rPr>
        <w:t>(</w:t>
      </w:r>
      <w:r>
        <w:rPr>
          <w:i/>
          <w:szCs w:val="27"/>
        </w:rPr>
        <w:t>下稱“證監會”</w:t>
      </w:r>
      <w:r>
        <w:rPr>
          <w:i/>
          <w:szCs w:val="27"/>
        </w:rPr>
        <w:t>)</w:t>
      </w:r>
      <w:r>
        <w:rPr>
          <w:i/>
          <w:szCs w:val="27"/>
        </w:rPr>
        <w:t>已就香港商品交易所有限公司</w:t>
      </w:r>
      <w:r>
        <w:rPr>
          <w:i/>
          <w:szCs w:val="27"/>
        </w:rPr>
        <w:t>(</w:t>
      </w:r>
      <w:r>
        <w:rPr>
          <w:i/>
          <w:szCs w:val="27"/>
        </w:rPr>
        <w:t>下稱“商交所”</w:t>
      </w:r>
      <w:r>
        <w:rPr>
          <w:i/>
          <w:szCs w:val="27"/>
        </w:rPr>
        <w:t>)</w:t>
      </w:r>
      <w:r>
        <w:rPr>
          <w:i/>
          <w:szCs w:val="27"/>
        </w:rPr>
        <w:t>的涉嫌違規個案展開調查，並已將若干事宜轉介警方商業罪案調查科跟進。就此，政府可否告知本會：</w:t>
      </w:r>
    </w:p>
    <w:p>
      <w:pPr>
        <w:pStyle w:val="F21"/>
        <w:spacing w:lineRule="atLeast" w:line="370"/>
        <w:rPr>
          <w:i/>
          <w:i/>
          <w:szCs w:val="27"/>
        </w:rPr>
      </w:pPr>
      <w:r>
        <w:rPr>
          <w:i/>
          <w:szCs w:val="27"/>
        </w:rPr>
      </w:r>
    </w:p>
    <w:p>
      <w:pPr>
        <w:pStyle w:val="Style13"/>
        <w:spacing w:lineRule="atLeast" w:line="370"/>
        <w:rPr/>
      </w:pPr>
      <w:r>
        <w:rPr/>
        <w:t>(</w:t>
      </w:r>
      <w:r>
        <w:rPr/>
        <w:t>一</w:t>
      </w:r>
      <w:r>
        <w:rPr/>
        <w:t>)</w:t>
        <w:tab/>
      </w:r>
      <w:r>
        <w:rPr/>
        <w:t>警方及證監會等執法機構是否已完成有關的調查；如已完成，調查結果為何，以及為何沒有公布；如尚未完成，原因為何；</w:t>
      </w:r>
    </w:p>
    <w:p>
      <w:pPr>
        <w:pStyle w:val="Style13"/>
        <w:spacing w:lineRule="atLeast" w:line="370"/>
        <w:rPr/>
      </w:pPr>
      <w:r>
        <w:rPr/>
      </w:r>
    </w:p>
    <w:p>
      <w:pPr>
        <w:pStyle w:val="Style13"/>
        <w:spacing w:lineRule="atLeast" w:line="370"/>
        <w:rPr/>
      </w:pPr>
      <w:r>
        <w:rPr/>
        <w:t>(</w:t>
      </w:r>
      <w:r>
        <w:rPr/>
        <w:t>二</w:t>
      </w:r>
      <w:r>
        <w:rPr/>
        <w:t>)</w:t>
        <w:tab/>
      </w:r>
      <w:r>
        <w:rPr/>
        <w:t>鑒於有報道指出，裁判官於</w:t>
      </w:r>
      <w:r>
        <w:rPr/>
        <w:t>2013</w:t>
      </w:r>
      <w:r>
        <w:rPr/>
        <w:t>年</w:t>
      </w:r>
      <w:r>
        <w:rPr/>
        <w:t>10</w:t>
      </w:r>
      <w:r>
        <w:rPr/>
        <w:t>月</w:t>
      </w:r>
      <w:r>
        <w:rPr/>
        <w:t>22</w:t>
      </w:r>
      <w:r>
        <w:rPr/>
        <w:t>日對一名因管有與商交所有關的虛假文書而罪名成立的被告判刑時表示，前商交所主席在有關案件中有嫌疑，並建議警方進行調查，警方有否跟進該建議；如有，詳情為何；如否，原因為何；及</w:t>
      </w:r>
    </w:p>
    <w:p>
      <w:pPr>
        <w:pStyle w:val="Style13"/>
        <w:spacing w:lineRule="atLeast" w:line="370"/>
        <w:rPr/>
      </w:pPr>
      <w:r>
        <w:rPr/>
      </w:r>
    </w:p>
    <w:p>
      <w:pPr>
        <w:pStyle w:val="Style13"/>
        <w:spacing w:lineRule="atLeast" w:line="370"/>
        <w:rPr/>
      </w:pPr>
      <w:r>
        <w:rPr/>
        <w:t>(</w:t>
      </w:r>
      <w:r>
        <w:rPr/>
        <w:t>三</w:t>
      </w:r>
      <w:r>
        <w:rPr/>
        <w:t>)</w:t>
        <w:tab/>
      </w:r>
      <w:r>
        <w:rPr/>
        <w:t>鑒於有報道指出，美國傳統基金會在本年</w:t>
      </w:r>
      <w:r>
        <w:rPr/>
        <w:t>1</w:t>
      </w:r>
      <w:r>
        <w:rPr/>
        <w:t>月發表</w:t>
      </w:r>
      <w:r>
        <w:rPr/>
        <w:t>2015</w:t>
      </w:r>
      <w:r>
        <w:rPr/>
        <w:t>年全球“經濟自由度指數”報告時表示，香港的廉潔程度排名連續第二年下跌，並跌至過去</w:t>
      </w:r>
      <w:r>
        <w:rPr/>
        <w:t>16</w:t>
      </w:r>
      <w:r>
        <w:rPr/>
        <w:t>年以來最低的第十五位，當局有否計劃就涉及商交所和其他引起公眾關注的案件，提高所進行的調查及採取的跟進行動的透明度，以挽回市民和國際社會對香港廉潔狀況的信心？</w:t>
      </w:r>
    </w:p>
    <w:p>
      <w:pPr>
        <w:pStyle w:val="Style13"/>
        <w:spacing w:lineRule="atLeast" w:line="370"/>
        <w:ind w:left="0" w:hanging="0"/>
        <w:rPr/>
      </w:pPr>
      <w:r>
        <w:rPr/>
      </w:r>
    </w:p>
    <w:p>
      <w:pPr>
        <w:pStyle w:val="Style13"/>
        <w:spacing w:lineRule="atLeast" w:line="370"/>
        <w:ind w:left="0" w:hanging="0"/>
        <w:rPr/>
      </w:pPr>
      <w:r>
        <w:rPr/>
      </w:r>
    </w:p>
    <w:p>
      <w:pPr>
        <w:pStyle w:val="Style13"/>
        <w:spacing w:lineRule="atLeast" w:line="370"/>
        <w:ind w:left="0" w:hanging="0"/>
        <w:rPr>
          <w:i w:val="false"/>
          <w:i w:val="false"/>
          <w:szCs w:val="27"/>
        </w:rPr>
      </w:pPr>
      <w:r>
        <w:rPr>
          <w:rFonts w:eastAsia="華康中黑體"/>
          <w:b/>
          <w:i w:val="false"/>
          <w:szCs w:val="27"/>
        </w:rPr>
        <w:t>財經事務及庫務局局長</w:t>
      </w:r>
      <w:r>
        <w:rPr>
          <w:i w:val="false"/>
          <w:szCs w:val="27"/>
        </w:rPr>
        <w:t>：主席，</w:t>
      </w:r>
    </w:p>
    <w:p>
      <w:pPr>
        <w:pStyle w:val="Style13"/>
        <w:spacing w:lineRule="atLeast" w:line="370"/>
        <w:ind w:left="0" w:hanging="0"/>
        <w:rPr>
          <w:i w:val="false"/>
          <w:i w:val="false"/>
          <w:szCs w:val="27"/>
        </w:rPr>
      </w:pPr>
      <w:r>
        <w:rPr>
          <w:i w:val="false"/>
          <w:szCs w:val="27"/>
        </w:rPr>
      </w:r>
    </w:p>
    <w:p>
      <w:pPr>
        <w:pStyle w:val="Style13"/>
        <w:spacing w:lineRule="atLeast" w:line="370"/>
        <w:rPr>
          <w:i w:val="false"/>
          <w:i w:val="false"/>
        </w:rPr>
      </w:pPr>
      <w:r>
        <w:rPr>
          <w:i w:val="false"/>
        </w:rPr>
        <w:t>(</w:t>
      </w:r>
      <w:r>
        <w:rPr>
          <w:i w:val="false"/>
        </w:rPr>
        <w:t>一</w:t>
      </w:r>
      <w:r>
        <w:rPr>
          <w:i w:val="false"/>
        </w:rPr>
        <w:t>)</w:t>
      </w:r>
      <w:r>
        <w:rPr>
          <w:i w:val="false"/>
        </w:rPr>
        <w:t>及</w:t>
      </w:r>
      <w:r>
        <w:rPr>
          <w:i w:val="false"/>
        </w:rPr>
        <w:t>(</w:t>
      </w:r>
      <w:r>
        <w:rPr>
          <w:i w:val="false"/>
        </w:rPr>
        <w:t>二</w:t>
      </w:r>
      <w:r>
        <w:rPr>
          <w:i w:val="false"/>
        </w:rPr>
        <w:t>)</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由於警方及證券及期貨事務監察委員會</w:t>
      </w:r>
      <w:r>
        <w:rPr>
          <w:i w:val="false"/>
        </w:rPr>
        <w:t>(“</w:t>
      </w:r>
      <w:r>
        <w:rPr>
          <w:i w:val="false"/>
        </w:rPr>
        <w:t>證監會”</w:t>
      </w:r>
      <w:r>
        <w:rPr>
          <w:i w:val="false"/>
        </w:rPr>
        <w:t>)</w:t>
      </w:r>
      <w:r>
        <w:rPr>
          <w:i w:val="false"/>
        </w:rPr>
        <w:t>就有關香港商品交易所有限公司</w:t>
      </w:r>
      <w:r>
        <w:rPr>
          <w:i w:val="false"/>
        </w:rPr>
        <w:t>(“</w:t>
      </w:r>
      <w:r>
        <w:rPr>
          <w:i w:val="false"/>
        </w:rPr>
        <w:t>商交所”</w:t>
      </w:r>
      <w:r>
        <w:rPr>
          <w:i w:val="false"/>
        </w:rPr>
        <w:t>)</w:t>
      </w:r>
      <w:r>
        <w:rPr>
          <w:i w:val="false"/>
        </w:rPr>
        <w:t>的案件仍在調查當中，我們不會公開評論，包括裁判官於</w:t>
      </w:r>
      <w:r>
        <w:rPr>
          <w:i w:val="false"/>
        </w:rPr>
        <w:t>2013</w:t>
      </w:r>
      <w:r>
        <w:rPr>
          <w:i w:val="false"/>
        </w:rPr>
        <w:t>年</w:t>
      </w:r>
      <w:r>
        <w:rPr>
          <w:i w:val="false"/>
        </w:rPr>
        <w:t>10</w:t>
      </w:r>
      <w:r>
        <w:rPr>
          <w:i w:val="false"/>
        </w:rPr>
        <w:t>月</w:t>
      </w:r>
      <w:r>
        <w:rPr>
          <w:i w:val="false"/>
        </w:rPr>
        <w:t>22</w:t>
      </w:r>
      <w:r>
        <w:rPr>
          <w:i w:val="false"/>
        </w:rPr>
        <w:t>日判案時所提及的情況，以免影響現正進行的調查工作。《證券及期貨條例》第</w:t>
      </w:r>
      <w:r>
        <w:rPr>
          <w:i w:val="false"/>
        </w:rPr>
        <w:t>378</w:t>
      </w:r>
      <w:r>
        <w:rPr>
          <w:i w:val="false"/>
        </w:rPr>
        <w:t>條亦規定，證監會須依法將其調查工作保密。</w:t>
      </w:r>
    </w:p>
    <w:p>
      <w:pPr>
        <w:pStyle w:val="Style13"/>
        <w:spacing w:lineRule="atLeast" w:line="370"/>
        <w:rPr>
          <w:i w:val="false"/>
          <w:i w:val="false"/>
        </w:rPr>
      </w:pPr>
      <w:r>
        <w:rPr>
          <w:i w:val="false"/>
        </w:rPr>
      </w:r>
    </w:p>
    <w:p>
      <w:pPr>
        <w:pStyle w:val="Style13"/>
        <w:spacing w:lineRule="atLeast" w:line="370"/>
        <w:rPr>
          <w:i w:val="false"/>
          <w:i w:val="false"/>
        </w:rPr>
      </w:pPr>
      <w:r>
        <w:rPr>
          <w:i w:val="false"/>
        </w:rPr>
        <w:t>(</w:t>
      </w:r>
      <w:r>
        <w:rPr>
          <w:i w:val="false"/>
        </w:rPr>
        <w:t>三</w:t>
      </w:r>
      <w:r>
        <w:rPr>
          <w:i w:val="false"/>
        </w:rPr>
        <w:t>)</w:t>
        <w:tab/>
      </w:r>
      <w:r>
        <w:rPr>
          <w:i w:val="false"/>
        </w:rPr>
        <w:t>質詢的第</w:t>
      </w:r>
      <w:r>
        <w:rPr>
          <w:i w:val="false"/>
        </w:rPr>
        <w:t>(</w:t>
      </w:r>
      <w:r>
        <w:rPr>
          <w:i w:val="false"/>
        </w:rPr>
        <w:t>三</w:t>
      </w:r>
      <w:r>
        <w:rPr>
          <w:i w:val="false"/>
        </w:rPr>
        <w:t>)</w:t>
      </w:r>
      <w:r>
        <w:rPr>
          <w:i w:val="false"/>
        </w:rPr>
        <w:t>部分提及，在美國傳統基金會全球經濟自由度指數中，香港廉潔程度的排名下跌。就此，據了解，該指數主要是參考“透明國際”的“清廉指數”，是調查被訪者對貪污的觀感而非香港的實際廉潔情況。近期一些較為矚目的個別案件，可能影響了大眾對香港廉潔程度的觀感。然而，這些只是個別情況，並不反映香港的實際廉潔情況有所轉差。香港的貪污情況仍處於極低水平。</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事實上，不少其他海外調查結果仍然肯定香港是一個高度廉潔的地區，例如根據“世界正義工程”的《</w:t>
      </w:r>
      <w:r>
        <w:rPr>
          <w:i w:val="false"/>
        </w:rPr>
        <w:t>2014</w:t>
      </w:r>
      <w:r>
        <w:rPr>
          <w:i w:val="false"/>
        </w:rPr>
        <w:t>年法治指數》，香港的廉潔度在</w:t>
      </w:r>
      <w:r>
        <w:rPr>
          <w:i w:val="false"/>
        </w:rPr>
        <w:t>99</w:t>
      </w:r>
      <w:r>
        <w:rPr>
          <w:i w:val="false"/>
        </w:rPr>
        <w:t>個國家和地區中排名第九，與</w:t>
      </w:r>
      <w:r>
        <w:rPr>
          <w:i w:val="false"/>
        </w:rPr>
        <w:t>2013</w:t>
      </w:r>
      <w:r>
        <w:rPr>
          <w:i w:val="false"/>
        </w:rPr>
        <w:t>年的排名不變；“政經風險顧問公司”</w:t>
      </w:r>
      <w:r>
        <w:rPr>
          <w:i w:val="false"/>
        </w:rPr>
        <w:t>2014</w:t>
      </w:r>
      <w:r>
        <w:rPr>
          <w:i w:val="false"/>
        </w:rPr>
        <w:t>年的調查指出，香港的廉潔度在</w:t>
      </w:r>
      <w:r>
        <w:rPr>
          <w:i w:val="false"/>
        </w:rPr>
        <w:t>14</w:t>
      </w:r>
      <w:r>
        <w:rPr>
          <w:i w:val="false"/>
        </w:rPr>
        <w:t>個亞洲地區中排名第三，評分更較前年明顯上升。廉政公署會繼續向國際社會介紹香港的實際廉潔情況，維護香港廉潔社會的聲譽。</w:t>
      </w:r>
      <w:r>
        <w:br w:type="page"/>
      </w:r>
    </w:p>
    <w:p>
      <w:pPr>
        <w:pStyle w:val="Style13"/>
        <w:rPr>
          <w:i w:val="false"/>
          <w:i w:val="false"/>
        </w:rPr>
      </w:pPr>
      <w:r>
        <w:rPr>
          <w:i w:val="false"/>
        </w:rPr>
        <w:tab/>
      </w:r>
      <w:r>
        <w:rPr>
          <w:i w:val="false"/>
        </w:rPr>
        <w:t>至於商交所案件，警方及證監會明白議員的關注及公眾對執法機構的透明度的期望，但正如答覆第</w:t>
      </w:r>
      <w:r>
        <w:rPr>
          <w:i w:val="false"/>
        </w:rPr>
        <w:t>(</w:t>
      </w:r>
      <w:r>
        <w:rPr>
          <w:i w:val="false"/>
        </w:rPr>
        <w:t>一</w:t>
      </w:r>
      <w:r>
        <w:rPr>
          <w:i w:val="false"/>
        </w:rPr>
        <w:t>)</w:t>
      </w:r>
      <w:r>
        <w:rPr>
          <w:i w:val="false"/>
        </w:rPr>
        <w:t>部分所述，在調查期間不會評論案件。證監會按照其一貫做法，在完成調查後如採取執法行動，會作出公布。警方亦會在適當時候發布有關消息。如法律程序一經提起，案件便會在對外開放的法院或審裁處公開審理。</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i/>
          <w:i/>
          <w:szCs w:val="27"/>
        </w:rPr>
      </w:pPr>
      <w:r>
        <w:rPr>
          <w:rFonts w:ascii="華康中黑體" w:hAnsi="華康中黑體" w:cs="華康中黑體" w:eastAsia="華康中黑體"/>
          <w:b/>
          <w:szCs w:val="27"/>
        </w:rPr>
        <w:t>田北俊議員</w:t>
      </w:r>
      <w:r>
        <w:rPr>
          <w:szCs w:val="27"/>
        </w:rPr>
        <w:t>：</w:t>
      </w:r>
      <w:r>
        <w:rPr>
          <w:i/>
          <w:szCs w:val="27"/>
        </w:rPr>
        <w:t>主席，香港警方或證監會以往調查這類個案，通常數個月至</w:t>
      </w:r>
      <w:r>
        <w:rPr>
          <w:i/>
          <w:szCs w:val="27"/>
        </w:rPr>
        <w:t>1</w:t>
      </w:r>
      <w:r>
        <w:rPr>
          <w:i/>
          <w:szCs w:val="27"/>
        </w:rPr>
        <w:t>年便能查出結果。這宗個案其實也不是太複雜，</w:t>
      </w:r>
      <w:r>
        <w:rPr>
          <w:i/>
          <w:szCs w:val="27"/>
        </w:rPr>
        <w:t>2013</w:t>
      </w:r>
      <w:r>
        <w:rPr>
          <w:i/>
          <w:szCs w:val="27"/>
        </w:rPr>
        <w:t>年</w:t>
      </w:r>
      <w:r>
        <w:rPr>
          <w:i/>
          <w:szCs w:val="27"/>
        </w:rPr>
        <w:t>7</w:t>
      </w:r>
      <w:r>
        <w:rPr>
          <w:i/>
          <w:szCs w:val="27"/>
        </w:rPr>
        <w:t>月至今，已經</w:t>
      </w:r>
      <w:r>
        <w:rPr>
          <w:i/>
          <w:szCs w:val="27"/>
        </w:rPr>
        <w:t>20</w:t>
      </w:r>
      <w:r>
        <w:rPr>
          <w:i/>
          <w:szCs w:val="27"/>
        </w:rPr>
        <w:t>個月，政府的答案只是簡單一句“仍在調查當中，所以不會公開評論”。</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這宗個案有其特別之處，主席，因為商交所主席張震遠先生曾是行政會議成員。我覺得社會或業界會有很多質疑，為何調查了</w:t>
      </w:r>
      <w:r>
        <w:rPr>
          <w:i/>
          <w:szCs w:val="27"/>
        </w:rPr>
        <w:t>20</w:t>
      </w:r>
      <w:r>
        <w:rPr>
          <w:i/>
          <w:szCs w:val="27"/>
        </w:rPr>
        <w:t>個月，仍未有下文呢？</w:t>
      </w:r>
    </w:p>
    <w:p>
      <w:pPr>
        <w:pStyle w:val="F21"/>
        <w:spacing w:lineRule="atLeast" w:line="370"/>
        <w:rPr>
          <w:i/>
          <w:i/>
          <w:szCs w:val="27"/>
        </w:rPr>
      </w:pPr>
      <w:r>
        <w:rPr>
          <w:i/>
          <w:szCs w:val="27"/>
        </w:rPr>
      </w:r>
    </w:p>
    <w:p>
      <w:pPr>
        <w:pStyle w:val="F21"/>
        <w:spacing w:lineRule="atLeast" w:line="370"/>
        <w:rPr>
          <w:szCs w:val="27"/>
        </w:rPr>
      </w:pPr>
      <w:r>
        <w:rPr>
          <w:i/>
          <w:szCs w:val="27"/>
        </w:rPr>
        <w:tab/>
      </w:r>
      <w:r>
        <w:rPr>
          <w:i/>
          <w:szCs w:val="27"/>
        </w:rPr>
        <w:t>我想問，政府從行政長官到財政司司長或局長，在這宗個案調查至今的</w:t>
      </w:r>
      <w:r>
        <w:rPr>
          <w:i/>
          <w:szCs w:val="27"/>
        </w:rPr>
        <w:t>20</w:t>
      </w:r>
      <w:r>
        <w:rPr>
          <w:i/>
          <w:szCs w:val="27"/>
        </w:rPr>
        <w:t>個月期間，有否叫警方及證監會“放軟手腳”拖慢調查，或是調查即使有了結果暫時不要公布？是否有這種情況？</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財經事務及庫務局局長</w:t>
      </w:r>
      <w:r>
        <w:rPr>
          <w:szCs w:val="27"/>
        </w:rPr>
        <w:t>：主席，我已經說過，證監會不會公開評論其調查工作。關於時間方面，他們會盡力盡快完成有關調查工作，而調查所需的時間，實在是根據個案的情況而定。</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我在此補充，警方亦正全方位調查這宗案件，每宗案件的性質及複雜程度不同，所需的時間亦有不同。我們不應進一步評論，以免影響案件現時的調查工作。</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ascii="華康中黑體" w:hAnsi="華康中黑體" w:cs="華康中黑體" w:eastAsia="華康中黑體"/>
          <w:b/>
          <w:szCs w:val="27"/>
        </w:rPr>
        <w:t>田北俊議員</w:t>
      </w:r>
      <w:r>
        <w:rPr>
          <w:szCs w:val="27"/>
        </w:rPr>
        <w:t>：</w:t>
      </w:r>
      <w:r>
        <w:rPr>
          <w:i/>
          <w:szCs w:val="27"/>
        </w:rPr>
        <w:t>局長沒有回答我的補充質詢。我是問，政府從行政長官到主要官員有否影響這項調查，叫警方及證監會拖慢調查或不公布調查結果？他沒有回答我這項補充質詢。</w:t>
      </w:r>
    </w:p>
    <w:p>
      <w:pPr>
        <w:pStyle w:val="F21"/>
        <w:spacing w:lineRule="atLeast" w:line="370"/>
        <w:rPr>
          <w:i/>
          <w:i/>
          <w:szCs w:val="27"/>
        </w:rPr>
      </w:pPr>
      <w:r>
        <w:rPr>
          <w:i/>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：局長，有否要求拖慢調查進度？</w:t>
      </w:r>
    </w:p>
    <w:p>
      <w:pPr>
        <w:pStyle w:val="F21"/>
        <w:spacing w:lineRule="exact" w:line="20"/>
        <w:rPr>
          <w:szCs w:val="27"/>
        </w:rPr>
      </w:pPr>
      <w:r>
        <w:rPr>
          <w:szCs w:val="27"/>
        </w:rPr>
      </w:r>
    </w:p>
    <w:p>
      <w:pPr>
        <w:pStyle w:val="Normal"/>
        <w:widowControl/>
        <w:tabs>
          <w:tab w:val="clear" w:pos="720"/>
        </w:tabs>
        <w:spacing w:lineRule="exact" w:line="20"/>
        <w:jc w:val="left"/>
        <w:rPr>
          <w:rFonts w:cs="" w:cstheme="minorBidi"/>
          <w:spacing w:val="20"/>
          <w:sz w:val="27"/>
          <w:szCs w:val="27"/>
          <w:lang w:val="en-US"/>
        </w:rPr>
      </w:pPr>
      <w:r>
        <w:rPr>
          <w:rFonts w:cs="" w:cstheme="minorBidi"/>
          <w:spacing w:val="20"/>
          <w:sz w:val="27"/>
          <w:szCs w:val="27"/>
          <w:lang w:val="en-US"/>
        </w:rPr>
      </w:r>
      <w:r>
        <w:br w:type="page"/>
      </w:r>
    </w:p>
    <w:p>
      <w:pPr>
        <w:pStyle w:val="F21"/>
        <w:rPr>
          <w:szCs w:val="27"/>
        </w:rPr>
      </w:pPr>
      <w:r>
        <w:rPr>
          <w:rFonts w:eastAsia="華康中黑體"/>
          <w:b/>
          <w:szCs w:val="27"/>
        </w:rPr>
        <w:t>財經事務及庫務局局長</w:t>
      </w:r>
      <w:r>
        <w:rPr>
          <w:szCs w:val="27"/>
        </w:rPr>
        <w:t>：我相信證監會及警方是獨立的執法機構，它們正在為此事件進行全方位調查。</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eastAsia="華康中黑體"/>
          <w:b/>
          <w:szCs w:val="27"/>
        </w:rPr>
        <w:t>張華峰議員</w:t>
      </w:r>
      <w:r>
        <w:rPr>
          <w:szCs w:val="27"/>
        </w:rPr>
        <w:t>：</w:t>
      </w:r>
      <w:r>
        <w:rPr>
          <w:i/>
          <w:szCs w:val="27"/>
        </w:rPr>
        <w:t>主席，就證監會處理商交所的問題，我去年亦曾提出質詢，質詢當局對事件的調查是否一視同仁、公平公正，是否有決心“老虎、蒼蠅一齊打”。</w:t>
      </w:r>
    </w:p>
    <w:p>
      <w:pPr>
        <w:pStyle w:val="F21"/>
        <w:rPr>
          <w:i/>
          <w:i/>
          <w:szCs w:val="27"/>
        </w:rPr>
      </w:pPr>
      <w:r>
        <w:rPr>
          <w:i/>
          <w:szCs w:val="27"/>
        </w:rPr>
      </w:r>
    </w:p>
    <w:p>
      <w:pPr>
        <w:pStyle w:val="F21"/>
        <w:rPr>
          <w:szCs w:val="27"/>
        </w:rPr>
      </w:pPr>
      <w:r>
        <w:rPr>
          <w:i/>
          <w:szCs w:val="27"/>
        </w:rPr>
        <w:tab/>
      </w:r>
      <w:r>
        <w:rPr>
          <w:i/>
          <w:szCs w:val="27"/>
        </w:rPr>
        <w:t>基於公眾利益，以及市民十分關心這類重大事件的處理方法，我想問，政府是否可以提高調查的透明度，定期或階段性公布調查的進展？雖然局長剛才表示，調查期間不可以透露內容，但我們只是關注事件是否仍在調查當中，希望不會因為拖延時間而令事件不了了之，以釋除公眾的疑慮。</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財經事務及庫務局局長</w:t>
      </w:r>
      <w:r>
        <w:rPr>
          <w:szCs w:val="27"/>
        </w:rPr>
        <w:t>：我只可以對議員說，據我理據，證監會及警方的確正努力及全方位調查此事件。正如我剛才所說，由於案件仍在調查當中，加上證監會所執行的法例亦有規定，它不可以將調查內容公開。</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cs="華康中黑體" w:eastAsia="華康中黑體"/>
          <w:b/>
          <w:szCs w:val="27"/>
        </w:rPr>
        <w:t>劉慧卿議員</w:t>
      </w:r>
      <w:r>
        <w:rPr>
          <w:szCs w:val="27"/>
        </w:rPr>
        <w:t>：</w:t>
      </w:r>
      <w:r>
        <w:rPr>
          <w:i/>
          <w:szCs w:val="27"/>
        </w:rPr>
        <w:t>主席，很多市民</w:t>
      </w:r>
      <w:r>
        <w:rPr>
          <w:i/>
          <w:szCs w:val="27"/>
        </w:rPr>
        <w:t>(</w:t>
      </w:r>
      <w:r>
        <w:rPr>
          <w:i/>
          <w:szCs w:val="27"/>
        </w:rPr>
        <w:t>包括尤其是商界及金融界的人士</w:t>
      </w:r>
      <w:r>
        <w:rPr>
          <w:i/>
          <w:szCs w:val="27"/>
        </w:rPr>
        <w:t>)</w:t>
      </w:r>
      <w:r>
        <w:rPr>
          <w:i/>
          <w:szCs w:val="27"/>
        </w:rPr>
        <w:t>都問我，為何特區當局要花這麼長時間調查商交所及張震遠？既有警方，又有證監會，調查了這麼久，但甚麼也沒有交代。</w:t>
      </w:r>
    </w:p>
    <w:p>
      <w:pPr>
        <w:pStyle w:val="F21"/>
        <w:rPr>
          <w:i/>
          <w:i/>
          <w:szCs w:val="27"/>
        </w:rPr>
      </w:pPr>
      <w:r>
        <w:rPr>
          <w:i/>
          <w:szCs w:val="27"/>
        </w:rPr>
      </w:r>
    </w:p>
    <w:p>
      <w:pPr>
        <w:pStyle w:val="F21"/>
        <w:rPr>
          <w:i/>
          <w:i/>
          <w:szCs w:val="27"/>
        </w:rPr>
      </w:pPr>
      <w:r>
        <w:rPr>
          <w:i/>
          <w:szCs w:val="27"/>
        </w:rPr>
        <w:tab/>
      </w:r>
      <w:r>
        <w:rPr>
          <w:i/>
          <w:szCs w:val="27"/>
        </w:rPr>
        <w:t>田議員主體質詢第</w:t>
      </w:r>
      <w:r>
        <w:rPr>
          <w:i/>
          <w:szCs w:val="27"/>
        </w:rPr>
        <w:t>(</w:t>
      </w:r>
      <w:r>
        <w:rPr>
          <w:i/>
          <w:szCs w:val="27"/>
        </w:rPr>
        <w:t>三</w:t>
      </w:r>
      <w:r>
        <w:rPr>
          <w:i/>
          <w:szCs w:val="27"/>
        </w:rPr>
        <w:t>)</w:t>
      </w:r>
      <w:r>
        <w:rPr>
          <w:i/>
          <w:szCs w:val="27"/>
        </w:rPr>
        <w:t>部分，是關於我們的廉潔程度一直下跌，這是眾所周知的事情。所以，主席，我覺得當局須解釋，尤其是張震遠，大家都知道他是梁振英的“頭馬”，很多人都質疑，是否與梁振英有關、他喜歡或支持的人，便可享有特別的對待？</w:t>
      </w:r>
    </w:p>
    <w:p>
      <w:pPr>
        <w:pStyle w:val="F21"/>
        <w:rPr>
          <w:i/>
          <w:i/>
          <w:szCs w:val="27"/>
        </w:rPr>
      </w:pPr>
      <w:r>
        <w:rPr>
          <w:i/>
          <w:szCs w:val="27"/>
        </w:rPr>
      </w:r>
    </w:p>
    <w:p>
      <w:pPr>
        <w:pStyle w:val="F21"/>
        <w:rPr>
          <w:i/>
          <w:i/>
          <w:szCs w:val="27"/>
        </w:rPr>
      </w:pPr>
      <w:r>
        <w:rPr>
          <w:i/>
          <w:szCs w:val="27"/>
        </w:rPr>
        <w:tab/>
      </w:r>
      <w:r>
        <w:rPr>
          <w:i/>
          <w:szCs w:val="27"/>
        </w:rPr>
        <w:t>局長一定要告訴立法會及公眾，政府沒有受到這些“用人唯親”、“包庇自己人”的氣氛摧殘。為何這件事不可以交代更多詳情？即使張華峰議員的小圈子選民也擔心，如果是這樣，我相信香港的廉潔程度會一直下跌，那麼香港不是會被當局害死嗎？</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財經事務及庫務局局長</w:t>
      </w:r>
      <w:r>
        <w:rPr>
          <w:szCs w:val="27"/>
        </w:rPr>
        <w:t>：主席，議員都知道，就過往調查的所有案件而言，警方及證監會同樣不會在調查完結前公開調查的進度及內容，這是一貫做法。我只能夠告訴大家，證監會及警方是獨立的執法機構，它們在所有事件中一定不偏不倚、認真地進行調查工作。</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劉慧卿議員</w:t>
      </w:r>
      <w:r>
        <w:rPr>
          <w:szCs w:val="27"/>
        </w:rPr>
        <w:t>：</w:t>
      </w:r>
      <w:r>
        <w:rPr>
          <w:i/>
          <w:szCs w:val="27"/>
        </w:rPr>
        <w:t>局長沒有回答我的補充質詢。如果做得不好，會否影響香港的聲譽，令我們的廉潔程度一直下降？</w:t>
      </w:r>
    </w:p>
    <w:p>
      <w:pPr>
        <w:pStyle w:val="F21"/>
        <w:spacing w:lineRule="atLeast" w:line="370"/>
        <w:rPr>
          <w:szCs w:val="27"/>
        </w:rPr>
      </w:pPr>
      <w:r>
        <w:rPr>
          <w:szCs w:val="27"/>
        </w:rPr>
      </w:r>
    </w:p>
    <w:p>
      <w:pPr>
        <w:pStyle w:val="F21"/>
        <w:spacing w:lineRule="atLeast" w:line="370"/>
        <w:rPr>
          <w:szCs w:val="27"/>
        </w:rPr>
      </w:pPr>
      <w:r>
        <w:rPr>
          <w:szCs w:val="27"/>
        </w:rPr>
      </w:r>
    </w:p>
    <w:p>
      <w:pPr>
        <w:pStyle w:val="F21"/>
        <w:tabs>
          <w:tab w:val="left" w:pos="567" w:leader="none"/>
          <w:tab w:val="left" w:pos="851" w:leader="none"/>
        </w:tabs>
        <w:spacing w:lineRule="atLeast" w:line="370"/>
        <w:ind w:left="931" w:hanging="931"/>
        <w:rPr>
          <w:szCs w:val="27"/>
        </w:rPr>
      </w:pPr>
      <w:r>
        <w:rPr>
          <w:rFonts w:eastAsia="華康中黑體"/>
          <w:b/>
          <w:szCs w:val="27"/>
        </w:rPr>
        <w:t>主席</w:t>
      </w:r>
      <w:r>
        <w:rPr>
          <w:szCs w:val="27"/>
        </w:rPr>
        <w:t>：局長，你有否補充？</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財經事務及庫務局局長</w:t>
      </w:r>
      <w:r>
        <w:rPr>
          <w:szCs w:val="27"/>
        </w:rPr>
        <w:t>：這正是我們的執法機構堅持以獨立和不偏不倚的方式執法的原因。大家都希望香港是一個能夠維持廉潔的地方。</w:t>
      </w:r>
    </w:p>
    <w:p>
      <w:pPr>
        <w:pStyle w:val="F21"/>
        <w:spacing w:lineRule="atLeast" w:line="370"/>
        <w:rPr>
          <w:rFonts w:ascii="華康細明體" w:hAnsi="華康細明體" w:eastAsia="華康中黑體" w:cs="華康細明體"/>
          <w:b/>
          <w:b/>
          <w:szCs w:val="27"/>
        </w:rPr>
      </w:pPr>
      <w:r>
        <w:rPr>
          <w:rFonts w:eastAsia="華康中黑體" w:cs="華康細明體" w:ascii="華康細明體" w:hAnsi="華康細明體"/>
          <w:b/>
          <w:szCs w:val="27"/>
        </w:rPr>
      </w:r>
    </w:p>
    <w:p>
      <w:pPr>
        <w:pStyle w:val="F21"/>
        <w:spacing w:lineRule="atLeast" w:line="370"/>
        <w:rPr>
          <w:rFonts w:ascii="華康細明體" w:hAnsi="華康細明體" w:eastAsia="華康中黑體" w:cs="華康細明體"/>
          <w:b/>
          <w:b/>
          <w:szCs w:val="27"/>
        </w:rPr>
      </w:pPr>
      <w:r>
        <w:rPr>
          <w:rFonts w:eastAsia="華康中黑體" w:cs="華康細明體" w:ascii="華康細明體" w:hAnsi="華康細明體"/>
          <w:b/>
          <w:szCs w:val="27"/>
        </w:rPr>
      </w:r>
    </w:p>
    <w:p>
      <w:pPr>
        <w:pStyle w:val="F21"/>
        <w:spacing w:lineRule="atLeast" w:line="370"/>
        <w:rPr>
          <w:rFonts w:cs="Times New Roman"/>
          <w:i/>
          <w:i/>
          <w:szCs w:val="27"/>
        </w:rPr>
      </w:pPr>
      <w:r>
        <w:rPr>
          <w:rFonts w:ascii="華康細明體" w:hAnsi="華康細明體" w:cs="華康細明體" w:eastAsia="華康中黑體"/>
          <w:b/>
          <w:szCs w:val="27"/>
        </w:rPr>
        <w:t>何俊仁</w:t>
      </w:r>
      <w:r>
        <w:rPr>
          <w:rFonts w:eastAsia="華康中黑體"/>
          <w:b/>
          <w:szCs w:val="27"/>
        </w:rPr>
        <w:t>議員</w:t>
      </w:r>
      <w:r>
        <w:rPr>
          <w:szCs w:val="27"/>
        </w:rPr>
        <w:t>：</w:t>
      </w:r>
      <w:r>
        <w:rPr>
          <w:i/>
          <w:szCs w:val="27"/>
        </w:rPr>
        <w:t xml:space="preserve">主席，其實我們不單在廉潔指數的排名下跌 </w:t>
      </w:r>
      <w:r>
        <w:rPr>
          <w:rFonts w:ascii="Symbol" w:hAnsi="Symbol" w:cs="Symbol" w:eastAsia="Symbol"/>
          <w:i/>
          <w:szCs w:val="27"/>
        </w:rPr>
        <w:t></w:t>
      </w:r>
      <w:r>
        <w:rPr>
          <w:i/>
          <w:szCs w:val="27"/>
        </w:rPr>
        <w:t xml:space="preserve"> 田議員說下跌至第十五位 </w:t>
      </w:r>
      <w:r>
        <w:rPr>
          <w:rFonts w:ascii="Symbol" w:hAnsi="Symbol" w:cs="Symbol" w:eastAsia="Symbol"/>
          <w:i/>
          <w:szCs w:val="27"/>
        </w:rPr>
        <w:t></w:t>
      </w:r>
      <w:r>
        <w:rPr>
          <w:i/>
          <w:szCs w:val="27"/>
        </w:rPr>
        <w:t xml:space="preserve"> 還有在法治指數的排名，也下跌至全球第十六位，遠較新加坡為低，這點才令人氣憤。</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看來我們的確是有問題。剛才局長的答覆有否釋除疑慮？當然沒有。單以新加坡來作比較，中信泰富的案件，我們調查了</w:t>
      </w:r>
      <w:r>
        <w:rPr>
          <w:i/>
          <w:szCs w:val="27"/>
        </w:rPr>
        <w:t>6</w:t>
      </w:r>
      <w:r>
        <w:rPr>
          <w:i/>
          <w:szCs w:val="27"/>
        </w:rPr>
        <w:t xml:space="preserve">年 </w:t>
      </w:r>
      <w:r>
        <w:rPr>
          <w:rFonts w:ascii="Symbol" w:hAnsi="Symbol" w:cs="Symbol" w:eastAsia="Symbol"/>
          <w:i/>
          <w:szCs w:val="27"/>
        </w:rPr>
        <w:t></w:t>
      </w:r>
      <w:r>
        <w:rPr>
          <w:i/>
          <w:szCs w:val="27"/>
        </w:rPr>
        <w:t xml:space="preserve"> 該公司因為“炒燶”外匯而失去很多資產 </w:t>
      </w:r>
      <w:r>
        <w:rPr>
          <w:rFonts w:ascii="Symbol" w:hAnsi="Symbol" w:cs="Symbol" w:eastAsia="Symbol"/>
          <w:i/>
          <w:szCs w:val="27"/>
        </w:rPr>
        <w:t></w:t>
      </w:r>
      <w:r>
        <w:rPr>
          <w:i/>
          <w:szCs w:val="27"/>
        </w:rPr>
        <w:t xml:space="preserve"> 結果是提出民事起訴，作有限度的追究；刑事調查的結果，則遙遙無期。相反，在新加坡，中國航油“炒燶”外匯的規模只有上述案件的一半，但新加坡當局在</w:t>
      </w:r>
      <w:r>
        <w:rPr>
          <w:i/>
          <w:szCs w:val="27"/>
        </w:rPr>
        <w:t>6</w:t>
      </w:r>
      <w:r>
        <w:rPr>
          <w:i/>
          <w:szCs w:val="27"/>
        </w:rPr>
        <w:t>年內已完成調查、公布報告及作出檢控，而涉事的總監或董事更已刑滿出獄。如何比較呢</w:t>
      </w:r>
      <w:r>
        <w:rPr>
          <w:i/>
          <w:szCs w:val="27"/>
        </w:rPr>
        <w:t xml:space="preserve">...... </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：何議員，請提出你的補充質詢。</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ascii="華康細明體" w:hAnsi="華康細明體" w:cs="華康細明體" w:eastAsia="華康中黑體"/>
          <w:b/>
          <w:szCs w:val="27"/>
        </w:rPr>
        <w:t>何俊仁</w:t>
      </w:r>
      <w:r>
        <w:rPr>
          <w:rFonts w:eastAsia="華康中黑體"/>
          <w:b/>
          <w:szCs w:val="27"/>
        </w:rPr>
        <w:t>議員</w:t>
      </w:r>
      <w:r>
        <w:rPr>
          <w:szCs w:val="27"/>
        </w:rPr>
        <w:t>：</w:t>
      </w:r>
      <w:r>
        <w:rPr>
          <w:i/>
          <w:szCs w:val="27"/>
        </w:rPr>
        <w:t xml:space="preserve">主席，我想問，其實我們的執法機構出現了甚麼問題？證監會素來是非常專業的，為何聲望越來越下降，越來越被人質疑？局長今天如此答覆，是無法使大家安心的。當局可否在制度上作出改革，以確保真的能有所交代、有透明度，而不是像局長有時候前來立法會作答時般戰戰兢兢的說：“我相信是可以的”、“我相信是獨立的”？這是否能解決問題？ </w:t>
      </w:r>
    </w:p>
    <w:p>
      <w:pPr>
        <w:pStyle w:val="F21"/>
        <w:spacing w:lineRule="exact" w:line="20"/>
        <w:rPr>
          <w:i/>
          <w:i/>
          <w:szCs w:val="27"/>
        </w:rPr>
      </w:pPr>
      <w:r>
        <w:rPr>
          <w:i/>
          <w:szCs w:val="27"/>
        </w:rPr>
      </w:r>
    </w:p>
    <w:p>
      <w:pPr>
        <w:pStyle w:val="Normal"/>
        <w:widowControl/>
        <w:tabs>
          <w:tab w:val="clear" w:pos="720"/>
        </w:tabs>
        <w:spacing w:lineRule="exact" w:line="20"/>
        <w:jc w:val="left"/>
        <w:rPr>
          <w:rFonts w:cs="" w:cstheme="minorBidi"/>
          <w:i/>
          <w:i/>
          <w:spacing w:val="20"/>
          <w:sz w:val="27"/>
          <w:szCs w:val="27"/>
          <w:lang w:val="en-US"/>
        </w:rPr>
      </w:pPr>
      <w:r>
        <w:rPr>
          <w:rFonts w:cs="" w:cstheme="minorBidi"/>
          <w:i/>
          <w:spacing w:val="20"/>
          <w:sz w:val="27"/>
          <w:szCs w:val="27"/>
          <w:lang w:val="en-US"/>
        </w:rPr>
      </w:r>
      <w:r>
        <w:br w:type="page"/>
      </w:r>
    </w:p>
    <w:p>
      <w:pPr>
        <w:pStyle w:val="F21"/>
        <w:rPr>
          <w:szCs w:val="27"/>
        </w:rPr>
      </w:pPr>
      <w:r>
        <w:rPr>
          <w:rFonts w:eastAsia="華康中黑體"/>
          <w:b/>
          <w:szCs w:val="27"/>
        </w:rPr>
        <w:t>財經事務及庫務局局長</w:t>
      </w:r>
      <w:r>
        <w:rPr>
          <w:szCs w:val="27"/>
        </w:rPr>
        <w:t>：主席，既然議員問及這個問題，我必須嚴正指出，證監會在所有調查工作及執法方面，都受到國際尊重，在過往很多案件中均嚴謹執法，可以說是以世界尊重的一種力度來防止香港出現金融違規事件。至於這宗案件，議員關心可否公布調查內容，目前來說，無論是基於法例或程序，我們都不能在此向大家公布。但是，請不要因此而指稱政府的監管機構辦事拖延，這情況並不存在。</w:t>
      </w:r>
    </w:p>
    <w:p>
      <w:pPr>
        <w:pStyle w:val="F21"/>
        <w:rPr>
          <w:szCs w:val="27"/>
        </w:rPr>
      </w:pPr>
      <w:r>
        <w:rPr>
          <w:szCs w:val="27"/>
        </w:rPr>
      </w:r>
    </w:p>
    <w:p>
      <w:pPr>
        <w:pStyle w:val="F21"/>
        <w:rPr>
          <w:szCs w:val="27"/>
        </w:rPr>
      </w:pPr>
      <w:r>
        <w:rPr>
          <w:szCs w:val="27"/>
        </w:rPr>
      </w:r>
    </w:p>
    <w:p>
      <w:pPr>
        <w:pStyle w:val="F21"/>
        <w:rPr>
          <w:i/>
          <w:i/>
          <w:szCs w:val="27"/>
        </w:rPr>
      </w:pPr>
      <w:r>
        <w:rPr>
          <w:rFonts w:eastAsia="華康中黑體"/>
          <w:b/>
          <w:szCs w:val="27"/>
        </w:rPr>
        <w:t>單仲偕議員</w:t>
      </w:r>
      <w:r>
        <w:rPr>
          <w:szCs w:val="27"/>
        </w:rPr>
        <w:t>：</w:t>
      </w:r>
      <w:r>
        <w:rPr>
          <w:i/>
          <w:szCs w:val="27"/>
        </w:rPr>
        <w:t>主席，梁振英最近表揚警務處處長曾偉雄表現卓越，我不知道這是否包括涉嫌包庇張震遠。我的補充質詢是關於證監會的。我想問，證監會的程序覆檢委員會的工作，是否包括檢視就這宗個案檢控與否的決定，還是只會檢視一些客觀的程序？因為很清楚的是，廉政公署</w:t>
      </w:r>
      <w:r>
        <w:rPr>
          <w:i/>
          <w:szCs w:val="27"/>
        </w:rPr>
        <w:t>(“</w:t>
      </w:r>
      <w:r>
        <w:rPr>
          <w:i/>
          <w:szCs w:val="27"/>
        </w:rPr>
        <w:t>廉署”</w:t>
      </w:r>
      <w:r>
        <w:rPr>
          <w:i/>
          <w:szCs w:val="27"/>
        </w:rPr>
        <w:t>)</w:t>
      </w:r>
      <w:r>
        <w:rPr>
          <w:i/>
          <w:szCs w:val="27"/>
        </w:rPr>
        <w:t>設有審查貪污舉報諮詢委員會</w:t>
      </w:r>
      <w:r>
        <w:rPr>
          <w:i/>
          <w:szCs w:val="27"/>
        </w:rPr>
        <w:t>(Operations Review Committee)</w:t>
      </w:r>
      <w:r>
        <w:rPr>
          <w:i/>
          <w:szCs w:val="27"/>
        </w:rPr>
        <w:t>；廉署完成調查後，如擬作出檢控，直接交由律政司處理，在法庭提出檢控便可，但如不作檢控，則須到該委員會席前解釋。證監會的程序覆檢委員會曾否檢視這宗個案？</w:t>
      </w:r>
    </w:p>
    <w:p>
      <w:pPr>
        <w:pStyle w:val="F21"/>
        <w:rPr>
          <w:i/>
          <w:i/>
          <w:szCs w:val="27"/>
        </w:rPr>
      </w:pPr>
      <w:r>
        <w:rPr>
          <w:i/>
          <w:szCs w:val="27"/>
        </w:rPr>
      </w:r>
    </w:p>
    <w:p>
      <w:pPr>
        <w:pStyle w:val="F21"/>
        <w:rPr>
          <w:i/>
          <w:i/>
          <w:szCs w:val="27"/>
        </w:rPr>
      </w:pPr>
      <w:r>
        <w:rPr>
          <w:i/>
          <w:szCs w:val="27"/>
        </w:rPr>
      </w:r>
    </w:p>
    <w:p>
      <w:pPr>
        <w:pStyle w:val="F21"/>
        <w:rPr>
          <w:szCs w:val="27"/>
        </w:rPr>
      </w:pPr>
      <w:r>
        <w:rPr>
          <w:rFonts w:eastAsia="華康中黑體"/>
          <w:b/>
          <w:szCs w:val="27"/>
        </w:rPr>
        <w:t>財經事務及庫務局局長</w:t>
      </w:r>
      <w:r>
        <w:rPr>
          <w:szCs w:val="27"/>
        </w:rPr>
        <w:t>：證監會的程序覆檢委員會</w:t>
      </w:r>
      <w:r>
        <w:rPr>
          <w:szCs w:val="27"/>
        </w:rPr>
        <w:t>(Process Review Panel)</w:t>
      </w:r>
      <w:r>
        <w:rPr>
          <w:szCs w:val="27"/>
        </w:rPr>
        <w:t>按不同程度覆檢證監會的工作，檢視證監會的工作在程序方面是否達到業界及各方面的期望，但不會參與行動過程的運作。證監會本身的執法一定要保持其獨立性及專業性。</w:t>
      </w:r>
    </w:p>
    <w:p>
      <w:pPr>
        <w:pStyle w:val="F21"/>
        <w:rPr>
          <w:szCs w:val="27"/>
        </w:rPr>
      </w:pPr>
      <w:r>
        <w:rPr>
          <w:szCs w:val="27"/>
        </w:rPr>
      </w:r>
    </w:p>
    <w:p>
      <w:pPr>
        <w:pStyle w:val="F21"/>
        <w:rPr>
          <w:szCs w:val="27"/>
        </w:rPr>
      </w:pPr>
      <w:r>
        <w:rPr>
          <w:szCs w:val="27"/>
        </w:rPr>
      </w:r>
    </w:p>
    <w:p>
      <w:pPr>
        <w:pStyle w:val="F21"/>
        <w:rPr>
          <w:i/>
          <w:i/>
          <w:szCs w:val="27"/>
        </w:rPr>
      </w:pPr>
      <w:r>
        <w:rPr>
          <w:rFonts w:eastAsia="華康中黑體"/>
          <w:b/>
          <w:szCs w:val="27"/>
        </w:rPr>
        <w:t>單仲偕議員</w:t>
      </w:r>
      <w:r>
        <w:rPr>
          <w:szCs w:val="27"/>
        </w:rPr>
        <w:t>：</w:t>
      </w:r>
      <w:r>
        <w:rPr>
          <w:i/>
          <w:szCs w:val="27"/>
        </w:rPr>
        <w:t>如何監察證監會的獨立性及專業性？</w:t>
      </w:r>
    </w:p>
    <w:p>
      <w:pPr>
        <w:pStyle w:val="F21"/>
        <w:rPr>
          <w:i/>
          <w:i/>
          <w:szCs w:val="27"/>
        </w:rPr>
      </w:pPr>
      <w:r>
        <w:rPr>
          <w:i/>
          <w:szCs w:val="27"/>
        </w:rPr>
      </w:r>
    </w:p>
    <w:p>
      <w:pPr>
        <w:pStyle w:val="F21"/>
        <w:rPr>
          <w:szCs w:val="27"/>
        </w:rPr>
      </w:pPr>
      <w:r>
        <w:rPr>
          <w:szCs w:val="27"/>
        </w:rPr>
      </w:r>
    </w:p>
    <w:p>
      <w:pPr>
        <w:pStyle w:val="F21"/>
        <w:rPr>
          <w:szCs w:val="27"/>
        </w:rPr>
      </w:pPr>
      <w:r>
        <w:rPr>
          <w:rFonts w:eastAsia="華康中黑體"/>
          <w:b/>
          <w:szCs w:val="27"/>
        </w:rPr>
        <w:t>主席</w:t>
      </w:r>
      <w:r>
        <w:rPr>
          <w:szCs w:val="27"/>
        </w:rPr>
        <w:t>：局長，你有否補充？</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財經事務及庫務局局長</w:t>
      </w:r>
      <w:r>
        <w:rPr>
          <w:szCs w:val="27"/>
        </w:rPr>
        <w:t>：程序覆檢委員會按年就一些個案進行程序覆檢</w:t>
      </w:r>
      <w:r>
        <w:rPr>
          <w:szCs w:val="27"/>
        </w:rPr>
        <w:t>(review)</w:t>
      </w:r>
      <w:r>
        <w:rPr>
          <w:szCs w:val="27"/>
        </w:rPr>
        <w:t>，然後向證監會提供意見以作改善，但不會參與調查個案的過程。</w:t>
      </w:r>
    </w:p>
    <w:p>
      <w:pPr>
        <w:pStyle w:val="F21"/>
        <w:rPr>
          <w:szCs w:val="27"/>
        </w:rPr>
      </w:pPr>
      <w:r>
        <w:rPr>
          <w:szCs w:val="27"/>
        </w:rPr>
      </w:r>
    </w:p>
    <w:p>
      <w:pPr>
        <w:pStyle w:val="F21"/>
        <w:rPr>
          <w:szCs w:val="27"/>
        </w:rPr>
      </w:pPr>
      <w:r>
        <w:rPr>
          <w:szCs w:val="27"/>
        </w:rPr>
      </w:r>
    </w:p>
    <w:p>
      <w:pPr>
        <w:pStyle w:val="F21"/>
        <w:rPr>
          <w:i/>
          <w:i/>
          <w:szCs w:val="27"/>
        </w:rPr>
      </w:pPr>
      <w:r>
        <w:rPr>
          <w:rFonts w:ascii="華康細明體" w:hAnsi="華康細明體" w:cs="華康細明體" w:eastAsia="華康中黑體"/>
          <w:b/>
          <w:szCs w:val="27"/>
        </w:rPr>
        <w:t>田北俊</w:t>
      </w:r>
      <w:r>
        <w:rPr>
          <w:rFonts w:eastAsia="華康中黑體"/>
          <w:b/>
          <w:szCs w:val="27"/>
        </w:rPr>
        <w:t>議員</w:t>
      </w:r>
      <w:r>
        <w:rPr>
          <w:szCs w:val="27"/>
        </w:rPr>
        <w:t>：</w:t>
      </w:r>
      <w:r>
        <w:rPr>
          <w:i/>
          <w:szCs w:val="27"/>
        </w:rPr>
        <w:t>主席，很難得我有機會提出第二次跟進質詢。我覺得陳局長是一位很盡職盡責的局長。既然調查了</w:t>
      </w:r>
      <w:r>
        <w:rPr>
          <w:i/>
          <w:szCs w:val="27"/>
        </w:rPr>
        <w:t>20</w:t>
      </w:r>
      <w:r>
        <w:rPr>
          <w:i/>
          <w:szCs w:val="27"/>
        </w:rPr>
        <w:t xml:space="preserve">個月 </w:t>
      </w:r>
      <w:r>
        <w:rPr>
          <w:rFonts w:ascii="Symbol" w:hAnsi="Symbol" w:cs="Symbol" w:eastAsia="Symbol"/>
          <w:i/>
          <w:szCs w:val="27"/>
        </w:rPr>
        <w:t></w:t>
      </w:r>
      <w:r>
        <w:rPr>
          <w:i/>
          <w:szCs w:val="27"/>
        </w:rPr>
        <w:t xml:space="preserve"> 局長，由你前來答覆關於證監會的質詢，證監會當然受你管轄 </w:t>
      </w:r>
      <w:r>
        <w:rPr>
          <w:rFonts w:ascii="Symbol" w:hAnsi="Symbol" w:cs="Symbol" w:eastAsia="Symbol"/>
          <w:i/>
          <w:szCs w:val="27"/>
        </w:rPr>
        <w:t></w:t>
      </w:r>
      <w:r>
        <w:rPr>
          <w:i/>
          <w:szCs w:val="27"/>
        </w:rPr>
        <w:t xml:space="preserve"> 我想問局長，你如此關心這件事或證監會的工作，你估計這件事還要調查多久？希望你的答覆不是調查到</w:t>
      </w:r>
      <w:r>
        <w:rPr>
          <w:i/>
          <w:szCs w:val="27"/>
        </w:rPr>
        <w:t>2017</w:t>
      </w:r>
      <w:r>
        <w:rPr>
          <w:i/>
          <w:szCs w:val="27"/>
        </w:rPr>
        <w:t>年</w:t>
      </w:r>
      <w:r>
        <w:rPr>
          <w:i/>
          <w:szCs w:val="27"/>
        </w:rPr>
        <w:t>7</w:t>
      </w:r>
      <w:r>
        <w:rPr>
          <w:i/>
          <w:szCs w:val="27"/>
        </w:rPr>
        <w:t>月</w:t>
      </w:r>
      <w:r>
        <w:rPr>
          <w:i/>
          <w:szCs w:val="27"/>
        </w:rPr>
        <w:t>1</w:t>
      </w:r>
      <w:r>
        <w:rPr>
          <w:i/>
          <w:szCs w:val="27"/>
        </w:rPr>
        <w:t>日梁振英特首轉屆才會有結論。</w:t>
      </w:r>
    </w:p>
    <w:p>
      <w:pPr>
        <w:pStyle w:val="F21"/>
        <w:rPr>
          <w:i/>
          <w:i/>
          <w:szCs w:val="27"/>
        </w:rPr>
      </w:pPr>
      <w:r>
        <w:rPr>
          <w:i/>
          <w:szCs w:val="27"/>
        </w:rPr>
      </w:r>
    </w:p>
    <w:p>
      <w:pPr>
        <w:pStyle w:val="F21"/>
        <w:rPr>
          <w:i/>
          <w:i/>
          <w:szCs w:val="27"/>
        </w:rPr>
      </w:pPr>
      <w:r>
        <w:rPr>
          <w:i/>
          <w:szCs w:val="27"/>
        </w:rPr>
      </w:r>
    </w:p>
    <w:p>
      <w:pPr>
        <w:pStyle w:val="F21"/>
        <w:rPr>
          <w:szCs w:val="27"/>
        </w:rPr>
      </w:pPr>
      <w:r>
        <w:rPr>
          <w:rFonts w:eastAsia="華康中黑體"/>
          <w:b/>
          <w:szCs w:val="27"/>
        </w:rPr>
        <w:t>財經事務及庫務局局長</w:t>
      </w:r>
      <w:r>
        <w:rPr>
          <w:szCs w:val="27"/>
        </w:rPr>
        <w:t>：多謝議員這項跟進質詢。我想向大家指出，我同樣關心這宗案件及所有案情的進展，希望我們的執法行動有效，並妥為符合程序。在調查時間方面，我不能給你一個答案，但我相信證監會及警方在採取執法行動時，一定以不偏不倚及盡責的態度來處理這宗案件及其他案件。</w:t>
      </w:r>
    </w:p>
    <w:p>
      <w:pPr>
        <w:pStyle w:val="F21"/>
        <w:rPr>
          <w:szCs w:val="27"/>
        </w:rPr>
      </w:pPr>
      <w:r>
        <w:rPr>
          <w:szCs w:val="27"/>
        </w:rPr>
      </w:r>
    </w:p>
    <w:p>
      <w:pPr>
        <w:pStyle w:val="F21"/>
        <w:rPr>
          <w:szCs w:val="27"/>
        </w:rPr>
      </w:pPr>
      <w:r>
        <w:rPr>
          <w:szCs w:val="27"/>
        </w:rPr>
      </w:r>
    </w:p>
    <w:p>
      <w:pPr>
        <w:pStyle w:val="F21"/>
        <w:rPr>
          <w:i/>
          <w:i/>
          <w:szCs w:val="27"/>
        </w:rPr>
      </w:pPr>
      <w:r>
        <w:rPr>
          <w:rFonts w:ascii="華康細明體" w:hAnsi="華康細明體" w:cs="華康細明體" w:eastAsia="華康中黑體"/>
          <w:b/>
          <w:szCs w:val="27"/>
        </w:rPr>
        <w:t>何秀蘭</w:t>
      </w:r>
      <w:r>
        <w:rPr>
          <w:rFonts w:eastAsia="華康中黑體"/>
          <w:b/>
          <w:szCs w:val="27"/>
        </w:rPr>
        <w:t>議員</w:t>
      </w:r>
      <w:r>
        <w:rPr>
          <w:szCs w:val="27"/>
        </w:rPr>
        <w:t>：</w:t>
      </w:r>
      <w:r>
        <w:rPr>
          <w:i/>
          <w:szCs w:val="27"/>
        </w:rPr>
        <w:t>主席，這些案件實在是否需要調查這麼久？這宗案件調查了</w:t>
      </w:r>
      <w:r>
        <w:rPr>
          <w:i/>
          <w:szCs w:val="27"/>
        </w:rPr>
        <w:t>20</w:t>
      </w:r>
      <w:r>
        <w:rPr>
          <w:i/>
          <w:szCs w:val="27"/>
        </w:rPr>
        <w:t>個月，而</w:t>
      </w:r>
      <w:r>
        <w:rPr>
          <w:rFonts w:ascii="華康細明體" w:hAnsi="華康細明體" w:cs="華康細明體"/>
          <w:i/>
          <w:szCs w:val="27"/>
        </w:rPr>
        <w:t>何俊仁議員</w:t>
      </w:r>
      <w:r>
        <w:rPr>
          <w:i/>
          <w:szCs w:val="27"/>
        </w:rPr>
        <w:t>剛才提及的案件則調查了</w:t>
      </w:r>
      <w:r>
        <w:rPr>
          <w:i/>
          <w:szCs w:val="27"/>
        </w:rPr>
        <w:t>6</w:t>
      </w:r>
      <w:r>
        <w:rPr>
          <w:i/>
          <w:szCs w:val="27"/>
        </w:rPr>
        <w:t>年也尚未了結，究竟難處何在？是搜證有困難，還是人事上有無法衝破的困難？我請局長向我們補充書面資料，說明在證監會過去調查的案件中，有多少宗是超過</w:t>
      </w:r>
      <w:r>
        <w:rPr>
          <w:i/>
          <w:szCs w:val="27"/>
        </w:rPr>
        <w:t>20</w:t>
      </w:r>
      <w:r>
        <w:rPr>
          <w:i/>
          <w:szCs w:val="27"/>
        </w:rPr>
        <w:t>年</w:t>
      </w:r>
      <w:r>
        <w:rPr>
          <w:i/>
          <w:szCs w:val="27"/>
        </w:rPr>
        <w:t>......</w:t>
      </w:r>
      <w:r>
        <w:rPr>
          <w:i/>
          <w:szCs w:val="27"/>
        </w:rPr>
        <w:t>對不起，是</w:t>
      </w:r>
      <w:r>
        <w:rPr>
          <w:i/>
          <w:szCs w:val="27"/>
        </w:rPr>
        <w:t>20</w:t>
      </w:r>
      <w:r>
        <w:rPr>
          <w:i/>
          <w:szCs w:val="27"/>
        </w:rPr>
        <w:t>個月也未完成調查，以及有多少宗是超過</w:t>
      </w:r>
      <w:r>
        <w:rPr>
          <w:i/>
          <w:szCs w:val="27"/>
        </w:rPr>
        <w:t>6</w:t>
      </w:r>
      <w:r>
        <w:rPr>
          <w:i/>
          <w:szCs w:val="27"/>
        </w:rPr>
        <w:t>年也未完成調查。歷時這麼久也未能完成搜證，究竟是一種常態，還是人為的例外情況？這些不但在觀感上影響了香港的廉政，更是實質上的失責，從而影響香港的廉政。我請局長向我們提交補充書面資料，說明在證監會過去</w:t>
      </w:r>
      <w:r>
        <w:rPr>
          <w:i/>
          <w:szCs w:val="27"/>
        </w:rPr>
        <w:t>3</w:t>
      </w:r>
      <w:r>
        <w:rPr>
          <w:i/>
          <w:szCs w:val="27"/>
        </w:rPr>
        <w:t>年調查的案件中，有多少宗調查了超過</w:t>
      </w:r>
      <w:r>
        <w:rPr>
          <w:i/>
          <w:szCs w:val="27"/>
        </w:rPr>
        <w:t>20</w:t>
      </w:r>
      <w:r>
        <w:rPr>
          <w:i/>
          <w:szCs w:val="27"/>
        </w:rPr>
        <w:t>個月。</w:t>
      </w:r>
    </w:p>
    <w:p>
      <w:pPr>
        <w:pStyle w:val="F21"/>
        <w:rPr>
          <w:i/>
          <w:i/>
          <w:szCs w:val="27"/>
        </w:rPr>
      </w:pPr>
      <w:r>
        <w:rPr>
          <w:i/>
          <w:szCs w:val="27"/>
        </w:rPr>
      </w:r>
    </w:p>
    <w:p>
      <w:pPr>
        <w:pStyle w:val="F21"/>
        <w:rPr>
          <w:szCs w:val="27"/>
        </w:rPr>
      </w:pPr>
      <w:r>
        <w:rPr>
          <w:szCs w:val="27"/>
        </w:rPr>
      </w:r>
    </w:p>
    <w:p>
      <w:pPr>
        <w:pStyle w:val="F21"/>
        <w:rPr>
          <w:szCs w:val="27"/>
        </w:rPr>
      </w:pPr>
      <w:r>
        <w:rPr>
          <w:rFonts w:eastAsia="華康中黑體"/>
          <w:b/>
          <w:szCs w:val="27"/>
        </w:rPr>
        <w:t>主席</w:t>
      </w:r>
      <w:r>
        <w:rPr>
          <w:szCs w:val="27"/>
        </w:rPr>
        <w:t>：局長，可否提供這方面的資料？</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財經事務及庫務局局長</w:t>
      </w:r>
      <w:r>
        <w:rPr>
          <w:szCs w:val="27"/>
        </w:rPr>
        <w:t>：我想這是做不到的。很多時候，證監會在調查案件的工作中，如未有結論或發現無須作出跟進行動，是不會公布的。我理解議員的憂慮，但千萬不要因為這宗案件所涉及的人士而認為政府或監管機構會有所偏私，這是不會發生的。我相信，如果大家客觀一點來看，便知道香港的廉潔情況和我們過往的執法行動其實非常有效，而在國際金融社會上，香港本身的執法情況一點也不差。</w:t>
      </w:r>
    </w:p>
    <w:p>
      <w:pPr>
        <w:pStyle w:val="F21"/>
        <w:rPr>
          <w:szCs w:val="27"/>
        </w:rPr>
      </w:pPr>
      <w:r>
        <w:rPr>
          <w:szCs w:val="27"/>
        </w:rPr>
      </w:r>
    </w:p>
    <w:p>
      <w:pPr>
        <w:pStyle w:val="F21"/>
        <w:rPr>
          <w:szCs w:val="27"/>
        </w:rPr>
      </w:pPr>
      <w:r>
        <w:rPr>
          <w:szCs w:val="27"/>
        </w:rPr>
      </w:r>
    </w:p>
    <w:p>
      <w:pPr>
        <w:pStyle w:val="F21"/>
        <w:rPr>
          <w:i/>
          <w:i/>
          <w:szCs w:val="27"/>
        </w:rPr>
      </w:pPr>
      <w:r>
        <w:rPr>
          <w:rFonts w:ascii="華康細明體" w:hAnsi="華康細明體" w:cs="華康細明體" w:eastAsia="華康中黑體"/>
          <w:b/>
          <w:szCs w:val="27"/>
        </w:rPr>
        <w:t>何秀蘭</w:t>
      </w:r>
      <w:r>
        <w:rPr>
          <w:rFonts w:eastAsia="華康中黑體"/>
          <w:b/>
          <w:szCs w:val="27"/>
        </w:rPr>
        <w:t>議員</w:t>
      </w:r>
      <w:r>
        <w:rPr>
          <w:szCs w:val="27"/>
        </w:rPr>
        <w:t>：</w:t>
      </w:r>
      <w:r>
        <w:rPr>
          <w:i/>
          <w:szCs w:val="27"/>
        </w:rPr>
        <w:t>主席，局長沒有回答我的補充質詢。他剛才表示，有些案件無法跟進，就是了結。他說的是已了結的案件，但我問他的是正在調查、尚未了結但超過</w:t>
      </w:r>
      <w:r>
        <w:rPr>
          <w:i/>
          <w:szCs w:val="27"/>
        </w:rPr>
        <w:t>20</w:t>
      </w:r>
      <w:r>
        <w:rPr>
          <w:i/>
          <w:szCs w:val="27"/>
        </w:rPr>
        <w:t>個月都未有定論的案件數字。</w:t>
      </w:r>
    </w:p>
    <w:p>
      <w:pPr>
        <w:pStyle w:val="Normal"/>
        <w:widowControl/>
        <w:tabs>
          <w:tab w:val="clear" w:pos="720"/>
        </w:tabs>
        <w:spacing w:lineRule="exact" w:line="20"/>
        <w:jc w:val="left"/>
        <w:rPr>
          <w:i/>
          <w:i/>
          <w:szCs w:val="27"/>
        </w:rPr>
      </w:pPr>
      <w:r>
        <w:rPr>
          <w:i/>
          <w:szCs w:val="27"/>
        </w:rPr>
      </w:r>
    </w:p>
    <w:p>
      <w:pPr>
        <w:pStyle w:val="Normal"/>
        <w:widowControl/>
        <w:tabs>
          <w:tab w:val="clear" w:pos="720"/>
        </w:tabs>
        <w:spacing w:lineRule="exact" w:line="20"/>
        <w:jc w:val="left"/>
        <w:rPr>
          <w:rFonts w:cs="" w:cstheme="minorBidi"/>
          <w:i/>
          <w:i/>
          <w:spacing w:val="20"/>
          <w:sz w:val="27"/>
          <w:szCs w:val="27"/>
          <w:lang w:val="en-US"/>
        </w:rPr>
      </w:pPr>
      <w:r>
        <w:rPr>
          <w:rFonts w:cs="" w:cstheme="minorBidi"/>
          <w:i/>
          <w:spacing w:val="20"/>
          <w:sz w:val="27"/>
          <w:szCs w:val="27"/>
          <w:lang w:val="en-US"/>
        </w:rPr>
      </w:r>
      <w:r>
        <w:br w:type="page"/>
      </w:r>
    </w:p>
    <w:p>
      <w:pPr>
        <w:pStyle w:val="F21"/>
        <w:spacing w:lineRule="atLeast" w:line="370"/>
        <w:rPr>
          <w:szCs w:val="27"/>
        </w:rPr>
      </w:pPr>
      <w:r>
        <w:rPr>
          <w:rFonts w:eastAsia="華康中黑體"/>
          <w:b/>
          <w:szCs w:val="27"/>
        </w:rPr>
        <w:t>主席</w:t>
      </w:r>
      <w:r>
        <w:rPr>
          <w:szCs w:val="27"/>
        </w:rPr>
        <w:t>：局長，可否提供這方面的資料？</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財經事務及庫務局局長</w:t>
      </w:r>
      <w:r>
        <w:rPr>
          <w:szCs w:val="27"/>
        </w:rPr>
        <w:t>：這方面的資料，證監會是不會提供的。</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ascii="華康細明體" w:hAnsi="華康細明體" w:cs="華康細明體" w:eastAsia="華康中黑體"/>
          <w:b/>
          <w:szCs w:val="27"/>
        </w:rPr>
        <w:t>謝偉俊</w:t>
      </w:r>
      <w:r>
        <w:rPr>
          <w:rFonts w:eastAsia="華康中黑體"/>
          <w:b/>
          <w:szCs w:val="27"/>
        </w:rPr>
        <w:t>議員</w:t>
      </w:r>
      <w:r>
        <w:rPr>
          <w:szCs w:val="27"/>
        </w:rPr>
        <w:t>：</w:t>
      </w:r>
      <w:r>
        <w:rPr>
          <w:i/>
          <w:szCs w:val="27"/>
        </w:rPr>
        <w:t>主席，大家都知道，如果牽涉的調查對象越是政治上敏感，無論在調查過程又或決定是否檢控，都可能需要更加審慎，甚至需要尋求外間比較公正的法律意見。然而，儘管如此，牽涉到前特首的案件律政司</w:t>
      </w:r>
      <w:r>
        <w:rPr>
          <w:i/>
          <w:szCs w:val="27"/>
        </w:rPr>
        <w:t>......</w:t>
      </w:r>
      <w:r>
        <w:rPr>
          <w:i/>
          <w:szCs w:val="27"/>
        </w:rPr>
        <w:t xml:space="preserve">對不起，應該是刑事檢控專員確認快將作出決定。在這方面，局長能否最低限度也說說現時這宗案件處於哪個階段？是在廉署、警方，還是已經在律政司的層面？是否很快便會有決定？ </w:t>
      </w:r>
    </w:p>
    <w:p>
      <w:pPr>
        <w:pStyle w:val="F21"/>
        <w:spacing w:lineRule="atLeast" w:line="370"/>
        <w:rPr>
          <w:i/>
          <w:i/>
          <w:szCs w:val="27"/>
        </w:rPr>
      </w:pPr>
      <w:r>
        <w:rPr>
          <w:i/>
          <w:szCs w:val="27"/>
        </w:rPr>
      </w:r>
    </w:p>
    <w:p>
      <w:pPr>
        <w:pStyle w:val="F21"/>
        <w:spacing w:lineRule="atLeast" w:line="370"/>
        <w:rPr>
          <w:i/>
          <w:i/>
          <w:szCs w:val="27"/>
        </w:rPr>
      </w:pPr>
      <w:r>
        <w:rPr>
          <w:i/>
          <w:szCs w:val="27"/>
        </w:rPr>
      </w:r>
    </w:p>
    <w:p>
      <w:pPr>
        <w:pStyle w:val="F21"/>
        <w:spacing w:lineRule="atLeast" w:line="370"/>
        <w:rPr>
          <w:szCs w:val="27"/>
        </w:rPr>
      </w:pPr>
      <w:r>
        <w:rPr>
          <w:rFonts w:eastAsia="華康中黑體"/>
          <w:b/>
          <w:szCs w:val="27"/>
        </w:rPr>
        <w:t>財經事務及庫務局局長</w:t>
      </w:r>
      <w:r>
        <w:rPr>
          <w:szCs w:val="27"/>
        </w:rPr>
        <w:t>：對不起，在這方面我不能向你提供資料，我相信他們正在盡力調查。</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：第三項質詢。</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eastAsia="華康中黑體" w:cs="Times New Roman"/>
          <w:b/>
          <w:b/>
        </w:rPr>
      </w:pPr>
      <w:bookmarkStart w:id="16" w:name="orq03"/>
      <w:r>
        <w:rPr>
          <w:rFonts w:cs="Times New Roman" w:eastAsia="華康中黑體"/>
          <w:b/>
        </w:rPr>
        <w:t>上市公司董事會的女性成員比例</w:t>
      </w:r>
    </w:p>
    <w:p>
      <w:pPr>
        <w:pStyle w:val="Normal"/>
        <w:spacing w:lineRule="atLeast" w:line="370"/>
        <w:rPr>
          <w:b/>
          <w:b/>
        </w:rPr>
      </w:pPr>
      <w:bookmarkStart w:id="17" w:name="orq03"/>
      <w:r>
        <w:rPr>
          <w:b/>
        </w:rPr>
        <w:t>Proportion of Female Members on Boards of Directors of Listed Companies</w:t>
      </w:r>
      <w:bookmarkEnd w:id="17"/>
    </w:p>
    <w:p>
      <w:pPr>
        <w:pStyle w:val="F21"/>
        <w:spacing w:lineRule="atLeast" w:line="370"/>
        <w:rPr>
          <w:rFonts w:cs="Times New Roman"/>
        </w:rPr>
      </w:pPr>
      <w:r>
        <w:rPr>
          <w:rFonts w:cs="Times New Roman"/>
        </w:rPr>
      </w:r>
    </w:p>
    <w:p>
      <w:pPr>
        <w:pStyle w:val="F21"/>
        <w:spacing w:lineRule="atLeast" w:line="370"/>
        <w:rPr>
          <w:i/>
          <w:i/>
          <w:szCs w:val="27"/>
        </w:rPr>
      </w:pPr>
      <w:r>
        <w:rPr>
          <w:rFonts w:eastAsia="華康中黑體"/>
          <w:b/>
          <w:szCs w:val="27"/>
        </w:rPr>
        <w:t>3.</w:t>
        <w:tab/>
      </w:r>
      <w:r>
        <w:rPr>
          <w:rFonts w:eastAsia="華康中黑體"/>
          <w:b/>
          <w:szCs w:val="27"/>
        </w:rPr>
        <w:t>劉慧卿議員</w:t>
      </w:r>
      <w:r>
        <w:rPr>
          <w:szCs w:val="27"/>
        </w:rPr>
        <w:t>：</w:t>
      </w:r>
      <w:r>
        <w:rPr>
          <w:i/>
          <w:szCs w:val="27"/>
        </w:rPr>
        <w:t>本月初，本人隨立法會代表團訪問德國，並獲悉德國國會於本月初通過法例，規定由明年開始，上市公司監事會的成員當中，女性所佔比例須最少達三成。就此，行政機關可否告知本會：</w:t>
      </w:r>
    </w:p>
    <w:p>
      <w:pPr>
        <w:pStyle w:val="F21"/>
        <w:spacing w:lineRule="atLeast" w:line="370"/>
        <w:rPr>
          <w:i/>
          <w:i/>
          <w:szCs w:val="27"/>
        </w:rPr>
      </w:pPr>
      <w:r>
        <w:rPr>
          <w:i/>
          <w:szCs w:val="27"/>
        </w:rPr>
      </w:r>
    </w:p>
    <w:p>
      <w:pPr>
        <w:pStyle w:val="Style13"/>
        <w:spacing w:lineRule="atLeast" w:line="370"/>
        <w:rPr/>
      </w:pPr>
      <w:r>
        <w:rPr/>
        <w:t>(</w:t>
      </w:r>
      <w:r>
        <w:rPr/>
        <w:t>一</w:t>
      </w:r>
      <w:r>
        <w:rPr/>
        <w:t>)</w:t>
        <w:tab/>
      </w:r>
      <w:r>
        <w:rPr/>
        <w:t>有否統計本港上市公司董事會的女性成員比例；若有，詳情為何；若否，原因為何；</w:t>
      </w:r>
    </w:p>
    <w:p>
      <w:pPr>
        <w:pStyle w:val="Style13"/>
        <w:spacing w:lineRule="atLeast" w:line="370"/>
        <w:rPr/>
      </w:pPr>
      <w:r>
        <w:rPr/>
      </w:r>
    </w:p>
    <w:p>
      <w:pPr>
        <w:pStyle w:val="Style13"/>
        <w:spacing w:lineRule="atLeast" w:line="370"/>
        <w:rPr/>
      </w:pPr>
      <w:r>
        <w:rPr/>
        <w:t>(</w:t>
      </w:r>
      <w:r>
        <w:rPr/>
        <w:t>二</w:t>
      </w:r>
      <w:r>
        <w:rPr/>
        <w:t>)</w:t>
        <w:tab/>
      </w:r>
      <w:r>
        <w:rPr/>
        <w:t>會否就立法規定上市公司董事會的女性成員比例諮詢公眾；若會，詳情為何；若否，原因為何；及</w:t>
      </w:r>
    </w:p>
    <w:p>
      <w:pPr>
        <w:pStyle w:val="Style13"/>
        <w:spacing w:lineRule="atLeast" w:line="370"/>
        <w:rPr/>
      </w:pPr>
      <w:r>
        <w:rPr/>
      </w:r>
    </w:p>
    <w:p>
      <w:pPr>
        <w:pStyle w:val="Style13"/>
        <w:spacing w:lineRule="atLeast" w:line="370"/>
        <w:rPr/>
      </w:pPr>
      <w:r>
        <w:rPr/>
        <w:t>(</w:t>
      </w:r>
      <w:r>
        <w:rPr/>
        <w:t>三</w:t>
      </w:r>
      <w:r>
        <w:rPr/>
        <w:t>)</w:t>
        <w:tab/>
      </w:r>
      <w:r>
        <w:rPr/>
        <w:t>鑒於行政長官於</w:t>
      </w:r>
      <w:r>
        <w:rPr/>
        <w:t>2015</w:t>
      </w:r>
      <w:r>
        <w:rPr/>
        <w:t>年《施政報告》要求決策局及政府部門由</w:t>
      </w:r>
      <w:r>
        <w:rPr/>
        <w:t>2015-2016</w:t>
      </w:r>
      <w:r>
        <w:rPr/>
        <w:t>年開始，把委任女性加入政府諮詢及法定組織的百分比由百分之三十提高至百分之三十五，當局有否計劃訂定上市公司董事會的女性成員目標比例；若有，詳情為何；若否，原因為何？</w:t>
      </w:r>
    </w:p>
    <w:p>
      <w:pPr>
        <w:pStyle w:val="Style13"/>
        <w:ind w:left="0" w:hanging="0"/>
        <w:rPr/>
      </w:pPr>
      <w:r>
        <w:rPr/>
      </w:r>
    </w:p>
    <w:p>
      <w:pPr>
        <w:pStyle w:val="Style13"/>
        <w:ind w:left="0" w:hanging="0"/>
        <w:rPr/>
      </w:pPr>
      <w:r>
        <w:rPr/>
      </w:r>
    </w:p>
    <w:p>
      <w:pPr>
        <w:pStyle w:val="Style13"/>
        <w:ind w:left="0" w:hanging="0"/>
        <w:rPr>
          <w:i w:val="false"/>
          <w:i w:val="false"/>
          <w:szCs w:val="27"/>
        </w:rPr>
      </w:pPr>
      <w:r>
        <w:rPr>
          <w:rFonts w:eastAsia="華康中黑體"/>
          <w:b/>
          <w:i w:val="false"/>
          <w:szCs w:val="27"/>
        </w:rPr>
        <w:t>財經事務及庫務局局長</w:t>
      </w:r>
      <w:r>
        <w:rPr>
          <w:i w:val="false"/>
          <w:szCs w:val="27"/>
        </w:rPr>
        <w:t>：主席，</w:t>
      </w:r>
    </w:p>
    <w:p>
      <w:pPr>
        <w:pStyle w:val="Style13"/>
        <w:ind w:left="0" w:hanging="0"/>
        <w:rPr>
          <w:i w:val="false"/>
          <w:i w:val="false"/>
          <w:szCs w:val="27"/>
        </w:rPr>
      </w:pPr>
      <w:r>
        <w:rPr>
          <w:i w:val="false"/>
          <w:szCs w:val="27"/>
        </w:rPr>
      </w:r>
    </w:p>
    <w:p>
      <w:pPr>
        <w:pStyle w:val="Style13"/>
        <w:rPr>
          <w:i w:val="false"/>
          <w:i w:val="false"/>
        </w:rPr>
      </w:pPr>
      <w:r>
        <w:rPr>
          <w:i w:val="false"/>
        </w:rPr>
        <w:t>(</w:t>
      </w:r>
      <w:r>
        <w:rPr>
          <w:i w:val="false"/>
        </w:rPr>
        <w:t>一</w:t>
      </w:r>
      <w:r>
        <w:rPr>
          <w:i w:val="false"/>
        </w:rPr>
        <w:t>)</w:t>
        <w:tab/>
      </w:r>
      <w:r>
        <w:rPr>
          <w:i w:val="false"/>
        </w:rPr>
        <w:t>香港聯合交易所</w:t>
      </w:r>
      <w:r>
        <w:rPr>
          <w:i w:val="false"/>
        </w:rPr>
        <w:t>(</w:t>
      </w:r>
      <w:r>
        <w:rPr>
          <w:i w:val="false"/>
          <w:szCs w:val="27"/>
        </w:rPr>
        <w:t>“</w:t>
      </w:r>
      <w:r>
        <w:rPr>
          <w:i w:val="false"/>
        </w:rPr>
        <w:t>聯交所</w:t>
      </w:r>
      <w:r>
        <w:rPr>
          <w:i w:val="false"/>
          <w:szCs w:val="27"/>
        </w:rPr>
        <w:t>”</w:t>
      </w:r>
      <w:r>
        <w:rPr>
          <w:i w:val="false"/>
          <w:szCs w:val="27"/>
        </w:rPr>
        <w:t>)</w:t>
      </w:r>
      <w:r>
        <w:rPr>
          <w:i w:val="false"/>
        </w:rPr>
        <w:t>定期檢視有關上市發行人董事會女性成員比例的數據。截至</w:t>
      </w:r>
      <w:r>
        <w:rPr>
          <w:i w:val="false"/>
        </w:rPr>
        <w:t>2014</w:t>
      </w:r>
      <w:r>
        <w:rPr>
          <w:i w:val="false"/>
        </w:rPr>
        <w:t>年</w:t>
      </w:r>
      <w:r>
        <w:rPr>
          <w:i w:val="false"/>
        </w:rPr>
        <w:t>12</w:t>
      </w:r>
      <w:r>
        <w:rPr>
          <w:i w:val="false"/>
        </w:rPr>
        <w:t>月</w:t>
      </w:r>
      <w:r>
        <w:rPr>
          <w:i w:val="false"/>
        </w:rPr>
        <w:t>31</w:t>
      </w:r>
      <w:r>
        <w:rPr>
          <w:i w:val="false"/>
        </w:rPr>
        <w:t>日的有關數據已列於附件。</w:t>
      </w:r>
    </w:p>
    <w:p>
      <w:pPr>
        <w:pStyle w:val="Style13"/>
        <w:rPr>
          <w:i w:val="false"/>
          <w:i w:val="false"/>
        </w:rPr>
      </w:pPr>
      <w:r>
        <w:rPr>
          <w:i w:val="false"/>
        </w:rPr>
      </w:r>
    </w:p>
    <w:p>
      <w:pPr>
        <w:pStyle w:val="Style13"/>
        <w:rPr>
          <w:i w:val="false"/>
          <w:i w:val="false"/>
        </w:rPr>
      </w:pPr>
      <w:r>
        <w:rPr>
          <w:i w:val="false"/>
        </w:rPr>
        <w:t>(</w:t>
      </w:r>
      <w:r>
        <w:rPr>
          <w:i w:val="false"/>
        </w:rPr>
        <w:t>二</w:t>
      </w:r>
      <w:r>
        <w:rPr>
          <w:i w:val="false"/>
        </w:rPr>
        <w:t>)</w:t>
      </w:r>
      <w:r>
        <w:rPr>
          <w:i w:val="false"/>
        </w:rPr>
        <w:t>及</w:t>
      </w:r>
      <w:r>
        <w:rPr>
          <w:i w:val="false"/>
        </w:rPr>
        <w:t>(</w:t>
      </w:r>
      <w:r>
        <w:rPr>
          <w:i w:val="false"/>
        </w:rPr>
        <w:t>三</w:t>
      </w:r>
      <w:r>
        <w:rPr>
          <w:i w:val="false"/>
        </w:rPr>
        <w:t>)</w:t>
      </w:r>
    </w:p>
    <w:p>
      <w:pPr>
        <w:pStyle w:val="Style13"/>
        <w:rPr>
          <w:i w:val="false"/>
          <w:i w:val="false"/>
        </w:rPr>
      </w:pPr>
      <w:r>
        <w:rPr>
          <w:i w:val="false"/>
        </w:rPr>
      </w:r>
    </w:p>
    <w:p>
      <w:pPr>
        <w:pStyle w:val="Style13"/>
        <w:rPr>
          <w:i w:val="false"/>
          <w:i w:val="false"/>
        </w:rPr>
      </w:pPr>
      <w:r>
        <w:rPr>
          <w:i w:val="false"/>
        </w:rPr>
        <w:tab/>
      </w:r>
      <w:r>
        <w:rPr>
          <w:i w:val="false"/>
        </w:rPr>
        <w:t>聯交所曾於</w:t>
      </w:r>
      <w:r>
        <w:rPr>
          <w:i w:val="false"/>
        </w:rPr>
        <w:t>2012</w:t>
      </w:r>
      <w:r>
        <w:rPr>
          <w:i w:val="false"/>
        </w:rPr>
        <w:t>年</w:t>
      </w:r>
      <w:r>
        <w:rPr>
          <w:i w:val="false"/>
        </w:rPr>
        <w:t>9</w:t>
      </w:r>
      <w:r>
        <w:rPr>
          <w:i w:val="false"/>
        </w:rPr>
        <w:t>月至</w:t>
      </w:r>
      <w:r>
        <w:rPr>
          <w:i w:val="false"/>
        </w:rPr>
        <w:t>11</w:t>
      </w:r>
      <w:r>
        <w:rPr>
          <w:i w:val="false"/>
        </w:rPr>
        <w:t>月就董事會成員多元化的事宜進行為期兩個月的市場諮詢，當中包括董事會成員性別比例的議題。聯交所共收到</w:t>
      </w:r>
      <w:r>
        <w:rPr>
          <w:i w:val="false"/>
        </w:rPr>
        <w:t>139</w:t>
      </w:r>
      <w:r>
        <w:rPr>
          <w:i w:val="false"/>
        </w:rPr>
        <w:t>份來自上市發行人、市場從業人士、專業團體、業界組織、非政府機構、機構投資者及個別人士的回應意見。</w:t>
      </w:r>
    </w:p>
    <w:p>
      <w:pPr>
        <w:pStyle w:val="Style13"/>
        <w:rPr>
          <w:i w:val="false"/>
          <w:i w:val="false"/>
        </w:rPr>
      </w:pPr>
      <w:r>
        <w:rPr>
          <w:i w:val="false"/>
        </w:rPr>
      </w:r>
    </w:p>
    <w:p>
      <w:pPr>
        <w:pStyle w:val="Style13"/>
        <w:rPr>
          <w:i w:val="false"/>
          <w:i w:val="false"/>
        </w:rPr>
      </w:pPr>
      <w:r>
        <w:rPr>
          <w:i w:val="false"/>
        </w:rPr>
        <w:tab/>
      </w:r>
      <w:r>
        <w:rPr>
          <w:i w:val="false"/>
        </w:rPr>
        <w:t>諮詢結果顯示，絕大多數市場人士贊同董事會成員多元化應成為《上市規則》中《企業管治守則》內的新措施。至於應否就上市發行人董事會設定女性董事比例的最低指標，超過</w:t>
      </w:r>
      <w:r>
        <w:rPr>
          <w:i w:val="false"/>
        </w:rPr>
        <w:t>98%</w:t>
      </w:r>
      <w:r>
        <w:rPr>
          <w:i w:val="false"/>
        </w:rPr>
        <w:t>的回應者認為聯交所不應設定這項指標，主要原因是董事會成員多元化不應只限於性別，董事會要取得多樣的觀點與角度，例如不同年齡、文化、教育和專業背景等。部分回應者亦表示，假如就董事會成員的男女比例制訂強制要求，上市發行人在實際操作上可能會出現困難。</w:t>
      </w:r>
    </w:p>
    <w:p>
      <w:pPr>
        <w:pStyle w:val="Style13"/>
        <w:rPr>
          <w:i w:val="false"/>
          <w:i w:val="false"/>
        </w:rPr>
      </w:pPr>
      <w:r>
        <w:rPr>
          <w:i w:val="false"/>
        </w:rPr>
      </w:r>
    </w:p>
    <w:p>
      <w:pPr>
        <w:pStyle w:val="Style13"/>
        <w:rPr>
          <w:i w:val="false"/>
          <w:i w:val="false"/>
        </w:rPr>
      </w:pPr>
      <w:r>
        <w:rPr>
          <w:i w:val="false"/>
        </w:rPr>
        <w:tab/>
      </w:r>
      <w:r>
        <w:rPr>
          <w:i w:val="false"/>
        </w:rPr>
        <w:t>在總結諮詢結果後，聯交所於</w:t>
      </w:r>
      <w:r>
        <w:rPr>
          <w:i w:val="false"/>
        </w:rPr>
        <w:t>2013</w:t>
      </w:r>
      <w:r>
        <w:rPr>
          <w:i w:val="false"/>
        </w:rPr>
        <w:t>年</w:t>
      </w:r>
      <w:r>
        <w:rPr>
          <w:i w:val="false"/>
        </w:rPr>
        <w:t>9</w:t>
      </w:r>
      <w:r>
        <w:rPr>
          <w:i w:val="false"/>
        </w:rPr>
        <w:t>月修訂了《企業管治守則》，建議上市發行人應充分考慮</w:t>
      </w:r>
      <w:r>
        <w:rPr>
          <w:i w:val="false"/>
          <w:szCs w:val="27"/>
        </w:rPr>
        <w:t>“</w:t>
      </w:r>
      <w:r>
        <w:rPr>
          <w:i w:val="false"/>
        </w:rPr>
        <w:t>董事會應根據發行人業務而具備適當所需技巧、經驗及多樣的觀點與角度</w:t>
      </w:r>
      <w:r>
        <w:rPr>
          <w:i w:val="false"/>
          <w:szCs w:val="27"/>
        </w:rPr>
        <w:t>”</w:t>
      </w:r>
      <w:r>
        <w:rPr>
          <w:i w:val="false"/>
        </w:rPr>
        <w:t>，作為良好企業管治的其中一項原則。上市發行人須在其年報中包括《企業管治報告》，說明有否遵守該守則的條文。如有任何偏離守則條文的行為，須提供經過審慎考慮的理由。</w:t>
      </w:r>
    </w:p>
    <w:p>
      <w:pPr>
        <w:pStyle w:val="Style13"/>
        <w:rPr>
          <w:i w:val="false"/>
          <w:i w:val="false"/>
        </w:rPr>
      </w:pPr>
      <w:r>
        <w:rPr>
          <w:i w:val="false"/>
        </w:rPr>
      </w:r>
    </w:p>
    <w:p>
      <w:pPr>
        <w:pStyle w:val="Style13"/>
        <w:rPr>
          <w:i w:val="false"/>
          <w:i w:val="false"/>
        </w:rPr>
      </w:pPr>
      <w:r>
        <w:rPr>
          <w:i w:val="false"/>
        </w:rPr>
        <w:tab/>
      </w:r>
      <w:r>
        <w:rPr>
          <w:i w:val="false"/>
        </w:rPr>
        <w:t>就董事會成員多元化這一項新的守則條文，聯交所為上市發行人提供了有關的培訓，並派出講員參加由有關業界組織舉辦的研討會，當中包括香港上市公司商會、香港特許秘書公會等，加強上市發行人對董事會多元化的認識。</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自聯交所進行上述諮詢後，上市發行人的董事會中女性成員的百分比已有所提高，由</w:t>
      </w:r>
      <w:r>
        <w:rPr>
          <w:i w:val="false"/>
        </w:rPr>
        <w:t>2012</w:t>
      </w:r>
      <w:r>
        <w:rPr>
          <w:i w:val="false"/>
        </w:rPr>
        <w:t>年</w:t>
      </w:r>
      <w:r>
        <w:rPr>
          <w:i w:val="false"/>
        </w:rPr>
        <w:t>5</w:t>
      </w:r>
      <w:r>
        <w:rPr>
          <w:i w:val="false"/>
        </w:rPr>
        <w:t>月的</w:t>
      </w:r>
      <w:r>
        <w:rPr>
          <w:i w:val="false"/>
        </w:rPr>
        <w:t>10.3%</w:t>
      </w:r>
      <w:r>
        <w:rPr>
          <w:i w:val="false"/>
        </w:rPr>
        <w:t>提高至</w:t>
      </w:r>
      <w:r>
        <w:rPr>
          <w:i w:val="false"/>
        </w:rPr>
        <w:t>2014</w:t>
      </w:r>
      <w:r>
        <w:rPr>
          <w:i w:val="false"/>
        </w:rPr>
        <w:t>年</w:t>
      </w:r>
      <w:r>
        <w:rPr>
          <w:i w:val="false"/>
        </w:rPr>
        <w:t>12</w:t>
      </w:r>
      <w:r>
        <w:rPr>
          <w:i w:val="false"/>
        </w:rPr>
        <w:t>月的</w:t>
      </w:r>
      <w:r>
        <w:rPr>
          <w:i w:val="false"/>
        </w:rPr>
        <w:t>11.3%</w:t>
      </w:r>
      <w:r>
        <w:rPr>
          <w:i w:val="false"/>
        </w:rPr>
        <w:t>；而董事會中完全沒有女性成員的上市發行人數目則減少，由</w:t>
      </w:r>
      <w:r>
        <w:rPr>
          <w:i w:val="false"/>
        </w:rPr>
        <w:t>2012</w:t>
      </w:r>
      <w:r>
        <w:rPr>
          <w:i w:val="false"/>
        </w:rPr>
        <w:t>年</w:t>
      </w:r>
      <w:r>
        <w:rPr>
          <w:i w:val="false"/>
        </w:rPr>
        <w:t>5</w:t>
      </w:r>
      <w:r>
        <w:rPr>
          <w:i w:val="false"/>
        </w:rPr>
        <w:t>月的</w:t>
      </w:r>
      <w:r>
        <w:rPr>
          <w:i w:val="false"/>
        </w:rPr>
        <w:t>40.3%</w:t>
      </w:r>
      <w:r>
        <w:rPr>
          <w:i w:val="false"/>
        </w:rPr>
        <w:t>減至</w:t>
      </w:r>
      <w:r>
        <w:rPr>
          <w:i w:val="false"/>
        </w:rPr>
        <w:t>2014</w:t>
      </w:r>
      <w:r>
        <w:rPr>
          <w:i w:val="false"/>
        </w:rPr>
        <w:t>年</w:t>
      </w:r>
      <w:r>
        <w:rPr>
          <w:i w:val="false"/>
        </w:rPr>
        <w:t>12</w:t>
      </w:r>
      <w:r>
        <w:rPr>
          <w:i w:val="false"/>
        </w:rPr>
        <w:t>月的</w:t>
      </w:r>
      <w:r>
        <w:rPr>
          <w:i w:val="false"/>
        </w:rPr>
        <w:t>37.8%</w:t>
      </w:r>
      <w:r>
        <w:rPr>
          <w:i w:val="false"/>
        </w:rPr>
        <w:t>。</w:t>
      </w:r>
    </w:p>
    <w:p>
      <w:pPr>
        <w:pStyle w:val="Style13"/>
        <w:spacing w:lineRule="atLeast" w:line="390"/>
        <w:rPr>
          <w:i w:val="false"/>
          <w:i w:val="false"/>
        </w:rPr>
      </w:pPr>
      <w:r>
        <w:rPr>
          <w:i w:val="false"/>
        </w:rPr>
        <w:tab/>
      </w:r>
    </w:p>
    <w:p>
      <w:pPr>
        <w:pStyle w:val="Style13"/>
        <w:spacing w:lineRule="atLeast" w:line="390"/>
        <w:rPr>
          <w:i w:val="false"/>
          <w:i w:val="false"/>
        </w:rPr>
      </w:pPr>
      <w:r>
        <w:rPr>
          <w:i w:val="false"/>
        </w:rPr>
        <w:tab/>
      </w:r>
      <w:r>
        <w:rPr>
          <w:i w:val="false"/>
        </w:rPr>
        <w:t>聯交所將繼續監察上市發行人於《企業管治報告》內作出的披露，定期檢視上市發行人遵守《企業管治守則》的整體情況，並擬於</w:t>
      </w:r>
      <w:r>
        <w:rPr>
          <w:i w:val="false"/>
        </w:rPr>
        <w:t>2015</w:t>
      </w:r>
      <w:r>
        <w:rPr>
          <w:i w:val="false"/>
        </w:rPr>
        <w:t>年年底前刊發檢視最新情況的報告。聯交所亦會密切留意董事會成員多元化的國際發展。</w:t>
      </w:r>
    </w:p>
    <w:p>
      <w:pPr>
        <w:pStyle w:val="Style13"/>
        <w:spacing w:lineRule="atLeast" w:line="390"/>
        <w:ind w:left="0" w:hanging="0"/>
        <w:rPr>
          <w:i w:val="false"/>
          <w:i w:val="false"/>
        </w:rPr>
      </w:pPr>
      <w:r>
        <w:rPr>
          <w:i w:val="false"/>
        </w:rPr>
      </w:r>
    </w:p>
    <w:p>
      <w:pPr>
        <w:pStyle w:val="Style13"/>
        <w:spacing w:lineRule="atLeast" w:line="390"/>
        <w:ind w:left="0" w:hanging="0"/>
        <w:rPr>
          <w:i w:val="false"/>
          <w:i w:val="false"/>
        </w:rPr>
      </w:pPr>
      <w:r>
        <w:rPr>
          <w:i w:val="false"/>
        </w:rPr>
      </w:r>
    </w:p>
    <w:p>
      <w:pPr>
        <w:pStyle w:val="Style13"/>
        <w:spacing w:lineRule="atLeast" w:line="390"/>
        <w:ind w:left="0" w:hanging="0"/>
        <w:jc w:val="right"/>
        <w:rPr>
          <w:i w:val="false"/>
          <w:i w:val="false"/>
        </w:rPr>
      </w:pPr>
      <w:r>
        <w:rPr>
          <w:i w:val="false"/>
        </w:rPr>
        <w:t>附件</w:t>
      </w:r>
    </w:p>
    <w:p>
      <w:pPr>
        <w:pStyle w:val="Style13"/>
        <w:spacing w:lineRule="atLeast" w:line="390"/>
        <w:ind w:left="0" w:hanging="0"/>
        <w:rPr>
          <w:i w:val="false"/>
          <w:i w:val="false"/>
        </w:rPr>
      </w:pPr>
      <w:r>
        <w:rPr>
          <w:i w:val="false"/>
        </w:rPr>
      </w:r>
    </w:p>
    <w:p>
      <w:pPr>
        <w:pStyle w:val="Style13"/>
        <w:spacing w:lineRule="atLeast" w:line="390"/>
        <w:ind w:left="0" w:hanging="0"/>
        <w:jc w:val="center"/>
        <w:rPr>
          <w:i w:val="false"/>
          <w:i w:val="false"/>
        </w:rPr>
      </w:pPr>
      <w:r>
        <w:rPr>
          <w:i w:val="false"/>
        </w:rPr>
        <w:t>按性別分類的上市發行人董事會成員多元化數據</w:t>
      </w:r>
    </w:p>
    <w:p>
      <w:pPr>
        <w:pStyle w:val="Style13"/>
        <w:spacing w:lineRule="atLeast" w:line="390"/>
        <w:ind w:left="0" w:hanging="0"/>
        <w:rPr>
          <w:i w:val="false"/>
          <w:i w:val="false"/>
        </w:rPr>
      </w:pPr>
      <w:r>
        <w:rPr>
          <w:i w:val="false"/>
        </w:rPr>
      </w:r>
    </w:p>
    <w:p>
      <w:pPr>
        <w:pStyle w:val="Style13"/>
        <w:spacing w:lineRule="atLeast" w:line="390"/>
        <w:ind w:left="0" w:hanging="0"/>
        <w:rPr>
          <w:i w:val="false"/>
          <w:i w:val="false"/>
        </w:rPr>
      </w:pPr>
      <w:r>
        <w:rPr>
          <w:i w:val="false"/>
        </w:rPr>
        <w:t>於</w:t>
      </w:r>
      <w:r>
        <w:rPr>
          <w:i w:val="false"/>
        </w:rPr>
        <w:t>2014</w:t>
      </w:r>
      <w:r>
        <w:rPr>
          <w:i w:val="false"/>
        </w:rPr>
        <w:t>年</w:t>
      </w:r>
      <w:r>
        <w:rPr>
          <w:i w:val="false"/>
        </w:rPr>
        <w:t>12</w:t>
      </w:r>
      <w:r>
        <w:rPr>
          <w:i w:val="false"/>
        </w:rPr>
        <w:t>月</w:t>
      </w:r>
      <w:r>
        <w:rPr>
          <w:i w:val="false"/>
        </w:rPr>
        <w:t>31</w:t>
      </w:r>
      <w:r>
        <w:rPr>
          <w:i w:val="false"/>
        </w:rPr>
        <w:t>日，共有</w:t>
      </w:r>
      <w:r>
        <w:rPr>
          <w:i w:val="false"/>
        </w:rPr>
        <w:t>1 743</w:t>
      </w:r>
      <w:r>
        <w:rPr>
          <w:i w:val="false"/>
        </w:rPr>
        <w:t>家發行人，當中有</w:t>
      </w:r>
      <w:r>
        <w:rPr>
          <w:i w:val="false"/>
        </w:rPr>
        <w:t>1 656</w:t>
      </w:r>
      <w:r>
        <w:rPr>
          <w:i w:val="false"/>
        </w:rPr>
        <w:t>名女性董事及</w:t>
      </w:r>
      <w:r>
        <w:rPr>
          <w:i w:val="false"/>
        </w:rPr>
        <w:t>13 046</w:t>
      </w:r>
      <w:r>
        <w:rPr>
          <w:i w:val="false"/>
        </w:rPr>
        <w:t>名男性董事。每個董事會的平均人數為</w:t>
      </w:r>
      <w:r>
        <w:rPr>
          <w:i w:val="false"/>
        </w:rPr>
        <w:t>8.43</w:t>
      </w:r>
      <w:r>
        <w:rPr>
          <w:i w:val="false"/>
        </w:rPr>
        <w:t>人，平均包括</w:t>
      </w:r>
      <w:r>
        <w:rPr>
          <w:i w:val="false"/>
        </w:rPr>
        <w:t>0.95</w:t>
      </w:r>
      <w:r>
        <w:rPr>
          <w:i w:val="false"/>
        </w:rPr>
        <w:t>名女性及</w:t>
      </w:r>
      <w:r>
        <w:rPr>
          <w:i w:val="false"/>
        </w:rPr>
        <w:t>7.48</w:t>
      </w:r>
      <w:r>
        <w:rPr>
          <w:i w:val="false"/>
        </w:rPr>
        <w:t>名男性。總體而言，</w:t>
      </w:r>
      <w:r>
        <w:rPr>
          <w:i w:val="false"/>
        </w:rPr>
        <w:t>11.3%</w:t>
      </w:r>
      <w:r>
        <w:rPr>
          <w:i w:val="false"/>
        </w:rPr>
        <w:t>的董事為女性。下表載列女性董事人數在發行人董事會的分布比例數據：</w:t>
      </w:r>
    </w:p>
    <w:p>
      <w:pPr>
        <w:pStyle w:val="Style13"/>
        <w:spacing w:lineRule="atLeast" w:line="390"/>
        <w:ind w:left="0" w:hanging="0"/>
        <w:rPr>
          <w:i w:val="false"/>
          <w:i w:val="false"/>
        </w:rPr>
      </w:pPr>
      <w:r>
        <w:rPr>
          <w:i w:val="false"/>
        </w:rPr>
      </w:r>
    </w:p>
    <w:tbl>
      <w:tblPr>
        <w:tblStyle w:val="a9"/>
        <w:tblW w:w="9223" w:type="dxa"/>
        <w:jc w:val="center"/>
        <w:tblInd w:w="0" w:type="dxa"/>
        <w:tblCellMar>
          <w:top w:w="0" w:type="dxa"/>
          <w:left w:w="108" w:type="dxa"/>
          <w:bottom w:w="0" w:type="dxa"/>
          <w:right w:w="108" w:type="dxa"/>
        </w:tblCellMar>
        <w:tblLook w:val="01e0" w:noHBand="0" w:noVBand="0" w:firstColumn="1" w:lastRow="1" w:lastColumn="1" w:firstRow="1"/>
      </w:tblPr>
      <w:tblGrid>
        <w:gridCol w:w="3074"/>
        <w:gridCol w:w="3074"/>
        <w:gridCol w:w="3075"/>
      </w:tblGrid>
      <w:tr>
        <w:trPr/>
        <w:tc>
          <w:tcPr>
            <w:tcW w:w="3074" w:type="dxa"/>
            <w:tcBorders/>
          </w:tcPr>
          <w:p>
            <w:pPr>
              <w:pStyle w:val="Style13"/>
              <w:tabs>
                <w:tab w:val="left" w:pos="480" w:leader="none"/>
                <w:tab w:val="left" w:pos="567" w:leader="none"/>
              </w:tabs>
              <w:spacing w:lineRule="atLeast" w:line="390"/>
              <w:ind w:left="57" w:right="57" w:hanging="0"/>
              <w:jc w:val="center"/>
              <w:rPr/>
            </w:pPr>
            <w:r>
              <w:rPr/>
              <w:t>女性董事人數</w:t>
            </w:r>
          </w:p>
        </w:tc>
        <w:tc>
          <w:tcPr>
            <w:tcW w:w="3074" w:type="dxa"/>
            <w:tcBorders/>
          </w:tcPr>
          <w:p>
            <w:pPr>
              <w:pStyle w:val="Style13"/>
              <w:tabs>
                <w:tab w:val="left" w:pos="480" w:leader="none"/>
                <w:tab w:val="left" w:pos="567" w:leader="none"/>
              </w:tabs>
              <w:spacing w:lineRule="atLeast" w:line="390"/>
              <w:ind w:left="57" w:right="57" w:hanging="0"/>
              <w:jc w:val="center"/>
              <w:rPr/>
            </w:pPr>
            <w:r>
              <w:rPr/>
              <w:t>發行人數目</w:t>
            </w:r>
          </w:p>
        </w:tc>
        <w:tc>
          <w:tcPr>
            <w:tcW w:w="3075" w:type="dxa"/>
            <w:tcBorders/>
          </w:tcPr>
          <w:p>
            <w:pPr>
              <w:pStyle w:val="Style13"/>
              <w:tabs>
                <w:tab w:val="left" w:pos="480" w:leader="none"/>
                <w:tab w:val="left" w:pos="567" w:leader="none"/>
              </w:tabs>
              <w:spacing w:lineRule="atLeast" w:line="390"/>
              <w:ind w:left="57" w:right="57" w:hanging="0"/>
              <w:jc w:val="center"/>
              <w:rPr/>
            </w:pPr>
            <w:r>
              <w:rPr/>
              <w:t>百分比</w:t>
            </w:r>
          </w:p>
        </w:tc>
      </w:tr>
      <w:tr>
        <w:trPr/>
        <w:tc>
          <w:tcPr>
            <w:tcW w:w="3074" w:type="dxa"/>
            <w:tcBorders/>
          </w:tcPr>
          <w:p>
            <w:pPr>
              <w:pStyle w:val="Style13"/>
              <w:tabs>
                <w:tab w:val="left" w:pos="480" w:leader="none"/>
                <w:tab w:val="left" w:pos="567" w:leader="none"/>
              </w:tabs>
              <w:spacing w:lineRule="atLeast" w:line="390"/>
              <w:ind w:left="57" w:right="57" w:hanging="0"/>
              <w:jc w:val="center"/>
              <w:rPr>
                <w:i w:val="false"/>
                <w:i w:val="false"/>
              </w:rPr>
            </w:pPr>
            <w:r>
              <w:rPr>
                <w:i w:val="false"/>
              </w:rPr>
              <w:t>0</w:t>
            </w:r>
          </w:p>
        </w:tc>
        <w:tc>
          <w:tcPr>
            <w:tcW w:w="3074"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658</w:t>
            </w:r>
          </w:p>
        </w:tc>
        <w:tc>
          <w:tcPr>
            <w:tcW w:w="3075"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37.8%</w:t>
            </w:r>
          </w:p>
        </w:tc>
      </w:tr>
      <w:tr>
        <w:trPr/>
        <w:tc>
          <w:tcPr>
            <w:tcW w:w="3074" w:type="dxa"/>
            <w:tcBorders/>
          </w:tcPr>
          <w:p>
            <w:pPr>
              <w:pStyle w:val="Style13"/>
              <w:tabs>
                <w:tab w:val="left" w:pos="480" w:leader="none"/>
                <w:tab w:val="left" w:pos="567" w:leader="none"/>
              </w:tabs>
              <w:spacing w:lineRule="atLeast" w:line="390"/>
              <w:ind w:left="57" w:right="57" w:hanging="0"/>
              <w:jc w:val="center"/>
              <w:rPr>
                <w:i w:val="false"/>
                <w:i w:val="false"/>
              </w:rPr>
            </w:pPr>
            <w:r>
              <w:rPr>
                <w:i w:val="false"/>
              </w:rPr>
              <w:t>1</w:t>
            </w:r>
          </w:p>
        </w:tc>
        <w:tc>
          <w:tcPr>
            <w:tcW w:w="3074"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696</w:t>
            </w:r>
          </w:p>
        </w:tc>
        <w:tc>
          <w:tcPr>
            <w:tcW w:w="3075"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39.9%</w:t>
            </w:r>
          </w:p>
        </w:tc>
      </w:tr>
      <w:tr>
        <w:trPr/>
        <w:tc>
          <w:tcPr>
            <w:tcW w:w="3074" w:type="dxa"/>
            <w:tcBorders/>
          </w:tcPr>
          <w:p>
            <w:pPr>
              <w:pStyle w:val="Style13"/>
              <w:tabs>
                <w:tab w:val="left" w:pos="480" w:leader="none"/>
                <w:tab w:val="left" w:pos="567" w:leader="none"/>
              </w:tabs>
              <w:spacing w:lineRule="atLeast" w:line="390"/>
              <w:ind w:left="57" w:right="57" w:hanging="0"/>
              <w:jc w:val="center"/>
              <w:rPr>
                <w:i w:val="false"/>
                <w:i w:val="false"/>
              </w:rPr>
            </w:pPr>
            <w:r>
              <w:rPr>
                <w:i w:val="false"/>
              </w:rPr>
              <w:t>2</w:t>
            </w:r>
          </w:p>
        </w:tc>
        <w:tc>
          <w:tcPr>
            <w:tcW w:w="3074"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266</w:t>
            </w:r>
          </w:p>
        </w:tc>
        <w:tc>
          <w:tcPr>
            <w:tcW w:w="3075"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15.3%</w:t>
            </w:r>
          </w:p>
        </w:tc>
      </w:tr>
      <w:tr>
        <w:trPr/>
        <w:tc>
          <w:tcPr>
            <w:tcW w:w="3074" w:type="dxa"/>
            <w:tcBorders/>
          </w:tcPr>
          <w:p>
            <w:pPr>
              <w:pStyle w:val="Style13"/>
              <w:tabs>
                <w:tab w:val="left" w:pos="480" w:leader="none"/>
                <w:tab w:val="left" w:pos="567" w:leader="none"/>
              </w:tabs>
              <w:spacing w:lineRule="atLeast" w:line="390"/>
              <w:ind w:left="57" w:right="57" w:hanging="0"/>
              <w:jc w:val="center"/>
              <w:rPr>
                <w:i w:val="false"/>
                <w:i w:val="false"/>
              </w:rPr>
            </w:pPr>
            <w:r>
              <w:rPr>
                <w:i w:val="false"/>
              </w:rPr>
              <w:t>3</w:t>
            </w:r>
          </w:p>
        </w:tc>
        <w:tc>
          <w:tcPr>
            <w:tcW w:w="3074"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75</w:t>
            </w:r>
          </w:p>
        </w:tc>
        <w:tc>
          <w:tcPr>
            <w:tcW w:w="3075"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4.3%</w:t>
            </w:r>
          </w:p>
        </w:tc>
      </w:tr>
      <w:tr>
        <w:trPr/>
        <w:tc>
          <w:tcPr>
            <w:tcW w:w="3074" w:type="dxa"/>
            <w:tcBorders/>
          </w:tcPr>
          <w:p>
            <w:pPr>
              <w:pStyle w:val="Style13"/>
              <w:tabs>
                <w:tab w:val="left" w:pos="480" w:leader="none"/>
                <w:tab w:val="left" w:pos="567" w:leader="none"/>
              </w:tabs>
              <w:spacing w:lineRule="atLeast" w:line="390"/>
              <w:ind w:left="57" w:right="57" w:hanging="0"/>
              <w:jc w:val="center"/>
              <w:rPr>
                <w:i w:val="false"/>
                <w:i w:val="false"/>
              </w:rPr>
            </w:pPr>
            <w:r>
              <w:rPr>
                <w:i w:val="false"/>
              </w:rPr>
              <w:t>4</w:t>
            </w:r>
          </w:p>
        </w:tc>
        <w:tc>
          <w:tcPr>
            <w:tcW w:w="3074"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39</w:t>
            </w:r>
          </w:p>
        </w:tc>
        <w:tc>
          <w:tcPr>
            <w:tcW w:w="3075"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2.2%</w:t>
            </w:r>
          </w:p>
        </w:tc>
      </w:tr>
      <w:tr>
        <w:trPr/>
        <w:tc>
          <w:tcPr>
            <w:tcW w:w="3074" w:type="dxa"/>
            <w:tcBorders/>
          </w:tcPr>
          <w:p>
            <w:pPr>
              <w:pStyle w:val="Style13"/>
              <w:tabs>
                <w:tab w:val="left" w:pos="480" w:leader="none"/>
                <w:tab w:val="left" w:pos="567" w:leader="none"/>
              </w:tabs>
              <w:spacing w:lineRule="atLeast" w:line="390"/>
              <w:ind w:left="57" w:right="57" w:hanging="0"/>
              <w:jc w:val="center"/>
              <w:rPr>
                <w:i w:val="false"/>
                <w:i w:val="false"/>
              </w:rPr>
            </w:pPr>
            <w:r>
              <w:rPr>
                <w:i w:val="false"/>
              </w:rPr>
              <w:t>5</w:t>
            </w:r>
          </w:p>
        </w:tc>
        <w:tc>
          <w:tcPr>
            <w:tcW w:w="3074"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7</w:t>
            </w:r>
          </w:p>
        </w:tc>
        <w:tc>
          <w:tcPr>
            <w:tcW w:w="3075"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0.4%</w:t>
            </w:r>
          </w:p>
        </w:tc>
      </w:tr>
      <w:tr>
        <w:trPr/>
        <w:tc>
          <w:tcPr>
            <w:tcW w:w="3074" w:type="dxa"/>
            <w:tcBorders/>
          </w:tcPr>
          <w:p>
            <w:pPr>
              <w:pStyle w:val="Style13"/>
              <w:tabs>
                <w:tab w:val="left" w:pos="480" w:leader="none"/>
                <w:tab w:val="left" w:pos="567" w:leader="none"/>
              </w:tabs>
              <w:spacing w:lineRule="atLeast" w:line="390"/>
              <w:ind w:left="57" w:right="57" w:hanging="0"/>
              <w:jc w:val="center"/>
              <w:rPr>
                <w:i w:val="false"/>
                <w:i w:val="false"/>
              </w:rPr>
            </w:pPr>
            <w:r>
              <w:rPr>
                <w:i w:val="false"/>
              </w:rPr>
              <w:t>6</w:t>
            </w:r>
          </w:p>
        </w:tc>
        <w:tc>
          <w:tcPr>
            <w:tcW w:w="3074"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2</w:t>
            </w:r>
          </w:p>
        </w:tc>
        <w:tc>
          <w:tcPr>
            <w:tcW w:w="3075"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0.1%</w:t>
            </w:r>
          </w:p>
        </w:tc>
      </w:tr>
      <w:tr>
        <w:trPr/>
        <w:tc>
          <w:tcPr>
            <w:tcW w:w="3074" w:type="dxa"/>
            <w:tcBorders/>
          </w:tcPr>
          <w:p>
            <w:pPr>
              <w:pStyle w:val="Style13"/>
              <w:tabs>
                <w:tab w:val="left" w:pos="480" w:leader="none"/>
                <w:tab w:val="left" w:pos="567" w:leader="none"/>
              </w:tabs>
              <w:spacing w:lineRule="atLeast" w:line="390"/>
              <w:ind w:left="57" w:right="57" w:hanging="0"/>
              <w:jc w:val="center"/>
              <w:rPr>
                <w:i w:val="false"/>
                <w:i w:val="false"/>
              </w:rPr>
            </w:pPr>
            <w:r>
              <w:rPr>
                <w:i w:val="false"/>
              </w:rPr>
              <w:t>總計</w:t>
            </w:r>
          </w:p>
        </w:tc>
        <w:tc>
          <w:tcPr>
            <w:tcW w:w="3074"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1 743</w:t>
            </w:r>
          </w:p>
        </w:tc>
        <w:tc>
          <w:tcPr>
            <w:tcW w:w="3075" w:type="dxa"/>
            <w:tcBorders/>
          </w:tcPr>
          <w:p>
            <w:pPr>
              <w:pStyle w:val="Style13"/>
              <w:tabs>
                <w:tab w:val="left" w:pos="480" w:leader="none"/>
                <w:tab w:val="left" w:pos="567" w:leader="none"/>
              </w:tabs>
              <w:spacing w:lineRule="atLeast" w:line="390"/>
              <w:ind w:left="57" w:right="1134" w:hanging="0"/>
              <w:jc w:val="right"/>
              <w:rPr>
                <w:i w:val="false"/>
                <w:i w:val="false"/>
              </w:rPr>
            </w:pPr>
            <w:r>
              <w:rPr>
                <w:i w:val="false"/>
              </w:rPr>
              <w:t>100%</w:t>
            </w:r>
          </w:p>
        </w:tc>
      </w:tr>
    </w:tbl>
    <w:p>
      <w:pPr>
        <w:pStyle w:val="Style13"/>
        <w:ind w:left="0" w:hanging="0"/>
        <w:rPr>
          <w:rFonts w:cs="Times New Roman"/>
          <w:i w:val="false"/>
          <w:i w:val="false"/>
        </w:rPr>
      </w:pPr>
      <w:r>
        <w:rPr>
          <w:rFonts w:cs="Times New Roman"/>
          <w:i w:val="false"/>
        </w:rPr>
      </w:r>
    </w:p>
    <w:p>
      <w:pPr>
        <w:pStyle w:val="Style13"/>
        <w:spacing w:lineRule="auto" w:line="240"/>
        <w:ind w:left="0" w:hanging="0"/>
        <w:rPr>
          <w:i w:val="false"/>
          <w:i w:val="false"/>
          <w:sz w:val="20"/>
          <w:szCs w:val="20"/>
        </w:rPr>
      </w:pPr>
      <w:r>
        <w:rPr>
          <w:i w:val="false"/>
          <w:sz w:val="20"/>
          <w:szCs w:val="20"/>
        </w:rPr>
        <w:t>資料來源：香港聯合交易所</w:t>
      </w:r>
    </w:p>
    <w:p>
      <w:pPr>
        <w:pStyle w:val="Style13"/>
        <w:spacing w:lineRule="exact" w:line="20"/>
        <w:ind w:left="0" w:hanging="0"/>
        <w:rPr>
          <w:i w:val="false"/>
          <w:i w:val="false"/>
          <w:sz w:val="20"/>
          <w:szCs w:val="20"/>
        </w:rPr>
      </w:pPr>
      <w:r>
        <w:rPr>
          <w:i w:val="false"/>
          <w:sz w:val="20"/>
          <w:szCs w:val="20"/>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rPr>
          <w:i/>
          <w:i/>
          <w:szCs w:val="27"/>
        </w:rPr>
      </w:pPr>
      <w:r>
        <w:rPr>
          <w:rFonts w:ascii="華康中黑體" w:hAnsi="華康中黑體" w:cs="華康中黑體" w:eastAsia="華康中黑體"/>
          <w:b/>
          <w:szCs w:val="27"/>
        </w:rPr>
        <w:t>劉慧卿議員</w:t>
      </w:r>
      <w:r>
        <w:rPr>
          <w:szCs w:val="27"/>
        </w:rPr>
        <w:t>：</w:t>
      </w:r>
      <w:r>
        <w:rPr>
          <w:i/>
          <w:szCs w:val="27"/>
        </w:rPr>
        <w:t>主席，局長說截至去年年底，上市發行人董事會的女性成員比例只有</w:t>
      </w:r>
      <w:r>
        <w:rPr>
          <w:i/>
          <w:szCs w:val="27"/>
        </w:rPr>
        <w:t>11.3%</w:t>
      </w:r>
      <w:r>
        <w:rPr>
          <w:i/>
          <w:szCs w:val="27"/>
        </w:rPr>
        <w:t>，這個比例真的十分低，他並說聯交所或會在今年年底前發表檢視最新情況的報告，而最重要是聯交所會留意董事會成員多元化的國際發展。</w:t>
      </w:r>
    </w:p>
    <w:p>
      <w:pPr>
        <w:pStyle w:val="F21"/>
        <w:rPr>
          <w:i/>
          <w:i/>
          <w:szCs w:val="27"/>
        </w:rPr>
      </w:pPr>
      <w:r>
        <w:rPr>
          <w:i/>
          <w:szCs w:val="27"/>
        </w:rPr>
      </w:r>
    </w:p>
    <w:p>
      <w:pPr>
        <w:pStyle w:val="F21"/>
        <w:rPr>
          <w:i/>
          <w:i/>
          <w:szCs w:val="27"/>
        </w:rPr>
      </w:pPr>
      <w:r>
        <w:rPr>
          <w:i/>
          <w:szCs w:val="27"/>
        </w:rPr>
        <w:tab/>
      </w:r>
      <w:r>
        <w:rPr>
          <w:i/>
          <w:szCs w:val="27"/>
        </w:rPr>
        <w:t>主席，談及國際發展，現時我手上也有很多資料，一如我剛才提到，德國已於近期立法，西班牙亦於</w:t>
      </w:r>
      <w:r>
        <w:rPr>
          <w:i/>
          <w:szCs w:val="27"/>
        </w:rPr>
        <w:t>2007</w:t>
      </w:r>
      <w:r>
        <w:rPr>
          <w:i/>
          <w:szCs w:val="27"/>
        </w:rPr>
        <w:t>年立法規定女性董事局成員須佔</w:t>
      </w:r>
      <w:r>
        <w:rPr>
          <w:i/>
          <w:szCs w:val="27"/>
        </w:rPr>
        <w:t>40%</w:t>
      </w:r>
      <w:r>
        <w:rPr>
          <w:i/>
          <w:szCs w:val="27"/>
        </w:rPr>
        <w:t>，挪威亦於</w:t>
      </w:r>
      <w:r>
        <w:rPr>
          <w:i/>
          <w:szCs w:val="27"/>
        </w:rPr>
        <w:t>2003</w:t>
      </w:r>
      <w:r>
        <w:rPr>
          <w:i/>
          <w:szCs w:val="27"/>
        </w:rPr>
        <w:t>年立法規定女性董事局成員須佔</w:t>
      </w:r>
      <w:r>
        <w:rPr>
          <w:i/>
          <w:szCs w:val="27"/>
        </w:rPr>
        <w:t>40%</w:t>
      </w:r>
      <w:r>
        <w:rPr>
          <w:i/>
          <w:szCs w:val="27"/>
        </w:rPr>
        <w:t>，芬蘭和冰島同樣規定是</w:t>
      </w:r>
      <w:r>
        <w:rPr>
          <w:i/>
          <w:szCs w:val="27"/>
        </w:rPr>
        <w:t>40%</w:t>
      </w:r>
      <w:r>
        <w:rPr>
          <w:i/>
          <w:szCs w:val="27"/>
        </w:rPr>
        <w:t>，法國也是</w:t>
      </w:r>
      <w:r>
        <w:rPr>
          <w:i/>
          <w:szCs w:val="27"/>
        </w:rPr>
        <w:t>40%</w:t>
      </w:r>
      <w:r>
        <w:rPr>
          <w:i/>
          <w:szCs w:val="27"/>
        </w:rPr>
        <w:t>，荷蘭是</w:t>
      </w:r>
      <w:r>
        <w:rPr>
          <w:i/>
          <w:szCs w:val="27"/>
        </w:rPr>
        <w:t>30%</w:t>
      </w:r>
      <w:r>
        <w:rPr>
          <w:i/>
          <w:szCs w:val="27"/>
        </w:rPr>
        <w:t>，比利時是</w:t>
      </w:r>
      <w:r>
        <w:rPr>
          <w:i/>
          <w:szCs w:val="27"/>
        </w:rPr>
        <w:t>33%</w:t>
      </w:r>
      <w:r>
        <w:rPr>
          <w:i/>
          <w:szCs w:val="27"/>
        </w:rPr>
        <w:t>，以色列是</w:t>
      </w:r>
      <w:r>
        <w:rPr>
          <w:i/>
          <w:szCs w:val="27"/>
        </w:rPr>
        <w:t>50%</w:t>
      </w:r>
      <w:r>
        <w:rPr>
          <w:i/>
          <w:szCs w:val="27"/>
        </w:rPr>
        <w:t>，意大利則是</w:t>
      </w:r>
      <w:r>
        <w:rPr>
          <w:i/>
          <w:szCs w:val="27"/>
        </w:rPr>
        <w:t>33%</w:t>
      </w:r>
      <w:r>
        <w:rPr>
          <w:i/>
          <w:szCs w:val="27"/>
        </w:rPr>
        <w:t>。主席，局長是否知悉這些國際數字？這些國家全部也是我們的貿易夥伴或競爭者，儘管香港是一個國際城市，但本港的相關百分比只有</w:t>
      </w:r>
      <w:r>
        <w:rPr>
          <w:i/>
          <w:szCs w:val="27"/>
        </w:rPr>
        <w:t>11%</w:t>
      </w:r>
      <w:r>
        <w:rPr>
          <w:i/>
          <w:szCs w:val="27"/>
        </w:rPr>
        <w:t>，政府卻又不肯立法，有甚麼辦法可讓更多女士進入董事局呢？香港的女性是否真的沒有能力，因此不能擔任上市公司的董事？</w:t>
      </w:r>
    </w:p>
    <w:p>
      <w:pPr>
        <w:pStyle w:val="F21"/>
        <w:rPr>
          <w:szCs w:val="27"/>
        </w:rPr>
      </w:pPr>
      <w:r>
        <w:rPr>
          <w:szCs w:val="27"/>
        </w:rPr>
      </w:r>
    </w:p>
    <w:p>
      <w:pPr>
        <w:pStyle w:val="F21"/>
        <w:rPr>
          <w:szCs w:val="27"/>
        </w:rPr>
      </w:pPr>
      <w:r>
        <w:rPr>
          <w:szCs w:val="27"/>
        </w:rPr>
      </w:r>
    </w:p>
    <w:p>
      <w:pPr>
        <w:pStyle w:val="F21"/>
        <w:rPr>
          <w:szCs w:val="27"/>
        </w:rPr>
      </w:pPr>
      <w:r>
        <w:rPr>
          <w:rFonts w:eastAsia="華康中黑體"/>
          <w:b/>
          <w:kern w:val="2"/>
          <w:szCs w:val="27"/>
        </w:rPr>
        <w:t>財經事務及庫務局局長</w:t>
      </w:r>
      <w:r>
        <w:rPr>
          <w:szCs w:val="27"/>
        </w:rPr>
        <w:t>：主席，首先，我想向劉慧卿</w:t>
      </w:r>
      <w:r>
        <w:rPr>
          <w:rFonts w:ascii="華康細明體" w:hAnsi="華康細明體" w:cs="華康細明體"/>
          <w:szCs w:val="27"/>
        </w:rPr>
        <w:t>議員</w:t>
      </w:r>
      <w:r>
        <w:rPr>
          <w:szCs w:val="27"/>
        </w:rPr>
        <w:t>指出，我認同董事局成員多元化有助提升公司管治，而所謂多元化，當中考慮的事宜包括文化、背景等，也包括女性董事比例，我認為這些全部也是應予考慮的事宜。國際上有關這方面的研究顯示，由多元化成員組成的董事會對於董事會進行的討論、審議過程絕對有所裨益，大家也看得到董事會成員多元化的好處。</w:t>
      </w:r>
    </w:p>
    <w:p>
      <w:pPr>
        <w:pStyle w:val="F21"/>
        <w:rPr>
          <w:szCs w:val="27"/>
        </w:rPr>
      </w:pPr>
      <w:r>
        <w:rPr>
          <w:szCs w:val="27"/>
        </w:rPr>
      </w:r>
    </w:p>
    <w:p>
      <w:pPr>
        <w:pStyle w:val="F21"/>
        <w:rPr>
          <w:szCs w:val="27"/>
        </w:rPr>
      </w:pPr>
      <w:r>
        <w:rPr>
          <w:szCs w:val="27"/>
        </w:rPr>
        <w:tab/>
      </w:r>
      <w:r>
        <w:rPr>
          <w:szCs w:val="27"/>
        </w:rPr>
        <w:t>事實上，雖然國際上有這樣的討論，以及正如劉</w:t>
      </w:r>
      <w:r>
        <w:rPr>
          <w:rFonts w:ascii="華康細明體" w:hAnsi="華康細明體" w:cs="華康細明體"/>
          <w:szCs w:val="27"/>
        </w:rPr>
        <w:t>議員</w:t>
      </w:r>
      <w:r>
        <w:rPr>
          <w:szCs w:val="27"/>
        </w:rPr>
        <w:t>提到，部分歐洲國家已立法規定女性董事成員的比例，但在目前而言，這並非全球普遍的做法。舉例說，英國和美國可說是上市活動較為活躍的金融中心，但目前也沒有訂立相關的法例。如果大家參考先前諮詢業界的結果，其實業界認為，即使要推行成員多元化，也要在切實可行的情況下進行。我相信本港應繼續沿用目前的方法，即多鼓吹這種文化，與香港上市公司商會或香港董事學會進行多些討論，以及讓更多合適的女性參與董事的工作。與此同時，根據現時聯交所的規定，如果上市發行人沒有增加女性董事的人數，便需要給予解釋，我相信各方面的行動加上市場壓力，應足以令情況有所改善。</w:t>
      </w:r>
    </w:p>
    <w:p>
      <w:pPr>
        <w:pStyle w:val="F21"/>
        <w:rPr>
          <w:szCs w:val="27"/>
        </w:rPr>
      </w:pPr>
      <w:r>
        <w:rPr>
          <w:szCs w:val="27"/>
        </w:rPr>
      </w:r>
    </w:p>
    <w:p>
      <w:pPr>
        <w:pStyle w:val="F21"/>
        <w:rPr>
          <w:szCs w:val="27"/>
        </w:rPr>
      </w:pPr>
      <w:r>
        <w:rPr>
          <w:szCs w:val="27"/>
        </w:rPr>
      </w:r>
    </w:p>
    <w:p>
      <w:pPr>
        <w:pStyle w:val="F21"/>
        <w:rPr>
          <w:i/>
          <w:i/>
          <w:szCs w:val="27"/>
        </w:rPr>
      </w:pPr>
      <w:r>
        <w:rPr>
          <w:rFonts w:eastAsia="華康中黑體"/>
          <w:b/>
          <w:kern w:val="2"/>
          <w:szCs w:val="27"/>
        </w:rPr>
        <w:t>田北俊議員</w:t>
      </w:r>
      <w:r>
        <w:rPr>
          <w:szCs w:val="27"/>
        </w:rPr>
        <w:t>：</w:t>
      </w:r>
      <w:r>
        <w:rPr>
          <w:i/>
          <w:szCs w:val="27"/>
        </w:rPr>
        <w:t>主席，劉慧卿</w:t>
      </w:r>
      <w:r>
        <w:rPr>
          <w:rFonts w:ascii="華康細明體" w:hAnsi="華康細明體" w:cs="華康細明體"/>
          <w:i/>
          <w:szCs w:val="27"/>
        </w:rPr>
        <w:t>議員</w:t>
      </w:r>
      <w:r>
        <w:rPr>
          <w:i/>
          <w:szCs w:val="27"/>
        </w:rPr>
        <w:t>提出的質詢關乎上市發行人的董事會，而正如局長所說，女性成員的百分比只有</w:t>
      </w:r>
      <w:r>
        <w:rPr>
          <w:i/>
          <w:szCs w:val="27"/>
        </w:rPr>
        <w:t>11.3%</w:t>
      </w:r>
      <w:r>
        <w:rPr>
          <w:i/>
          <w:szCs w:val="27"/>
        </w:rPr>
        <w:t>。然而，香港的公司大部分是中、小企，數目約有數十萬間，我留意到大部分中、小企</w:t>
      </w:r>
      <w:r>
        <w:rPr>
          <w:i/>
          <w:szCs w:val="27"/>
        </w:rPr>
        <w:t>(</w:t>
      </w:r>
      <w:r>
        <w:rPr>
          <w:i/>
          <w:szCs w:val="27"/>
        </w:rPr>
        <w:t>包括我的公司</w:t>
      </w:r>
      <w:r>
        <w:rPr>
          <w:i/>
          <w:szCs w:val="27"/>
        </w:rPr>
        <w:t>)</w:t>
      </w:r>
      <w:r>
        <w:rPr>
          <w:i/>
          <w:szCs w:val="27"/>
        </w:rPr>
        <w:t>只有數名董事，在這情況下，其實女性成員所佔的比例卻非常高。如果我不是問上市發行人</w:t>
      </w:r>
      <w:r>
        <w:rPr>
          <w:i/>
          <w:szCs w:val="27"/>
        </w:rPr>
        <w:t>......</w:t>
      </w:r>
      <w:r>
        <w:rPr>
          <w:i/>
          <w:szCs w:val="27"/>
        </w:rPr>
        <w:t>政府應該備有香港註冊公司的數目和董事數目的資料，在該等公司中，女性董事的比例為何？以我的公司為例，在</w:t>
      </w:r>
      <w:r>
        <w:rPr>
          <w:i/>
          <w:szCs w:val="27"/>
        </w:rPr>
        <w:t>4</w:t>
      </w:r>
      <w:r>
        <w:rPr>
          <w:i/>
          <w:szCs w:val="27"/>
        </w:rPr>
        <w:t>名董事之中，田太便是其中之一，女性董事的比例已佔</w:t>
      </w:r>
      <w:r>
        <w:rPr>
          <w:i/>
          <w:szCs w:val="27"/>
        </w:rPr>
        <w:t>25%</w:t>
      </w:r>
      <w:r>
        <w:rPr>
          <w:i/>
          <w:szCs w:val="27"/>
        </w:rPr>
        <w:t>。政府有沒有中、小企在這方面的數字？</w:t>
      </w:r>
    </w:p>
    <w:p>
      <w:pPr>
        <w:pStyle w:val="F21"/>
        <w:rPr>
          <w:szCs w:val="27"/>
        </w:rPr>
      </w:pPr>
      <w:r>
        <w:rPr>
          <w:szCs w:val="27"/>
        </w:rPr>
      </w:r>
    </w:p>
    <w:p>
      <w:pPr>
        <w:pStyle w:val="F21"/>
        <w:rPr>
          <w:szCs w:val="27"/>
        </w:rPr>
      </w:pPr>
      <w:r>
        <w:rPr>
          <w:szCs w:val="27"/>
        </w:rPr>
      </w:r>
    </w:p>
    <w:p>
      <w:pPr>
        <w:pStyle w:val="F21"/>
        <w:rPr>
          <w:szCs w:val="27"/>
        </w:rPr>
      </w:pPr>
      <w:r>
        <w:rPr>
          <w:rFonts w:eastAsia="華康中黑體"/>
          <w:b/>
          <w:kern w:val="2"/>
          <w:szCs w:val="27"/>
        </w:rPr>
        <w:t>財經事務及庫務局局長</w:t>
      </w:r>
      <w:r>
        <w:rPr>
          <w:szCs w:val="27"/>
        </w:rPr>
        <w:t>：我們不曾就非上市發行人進行有關統計，因此沒有相關數字。</w:t>
      </w:r>
    </w:p>
    <w:p>
      <w:pPr>
        <w:pStyle w:val="F21"/>
        <w:rPr>
          <w:szCs w:val="27"/>
        </w:rPr>
      </w:pPr>
      <w:r>
        <w:rPr>
          <w:szCs w:val="27"/>
        </w:rPr>
      </w:r>
    </w:p>
    <w:p>
      <w:pPr>
        <w:pStyle w:val="F21"/>
        <w:rPr>
          <w:szCs w:val="27"/>
        </w:rPr>
      </w:pPr>
      <w:r>
        <w:rPr>
          <w:szCs w:val="27"/>
        </w:rPr>
      </w:r>
    </w:p>
    <w:p>
      <w:pPr>
        <w:pStyle w:val="F21"/>
        <w:rPr>
          <w:rFonts w:cs="華康細明體"/>
          <w:i/>
          <w:i/>
          <w:szCs w:val="27"/>
        </w:rPr>
      </w:pPr>
      <w:r>
        <w:rPr>
          <w:rFonts w:eastAsia="華康中黑體"/>
          <w:b/>
          <w:kern w:val="2"/>
          <w:szCs w:val="27"/>
        </w:rPr>
        <w:t>葛珮帆議員</w:t>
      </w:r>
      <w:r>
        <w:rPr>
          <w:rFonts w:ascii="華康細明體" w:hAnsi="華康細明體" w:cs="華康細明體"/>
          <w:szCs w:val="27"/>
        </w:rPr>
        <w:t>：</w:t>
      </w:r>
      <w:r>
        <w:rPr>
          <w:rFonts w:ascii="華康細明體" w:hAnsi="華康細明體" w:cs="華康細明體"/>
          <w:i/>
          <w:szCs w:val="27"/>
        </w:rPr>
        <w:t>局長在答覆中指出，聯交所</w:t>
      </w:r>
      <w:r>
        <w:rPr>
          <w:rFonts w:cs="華康細明體"/>
          <w:i/>
          <w:szCs w:val="27"/>
        </w:rPr>
        <w:t>在</w:t>
      </w:r>
      <w:r>
        <w:rPr>
          <w:rFonts w:cs="華康細明體"/>
          <w:i/>
          <w:szCs w:val="27"/>
        </w:rPr>
        <w:t>2013</w:t>
      </w:r>
      <w:r>
        <w:rPr>
          <w:rFonts w:cs="華康細明體"/>
          <w:i/>
          <w:szCs w:val="27"/>
        </w:rPr>
        <w:t>年</w:t>
      </w:r>
      <w:r>
        <w:rPr>
          <w:rFonts w:cs="華康細明體"/>
          <w:i/>
          <w:szCs w:val="27"/>
        </w:rPr>
        <w:t>9</w:t>
      </w:r>
      <w:r>
        <w:rPr>
          <w:rFonts w:cs="華康細明體"/>
          <w:i/>
          <w:szCs w:val="27"/>
        </w:rPr>
        <w:t>月修訂《企業管治守則》後，截至</w:t>
      </w:r>
      <w:r>
        <w:rPr>
          <w:rFonts w:cs="華康細明體"/>
          <w:i/>
          <w:szCs w:val="27"/>
        </w:rPr>
        <w:t>2014</w:t>
      </w:r>
      <w:r>
        <w:rPr>
          <w:rFonts w:cs="華康細明體"/>
          <w:i/>
          <w:szCs w:val="27"/>
        </w:rPr>
        <w:t>年</w:t>
      </w:r>
      <w:r>
        <w:rPr>
          <w:rFonts w:cs="華康細明體"/>
          <w:i/>
          <w:szCs w:val="27"/>
        </w:rPr>
        <w:t>12</w:t>
      </w:r>
      <w:r>
        <w:rPr>
          <w:rFonts w:cs="華康細明體"/>
          <w:i/>
          <w:szCs w:val="27"/>
        </w:rPr>
        <w:t>月香港上市發行人的女性董事比例仍然只有</w:t>
      </w:r>
      <w:r>
        <w:rPr>
          <w:rFonts w:cs="華康細明體"/>
          <w:i/>
          <w:szCs w:val="27"/>
        </w:rPr>
        <w:t>11.3%</w:t>
      </w:r>
      <w:r>
        <w:rPr>
          <w:rFonts w:cs="華康細明體"/>
          <w:i/>
          <w:szCs w:val="27"/>
        </w:rPr>
        <w:t>。局長剛才亦提及英國，英國的女性董事比例為</w:t>
      </w:r>
      <w:r>
        <w:rPr>
          <w:rFonts w:cs="華康細明體"/>
          <w:i/>
          <w:szCs w:val="27"/>
        </w:rPr>
        <w:t>23%</w:t>
      </w:r>
      <w:r>
        <w:rPr>
          <w:rFonts w:cs="華康細明體"/>
          <w:i/>
          <w:szCs w:val="27"/>
        </w:rPr>
        <w:t>，若與挪威的</w:t>
      </w:r>
      <w:r>
        <w:rPr>
          <w:rFonts w:cs="華康細明體"/>
          <w:i/>
          <w:szCs w:val="27"/>
        </w:rPr>
        <w:t>40%</w:t>
      </w:r>
      <w:r>
        <w:rPr>
          <w:rFonts w:cs="華康細明體"/>
          <w:i/>
          <w:szCs w:val="27"/>
        </w:rPr>
        <w:t>和加拿大的</w:t>
      </w:r>
      <w:r>
        <w:rPr>
          <w:rFonts w:cs="華康細明體"/>
          <w:i/>
          <w:szCs w:val="27"/>
        </w:rPr>
        <w:t>20%</w:t>
      </w:r>
      <w:r>
        <w:rPr>
          <w:rFonts w:cs="華康細明體"/>
          <w:i/>
          <w:szCs w:val="27"/>
        </w:rPr>
        <w:t>相比，香港的比例明顯大幅落後，而且在本港</w:t>
      </w:r>
      <w:r>
        <w:rPr>
          <w:rFonts w:cs="華康細明體"/>
          <w:i/>
          <w:szCs w:val="27"/>
        </w:rPr>
        <w:t>1 743</w:t>
      </w:r>
      <w:r>
        <w:rPr>
          <w:rFonts w:cs="華康細明體"/>
          <w:i/>
          <w:szCs w:val="27"/>
        </w:rPr>
        <w:t>家上市發行人中，更有</w:t>
      </w:r>
      <w:r>
        <w:rPr>
          <w:rFonts w:cs="華康細明體"/>
          <w:i/>
          <w:szCs w:val="27"/>
        </w:rPr>
        <w:t>658</w:t>
      </w:r>
      <w:r>
        <w:rPr>
          <w:rFonts w:cs="華康細明體"/>
          <w:i/>
          <w:szCs w:val="27"/>
        </w:rPr>
        <w:t>家沒有女性董事。</w:t>
      </w:r>
    </w:p>
    <w:p>
      <w:pPr>
        <w:pStyle w:val="F21"/>
        <w:rPr>
          <w:rFonts w:cs="華康細明體"/>
          <w:i/>
          <w:i/>
          <w:szCs w:val="27"/>
        </w:rPr>
      </w:pPr>
      <w:r>
        <w:rPr>
          <w:rFonts w:cs="華康細明體"/>
          <w:i/>
          <w:szCs w:val="27"/>
        </w:rPr>
      </w:r>
    </w:p>
    <w:p>
      <w:pPr>
        <w:pStyle w:val="F21"/>
        <w:rPr>
          <w:rFonts w:cs="華康細明體"/>
          <w:i/>
          <w:i/>
          <w:szCs w:val="27"/>
        </w:rPr>
      </w:pPr>
      <w:r>
        <w:rPr>
          <w:rFonts w:cs="華康細明體"/>
          <w:i/>
          <w:szCs w:val="27"/>
        </w:rPr>
        <w:tab/>
      </w:r>
      <w:r>
        <w:rPr>
          <w:rFonts w:cs="華康細明體"/>
          <w:i/>
          <w:szCs w:val="27"/>
        </w:rPr>
        <w:t>此外，聯交所曾在</w:t>
      </w:r>
      <w:r>
        <w:rPr>
          <w:rFonts w:cs="華康細明體"/>
          <w:i/>
          <w:szCs w:val="27"/>
        </w:rPr>
        <w:t>2012</w:t>
      </w:r>
      <w:r>
        <w:rPr>
          <w:rFonts w:cs="華康細明體"/>
          <w:i/>
          <w:szCs w:val="27"/>
        </w:rPr>
        <w:t>年進行市場諮詢，市場人士表示，假如就董事會成員的男女比例制訂強制要求，在實際操作上可能會出現困難，而局長剛才又提及有關做法不太切實可行。我想問局長，其實會在哪方面出現困難，以及如何不切實可行呢？如果當局認為有困難，會否制訂措施解決困難？如果不會立法，當局如何能夠鼓勵更多上市發行人委任女性董事？</w:t>
      </w:r>
    </w:p>
    <w:p>
      <w:pPr>
        <w:pStyle w:val="F21"/>
        <w:rPr>
          <w:rFonts w:cs="華康細明體"/>
          <w:szCs w:val="27"/>
        </w:rPr>
      </w:pPr>
      <w:r>
        <w:rPr>
          <w:rFonts w:cs="華康細明體"/>
          <w:szCs w:val="27"/>
        </w:rPr>
      </w:r>
    </w:p>
    <w:p>
      <w:pPr>
        <w:pStyle w:val="F21"/>
        <w:rPr>
          <w:rFonts w:cs="華康細明體"/>
          <w:szCs w:val="27"/>
        </w:rPr>
      </w:pPr>
      <w:r>
        <w:rPr>
          <w:rFonts w:cs="華康細明體"/>
          <w:szCs w:val="27"/>
        </w:rPr>
      </w:r>
    </w:p>
    <w:p>
      <w:pPr>
        <w:pStyle w:val="F21"/>
        <w:rPr>
          <w:rFonts w:cs="Times New Roman"/>
          <w:szCs w:val="27"/>
        </w:rPr>
      </w:pPr>
      <w:r>
        <w:rPr>
          <w:rFonts w:eastAsia="華康中黑體"/>
          <w:b/>
          <w:kern w:val="2"/>
          <w:szCs w:val="27"/>
        </w:rPr>
        <w:t>財經事務及庫務局局長</w:t>
      </w:r>
      <w:r>
        <w:rPr>
          <w:szCs w:val="27"/>
        </w:rPr>
        <w:t>：當我們考慮一所企業的管治情況時，最重要是董事會發揮的角色，董事會一方面要了解公司的業務，然後通過討論及與管理階層溝通和作出監控，藉此改善企業管治。當然，每間企業的情況也不一樣，我相信有些企業的管治比較細微，這或與本身的行業有關。就多元化而言，董事會可能需要有不同的角度，當中可能需要具備熟悉財務事宜或企業本身業務範圍的成員，又或不同年紀的成員。董事會成員多元化的目的旨在提高公司的管理效能。至於女性成員的比例，我也同意是應予考慮的事宜。但是，對於某些公司而言，在落實董事會成員多元化方面，要在現時增加女性董事的比例可能會有困難。</w:t>
      </w:r>
    </w:p>
    <w:p>
      <w:pPr>
        <w:pStyle w:val="F21"/>
        <w:rPr>
          <w:szCs w:val="27"/>
        </w:rPr>
      </w:pPr>
      <w:r>
        <w:rPr>
          <w:szCs w:val="27"/>
        </w:rPr>
      </w:r>
    </w:p>
    <w:p>
      <w:pPr>
        <w:pStyle w:val="F21"/>
        <w:rPr>
          <w:szCs w:val="27"/>
        </w:rPr>
      </w:pPr>
      <w:r>
        <w:rPr>
          <w:szCs w:val="27"/>
        </w:rPr>
        <w:tab/>
      </w:r>
      <w:r>
        <w:rPr>
          <w:szCs w:val="27"/>
        </w:rPr>
        <w:t>坦白說，我認為不是透過立法便能成事，因為這涉及企業在管理文化方面須有所改變，而根據近年的數字，香港的管理文化和公司董事會的組成的確已有所改變。再者，現時聯交所亦規定，如果企業不增加女性董事的數目，便需要給予解釋。各方面的壓力，加上董事學會和其他學會多做培訓，將可令更多合適的女性成為董事會成員，尤其是香港各個專業界別也有不少成功女性，相信她們可以參與公司的管治。</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cs="華康中黑體" w:eastAsia="華康中黑體"/>
          <w:b/>
          <w:szCs w:val="27"/>
        </w:rPr>
        <w:t>陳家洛議員</w:t>
      </w:r>
      <w:r>
        <w:rPr>
          <w:szCs w:val="27"/>
        </w:rPr>
        <w:t>：</w:t>
      </w:r>
      <w:r>
        <w:rPr>
          <w:i/>
          <w:szCs w:val="27"/>
        </w:rPr>
        <w:t>剛才聽到局長的答覆，我感到十分失望。局長似乎說這種現象是文化因素使然，因為活在父權社會中，他也要忍受“男上女下”、“男多女少”的現象。或許讓我具體地問局長，作為政府的發言人，他可否斬釘截鐵地說，這種父權文化或他口中的管治文化，在很多先進的經濟體系中是極為落後的？既然如此，政府應更積極在這方面作出改變，亦不應排除他日或會向那些成熟的經濟體系學習，考慮立法的建議。</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財經事務及庫務局局長</w:t>
      </w:r>
      <w:r>
        <w:rPr>
          <w:szCs w:val="27"/>
        </w:rPr>
        <w:t>：我不同意陳議員的說法。議員提及已就此立法的歐洲國家，它們固然有其政治考慮。反觀一些沒有立法的國家，包括英國和美國，這些都是成熟的經濟體系。立法與否當中涉及很多考慮因素。我並不同意香港落後，香港的相關比例約為</w:t>
      </w:r>
      <w:r>
        <w:rPr>
          <w:szCs w:val="27"/>
        </w:rPr>
        <w:t>11%</w:t>
      </w:r>
      <w:r>
        <w:rPr>
          <w:szCs w:val="27"/>
        </w:rPr>
        <w:t>，而英國或美國的比例也並非遠高於本港。不論香港政府或香港交易及結算所均同意努力達成董事會成員多元化，我們認為不是立法便可以達致有關目標。</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蔣麗芸議員</w:t>
      </w:r>
      <w:r>
        <w:rPr>
          <w:szCs w:val="27"/>
        </w:rPr>
        <w:t>：</w:t>
      </w:r>
      <w:r>
        <w:rPr>
          <w:i/>
          <w:szCs w:val="27"/>
        </w:rPr>
        <w:t>我想問局長，他是否知悉由</w:t>
      </w:r>
      <w:r>
        <w:rPr>
          <w:i/>
          <w:szCs w:val="27"/>
        </w:rPr>
        <w:t>4</w:t>
      </w:r>
      <w:r>
        <w:rPr>
          <w:i/>
          <w:szCs w:val="27"/>
        </w:rPr>
        <w:t>月</w:t>
      </w:r>
      <w:r>
        <w:rPr>
          <w:i/>
          <w:szCs w:val="27"/>
        </w:rPr>
        <w:t>1</w:t>
      </w:r>
      <w:r>
        <w:rPr>
          <w:i/>
          <w:szCs w:val="27"/>
        </w:rPr>
        <w:t>日開始，委任女性加入政府諮詢及法定組織的百分比將會增至</w:t>
      </w:r>
      <w:r>
        <w:rPr>
          <w:i/>
          <w:szCs w:val="27"/>
        </w:rPr>
        <w:t>35%</w:t>
      </w:r>
      <w:r>
        <w:rPr>
          <w:i/>
          <w:szCs w:val="27"/>
        </w:rPr>
        <w:t>？我相信局長也明白背後的原因，因為目前香港女性參與社會工作的比例已高於男性。既然政府已決定把委任女性加入諮詢及法定組織的比例提高至</w:t>
      </w:r>
      <w:r>
        <w:rPr>
          <w:i/>
          <w:szCs w:val="27"/>
        </w:rPr>
        <w:t>35%</w:t>
      </w:r>
      <w:r>
        <w:rPr>
          <w:i/>
          <w:szCs w:val="27"/>
        </w:rPr>
        <w:t>，我希望局長亦能正視女性需要加入更多工商和社會事務的情況，期望陳家強局長能夠多作考慮。</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財經事務及庫務局局長</w:t>
      </w:r>
      <w:r>
        <w:rPr>
          <w:szCs w:val="27"/>
        </w:rPr>
        <w:t>：主席，其實我們的分歧並不在於是否要達到那個目標，無論是否上市發行人的董事會，我們也希望它們可以增加女性董事的成員。為甚麼政府會提高政府諮詢及法定組織的女性成員比例呢？其實政府是希望可以發揮示範作用，帶頭鼓勵這種風氣。在過去</w:t>
      </w:r>
      <w:r>
        <w:rPr>
          <w:szCs w:val="27"/>
        </w:rPr>
        <w:t>10</w:t>
      </w:r>
      <w:r>
        <w:rPr>
          <w:szCs w:val="27"/>
        </w:rPr>
        <w:t>年，政府一直積極提高政府諮詢及法定組織的女性成員比例。我們希望這個示範有助提高上市發行人或其他公司的女性董事人數，我相信政府的做法已起一定作用，我們亦定必在這方面繼續努力。</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ascii="華康中黑體" w:hAnsi="華康中黑體" w:cs="華康中黑體" w:eastAsia="華康中黑體"/>
          <w:b/>
          <w:szCs w:val="27"/>
        </w:rPr>
        <w:t>麥美娟議員</w:t>
      </w:r>
      <w:r>
        <w:rPr>
          <w:szCs w:val="27"/>
        </w:rPr>
        <w:t>：</w:t>
      </w:r>
      <w:r>
        <w:rPr>
          <w:i/>
          <w:szCs w:val="27"/>
        </w:rPr>
        <w:t>主席，局長多次表示立法不能達致有關目標，這點我是同意的，因為現時香港的確缺乏家庭友善政策，我們很難鼓勵婦女到社會工作，無論是基層還是中、高上階層的婦女亦然。今天我只看到陳局長在席，而負責有關政策範疇的張建宗局長卻不在席，我感到有點遺憾。</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主席，根據局長答覆中的附件，在上市發行人中，接近八成並無女性董事或只有</w:t>
      </w:r>
      <w:r>
        <w:rPr>
          <w:i/>
          <w:szCs w:val="27"/>
        </w:rPr>
        <w:t>1</w:t>
      </w:r>
      <w:r>
        <w:rPr>
          <w:i/>
          <w:szCs w:val="27"/>
        </w:rPr>
        <w:t>名女性董事。事實上，除上市發行人外，很多非政府組織或慈善機構的理事會的女性成員比例均屬偏低。若局長說立法沒有作用，但亦不考慮制訂指引，我們如何走出第一步，以確保公共機構在制訂政策時能實踐性別主流化？</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財經事務及庫務局局長</w:t>
      </w:r>
      <w:r>
        <w:rPr>
          <w:szCs w:val="27"/>
        </w:rPr>
        <w:t>：多謝麥議員的補充質詢。事實上，就政府機構而言，我相信在訂立指標後，在操作上是可行的，我們亦已看見成效。然而，若將有關指標放諸上市發行人，我認為每家公司的情況也有不同，如果制訂硬性的指標，相信很多公司未必可在提高企業管治的前提下達到目標。因此，我們要採取適當的平衡。目前的做法是通過壓力或聯交所的規定來提高女性參與董事會的比例，我相信已有成效。由於個別公司的情況不盡相同，我們理解個別公司需要按照自身的管治和策略發展作出考慮。</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ascii="華康中黑體" w:hAnsi="華康中黑體" w:eastAsia="華康中黑體"/>
          <w:b/>
          <w:szCs w:val="27"/>
        </w:rPr>
        <w:t>黃碧雲議員</w:t>
      </w:r>
      <w:r>
        <w:rPr>
          <w:szCs w:val="27"/>
        </w:rPr>
        <w:t>：</w:t>
      </w:r>
      <w:r>
        <w:rPr>
          <w:i/>
          <w:szCs w:val="27"/>
        </w:rPr>
        <w:t>主席，聽罷陳家強局長的答覆後，我認為他明顯不了解特首在本年的施政報告內提到，政府各政策局和部門將會推行的性別主流化概念。我希望陳局長可談談性別主流化如何在他的工作和政策中體現。</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主席，我們知道歐盟在</w:t>
      </w:r>
      <w:r>
        <w:rPr>
          <w:i/>
          <w:szCs w:val="27"/>
        </w:rPr>
        <w:t>2012</w:t>
      </w:r>
      <w:r>
        <w:rPr>
          <w:i/>
          <w:szCs w:val="27"/>
        </w:rPr>
        <w:t>年已作出“</w:t>
      </w:r>
      <w:r>
        <w:rPr>
          <w:i/>
          <w:szCs w:val="27"/>
        </w:rPr>
        <w:t>Women on the Board Pledge for Europe”</w:t>
      </w:r>
      <w:r>
        <w:rPr>
          <w:i/>
          <w:szCs w:val="27"/>
        </w:rPr>
        <w:t>，所有上市公司承諾須在</w:t>
      </w:r>
      <w:r>
        <w:rPr>
          <w:i/>
          <w:szCs w:val="27"/>
        </w:rPr>
        <w:t>2015</w:t>
      </w:r>
      <w:r>
        <w:rPr>
          <w:i/>
          <w:szCs w:val="27"/>
        </w:rPr>
        <w:t>年把女性董事的比例增至三成，到了</w:t>
      </w:r>
      <w:r>
        <w:rPr>
          <w:i/>
          <w:szCs w:val="27"/>
        </w:rPr>
        <w:t>2020</w:t>
      </w:r>
      <w:r>
        <w:rPr>
          <w:i/>
          <w:szCs w:val="27"/>
        </w:rPr>
        <w:t>年則增至四成。我想問的是，局長有否任何具體計劃，包括立法或訂立指引，使現時只有</w:t>
      </w:r>
      <w:r>
        <w:rPr>
          <w:i/>
          <w:szCs w:val="27"/>
        </w:rPr>
        <w:t>11.3%</w:t>
      </w:r>
      <w:r>
        <w:rPr>
          <w:i/>
          <w:szCs w:val="27"/>
        </w:rPr>
        <w:t>的女性董事比例得以提高，並作出類似上述的承諾，為逐步提高女性董事比例一事訂立時間表？</w:t>
      </w:r>
    </w:p>
    <w:p>
      <w:pPr>
        <w:pStyle w:val="F21"/>
        <w:spacing w:lineRule="exact" w:line="20"/>
        <w:rPr>
          <w:szCs w:val="27"/>
        </w:rPr>
      </w:pPr>
      <w:r>
        <w:rPr>
          <w:szCs w:val="27"/>
        </w:rPr>
      </w:r>
    </w:p>
    <w:p>
      <w:pPr>
        <w:pStyle w:val="Normal"/>
        <w:widowControl/>
        <w:tabs>
          <w:tab w:val="clear" w:pos="720"/>
        </w:tabs>
        <w:spacing w:lineRule="exact" w:line="20"/>
        <w:jc w:val="left"/>
        <w:rPr>
          <w:rFonts w:eastAsia="華康中黑體" w:cs="" w:cstheme="minorBidi"/>
          <w:b/>
          <w:b/>
          <w:spacing w:val="20"/>
          <w:sz w:val="27"/>
          <w:szCs w:val="27"/>
          <w:lang w:val="en-US"/>
        </w:rPr>
      </w:pPr>
      <w:r>
        <w:rPr>
          <w:rFonts w:eastAsia="華康中黑體" w:cs="" w:cstheme="minorBidi"/>
          <w:b/>
          <w:spacing w:val="20"/>
          <w:sz w:val="27"/>
          <w:szCs w:val="27"/>
          <w:lang w:val="en-US"/>
        </w:rPr>
      </w:r>
      <w:r>
        <w:br w:type="page"/>
      </w:r>
    </w:p>
    <w:p>
      <w:pPr>
        <w:pStyle w:val="F21"/>
        <w:rPr>
          <w:szCs w:val="27"/>
        </w:rPr>
      </w:pPr>
      <w:r>
        <w:rPr>
          <w:rFonts w:eastAsia="華康中黑體"/>
          <w:b/>
          <w:szCs w:val="27"/>
        </w:rPr>
        <w:t>財經事務及庫務局局長</w:t>
      </w:r>
      <w:r>
        <w:rPr>
          <w:szCs w:val="27"/>
        </w:rPr>
        <w:t>：主席，我們認為透過立法的方式是不可取的。我們參考過英、美市場的經驗，他們都是成熟的金融體系，現時也是採用本港的做法，即通過監管或市場壓力來提高有關比例。據我們所知，英國創立了一個名為“</w:t>
      </w:r>
      <w:r>
        <w:rPr>
          <w:szCs w:val="27"/>
        </w:rPr>
        <w:t>30% Club”</w:t>
      </w:r>
      <w:r>
        <w:rPr>
          <w:szCs w:val="27"/>
        </w:rPr>
        <w:t>的團體，該團體也是通過市場壓力促使上市公司關注此事。我們認為目前的做法是有效的，我們亦會繼續留意上市發行人遵守《企業管治守則》的情況。正如我剛才提到，我們認為在董事培訓方面仍有很大的改善空間，以提高香港企業的整體管治能力。女性參與董事會是須予考慮的事情之一，但整體而言，我們須提高董事的能力及參與度。在這方面，我們會全方位看待這事情。</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eastAsia="華康中黑體"/>
          <w:b/>
          <w:szCs w:val="27"/>
        </w:rPr>
        <w:t>黃碧雲議員</w:t>
      </w:r>
      <w:r>
        <w:rPr>
          <w:szCs w:val="27"/>
        </w:rPr>
        <w:t>：</w:t>
      </w:r>
      <w:r>
        <w:rPr>
          <w:i/>
          <w:szCs w:val="27"/>
        </w:rPr>
        <w:t>主席，我認為陳家強局長的言論是誤導立法會和公眾</w:t>
      </w:r>
      <w:r>
        <w:rPr>
          <w:i/>
          <w:szCs w:val="27"/>
        </w:rPr>
        <w:t>......</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主席</w:t>
      </w:r>
      <w:r>
        <w:rPr>
          <w:szCs w:val="27"/>
        </w:rPr>
        <w:t>：黃議員，現在不是進行辯論。如果你認為局長沒有回答你的補充質詢，請指出是哪部分。</w:t>
      </w:r>
    </w:p>
    <w:p>
      <w:pPr>
        <w:pStyle w:val="F21"/>
        <w:rPr>
          <w:rFonts w:ascii="華康中黑體" w:hAnsi="華康中黑體" w:eastAsia="華康中黑體"/>
          <w:b/>
          <w:b/>
          <w:szCs w:val="27"/>
        </w:rPr>
      </w:pPr>
      <w:r>
        <w:rPr>
          <w:rFonts w:eastAsia="華康中黑體" w:ascii="華康中黑體" w:hAnsi="華康中黑體"/>
          <w:b/>
          <w:szCs w:val="27"/>
        </w:rPr>
      </w:r>
    </w:p>
    <w:p>
      <w:pPr>
        <w:pStyle w:val="F21"/>
        <w:rPr>
          <w:rFonts w:ascii="華康中黑體" w:hAnsi="華康中黑體" w:eastAsia="華康中黑體"/>
          <w:b/>
          <w:b/>
          <w:szCs w:val="27"/>
        </w:rPr>
      </w:pPr>
      <w:r>
        <w:rPr>
          <w:rFonts w:eastAsia="華康中黑體" w:ascii="華康中黑體" w:hAnsi="華康中黑體"/>
          <w:b/>
          <w:szCs w:val="27"/>
        </w:rPr>
      </w:r>
    </w:p>
    <w:p>
      <w:pPr>
        <w:pStyle w:val="F21"/>
        <w:rPr>
          <w:i/>
          <w:i/>
          <w:szCs w:val="27"/>
        </w:rPr>
      </w:pPr>
      <w:r>
        <w:rPr>
          <w:rFonts w:ascii="華康中黑體" w:hAnsi="華康中黑體" w:eastAsia="華康中黑體"/>
          <w:b/>
          <w:szCs w:val="27"/>
        </w:rPr>
        <w:t>黃碧雲議員</w:t>
      </w:r>
      <w:r>
        <w:rPr>
          <w:szCs w:val="27"/>
        </w:rPr>
        <w:t>：</w:t>
      </w:r>
      <w:r>
        <w:rPr>
          <w:i/>
          <w:szCs w:val="27"/>
        </w:rPr>
        <w:t>......</w:t>
      </w:r>
      <w:r>
        <w:rPr>
          <w:i/>
          <w:szCs w:val="27"/>
        </w:rPr>
        <w:t>局長沒有回答他會否遵從政府倡議的性別主流化政策，剛才他只說女性董事的比例只是所須考慮的事情之一，所以可以不予理會。</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主席</w:t>
      </w:r>
      <w:r>
        <w:rPr>
          <w:szCs w:val="27"/>
        </w:rPr>
        <w:t>：黃議員，請不要評論局長的答覆。</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eastAsia="華康中黑體"/>
          <w:b/>
          <w:szCs w:val="27"/>
        </w:rPr>
        <w:t>黃碧雲議員</w:t>
      </w:r>
      <w:r>
        <w:rPr>
          <w:szCs w:val="27"/>
        </w:rPr>
        <w:t>：</w:t>
      </w:r>
      <w:r>
        <w:rPr>
          <w:i/>
          <w:szCs w:val="27"/>
        </w:rPr>
        <w:t>請局長清楚說明如何實踐性別主流化。</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主席</w:t>
      </w:r>
      <w:r>
        <w:rPr>
          <w:szCs w:val="27"/>
        </w:rPr>
        <w:t>：局長，你有否補充？</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財經事務及庫務局局長</w:t>
      </w:r>
      <w:r>
        <w:rPr>
          <w:szCs w:val="27"/>
        </w:rPr>
        <w:t>：我已經說明我們的處理手法。</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主席</w:t>
      </w:r>
      <w:r>
        <w:rPr>
          <w:szCs w:val="27"/>
        </w:rPr>
        <w:t>：本會就這項質詢已用了超過</w:t>
      </w:r>
      <w:r>
        <w:rPr>
          <w:szCs w:val="27"/>
        </w:rPr>
        <w:t>22</w:t>
      </w:r>
      <w:r>
        <w:rPr>
          <w:szCs w:val="27"/>
        </w:rPr>
        <w:t>分鐘，現在進入下一項質詢。第四項質詢。</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rPr>
          <w:rFonts w:eastAsia="華康中黑體" w:cs="Times New Roman"/>
          <w:b/>
          <w:b/>
        </w:rPr>
      </w:pPr>
      <w:bookmarkStart w:id="18" w:name="orq04"/>
      <w:r>
        <w:rPr>
          <w:rFonts w:cs="Times New Roman" w:eastAsia="華康中黑體"/>
          <w:b/>
        </w:rPr>
        <w:t>規管比特幣的交易活動</w:t>
      </w:r>
    </w:p>
    <w:p>
      <w:pPr>
        <w:pStyle w:val="Normal"/>
        <w:rPr>
          <w:b/>
          <w:b/>
        </w:rPr>
      </w:pPr>
      <w:bookmarkStart w:id="19" w:name="orq04"/>
      <w:r>
        <w:rPr>
          <w:b/>
        </w:rPr>
        <w:t>Regulation of Trading Activities of Bitcoins</w:t>
      </w:r>
      <w:bookmarkEnd w:id="19"/>
    </w:p>
    <w:p>
      <w:pPr>
        <w:pStyle w:val="F21"/>
        <w:rPr>
          <w:rFonts w:cs="Times New Roman"/>
        </w:rPr>
      </w:pPr>
      <w:r>
        <w:rPr>
          <w:rFonts w:cs="Times New Roman"/>
        </w:rPr>
      </w:r>
    </w:p>
    <w:p>
      <w:pPr>
        <w:pStyle w:val="F21"/>
        <w:rPr>
          <w:i/>
          <w:i/>
          <w:szCs w:val="27"/>
        </w:rPr>
      </w:pPr>
      <w:r>
        <w:rPr>
          <w:rFonts w:eastAsia="華康中黑體"/>
          <w:b/>
          <w:szCs w:val="27"/>
        </w:rPr>
        <w:t>4.</w:t>
        <w:tab/>
      </w:r>
      <w:r>
        <w:rPr>
          <w:rFonts w:eastAsia="華康中黑體"/>
          <w:b/>
          <w:szCs w:val="27"/>
        </w:rPr>
        <w:t>梁耀忠議員</w:t>
      </w:r>
      <w:r>
        <w:rPr>
          <w:szCs w:val="27"/>
        </w:rPr>
        <w:t>：</w:t>
      </w:r>
      <w:r>
        <w:rPr>
          <w:i/>
          <w:szCs w:val="27"/>
        </w:rPr>
        <w:t>主席，據報，近日本港一個比特幣</w:t>
      </w:r>
      <w:r>
        <w:rPr>
          <w:i/>
          <w:szCs w:val="27"/>
        </w:rPr>
        <w:t>(</w:t>
      </w:r>
      <w:r>
        <w:rPr>
          <w:i/>
          <w:szCs w:val="27"/>
        </w:rPr>
        <w:t>即</w:t>
      </w:r>
      <w:r>
        <w:rPr>
          <w:i/>
          <w:szCs w:val="27"/>
        </w:rPr>
        <w:t>Bitcoin)</w:t>
      </w:r>
      <w:r>
        <w:rPr>
          <w:i/>
          <w:szCs w:val="27"/>
        </w:rPr>
        <w:t>交易網站突然停止運作，其辦事處亦被發現沒有營運，估計約有三千名投資者蒙受損失，涉款總額高達</w:t>
      </w:r>
      <w:r>
        <w:rPr>
          <w:i/>
          <w:szCs w:val="27"/>
        </w:rPr>
        <w:t>30</w:t>
      </w:r>
      <w:r>
        <w:rPr>
          <w:i/>
          <w:szCs w:val="27"/>
        </w:rPr>
        <w:t>億港元。就此，政府可否告知本會：</w:t>
      </w:r>
    </w:p>
    <w:p>
      <w:pPr>
        <w:pStyle w:val="F21"/>
        <w:rPr>
          <w:i/>
          <w:i/>
          <w:szCs w:val="27"/>
        </w:rPr>
      </w:pPr>
      <w:r>
        <w:rPr>
          <w:i/>
          <w:szCs w:val="27"/>
        </w:rPr>
      </w:r>
    </w:p>
    <w:p>
      <w:pPr>
        <w:pStyle w:val="Style13"/>
        <w:rPr/>
      </w:pPr>
      <w:r>
        <w:rPr/>
        <w:t>(</w:t>
      </w:r>
      <w:r>
        <w:rPr/>
        <w:t>一</w:t>
      </w:r>
      <w:r>
        <w:rPr/>
        <w:t>)</w:t>
        <w:tab/>
      </w:r>
      <w:r>
        <w:rPr/>
        <w:t>警方至今收到多少名有關的投資者報案及涉款總額為何；警方如何處理該等案件及進展為何；是否已完成處理部分案件；如是，結果為何；及</w:t>
      </w:r>
    </w:p>
    <w:p>
      <w:pPr>
        <w:pStyle w:val="Style13"/>
        <w:rPr/>
      </w:pPr>
      <w:r>
        <w:rPr/>
      </w:r>
    </w:p>
    <w:p>
      <w:pPr>
        <w:pStyle w:val="Style13"/>
        <w:rPr/>
      </w:pPr>
      <w:r>
        <w:rPr/>
        <w:t>(</w:t>
      </w:r>
      <w:r>
        <w:rPr/>
        <w:t>二</w:t>
      </w:r>
      <w:r>
        <w:rPr/>
        <w:t>)</w:t>
        <w:tab/>
      </w:r>
      <w:r>
        <w:rPr/>
        <w:t>鑒於政府曾多次提醒市民買賣比特幣的風險，並重申它只是一種虛擬世界創造的“商品”，當局是否掌握比特幣在香港買賣及用於購物的情況；當局會否主動調查比特幣交易平台的運作情況，以及會否考慮立法規管或禁止有關活動；如會，詳情為何；如否，原因為何？</w:t>
      </w:r>
    </w:p>
    <w:p>
      <w:pPr>
        <w:pStyle w:val="Style13"/>
        <w:ind w:left="0" w:hanging="0"/>
        <w:rPr/>
      </w:pPr>
      <w:r>
        <w:rPr/>
      </w:r>
    </w:p>
    <w:p>
      <w:pPr>
        <w:pStyle w:val="Style13"/>
        <w:ind w:left="0" w:hanging="0"/>
        <w:rPr/>
      </w:pPr>
      <w:r>
        <w:rPr/>
      </w:r>
    </w:p>
    <w:p>
      <w:pPr>
        <w:pStyle w:val="Style13"/>
        <w:ind w:left="0" w:hanging="0"/>
        <w:rPr>
          <w:i w:val="false"/>
          <w:i w:val="false"/>
        </w:rPr>
      </w:pPr>
      <w:r>
        <w:rPr>
          <w:rFonts w:eastAsia="華康中黑體"/>
          <w:b/>
          <w:i w:val="false"/>
          <w:szCs w:val="27"/>
        </w:rPr>
        <w:t>財經事務及庫務局局長</w:t>
      </w:r>
      <w:r>
        <w:rPr>
          <w:i w:val="false"/>
          <w:szCs w:val="27"/>
        </w:rPr>
        <w:t>：主席，</w:t>
      </w:r>
      <w:r>
        <w:rPr>
          <w:i w:val="false"/>
        </w:rPr>
        <w:t>政府在過去已多次在不同媒體提醒公眾，我亦曾在去年</w:t>
      </w:r>
      <w:r>
        <w:rPr>
          <w:i w:val="false"/>
        </w:rPr>
        <w:t>1</w:t>
      </w:r>
      <w:r>
        <w:rPr>
          <w:i w:val="false"/>
        </w:rPr>
        <w:t>月</w:t>
      </w:r>
      <w:r>
        <w:rPr>
          <w:i w:val="false"/>
        </w:rPr>
        <w:t>8</w:t>
      </w:r>
      <w:r>
        <w:rPr>
          <w:i w:val="false"/>
        </w:rPr>
        <w:t>日在立法會會議上回應陳鑑林議員的提問時表示，比特幣並非法定貨幣，其價值沒有實物、發行人或實體經濟的支持，價格波幅非常大。我們又不厭其煩重複發出警告，指兌換、交易或持有此類虛擬商品作投機用途潛在極高風險。投資者教育中心及消費者委員會亦已多次提醒市民有關參與比特幣交易可能會蒙受金錢損失，而假如虛擬商品停止買賣或其營運商停止營運，持有者可能無法獲得退款。我們一直不鼓勵市民漠視有關風險而參與有關的投機炒賣或交易。就問題的兩部分，政府的回應如下：</w:t>
      </w:r>
    </w:p>
    <w:p>
      <w:pPr>
        <w:pStyle w:val="Style13"/>
        <w:ind w:left="0" w:hanging="0"/>
        <w:rPr>
          <w:i w:val="false"/>
          <w:i w:val="false"/>
        </w:rPr>
      </w:pPr>
      <w:r>
        <w:rPr>
          <w:i w:val="false"/>
        </w:rPr>
      </w:r>
    </w:p>
    <w:p>
      <w:pPr>
        <w:pStyle w:val="Style13"/>
        <w:rPr>
          <w:i w:val="false"/>
          <w:i w:val="false"/>
        </w:rPr>
      </w:pPr>
      <w:r>
        <w:rPr>
          <w:i w:val="false"/>
        </w:rPr>
        <w:t>(</w:t>
      </w:r>
      <w:r>
        <w:rPr>
          <w:i w:val="false"/>
        </w:rPr>
        <w:t>一</w:t>
      </w:r>
      <w:r>
        <w:rPr>
          <w:i w:val="false"/>
        </w:rPr>
        <w:t>)</w:t>
        <w:tab/>
      </w:r>
      <w:r>
        <w:rPr>
          <w:i w:val="false"/>
        </w:rPr>
        <w:t>根據警方的資料，警方於</w:t>
      </w:r>
      <w:r>
        <w:rPr>
          <w:i w:val="false"/>
        </w:rPr>
        <w:t>2015</w:t>
      </w:r>
      <w:r>
        <w:rPr>
          <w:i w:val="false"/>
        </w:rPr>
        <w:t>年</w:t>
      </w:r>
      <w:r>
        <w:rPr>
          <w:i w:val="false"/>
        </w:rPr>
        <w:t>2</w:t>
      </w:r>
      <w:r>
        <w:rPr>
          <w:i w:val="false"/>
        </w:rPr>
        <w:t>月</w:t>
      </w:r>
      <w:r>
        <w:rPr>
          <w:i w:val="false"/>
        </w:rPr>
        <w:t>11</w:t>
      </w:r>
      <w:r>
        <w:rPr>
          <w:i w:val="false"/>
        </w:rPr>
        <w:t>日起接獲舉報，有報案人指自</w:t>
      </w:r>
      <w:r>
        <w:rPr>
          <w:i w:val="false"/>
        </w:rPr>
        <w:t>2014</w:t>
      </w:r>
      <w:r>
        <w:rPr>
          <w:i w:val="false"/>
        </w:rPr>
        <w:t>年年初開始，透過一間本地公司參與比特幣買賣。及至</w:t>
      </w:r>
      <w:r>
        <w:rPr>
          <w:i w:val="false"/>
        </w:rPr>
        <w:t>2014</w:t>
      </w:r>
      <w:r>
        <w:rPr>
          <w:i w:val="false"/>
        </w:rPr>
        <w:t>年</w:t>
      </w:r>
      <w:r>
        <w:rPr>
          <w:i w:val="false"/>
        </w:rPr>
        <w:t>12</w:t>
      </w:r>
      <w:r>
        <w:rPr>
          <w:i w:val="false"/>
        </w:rPr>
        <w:t>月有關人士發現其在該公司開設的戶口不能運作，戶口內的比特幣均無法作任何提取及買賣，懷疑受騙。至今共有</w:t>
      </w:r>
      <w:r>
        <w:rPr>
          <w:i w:val="false"/>
        </w:rPr>
        <w:t>100</w:t>
      </w:r>
      <w:r>
        <w:rPr>
          <w:i w:val="false"/>
        </w:rPr>
        <w:t>多名人士報案，涉及金額達</w:t>
      </w:r>
      <w:r>
        <w:rPr>
          <w:i w:val="false"/>
        </w:rPr>
        <w:t>1</w:t>
      </w:r>
      <w:r>
        <w:rPr>
          <w:i w:val="false"/>
        </w:rPr>
        <w:t>億</w:t>
      </w:r>
      <w:r>
        <w:rPr>
          <w:i w:val="false"/>
        </w:rPr>
        <w:t>8,000</w:t>
      </w:r>
      <w:r>
        <w:rPr>
          <w:i w:val="false"/>
        </w:rPr>
        <w:t>萬元。</w:t>
      </w:r>
    </w:p>
    <w:p>
      <w:pPr>
        <w:pStyle w:val="Style13"/>
        <w:rPr>
          <w:i w:val="false"/>
          <w:i w:val="false"/>
        </w:rPr>
      </w:pPr>
      <w:r>
        <w:rPr>
          <w:i w:val="false"/>
        </w:rPr>
      </w:r>
    </w:p>
    <w:p>
      <w:pPr>
        <w:pStyle w:val="Style13"/>
        <w:rPr>
          <w:i w:val="false"/>
          <w:i w:val="false"/>
        </w:rPr>
      </w:pPr>
      <w:r>
        <w:rPr>
          <w:i w:val="false"/>
        </w:rPr>
        <w:tab/>
      </w:r>
      <w:r>
        <w:rPr>
          <w:i w:val="false"/>
        </w:rPr>
        <w:t>警方商業罪案調查科已接手調查案件，搜查多處地點，檢獲電腦、平板電腦、手提電話及帳戶紀錄等，並以“串謀訛騙”罪拘捕</w:t>
      </w:r>
      <w:r>
        <w:rPr>
          <w:i w:val="false"/>
        </w:rPr>
        <w:t>2</w:t>
      </w:r>
      <w:r>
        <w:rPr>
          <w:i w:val="false"/>
        </w:rPr>
        <w:t>男</w:t>
      </w:r>
      <w:r>
        <w:rPr>
          <w:i w:val="false"/>
        </w:rPr>
        <w:t>4</w:t>
      </w:r>
      <w:r>
        <w:rPr>
          <w:i w:val="false"/>
        </w:rPr>
        <w:t>女，年齡介乎</w:t>
      </w:r>
      <w:r>
        <w:rPr>
          <w:i w:val="false"/>
        </w:rPr>
        <w:t>34</w:t>
      </w:r>
      <w:r>
        <w:rPr>
          <w:i w:val="false"/>
        </w:rPr>
        <w:t>至</w:t>
      </w:r>
      <w:r>
        <w:rPr>
          <w:i w:val="false"/>
        </w:rPr>
        <w:t>55</w:t>
      </w:r>
      <w:r>
        <w:rPr>
          <w:i w:val="false"/>
        </w:rPr>
        <w:t>歲。六名被捕男女已獲准保釋候查。警方會繼續調查有關個案，我們呼籲懷疑受騙者盡快向警方報案。</w:t>
      </w:r>
    </w:p>
    <w:p>
      <w:pPr>
        <w:pStyle w:val="Style13"/>
        <w:rPr>
          <w:i w:val="false"/>
          <w:i w:val="false"/>
        </w:rPr>
      </w:pPr>
      <w:r>
        <w:rPr>
          <w:i w:val="false"/>
        </w:rPr>
      </w:r>
    </w:p>
    <w:p>
      <w:pPr>
        <w:pStyle w:val="Style13"/>
        <w:rPr>
          <w:i w:val="false"/>
          <w:i w:val="false"/>
        </w:rPr>
      </w:pPr>
      <w:r>
        <w:rPr>
          <w:i w:val="false"/>
        </w:rPr>
        <w:t>(</w:t>
      </w:r>
      <w:r>
        <w:rPr>
          <w:i w:val="false"/>
        </w:rPr>
        <w:t>二</w:t>
      </w:r>
      <w:r>
        <w:rPr>
          <w:i w:val="false"/>
        </w:rPr>
        <w:t>)</w:t>
        <w:tab/>
      </w:r>
      <w:r>
        <w:rPr>
          <w:i w:val="false"/>
        </w:rPr>
        <w:t>鑒於比特幣在各地的流通情況有別，我們注意到不同地區按其市場的發展狀況，就比特幣此類虛擬商品交易的監管採取不同的處理手法。根據我們理解，和其他地方相比，比特幣在香港並未發展成為被廣泛使用的支付媒介，其流通量以作為日常生活以致工商業交易的兌換媒介可謂微不足道，而現時只有極少數的商戶聲稱會接受比特幣作為支付媒介。故此我們認為比特幣或其他虛擬商品的本質和現時在香港的流通皆未能為它們提供足夠成為電子貨幣的條件，充其量只能客觀地被視為個別人士用作投機炒作的商品或虛擬商品，其普及程度對香港金融體系造成重大影響的可能性亦不大，故此政府認為現時未有需要引入新法例管制或禁止市民參與這類虛擬商品的交易活動。</w:t>
      </w:r>
    </w:p>
    <w:p>
      <w:pPr>
        <w:pStyle w:val="Style13"/>
        <w:rPr>
          <w:i w:val="false"/>
          <w:i w:val="false"/>
        </w:rPr>
      </w:pPr>
      <w:r>
        <w:rPr>
          <w:i w:val="false"/>
        </w:rPr>
      </w:r>
    </w:p>
    <w:p>
      <w:pPr>
        <w:pStyle w:val="Style13"/>
        <w:rPr>
          <w:i w:val="false"/>
          <w:i w:val="false"/>
        </w:rPr>
      </w:pPr>
      <w:r>
        <w:rPr>
          <w:i w:val="false"/>
        </w:rPr>
        <w:tab/>
      </w:r>
      <w:r>
        <w:rPr>
          <w:i w:val="false"/>
        </w:rPr>
        <w:t>正如大部分地區的情況，香港目前沒有就虛擬商品的安全或效能，以及此類商品交易的平台或營運商作出針對性的規管。然而，不論虛擬商品是否牽涉在內，現行法律可制裁相關的洗黑錢、恐怖分子資金籌集、欺詐、層壓式計劃及科技罪案等犯罪行為。為達至防止及偵破有關罪行的目的，警方在有需要時會進行巡邏，包括在互聯網的公眾平台上蒐集資料。若警方發現有資料牽涉刑事案件，定會採取執法行動。</w:t>
      </w:r>
    </w:p>
    <w:p>
      <w:pPr>
        <w:pStyle w:val="Style13"/>
        <w:rPr>
          <w:i w:val="false"/>
          <w:i w:val="false"/>
        </w:rPr>
      </w:pPr>
      <w:r>
        <w:rPr>
          <w:i w:val="false"/>
        </w:rPr>
      </w:r>
    </w:p>
    <w:p>
      <w:pPr>
        <w:pStyle w:val="Style13"/>
        <w:rPr>
          <w:i w:val="false"/>
          <w:i w:val="false"/>
        </w:rPr>
      </w:pPr>
      <w:r>
        <w:rPr>
          <w:i w:val="false"/>
        </w:rPr>
        <w:tab/>
      </w:r>
      <w:r>
        <w:rPr>
          <w:i w:val="false"/>
        </w:rPr>
        <w:t>同時，金融監管機構</w:t>
      </w:r>
      <w:r>
        <w:rPr>
          <w:i w:val="false"/>
        </w:rPr>
        <w:t>(</w:t>
      </w:r>
      <w:r>
        <w:rPr>
          <w:i w:val="false"/>
        </w:rPr>
        <w:t>包括香港金融管理局</w:t>
      </w:r>
      <w:r>
        <w:rPr>
          <w:i w:val="false"/>
        </w:rPr>
        <w:t>(“</w:t>
      </w:r>
      <w:r>
        <w:rPr>
          <w:i w:val="false"/>
        </w:rPr>
        <w:t>金管局”</w:t>
      </w:r>
      <w:r>
        <w:rPr>
          <w:i w:val="false"/>
        </w:rPr>
        <w:t>)</w:t>
      </w:r>
      <w:r>
        <w:rPr>
          <w:i w:val="false"/>
        </w:rPr>
        <w:t>、證券及期貨事務監察委員會、保險業監理處和香港海關</w:t>
      </w:r>
      <w:r>
        <w:rPr>
          <w:i w:val="false"/>
        </w:rPr>
        <w:t>)</w:t>
      </w:r>
      <w:r>
        <w:rPr>
          <w:i w:val="false"/>
        </w:rPr>
        <w:t>已要求金融機構必須按《打擊洗錢及恐怖分子資金籌集</w:t>
      </w:r>
      <w:r>
        <w:rPr>
          <w:i w:val="false"/>
        </w:rPr>
        <w:t>(</w:t>
      </w:r>
      <w:r>
        <w:rPr>
          <w:i w:val="false"/>
        </w:rPr>
        <w:t>金融機構</w:t>
      </w:r>
      <w:r>
        <w:rPr>
          <w:i w:val="false"/>
        </w:rPr>
        <w:t>)</w:t>
      </w:r>
      <w:r>
        <w:rPr>
          <w:i w:val="false"/>
        </w:rPr>
        <w:t>條例》，嚴格評估與虛擬商品相關的洗黑錢及恐怖分子資金籌集風險，並在考慮與虛擬商品計劃或業務有關的營運者建立或維持業務關係時，持續嚴格遵行客戶盡職審查及備存紀錄的規定。</w:t>
      </w:r>
    </w:p>
    <w:p>
      <w:pPr>
        <w:pStyle w:val="Style13"/>
        <w:rPr>
          <w:i w:val="false"/>
          <w:i w:val="false"/>
        </w:rPr>
      </w:pPr>
      <w:r>
        <w:rPr>
          <w:i w:val="false"/>
        </w:rPr>
      </w:r>
    </w:p>
    <w:p>
      <w:pPr>
        <w:pStyle w:val="Style13"/>
        <w:rPr>
          <w:i w:val="false"/>
          <w:i w:val="false"/>
        </w:rPr>
      </w:pPr>
      <w:r>
        <w:rPr>
          <w:i w:val="false"/>
        </w:rPr>
        <w:tab/>
      </w:r>
      <w:r>
        <w:rPr>
          <w:i w:val="false"/>
        </w:rPr>
        <w:t>根據《有組織及嚴重罪行條例》、《販毒</w:t>
      </w:r>
      <w:r>
        <w:rPr>
          <w:i w:val="false"/>
        </w:rPr>
        <w:t>(</w:t>
      </w:r>
      <w:r>
        <w:rPr>
          <w:i w:val="false"/>
        </w:rPr>
        <w:t>追討得益</w:t>
      </w:r>
      <w:r>
        <w:rPr>
          <w:i w:val="false"/>
        </w:rPr>
        <w:t>)</w:t>
      </w:r>
      <w:r>
        <w:rPr>
          <w:i w:val="false"/>
        </w:rPr>
        <w:t>條例》或《聯合國</w:t>
      </w:r>
      <w:r>
        <w:rPr>
          <w:i w:val="false"/>
        </w:rPr>
        <w:t>(</w:t>
      </w:r>
      <w:r>
        <w:rPr>
          <w:i w:val="false"/>
        </w:rPr>
        <w:t>反恐怖主義措施</w:t>
      </w:r>
      <w:r>
        <w:rPr>
          <w:i w:val="false"/>
        </w:rPr>
        <w:t>)</w:t>
      </w:r>
      <w:r>
        <w:rPr>
          <w:i w:val="false"/>
        </w:rPr>
        <w:t>條例》，任何人</w:t>
      </w:r>
      <w:r>
        <w:rPr>
          <w:i w:val="false"/>
        </w:rPr>
        <w:t>(</w:t>
      </w:r>
      <w:r>
        <w:rPr>
          <w:i w:val="false"/>
        </w:rPr>
        <w:t>包括各金融機構、虛擬商品交易商或營運商</w:t>
      </w:r>
      <w:r>
        <w:rPr>
          <w:i w:val="false"/>
        </w:rPr>
        <w:t>)</w:t>
      </w:r>
      <w:r>
        <w:rPr>
          <w:i w:val="false"/>
        </w:rPr>
        <w:t>，如在任何時候，發現任何可能涉及洗黑錢或恐怖分子資金籌集的可疑活動，都必須向由警方及香港海關成立的聯合財富情報組披露有關資料。任何人如未能向聯合財富情報組披露有關可疑交易，可構成觸犯相關法例。</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此外，按《打擊洗錢及恐怖分子資金籌集</w:t>
      </w:r>
      <w:r>
        <w:rPr>
          <w:i w:val="false"/>
        </w:rPr>
        <w:t>(</w:t>
      </w:r>
      <w:r>
        <w:rPr>
          <w:i w:val="false"/>
        </w:rPr>
        <w:t>金融機構</w:t>
      </w:r>
      <w:r>
        <w:rPr>
          <w:i w:val="false"/>
        </w:rPr>
        <w:t>)</w:t>
      </w:r>
      <w:r>
        <w:rPr>
          <w:i w:val="false"/>
        </w:rPr>
        <w:t>條例》的要求，任何營運者在業務中經營涉及貨幣兌換或匯款服務，必須向海關關長申請經營金錢服務的牌照。就該條例，海關亦不時主動進行巡邏，包括網上巡邏，以打擊無牌經營金錢服務，其中涵蓋比特幣平台有否無牌經營此等服務。</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政府和金融監管機構會密切監察比特幣或其他虛擬商品的發展，並透過積極參與相關國際組織</w:t>
      </w:r>
      <w:r>
        <w:rPr>
          <w:i w:val="false"/>
        </w:rPr>
        <w:t>(</w:t>
      </w:r>
      <w:r>
        <w:rPr>
          <w:i w:val="false"/>
        </w:rPr>
        <w:t>例如財務行動特別組織</w:t>
      </w:r>
      <w:r>
        <w:rPr>
          <w:i w:val="false"/>
        </w:rPr>
        <w:t>)</w:t>
      </w:r>
      <w:r>
        <w:rPr>
          <w:i w:val="false"/>
        </w:rPr>
        <w:t>的會議，與各地的監管機構保持溝通。我再次向市民呼籲，由於比特幣屬高度投機性商品，市民要加倍小心，當考慮參與比特幣此類虛擬商品交易或買賣時，必須提高風險意識，避免帶來損失。</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i/>
          <w:i/>
          <w:szCs w:val="27"/>
        </w:rPr>
      </w:pPr>
      <w:r>
        <w:rPr>
          <w:rFonts w:ascii="華康中黑體" w:hAnsi="華康中黑體" w:cs="華康中黑體" w:eastAsia="華康中黑體"/>
          <w:b/>
          <w:szCs w:val="27"/>
        </w:rPr>
        <w:t>梁耀忠議員</w:t>
      </w:r>
      <w:r>
        <w:rPr>
          <w:szCs w:val="27"/>
        </w:rPr>
        <w:t>：</w:t>
      </w:r>
      <w:r>
        <w:rPr>
          <w:i/>
          <w:szCs w:val="27"/>
        </w:rPr>
        <w:t>主席，局長在主體答覆中表示，“比特幣在香港並未發展成為被廣泛使用的支付媒介，其流通量以作為日常生活以致工商業交易的兌換媒介可謂微不足道”，因此“現時未有需要引入新法例管制或禁止市民參與這類虛擬商品的交易活動”，但事實上據我所知，除了數個網上平台有進行比特幣買賣外，最少有四、五間香港的實體公司有進行比特幣買賣。再者，報案人數迄今已有</w:t>
      </w:r>
      <w:r>
        <w:rPr>
          <w:i/>
          <w:szCs w:val="27"/>
        </w:rPr>
        <w:t>100</w:t>
      </w:r>
      <w:r>
        <w:rPr>
          <w:i/>
          <w:szCs w:val="27"/>
        </w:rPr>
        <w:t>多人，涉及金額高達</w:t>
      </w:r>
      <w:r>
        <w:rPr>
          <w:i/>
          <w:szCs w:val="27"/>
        </w:rPr>
        <w:t>1</w:t>
      </w:r>
      <w:r>
        <w:rPr>
          <w:i/>
          <w:szCs w:val="27"/>
        </w:rPr>
        <w:t>億</w:t>
      </w:r>
      <w:r>
        <w:rPr>
          <w:i/>
          <w:szCs w:val="27"/>
        </w:rPr>
        <w:t>8,000</w:t>
      </w:r>
      <w:r>
        <w:rPr>
          <w:i/>
          <w:szCs w:val="27"/>
        </w:rPr>
        <w:t>萬元，而我們估計真實數目應不止於此。</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這些數字反映出此問題規模龐大，為何政府還不加以處理？很多國家，包括英國、美國和泰國，甚至中國，都已作出規管或明令禁止，為何香港仍不作處理？我想問局長，究竟問題要惡化到甚麼程度，政府才會進行監管及立法處理？</w:t>
      </w:r>
    </w:p>
    <w:p>
      <w:pPr>
        <w:pStyle w:val="F21"/>
        <w:spacing w:lineRule="atLeast" w:line="370"/>
        <w:rPr>
          <w:szCs w:val="27"/>
        </w:rPr>
      </w:pPr>
      <w:r>
        <w:rPr>
          <w:szCs w:val="27"/>
        </w:rPr>
      </w:r>
    </w:p>
    <w:p>
      <w:pPr>
        <w:pStyle w:val="F21"/>
        <w:spacing w:lineRule="atLeast" w:line="37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spacing w:lineRule="atLeast" w:line="370"/>
        <w:rPr>
          <w:rFonts w:cs="新細明體"/>
          <w:szCs w:val="27"/>
        </w:rPr>
      </w:pPr>
      <w:r>
        <w:rPr>
          <w:rFonts w:ascii="華康中黑體" w:hAnsi="華康中黑體" w:cs="華康中黑體" w:eastAsia="華康中黑體"/>
          <w:b/>
          <w:szCs w:val="27"/>
        </w:rPr>
        <w:t>財經事務及庫務局局長</w:t>
      </w:r>
      <w:r>
        <w:rPr>
          <w:szCs w:val="27"/>
        </w:rPr>
        <w:t>：首先，我想清楚說明，若要對</w:t>
      </w:r>
      <w:r>
        <w:rPr>
          <w:rFonts w:cs="新細明體"/>
          <w:szCs w:val="27"/>
        </w:rPr>
        <w:t>比特幣進行監管，便要認清其本質，比特幣是一種虛擬商品，我們不認同它是一種貨幣。正如我剛才在主體答覆中提到，從金融系統的角度而言，我們要讓金融機構知悉從事比特幣交易活動的人會面對相當大風險，而在進行與此相連的業務時，亦要充分考慮此風險。因此，比特幣在香港金融體系中可說是</w:t>
      </w:r>
      <w:r>
        <w:rPr>
          <w:szCs w:val="27"/>
        </w:rPr>
        <w:t>“</w:t>
      </w:r>
      <w:r>
        <w:rPr>
          <w:rFonts w:cs="新細明體"/>
          <w:szCs w:val="27"/>
        </w:rPr>
        <w:t>不入流</w:t>
      </w:r>
      <w:r>
        <w:rPr>
          <w:szCs w:val="27"/>
        </w:rPr>
        <w:t>”</w:t>
      </w:r>
      <w:r>
        <w:rPr>
          <w:rFonts w:cs="新細明體"/>
          <w:szCs w:val="27"/>
        </w:rPr>
        <w:t>的。</w:t>
      </w:r>
      <w:r>
        <w:br w:type="page"/>
      </w:r>
    </w:p>
    <w:p>
      <w:pPr>
        <w:pStyle w:val="F21"/>
        <w:spacing w:lineRule="atLeast" w:line="370"/>
        <w:rPr>
          <w:rFonts w:cs="新細明體"/>
          <w:szCs w:val="27"/>
        </w:rPr>
      </w:pPr>
      <w:r>
        <w:rPr>
          <w:rFonts w:cs="新細明體"/>
          <w:szCs w:val="27"/>
        </w:rPr>
        <w:tab/>
      </w:r>
      <w:r>
        <w:rPr>
          <w:rFonts w:cs="新細明體"/>
          <w:szCs w:val="27"/>
        </w:rPr>
        <w:t>若要進行規管，比特幣必須先要在香港大量流通，並具有類似貨幣的功能，政府才會考慮以相關法例進行規管。然而，現時無論在法例上，以至按其精神或行事方式，政府都不可能禁止任何人進行電子虛擬商品的交易，無論交易媒介是比特幣，或是虛擬世界的其他網上產品。</w:t>
      </w:r>
    </w:p>
    <w:p>
      <w:pPr>
        <w:pStyle w:val="F21"/>
        <w:spacing w:lineRule="atLeast" w:line="370"/>
        <w:rPr>
          <w:rFonts w:cs="新細明體"/>
          <w:szCs w:val="27"/>
        </w:rPr>
      </w:pPr>
      <w:r>
        <w:rPr>
          <w:rFonts w:cs="新細明體"/>
          <w:szCs w:val="27"/>
        </w:rPr>
      </w:r>
    </w:p>
    <w:p>
      <w:pPr>
        <w:pStyle w:val="F21"/>
        <w:spacing w:lineRule="atLeast" w:line="370"/>
        <w:rPr>
          <w:rFonts w:cs="新細明體"/>
          <w:szCs w:val="27"/>
        </w:rPr>
      </w:pPr>
      <w:r>
        <w:rPr>
          <w:rFonts w:cs="新細明體"/>
          <w:szCs w:val="27"/>
        </w:rPr>
        <w:tab/>
      </w:r>
      <w:r>
        <w:rPr>
          <w:rFonts w:cs="新細明體"/>
          <w:szCs w:val="27"/>
        </w:rPr>
        <w:t>就金融體制而言，當局已讓金融機構和所有匯款代理人和貨幣兌換商充分知悉相關風險，而此舉亦確實減低了比特幣在香港金融體系構成的風險。現時問題在於，今次的個案其實牽涉層壓式騙案，它並非一種新的行事模式，而是有人通過敲詐、訛騙，以及利用人性貪婪的心理弱點，進行層壓式銷售。歸根究底，這並非比特幣的問題，而是一種欺騙行為。</w:t>
      </w:r>
    </w:p>
    <w:p>
      <w:pPr>
        <w:pStyle w:val="F21"/>
        <w:spacing w:lineRule="atLeast" w:line="370"/>
        <w:rPr>
          <w:rFonts w:cs="新細明體"/>
          <w:szCs w:val="27"/>
        </w:rPr>
      </w:pPr>
      <w:r>
        <w:rPr>
          <w:rFonts w:cs="新細明體"/>
          <w:szCs w:val="27"/>
        </w:rPr>
      </w:r>
    </w:p>
    <w:p>
      <w:pPr>
        <w:pStyle w:val="F21"/>
        <w:spacing w:lineRule="atLeast" w:line="370"/>
        <w:rPr>
          <w:rFonts w:cs="新細明體"/>
          <w:szCs w:val="27"/>
        </w:rPr>
      </w:pPr>
      <w:r>
        <w:rPr>
          <w:rFonts w:cs="新細明體"/>
          <w:szCs w:val="27"/>
        </w:rPr>
      </w:r>
    </w:p>
    <w:p>
      <w:pPr>
        <w:pStyle w:val="F21"/>
        <w:spacing w:lineRule="atLeast" w:line="370"/>
        <w:rPr>
          <w:rFonts w:cs="Times New Roman"/>
          <w:i/>
          <w:i/>
          <w:szCs w:val="27"/>
        </w:rPr>
      </w:pPr>
      <w:r>
        <w:rPr>
          <w:rFonts w:ascii="華康中黑體" w:hAnsi="華康中黑體" w:cs="華康中黑體" w:eastAsia="華康中黑體"/>
          <w:b/>
          <w:szCs w:val="27"/>
        </w:rPr>
        <w:t>梁耀忠議員</w:t>
      </w:r>
      <w:r>
        <w:rPr>
          <w:rFonts w:cs="新細明體"/>
          <w:szCs w:val="27"/>
        </w:rPr>
        <w:t>：</w:t>
      </w:r>
      <w:r>
        <w:rPr>
          <w:rFonts w:cs="新細明體"/>
          <w:i/>
          <w:szCs w:val="27"/>
        </w:rPr>
        <w:t>主席，局長完全沒有回答我的補充質詢，他只是說出</w:t>
      </w:r>
      <w:r>
        <w:rPr>
          <w:i/>
          <w:szCs w:val="27"/>
        </w:rPr>
        <w:t>一些似是而非的道理</w:t>
      </w:r>
      <w:r>
        <w:rPr>
          <w:rFonts w:cs="新細明體"/>
          <w:i/>
          <w:szCs w:val="27"/>
        </w:rPr>
        <w:t>......</w:t>
      </w:r>
    </w:p>
    <w:p>
      <w:pPr>
        <w:pStyle w:val="F21"/>
        <w:spacing w:lineRule="atLeast" w:line="370"/>
        <w:rPr>
          <w:szCs w:val="27"/>
        </w:rPr>
      </w:pPr>
      <w:r>
        <w:rPr>
          <w:szCs w:val="27"/>
        </w:rPr>
      </w:r>
    </w:p>
    <w:p>
      <w:pPr>
        <w:pStyle w:val="F21"/>
        <w:spacing w:lineRule="atLeast" w:line="370"/>
        <w:rPr>
          <w:rFonts w:eastAsia="華康中黑體"/>
          <w:b/>
          <w:b/>
          <w:szCs w:val="27"/>
        </w:rPr>
      </w:pPr>
      <w:r>
        <w:rPr>
          <w:rFonts w:eastAsia="華康中黑體"/>
          <w:b/>
          <w:szCs w:val="27"/>
        </w:rPr>
      </w:r>
    </w:p>
    <w:p>
      <w:pPr>
        <w:pStyle w:val="F21"/>
        <w:spacing w:lineRule="atLeast" w:line="370"/>
        <w:rPr>
          <w:szCs w:val="27"/>
        </w:rPr>
      </w:pPr>
      <w:r>
        <w:rPr>
          <w:rFonts w:eastAsia="華康中黑體"/>
          <w:b/>
          <w:szCs w:val="27"/>
        </w:rPr>
        <w:t>主席</w:t>
      </w:r>
      <w:r>
        <w:rPr>
          <w:szCs w:val="27"/>
        </w:rPr>
        <w:t>：請重複你的補充質詢。</w:t>
      </w:r>
    </w:p>
    <w:p>
      <w:pPr>
        <w:pStyle w:val="F21"/>
        <w:spacing w:lineRule="atLeast" w:line="370"/>
        <w:rPr>
          <w:szCs w:val="27"/>
        </w:rPr>
      </w:pPr>
      <w:r>
        <w:rPr>
          <w:szCs w:val="27"/>
        </w:rPr>
      </w:r>
    </w:p>
    <w:p>
      <w:pPr>
        <w:pStyle w:val="F21"/>
        <w:spacing w:lineRule="atLeast" w:line="37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spacing w:lineRule="atLeast" w:line="370"/>
        <w:rPr>
          <w:rFonts w:cs="Times New Roman"/>
          <w:szCs w:val="27"/>
        </w:rPr>
      </w:pPr>
      <w:r>
        <w:rPr>
          <w:rFonts w:ascii="華康中黑體" w:hAnsi="華康中黑體" w:cs="華康中黑體" w:eastAsia="華康中黑體"/>
          <w:b/>
          <w:szCs w:val="27"/>
        </w:rPr>
        <w:t>梁耀忠議員</w:t>
      </w:r>
      <w:r>
        <w:rPr>
          <w:szCs w:val="27"/>
        </w:rPr>
        <w:t>：</w:t>
      </w:r>
      <w:r>
        <w:rPr>
          <w:i/>
          <w:szCs w:val="27"/>
        </w:rPr>
        <w:t>香港現時確實有進行比特幣買</w:t>
      </w:r>
      <w:r>
        <w:rPr>
          <w:rFonts w:cs="新細明體"/>
          <w:i/>
          <w:szCs w:val="27"/>
        </w:rPr>
        <w:t>賣及把</w:t>
      </w:r>
      <w:r>
        <w:rPr>
          <w:i/>
          <w:szCs w:val="27"/>
        </w:rPr>
        <w:t>比特幣</w:t>
      </w:r>
      <w:r>
        <w:rPr>
          <w:rFonts w:cs="新細明體"/>
          <w:i/>
          <w:szCs w:val="27"/>
        </w:rPr>
        <w:t>用作貨品交易，但局長說情況並不嚴重，</w:t>
      </w:r>
      <w:r>
        <w:rPr>
          <w:i/>
          <w:szCs w:val="27"/>
        </w:rPr>
        <w:t>我想請問局長，</w:t>
      </w:r>
      <w:r>
        <w:rPr>
          <w:rFonts w:cs="新細明體"/>
          <w:i/>
          <w:szCs w:val="27"/>
        </w:rPr>
        <w:t>政府要待問題惡化到甚麼程度，才會進行監管</w:t>
      </w:r>
      <w:r>
        <w:rPr>
          <w:i/>
          <w:szCs w:val="27"/>
        </w:rPr>
        <w:t>和立法處理？</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財經事務及庫務局局長</w:t>
      </w:r>
      <w:r>
        <w:rPr>
          <w:szCs w:val="27"/>
        </w:rPr>
        <w:t>：或許我再補充一下，其實在很多地方，例如美國多個地方，均可進行比特幣交易。所以，在國際上沒有所謂的認可方法，可以完全杜絕比特幣的使用。事實上，在某些地方，比特幣可能會成為一種交易媒介。但是，我們的取態較為保守，我們不認為比特幣是一種貨幣，因此曾多次提醒市民不要參與這類活動。正正由於我們看到相關的風險，同時亦針對金融機構採取監管行動，令比特幣難以在香港演變成貨幣。</w:t>
      </w:r>
    </w:p>
    <w:p>
      <w:pPr>
        <w:pStyle w:val="F21"/>
        <w:spacing w:lineRule="atLeast" w:line="370"/>
        <w:rPr>
          <w:szCs w:val="27"/>
        </w:rPr>
      </w:pPr>
      <w:r>
        <w:rPr>
          <w:szCs w:val="27"/>
        </w:rPr>
      </w:r>
    </w:p>
    <w:p>
      <w:pPr>
        <w:pStyle w:val="F21"/>
        <w:spacing w:lineRule="atLeast" w:line="370"/>
        <w:rPr>
          <w:szCs w:val="27"/>
        </w:rPr>
      </w:pPr>
      <w:r>
        <w:rPr>
          <w:szCs w:val="27"/>
        </w:rPr>
        <w:tab/>
      </w:r>
      <w:r>
        <w:rPr>
          <w:szCs w:val="27"/>
        </w:rPr>
        <w:t>若要全面禁止比特幣的買賣，可能太激進，因為其他地方亦有進行比特幣交易。就目前的事件而言，我認為確實有必要杜絕這種層壓式的騙案。</w:t>
      </w:r>
    </w:p>
    <w:p>
      <w:pPr>
        <w:pStyle w:val="F21"/>
        <w:spacing w:lineRule="exact" w:line="20"/>
        <w:rPr>
          <w:szCs w:val="27"/>
        </w:rPr>
      </w:pPr>
      <w:r>
        <w:rPr>
          <w:szCs w:val="27"/>
        </w:rPr>
      </w:r>
    </w:p>
    <w:p>
      <w:pPr>
        <w:pStyle w:val="Normal"/>
        <w:widowControl/>
        <w:tabs>
          <w:tab w:val="clear" w:pos="720"/>
        </w:tabs>
        <w:spacing w:lineRule="exact" w:line="20"/>
        <w:jc w:val="left"/>
        <w:rPr>
          <w:rFonts w:cs="" w:cstheme="minorBidi"/>
          <w:spacing w:val="20"/>
          <w:sz w:val="27"/>
          <w:szCs w:val="27"/>
          <w:lang w:val="en-US"/>
        </w:rPr>
      </w:pPr>
      <w:r>
        <w:rPr>
          <w:rFonts w:cs="" w:cstheme="minorBidi"/>
          <w:spacing w:val="20"/>
          <w:sz w:val="27"/>
          <w:szCs w:val="27"/>
          <w:lang w:val="en-US"/>
        </w:rPr>
      </w:r>
      <w:r>
        <w:br w:type="page"/>
      </w:r>
    </w:p>
    <w:p>
      <w:pPr>
        <w:pStyle w:val="F21"/>
        <w:rPr>
          <w:i/>
          <w:i/>
          <w:szCs w:val="27"/>
        </w:rPr>
      </w:pPr>
      <w:r>
        <w:rPr>
          <w:rFonts w:eastAsia="華康中黑體"/>
          <w:b/>
          <w:szCs w:val="27"/>
        </w:rPr>
        <w:t>涂謹申議員</w:t>
      </w:r>
      <w:r>
        <w:rPr>
          <w:szCs w:val="27"/>
        </w:rPr>
        <w:t>：</w:t>
      </w:r>
      <w:r>
        <w:rPr>
          <w:i/>
          <w:szCs w:val="27"/>
        </w:rPr>
        <w:t>主席，我的補充質詢關乎政府究竟有沒有失職，因為它沒有禁止比特幣的交易和買賣。</w:t>
      </w:r>
    </w:p>
    <w:p>
      <w:pPr>
        <w:pStyle w:val="F21"/>
        <w:rPr>
          <w:i/>
          <w:i/>
          <w:szCs w:val="27"/>
        </w:rPr>
      </w:pPr>
      <w:r>
        <w:rPr>
          <w:i/>
          <w:szCs w:val="27"/>
        </w:rPr>
      </w:r>
    </w:p>
    <w:p>
      <w:pPr>
        <w:pStyle w:val="F21"/>
        <w:rPr>
          <w:i/>
          <w:i/>
          <w:szCs w:val="27"/>
        </w:rPr>
      </w:pPr>
      <w:r>
        <w:rPr>
          <w:i/>
          <w:szCs w:val="27"/>
        </w:rPr>
        <w:tab/>
      </w:r>
      <w:r>
        <w:rPr>
          <w:i/>
          <w:szCs w:val="27"/>
        </w:rPr>
        <w:t>主席，據我理解，局長的立場是比特幣在不同地方有市場發展，但香港尚未發展到這地步。可是，我想問局長，如果香港的政策是先行立法禁止，待比特幣在其他地方發展成熟時才取消限制，香港究竟會有甚麼損失？是否會損失一個讓香港可以發展成為這種所謂可以救世界、救地球的新貨幣中心的機會呢？如果局長在去年</w:t>
      </w:r>
      <w:r>
        <w:rPr>
          <w:i/>
          <w:szCs w:val="27"/>
        </w:rPr>
        <w:t>1</w:t>
      </w:r>
      <w:r>
        <w:rPr>
          <w:i/>
          <w:szCs w:val="27"/>
        </w:rPr>
        <w:t>月回答同事的質詢時便立例禁止使用比特幣，是否便會讓市民得到保障，最少不會出現這</w:t>
      </w:r>
      <w:r>
        <w:rPr>
          <w:i/>
          <w:szCs w:val="27"/>
        </w:rPr>
        <w:t>100</w:t>
      </w:r>
      <w:r>
        <w:rPr>
          <w:i/>
          <w:szCs w:val="27"/>
        </w:rPr>
        <w:t>多名受害人，令他們蒙受數以億元計的金錢損失？</w:t>
      </w:r>
    </w:p>
    <w:p>
      <w:pPr>
        <w:pStyle w:val="F21"/>
        <w:rPr>
          <w:i/>
          <w:i/>
          <w:szCs w:val="27"/>
        </w:rPr>
      </w:pPr>
      <w:r>
        <w:rPr>
          <w:i/>
          <w:szCs w:val="27"/>
        </w:rPr>
      </w:r>
    </w:p>
    <w:p>
      <w:pPr>
        <w:pStyle w:val="F21"/>
        <w:rPr>
          <w:i/>
          <w:i/>
          <w:szCs w:val="27"/>
        </w:rPr>
      </w:pPr>
      <w:r>
        <w:rPr>
          <w:i/>
          <w:szCs w:val="27"/>
        </w:rPr>
      </w:r>
    </w:p>
    <w:p>
      <w:pPr>
        <w:pStyle w:val="F21"/>
        <w:rPr>
          <w:szCs w:val="27"/>
        </w:rPr>
      </w:pPr>
      <w:r>
        <w:rPr>
          <w:rFonts w:eastAsia="華康中黑體"/>
          <w:b/>
          <w:szCs w:val="27"/>
        </w:rPr>
        <w:t>財經事務及庫務局局長</w:t>
      </w:r>
      <w:r>
        <w:rPr>
          <w:szCs w:val="27"/>
        </w:rPr>
        <w:t>：客觀來看，就着比特幣，政府可謂採取了高度防範性的行動。回想一年多前，比特幣在全世界興起，無論去到甚麼場合，香港不同人士都要求政府快點引入這貨幣，因為它是好東西。</w:t>
      </w:r>
    </w:p>
    <w:p>
      <w:pPr>
        <w:pStyle w:val="F21"/>
        <w:rPr>
          <w:szCs w:val="27"/>
        </w:rPr>
      </w:pPr>
      <w:r>
        <w:rPr>
          <w:szCs w:val="27"/>
        </w:rPr>
      </w:r>
    </w:p>
    <w:p>
      <w:pPr>
        <w:pStyle w:val="F21"/>
        <w:rPr>
          <w:szCs w:val="27"/>
        </w:rPr>
      </w:pPr>
      <w:r>
        <w:rPr>
          <w:szCs w:val="27"/>
        </w:rPr>
        <w:tab/>
      </w:r>
      <w:r>
        <w:rPr>
          <w:szCs w:val="27"/>
        </w:rPr>
        <w:t>然而，我們的態度是完全負面的，我們認為比特幣完全沒有價值，並存在很大投資風險。當然，我們不能把買賣比特幣定性為非法活動，因為任何人均可以進行買賣活動，例如在網上平台，甚至在現實世界買賣虛擬貨品。所以，我們的着眼點是比特幣對投資者的潛在風險。</w:t>
      </w:r>
    </w:p>
    <w:p>
      <w:pPr>
        <w:pStyle w:val="F21"/>
        <w:rPr>
          <w:szCs w:val="27"/>
        </w:rPr>
      </w:pPr>
      <w:r>
        <w:rPr>
          <w:szCs w:val="27"/>
        </w:rPr>
      </w:r>
    </w:p>
    <w:p>
      <w:pPr>
        <w:pStyle w:val="F21"/>
        <w:rPr>
          <w:szCs w:val="27"/>
        </w:rPr>
      </w:pPr>
      <w:r>
        <w:rPr>
          <w:szCs w:val="27"/>
        </w:rPr>
        <w:tab/>
      </w:r>
      <w:r>
        <w:rPr>
          <w:szCs w:val="27"/>
        </w:rPr>
        <w:t>在過去一年多，我們曾高調地提出比特幣的問題：在金管局提過、“財爺”在他的網誌和發言中亦提過，我在多次傳媒採訪和立法會會議上亦曾說過。政府甚至破天荒地在去年</w:t>
      </w:r>
      <w:r>
        <w:rPr>
          <w:szCs w:val="27"/>
        </w:rPr>
        <w:t>3</w:t>
      </w:r>
      <w:r>
        <w:rPr>
          <w:szCs w:val="27"/>
        </w:rPr>
        <w:t>月特別發出新</w:t>
      </w:r>
      <w:r>
        <w:rPr>
          <w:rFonts w:ascii="華康細明體" w:hAnsi="華康細明體"/>
          <w:szCs w:val="27"/>
        </w:rPr>
        <w:t>聞</w:t>
      </w:r>
      <w:r>
        <w:rPr>
          <w:szCs w:val="27"/>
        </w:rPr>
        <w:t>稿，全面地指出比特幣的問題，因為不少市民覺得比特幣的波動大，這投資或有可為，我們因而覺得要特別提醒市民。</w:t>
      </w:r>
    </w:p>
    <w:p>
      <w:pPr>
        <w:pStyle w:val="F21"/>
        <w:rPr>
          <w:szCs w:val="27"/>
        </w:rPr>
      </w:pPr>
      <w:r>
        <w:rPr>
          <w:szCs w:val="27"/>
        </w:rPr>
      </w:r>
    </w:p>
    <w:p>
      <w:pPr>
        <w:pStyle w:val="F21"/>
        <w:rPr>
          <w:szCs w:val="27"/>
        </w:rPr>
      </w:pPr>
      <w:r>
        <w:rPr>
          <w:szCs w:val="27"/>
        </w:rPr>
        <w:tab/>
      </w:r>
      <w:r>
        <w:rPr>
          <w:szCs w:val="27"/>
        </w:rPr>
        <w:t>但是，今次事件所涉及的</w:t>
      </w:r>
      <w:r>
        <w:rPr>
          <w:szCs w:val="27"/>
        </w:rPr>
        <w:t>MyCoin</w:t>
      </w:r>
      <w:r>
        <w:rPr>
          <w:szCs w:val="27"/>
        </w:rPr>
        <w:t>這間公司，網上有很多關於它的報道。最近我看到一些消息可能是中文報章未及報道的，例如</w:t>
      </w:r>
      <w:r>
        <w:rPr>
          <w:szCs w:val="27"/>
        </w:rPr>
        <w:t>Bloomberg</w:t>
      </w:r>
      <w:r>
        <w:rPr>
          <w:szCs w:val="27"/>
        </w:rPr>
        <w:t>最近有一則關於該公司行事手法的報道。根據報道，該間公司通過層壓式手法，由舊客人介紹其他人參加公司的活動，包括免費到澳門、泰國等地參加活動，並向參加者表示只要投資</w:t>
      </w:r>
      <w:r>
        <w:rPr>
          <w:szCs w:val="27"/>
        </w:rPr>
        <w:t>40</w:t>
      </w:r>
      <w:r>
        <w:rPr>
          <w:szCs w:val="27"/>
        </w:rPr>
        <w:t>萬元，便可在</w:t>
      </w:r>
      <w:r>
        <w:rPr>
          <w:szCs w:val="27"/>
        </w:rPr>
        <w:t>1</w:t>
      </w:r>
      <w:r>
        <w:rPr>
          <w:szCs w:val="27"/>
        </w:rPr>
        <w:t>年內獲得</w:t>
      </w:r>
      <w:r>
        <w:rPr>
          <w:szCs w:val="27"/>
        </w:rPr>
        <w:t>100</w:t>
      </w:r>
      <w:r>
        <w:rPr>
          <w:szCs w:val="27"/>
        </w:rPr>
        <w:t>萬元回報。</w:t>
      </w:r>
    </w:p>
    <w:p>
      <w:pPr>
        <w:pStyle w:val="F21"/>
        <w:rPr>
          <w:szCs w:val="27"/>
        </w:rPr>
      </w:pPr>
      <w:r>
        <w:rPr>
          <w:szCs w:val="27"/>
        </w:rPr>
      </w:r>
    </w:p>
    <w:p>
      <w:pPr>
        <w:pStyle w:val="F21"/>
        <w:spacing w:lineRule="atLeast" w:line="320"/>
        <w:rPr>
          <w:szCs w:val="27"/>
        </w:rPr>
      </w:pPr>
      <w:r>
        <w:rPr>
          <w:szCs w:val="27"/>
        </w:rPr>
        <w:tab/>
      </w:r>
      <w:r>
        <w:rPr>
          <w:szCs w:val="27"/>
        </w:rPr>
        <w:t>由此可見，這案件是一宗層壓式的詐騙案，而非比特幣式的事件；案中所涉及的投資工具可以是比特幣或是另一些貨幣，甚至是地產項目。所以，針對目前的情況，我們必須杜絕這種層壓式欺詐行為。政府在處理比特幣一事上並沒有甚麼不足之處。我甚至可以說，政府在處理比特幣一事上的做法，相信是全世界最嚴厲的，以致它根本無法在本地發展。</w:t>
      </w:r>
    </w:p>
    <w:p>
      <w:pPr>
        <w:pStyle w:val="F21"/>
        <w:spacing w:lineRule="atLeast" w:line="380"/>
        <w:rPr>
          <w:szCs w:val="27"/>
        </w:rPr>
      </w:pPr>
      <w:r>
        <w:rPr>
          <w:szCs w:val="27"/>
        </w:rPr>
      </w:r>
    </w:p>
    <w:p>
      <w:pPr>
        <w:pStyle w:val="F21"/>
        <w:spacing w:lineRule="atLeast" w:line="380"/>
        <w:rPr>
          <w:i/>
          <w:i/>
          <w:szCs w:val="27"/>
        </w:rPr>
      </w:pPr>
      <w:r>
        <w:rPr>
          <w:i/>
          <w:szCs w:val="27"/>
        </w:rPr>
      </w:r>
    </w:p>
    <w:p>
      <w:pPr>
        <w:pStyle w:val="F21"/>
        <w:spacing w:lineRule="atLeast" w:line="380"/>
        <w:rPr>
          <w:szCs w:val="27"/>
        </w:rPr>
      </w:pPr>
      <w:r>
        <w:rPr>
          <w:rFonts w:eastAsia="華康中黑體"/>
          <w:b/>
          <w:szCs w:val="27"/>
        </w:rPr>
        <w:t>主席</w:t>
      </w:r>
      <w:r>
        <w:rPr>
          <w:szCs w:val="27"/>
        </w:rPr>
        <w:t>：王國興議員。</w:t>
      </w:r>
    </w:p>
    <w:p>
      <w:pPr>
        <w:pStyle w:val="F21"/>
        <w:spacing w:lineRule="atLeast" w:line="380"/>
        <w:rPr>
          <w:szCs w:val="27"/>
        </w:rPr>
      </w:pPr>
      <w:r>
        <w:rPr>
          <w:szCs w:val="27"/>
        </w:rPr>
      </w:r>
    </w:p>
    <w:p>
      <w:pPr>
        <w:pStyle w:val="Normal"/>
        <w:widowControl/>
        <w:tabs>
          <w:tab w:val="left" w:pos="567" w:leader="none"/>
          <w:tab w:val="left" w:pos="720" w:leader="none"/>
        </w:tabs>
        <w:snapToGrid w:val="false"/>
        <w:spacing w:lineRule="atLeast" w:line="380"/>
        <w:rPr>
          <w:spacing w:val="20"/>
          <w:sz w:val="27"/>
          <w:szCs w:val="27"/>
        </w:rPr>
      </w:pPr>
      <w:r>
        <w:rPr>
          <w:spacing w:val="20"/>
          <w:sz w:val="27"/>
          <w:szCs w:val="27"/>
        </w:rPr>
        <w:t>(</w:t>
      </w:r>
      <w:r>
        <w:rPr>
          <w:spacing w:val="20"/>
          <w:sz w:val="27"/>
          <w:szCs w:val="27"/>
        </w:rPr>
        <w:t>涂謹申議員在席上示意</w:t>
      </w:r>
      <w:r>
        <w:rPr>
          <w:spacing w:val="20"/>
          <w:sz w:val="27"/>
          <w:szCs w:val="27"/>
        </w:rPr>
        <w:t>)</w:t>
      </w:r>
    </w:p>
    <w:p>
      <w:pPr>
        <w:pStyle w:val="F21"/>
        <w:spacing w:lineRule="atLeast" w:line="380"/>
        <w:rPr>
          <w:i/>
          <w:i/>
          <w:szCs w:val="27"/>
          <w:lang w:val="en-GB"/>
        </w:rPr>
      </w:pPr>
      <w:r>
        <w:rPr>
          <w:i/>
          <w:szCs w:val="27"/>
          <w:lang w:val="en-GB"/>
        </w:rPr>
      </w:r>
    </w:p>
    <w:p>
      <w:pPr>
        <w:pStyle w:val="F21"/>
        <w:spacing w:lineRule="atLeast" w:line="380"/>
        <w:rPr>
          <w:i/>
          <w:i/>
          <w:szCs w:val="27"/>
        </w:rPr>
      </w:pPr>
      <w:r>
        <w:rPr>
          <w:i/>
          <w:szCs w:val="27"/>
        </w:rPr>
      </w:r>
    </w:p>
    <w:p>
      <w:pPr>
        <w:pStyle w:val="F21"/>
        <w:spacing w:lineRule="atLeast" w:line="380"/>
        <w:rPr>
          <w:szCs w:val="27"/>
        </w:rPr>
      </w:pPr>
      <w:r>
        <w:rPr>
          <w:rFonts w:eastAsia="華康中黑體"/>
          <w:b/>
          <w:szCs w:val="27"/>
        </w:rPr>
        <w:t>主席</w:t>
      </w:r>
      <w:r>
        <w:rPr>
          <w:szCs w:val="27"/>
        </w:rPr>
        <w:t>：王國興議員，請稍等。涂議員，你有甚麼問題？</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eastAsia="華康中黑體"/>
          <w:b/>
          <w:szCs w:val="27"/>
        </w:rPr>
        <w:t>涂謹申議員</w:t>
      </w:r>
      <w:r>
        <w:rPr>
          <w:szCs w:val="27"/>
        </w:rPr>
        <w:t>：</w:t>
      </w:r>
      <w:r>
        <w:rPr>
          <w:i/>
          <w:szCs w:val="27"/>
        </w:rPr>
        <w:t>主席，我的問題是，若比特幣是違法的，市民便不會參與買賣，亦不會有層壓式推銷，因為他們知道這是違法的，這樣香港有何損失呢？</w:t>
      </w:r>
    </w:p>
    <w:p>
      <w:pPr>
        <w:pStyle w:val="F21"/>
        <w:spacing w:lineRule="atLeast" w:line="380"/>
        <w:rPr>
          <w:i/>
          <w:i/>
          <w:szCs w:val="27"/>
        </w:rPr>
      </w:pPr>
      <w:r>
        <w:rPr>
          <w:i/>
          <w:szCs w:val="27"/>
        </w:rPr>
      </w:r>
    </w:p>
    <w:p>
      <w:pPr>
        <w:pStyle w:val="F21"/>
        <w:spacing w:lineRule="atLeast" w:line="380"/>
        <w:rPr>
          <w:i/>
          <w:i/>
          <w:szCs w:val="27"/>
        </w:rPr>
      </w:pPr>
      <w:r>
        <w:rPr>
          <w:i/>
          <w:szCs w:val="27"/>
        </w:rPr>
      </w:r>
    </w:p>
    <w:p>
      <w:pPr>
        <w:pStyle w:val="F21"/>
        <w:spacing w:lineRule="atLeast" w:line="380"/>
        <w:rPr>
          <w:szCs w:val="27"/>
        </w:rPr>
      </w:pPr>
      <w:r>
        <w:rPr>
          <w:rFonts w:eastAsia="華康中黑體"/>
          <w:b/>
          <w:szCs w:val="27"/>
        </w:rPr>
        <w:t>主席</w:t>
      </w:r>
      <w:r>
        <w:rPr>
          <w:szCs w:val="27"/>
        </w:rPr>
        <w:t>：局長已就你的問題表達了當局的立場。局長，你有否補充？</w:t>
      </w:r>
    </w:p>
    <w:p>
      <w:pPr>
        <w:pStyle w:val="F21"/>
        <w:spacing w:lineRule="atLeast" w:line="380"/>
        <w:rPr>
          <w:szCs w:val="27"/>
        </w:rPr>
      </w:pPr>
      <w:r>
        <w:rPr>
          <w:szCs w:val="27"/>
        </w:rPr>
      </w:r>
    </w:p>
    <w:p>
      <w:pPr>
        <w:pStyle w:val="F21"/>
        <w:spacing w:lineRule="atLeast" w:line="380"/>
        <w:rPr>
          <w:rFonts w:eastAsia="華康中黑體"/>
          <w:b/>
          <w:b/>
          <w:szCs w:val="27"/>
        </w:rPr>
      </w:pPr>
      <w:r>
        <w:rPr>
          <w:rFonts w:eastAsia="華康中黑體"/>
          <w:b/>
          <w:szCs w:val="27"/>
        </w:rPr>
      </w:r>
    </w:p>
    <w:p>
      <w:pPr>
        <w:pStyle w:val="F21"/>
        <w:spacing w:lineRule="atLeast" w:line="380"/>
        <w:rPr>
          <w:szCs w:val="27"/>
        </w:rPr>
      </w:pPr>
      <w:r>
        <w:rPr>
          <w:rFonts w:eastAsia="華康中黑體"/>
          <w:b/>
          <w:szCs w:val="27"/>
        </w:rPr>
        <w:t>財經事務及庫務局局長</w:t>
      </w:r>
      <w:r>
        <w:rPr>
          <w:szCs w:val="27"/>
        </w:rPr>
        <w:t>：我只可以說，全世界沒有任何地方禁止比特幣；在這方面，我們已經採取最嚴厲的方法。至於層壓式推銷，其手法層出不窮，過往亦不斷發生。最重要的是教育市民要加倍小心，如此豐厚的投資回報又怎會是真的呢？</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eastAsia="華康中黑體"/>
          <w:b/>
          <w:szCs w:val="27"/>
        </w:rPr>
        <w:t>王國興議員</w:t>
      </w:r>
      <w:r>
        <w:rPr>
          <w:szCs w:val="27"/>
        </w:rPr>
        <w:t>：</w:t>
      </w:r>
      <w:r>
        <w:rPr>
          <w:i/>
          <w:szCs w:val="27"/>
        </w:rPr>
        <w:t>主席，我想問局長，當局會否全面檢討應否對這些虛擬商品或虛擬金融產品的場外交易進行規管？局長會否進行全面研究？</w:t>
      </w:r>
    </w:p>
    <w:p>
      <w:pPr>
        <w:pStyle w:val="F21"/>
        <w:spacing w:lineRule="atLeast" w:line="380"/>
        <w:rPr>
          <w:i/>
          <w:i/>
          <w:szCs w:val="27"/>
        </w:rPr>
      </w:pPr>
      <w:r>
        <w:rPr>
          <w:i/>
          <w:szCs w:val="27"/>
        </w:rPr>
      </w:r>
    </w:p>
    <w:p>
      <w:pPr>
        <w:pStyle w:val="F21"/>
        <w:spacing w:lineRule="atLeast" w:line="380"/>
        <w:rPr>
          <w:szCs w:val="27"/>
        </w:rPr>
      </w:pPr>
      <w:r>
        <w:rPr>
          <w:i/>
          <w:szCs w:val="27"/>
        </w:rPr>
        <w:tab/>
      </w:r>
      <w:r>
        <w:rPr>
          <w:i/>
          <w:szCs w:val="27"/>
        </w:rPr>
        <w:t>事實上，對於這些虛擬商品或虛擬金融產品，例如倫敦金、人民幣公斤條黃金、銀等，一直以來均有很多消費者投訴被欺騙。澳門特區政府過往嚴厲取締，使有關經營銷聲匿跡；這些活動後來轉到香港，並相當活躍。我的補充質詢是，對於這些虛擬商品或虛擬金融產品，政府會否作出全面檢討，以便進行規管和堵塞漏洞？</w:t>
      </w:r>
    </w:p>
    <w:p>
      <w:pPr>
        <w:pStyle w:val="F21"/>
        <w:spacing w:lineRule="exact" w:line="20"/>
        <w:rPr>
          <w:szCs w:val="27"/>
        </w:rPr>
      </w:pPr>
      <w:r>
        <w:rPr>
          <w:szCs w:val="27"/>
        </w:rPr>
      </w:r>
    </w:p>
    <w:p>
      <w:pPr>
        <w:pStyle w:val="Normal"/>
        <w:widowControl/>
        <w:tabs>
          <w:tab w:val="clear" w:pos="720"/>
        </w:tabs>
        <w:spacing w:lineRule="exact" w:line="20"/>
        <w:jc w:val="left"/>
        <w:rPr>
          <w:rFonts w:cs="" w:cstheme="minorBidi"/>
          <w:spacing w:val="20"/>
          <w:sz w:val="27"/>
          <w:szCs w:val="27"/>
          <w:lang w:val="en-US"/>
        </w:rPr>
      </w:pPr>
      <w:r>
        <w:rPr>
          <w:rFonts w:cs="" w:cstheme="minorBidi"/>
          <w:spacing w:val="20"/>
          <w:sz w:val="27"/>
          <w:szCs w:val="27"/>
          <w:lang w:val="en-US"/>
        </w:rPr>
      </w:r>
      <w:r>
        <w:br w:type="page"/>
      </w:r>
    </w:p>
    <w:p>
      <w:pPr>
        <w:pStyle w:val="F21"/>
        <w:spacing w:lineRule="atLeast" w:line="370"/>
        <w:rPr>
          <w:szCs w:val="27"/>
        </w:rPr>
      </w:pPr>
      <w:r>
        <w:rPr>
          <w:rFonts w:ascii="華康中黑體" w:hAnsi="華康中黑體" w:eastAsia="華康中黑體"/>
          <w:b/>
          <w:szCs w:val="27"/>
        </w:rPr>
        <w:t>財經事務及庫務局局長</w:t>
      </w:r>
      <w:r>
        <w:rPr>
          <w:szCs w:val="27"/>
        </w:rPr>
        <w:t>：對於虛擬貨幣，當局有若干考慮點：首先，虛擬貨幣會否對金融制度的穩健性帶來影響；其次，虛擬貨幣背後的科技確實存在改變全世界支付系統的可能性。</w:t>
      </w:r>
    </w:p>
    <w:p>
      <w:pPr>
        <w:pStyle w:val="F21"/>
        <w:spacing w:lineRule="atLeast" w:line="370"/>
        <w:rPr>
          <w:szCs w:val="27"/>
        </w:rPr>
      </w:pPr>
      <w:r>
        <w:rPr>
          <w:szCs w:val="27"/>
        </w:rPr>
      </w:r>
    </w:p>
    <w:p>
      <w:pPr>
        <w:pStyle w:val="F21"/>
        <w:spacing w:lineRule="atLeast" w:line="370"/>
        <w:rPr>
          <w:szCs w:val="27"/>
        </w:rPr>
      </w:pPr>
      <w:r>
        <w:rPr>
          <w:szCs w:val="27"/>
        </w:rPr>
        <w:tab/>
      </w:r>
      <w:r>
        <w:rPr>
          <w:szCs w:val="27"/>
        </w:rPr>
        <w:t>雖然我們不會抗拒科技，但亦要指出很多虛擬貨幣本身大有問題。因此，我們在現階段並不鼓勵虛擬貨幣的使用，甚至可以說，我們幾乎杜絕了虛擬貨幣在金融系統內的發展。但是，日後若虛擬貨幣成為國際上較為人所接受的支付媒介，我們一定會有法律框架來規管虛擬貨幣的運作。現在是否達到這地步呢？還沒有，因為全世界不同地方仍在觀察虛擬貨幣的使用情況。舉例而言，雖然比特幣在美國一些地方可以進行買賣，但仍未發展成為廣泛使用的電子支付系統。</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們會留意這些情況，如果有需要，我們已經知道哪些條例需要作出修改，以規管虛擬貨幣。從議員提到的事件來看，這真是一宗很經典的騙案，主要問題在於騙徒會利用人的貪念犯案。撇開這些行騙手法，如果比特幣或其他虛擬貨幣真的有交易需要時，我們會作出規管。</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ascii="華康中黑體" w:hAnsi="華康中黑體" w:eastAsia="華康中黑體"/>
          <w:b/>
          <w:szCs w:val="27"/>
        </w:rPr>
        <w:t>吳亮星議員</w:t>
      </w:r>
      <w:r>
        <w:rPr>
          <w:szCs w:val="27"/>
        </w:rPr>
        <w:t>：</w:t>
      </w:r>
      <w:r>
        <w:rPr>
          <w:i/>
          <w:szCs w:val="27"/>
        </w:rPr>
        <w:t>主席，就着這些存在風險的金融交易，我相信政府在回應時應加倍小心，政府不鼓勵的取態可能令市民以為政府是支持或不反對有關事宜，我認為局方應該再考慮一下，要撇脫一點。</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主席，主題質詢提到，有</w:t>
      </w:r>
      <w:r>
        <w:rPr>
          <w:i/>
          <w:szCs w:val="27"/>
        </w:rPr>
        <w:t>3 000</w:t>
      </w:r>
      <w:r>
        <w:rPr>
          <w:i/>
          <w:szCs w:val="27"/>
        </w:rPr>
        <w:t>名投資者蒙受損失，涉及款項</w:t>
      </w:r>
      <w:r>
        <w:rPr>
          <w:i/>
          <w:szCs w:val="27"/>
        </w:rPr>
        <w:t>30</w:t>
      </w:r>
      <w:r>
        <w:rPr>
          <w:i/>
          <w:szCs w:val="27"/>
        </w:rPr>
        <w:t>億港元，但主體答覆中表示只有</w:t>
      </w:r>
      <w:r>
        <w:rPr>
          <w:i/>
          <w:szCs w:val="27"/>
        </w:rPr>
        <w:t>100</w:t>
      </w:r>
      <w:r>
        <w:rPr>
          <w:i/>
          <w:szCs w:val="27"/>
        </w:rPr>
        <w:t>多人報案，涉及</w:t>
      </w:r>
      <w:r>
        <w:rPr>
          <w:i/>
          <w:szCs w:val="27"/>
        </w:rPr>
        <w:t>1</w:t>
      </w:r>
      <w:r>
        <w:rPr>
          <w:i/>
          <w:szCs w:val="27"/>
        </w:rPr>
        <w:t>億多元，不足</w:t>
      </w:r>
      <w:r>
        <w:rPr>
          <w:i/>
          <w:szCs w:val="27"/>
        </w:rPr>
        <w:t>2</w:t>
      </w:r>
      <w:r>
        <w:rPr>
          <w:i/>
          <w:szCs w:val="27"/>
        </w:rPr>
        <w:t>億元的款項，兩者差異之大，足有數十倍。這會否好像林大輝議員所說，議員有權任性地提出問題呢？如果主體質詢的數字誇大了情況，會否誤導市民以為事件很嚴重？對於議員提出的主體質詢的評估或預測，政府是否應作出適當回應，以免令市民對事情嚴重性有所誤解？</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eastAsia="華康中黑體"/>
          <w:b/>
          <w:szCs w:val="27"/>
        </w:rPr>
        <w:t>財經事務及庫務局局長</w:t>
      </w:r>
      <w:r>
        <w:rPr>
          <w:szCs w:val="27"/>
        </w:rPr>
        <w:t>：主席，我無意批評媒介、外界或個別人士的報道；我們提供的數字是根據警方所接獲的報案資料。</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主席</w:t>
      </w:r>
      <w:r>
        <w:rPr>
          <w:szCs w:val="27"/>
        </w:rPr>
        <w:t>：本會就這項質詢已用了超過</w:t>
      </w:r>
      <w:r>
        <w:rPr>
          <w:szCs w:val="27"/>
        </w:rPr>
        <w:t>22</w:t>
      </w:r>
      <w:r>
        <w:rPr>
          <w:szCs w:val="27"/>
        </w:rPr>
        <w:t>分</w:t>
      </w:r>
      <w:r>
        <w:rPr>
          <w:szCs w:val="27"/>
        </w:rPr>
        <w:t>30</w:t>
      </w:r>
      <w:r>
        <w:rPr>
          <w:szCs w:val="27"/>
        </w:rPr>
        <w:t>秒。第五項質詢。</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spacing w:lineRule="atLeast" w:line="380"/>
        <w:rPr>
          <w:rFonts w:eastAsia="華康中黑體" w:cs="Times New Roman"/>
          <w:b/>
          <w:b/>
        </w:rPr>
      </w:pPr>
      <w:bookmarkStart w:id="20" w:name="orq05"/>
      <w:r>
        <w:rPr>
          <w:rFonts w:cs="Times New Roman" w:eastAsia="華康中黑體"/>
          <w:b/>
        </w:rPr>
        <w:t>都市固體廢物的棄置和循環再造</w:t>
      </w:r>
    </w:p>
    <w:p>
      <w:pPr>
        <w:pStyle w:val="Normal"/>
        <w:spacing w:lineRule="atLeast" w:line="380"/>
        <w:rPr>
          <w:b/>
          <w:b/>
        </w:rPr>
      </w:pPr>
      <w:bookmarkStart w:id="21" w:name="orq05"/>
      <w:r>
        <w:rPr>
          <w:b/>
        </w:rPr>
        <w:t>Disposal and Recycling of Municipal Solid Waste</w:t>
      </w:r>
      <w:bookmarkEnd w:id="21"/>
    </w:p>
    <w:p>
      <w:pPr>
        <w:pStyle w:val="F21"/>
        <w:spacing w:lineRule="atLeast" w:line="380"/>
        <w:rPr>
          <w:rFonts w:cs="Times New Roman"/>
        </w:rPr>
      </w:pPr>
      <w:r>
        <w:rPr>
          <w:rFonts w:cs="Times New Roman"/>
        </w:rPr>
      </w:r>
    </w:p>
    <w:p>
      <w:pPr>
        <w:pStyle w:val="F21"/>
        <w:spacing w:lineRule="atLeast" w:line="380"/>
        <w:rPr>
          <w:i/>
          <w:i/>
          <w:spacing w:val="22"/>
          <w:szCs w:val="27"/>
        </w:rPr>
      </w:pPr>
      <w:r>
        <w:rPr>
          <w:rFonts w:eastAsia="華康中黑體"/>
          <w:b/>
          <w:spacing w:val="22"/>
          <w:szCs w:val="27"/>
        </w:rPr>
        <w:t>5.</w:t>
        <w:tab/>
      </w:r>
      <w:r>
        <w:rPr>
          <w:rFonts w:eastAsia="華康中黑體"/>
          <w:b/>
          <w:spacing w:val="22"/>
          <w:szCs w:val="27"/>
        </w:rPr>
        <w:t>陳克勤議員</w:t>
      </w:r>
      <w:r>
        <w:rPr>
          <w:spacing w:val="22"/>
          <w:szCs w:val="27"/>
        </w:rPr>
        <w:t>：</w:t>
      </w:r>
      <w:r>
        <w:rPr>
          <w:i/>
          <w:spacing w:val="22"/>
          <w:szCs w:val="27"/>
        </w:rPr>
        <w:t>主席，本年</w:t>
      </w:r>
      <w:r>
        <w:rPr>
          <w:i/>
          <w:spacing w:val="22"/>
          <w:szCs w:val="27"/>
        </w:rPr>
        <w:t>2</w:t>
      </w:r>
      <w:r>
        <w:rPr>
          <w:i/>
          <w:spacing w:val="22"/>
          <w:szCs w:val="27"/>
        </w:rPr>
        <w:t>月公布的《香港固體廢物監察報告</w:t>
      </w:r>
      <w:r>
        <w:rPr>
          <w:rFonts w:ascii="華康細明體" w:hAnsi="華康細明體"/>
          <w:i/>
          <w:spacing w:val="22"/>
          <w:szCs w:val="27"/>
        </w:rPr>
        <w:t>─</w:t>
      </w:r>
      <w:r>
        <w:rPr>
          <w:i/>
          <w:spacing w:val="22"/>
          <w:szCs w:val="27"/>
        </w:rPr>
        <w:t>2013</w:t>
      </w:r>
      <w:r>
        <w:rPr>
          <w:i/>
          <w:spacing w:val="22"/>
          <w:szCs w:val="27"/>
        </w:rPr>
        <w:t>年的統計數字》顯示，都市固體廢物的人均每日棄置量</w:t>
      </w:r>
      <w:r>
        <w:rPr>
          <w:i/>
          <w:spacing w:val="22"/>
          <w:szCs w:val="27"/>
        </w:rPr>
        <w:t>(“</w:t>
      </w:r>
      <w:r>
        <w:rPr>
          <w:i/>
          <w:spacing w:val="22"/>
          <w:szCs w:val="27"/>
        </w:rPr>
        <w:t>棄置量”</w:t>
      </w:r>
      <w:r>
        <w:rPr>
          <w:i/>
          <w:spacing w:val="22"/>
          <w:szCs w:val="27"/>
        </w:rPr>
        <w:t>)</w:t>
      </w:r>
      <w:r>
        <w:rPr>
          <w:i/>
          <w:spacing w:val="22"/>
          <w:szCs w:val="27"/>
        </w:rPr>
        <w:t>由</w:t>
      </w:r>
      <w:r>
        <w:rPr>
          <w:i/>
          <w:spacing w:val="22"/>
          <w:szCs w:val="27"/>
        </w:rPr>
        <w:t>2011</w:t>
      </w:r>
      <w:r>
        <w:rPr>
          <w:i/>
          <w:spacing w:val="22"/>
          <w:szCs w:val="27"/>
        </w:rPr>
        <w:t>年的</w:t>
      </w:r>
      <w:r>
        <w:rPr>
          <w:i/>
          <w:spacing w:val="22"/>
          <w:szCs w:val="27"/>
        </w:rPr>
        <w:t>1.27</w:t>
      </w:r>
      <w:r>
        <w:rPr>
          <w:i/>
          <w:spacing w:val="22"/>
          <w:szCs w:val="27"/>
        </w:rPr>
        <w:t>公斤上升至</w:t>
      </w:r>
      <w:r>
        <w:rPr>
          <w:i/>
          <w:spacing w:val="22"/>
          <w:szCs w:val="27"/>
        </w:rPr>
        <w:t>2013</w:t>
      </w:r>
      <w:r>
        <w:rPr>
          <w:i/>
          <w:spacing w:val="22"/>
          <w:szCs w:val="27"/>
        </w:rPr>
        <w:t>年的</w:t>
      </w:r>
      <w:r>
        <w:rPr>
          <w:i/>
          <w:spacing w:val="22"/>
          <w:szCs w:val="27"/>
        </w:rPr>
        <w:t>1.33</w:t>
      </w:r>
      <w:r>
        <w:rPr>
          <w:i/>
          <w:spacing w:val="22"/>
          <w:szCs w:val="27"/>
        </w:rPr>
        <w:t>公斤，而回收率則由</w:t>
      </w:r>
      <w:r>
        <w:rPr>
          <w:i/>
          <w:spacing w:val="22"/>
          <w:szCs w:val="27"/>
        </w:rPr>
        <w:t>2011</w:t>
      </w:r>
      <w:r>
        <w:rPr>
          <w:i/>
          <w:spacing w:val="22"/>
          <w:szCs w:val="27"/>
        </w:rPr>
        <w:t>年的百分之四十八下跌至</w:t>
      </w:r>
      <w:r>
        <w:rPr>
          <w:i/>
          <w:spacing w:val="22"/>
          <w:szCs w:val="27"/>
        </w:rPr>
        <w:t>2013</w:t>
      </w:r>
      <w:r>
        <w:rPr>
          <w:i/>
          <w:spacing w:val="22"/>
          <w:szCs w:val="27"/>
        </w:rPr>
        <w:t>年的百分之三十七。</w:t>
      </w:r>
      <w:r>
        <w:rPr>
          <w:i/>
          <w:spacing w:val="22"/>
          <w:szCs w:val="27"/>
        </w:rPr>
        <w:t>2013</w:t>
      </w:r>
      <w:r>
        <w:rPr>
          <w:i/>
          <w:spacing w:val="22"/>
          <w:szCs w:val="27"/>
        </w:rPr>
        <w:t>年，出口的可循環再造物料佔總數超過九成，但出口貨值自</w:t>
      </w:r>
      <w:r>
        <w:rPr>
          <w:i/>
          <w:spacing w:val="22"/>
          <w:szCs w:val="27"/>
        </w:rPr>
        <w:t>2011</w:t>
      </w:r>
      <w:r>
        <w:rPr>
          <w:i/>
          <w:spacing w:val="22"/>
          <w:szCs w:val="27"/>
        </w:rPr>
        <w:t>年起按年下跌。就此，政府可否告知本會：</w:t>
      </w:r>
    </w:p>
    <w:p>
      <w:pPr>
        <w:pStyle w:val="F21"/>
        <w:spacing w:lineRule="atLeast" w:line="380"/>
        <w:rPr>
          <w:i/>
          <w:i/>
          <w:szCs w:val="27"/>
        </w:rPr>
      </w:pPr>
      <w:r>
        <w:rPr>
          <w:i/>
          <w:szCs w:val="27"/>
        </w:rPr>
      </w:r>
    </w:p>
    <w:p>
      <w:pPr>
        <w:pStyle w:val="Style13"/>
        <w:spacing w:lineRule="atLeast" w:line="380"/>
        <w:rPr/>
      </w:pPr>
      <w:r>
        <w:rPr/>
        <w:t>(</w:t>
      </w:r>
      <w:r>
        <w:rPr/>
        <w:t>一</w:t>
      </w:r>
      <w:r>
        <w:rPr/>
        <w:t>)</w:t>
        <w:tab/>
      </w:r>
      <w:r>
        <w:rPr/>
        <w:t>有否研究近年推行多項減廢措施後，棄置量仍持續上升的原因；有否評估棄置量在未來數年會否上升；如評估結果為會，當局有何新措施，以達到《香港資源循環藍圖</w:t>
      </w:r>
      <w:r>
        <w:rPr/>
        <w:t>2013-2022</w:t>
      </w:r>
      <w:r>
        <w:rPr/>
        <w:t>》</w:t>
      </w:r>
      <w:r>
        <w:rPr/>
        <w:t>(“</w:t>
      </w:r>
      <w:r>
        <w:rPr/>
        <w:t>《藍圖》”</w:t>
      </w:r>
      <w:r>
        <w:rPr/>
        <w:t>)</w:t>
      </w:r>
      <w:r>
        <w:rPr/>
        <w:t>所訂定的目標，即棄置量於</w:t>
      </w:r>
      <w:r>
        <w:rPr/>
        <w:t>2017</w:t>
      </w:r>
      <w:r>
        <w:rPr/>
        <w:t>及</w:t>
      </w:r>
      <w:r>
        <w:rPr/>
        <w:t>2022</w:t>
      </w:r>
      <w:r>
        <w:rPr/>
        <w:t>年分別減至</w:t>
      </w:r>
      <w:r>
        <w:rPr/>
        <w:t>1</w:t>
      </w:r>
      <w:r>
        <w:rPr/>
        <w:t>及</w:t>
      </w:r>
      <w:r>
        <w:rPr/>
        <w:t>0.8</w:t>
      </w:r>
      <w:r>
        <w:rPr/>
        <w:t>公斤或以下；如沒有新措施，當局會否考慮修訂該等目標；</w:t>
      </w:r>
    </w:p>
    <w:p>
      <w:pPr>
        <w:pStyle w:val="Style13"/>
        <w:spacing w:lineRule="atLeast" w:line="380"/>
        <w:rPr/>
      </w:pPr>
      <w:r>
        <w:rPr/>
      </w:r>
    </w:p>
    <w:p>
      <w:pPr>
        <w:pStyle w:val="Style13"/>
        <w:spacing w:lineRule="atLeast" w:line="380"/>
        <w:rPr/>
      </w:pPr>
      <w:r>
        <w:rPr/>
        <w:t>(</w:t>
      </w:r>
      <w:r>
        <w:rPr/>
        <w:t>二</w:t>
      </w:r>
      <w:r>
        <w:rPr/>
        <w:t>)</w:t>
        <w:tab/>
      </w:r>
      <w:r>
        <w:rPr/>
        <w:t>鑒於上述報告指出，回收率下跌的主因是廢塑料出口數據出現大幅度波動，當局有否評估出現該情況是否因為內地當局實施的“綠籬行動”所致；如評估結果為是，補救的措施為何；當局有何措施提高回收率，以達至《藍圖》所訂回收率於</w:t>
      </w:r>
      <w:r>
        <w:rPr/>
        <w:t>2022</w:t>
      </w:r>
      <w:r>
        <w:rPr/>
        <w:t>年增至百分之五十五的目標；及</w:t>
      </w:r>
    </w:p>
    <w:p>
      <w:pPr>
        <w:pStyle w:val="Style13"/>
        <w:spacing w:lineRule="atLeast" w:line="380"/>
        <w:rPr/>
      </w:pPr>
      <w:r>
        <w:rPr/>
      </w:r>
    </w:p>
    <w:p>
      <w:pPr>
        <w:pStyle w:val="Style13"/>
        <w:spacing w:lineRule="atLeast" w:line="380"/>
        <w:rPr/>
      </w:pPr>
      <w:r>
        <w:rPr/>
        <w:t>(</w:t>
      </w:r>
      <w:r>
        <w:rPr/>
        <w:t>三</w:t>
      </w:r>
      <w:r>
        <w:rPr/>
        <w:t>)</w:t>
        <w:tab/>
      </w:r>
      <w:r>
        <w:rPr/>
        <w:t>鑒於政府在</w:t>
      </w:r>
      <w:r>
        <w:rPr/>
        <w:t>2013</w:t>
      </w:r>
      <w:r>
        <w:rPr/>
        <w:t>年成立推動回收業可持續發展督導委員會，研究支援回收業的方法，該委員會的工作的最新進展及成果為何；當局有何新措施鼓勵本地的循環再造業發展？</w:t>
      </w:r>
    </w:p>
    <w:p>
      <w:pPr>
        <w:pStyle w:val="Style13"/>
        <w:spacing w:lineRule="atLeast" w:line="380"/>
        <w:ind w:left="0" w:hanging="0"/>
        <w:rPr/>
      </w:pPr>
      <w:r>
        <w:rPr/>
      </w:r>
    </w:p>
    <w:p>
      <w:pPr>
        <w:pStyle w:val="Style13"/>
        <w:spacing w:lineRule="atLeast" w:line="380"/>
        <w:ind w:left="0" w:hanging="0"/>
        <w:rPr/>
      </w:pPr>
      <w:r>
        <w:rPr/>
      </w:r>
    </w:p>
    <w:p>
      <w:pPr>
        <w:pStyle w:val="Style13"/>
        <w:spacing w:lineRule="atLeast" w:line="380"/>
        <w:ind w:left="0" w:hanging="0"/>
        <w:rPr/>
      </w:pPr>
      <w:r>
        <w:rPr>
          <w:rFonts w:eastAsia="華康中黑體"/>
          <w:b/>
          <w:i w:val="false"/>
          <w:szCs w:val="27"/>
        </w:rPr>
        <w:t>環境局局長</w:t>
      </w:r>
      <w:r>
        <w:rPr>
          <w:i w:val="false"/>
          <w:szCs w:val="27"/>
        </w:rPr>
        <w:t>：主席，</w:t>
      </w:r>
      <w:r>
        <w:rPr>
          <w:i w:val="false"/>
        </w:rPr>
        <w:t>特區政府一直按照</w:t>
      </w:r>
      <w:r>
        <w:rPr>
          <w:i w:val="false"/>
          <w:szCs w:val="27"/>
        </w:rPr>
        <w:t>“</w:t>
      </w:r>
      <w:r>
        <w:rPr>
          <w:i w:val="false"/>
        </w:rPr>
        <w:t>減少、重用及循環再造</w:t>
      </w:r>
      <w:r>
        <w:rPr>
          <w:i w:val="false"/>
          <w:szCs w:val="27"/>
        </w:rPr>
        <w:t>”</w:t>
      </w:r>
      <w:r>
        <w:rPr>
          <w:i w:val="false"/>
        </w:rPr>
        <w:t>的原則應對廢物管理的挑戰。在各項政策措施的協同與配合下，市民的減廢及回收意識已逐漸加強，但與此同時，香港的廢物回收率在過去數年受到多項外圍因素的影響而出現起伏，例如經濟波動、需求下降、各地收緊回收物料的入口限制等。儘管如此，本地廢物棄置量於過去數年維持平穩，並未對堆填區帶來額外負荷，而回收工作的實際成效亦沒有下降。</w:t>
      </w:r>
      <w:r>
        <w:br w:type="page"/>
      </w:r>
    </w:p>
    <w:p>
      <w:pPr>
        <w:pStyle w:val="Style13"/>
        <w:spacing w:lineRule="atLeast" w:line="370"/>
        <w:ind w:left="0" w:hanging="0"/>
        <w:rPr>
          <w:i w:val="false"/>
          <w:i w:val="false"/>
        </w:rPr>
      </w:pPr>
      <w:r>
        <w:rPr>
          <w:i w:val="false"/>
        </w:rPr>
        <w:tab/>
      </w:r>
      <w:r>
        <w:rPr>
          <w:i w:val="false"/>
        </w:rPr>
        <w:t>政府在</w:t>
      </w:r>
      <w:r>
        <w:rPr>
          <w:i w:val="false"/>
        </w:rPr>
        <w:t>2013</w:t>
      </w:r>
      <w:r>
        <w:rPr>
          <w:i w:val="false"/>
        </w:rPr>
        <w:t>年</w:t>
      </w:r>
      <w:r>
        <w:rPr>
          <w:i w:val="false"/>
        </w:rPr>
        <w:t>5</w:t>
      </w:r>
      <w:r>
        <w:rPr>
          <w:i w:val="false"/>
        </w:rPr>
        <w:t>月發表的《香港資源循環藍圖</w:t>
      </w:r>
      <w:r>
        <w:rPr>
          <w:i w:val="false"/>
        </w:rPr>
        <w:t>2013</w:t>
      </w:r>
      <w:r>
        <w:rPr>
          <w:rFonts w:cs="Times New Roman"/>
          <w:i w:val="false"/>
        </w:rPr>
        <w:t>-</w:t>
      </w:r>
      <w:r>
        <w:rPr>
          <w:i w:val="false"/>
        </w:rPr>
        <w:t>2022)</w:t>
      </w:r>
      <w:r>
        <w:rPr>
          <w:i w:val="false"/>
        </w:rPr>
        <w:t>》</w:t>
      </w:r>
      <w:r>
        <w:rPr>
          <w:i w:val="false"/>
        </w:rPr>
        <w:t>(</w:t>
      </w:r>
      <w:r>
        <w:rPr>
          <w:i w:val="false"/>
          <w:szCs w:val="27"/>
        </w:rPr>
        <w:t>“</w:t>
      </w:r>
      <w:r>
        <w:rPr>
          <w:i w:val="false"/>
        </w:rPr>
        <w:t>《藍圖》</w:t>
      </w:r>
      <w:r>
        <w:rPr>
          <w:i w:val="false"/>
          <w:szCs w:val="27"/>
        </w:rPr>
        <w:t>”</w:t>
      </w:r>
      <w:r>
        <w:rPr>
          <w:i w:val="false"/>
        </w:rPr>
        <w:t>)</w:t>
      </w:r>
      <w:r>
        <w:rPr>
          <w:i w:val="false"/>
        </w:rPr>
        <w:t>，定下了在</w:t>
      </w:r>
      <w:r>
        <w:rPr>
          <w:i w:val="false"/>
        </w:rPr>
        <w:t>2022</w:t>
      </w:r>
      <w:r>
        <w:rPr>
          <w:i w:val="false"/>
        </w:rPr>
        <w:t>年或以前把都市固體廢物人均棄置量減少</w:t>
      </w:r>
      <w:r>
        <w:rPr>
          <w:i w:val="false"/>
        </w:rPr>
        <w:t>40%</w:t>
      </w:r>
      <w:r>
        <w:rPr>
          <w:i w:val="false"/>
        </w:rPr>
        <w:t>的目標，而主要措施分</w:t>
      </w:r>
      <w:r>
        <w:rPr>
          <w:i w:val="false"/>
        </w:rPr>
        <w:t>3</w:t>
      </w:r>
      <w:r>
        <w:rPr>
          <w:i w:val="false"/>
        </w:rPr>
        <w:t>方面：第一，透過政策及法規，推動行為改變，源頭減廢；第二，發起全民減廢運動；及第三，投放資源以完善相關基建。這幾方面的工作都逐步取得進展。</w:t>
      </w:r>
    </w:p>
    <w:p>
      <w:pPr>
        <w:pStyle w:val="Style13"/>
        <w:spacing w:lineRule="atLeast" w:line="370"/>
        <w:ind w:left="0" w:hanging="0"/>
        <w:rPr>
          <w:i w:val="false"/>
          <w:i w:val="false"/>
        </w:rPr>
      </w:pPr>
      <w:r>
        <w:rPr>
          <w:i w:val="false"/>
        </w:rPr>
      </w:r>
    </w:p>
    <w:p>
      <w:pPr>
        <w:pStyle w:val="Style13"/>
        <w:spacing w:lineRule="atLeast" w:line="370"/>
        <w:ind w:left="0" w:hanging="0"/>
        <w:rPr>
          <w:i w:val="false"/>
          <w:i w:val="false"/>
        </w:rPr>
      </w:pPr>
      <w:r>
        <w:rPr>
          <w:i w:val="false"/>
        </w:rPr>
        <w:tab/>
      </w:r>
      <w:r>
        <w:rPr>
          <w:i w:val="false"/>
        </w:rPr>
        <w:t>就陳克勤議員的質詢，我答覆如下：</w:t>
      </w:r>
    </w:p>
    <w:p>
      <w:pPr>
        <w:pStyle w:val="Style13"/>
        <w:spacing w:lineRule="atLeast" w:line="370"/>
        <w:ind w:left="0" w:hanging="0"/>
        <w:rPr>
          <w:i w:val="false"/>
          <w:i w:val="false"/>
        </w:rPr>
      </w:pPr>
      <w:r>
        <w:rPr>
          <w:i w:val="false"/>
        </w:rPr>
      </w:r>
    </w:p>
    <w:p>
      <w:pPr>
        <w:pStyle w:val="Style13"/>
        <w:spacing w:lineRule="atLeast" w:line="370"/>
        <w:rPr>
          <w:i w:val="false"/>
          <w:i w:val="false"/>
        </w:rPr>
      </w:pPr>
      <w:r>
        <w:rPr>
          <w:i w:val="false"/>
        </w:rPr>
        <w:t>(</w:t>
      </w:r>
      <w:r>
        <w:rPr>
          <w:i w:val="false"/>
        </w:rPr>
        <w:t>一</w:t>
      </w:r>
      <w:r>
        <w:rPr>
          <w:i w:val="false"/>
        </w:rPr>
        <w:t>)</w:t>
        <w:tab/>
        <w:t>2013</w:t>
      </w:r>
      <w:r>
        <w:rPr>
          <w:i w:val="false"/>
        </w:rPr>
        <w:t>年，香港的都市固體廢物人均棄置量為每天</w:t>
      </w:r>
      <w:r>
        <w:rPr>
          <w:i w:val="false"/>
        </w:rPr>
        <w:t>1.33</w:t>
      </w:r>
      <w:r>
        <w:rPr>
          <w:i w:val="false"/>
        </w:rPr>
        <w:t>公斤，略高於</w:t>
      </w:r>
      <w:r>
        <w:rPr>
          <w:i w:val="false"/>
        </w:rPr>
        <w:t>2012</w:t>
      </w:r>
      <w:r>
        <w:rPr>
          <w:i w:val="false"/>
        </w:rPr>
        <w:t>年的每天</w:t>
      </w:r>
      <w:r>
        <w:rPr>
          <w:i w:val="false"/>
        </w:rPr>
        <w:t>1.30</w:t>
      </w:r>
      <w:r>
        <w:rPr>
          <w:i w:val="false"/>
        </w:rPr>
        <w:t>公斤，反映本港各項經濟活動，特別是零售、餐飲、服務業等維持活躍。我們預計相關影響在來年會大致持續。不過，相比推行《都市固體廢物管理政策大綱</w:t>
      </w:r>
      <w:r>
        <w:rPr>
          <w:i w:val="false"/>
        </w:rPr>
        <w:t>(2005-2014)</w:t>
      </w:r>
      <w:r>
        <w:rPr>
          <w:i w:val="false"/>
        </w:rPr>
        <w:t>》以前每天</w:t>
      </w:r>
      <w:r>
        <w:rPr>
          <w:i w:val="false"/>
        </w:rPr>
        <w:t>1.37</w:t>
      </w:r>
      <w:r>
        <w:rPr>
          <w:i w:val="false"/>
        </w:rPr>
        <w:t>公斤的水平，</w:t>
      </w:r>
      <w:r>
        <w:rPr>
          <w:i w:val="false"/>
        </w:rPr>
        <w:t>2013</w:t>
      </w:r>
      <w:r>
        <w:rPr>
          <w:i w:val="false"/>
        </w:rPr>
        <w:t>年的人均棄置量實際上已經略為下降，反映政府歷年來的減廢計劃有助減慢，並且扭轉本港都市固體廢物棄置量增長的趨勢。</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此外，廚餘佔</w:t>
      </w:r>
      <w:r>
        <w:rPr>
          <w:i w:val="false"/>
        </w:rPr>
        <w:t>2013</w:t>
      </w:r>
      <w:r>
        <w:rPr>
          <w:i w:val="false"/>
        </w:rPr>
        <w:t>年都市固體廢物棄置總量的</w:t>
      </w:r>
      <w:r>
        <w:rPr>
          <w:i w:val="false"/>
        </w:rPr>
        <w:t>38%</w:t>
      </w:r>
      <w:r>
        <w:rPr>
          <w:i w:val="false"/>
        </w:rPr>
        <w:t>，比重不小。為此環境保護署</w:t>
      </w:r>
      <w:r>
        <w:rPr>
          <w:i w:val="false"/>
        </w:rPr>
        <w:t>(</w:t>
      </w:r>
      <w:r>
        <w:rPr>
          <w:i w:val="false"/>
          <w:szCs w:val="27"/>
        </w:rPr>
        <w:t>“</w:t>
      </w:r>
      <w:r>
        <w:rPr>
          <w:i w:val="false"/>
        </w:rPr>
        <w:t>環保署</w:t>
      </w:r>
      <w:r>
        <w:rPr>
          <w:i w:val="false"/>
          <w:szCs w:val="27"/>
        </w:rPr>
        <w:t>”</w:t>
      </w:r>
      <w:r>
        <w:rPr>
          <w:i w:val="false"/>
          <w:szCs w:val="27"/>
        </w:rPr>
        <w:t>)</w:t>
      </w:r>
      <w:r>
        <w:rPr>
          <w:i w:val="false"/>
        </w:rPr>
        <w:t>自</w:t>
      </w:r>
      <w:r>
        <w:rPr>
          <w:i w:val="false"/>
        </w:rPr>
        <w:t>2012</w:t>
      </w:r>
      <w:r>
        <w:rPr>
          <w:i w:val="false"/>
        </w:rPr>
        <w:t>年</w:t>
      </w:r>
      <w:r>
        <w:rPr>
          <w:i w:val="false"/>
        </w:rPr>
        <w:t>12</w:t>
      </w:r>
      <w:r>
        <w:rPr>
          <w:i w:val="false"/>
        </w:rPr>
        <w:t>月起開始籌備</w:t>
      </w:r>
      <w:r>
        <w:rPr>
          <w:i w:val="false"/>
          <w:szCs w:val="27"/>
        </w:rPr>
        <w:t>“</w:t>
      </w:r>
      <w:r>
        <w:rPr>
          <w:i w:val="false"/>
        </w:rPr>
        <w:t>惜食香港運動</w:t>
      </w:r>
      <w:r>
        <w:rPr>
          <w:i w:val="false"/>
          <w:szCs w:val="27"/>
        </w:rPr>
        <w:t>”</w:t>
      </w:r>
      <w:r>
        <w:rPr>
          <w:i w:val="false"/>
        </w:rPr>
        <w:t>，鼓動社會各界身體力行，減少廚餘。我們預計運動的正面影響會陸續反映於未來數年的相關數據。</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我們將會繼續按照《藍圖》所定下的目標推展減廢及回收的工作，有關近期工作的詳情載於附件一。</w:t>
      </w:r>
    </w:p>
    <w:p>
      <w:pPr>
        <w:pStyle w:val="Style13"/>
        <w:spacing w:lineRule="atLeast" w:line="370"/>
        <w:rPr>
          <w:i w:val="false"/>
          <w:i w:val="false"/>
        </w:rPr>
      </w:pPr>
      <w:r>
        <w:rPr>
          <w:i w:val="false"/>
        </w:rPr>
      </w:r>
    </w:p>
    <w:p>
      <w:pPr>
        <w:pStyle w:val="Style13"/>
        <w:spacing w:lineRule="atLeast" w:line="370"/>
        <w:rPr>
          <w:i w:val="false"/>
          <w:i w:val="false"/>
        </w:rPr>
      </w:pPr>
      <w:r>
        <w:rPr>
          <w:i w:val="false"/>
        </w:rPr>
        <w:t>(</w:t>
      </w:r>
      <w:r>
        <w:rPr>
          <w:i w:val="false"/>
        </w:rPr>
        <w:t>二</w:t>
      </w:r>
      <w:r>
        <w:rPr>
          <w:i w:val="false"/>
        </w:rPr>
        <w:t>)</w:t>
        <w:tab/>
      </w:r>
      <w:r>
        <w:rPr>
          <w:i w:val="false"/>
        </w:rPr>
        <w:t>本港的都市固體廢物回收率近年有所下降，主要因為廢紙料及廢塑料的回收量受外圍環境因素影響而減少。例如各地的製造業對包括回收物料等原材料的需求持續疲弱，內地當局於</w:t>
      </w:r>
      <w:r>
        <w:rPr>
          <w:i w:val="false"/>
        </w:rPr>
        <w:t>2013</w:t>
      </w:r>
      <w:r>
        <w:rPr>
          <w:i w:val="false"/>
        </w:rPr>
        <w:t>年起開展</w:t>
      </w:r>
      <w:r>
        <w:rPr>
          <w:i w:val="false"/>
          <w:szCs w:val="27"/>
        </w:rPr>
        <w:t>“</w:t>
      </w:r>
      <w:r>
        <w:rPr>
          <w:i w:val="false"/>
        </w:rPr>
        <w:t>綠籬行動</w:t>
      </w:r>
      <w:r>
        <w:rPr>
          <w:i w:val="false"/>
          <w:szCs w:val="27"/>
        </w:rPr>
        <w:t>”</w:t>
      </w:r>
      <w:r>
        <w:rPr>
          <w:i w:val="false"/>
        </w:rPr>
        <w:t>亦影響回收物料的貨值，導致本地回收活動出現負面起伏。</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例如，與</w:t>
      </w:r>
      <w:r>
        <w:rPr>
          <w:i w:val="false"/>
        </w:rPr>
        <w:t>2012</w:t>
      </w:r>
      <w:r>
        <w:rPr>
          <w:i w:val="false"/>
        </w:rPr>
        <w:t>年相比，都市固體廢物的總回收量減少了</w:t>
      </w:r>
      <w:r>
        <w:rPr>
          <w:i w:val="false"/>
        </w:rPr>
        <w:t>15</w:t>
      </w:r>
      <w:r>
        <w:rPr>
          <w:i w:val="false"/>
        </w:rPr>
        <w:t>萬公噸，其中廢紙料的減少佔</w:t>
      </w:r>
      <w:r>
        <w:rPr>
          <w:i w:val="false"/>
        </w:rPr>
        <w:t>13</w:t>
      </w:r>
      <w:r>
        <w:rPr>
          <w:i w:val="false"/>
        </w:rPr>
        <w:t>萬公噸為最主要因素。</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此外，鑒於廢塑膠的</w:t>
      </w:r>
      <w:r>
        <w:rPr>
          <w:i w:val="false"/>
          <w:szCs w:val="27"/>
        </w:rPr>
        <w:t>“</w:t>
      </w:r>
      <w:r>
        <w:rPr>
          <w:i w:val="false"/>
        </w:rPr>
        <w:t>港產品出口</w:t>
      </w:r>
      <w:r>
        <w:rPr>
          <w:i w:val="false"/>
          <w:szCs w:val="27"/>
        </w:rPr>
        <w:t>”</w:t>
      </w:r>
      <w:r>
        <w:rPr>
          <w:i w:val="false"/>
        </w:rPr>
        <w:t>數字近年現不尋常的波動，導致在回收率估算上曾經出現大幅變動，我們於</w:t>
      </w:r>
      <w:r>
        <w:rPr>
          <w:i w:val="false"/>
        </w:rPr>
        <w:t>2012</w:t>
      </w:r>
      <w:r>
        <w:rPr>
          <w:i w:val="false"/>
        </w:rPr>
        <w:t>年聘請顧問公司，檢視本港廢塑膠的產生、回收及棄置的整體情況，以及檢討應否繼續沿用現行主要以</w:t>
      </w:r>
      <w:r>
        <w:rPr>
          <w:i w:val="false"/>
          <w:szCs w:val="27"/>
        </w:rPr>
        <w:t>“</w:t>
      </w:r>
      <w:r>
        <w:rPr>
          <w:i w:val="false"/>
        </w:rPr>
        <w:t>港產品出口</w:t>
      </w:r>
      <w:r>
        <w:rPr>
          <w:i w:val="false"/>
          <w:szCs w:val="27"/>
        </w:rPr>
        <w:t>”</w:t>
      </w:r>
      <w:r>
        <w:rPr>
          <w:i w:val="false"/>
        </w:rPr>
        <w:t>數字作為評估本地回收量的方法。研究結果顯示現行方法仍然最合適香港的情況，而我們計算回收率的方程式亦為國際所通用。政府就加強審核廢塑膠</w:t>
      </w:r>
      <w:r>
        <w:rPr>
          <w:i w:val="false"/>
          <w:szCs w:val="27"/>
        </w:rPr>
        <w:t>“</w:t>
      </w:r>
      <w:r>
        <w:rPr>
          <w:i w:val="false"/>
        </w:rPr>
        <w:t>港產品出口</w:t>
      </w:r>
      <w:r>
        <w:rPr>
          <w:i w:val="false"/>
          <w:szCs w:val="27"/>
        </w:rPr>
        <w:t>”</w:t>
      </w:r>
      <w:r>
        <w:rPr>
          <w:i w:val="false"/>
        </w:rPr>
        <w:t>數字的編算而推展的工作詳情載於附件二。</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在此重申，根據《藍圖》的政策目標，減低都市固體廢物人均棄置量應被視為重中之重。我們亦會繼續按照《藍圖》所定下的目標推展回收的工作。</w:t>
      </w:r>
    </w:p>
    <w:p>
      <w:pPr>
        <w:pStyle w:val="Default"/>
        <w:spacing w:lineRule="atLeast" w:line="390"/>
        <w:rPr>
          <w:rFonts w:ascii="Times New Roman" w:hAnsi="Times New Roman" w:eastAsia="華康細明體" w:cs="Times New Roman"/>
          <w:spacing w:val="20"/>
          <w:sz w:val="27"/>
        </w:rPr>
      </w:pPr>
      <w:r>
        <w:rPr>
          <w:rFonts w:eastAsia="華康細明體" w:cs="Times New Roman" w:ascii="Times New Roman" w:hAnsi="Times New Roman"/>
          <w:spacing w:val="20"/>
          <w:sz w:val="27"/>
        </w:rPr>
      </w:r>
    </w:p>
    <w:p>
      <w:pPr>
        <w:pStyle w:val="Style13"/>
        <w:spacing w:lineRule="atLeast" w:line="390"/>
        <w:rPr>
          <w:rFonts w:cs="Times New Roman"/>
          <w:i w:val="false"/>
          <w:i w:val="false"/>
        </w:rPr>
      </w:pPr>
      <w:r>
        <w:rPr>
          <w:i w:val="false"/>
        </w:rPr>
        <w:t>(</w:t>
      </w:r>
      <w:r>
        <w:rPr>
          <w:i w:val="false"/>
        </w:rPr>
        <w:t>三</w:t>
      </w:r>
      <w:r>
        <w:rPr>
          <w:i w:val="false"/>
        </w:rPr>
        <w:t>)</w:t>
        <w:tab/>
      </w:r>
      <w:r>
        <w:rPr>
          <w:i w:val="false"/>
        </w:rPr>
        <w:t>由政務司司長主持的推動回收業可持續發展督導委員會自</w:t>
      </w:r>
      <w:r>
        <w:rPr>
          <w:i w:val="false"/>
        </w:rPr>
        <w:t>2013</w:t>
      </w:r>
      <w:r>
        <w:rPr>
          <w:i w:val="false"/>
        </w:rPr>
        <w:t>年成立以來已深入討論及研究本地收集和棄置回收物的情況、相關的政策和支援措施，以及各項積極可行的方法以支援回收業，包括提供基礎設施如土地及公眾貨物裝卸區專用泊位、行業人手的培訓和發展、鼓勵研究和投資於相關技術，以及推動公眾支持回收及改進收集回收物的網絡。相關部門正積極跟進和落實各項政策和措施。</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重點工作之一是設立回收基金，協助相關業界提高作業能力和效率，推動行業可持續發展。政府已預留</w:t>
      </w:r>
      <w:r>
        <w:rPr>
          <w:i w:val="false"/>
        </w:rPr>
        <w:t>10</w:t>
      </w:r>
      <w:r>
        <w:rPr>
          <w:i w:val="false"/>
        </w:rPr>
        <w:t>億元，立法會環境事務委員會亦支持設立回收基金，現正等待立法會財務委員會的審議。另一方面，環保署已委託顧問研究回收業界的土地需求，以及檢討短期租約用地的承租投標安排，協助政府制訂相關的土地支援措施。環保署亦有委託顧問研究以檢視和增加政府採購清單中具環保規格的項目，並改進檢定機制，便利各部門進行環保採購。政府亦會於今年內與業界組成</w:t>
      </w:r>
      <w:r>
        <w:rPr>
          <w:i w:val="false"/>
          <w:szCs w:val="27"/>
        </w:rPr>
        <w:t>“</w:t>
      </w:r>
      <w:r>
        <w:rPr>
          <w:i w:val="false"/>
        </w:rPr>
        <w:t>乾淨回收</w:t>
      </w:r>
      <w:r>
        <w:rPr>
          <w:i w:val="false"/>
          <w:szCs w:val="27"/>
        </w:rPr>
        <w:t>”</w:t>
      </w:r>
      <w:r>
        <w:rPr>
          <w:i w:val="false"/>
        </w:rPr>
        <w:t>運動工作小組，在社區推動廢物源頭分類和清潔，提升可回收物料的回收價值和效率。</w:t>
      </w:r>
    </w:p>
    <w:p>
      <w:pPr>
        <w:pStyle w:val="Style13"/>
        <w:spacing w:lineRule="atLeast" w:line="390"/>
        <w:ind w:left="0" w:hanging="0"/>
        <w:rPr>
          <w:i w:val="false"/>
          <w:i w:val="false"/>
        </w:rPr>
      </w:pPr>
      <w:r>
        <w:rPr>
          <w:i w:val="false"/>
        </w:rPr>
      </w:r>
    </w:p>
    <w:p>
      <w:pPr>
        <w:pStyle w:val="Style13"/>
        <w:spacing w:lineRule="atLeast" w:line="390"/>
        <w:ind w:left="0" w:hanging="0"/>
        <w:rPr/>
      </w:pPr>
      <w:r>
        <w:rPr>
          <w:i w:val="false"/>
          <w:szCs w:val="27"/>
        </w:rPr>
        <w:tab/>
      </w:r>
      <w:r>
        <w:rPr>
          <w:i w:val="false"/>
          <w:szCs w:val="27"/>
        </w:rPr>
        <w:t>主席，政府會繼續積極推展《藍圖》所定下的各項減廢策略和措施。但這些工作成效亦有賴市民各界的實質支持及參與。未來數年將會是落實《藍圖》的關鍵時刻，包括廢物按量徵費措施，我期望能夠與議會及社會各界攜手合力，邁向《藍圖》的目標。</w:t>
      </w:r>
      <w:r>
        <w:br w:type="page"/>
      </w:r>
    </w:p>
    <w:p>
      <w:pPr>
        <w:pStyle w:val="Normal"/>
        <w:spacing w:lineRule="exact" w:line="340"/>
        <w:jc w:val="right"/>
        <w:rPr>
          <w:color w:val="000000"/>
          <w:spacing w:val="20"/>
          <w:sz w:val="27"/>
          <w:szCs w:val="27"/>
        </w:rPr>
      </w:pPr>
      <w:r>
        <w:rPr>
          <w:color w:val="000000"/>
          <w:spacing w:val="20"/>
          <w:sz w:val="27"/>
          <w:szCs w:val="27"/>
        </w:rPr>
        <w:t>附件一</w:t>
      </w:r>
    </w:p>
    <w:p>
      <w:pPr>
        <w:pStyle w:val="Style13"/>
        <w:spacing w:lineRule="exact" w:line="340"/>
        <w:ind w:left="0" w:hanging="0"/>
        <w:jc w:val="left"/>
        <w:rPr>
          <w:i w:val="false"/>
          <w:i w:val="false"/>
          <w:color w:val="000000"/>
          <w:szCs w:val="27"/>
        </w:rPr>
      </w:pPr>
      <w:r>
        <w:rPr>
          <w:i w:val="false"/>
          <w:color w:val="000000"/>
          <w:szCs w:val="27"/>
        </w:rPr>
      </w:r>
    </w:p>
    <w:p>
      <w:pPr>
        <w:pStyle w:val="Style13"/>
        <w:spacing w:lineRule="exact" w:line="340"/>
        <w:ind w:left="0" w:hanging="0"/>
        <w:jc w:val="center"/>
        <w:rPr>
          <w:i w:val="false"/>
          <w:i w:val="false"/>
        </w:rPr>
      </w:pPr>
      <w:r>
        <w:rPr>
          <w:i w:val="false"/>
          <w:color w:val="000000"/>
          <w:szCs w:val="27"/>
        </w:rPr>
        <w:t>政府按照《藍圖》的目標於近期推展的減廢及回收工作</w:t>
      </w:r>
    </w:p>
    <w:p>
      <w:pPr>
        <w:pStyle w:val="Style13"/>
        <w:spacing w:lineRule="exact" w:line="340"/>
        <w:ind w:left="0" w:hanging="0"/>
        <w:rPr>
          <w:i w:val="false"/>
          <w:i w:val="false"/>
        </w:rPr>
      </w:pPr>
      <w:r>
        <w:rPr>
          <w:i w:val="false"/>
        </w:rPr>
      </w:r>
    </w:p>
    <w:p>
      <w:pPr>
        <w:pStyle w:val="Default"/>
        <w:spacing w:lineRule="exact" w:line="340"/>
        <w:ind w:left="567" w:hanging="567"/>
        <w:jc w:val="both"/>
        <w:rPr>
          <w:rFonts w:ascii="Times New Roman" w:hAnsi="Times New Roman" w:eastAsia="華康細明體" w:cs="Times New Roman"/>
          <w:spacing w:val="20"/>
          <w:sz w:val="27"/>
          <w:szCs w:val="27"/>
        </w:rPr>
      </w:pPr>
      <w:r>
        <w:rPr>
          <w:rFonts w:eastAsia="華康細明體" w:cs="Times New Roman" w:ascii="Times New Roman" w:hAnsi="Times New Roman"/>
          <w:spacing w:val="20"/>
          <w:sz w:val="27"/>
        </w:rPr>
        <w:t>(i)</w:t>
        <w:tab/>
      </w:r>
      <w:r>
        <w:rPr>
          <w:rFonts w:ascii="Times New Roman" w:hAnsi="Times New Roman" w:cs="Times New Roman" w:eastAsia="華康細明體"/>
          <w:spacing w:val="20"/>
          <w:sz w:val="27"/>
          <w:szCs w:val="27"/>
        </w:rPr>
        <w:t>都市固體廢物收費：我們認為按量收費可以帶來經濟誘因，推動市民改變產生廢物的行為，從而減少整體廢物的棄置量。去年</w:t>
      </w:r>
      <w:r>
        <w:rPr>
          <w:rFonts w:eastAsia="華康細明體" w:cs="Times New Roman" w:ascii="Times New Roman" w:hAnsi="Times New Roman"/>
          <w:spacing w:val="20"/>
          <w:sz w:val="27"/>
          <w:szCs w:val="27"/>
        </w:rPr>
        <w:t>(2014</w:t>
      </w:r>
      <w:r>
        <w:rPr>
          <w:rFonts w:ascii="Times New Roman" w:hAnsi="Times New Roman" w:cs="Times New Roman" w:eastAsia="華康細明體"/>
          <w:spacing w:val="20"/>
          <w:sz w:val="27"/>
          <w:szCs w:val="27"/>
        </w:rPr>
        <w:t>年</w:t>
      </w:r>
      <w:r>
        <w:rPr>
          <w:rFonts w:eastAsia="華康細明體" w:cs="Times New Roman" w:ascii="Times New Roman" w:hAnsi="Times New Roman"/>
          <w:spacing w:val="20"/>
          <w:sz w:val="27"/>
          <w:szCs w:val="27"/>
        </w:rPr>
        <w:t>)12</w:t>
      </w:r>
      <w:r>
        <w:rPr>
          <w:rFonts w:ascii="Times New Roman" w:hAnsi="Times New Roman" w:cs="Times New Roman" w:eastAsia="華康細明體"/>
          <w:spacing w:val="20"/>
          <w:sz w:val="27"/>
          <w:szCs w:val="27"/>
        </w:rPr>
        <w:t>月，可持續發展委員會已根據社會參與過程收集所得的意見，就如何在香港落實按量收費提出建議，我們亦已開展跟進工作，詳情已於本年</w:t>
      </w:r>
      <w:r>
        <w:rPr>
          <w:rFonts w:eastAsia="華康細明體" w:cs="Times New Roman" w:ascii="Times New Roman" w:hAnsi="Times New Roman"/>
          <w:spacing w:val="20"/>
          <w:sz w:val="27"/>
          <w:szCs w:val="27"/>
        </w:rPr>
        <w:t>2</w:t>
      </w:r>
      <w:r>
        <w:rPr>
          <w:rFonts w:ascii="Times New Roman" w:hAnsi="Times New Roman" w:cs="Times New Roman" w:eastAsia="華康細明體"/>
          <w:spacing w:val="20"/>
          <w:sz w:val="27"/>
          <w:szCs w:val="27"/>
        </w:rPr>
        <w:t>月向環境事務委員會匯報；</w:t>
      </w:r>
    </w:p>
    <w:p>
      <w:pPr>
        <w:pStyle w:val="Style13"/>
        <w:spacing w:lineRule="exact" w:line="340"/>
        <w:ind w:left="567" w:hanging="567"/>
        <w:rPr>
          <w:rFonts w:cs="Times New Roman"/>
          <w:i w:val="false"/>
          <w:i w:val="false"/>
        </w:rPr>
      </w:pPr>
      <w:r>
        <w:rPr>
          <w:rFonts w:cs="Times New Roman"/>
          <w:i w:val="false"/>
        </w:rPr>
      </w:r>
    </w:p>
    <w:p>
      <w:pPr>
        <w:pStyle w:val="Default"/>
        <w:spacing w:lineRule="exact" w:line="340"/>
        <w:ind w:left="567" w:hanging="567"/>
        <w:jc w:val="both"/>
        <w:rPr>
          <w:rFonts w:ascii="Times New Roman" w:hAnsi="Times New Roman" w:eastAsia="華康細明體" w:cs="Times New Roman"/>
          <w:spacing w:val="20"/>
          <w:sz w:val="27"/>
          <w:szCs w:val="27"/>
        </w:rPr>
      </w:pPr>
      <w:r>
        <w:rPr>
          <w:rFonts w:eastAsia="華康細明體" w:cs="Times New Roman" w:ascii="Times New Roman" w:hAnsi="Times New Roman"/>
          <w:spacing w:val="20"/>
          <w:sz w:val="27"/>
        </w:rPr>
        <w:t>(ii)</w:t>
        <w:tab/>
      </w:r>
      <w:r>
        <w:rPr>
          <w:rFonts w:ascii="Times New Roman" w:hAnsi="Times New Roman" w:cs="Times New Roman" w:eastAsia="華康細明體"/>
          <w:spacing w:val="20"/>
          <w:sz w:val="27"/>
          <w:szCs w:val="27"/>
        </w:rPr>
        <w:t>生產者責任計劃：我們正逐步落實生產者責任制度。塑膠購物袋收費將於今年</w:t>
      </w:r>
      <w:r>
        <w:rPr>
          <w:rFonts w:eastAsia="華康細明體" w:cs="Times New Roman" w:ascii="Times New Roman" w:hAnsi="Times New Roman"/>
          <w:spacing w:val="20"/>
          <w:sz w:val="27"/>
          <w:szCs w:val="27"/>
        </w:rPr>
        <w:t>4</w:t>
      </w:r>
      <w:r>
        <w:rPr>
          <w:rFonts w:ascii="Times New Roman" w:hAnsi="Times New Roman" w:cs="Times New Roman" w:eastAsia="華康細明體"/>
          <w:spacing w:val="20"/>
          <w:sz w:val="27"/>
          <w:szCs w:val="27"/>
        </w:rPr>
        <w:t>月</w:t>
      </w:r>
      <w:r>
        <w:rPr>
          <w:rFonts w:eastAsia="華康細明體" w:cs="Times New Roman" w:ascii="Times New Roman" w:hAnsi="Times New Roman"/>
          <w:spacing w:val="20"/>
          <w:sz w:val="27"/>
          <w:szCs w:val="27"/>
        </w:rPr>
        <w:t>1</w:t>
      </w:r>
      <w:r>
        <w:rPr>
          <w:rFonts w:ascii="Times New Roman" w:hAnsi="Times New Roman" w:cs="Times New Roman" w:eastAsia="華康細明體"/>
          <w:spacing w:val="20"/>
          <w:sz w:val="27"/>
          <w:szCs w:val="27"/>
        </w:rPr>
        <w:t>日全面推行。今年</w:t>
      </w:r>
      <w:r>
        <w:rPr>
          <w:rFonts w:eastAsia="華康細明體" w:cs="Times New Roman" w:ascii="Times New Roman" w:hAnsi="Times New Roman"/>
          <w:spacing w:val="20"/>
          <w:sz w:val="27"/>
          <w:szCs w:val="27"/>
        </w:rPr>
        <w:t>2</w:t>
      </w:r>
      <w:r>
        <w:rPr>
          <w:rFonts w:ascii="Times New Roman" w:hAnsi="Times New Roman" w:cs="Times New Roman" w:eastAsia="華康細明體"/>
          <w:spacing w:val="20"/>
          <w:sz w:val="27"/>
          <w:szCs w:val="27"/>
        </w:rPr>
        <w:t>月，立法會批准我們的撥款申請，在屯門環保園興建廢電器電子產品處理和回收設施，而相關的生產者責任法例亦已於上星期提交立法會審議。飲品玻璃樽方面，我們亦正草擬法例，同時逐步擴展回收網絡，為全面實施生產者責任計劃作好準備；</w:t>
      </w:r>
    </w:p>
    <w:p>
      <w:pPr>
        <w:pStyle w:val="Style13"/>
        <w:spacing w:lineRule="exact" w:line="340"/>
        <w:ind w:left="567" w:hanging="567"/>
        <w:rPr>
          <w:rFonts w:cs="Times New Roman"/>
          <w:i w:val="false"/>
          <w:i w:val="false"/>
        </w:rPr>
      </w:pPr>
      <w:r>
        <w:rPr>
          <w:rFonts w:cs="Times New Roman"/>
          <w:i w:val="false"/>
        </w:rPr>
      </w:r>
    </w:p>
    <w:p>
      <w:pPr>
        <w:pStyle w:val="Default"/>
        <w:spacing w:lineRule="exact" w:line="340"/>
        <w:ind w:left="567" w:hanging="567"/>
        <w:jc w:val="both"/>
        <w:rPr>
          <w:rFonts w:ascii="Times New Roman" w:hAnsi="Times New Roman" w:eastAsia="華康細明體" w:cs="Times New Roman"/>
          <w:spacing w:val="20"/>
          <w:sz w:val="27"/>
          <w:szCs w:val="27"/>
        </w:rPr>
      </w:pPr>
      <w:r>
        <w:rPr>
          <w:rFonts w:eastAsia="華康細明體" w:cs="Times New Roman" w:ascii="Times New Roman" w:hAnsi="Times New Roman"/>
          <w:spacing w:val="8"/>
          <w:sz w:val="27"/>
        </w:rPr>
        <w:t>(iii)</w:t>
      </w:r>
      <w:r>
        <w:rPr>
          <w:rFonts w:eastAsia="華康細明體" w:cs="Times New Roman" w:ascii="Times New Roman" w:hAnsi="Times New Roman"/>
          <w:spacing w:val="20"/>
          <w:sz w:val="27"/>
        </w:rPr>
        <w:tab/>
      </w:r>
      <w:r>
        <w:rPr>
          <w:rFonts w:ascii="Times New Roman" w:hAnsi="Times New Roman" w:cs="Times New Roman" w:eastAsia="華康細明體"/>
          <w:spacing w:val="20"/>
          <w:sz w:val="27"/>
          <w:szCs w:val="27"/>
        </w:rPr>
        <w:t>減少廚餘：我們將繼續推行“惜食香港運動”，增加公眾對本港廚餘問題的關注，同時鼓勵社會各界改變生活習慣，以減少產生廚餘。截至今年</w:t>
      </w:r>
      <w:r>
        <w:rPr>
          <w:rFonts w:eastAsia="華康細明體" w:cs="Times New Roman" w:ascii="Times New Roman" w:hAnsi="Times New Roman"/>
          <w:spacing w:val="20"/>
          <w:sz w:val="27"/>
          <w:szCs w:val="27"/>
        </w:rPr>
        <w:t>2</w:t>
      </w:r>
      <w:r>
        <w:rPr>
          <w:rFonts w:ascii="Times New Roman" w:hAnsi="Times New Roman" w:cs="Times New Roman" w:eastAsia="華康細明體"/>
          <w:spacing w:val="20"/>
          <w:sz w:val="27"/>
          <w:szCs w:val="27"/>
        </w:rPr>
        <w:t>月，約</w:t>
      </w:r>
      <w:r>
        <w:rPr>
          <w:rFonts w:eastAsia="華康細明體" w:cs="Times New Roman" w:ascii="Times New Roman" w:hAnsi="Times New Roman"/>
          <w:spacing w:val="20"/>
          <w:sz w:val="27"/>
          <w:szCs w:val="27"/>
        </w:rPr>
        <w:t>400</w:t>
      </w:r>
      <w:r>
        <w:rPr>
          <w:rFonts w:ascii="Times New Roman" w:hAnsi="Times New Roman" w:cs="Times New Roman" w:eastAsia="華康細明體"/>
          <w:spacing w:val="20"/>
          <w:sz w:val="27"/>
          <w:szCs w:val="27"/>
        </w:rPr>
        <w:t>家機構已簽署了“惜食約章”，而我們已舉辦了</w:t>
      </w:r>
      <w:r>
        <w:rPr>
          <w:rFonts w:eastAsia="華康細明體" w:cs="Times New Roman" w:ascii="Times New Roman" w:hAnsi="Times New Roman"/>
          <w:spacing w:val="20"/>
          <w:sz w:val="27"/>
          <w:szCs w:val="27"/>
        </w:rPr>
        <w:t>23</w:t>
      </w:r>
      <w:r>
        <w:rPr>
          <w:rFonts w:ascii="Times New Roman" w:hAnsi="Times New Roman" w:cs="Times New Roman" w:eastAsia="華康細明體"/>
          <w:spacing w:val="20"/>
          <w:sz w:val="27"/>
          <w:szCs w:val="27"/>
        </w:rPr>
        <w:t>個培訓工作坊，提供有關如何減少廚餘的培訓予約</w:t>
      </w:r>
      <w:r>
        <w:rPr>
          <w:rFonts w:eastAsia="華康細明體" w:cs="Times New Roman" w:ascii="Times New Roman" w:hAnsi="Times New Roman"/>
          <w:spacing w:val="20"/>
          <w:sz w:val="27"/>
          <w:szCs w:val="27"/>
        </w:rPr>
        <w:t>1 350</w:t>
      </w:r>
      <w:r>
        <w:rPr>
          <w:rFonts w:ascii="Times New Roman" w:hAnsi="Times New Roman" w:cs="Times New Roman" w:eastAsia="華康細明體"/>
          <w:spacing w:val="20"/>
          <w:sz w:val="27"/>
          <w:szCs w:val="27"/>
        </w:rPr>
        <w:t>名“惜食香港大使”。我們繼續支持及鼓勵非政府組織從商業機構，例如超級市場、濕貨街市、餐館、俱樂部和酒店等，收集剩餘可食用或接近但未過期的食物，並捐贈給有需要的人士；</w:t>
      </w:r>
    </w:p>
    <w:p>
      <w:pPr>
        <w:pStyle w:val="Style13"/>
        <w:spacing w:lineRule="exact" w:line="340"/>
        <w:ind w:left="567" w:hanging="567"/>
        <w:rPr>
          <w:rFonts w:cs="Times New Roman"/>
          <w:i w:val="false"/>
          <w:i w:val="false"/>
        </w:rPr>
      </w:pPr>
      <w:r>
        <w:rPr>
          <w:rFonts w:cs="Times New Roman"/>
          <w:i w:val="false"/>
        </w:rPr>
      </w:r>
    </w:p>
    <w:p>
      <w:pPr>
        <w:pStyle w:val="Default"/>
        <w:spacing w:lineRule="exact" w:line="340"/>
        <w:ind w:left="567" w:hanging="567"/>
        <w:jc w:val="both"/>
        <w:rPr>
          <w:rFonts w:ascii="Times New Roman" w:hAnsi="Times New Roman" w:eastAsia="華康細明體" w:cs="Times New Roman"/>
          <w:spacing w:val="20"/>
          <w:sz w:val="27"/>
          <w:szCs w:val="27"/>
        </w:rPr>
      </w:pPr>
      <w:r>
        <w:rPr>
          <w:rFonts w:eastAsia="華康細明體" w:cs="Times New Roman" w:ascii="Times New Roman" w:hAnsi="Times New Roman"/>
          <w:spacing w:val="20"/>
          <w:sz w:val="27"/>
        </w:rPr>
        <w:t>(iv)</w:t>
        <w:tab/>
      </w:r>
      <w:r>
        <w:rPr>
          <w:rFonts w:ascii="Times New Roman" w:hAnsi="Times New Roman" w:cs="Times New Roman" w:eastAsia="華康細明體"/>
          <w:spacing w:val="20"/>
          <w:sz w:val="27"/>
          <w:szCs w:val="27"/>
        </w:rPr>
        <w:t>社區回收：藉着實施全港性家居及工商業廢物源頭分類計劃，現時已逾</w:t>
      </w:r>
      <w:r>
        <w:rPr>
          <w:rFonts w:eastAsia="華康細明體" w:cs="Times New Roman" w:ascii="Times New Roman" w:hAnsi="Times New Roman"/>
          <w:spacing w:val="20"/>
          <w:sz w:val="27"/>
          <w:szCs w:val="27"/>
        </w:rPr>
        <w:t>80%</w:t>
      </w:r>
      <w:r>
        <w:rPr>
          <w:rFonts w:ascii="Times New Roman" w:hAnsi="Times New Roman" w:cs="Times New Roman" w:eastAsia="華康細明體"/>
          <w:spacing w:val="20"/>
          <w:sz w:val="27"/>
          <w:szCs w:val="27"/>
        </w:rPr>
        <w:t>香港市民在他們的生活和工作地點附近設有回收桶。我們會加強與政府部門、區議會、學校、屋苑、物業管理公司、環保團體及社會服務組織保持合作，設立更多社區回收點，形成一個廣闊的社區回收網絡，以推廣乾淨回收的習慣。政府亦積極透過環境及自然保育基金支持非牟利團體進行教育活動及鼓勵社區回收工作。此外，我們亦推出了“咪嘥嘢”免費流動應用程式，提供全港公眾地方的回收點位置及有關廢物處理和減廢回收的最新資訊及知識，推動市民參與減廢及回收；及</w:t>
      </w:r>
    </w:p>
    <w:p>
      <w:pPr>
        <w:pStyle w:val="Style13"/>
        <w:spacing w:lineRule="exact" w:line="340"/>
        <w:ind w:left="567" w:hanging="567"/>
        <w:rPr>
          <w:rFonts w:cs="Times New Roman"/>
          <w:i w:val="false"/>
          <w:i w:val="false"/>
        </w:rPr>
      </w:pPr>
      <w:r>
        <w:rPr>
          <w:rFonts w:cs="Times New Roman"/>
          <w:i w:val="false"/>
        </w:rPr>
      </w:r>
    </w:p>
    <w:p>
      <w:pPr>
        <w:pStyle w:val="Default"/>
        <w:spacing w:lineRule="exact" w:line="340"/>
        <w:ind w:left="567" w:hanging="567"/>
        <w:jc w:val="both"/>
        <w:rPr>
          <w:spacing w:val="20"/>
          <w:sz w:val="27"/>
        </w:rPr>
      </w:pPr>
      <w:r>
        <w:rPr>
          <w:rFonts w:eastAsia="華康細明體" w:cs="Times New Roman" w:ascii="Times New Roman" w:hAnsi="Times New Roman"/>
          <w:spacing w:val="20"/>
          <w:sz w:val="27"/>
        </w:rPr>
        <w:t>(v)</w:t>
        <w:tab/>
      </w:r>
      <w:r>
        <w:rPr>
          <w:rFonts w:eastAsia="華康細明體" w:cs="Times New Roman" w:ascii="Times New Roman" w:hAnsi="Times New Roman"/>
          <w:spacing w:val="20"/>
          <w:sz w:val="27"/>
          <w:szCs w:val="27"/>
        </w:rPr>
        <w:t>“</w:t>
      </w:r>
      <w:r>
        <w:rPr>
          <w:rFonts w:ascii="Times New Roman" w:hAnsi="Times New Roman" w:cs="Times New Roman" w:eastAsia="華康細明體"/>
          <w:spacing w:val="20"/>
          <w:sz w:val="27"/>
          <w:szCs w:val="27"/>
        </w:rPr>
        <w:t>綠在區區”：我們正逐步在全港</w:t>
      </w:r>
      <w:r>
        <w:rPr>
          <w:rFonts w:eastAsia="華康細明體" w:cs="Times New Roman" w:ascii="Times New Roman" w:hAnsi="Times New Roman"/>
          <w:spacing w:val="20"/>
          <w:sz w:val="27"/>
          <w:szCs w:val="27"/>
        </w:rPr>
        <w:t>18</w:t>
      </w:r>
      <w:r>
        <w:rPr>
          <w:rFonts w:ascii="Times New Roman" w:hAnsi="Times New Roman" w:cs="Times New Roman" w:eastAsia="華康細明體"/>
          <w:spacing w:val="20"/>
          <w:sz w:val="27"/>
          <w:szCs w:val="27"/>
        </w:rPr>
        <w:t>區推展“綠在區區”項目，亦會透過公開招標委聘非牟利團體營辦項目，並資助其營運。我們預計，推展項目後，除了收集回收物料的質與量可望逐步提升，亦</w:t>
      </w:r>
      <w:r>
        <w:rPr>
          <w:rFonts w:ascii="Times New Roman" w:hAnsi="Times New Roman" w:cs="Times New Roman" w:eastAsia="華康細明體"/>
          <w:color w:val="auto"/>
          <w:spacing w:val="20"/>
          <w:sz w:val="27"/>
          <w:szCs w:val="27"/>
        </w:rPr>
        <w:t>有助加強環保教育和社區參與，從而推廣都市固體廢物收費和其他減廢及回收措施。</w:t>
      </w:r>
      <w:r>
        <w:br w:type="page"/>
      </w:r>
    </w:p>
    <w:p>
      <w:pPr>
        <w:pStyle w:val="Normal"/>
        <w:spacing w:lineRule="auto" w:line="240"/>
        <w:jc w:val="right"/>
        <w:rPr>
          <w:color w:val="000000"/>
          <w:spacing w:val="20"/>
          <w:sz w:val="27"/>
          <w:szCs w:val="27"/>
        </w:rPr>
      </w:pPr>
      <w:r>
        <w:rPr>
          <w:color w:val="000000"/>
          <w:spacing w:val="20"/>
          <w:sz w:val="27"/>
          <w:szCs w:val="27"/>
        </w:rPr>
        <w:t>附件二</w:t>
      </w:r>
    </w:p>
    <w:p>
      <w:pPr>
        <w:pStyle w:val="Normal"/>
        <w:spacing w:lineRule="auto" w:line="240"/>
        <w:jc w:val="left"/>
        <w:rPr>
          <w:color w:val="000000"/>
          <w:spacing w:val="20"/>
          <w:sz w:val="27"/>
          <w:szCs w:val="27"/>
        </w:rPr>
      </w:pPr>
      <w:r>
        <w:rPr>
          <w:color w:val="000000"/>
          <w:spacing w:val="20"/>
          <w:sz w:val="27"/>
          <w:szCs w:val="27"/>
        </w:rPr>
      </w:r>
    </w:p>
    <w:p>
      <w:pPr>
        <w:pStyle w:val="Normal"/>
        <w:spacing w:lineRule="auto" w:line="240"/>
        <w:jc w:val="center"/>
        <w:rPr>
          <w:color w:val="000000"/>
          <w:spacing w:val="20"/>
          <w:sz w:val="27"/>
          <w:szCs w:val="27"/>
        </w:rPr>
      </w:pPr>
      <w:r>
        <w:rPr>
          <w:color w:val="000000"/>
          <w:spacing w:val="20"/>
          <w:sz w:val="27"/>
          <w:szCs w:val="27"/>
        </w:rPr>
        <w:t>政府就加強審核廢塑膠“港產品出口”數字的編算</w:t>
      </w:r>
    </w:p>
    <w:p>
      <w:pPr>
        <w:pStyle w:val="Style13"/>
        <w:ind w:left="0" w:hanging="0"/>
        <w:jc w:val="center"/>
        <w:rPr>
          <w:i w:val="false"/>
          <w:i w:val="false"/>
        </w:rPr>
      </w:pPr>
      <w:r>
        <w:rPr>
          <w:i w:val="false"/>
          <w:color w:val="000000"/>
          <w:szCs w:val="27"/>
        </w:rPr>
        <w:t>而推展的工作詳情</w:t>
      </w:r>
    </w:p>
    <w:p>
      <w:pPr>
        <w:pStyle w:val="Style13"/>
        <w:ind w:left="0" w:hanging="0"/>
        <w:rPr>
          <w:i w:val="false"/>
          <w:i w:val="false"/>
        </w:rPr>
      </w:pPr>
      <w:r>
        <w:rPr>
          <w:i w:val="false"/>
        </w:rPr>
      </w:r>
    </w:p>
    <w:p>
      <w:pPr>
        <w:pStyle w:val="Default"/>
        <w:ind w:left="567" w:hanging="567"/>
        <w:jc w:val="both"/>
        <w:rPr>
          <w:rFonts w:ascii="Times New Roman" w:hAnsi="Times New Roman" w:eastAsia="華康細明體" w:cs="Times New Roman"/>
          <w:spacing w:val="20"/>
          <w:sz w:val="27"/>
          <w:szCs w:val="27"/>
        </w:rPr>
      </w:pPr>
      <w:r>
        <w:rPr>
          <w:rFonts w:eastAsia="華康細明體" w:cs="Times New Roman" w:ascii="Times New Roman" w:hAnsi="Times New Roman"/>
          <w:spacing w:val="20"/>
          <w:sz w:val="27"/>
        </w:rPr>
        <w:t>(i)</w:t>
        <w:tab/>
      </w:r>
      <w:r>
        <w:rPr>
          <w:rFonts w:ascii="Times New Roman" w:hAnsi="Times New Roman" w:cs="Times New Roman" w:eastAsia="華康細明體"/>
          <w:spacing w:val="20"/>
          <w:sz w:val="27"/>
          <w:szCs w:val="27"/>
        </w:rPr>
        <w:t>為使廢塑膠出口報關人士，包括回收商及出口商，能充分了解廢塑膠出口報關的法定要求，環保署聯同有關政府部門於去年起已先後為他們舉辦了</w:t>
      </w:r>
      <w:r>
        <w:rPr>
          <w:rFonts w:eastAsia="華康細明體" w:cs="Times New Roman" w:ascii="Times New Roman" w:hAnsi="Times New Roman"/>
          <w:spacing w:val="20"/>
          <w:sz w:val="27"/>
          <w:szCs w:val="27"/>
        </w:rPr>
        <w:t>4</w:t>
      </w:r>
      <w:r>
        <w:rPr>
          <w:rFonts w:ascii="Times New Roman" w:hAnsi="Times New Roman" w:cs="Times New Roman" w:eastAsia="華康細明體"/>
          <w:spacing w:val="20"/>
          <w:sz w:val="27"/>
          <w:szCs w:val="27"/>
        </w:rPr>
        <w:t>次專題工作坊，共邀約了</w:t>
      </w:r>
      <w:r>
        <w:rPr>
          <w:rFonts w:eastAsia="華康細明體" w:cs="Times New Roman" w:ascii="Times New Roman" w:hAnsi="Times New Roman"/>
          <w:spacing w:val="20"/>
          <w:sz w:val="27"/>
          <w:szCs w:val="27"/>
        </w:rPr>
        <w:t>53</w:t>
      </w:r>
      <w:r>
        <w:rPr>
          <w:rFonts w:ascii="Times New Roman" w:hAnsi="Times New Roman" w:cs="Times New Roman" w:eastAsia="華康細明體"/>
          <w:spacing w:val="20"/>
          <w:sz w:val="27"/>
          <w:szCs w:val="27"/>
        </w:rPr>
        <w:t>家公司參與。工作坊詳細介紹出口報關的相關法例，講解如何準確填報廢塑膠出口報關單，以及提供書面指引；</w:t>
      </w:r>
    </w:p>
    <w:p>
      <w:pPr>
        <w:pStyle w:val="Style13"/>
        <w:ind w:left="567" w:hanging="567"/>
        <w:rPr>
          <w:rFonts w:cs="Times New Roman"/>
          <w:i w:val="false"/>
          <w:i w:val="false"/>
        </w:rPr>
      </w:pPr>
      <w:r>
        <w:rPr>
          <w:rFonts w:cs="Times New Roman"/>
          <w:i w:val="false"/>
        </w:rPr>
      </w:r>
    </w:p>
    <w:p>
      <w:pPr>
        <w:pStyle w:val="Default"/>
        <w:ind w:left="567" w:hanging="567"/>
        <w:jc w:val="both"/>
        <w:rPr>
          <w:rFonts w:ascii="Times New Roman" w:hAnsi="Times New Roman" w:eastAsia="華康細明體" w:cs="Times New Roman"/>
          <w:spacing w:val="20"/>
          <w:sz w:val="27"/>
          <w:szCs w:val="27"/>
        </w:rPr>
      </w:pPr>
      <w:r>
        <w:rPr>
          <w:rFonts w:eastAsia="華康細明體" w:cs="Times New Roman" w:ascii="Times New Roman" w:hAnsi="Times New Roman"/>
          <w:spacing w:val="20"/>
          <w:sz w:val="27"/>
        </w:rPr>
        <w:t>(ii)</w:t>
        <w:tab/>
      </w:r>
      <w:r>
        <w:rPr>
          <w:rFonts w:ascii="Times New Roman" w:hAnsi="Times New Roman" w:cs="Times New Roman" w:eastAsia="華康細明體"/>
          <w:spacing w:val="20"/>
          <w:sz w:val="27"/>
          <w:szCs w:val="27"/>
        </w:rPr>
        <w:t>為避免出口報關人士把經港轉口廢塑膠誤報為港產品出口，政府統計處自</w:t>
      </w:r>
      <w:r>
        <w:rPr>
          <w:rFonts w:eastAsia="華康細明體" w:cs="Times New Roman" w:ascii="Times New Roman" w:hAnsi="Times New Roman"/>
          <w:spacing w:val="20"/>
          <w:sz w:val="27"/>
          <w:szCs w:val="27"/>
        </w:rPr>
        <w:t>2011</w:t>
      </w:r>
      <w:r>
        <w:rPr>
          <w:rFonts w:ascii="Times New Roman" w:hAnsi="Times New Roman" w:cs="Times New Roman" w:eastAsia="華康細明體"/>
          <w:spacing w:val="20"/>
          <w:sz w:val="27"/>
          <w:szCs w:val="27"/>
        </w:rPr>
        <w:t>年起已加強有關報關單的統計審核工作。遇有懷疑誤報個案，會與有關報關人士覆核和確認；及</w:t>
      </w:r>
    </w:p>
    <w:p>
      <w:pPr>
        <w:pStyle w:val="Style13"/>
        <w:ind w:left="567" w:hanging="567"/>
        <w:rPr>
          <w:rFonts w:cs="Times New Roman"/>
          <w:i w:val="false"/>
          <w:i w:val="false"/>
        </w:rPr>
      </w:pPr>
      <w:r>
        <w:rPr>
          <w:rFonts w:cs="Times New Roman"/>
          <w:i w:val="false"/>
        </w:rPr>
      </w:r>
    </w:p>
    <w:p>
      <w:pPr>
        <w:pStyle w:val="Default"/>
        <w:ind w:left="567" w:hanging="567"/>
        <w:jc w:val="both"/>
        <w:rPr>
          <w:rFonts w:ascii="Times New Roman" w:hAnsi="Times New Roman" w:eastAsia="華康細明體" w:cs="Times New Roman"/>
          <w:spacing w:val="20"/>
          <w:sz w:val="27"/>
          <w:szCs w:val="27"/>
        </w:rPr>
      </w:pPr>
      <w:r>
        <w:rPr>
          <w:rFonts w:eastAsia="華康細明體" w:cs="Times New Roman" w:ascii="Times New Roman" w:hAnsi="Times New Roman"/>
          <w:spacing w:val="8"/>
          <w:sz w:val="27"/>
        </w:rPr>
        <w:t>(iii)</w:t>
      </w:r>
      <w:r>
        <w:rPr>
          <w:rFonts w:eastAsia="華康細明體" w:cs="Times New Roman" w:ascii="Times New Roman" w:hAnsi="Times New Roman"/>
          <w:spacing w:val="20"/>
          <w:sz w:val="27"/>
        </w:rPr>
        <w:tab/>
      </w:r>
      <w:r>
        <w:rPr>
          <w:rFonts w:ascii="Times New Roman" w:hAnsi="Times New Roman" w:cs="Times New Roman" w:eastAsia="華康細明體"/>
          <w:spacing w:val="20"/>
          <w:sz w:val="27"/>
          <w:szCs w:val="27"/>
        </w:rPr>
        <w:t>由於進口廢塑膠若在港經認可加工後，在出口時可報稱原產地為香港。為使環保署能在計算廢塑膠本地回收量時把這類進口廢塑膠剔除，政府統計處已於去年起向廢塑膠“港產品出口”報關人士搜集有關額外資料。</w:t>
      </w:r>
    </w:p>
    <w:p>
      <w:pPr>
        <w:pStyle w:val="F21"/>
        <w:rPr>
          <w:rFonts w:cs="Times New Roman"/>
        </w:rPr>
      </w:pPr>
      <w:r>
        <w:rPr>
          <w:rFonts w:cs="Times New Roman"/>
        </w:rPr>
      </w:r>
    </w:p>
    <w:p>
      <w:pPr>
        <w:pStyle w:val="F21"/>
        <w:rPr>
          <w:rFonts w:cs="Times New Roman"/>
        </w:rPr>
      </w:pPr>
      <w:r>
        <w:rPr>
          <w:rFonts w:cs="Times New Roman"/>
        </w:rPr>
      </w:r>
    </w:p>
    <w:p>
      <w:pPr>
        <w:pStyle w:val="F21"/>
        <w:rPr>
          <w:szCs w:val="27"/>
        </w:rPr>
      </w:pPr>
      <w:r>
        <w:rPr>
          <w:rFonts w:ascii="華康中黑體" w:hAnsi="華康中黑體" w:cs="華康中黑體" w:eastAsia="華康中黑體"/>
          <w:b/>
          <w:szCs w:val="27"/>
        </w:rPr>
        <w:t>陳克勤議員</w:t>
      </w:r>
      <w:r>
        <w:rPr>
          <w:szCs w:val="27"/>
        </w:rPr>
        <w:t>：</w:t>
      </w:r>
      <w:r>
        <w:rPr>
          <w:i/>
          <w:szCs w:val="27"/>
        </w:rPr>
        <w:t>主席，正如局長承認，固體廢物回收率下降的其中一個原因是廢塑膠無法出口。事實上，廢塑膠是日常生活中產生得最多的廢物，但這些廢物的回收價最低、最佔地方又須即時處理。如果無法處理，這些廢塑膠最終會被送往堆填區。為何局長不考慮如何協助把這些廢塑膠出口或循環再造，卻研究“港產品出口”數字是否計算得不對，意圖“造數”，以減低廢塑膠的出口率。局長有否“捉錯用神”？主席，我想請局長解釋一下，針對廢塑膠循環再造，當局會否做些工夫或在政策上給予支持？</w:t>
      </w:r>
    </w:p>
    <w:p>
      <w:pPr>
        <w:pStyle w:val="F21"/>
        <w:rPr>
          <w:szCs w:val="27"/>
        </w:rPr>
      </w:pPr>
      <w:r>
        <w:rPr>
          <w:szCs w:val="27"/>
        </w:rPr>
      </w:r>
    </w:p>
    <w:p>
      <w:pPr>
        <w:pStyle w:val="F21"/>
        <w:rPr>
          <w:szCs w:val="27"/>
        </w:rPr>
      </w:pPr>
      <w:r>
        <w:rPr>
          <w:szCs w:val="27"/>
        </w:rPr>
      </w:r>
    </w:p>
    <w:p>
      <w:pPr>
        <w:pStyle w:val="F21"/>
        <w:rPr>
          <w:szCs w:val="27"/>
        </w:rPr>
      </w:pPr>
      <w:r>
        <w:rPr>
          <w:rFonts w:ascii="華康細明體" w:hAnsi="華康細明體" w:cs="華康中黑體" w:eastAsia="華康中黑體"/>
          <w:b/>
          <w:szCs w:val="27"/>
        </w:rPr>
        <w:t>環境局局長</w:t>
      </w:r>
      <w:r>
        <w:rPr>
          <w:szCs w:val="27"/>
        </w:rPr>
        <w:t>：主席，多謝陳議員的補充質詢。首先，我要澄清，我剛才提到，固體廢物回收率起伏的最主要因素並非廢塑膠。例如與</w:t>
      </w:r>
      <w:r>
        <w:rPr>
          <w:szCs w:val="27"/>
        </w:rPr>
        <w:t>2012</w:t>
      </w:r>
      <w:r>
        <w:rPr>
          <w:szCs w:val="27"/>
        </w:rPr>
        <w:t>年的數字相比，都市固體廢物的總回收量減少了</w:t>
      </w:r>
      <w:r>
        <w:rPr>
          <w:szCs w:val="27"/>
        </w:rPr>
        <w:t>15</w:t>
      </w:r>
      <w:r>
        <w:rPr>
          <w:szCs w:val="27"/>
        </w:rPr>
        <w:t>萬公噸，其中廢紙料減少了</w:t>
      </w:r>
      <w:r>
        <w:rPr>
          <w:szCs w:val="27"/>
        </w:rPr>
        <w:t>13</w:t>
      </w:r>
      <w:r>
        <w:rPr>
          <w:szCs w:val="27"/>
        </w:rPr>
        <w:t>萬公噸。這絕對是在數量和比例上出現的最大差異。不過，我同意陳議員所說，我們須就廢塑膠的關注事項作出改善。我們與業界保持緊密溝通，最大問題是如何提升這些可回收廢塑膠的質素以便出口。過去出口廢塑膠相對容易，即使回收到的廢塑膠質素參差，也可以出口。不過，由於外地的廢塑膠出口水平比香港優勝，我們必須與時並進。</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我剛才說過，我們要提升回收業的整體水平，包括數量和質素兩方面，以面對未來的挑戰。我們會在數方面提供協助，包括設立回收基金以支持相關行業</w:t>
      </w:r>
      <w:r>
        <w:rPr>
          <w:szCs w:val="27"/>
        </w:rPr>
        <w:t>(</w:t>
      </w:r>
      <w:r>
        <w:rPr>
          <w:szCs w:val="27"/>
        </w:rPr>
        <w:t>特別是廢塑膠行業</w:t>
      </w:r>
      <w:r>
        <w:rPr>
          <w:szCs w:val="27"/>
        </w:rPr>
        <w:t>)</w:t>
      </w:r>
      <w:r>
        <w:rPr>
          <w:szCs w:val="27"/>
        </w:rPr>
        <w:t>提升產品質素，以便利出口。我們會多管齊下，透過政務司司長領導的督導委員會，在多方面，包括在土地方面向回收業提供支援。例如，鑒於現時土地的租期較短，如廢塑膠業界想投資某些機器以處理清洗和分解工序，從而提升出口廢塑膠的質素，實際上存在相當大的顧慮。所以，我們會進行短、中及長期的跨部門研究和檢討，考慮如何可提供較長期土地租約，幫助廢塑膠業和回收業在相關機器上作出投資。</w:t>
      </w:r>
    </w:p>
    <w:p>
      <w:pPr>
        <w:pStyle w:val="F21"/>
        <w:spacing w:lineRule="atLeast" w:line="370"/>
        <w:rPr>
          <w:szCs w:val="27"/>
        </w:rPr>
      </w:pPr>
      <w:r>
        <w:rPr>
          <w:szCs w:val="27"/>
        </w:rPr>
      </w:r>
    </w:p>
    <w:p>
      <w:pPr>
        <w:pStyle w:val="F21"/>
        <w:spacing w:lineRule="atLeast" w:line="370"/>
        <w:rPr>
          <w:szCs w:val="27"/>
        </w:rPr>
      </w:pPr>
      <w:r>
        <w:rPr>
          <w:szCs w:val="27"/>
        </w:rPr>
        <w:tab/>
      </w:r>
      <w:r>
        <w:rPr>
          <w:szCs w:val="27"/>
        </w:rPr>
        <w:t>此外，我們會與一些機構，例如香港品質保證局建立類似認證的制度，幫助業界提升質素，包括協助業界培訓人手。我們會在回收基金、土地和培訓等方面支援業界提升質素，希望提升業界的整體水平及回收率。</w:t>
      </w:r>
    </w:p>
    <w:p>
      <w:pPr>
        <w:pStyle w:val="F21"/>
        <w:spacing w:lineRule="atLeast" w:line="370"/>
        <w:rPr>
          <w:szCs w:val="27"/>
        </w:rPr>
      </w:pPr>
      <w:r>
        <w:rPr>
          <w:szCs w:val="27"/>
        </w:rPr>
      </w:r>
    </w:p>
    <w:p>
      <w:pPr>
        <w:pStyle w:val="F21"/>
        <w:spacing w:lineRule="atLeast" w:line="370"/>
        <w:rPr>
          <w:szCs w:val="27"/>
        </w:rPr>
      </w:pPr>
      <w:r>
        <w:rPr>
          <w:szCs w:val="27"/>
        </w:rPr>
        <w:tab/>
      </w:r>
      <w:r>
        <w:rPr>
          <w:szCs w:val="27"/>
        </w:rPr>
        <w:t>不過，我在答覆中提到，《藍圖》的最主要目標是減少人均每天棄置量。回收率是一個客觀的參考數字，例如我們推廣“惜食香港”運動，旨在從源頭減少廚餘產生，並提升廚餘回收率。我希望大家明白這個重點和目標。</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ascii="華康中黑體" w:hAnsi="華康中黑體" w:cs="華康中黑體" w:eastAsia="華康中黑體"/>
          <w:b/>
          <w:szCs w:val="27"/>
        </w:rPr>
        <w:t>陳婉嫻議員</w:t>
      </w:r>
      <w:r>
        <w:rPr>
          <w:szCs w:val="27"/>
        </w:rPr>
        <w:t>：</w:t>
      </w:r>
      <w:r>
        <w:rPr>
          <w:i/>
          <w:szCs w:val="27"/>
        </w:rPr>
        <w:t xml:space="preserve">局長回應質詢的這番說話，我們在過去一段頗長時間都曾聽過 </w:t>
      </w:r>
      <w:r>
        <w:rPr>
          <w:rFonts w:ascii="Symbol" w:hAnsi="Symbol" w:cs="Symbol" w:eastAsia="Symbol"/>
          <w:i/>
          <w:szCs w:val="27"/>
        </w:rPr>
        <w:t></w:t>
      </w:r>
      <w:r>
        <w:rPr>
          <w:i/>
          <w:szCs w:val="27"/>
        </w:rPr>
        <w:t xml:space="preserve"> 我不是要追溯 </w:t>
      </w:r>
      <w:r>
        <w:rPr>
          <w:rFonts w:ascii="Symbol" w:hAnsi="Symbol" w:cs="Symbol" w:eastAsia="Symbol"/>
          <w:i/>
          <w:szCs w:val="27"/>
        </w:rPr>
        <w:t></w:t>
      </w:r>
      <w:r>
        <w:rPr>
          <w:i/>
          <w:szCs w:val="27"/>
        </w:rPr>
        <w:t xml:space="preserve"> 我們在</w:t>
      </w:r>
      <w:r>
        <w:rPr>
          <w:i/>
          <w:szCs w:val="27"/>
        </w:rPr>
        <w:t>2004</w:t>
      </w:r>
      <w:r>
        <w:rPr>
          <w:i/>
          <w:szCs w:val="27"/>
        </w:rPr>
        <w:t>年至</w:t>
      </w:r>
      <w:r>
        <w:rPr>
          <w:i/>
          <w:szCs w:val="27"/>
        </w:rPr>
        <w:t>2008</w:t>
      </w:r>
      <w:r>
        <w:rPr>
          <w:i/>
          <w:szCs w:val="27"/>
        </w:rPr>
        <w:t>年一屆立法會討論膠袋回收問題時，已提出希望做好源頭工作，也曾討論如何利用廢塑膠。現在廢塑膠甚至在出口方面也有問題，還有很多事情有待處理。我只想說，我們從</w:t>
      </w:r>
      <w:r>
        <w:rPr>
          <w:i/>
          <w:szCs w:val="27"/>
        </w:rPr>
        <w:t>2004</w:t>
      </w:r>
      <w:r>
        <w:rPr>
          <w:i/>
          <w:szCs w:val="27"/>
        </w:rPr>
        <w:t>年至</w:t>
      </w:r>
      <w:r>
        <w:rPr>
          <w:i/>
          <w:szCs w:val="27"/>
        </w:rPr>
        <w:t>2008</w:t>
      </w:r>
      <w:r>
        <w:rPr>
          <w:i/>
          <w:szCs w:val="27"/>
        </w:rPr>
        <w:t>年也曾討論廢塑膠問題，當時我們希望從源頭幫助相關行業，我們也知道其他地方在這方面有豐富經驗。</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從</w:t>
      </w:r>
      <w:r>
        <w:rPr>
          <w:i/>
          <w:szCs w:val="27"/>
        </w:rPr>
        <w:t>2004</w:t>
      </w:r>
      <w:r>
        <w:rPr>
          <w:i/>
          <w:szCs w:val="27"/>
        </w:rPr>
        <w:t>年至</w:t>
      </w:r>
      <w:r>
        <w:rPr>
          <w:i/>
          <w:szCs w:val="27"/>
        </w:rPr>
        <w:t>2008</w:t>
      </w:r>
      <w:r>
        <w:rPr>
          <w:i/>
          <w:szCs w:val="27"/>
        </w:rPr>
        <w:t>年直至現在經過多長時間？</w:t>
      </w:r>
      <w:r>
        <w:rPr>
          <w:i/>
          <w:szCs w:val="27"/>
        </w:rPr>
        <w:t>10</w:t>
      </w:r>
      <w:r>
        <w:rPr>
          <w:i/>
          <w:szCs w:val="27"/>
        </w:rPr>
        <w:t>多年過去了，但局長仍在談論“</w:t>
      </w:r>
      <w:r>
        <w:rPr>
          <w:i/>
          <w:szCs w:val="27"/>
        </w:rPr>
        <w:t>ABC”</w:t>
      </w:r>
      <w:r>
        <w:rPr>
          <w:i/>
          <w:szCs w:val="27"/>
        </w:rPr>
        <w:t>。剛才陳議員的提問是對的，因為局長仍在重複多年前說過的話。當局有沒有時間表和路線圖？這是當局的習慣，在政治和廢塑膠問題上的做法相同。請局長清楚告訴我們，這些工作怎樣能夠按照時間表落實？</w:t>
      </w:r>
      <w:r>
        <w:br w:type="page"/>
      </w:r>
    </w:p>
    <w:p>
      <w:pPr>
        <w:pStyle w:val="F21"/>
        <w:spacing w:lineRule="atLeast" w:line="370"/>
        <w:rPr>
          <w:i/>
          <w:i/>
          <w:szCs w:val="27"/>
        </w:rPr>
      </w:pPr>
      <w:r>
        <w:rPr>
          <w:i/>
          <w:szCs w:val="27"/>
        </w:rPr>
        <w:tab/>
      </w:r>
      <w:r>
        <w:rPr>
          <w:i/>
          <w:szCs w:val="27"/>
        </w:rPr>
        <w:t>環保團體都非常關注，很多時候，當局會透過某些基金</w:t>
      </w:r>
      <w:r>
        <w:rPr>
          <w:i/>
          <w:szCs w:val="27"/>
        </w:rPr>
        <w:t>......</w:t>
      </w:r>
      <w:r>
        <w:rPr>
          <w:i/>
          <w:szCs w:val="27"/>
        </w:rPr>
        <w:t>請局長提供一些指標，我不希望等待</w:t>
      </w:r>
      <w:r>
        <w:rPr>
          <w:i/>
          <w:szCs w:val="27"/>
        </w:rPr>
        <w:t>10</w:t>
      </w:r>
      <w:r>
        <w:rPr>
          <w:i/>
          <w:szCs w:val="27"/>
        </w:rPr>
        <w:t>多年才能成事，甚至不能成事</w:t>
      </w:r>
      <w:r>
        <w:rPr>
          <w:i/>
          <w:szCs w:val="27"/>
        </w:rPr>
        <w:t>......</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主席</w:t>
      </w:r>
      <w:r>
        <w:rPr>
          <w:szCs w:val="27"/>
        </w:rPr>
        <w:t>：請議員提問及局長作答盡量精簡，讓其他議員有機會提問。</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陳婉嫻議員</w:t>
      </w:r>
      <w:r>
        <w:rPr>
          <w:szCs w:val="27"/>
        </w:rPr>
        <w:t>：</w:t>
      </w:r>
      <w:r>
        <w:rPr>
          <w:i/>
          <w:szCs w:val="27"/>
        </w:rPr>
        <w:t>主席，我的補充質詢很簡單，我想問局長能否就廢塑膠事宜提供時間表和路線圖，告訴我們怎樣令廢塑膠的棄置量下降並得到迅速處理？</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環境局局長</w:t>
      </w:r>
      <w:r>
        <w:rPr>
          <w:szCs w:val="27"/>
        </w:rPr>
        <w:t>：主席，多謝陳婉嫻議員的補充質詢。就廢塑膠而言，大家要明白，香港堆填區內大約兩成棄置物是塑膠相關物料，當中包括大量膠袋，佔棄置物總量約三分之一。與膠袋相比，膠樽相對上佔少數。我們從</w:t>
      </w:r>
      <w:r>
        <w:rPr>
          <w:szCs w:val="27"/>
        </w:rPr>
        <w:t>4</w:t>
      </w:r>
      <w:r>
        <w:rPr>
          <w:szCs w:val="27"/>
        </w:rPr>
        <w:t>月</w:t>
      </w:r>
      <w:r>
        <w:rPr>
          <w:szCs w:val="27"/>
        </w:rPr>
        <w:t>1</w:t>
      </w:r>
      <w:r>
        <w:rPr>
          <w:szCs w:val="27"/>
        </w:rPr>
        <w:t>日起全面實施塑膠購物袋徵費，這正顯示我們的政策有先後緩急的次序。上一期膠袋徵費推出後，雖然只涵蓋數千個零售點，但所減少的膠袋用量接近八、九成。這未必能夠幫助提升塑膠物品的回收率，卻能夠從源頭減少濫用膠袋。大家要明白相關政策的重點，是要減少廢物的產生，我們無意特別推高回收率。</w:t>
      </w:r>
    </w:p>
    <w:p>
      <w:pPr>
        <w:pStyle w:val="F21"/>
        <w:spacing w:lineRule="atLeast" w:line="370"/>
        <w:rPr>
          <w:szCs w:val="27"/>
        </w:rPr>
      </w:pPr>
      <w:r>
        <w:rPr>
          <w:szCs w:val="27"/>
        </w:rPr>
      </w:r>
    </w:p>
    <w:p>
      <w:pPr>
        <w:pStyle w:val="F21"/>
        <w:spacing w:lineRule="atLeast" w:line="370"/>
        <w:rPr>
          <w:szCs w:val="27"/>
        </w:rPr>
      </w:pPr>
      <w:r>
        <w:rPr>
          <w:szCs w:val="27"/>
        </w:rPr>
        <w:tab/>
      </w:r>
      <w:r>
        <w:rPr>
          <w:szCs w:val="27"/>
        </w:rPr>
        <w:t>當然，我們在日常生活中無法避免會棄置某些塑膠物品，這些物品便要回收。今後數年，根據《藍圖》要進行的工作十分清晰。例如今年施政報告提出，我們要推行“乾淨回收”運動。如果我們在源頭把骯髒的飲品瓶丟進回收箱，便會污染所有回收物料，最終要把所有回收物料送到堆填區。所以，大家應從源頭改變行為，加強乾淨回收，這點非常重要。我們今年內會與業界和相關團體一起全面推行“乾淨回收”運動，塑膠回收是一個重點。</w:t>
      </w:r>
    </w:p>
    <w:p>
      <w:pPr>
        <w:pStyle w:val="F21"/>
        <w:spacing w:lineRule="atLeast" w:line="370"/>
        <w:rPr>
          <w:szCs w:val="27"/>
        </w:rPr>
      </w:pPr>
      <w:r>
        <w:rPr>
          <w:szCs w:val="27"/>
        </w:rPr>
      </w:r>
    </w:p>
    <w:p>
      <w:pPr>
        <w:pStyle w:val="F21"/>
        <w:spacing w:lineRule="atLeast" w:line="370"/>
        <w:rPr>
          <w:szCs w:val="27"/>
        </w:rPr>
      </w:pPr>
      <w:r>
        <w:rPr>
          <w:szCs w:val="27"/>
        </w:rPr>
        <w:tab/>
      </w:r>
      <w:r>
        <w:rPr>
          <w:szCs w:val="27"/>
        </w:rPr>
        <w:t>關於回收基金，我們曾與業界討論，這是一個快捷的方法，能夠針對不同的回收物料，包括廢塑膠，提供支援。我們期待立法會財務委員會盡快通過撥款，以便向業界提供支援。</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剛才說過土地最為重要，例如土地租約的不穩定性令業界遇上困難和感到憂慮。以往用地的租期較短，不利於業界在機器方面作出投資。我們必須與時並進，把回收到的廢塑膠用機器轉化以便出口，這是關鍵所在。</w:t>
      </w:r>
      <w:r>
        <w:br w:type="page"/>
      </w:r>
    </w:p>
    <w:p>
      <w:pPr>
        <w:pStyle w:val="F21"/>
        <w:spacing w:lineRule="atLeast" w:line="380"/>
        <w:rPr>
          <w:szCs w:val="27"/>
        </w:rPr>
      </w:pPr>
      <w:r>
        <w:rPr>
          <w:szCs w:val="27"/>
        </w:rPr>
        <w:tab/>
      </w:r>
      <w:r>
        <w:rPr>
          <w:szCs w:val="27"/>
        </w:rPr>
        <w:t xml:space="preserve">然而，大家要明白，凡涉及土地的問題都會帶來很大的挑戰。不過，我們會迎難而上，與不同部門商討怎樣延長短期租約，特別針對廢塑膠業等業界的訴求。我們會盡快把土地推出市場，讓業界申請，以便善用土地。我們在多方面都有時間表，希望在今年內盡快推出“乾淨回收”運動及設立回收基金。如果在暑假前成事，將能大力協助回收業界在質和量方面改善廢塑膠的出口。至於土地，我們正與相關部門，即發展局進行商討，希望盡快把土地推出市場。   </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eastAsia="華康中黑體"/>
          <w:b/>
          <w:szCs w:val="27"/>
        </w:rPr>
        <w:t>謝偉銓議員</w:t>
      </w:r>
      <w:r>
        <w:rPr>
          <w:szCs w:val="27"/>
        </w:rPr>
        <w:t>：</w:t>
      </w:r>
      <w:r>
        <w:rPr>
          <w:i/>
          <w:szCs w:val="27"/>
        </w:rPr>
        <w:t>主席，局長剛才回答時強調，政府十分重視回收業的持續發展，但過去有不少報道指屯門環保園在過去</w:t>
      </w:r>
      <w:r>
        <w:rPr>
          <w:i/>
          <w:szCs w:val="27"/>
        </w:rPr>
        <w:t>14</w:t>
      </w:r>
      <w:r>
        <w:rPr>
          <w:i/>
          <w:szCs w:val="27"/>
        </w:rPr>
        <w:t>年的發展非常緩慢。審計署在</w:t>
      </w:r>
      <w:r>
        <w:rPr>
          <w:i/>
          <w:szCs w:val="27"/>
        </w:rPr>
        <w:t>2010</w:t>
      </w:r>
      <w:r>
        <w:rPr>
          <w:i/>
          <w:szCs w:val="27"/>
        </w:rPr>
        <w:t>年發表的報告亦指出，環保園的運作較原定計劃延遲了</w:t>
      </w:r>
      <w:r>
        <w:rPr>
          <w:i/>
          <w:szCs w:val="27"/>
        </w:rPr>
        <w:t>3</w:t>
      </w:r>
      <w:r>
        <w:rPr>
          <w:i/>
          <w:szCs w:val="27"/>
        </w:rPr>
        <w:t>年。就此，我想問局長，針對環保園的運作，局方近年有何措施積極回應有關問題、提升環保園的整體表現，以及有否檢視某些措施是否達標？就環保園的整體管理及運作，有哪些需要改進的地方？</w:t>
      </w:r>
    </w:p>
    <w:p>
      <w:pPr>
        <w:pStyle w:val="F21"/>
        <w:spacing w:lineRule="atLeast" w:line="380"/>
        <w:rPr>
          <w:i/>
          <w:i/>
          <w:szCs w:val="27"/>
        </w:rPr>
      </w:pPr>
      <w:r>
        <w:rPr>
          <w:i/>
          <w:szCs w:val="27"/>
        </w:rPr>
      </w:r>
    </w:p>
    <w:p>
      <w:pPr>
        <w:pStyle w:val="F21"/>
        <w:spacing w:lineRule="atLeast" w:line="380"/>
        <w:rPr>
          <w:i/>
          <w:i/>
          <w:szCs w:val="27"/>
        </w:rPr>
      </w:pPr>
      <w:r>
        <w:rPr>
          <w:i/>
          <w:szCs w:val="27"/>
        </w:rPr>
      </w:r>
    </w:p>
    <w:p>
      <w:pPr>
        <w:pStyle w:val="F21"/>
        <w:spacing w:lineRule="atLeast" w:line="380"/>
        <w:rPr>
          <w:szCs w:val="27"/>
        </w:rPr>
      </w:pPr>
      <w:r>
        <w:rPr>
          <w:rFonts w:eastAsia="華康中黑體"/>
          <w:b/>
          <w:szCs w:val="27"/>
        </w:rPr>
        <w:t>環境局局長</w:t>
      </w:r>
      <w:r>
        <w:rPr>
          <w:szCs w:val="27"/>
        </w:rPr>
        <w:t>：主席，多謝謝議員對屯門環保園的關注。我也十分關注這個環保園的運作，回顧過去，在環保園運作初期，政府及業界都有一個摸索階段。經過長時間磨合，大家了解到當中的挑戰。</w:t>
      </w:r>
    </w:p>
    <w:p>
      <w:pPr>
        <w:pStyle w:val="F21"/>
        <w:spacing w:lineRule="atLeast" w:line="380"/>
        <w:rPr>
          <w:szCs w:val="27"/>
        </w:rPr>
      </w:pPr>
      <w:r>
        <w:rPr>
          <w:szCs w:val="27"/>
        </w:rPr>
      </w:r>
    </w:p>
    <w:p>
      <w:pPr>
        <w:pStyle w:val="F21"/>
        <w:spacing w:lineRule="atLeast" w:line="380"/>
        <w:rPr>
          <w:szCs w:val="27"/>
        </w:rPr>
      </w:pPr>
      <w:r>
        <w:rPr>
          <w:szCs w:val="27"/>
        </w:rPr>
        <w:tab/>
      </w:r>
      <w:r>
        <w:rPr>
          <w:szCs w:val="27"/>
        </w:rPr>
        <w:t>讓我舉出數個例子，個別租戶在興建廠房、購置機器及完成物料回收後有何出路？價錢的起伏能否幫助他們健康地運作？由於很多內在和外在因素，環保園的租戶能否健康持續發展是一個挑戰，會對環保園的運作以至整體行業造成影響。因此，我們不能只談環保園管理和運作，應作出更全面的考慮。</w:t>
      </w:r>
    </w:p>
    <w:p>
      <w:pPr>
        <w:pStyle w:val="F21"/>
        <w:spacing w:lineRule="atLeast" w:line="380"/>
        <w:rPr>
          <w:szCs w:val="27"/>
        </w:rPr>
      </w:pPr>
      <w:r>
        <w:rPr>
          <w:szCs w:val="27"/>
        </w:rPr>
      </w:r>
    </w:p>
    <w:p>
      <w:pPr>
        <w:pStyle w:val="F21"/>
        <w:spacing w:lineRule="atLeast" w:line="380"/>
        <w:rPr>
          <w:szCs w:val="27"/>
        </w:rPr>
      </w:pPr>
      <w:r>
        <w:rPr>
          <w:szCs w:val="27"/>
        </w:rPr>
        <w:tab/>
      </w:r>
      <w:r>
        <w:rPr>
          <w:szCs w:val="27"/>
        </w:rPr>
        <w:t>除了要與不同的租戶緊密聯繫和對他們進行監察外，配套政策也相當重要。例如，回收基金可在不同程度上幫助整體回收業界健康發展。我們從源頭推動“乾淨回收”亦能幫助業界健康發展。政府早前回收聖誕樹及在農曆年後回收桃花等，都能便利環保園的商戶收集物資。</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我們必須多方面配合，才能幫助環保園的商戶健康發展及處理回收物料，對全港回收業界亦大有裨益。簡單來說，我們不應聚焦環保園的個別情況，必須考慮整體情況。</w:t>
      </w:r>
    </w:p>
    <w:p>
      <w:pPr>
        <w:pStyle w:val="F21"/>
        <w:spacing w:lineRule="exact" w:line="20"/>
        <w:rPr>
          <w:szCs w:val="27"/>
        </w:rPr>
      </w:pPr>
      <w:r>
        <w:rPr>
          <w:szCs w:val="27"/>
        </w:rPr>
      </w:r>
    </w:p>
    <w:p>
      <w:pPr>
        <w:pStyle w:val="Normal"/>
        <w:widowControl/>
        <w:tabs>
          <w:tab w:val="clear" w:pos="720"/>
        </w:tabs>
        <w:spacing w:lineRule="exact" w:line="20"/>
        <w:jc w:val="left"/>
        <w:rPr>
          <w:rFonts w:cs="" w:cstheme="minorBidi"/>
          <w:spacing w:val="20"/>
          <w:sz w:val="27"/>
          <w:szCs w:val="27"/>
          <w:lang w:val="en-US"/>
        </w:rPr>
      </w:pPr>
      <w:r>
        <w:rPr>
          <w:rFonts w:cs="" w:cstheme="minorBidi"/>
          <w:spacing w:val="20"/>
          <w:sz w:val="27"/>
          <w:szCs w:val="27"/>
          <w:lang w:val="en-US"/>
        </w:rPr>
      </w:r>
      <w:r>
        <w:br w:type="page"/>
      </w:r>
    </w:p>
    <w:p>
      <w:pPr>
        <w:pStyle w:val="F21"/>
        <w:rPr>
          <w:rFonts w:ascii="華康中黑體" w:hAnsi="華康中黑體" w:eastAsia="華康中黑體" w:cs="華康中黑體"/>
          <w:b/>
          <w:b/>
          <w:szCs w:val="27"/>
        </w:rPr>
      </w:pPr>
      <w:r>
        <w:rPr>
          <w:rFonts w:ascii="華康中黑體" w:hAnsi="華康中黑體" w:cs="華康中黑體" w:eastAsia="華康中黑體"/>
          <w:b/>
          <w:szCs w:val="27"/>
        </w:rPr>
        <w:t>主席</w:t>
      </w:r>
      <w:r>
        <w:rPr>
          <w:szCs w:val="27"/>
        </w:rPr>
        <w:t>：本會就這項質詢已用了接近</w:t>
      </w:r>
      <w:r>
        <w:rPr>
          <w:szCs w:val="27"/>
        </w:rPr>
        <w:t>23</w:t>
      </w:r>
      <w:r>
        <w:rPr>
          <w:szCs w:val="27"/>
        </w:rPr>
        <w:t>分鐘。除了提出主體質詢的議員外，只有兩位議員可以提出補充質詢，而局長回答每項補充質詢均用上超過</w:t>
      </w:r>
      <w:r>
        <w:rPr>
          <w:szCs w:val="27"/>
        </w:rPr>
        <w:t>4</w:t>
      </w:r>
      <w:r>
        <w:rPr>
          <w:szCs w:val="27"/>
        </w:rPr>
        <w:t>分鐘。我希望以後有多些機會讓議員提問。最後一項口頭質詢。</w:t>
      </w:r>
    </w:p>
    <w:p>
      <w:pPr>
        <w:pStyle w:val="F21"/>
        <w:rPr>
          <w:rFonts w:cs="Times New Roman"/>
        </w:rPr>
      </w:pPr>
      <w:r>
        <w:rPr>
          <w:rFonts w:cs="Times New Roman"/>
        </w:rPr>
      </w:r>
    </w:p>
    <w:p>
      <w:pPr>
        <w:pStyle w:val="F21"/>
        <w:rPr>
          <w:rFonts w:cs="Times New Roman"/>
        </w:rPr>
      </w:pPr>
      <w:r>
        <w:rPr>
          <w:rFonts w:cs="Times New Roman"/>
        </w:rPr>
      </w:r>
    </w:p>
    <w:p>
      <w:pPr>
        <w:pStyle w:val="F21"/>
        <w:rPr>
          <w:rFonts w:eastAsia="華康中黑體" w:cs="Times New Roman"/>
          <w:b/>
          <w:b/>
        </w:rPr>
      </w:pPr>
      <w:bookmarkStart w:id="22" w:name="orq06"/>
      <w:r>
        <w:rPr>
          <w:rFonts w:cs="Times New Roman" w:eastAsia="華康中黑體"/>
          <w:b/>
        </w:rPr>
        <w:t>評估政府及主要官員的表現</w:t>
      </w:r>
    </w:p>
    <w:p>
      <w:pPr>
        <w:pStyle w:val="Normal"/>
        <w:rPr>
          <w:b/>
          <w:b/>
        </w:rPr>
      </w:pPr>
      <w:bookmarkStart w:id="23" w:name="orq06"/>
      <w:r>
        <w:rPr>
          <w:b/>
        </w:rPr>
        <w:t>Assessment of Performance of Government and Principal Officials</w:t>
      </w:r>
      <w:bookmarkEnd w:id="23"/>
    </w:p>
    <w:p>
      <w:pPr>
        <w:pStyle w:val="F21"/>
        <w:rPr>
          <w:rFonts w:cs="Times New Roman"/>
        </w:rPr>
      </w:pPr>
      <w:r>
        <w:rPr>
          <w:rFonts w:cs="Times New Roman"/>
        </w:rPr>
      </w:r>
    </w:p>
    <w:p>
      <w:pPr>
        <w:pStyle w:val="F21"/>
        <w:rPr>
          <w:i/>
          <w:i/>
          <w:szCs w:val="27"/>
        </w:rPr>
      </w:pPr>
      <w:r>
        <w:rPr>
          <w:rFonts w:eastAsia="華康中黑體"/>
          <w:b/>
          <w:szCs w:val="27"/>
        </w:rPr>
        <w:t>6.</w:t>
        <w:tab/>
      </w:r>
      <w:r>
        <w:rPr>
          <w:rFonts w:eastAsia="華康中黑體"/>
          <w:b/>
          <w:szCs w:val="27"/>
        </w:rPr>
        <w:t>林大輝議員</w:t>
      </w:r>
      <w:r>
        <w:rPr>
          <w:szCs w:val="27"/>
        </w:rPr>
        <w:t>：</w:t>
      </w:r>
      <w:r>
        <w:rPr>
          <w:i/>
          <w:szCs w:val="27"/>
        </w:rPr>
        <w:t>主席，本月</w:t>
      </w:r>
      <w:r>
        <w:rPr>
          <w:i/>
          <w:szCs w:val="27"/>
        </w:rPr>
        <w:t>5</w:t>
      </w:r>
      <w:r>
        <w:rPr>
          <w:i/>
          <w:szCs w:val="27"/>
        </w:rPr>
        <w:t>日，國務院總理在第十二屆全國人民代表大會第三次會議席上發表政府工作報告，當中提到“政府工作還存在不足，有些政策措施落實不到位，少數政府機關工作人員亂作為，一些腐敗問題觸目驚心，有的為官不為，在其位不謀其政，該辦的事不辦。”他還表示，要“完善政績考核評價機制，對實績突出的，要大力褒獎；對工作不力的，要約談誡勉；對為官不為、懶政怠政的，要公開曝光、堅決追究責任。”談到簡政放權時，他強調“大道至簡，有權不可任性”。另一方面，有不少評論和民意調查指出，現屆特區政府的施政舉步維艱、行政立法關係惡劣、行政長官和部分主要官員民望長期偏低，市民對政府的不滿持續上升，反映主要官員問責制形同虛設，管治已出現危機。關於採用總理的論述評估特區政府及主要官員的表現，政府可否告知本會：</w:t>
      </w:r>
    </w:p>
    <w:p>
      <w:pPr>
        <w:pStyle w:val="F21"/>
        <w:rPr>
          <w:i/>
          <w:i/>
          <w:szCs w:val="27"/>
        </w:rPr>
      </w:pPr>
      <w:r>
        <w:rPr>
          <w:i/>
          <w:szCs w:val="27"/>
        </w:rPr>
      </w:r>
    </w:p>
    <w:p>
      <w:pPr>
        <w:pStyle w:val="Style13"/>
        <w:rPr/>
      </w:pPr>
      <w:r>
        <w:rPr/>
        <w:t>(</w:t>
      </w:r>
      <w:r>
        <w:rPr/>
        <w:t>一</w:t>
      </w:r>
      <w:r>
        <w:rPr/>
        <w:t>)</w:t>
        <w:tab/>
      </w:r>
      <w:r>
        <w:rPr/>
        <w:t>政府有否檢討現時哪些政策措施落實不到位，以及是否有主要官員能力不足和該辦的事不辦，以致他們的民望長期低企和市民對政府的不滿持續上升；若有檢討，詳情為何；若否，原因為何；</w:t>
      </w:r>
    </w:p>
    <w:p>
      <w:pPr>
        <w:pStyle w:val="Style13"/>
        <w:rPr/>
      </w:pPr>
      <w:r>
        <w:rPr/>
      </w:r>
    </w:p>
    <w:p>
      <w:pPr>
        <w:pStyle w:val="Style13"/>
        <w:rPr/>
      </w:pPr>
      <w:r>
        <w:rPr/>
        <w:t>(</w:t>
      </w:r>
      <w:r>
        <w:rPr/>
        <w:t>二</w:t>
      </w:r>
      <w:r>
        <w:rPr/>
        <w:t>)</w:t>
        <w:tab/>
      </w:r>
      <w:r>
        <w:rPr/>
        <w:t>鑒於有評論指出，政府受人民監督，而官員的民望低反映其能力和表現不被人民認同，政府有否對工作不力及民望低的主要官員，約談誡勉，並堅決追究責任，以免問責制形同虛設；若有，詳情為何；若否，原因為何；及</w:t>
      </w:r>
    </w:p>
    <w:p>
      <w:pPr>
        <w:pStyle w:val="Style13"/>
        <w:rPr/>
      </w:pPr>
      <w:r>
        <w:rPr/>
      </w:r>
    </w:p>
    <w:p>
      <w:pPr>
        <w:pStyle w:val="Style13"/>
        <w:rPr/>
      </w:pPr>
      <w:r>
        <w:rPr/>
        <w:t>(</w:t>
      </w:r>
      <w:r>
        <w:rPr/>
        <w:t>三</w:t>
      </w:r>
      <w:r>
        <w:rPr/>
        <w:t>)</w:t>
        <w:tab/>
      </w:r>
      <w:r>
        <w:rPr/>
        <w:t>鑒於當局在上月中因本會財務委員會有委員拉布而撤回有關成立創新及科技局的財務建議後，行政長官委任前理工大學副校長為創新及科技顧問和行政會議非官守議員，而有不少政黨批評該做法破壞規矩，政府有否評估該做法是否屬任性用權；行政長官作出該等委任決定前，有否徵詢行政會議成員的意見；若有，詳情為何；若否，原因為何？</w:t>
      </w:r>
    </w:p>
    <w:p>
      <w:pPr>
        <w:pStyle w:val="Style13"/>
        <w:spacing w:lineRule="exact" w:line="20"/>
        <w:ind w:left="0" w:hanging="0"/>
        <w:rPr/>
      </w:pPr>
      <w:r>
        <w:rPr/>
      </w:r>
    </w:p>
    <w:p>
      <w:pPr>
        <w:pStyle w:val="Normal"/>
        <w:widowControl/>
        <w:tabs>
          <w:tab w:val="clear" w:pos="720"/>
        </w:tabs>
        <w:spacing w:lineRule="exact" w:line="20"/>
        <w:jc w:val="left"/>
        <w:rPr>
          <w:rFonts w:cs="華康細明體"/>
          <w:i/>
          <w:i/>
          <w:spacing w:val="20"/>
          <w:sz w:val="27"/>
          <w:lang w:val="en-US"/>
        </w:rPr>
      </w:pPr>
      <w:r>
        <w:rPr>
          <w:rFonts w:cs="華康細明體"/>
          <w:i/>
          <w:spacing w:val="20"/>
          <w:sz w:val="27"/>
          <w:lang w:val="en-US"/>
        </w:rPr>
      </w:r>
      <w:r>
        <w:br w:type="page"/>
      </w:r>
    </w:p>
    <w:p>
      <w:pPr>
        <w:pStyle w:val="Style13"/>
        <w:spacing w:lineRule="atLeast" w:line="400"/>
        <w:ind w:left="0" w:hanging="0"/>
        <w:rPr>
          <w:i w:val="false"/>
          <w:i w:val="false"/>
        </w:rPr>
      </w:pPr>
      <w:r>
        <w:rPr>
          <w:rFonts w:eastAsia="華康中黑體"/>
          <w:b/>
          <w:i w:val="false"/>
          <w:szCs w:val="27"/>
        </w:rPr>
        <w:t>政制及內地事務局局長</w:t>
      </w:r>
      <w:r>
        <w:rPr>
          <w:i w:val="false"/>
          <w:szCs w:val="27"/>
        </w:rPr>
        <w:t>：主席，</w:t>
      </w:r>
      <w:r>
        <w:rPr>
          <w:i w:val="false"/>
        </w:rPr>
        <w:t>就林議員的質詢，經諮詢行政長官辦公室及相關部門後，我獲授權答覆如下：</w:t>
      </w:r>
    </w:p>
    <w:p>
      <w:pPr>
        <w:pStyle w:val="Style13"/>
        <w:spacing w:lineRule="atLeast" w:line="400"/>
        <w:rPr>
          <w:i w:val="false"/>
          <w:i w:val="false"/>
        </w:rPr>
      </w:pPr>
      <w:r>
        <w:rPr>
          <w:i w:val="false"/>
        </w:rPr>
      </w:r>
    </w:p>
    <w:p>
      <w:pPr>
        <w:pStyle w:val="Style13"/>
        <w:spacing w:lineRule="atLeast" w:line="400"/>
        <w:rPr>
          <w:i w:val="false"/>
          <w:i w:val="false"/>
        </w:rPr>
      </w:pPr>
      <w:r>
        <w:rPr>
          <w:i w:val="false"/>
        </w:rPr>
        <w:t>(</w:t>
      </w:r>
      <w:r>
        <w:rPr>
          <w:i w:val="false"/>
        </w:rPr>
        <w:t>一</w:t>
      </w:r>
      <w:r>
        <w:rPr>
          <w:i w:val="false"/>
        </w:rPr>
        <w:t>)</w:t>
      </w:r>
      <w:r>
        <w:rPr>
          <w:i w:val="false"/>
        </w:rPr>
        <w:t>及</w:t>
      </w:r>
      <w:r>
        <w:rPr>
          <w:i w:val="false"/>
        </w:rPr>
        <w:t>(</w:t>
      </w:r>
      <w:r>
        <w:rPr>
          <w:i w:val="false"/>
        </w:rPr>
        <w:t>二</w:t>
      </w:r>
      <w:r>
        <w:rPr>
          <w:i w:val="false"/>
        </w:rPr>
        <w:t>)</w:t>
      </w:r>
    </w:p>
    <w:p>
      <w:pPr>
        <w:pStyle w:val="Style13"/>
        <w:spacing w:lineRule="atLeast" w:line="400"/>
        <w:rPr>
          <w:i w:val="false"/>
          <w:i w:val="false"/>
        </w:rPr>
      </w:pPr>
      <w:r>
        <w:rPr>
          <w:i w:val="false"/>
        </w:rPr>
      </w:r>
    </w:p>
    <w:p>
      <w:pPr>
        <w:pStyle w:val="Style13"/>
        <w:spacing w:lineRule="atLeast" w:line="400"/>
        <w:rPr>
          <w:i w:val="false"/>
          <w:i w:val="false"/>
        </w:rPr>
      </w:pPr>
      <w:r>
        <w:rPr>
          <w:i w:val="false"/>
        </w:rPr>
        <w:tab/>
      </w:r>
      <w:r>
        <w:rPr>
          <w:i w:val="false"/>
        </w:rPr>
        <w:t>特區政府在</w:t>
      </w:r>
      <w:r>
        <w:rPr>
          <w:i w:val="false"/>
        </w:rPr>
        <w:t>2002</w:t>
      </w:r>
      <w:r>
        <w:rPr>
          <w:i w:val="false"/>
        </w:rPr>
        <w:t>年實施政治委任制度，吸納政府體制內外的人才出任司長和局長，藉以令政府推行政策時更緊貼社會民情，切合現代管理的需要，鞏固常任、專業的公務員隊伍。在這制度下，政府最高層設有由主要官員組成的政治領導層級，政治委任的主要官員須就各自政策範疇內的事宜承擔政治責任，最終向行政長官負責。行政長官建立自己的管治班子時，要求其成員須與他有相同的理念和使命，並在其帶領下切實推行行政長官施政報告的政策及各政策局施政綱領的措施。</w:t>
      </w:r>
    </w:p>
    <w:p>
      <w:pPr>
        <w:pStyle w:val="Style13"/>
        <w:spacing w:lineRule="atLeast" w:line="400"/>
        <w:rPr>
          <w:i w:val="false"/>
          <w:i w:val="false"/>
        </w:rPr>
      </w:pPr>
      <w:r>
        <w:rPr>
          <w:i w:val="false"/>
        </w:rPr>
      </w:r>
    </w:p>
    <w:p>
      <w:pPr>
        <w:pStyle w:val="Style13"/>
        <w:spacing w:lineRule="atLeast" w:line="400"/>
        <w:rPr>
          <w:i w:val="false"/>
          <w:i w:val="false"/>
        </w:rPr>
      </w:pPr>
      <w:r>
        <w:rPr>
          <w:i w:val="false"/>
        </w:rPr>
        <w:tab/>
      </w:r>
      <w:r>
        <w:rPr>
          <w:i w:val="false"/>
        </w:rPr>
        <w:t>根據《政治委任制度官員守則》</w:t>
      </w:r>
      <w:r>
        <w:rPr>
          <w:i w:val="false"/>
        </w:rPr>
        <w:t>(“</w:t>
      </w:r>
      <w:r>
        <w:rPr>
          <w:i w:val="false"/>
        </w:rPr>
        <w:t>《守則》”</w:t>
      </w:r>
      <w:r>
        <w:rPr>
          <w:i w:val="false"/>
        </w:rPr>
        <w:t>)</w:t>
      </w:r>
      <w:r>
        <w:rPr>
          <w:i w:val="false"/>
        </w:rPr>
        <w:t>，有關官員須專心致志執行職務，並向特區政府負責。他們須以香港特區整體的最佳利益而行事。此外，政治委任的主要官員須為行政長官所指派的政策範疇承擔責任，統領有關政策範疇內的執行部門，並負責制訂、介紹政府政策及為政策辯護，以及爭取公眾和立法會的支持。他們若涉嫌違反職責或《守則》內的條文，行政長官會按適當程序，決定個案是否屬實；倘若屬實，則會決定合適的懲處，其中可能採取的措施包括發出警告、公開譴責，甚至向中央人民政府建議把有關官員停職或免職。</w:t>
      </w:r>
    </w:p>
    <w:p>
      <w:pPr>
        <w:pStyle w:val="Style13"/>
        <w:spacing w:lineRule="atLeast" w:line="400"/>
        <w:rPr>
          <w:i w:val="false"/>
          <w:i w:val="false"/>
        </w:rPr>
      </w:pPr>
      <w:r>
        <w:rPr>
          <w:i w:val="false"/>
        </w:rPr>
      </w:r>
    </w:p>
    <w:p>
      <w:pPr>
        <w:pStyle w:val="Style13"/>
        <w:spacing w:lineRule="atLeast" w:line="400"/>
        <w:rPr>
          <w:i w:val="false"/>
          <w:i w:val="false"/>
        </w:rPr>
      </w:pPr>
      <w:r>
        <w:rPr>
          <w:i w:val="false"/>
        </w:rPr>
        <w:tab/>
      </w:r>
      <w:r>
        <w:rPr>
          <w:i w:val="false"/>
        </w:rPr>
        <w:t>現屆特區政府的施政措施，除行政長官的施政報告和各政策局的施政綱領外，亦基於行政長官就任前的競選政綱。現屆政府自任期開始，考慮到社會經濟發展和市民的訴求，並在政治委任官員團隊和公務員同事的全力支持和配合下，逐步落實行政長官在競選政綱中的承諾。行政長官每年會透過施政報告闡述施政重點。行政長官在今年的施政報告提出的施政目標是“推進民主、發展經濟、改善民生”，亦提及多項惠及各階層市民的措施。事實上，本屆政府由行政長官帶領，無論是政治委任官員或常任公務員團隊，一直克盡己任，逐步落實行政長官在政綱中有關房屋、扶貧、安老和環保各方面的承諾，為市民謀福祉，並初見成效。縱使政府努力推出各項推動經濟和改善民生的政策措施，近年部分議員及政黨由於政見立場不同，作出“拉布”和不合作行動，嚴重影響立法會的議事效率，亦拖延審議政府的撥款申請。此等舉措不但妨礙特區政府施政，使多項與香港經濟、社會和民生有關的政策議題無法如期落實，更對公眾造成直接及實質的損失，包括因為“拉布”而使基建項目成本大幅上升，令香港的競爭力及生產力持續不升反降，在國際及區域的競爭上越來越不利。部分議員“拉布”，拖延撥款申請，亦令不少扶貧、安老和助弱的民生措施未能盡早落實。這些“不合作”舉措，妨礙香港社會進步，亦損害行政立法關係，情況令人憂慮。大部分立法會議員均以香港的發展和市民的利益為依歸。</w:t>
      </w:r>
    </w:p>
    <w:p>
      <w:pPr>
        <w:pStyle w:val="Style13"/>
        <w:spacing w:lineRule="atLeast" w:line="400"/>
        <w:rPr>
          <w:i w:val="false"/>
          <w:i w:val="false"/>
        </w:rPr>
      </w:pPr>
      <w:r>
        <w:rPr>
          <w:i w:val="false"/>
        </w:rPr>
      </w:r>
    </w:p>
    <w:p>
      <w:pPr>
        <w:pStyle w:val="Style13"/>
        <w:spacing w:lineRule="atLeast" w:line="400"/>
        <w:rPr>
          <w:i w:val="false"/>
          <w:i w:val="false"/>
        </w:rPr>
      </w:pPr>
      <w:r>
        <w:rPr>
          <w:i w:val="false"/>
        </w:rPr>
        <w:tab/>
      </w:r>
      <w:r>
        <w:rPr>
          <w:i w:val="false"/>
        </w:rPr>
        <w:t>特區政府主要官員也會一如既往，克盡己職，制訂、介紹及解釋政府政策，爭取公眾和立法會的支持。我們希望採取“拉布”和不合作運動的少數議員，回頭是岸，與政府一同攜手，幫助香港把握機遇，共同建設香港。</w:t>
      </w:r>
    </w:p>
    <w:p>
      <w:pPr>
        <w:pStyle w:val="Style13"/>
        <w:spacing w:lineRule="atLeast" w:line="400"/>
        <w:rPr>
          <w:i w:val="false"/>
          <w:i w:val="false"/>
        </w:rPr>
      </w:pPr>
      <w:r>
        <w:rPr>
          <w:i w:val="false"/>
        </w:rPr>
      </w:r>
    </w:p>
    <w:p>
      <w:pPr>
        <w:pStyle w:val="Style13"/>
        <w:spacing w:lineRule="atLeast" w:line="400"/>
        <w:rPr>
          <w:i w:val="false"/>
          <w:i w:val="false"/>
          <w:szCs w:val="27"/>
        </w:rPr>
      </w:pPr>
      <w:r>
        <w:rPr>
          <w:i w:val="false"/>
        </w:rPr>
        <w:t>(</w:t>
      </w:r>
      <w:r>
        <w:rPr>
          <w:i w:val="false"/>
        </w:rPr>
        <w:t>三</w:t>
      </w:r>
      <w:r>
        <w:rPr>
          <w:i w:val="false"/>
        </w:rPr>
        <w:t>)</w:t>
        <w:tab/>
      </w:r>
      <w:r>
        <w:rPr>
          <w:i w:val="false"/>
        </w:rPr>
        <w:t>特區政府建議成立創新及科技局，是因為創新及科技是香港重要的經濟動力</w:t>
      </w:r>
      <w:r>
        <w:rPr>
          <w:i w:val="false"/>
          <w:szCs w:val="27"/>
        </w:rPr>
        <w:t>......</w:t>
      </w:r>
    </w:p>
    <w:p>
      <w:pPr>
        <w:pStyle w:val="Style13"/>
        <w:spacing w:lineRule="atLeast" w:line="340"/>
        <w:ind w:left="0" w:hanging="0"/>
        <w:rPr>
          <w:i w:val="false"/>
          <w:i w:val="false"/>
        </w:rPr>
      </w:pPr>
      <w:r>
        <w:rPr>
          <w:i w:val="false"/>
        </w:rPr>
      </w:r>
    </w:p>
    <w:p>
      <w:pPr>
        <w:pStyle w:val="Style13"/>
        <w:spacing w:lineRule="atLeast" w:line="340"/>
        <w:ind w:left="0" w:hanging="0"/>
        <w:rPr>
          <w:i w:val="false"/>
          <w:i w:val="false"/>
        </w:rPr>
      </w:pPr>
      <w:r>
        <w:rPr>
          <w:i w:val="false"/>
        </w:rPr>
        <w:t>(</w:t>
      </w:r>
      <w:r>
        <w:rPr>
          <w:i w:val="false"/>
          <w:szCs w:val="27"/>
        </w:rPr>
        <w:t>梁國雄議員</w:t>
      </w:r>
      <w:r>
        <w:rPr>
          <w:i w:val="false"/>
        </w:rPr>
        <w:t>站起來</w:t>
      </w:r>
      <w:r>
        <w:rPr>
          <w:i w:val="false"/>
        </w:rPr>
        <w:t>)</w:t>
      </w:r>
    </w:p>
    <w:p>
      <w:pPr>
        <w:pStyle w:val="Style13"/>
        <w:spacing w:lineRule="atLeast" w:line="340"/>
        <w:ind w:left="0" w:hanging="0"/>
        <w:rPr>
          <w:i w:val="false"/>
          <w:i w:val="false"/>
        </w:rPr>
      </w:pPr>
      <w:r>
        <w:rPr>
          <w:i w:val="false"/>
        </w:rPr>
      </w:r>
    </w:p>
    <w:p>
      <w:pPr>
        <w:pStyle w:val="Style13"/>
        <w:spacing w:lineRule="atLeast" w:line="340"/>
        <w:ind w:left="0" w:hanging="0"/>
        <w:rPr>
          <w:i w:val="false"/>
          <w:i w:val="false"/>
        </w:rPr>
      </w:pPr>
      <w:r>
        <w:rPr>
          <w:i w:val="false"/>
        </w:rPr>
      </w:r>
    </w:p>
    <w:p>
      <w:pPr>
        <w:pStyle w:val="Style13"/>
        <w:spacing w:lineRule="atLeast" w:line="340"/>
        <w:ind w:left="0" w:hanging="0"/>
        <w:rPr>
          <w:i w:val="false"/>
          <w:i w:val="false"/>
        </w:rPr>
      </w:pPr>
      <w:r>
        <w:rPr>
          <w:rFonts w:eastAsia="華康中黑體"/>
          <w:b/>
          <w:i w:val="false"/>
        </w:rPr>
        <w:t>主席</w:t>
      </w:r>
      <w:r>
        <w:rPr>
          <w:i w:val="false"/>
        </w:rPr>
        <w:t>：局長，請稍等。梁議員，你有甚麼問題？</w:t>
      </w:r>
    </w:p>
    <w:p>
      <w:pPr>
        <w:pStyle w:val="Style13"/>
        <w:spacing w:lineRule="atLeast" w:line="340"/>
        <w:ind w:left="0" w:hanging="0"/>
        <w:rPr>
          <w:i w:val="false"/>
          <w:i w:val="false"/>
        </w:rPr>
      </w:pPr>
      <w:r>
        <w:rPr>
          <w:i w:val="false"/>
        </w:rPr>
      </w:r>
    </w:p>
    <w:p>
      <w:pPr>
        <w:pStyle w:val="Style13"/>
        <w:spacing w:lineRule="atLeast" w:line="340"/>
        <w:ind w:left="0" w:hanging="0"/>
        <w:rPr>
          <w:i w:val="false"/>
          <w:i w:val="false"/>
        </w:rPr>
      </w:pPr>
      <w:r>
        <w:rPr>
          <w:i w:val="false"/>
        </w:rPr>
      </w:r>
    </w:p>
    <w:p>
      <w:pPr>
        <w:pStyle w:val="Style13"/>
        <w:spacing w:lineRule="atLeast" w:line="340"/>
        <w:ind w:left="0" w:hanging="0"/>
        <w:rPr>
          <w:i w:val="false"/>
          <w:i w:val="false"/>
        </w:rPr>
      </w:pPr>
      <w:r>
        <w:rPr>
          <w:rFonts w:ascii="華康中黑體" w:hAnsi="華康中黑體" w:eastAsia="華康中黑體"/>
          <w:b/>
          <w:i w:val="false"/>
          <w:szCs w:val="27"/>
        </w:rPr>
        <w:t>梁國雄議員</w:t>
      </w:r>
      <w:r>
        <w:rPr>
          <w:i w:val="false"/>
        </w:rPr>
        <w:t>：</w:t>
      </w:r>
      <w:r>
        <w:rPr/>
        <w:t>習近平沒有指責我們“拉布”，他不斷說“拉布”，這是不到題</w:t>
      </w:r>
      <w:r>
        <w:rPr>
          <w:szCs w:val="27"/>
        </w:rPr>
        <w:t>......</w:t>
      </w:r>
    </w:p>
    <w:p>
      <w:pPr>
        <w:pStyle w:val="Style13"/>
        <w:spacing w:lineRule="atLeast" w:line="340"/>
        <w:ind w:left="0" w:hanging="0"/>
        <w:rPr>
          <w:i w:val="false"/>
          <w:i w:val="false"/>
        </w:rPr>
      </w:pPr>
      <w:r>
        <w:rPr>
          <w:i w:val="false"/>
        </w:rPr>
      </w:r>
    </w:p>
    <w:p>
      <w:pPr>
        <w:pStyle w:val="Style13"/>
        <w:spacing w:lineRule="atLeast" w:line="340"/>
        <w:ind w:left="0" w:hanging="0"/>
        <w:rPr>
          <w:i w:val="false"/>
          <w:i w:val="false"/>
        </w:rPr>
      </w:pPr>
      <w:r>
        <w:rPr>
          <w:i w:val="false"/>
        </w:rPr>
      </w:r>
    </w:p>
    <w:p>
      <w:pPr>
        <w:pStyle w:val="Style13"/>
        <w:spacing w:lineRule="atLeast" w:line="340"/>
        <w:ind w:left="0" w:hanging="0"/>
        <w:rPr>
          <w:i w:val="false"/>
          <w:i w:val="false"/>
        </w:rPr>
      </w:pPr>
      <w:r>
        <w:rPr>
          <w:rFonts w:eastAsia="華康中黑體"/>
          <w:b/>
          <w:i w:val="false"/>
        </w:rPr>
        <w:t>主席</w:t>
      </w:r>
      <w:r>
        <w:rPr>
          <w:i w:val="false"/>
        </w:rPr>
        <w:t>：</w:t>
      </w:r>
      <w:r>
        <w:rPr>
          <w:i w:val="false"/>
          <w:szCs w:val="27"/>
        </w:rPr>
        <w:t>梁議員，你提出的不是規程問題，請立即坐下。局長，請繼續作答。</w:t>
      </w:r>
    </w:p>
    <w:p>
      <w:pPr>
        <w:pStyle w:val="Style13"/>
        <w:spacing w:lineRule="exact" w:line="20"/>
        <w:ind w:left="0" w:hanging="0"/>
        <w:rPr>
          <w:i w:val="false"/>
          <w:i w:val="false"/>
        </w:rPr>
      </w:pPr>
      <w:r>
        <w:rPr>
          <w:i w:val="false"/>
        </w:rPr>
      </w:r>
    </w:p>
    <w:p>
      <w:pPr>
        <w:pStyle w:val="Normal"/>
        <w:widowControl/>
        <w:tabs>
          <w:tab w:val="clear" w:pos="720"/>
        </w:tabs>
        <w:spacing w:lineRule="exact" w:line="20"/>
        <w:jc w:val="left"/>
        <w:rPr>
          <w:rFonts w:cs="華康細明體"/>
          <w:spacing w:val="20"/>
          <w:sz w:val="27"/>
          <w:lang w:val="en-US"/>
        </w:rPr>
      </w:pPr>
      <w:r>
        <w:rPr>
          <w:rFonts w:cs="華康細明體"/>
          <w:spacing w:val="20"/>
          <w:sz w:val="27"/>
          <w:lang w:val="en-US"/>
        </w:rPr>
      </w:r>
      <w:r>
        <w:br w:type="page"/>
      </w:r>
    </w:p>
    <w:p>
      <w:pPr>
        <w:pStyle w:val="Style13"/>
        <w:spacing w:lineRule="atLeast" w:line="400"/>
        <w:ind w:left="0" w:hanging="0"/>
        <w:rPr>
          <w:i w:val="false"/>
          <w:i w:val="false"/>
        </w:rPr>
      </w:pPr>
      <w:r>
        <w:rPr>
          <w:rFonts w:ascii="華康中黑體" w:hAnsi="華康中黑體" w:cs="華康中黑體" w:eastAsia="華康中黑體"/>
          <w:b/>
          <w:i w:val="false"/>
          <w:szCs w:val="27"/>
        </w:rPr>
        <w:t>政制及內地事務局局長</w:t>
      </w:r>
      <w:r>
        <w:rPr>
          <w:i w:val="false"/>
        </w:rPr>
        <w:t>：政府必須更積極進取，加強推動香港的創新及科技發展工作，以增加香港長遠的競爭力。工商及科技業界多年來一直要求政府成立創新及科技局，通過提供專注的高層次領導，更有力地統籌及執行各創新及科技產業之間的政策，充分把握科技發展所帶來的機遇及商機。</w:t>
      </w:r>
    </w:p>
    <w:p>
      <w:pPr>
        <w:pStyle w:val="Style13"/>
        <w:spacing w:lineRule="atLeast" w:line="400"/>
        <w:rPr>
          <w:i w:val="false"/>
          <w:i w:val="false"/>
        </w:rPr>
      </w:pPr>
      <w:r>
        <w:rPr>
          <w:i w:val="false"/>
        </w:rPr>
        <w:tab/>
      </w:r>
    </w:p>
    <w:p>
      <w:pPr>
        <w:pStyle w:val="Style13"/>
        <w:spacing w:lineRule="atLeast" w:line="400"/>
        <w:ind w:left="0" w:hanging="0"/>
        <w:rPr>
          <w:i w:val="false"/>
          <w:i w:val="false"/>
        </w:rPr>
      </w:pPr>
      <w:r>
        <w:rPr>
          <w:i w:val="false"/>
        </w:rPr>
        <w:tab/>
      </w:r>
      <w:r>
        <w:rPr>
          <w:i w:val="false"/>
        </w:rPr>
        <w:t>現任行政長官在</w:t>
      </w:r>
      <w:r>
        <w:rPr>
          <w:i w:val="false"/>
        </w:rPr>
        <w:t>2012</w:t>
      </w:r>
      <w:r>
        <w:rPr>
          <w:i w:val="false"/>
        </w:rPr>
        <w:t>年</w:t>
      </w:r>
      <w:r>
        <w:rPr>
          <w:i w:val="false"/>
        </w:rPr>
        <w:t>3</w:t>
      </w:r>
      <w:r>
        <w:rPr>
          <w:i w:val="false"/>
        </w:rPr>
        <w:t>月當選後，已即時建議重組政府總部架構，其中一個重要元素，就是將商務及經濟發展局改組為兩個政策局，以發展香港相關行業及推動香港的創新科技。可惜，由於立法會財務委員會出現“拉布”，在經歷長時間消耗式的會議後，建議最終未能於</w:t>
      </w:r>
      <w:r>
        <w:rPr>
          <w:i w:val="false"/>
        </w:rPr>
        <w:t>2012</w:t>
      </w:r>
      <w:r>
        <w:rPr>
          <w:i w:val="false"/>
        </w:rPr>
        <w:t>年立法會換屆前通過。</w:t>
      </w:r>
    </w:p>
    <w:p>
      <w:pPr>
        <w:pStyle w:val="Style13"/>
        <w:spacing w:lineRule="atLeast" w:line="400"/>
        <w:ind w:left="0" w:hanging="0"/>
        <w:rPr>
          <w:i w:val="false"/>
          <w:i w:val="false"/>
        </w:rPr>
      </w:pPr>
      <w:r>
        <w:rPr>
          <w:i w:val="false"/>
        </w:rPr>
      </w:r>
    </w:p>
    <w:p>
      <w:pPr>
        <w:pStyle w:val="Style13"/>
        <w:spacing w:lineRule="atLeast" w:line="400"/>
        <w:ind w:left="0" w:hanging="0"/>
        <w:rPr>
          <w:i w:val="false"/>
          <w:i w:val="false"/>
        </w:rPr>
      </w:pPr>
      <w:r>
        <w:rPr>
          <w:i w:val="false"/>
        </w:rPr>
        <w:tab/>
      </w:r>
      <w:r>
        <w:rPr>
          <w:i w:val="false"/>
        </w:rPr>
        <w:t>去年</w:t>
      </w:r>
      <w:r>
        <w:rPr>
          <w:i w:val="false"/>
        </w:rPr>
        <w:t>1</w:t>
      </w:r>
      <w:r>
        <w:rPr>
          <w:i w:val="false"/>
        </w:rPr>
        <w:t>月，行政長官在施政報告中宣布再次啟動成立創新及科技局的工作。商務及經濟發展局隨即在同年</w:t>
      </w:r>
      <w:r>
        <w:rPr>
          <w:i w:val="false"/>
        </w:rPr>
        <w:t>4</w:t>
      </w:r>
      <w:r>
        <w:rPr>
          <w:i w:val="false"/>
        </w:rPr>
        <w:t>月先後諮詢立法會工商事務委員會，以及資訊科技及廣播事務委員會；兩個委員會都通過動議，要求政府盡快成立創新及科技局。相關人事編制改動建議於去年</w:t>
      </w:r>
      <w:r>
        <w:rPr>
          <w:i w:val="false"/>
        </w:rPr>
        <w:t>6</w:t>
      </w:r>
      <w:r>
        <w:rPr>
          <w:i w:val="false"/>
        </w:rPr>
        <w:t>月獲立法會人事編制小組委員會支持，而將相關法定職能轉移至新的局長及常任秘書長的法例修訂亦在同年</w:t>
      </w:r>
      <w:r>
        <w:rPr>
          <w:i w:val="false"/>
        </w:rPr>
        <w:t>10</w:t>
      </w:r>
      <w:r>
        <w:rPr>
          <w:i w:val="false"/>
        </w:rPr>
        <w:t>月</w:t>
      </w:r>
      <w:r>
        <w:rPr>
          <w:i w:val="false"/>
        </w:rPr>
        <w:t>29</w:t>
      </w:r>
      <w:r>
        <w:rPr>
          <w:i w:val="false"/>
        </w:rPr>
        <w:t>日獲立法會通過，但可惜因為泛民議員“拉布”，財務委員會經過</w:t>
      </w:r>
      <w:r>
        <w:rPr>
          <w:i w:val="false"/>
        </w:rPr>
        <w:t>4</w:t>
      </w:r>
      <w:r>
        <w:rPr>
          <w:i w:val="false"/>
        </w:rPr>
        <w:t>次會議共</w:t>
      </w:r>
      <w:r>
        <w:rPr>
          <w:i w:val="false"/>
        </w:rPr>
        <w:t>16</w:t>
      </w:r>
      <w:r>
        <w:rPr>
          <w:i w:val="false"/>
        </w:rPr>
        <w:t>小時的討論，仍未能趕及在今年</w:t>
      </w:r>
      <w:r>
        <w:rPr>
          <w:i w:val="false"/>
        </w:rPr>
        <w:t>2</w:t>
      </w:r>
      <w:r>
        <w:rPr>
          <w:i w:val="false"/>
        </w:rPr>
        <w:t>月</w:t>
      </w:r>
      <w:r>
        <w:rPr>
          <w:i w:val="false"/>
        </w:rPr>
        <w:t>14</w:t>
      </w:r>
      <w:r>
        <w:rPr>
          <w:i w:val="false"/>
        </w:rPr>
        <w:t>日的會議上完成審議成立創新及科技局的建議，令創新及科技局無法如期成立。</w:t>
      </w:r>
    </w:p>
    <w:p>
      <w:pPr>
        <w:pStyle w:val="Style13"/>
        <w:spacing w:lineRule="atLeast" w:line="400"/>
        <w:ind w:left="0" w:hanging="0"/>
        <w:rPr>
          <w:i w:val="false"/>
          <w:i w:val="false"/>
        </w:rPr>
      </w:pPr>
      <w:r>
        <w:rPr>
          <w:i w:val="false"/>
        </w:rPr>
      </w:r>
    </w:p>
    <w:p>
      <w:pPr>
        <w:pStyle w:val="Style13"/>
        <w:spacing w:lineRule="atLeast" w:line="400"/>
        <w:ind w:left="0" w:hanging="0"/>
        <w:rPr>
          <w:i w:val="false"/>
          <w:i w:val="false"/>
        </w:rPr>
      </w:pPr>
      <w:r>
        <w:rPr>
          <w:i w:val="false"/>
        </w:rPr>
        <w:tab/>
      </w:r>
      <w:r>
        <w:rPr>
          <w:i w:val="false"/>
        </w:rPr>
        <w:t>有關推動創新及科技發展的工作刻不容緩，香港亦不能繼續任由競爭對手不斷超前，因此行政長官委任楊偉雄先生加入行政會議及作為行政長官創新及科技顧問。行政會議是協助行政長官決策的機構，其角色、組成和職能均在《基本法》中清晰說明。《基本法》亦訂明，行政會議的成員由行政長官從行政機關的主要官員、立法會議員和社會人士中委任，其任免由行政長官決定。楊先生在創新及科技方面擁有豐富經驗及國際視野，行政長官相信他將可協助特區政府更專注及不失時機地推展創新及科技的發展工作。</w:t>
      </w:r>
    </w:p>
    <w:p>
      <w:pPr>
        <w:pStyle w:val="F21"/>
        <w:spacing w:lineRule="atLeast" w:line="400"/>
        <w:rPr>
          <w:rFonts w:cs="Times New Roman"/>
        </w:rPr>
      </w:pPr>
      <w:r>
        <w:rPr>
          <w:rFonts w:cs="Times New Roman"/>
        </w:rPr>
      </w:r>
    </w:p>
    <w:p>
      <w:pPr>
        <w:pStyle w:val="F21"/>
        <w:spacing w:lineRule="atLeast" w:line="400"/>
        <w:rPr>
          <w:rFonts w:cs="Times New Roman"/>
        </w:rPr>
      </w:pPr>
      <w:r>
        <w:rPr>
          <w:rFonts w:cs="Times New Roman"/>
        </w:rPr>
      </w:r>
    </w:p>
    <w:p>
      <w:pPr>
        <w:pStyle w:val="F21"/>
        <w:spacing w:lineRule="atLeast" w:line="400"/>
        <w:rPr>
          <w:i/>
          <w:i/>
          <w:szCs w:val="27"/>
        </w:rPr>
      </w:pPr>
      <w:r>
        <w:rPr>
          <w:rFonts w:ascii="華康中黑體" w:hAnsi="華康中黑體" w:cs="華康中黑體" w:eastAsia="華康中黑體"/>
          <w:b/>
          <w:szCs w:val="27"/>
        </w:rPr>
        <w:t>林大輝議員</w:t>
      </w:r>
      <w:r>
        <w:rPr>
          <w:szCs w:val="27"/>
        </w:rPr>
        <w:t>：</w:t>
      </w:r>
      <w:r>
        <w:rPr>
          <w:i/>
          <w:szCs w:val="27"/>
        </w:rPr>
        <w:t xml:space="preserve">主席，現屆政府施政極之不暢順，是不爭的事實。出現這種情況，主要有數種原因：第一，政府施政水平低；第二，政府未能成功團結社會、凝聚民心 </w:t>
      </w:r>
      <w:r>
        <w:rPr>
          <w:rFonts w:ascii="Symbol" w:hAnsi="Symbol" w:cs="Symbol" w:eastAsia="Symbol"/>
          <w:i/>
          <w:szCs w:val="27"/>
        </w:rPr>
        <w:t></w:t>
      </w:r>
      <w:r>
        <w:rPr>
          <w:i/>
          <w:szCs w:val="27"/>
        </w:rPr>
        <w:t xml:space="preserve"> 正如局長所說 </w:t>
      </w:r>
      <w:r>
        <w:rPr>
          <w:rFonts w:ascii="Symbol" w:hAnsi="Symbol" w:cs="Symbol" w:eastAsia="Symbol"/>
          <w:i/>
          <w:szCs w:val="27"/>
        </w:rPr>
        <w:t></w:t>
      </w:r>
      <w:r>
        <w:rPr>
          <w:i/>
          <w:szCs w:val="27"/>
        </w:rPr>
        <w:t xml:space="preserve"> 反對派的持續不合作及“拉布”行動所致。</w:t>
      </w:r>
    </w:p>
    <w:p>
      <w:pPr>
        <w:pStyle w:val="F21"/>
        <w:spacing w:lineRule="atLeast" w:line="390"/>
        <w:rPr>
          <w:i/>
          <w:i/>
          <w:szCs w:val="27"/>
        </w:rPr>
      </w:pPr>
      <w:r>
        <w:rPr>
          <w:i/>
          <w:szCs w:val="27"/>
        </w:rPr>
      </w:r>
    </w:p>
    <w:p>
      <w:pPr>
        <w:pStyle w:val="F21"/>
        <w:spacing w:lineRule="atLeast" w:line="390"/>
        <w:rPr>
          <w:i/>
          <w:i/>
          <w:szCs w:val="27"/>
        </w:rPr>
      </w:pPr>
      <w:r>
        <w:rPr>
          <w:i/>
          <w:szCs w:val="27"/>
        </w:rPr>
        <w:tab/>
      </w:r>
      <w:r>
        <w:rPr>
          <w:i/>
          <w:szCs w:val="27"/>
        </w:rPr>
        <w:t>主席，在一個文明的社會中，政府的工作一定要受到市民的監督，要向市民負責，所以政府做事必須賞罰分明、有規有矩。這樣才能夠避免官員會出現尸位素餐、不謀其政、辦事不力的情況。如果問責制度好像我剛才所說，有名無實、名存實亡、形同虛設，輕者施政會一塌糊塗；重者會民怨沸騰，社會出現不穩。</w:t>
      </w:r>
    </w:p>
    <w:p>
      <w:pPr>
        <w:pStyle w:val="F21"/>
        <w:spacing w:lineRule="atLeast" w:line="390"/>
        <w:rPr>
          <w:i/>
          <w:i/>
          <w:szCs w:val="27"/>
        </w:rPr>
      </w:pPr>
      <w:r>
        <w:rPr>
          <w:i/>
          <w:szCs w:val="27"/>
        </w:rPr>
      </w:r>
    </w:p>
    <w:p>
      <w:pPr>
        <w:pStyle w:val="F21"/>
        <w:spacing w:lineRule="atLeast" w:line="390"/>
        <w:rPr>
          <w:i/>
          <w:i/>
          <w:szCs w:val="27"/>
        </w:rPr>
      </w:pPr>
      <w:r>
        <w:rPr>
          <w:i/>
          <w:szCs w:val="27"/>
        </w:rPr>
        <w:tab/>
      </w:r>
      <w:r>
        <w:rPr>
          <w:i/>
          <w:szCs w:val="27"/>
        </w:rPr>
        <w:t>主席，我的提問很簡單，我在主體質詢已提出，總理報告指出，對工作不力的官員，要約談誡勉；對為官不為、懶政怠政的官員，要公開曝光、堅決追究責任。</w:t>
      </w:r>
    </w:p>
    <w:p>
      <w:pPr>
        <w:pStyle w:val="F21"/>
        <w:spacing w:lineRule="atLeast" w:line="390"/>
        <w:rPr>
          <w:i/>
          <w:i/>
          <w:szCs w:val="27"/>
        </w:rPr>
      </w:pPr>
      <w:r>
        <w:rPr>
          <w:i/>
          <w:szCs w:val="27"/>
        </w:rPr>
      </w:r>
    </w:p>
    <w:p>
      <w:pPr>
        <w:pStyle w:val="F21"/>
        <w:spacing w:lineRule="atLeast" w:line="390"/>
        <w:rPr>
          <w:i/>
          <w:i/>
          <w:szCs w:val="27"/>
        </w:rPr>
      </w:pPr>
      <w:r>
        <w:rPr>
          <w:i/>
          <w:szCs w:val="27"/>
        </w:rPr>
        <w:tab/>
      </w:r>
      <w:r>
        <w:rPr>
          <w:i/>
          <w:szCs w:val="27"/>
        </w:rPr>
        <w:t>主席，現時政府有多位問責官員，該辦的事辦不成，國教無法推動、公營房屋無法興建，“劏房”處處；亦不斷有人搞“港獨”、社會怨氣沖天。</w:t>
      </w:r>
    </w:p>
    <w:p>
      <w:pPr>
        <w:pStyle w:val="F21"/>
        <w:spacing w:lineRule="atLeast" w:line="390"/>
        <w:rPr>
          <w:i/>
          <w:i/>
          <w:szCs w:val="27"/>
        </w:rPr>
      </w:pPr>
      <w:r>
        <w:rPr>
          <w:i/>
          <w:szCs w:val="27"/>
        </w:rPr>
      </w:r>
    </w:p>
    <w:p>
      <w:pPr>
        <w:pStyle w:val="F21"/>
        <w:spacing w:lineRule="atLeast" w:line="390"/>
        <w:rPr>
          <w:szCs w:val="27"/>
        </w:rPr>
      </w:pPr>
      <w:r>
        <w:rPr>
          <w:i/>
          <w:szCs w:val="27"/>
        </w:rPr>
        <w:tab/>
      </w:r>
      <w:r>
        <w:rPr>
          <w:i/>
          <w:szCs w:val="27"/>
        </w:rPr>
        <w:t xml:space="preserve">我的補充質詢是問政府，是否有能力找到施政的錯誤、承認錯誤，然後知錯能改 </w:t>
      </w:r>
      <w:r>
        <w:rPr>
          <w:rFonts w:ascii="Symbol" w:hAnsi="Symbol" w:cs="Symbol" w:eastAsia="Symbol"/>
          <w:i/>
          <w:szCs w:val="27"/>
        </w:rPr>
        <w:t></w:t>
      </w:r>
      <w:r>
        <w:rPr>
          <w:rFonts w:ascii="華康細明體" w:hAnsi="華康細明體" w:cs="華康細明體"/>
          <w:i/>
          <w:szCs w:val="27"/>
        </w:rPr>
        <w:t xml:space="preserve"> </w:t>
      </w:r>
      <w:r>
        <w:rPr>
          <w:i/>
          <w:szCs w:val="27"/>
        </w:rPr>
        <w:t xml:space="preserve">正如總理所說 </w:t>
      </w:r>
      <w:r>
        <w:rPr>
          <w:rFonts w:ascii="Symbol" w:hAnsi="Symbol" w:cs="Symbol" w:eastAsia="Symbol"/>
          <w:i/>
          <w:szCs w:val="27"/>
        </w:rPr>
        <w:t></w:t>
      </w:r>
      <w:r>
        <w:rPr>
          <w:i/>
          <w:szCs w:val="27"/>
        </w:rPr>
        <w:t xml:space="preserve"> 直接面對問題，認真貫徹地執行問責制度？如果可以，今天我希望請局長詳細向公眾解釋政府會如何貫徹執行官員問責制度，例如，會否成立一個問責官員政績考核評價機制，杜絕官員瞞天過海、齊門混食。</w:t>
      </w:r>
    </w:p>
    <w:p>
      <w:pPr>
        <w:pStyle w:val="F21"/>
        <w:spacing w:lineRule="atLeast" w:line="390"/>
        <w:rPr>
          <w:szCs w:val="27"/>
        </w:rPr>
      </w:pPr>
      <w:r>
        <w:rPr>
          <w:szCs w:val="27"/>
        </w:rPr>
      </w:r>
    </w:p>
    <w:p>
      <w:pPr>
        <w:pStyle w:val="F21"/>
        <w:spacing w:lineRule="atLeast" w:line="390"/>
        <w:rPr>
          <w:szCs w:val="27"/>
        </w:rPr>
      </w:pPr>
      <w:r>
        <w:rPr>
          <w:szCs w:val="27"/>
        </w:rPr>
      </w:r>
    </w:p>
    <w:p>
      <w:pPr>
        <w:pStyle w:val="F21"/>
        <w:spacing w:lineRule="atLeast" w:line="390"/>
        <w:rPr>
          <w:szCs w:val="27"/>
        </w:rPr>
      </w:pPr>
      <w:r>
        <w:rPr>
          <w:rFonts w:ascii="華康中黑體" w:hAnsi="華康中黑體" w:cs="華康中黑體" w:eastAsia="華康中黑體"/>
          <w:b/>
          <w:szCs w:val="27"/>
        </w:rPr>
        <w:t>政制及內地事務局局長</w:t>
      </w:r>
      <w:r>
        <w:rPr>
          <w:szCs w:val="27"/>
        </w:rPr>
        <w:t>：主席，根據《基本法》，特區政府當然要向立法會負責。根據《基本法》第六十四條，</w:t>
      </w:r>
      <w:r>
        <w:rPr>
          <w:szCs w:val="27"/>
        </w:rPr>
        <w:t>12</w:t>
      </w:r>
      <w:r>
        <w:rPr>
          <w:szCs w:val="27"/>
        </w:rPr>
        <w:t>位局長會因應各自的政策範疇，每星期前來議會接受</w:t>
      </w:r>
      <w:r>
        <w:rPr>
          <w:rFonts w:ascii="華康細明體" w:hAnsi="華康細明體" w:cs="華康細明體"/>
          <w:szCs w:val="27"/>
        </w:rPr>
        <w:t>議員</w:t>
      </w:r>
      <w:r>
        <w:rPr>
          <w:szCs w:val="27"/>
        </w:rPr>
        <w:t>的質詢，以及就相關的法例到立法會跟</w:t>
      </w:r>
      <w:r>
        <w:rPr>
          <w:rFonts w:ascii="華康細明體" w:hAnsi="華康細明體" w:cs="華康細明體"/>
          <w:szCs w:val="27"/>
        </w:rPr>
        <w:t>議員</w:t>
      </w:r>
      <w:r>
        <w:rPr>
          <w:szCs w:val="27"/>
        </w:rPr>
        <w:t>商量，我們每個月也在相關的事務委員會接受</w:t>
      </w:r>
      <w:r>
        <w:rPr>
          <w:rFonts w:ascii="華康細明體" w:hAnsi="華康細明體" w:cs="華康細明體"/>
          <w:szCs w:val="27"/>
        </w:rPr>
        <w:t>議員</w:t>
      </w:r>
      <w:r>
        <w:rPr>
          <w:szCs w:val="27"/>
        </w:rPr>
        <w:t>的監察，我們在外面也受到很多公民社會和傳媒的監督。所以，我相信在現行制度上，我們的施政工作已受到一定的監察和監督。</w:t>
      </w:r>
    </w:p>
    <w:p>
      <w:pPr>
        <w:pStyle w:val="F21"/>
        <w:spacing w:lineRule="atLeast" w:line="390"/>
        <w:rPr>
          <w:szCs w:val="27"/>
        </w:rPr>
      </w:pPr>
      <w:r>
        <w:rPr>
          <w:szCs w:val="27"/>
        </w:rPr>
      </w:r>
    </w:p>
    <w:p>
      <w:pPr>
        <w:pStyle w:val="F21"/>
        <w:spacing w:lineRule="atLeast" w:line="390"/>
        <w:rPr>
          <w:rFonts w:ascii="華康細明體" w:hAnsi="華康細明體" w:cs="華康細明體"/>
          <w:szCs w:val="27"/>
        </w:rPr>
      </w:pPr>
      <w:r>
        <w:rPr>
          <w:szCs w:val="27"/>
        </w:rPr>
        <w:tab/>
      </w:r>
      <w:r>
        <w:rPr>
          <w:szCs w:val="27"/>
        </w:rPr>
        <w:t>當然，我相信林大輝</w:t>
      </w:r>
      <w:r>
        <w:rPr>
          <w:rFonts w:ascii="華康細明體" w:hAnsi="華康細明體" w:cs="華康細明體"/>
          <w:szCs w:val="27"/>
        </w:rPr>
        <w:t>議員</w:t>
      </w:r>
      <w:r>
        <w:rPr>
          <w:szCs w:val="27"/>
        </w:rPr>
        <w:t>對特區政府是愛之越深，責之越切。林</w:t>
      </w:r>
      <w:r>
        <w:rPr>
          <w:rFonts w:ascii="華康細明體" w:hAnsi="華康細明體" w:cs="華康細明體"/>
          <w:szCs w:val="27"/>
        </w:rPr>
        <w:t>議員剛才提出數方面的問題，例如土地、房屋等，其實特首在過往兩、三年的施政報告中也有提出一些解決方法，而且正如我在主體答覆中所說，已初見成效。</w:t>
      </w:r>
      <w:r>
        <w:br w:type="page"/>
      </w:r>
    </w:p>
    <w:p>
      <w:pPr>
        <w:pStyle w:val="F21"/>
        <w:spacing w:lineRule="atLeast" w:line="390"/>
        <w:rPr>
          <w:rFonts w:cs="華康細明體"/>
          <w:szCs w:val="27"/>
        </w:rPr>
      </w:pPr>
      <w:r>
        <w:rPr>
          <w:rFonts w:cs="華康細明體" w:ascii="華康細明體" w:hAnsi="華康細明體"/>
          <w:szCs w:val="27"/>
        </w:rPr>
        <w:tab/>
      </w:r>
      <w:r>
        <w:rPr>
          <w:rFonts w:ascii="華康細明體" w:hAnsi="華康細明體" w:cs="華康細明體"/>
          <w:szCs w:val="27"/>
        </w:rPr>
        <w:t>當然，我們遇到很多問題，並非一朝一夕便可以解決，房屋、土地的問題便是這樣。以房屋為例，香港只有</w:t>
      </w:r>
      <w:r>
        <w:rPr>
          <w:rFonts w:cs="華康細明體"/>
          <w:szCs w:val="27"/>
        </w:rPr>
        <w:t>1 100</w:t>
      </w:r>
      <w:r>
        <w:rPr>
          <w:rFonts w:cs="華康細明體"/>
          <w:szCs w:val="27"/>
        </w:rPr>
        <w:t>平方公里，我們不可能</w:t>
      </w:r>
      <w:r>
        <w:rPr>
          <w:rFonts w:cs="華康細明體"/>
          <w:szCs w:val="27"/>
        </w:rPr>
        <w:t>......</w:t>
      </w:r>
    </w:p>
    <w:p>
      <w:pPr>
        <w:pStyle w:val="Normal"/>
        <w:tabs>
          <w:tab w:val="left" w:pos="567" w:leader="none"/>
          <w:tab w:val="left" w:pos="720" w:leader="none"/>
          <w:tab w:val="left" w:pos="851" w:leader="none"/>
        </w:tabs>
        <w:snapToGrid w:val="false"/>
        <w:spacing w:lineRule="atLeast" w:line="390"/>
        <w:rPr>
          <w:spacing w:val="20"/>
          <w:sz w:val="27"/>
          <w:szCs w:val="27"/>
        </w:rPr>
      </w:pPr>
      <w:r>
        <w:rPr>
          <w:spacing w:val="20"/>
          <w:sz w:val="27"/>
          <w:szCs w:val="27"/>
        </w:rPr>
      </w:r>
    </w:p>
    <w:p>
      <w:pPr>
        <w:pStyle w:val="Normal"/>
        <w:tabs>
          <w:tab w:val="left" w:pos="567" w:leader="none"/>
          <w:tab w:val="left" w:pos="720" w:leader="none"/>
        </w:tabs>
        <w:spacing w:lineRule="atLeast" w:line="390"/>
        <w:rPr>
          <w:spacing w:val="20"/>
          <w:sz w:val="27"/>
          <w:szCs w:val="27"/>
        </w:rPr>
      </w:pPr>
      <w:r>
        <w:rPr>
          <w:spacing w:val="20"/>
          <w:sz w:val="27"/>
          <w:szCs w:val="27"/>
        </w:rPr>
        <w:t>(</w:t>
      </w:r>
      <w:r>
        <w:rPr>
          <w:spacing w:val="20"/>
          <w:sz w:val="27"/>
          <w:szCs w:val="27"/>
        </w:rPr>
        <w:t>林大輝議員站起來</w:t>
      </w:r>
      <w:r>
        <w:rPr>
          <w:spacing w:val="20"/>
          <w:sz w:val="27"/>
          <w:szCs w:val="27"/>
        </w:rPr>
        <w:t>)</w:t>
      </w:r>
    </w:p>
    <w:p>
      <w:pPr>
        <w:pStyle w:val="F21"/>
        <w:spacing w:lineRule="atLeast" w:line="390"/>
        <w:rPr>
          <w:rFonts w:cs="華康細明體"/>
          <w:szCs w:val="27"/>
        </w:rPr>
      </w:pPr>
      <w:r>
        <w:rPr>
          <w:rFonts w:cs="華康細明體"/>
          <w:szCs w:val="27"/>
        </w:rPr>
      </w:r>
    </w:p>
    <w:p>
      <w:pPr>
        <w:pStyle w:val="F21"/>
        <w:spacing w:lineRule="atLeast" w:line="390"/>
        <w:rPr>
          <w:rFonts w:cs="華康細明體"/>
          <w:szCs w:val="27"/>
        </w:rPr>
      </w:pPr>
      <w:r>
        <w:rPr>
          <w:rFonts w:cs="華康細明體"/>
          <w:szCs w:val="27"/>
        </w:rPr>
      </w:r>
    </w:p>
    <w:p>
      <w:pPr>
        <w:pStyle w:val="F21"/>
        <w:spacing w:lineRule="atLeast" w:line="390"/>
        <w:rPr>
          <w:rFonts w:cs="華康細明體"/>
          <w:szCs w:val="27"/>
        </w:rPr>
      </w:pPr>
      <w:r>
        <w:rPr>
          <w:rFonts w:ascii="華康中黑體" w:hAnsi="華康中黑體" w:cs="華康細明體" w:eastAsia="華康中黑體"/>
          <w:b/>
          <w:szCs w:val="27"/>
        </w:rPr>
        <w:t>主席</w:t>
      </w:r>
      <w:r>
        <w:rPr>
          <w:rFonts w:cs="華康細明體"/>
          <w:szCs w:val="27"/>
        </w:rPr>
        <w:t>：局長，請稍等。林議員，你有甚麼問題？</w:t>
      </w:r>
    </w:p>
    <w:p>
      <w:pPr>
        <w:pStyle w:val="F21"/>
        <w:spacing w:lineRule="atLeast" w:line="390"/>
        <w:rPr>
          <w:rFonts w:cs="華康細明體"/>
          <w:szCs w:val="27"/>
        </w:rPr>
      </w:pPr>
      <w:r>
        <w:rPr>
          <w:rFonts w:cs="華康細明體"/>
          <w:szCs w:val="27"/>
        </w:rPr>
      </w:r>
    </w:p>
    <w:p>
      <w:pPr>
        <w:pStyle w:val="Normal"/>
        <w:widowControl/>
        <w:tabs>
          <w:tab w:val="clear" w:pos="720"/>
        </w:tabs>
        <w:spacing w:lineRule="atLeast" w:line="390"/>
        <w:jc w:val="left"/>
        <w:rPr>
          <w:rFonts w:cs="華康細明體"/>
          <w:spacing w:val="20"/>
          <w:sz w:val="27"/>
          <w:szCs w:val="27"/>
          <w:lang w:val="en-US"/>
        </w:rPr>
      </w:pPr>
      <w:r>
        <w:rPr>
          <w:rFonts w:cs="華康細明體"/>
          <w:spacing w:val="20"/>
          <w:sz w:val="27"/>
          <w:szCs w:val="27"/>
          <w:lang w:val="en-US"/>
        </w:rPr>
      </w:r>
    </w:p>
    <w:p>
      <w:pPr>
        <w:pStyle w:val="F21"/>
        <w:spacing w:lineRule="atLeast" w:line="390"/>
        <w:rPr>
          <w:rFonts w:cs="華康細明體"/>
          <w:i/>
          <w:i/>
          <w:szCs w:val="27"/>
        </w:rPr>
      </w:pPr>
      <w:r>
        <w:rPr>
          <w:rFonts w:eastAsia="華康中黑體"/>
          <w:b/>
          <w:kern w:val="2"/>
          <w:szCs w:val="27"/>
        </w:rPr>
        <w:t>林大輝議員</w:t>
      </w:r>
      <w:r>
        <w:rPr>
          <w:rFonts w:ascii="華康細明體" w:hAnsi="華康細明體" w:cs="華康細明體"/>
          <w:szCs w:val="27"/>
        </w:rPr>
        <w:t>：</w:t>
      </w:r>
      <w:r>
        <w:rPr>
          <w:rFonts w:ascii="華康細明體" w:hAnsi="華康細明體" w:cs="華康細明體"/>
          <w:i/>
          <w:szCs w:val="27"/>
        </w:rPr>
        <w:t>我實在認為局長在</w:t>
      </w:r>
      <w:r>
        <w:rPr>
          <w:rFonts w:cs="華康細明體"/>
          <w:i/>
          <w:szCs w:val="27"/>
        </w:rPr>
        <w:t>“拉布”，我希望重複我的補充質詢，好嗎？他是在“拉布”。</w:t>
      </w:r>
    </w:p>
    <w:p>
      <w:pPr>
        <w:pStyle w:val="F21"/>
        <w:spacing w:lineRule="atLeast" w:line="390"/>
        <w:rPr>
          <w:rFonts w:cs="華康細明體"/>
          <w:i/>
          <w:i/>
          <w:szCs w:val="27"/>
        </w:rPr>
      </w:pPr>
      <w:r>
        <w:rPr>
          <w:rFonts w:cs="華康細明體"/>
          <w:i/>
          <w:szCs w:val="27"/>
        </w:rPr>
      </w:r>
    </w:p>
    <w:p>
      <w:pPr>
        <w:pStyle w:val="F21"/>
        <w:spacing w:lineRule="atLeast" w:line="390"/>
        <w:rPr>
          <w:rFonts w:cs="華康細明體"/>
          <w:i/>
          <w:i/>
          <w:szCs w:val="27"/>
        </w:rPr>
      </w:pPr>
      <w:r>
        <w:rPr>
          <w:rFonts w:cs="華康細明體"/>
          <w:i/>
          <w:szCs w:val="27"/>
        </w:rPr>
        <w:tab/>
      </w:r>
      <w:r>
        <w:rPr>
          <w:rFonts w:cs="華康細明體"/>
          <w:i/>
          <w:szCs w:val="27"/>
        </w:rPr>
        <w:t>我的補充質詢是，今天我希望政府詳細向公眾解釋政府如何貫徹執行官員的問責制度，例如，會否成立一個問責官員政績考核評價機制？</w:t>
      </w:r>
    </w:p>
    <w:p>
      <w:pPr>
        <w:pStyle w:val="F21"/>
        <w:spacing w:lineRule="atLeast" w:line="390"/>
        <w:rPr>
          <w:rFonts w:cs="華康細明體"/>
          <w:szCs w:val="27"/>
        </w:rPr>
      </w:pPr>
      <w:r>
        <w:rPr>
          <w:rFonts w:cs="華康細明體"/>
          <w:szCs w:val="27"/>
        </w:rPr>
      </w:r>
    </w:p>
    <w:p>
      <w:pPr>
        <w:pStyle w:val="F21"/>
        <w:spacing w:lineRule="atLeast" w:line="390"/>
        <w:rPr>
          <w:rFonts w:cs="Times New Roman"/>
          <w:szCs w:val="27"/>
        </w:rPr>
      </w:pPr>
      <w:r>
        <w:rPr>
          <w:rFonts w:cs="Times New Roman"/>
          <w:szCs w:val="27"/>
        </w:rPr>
      </w:r>
    </w:p>
    <w:p>
      <w:pPr>
        <w:pStyle w:val="F21"/>
        <w:spacing w:lineRule="atLeast" w:line="390"/>
        <w:rPr>
          <w:szCs w:val="27"/>
        </w:rPr>
      </w:pPr>
      <w:r>
        <w:rPr>
          <w:rFonts w:ascii="華康中黑體" w:hAnsi="華康中黑體" w:cs="華康細明體" w:eastAsia="華康中黑體"/>
          <w:b/>
          <w:szCs w:val="27"/>
        </w:rPr>
        <w:t>主席</w:t>
      </w:r>
      <w:r>
        <w:rPr>
          <w:szCs w:val="27"/>
        </w:rPr>
        <w:t>：局長，請你回答議員的補充質詢。</w:t>
      </w:r>
    </w:p>
    <w:p>
      <w:pPr>
        <w:pStyle w:val="F21"/>
        <w:spacing w:lineRule="atLeast" w:line="390"/>
        <w:rPr>
          <w:szCs w:val="27"/>
        </w:rPr>
      </w:pPr>
      <w:r>
        <w:rPr>
          <w:szCs w:val="27"/>
        </w:rPr>
      </w:r>
    </w:p>
    <w:p>
      <w:pPr>
        <w:pStyle w:val="F21"/>
        <w:spacing w:lineRule="atLeast" w:line="390"/>
        <w:rPr>
          <w:szCs w:val="27"/>
        </w:rPr>
      </w:pPr>
      <w:r>
        <w:rPr>
          <w:szCs w:val="27"/>
        </w:rPr>
      </w:r>
    </w:p>
    <w:p>
      <w:pPr>
        <w:pStyle w:val="F21"/>
        <w:spacing w:lineRule="atLeast" w:line="390"/>
        <w:rPr>
          <w:szCs w:val="27"/>
        </w:rPr>
      </w:pPr>
      <w:r>
        <w:rPr>
          <w:rFonts w:ascii="華康中黑體" w:hAnsi="華康中黑體" w:cs="華康中黑體" w:eastAsia="華康中黑體"/>
          <w:b/>
          <w:szCs w:val="27"/>
        </w:rPr>
        <w:t>政制及內地事務局局長</w:t>
      </w:r>
      <w:r>
        <w:rPr>
          <w:szCs w:val="27"/>
        </w:rPr>
        <w:t>：主席，在我記憶之中，以往</w:t>
      </w:r>
      <w:r>
        <w:rPr>
          <w:szCs w:val="27"/>
        </w:rPr>
        <w:t>(</w:t>
      </w:r>
      <w:r>
        <w:rPr>
          <w:szCs w:val="27"/>
        </w:rPr>
        <w:t>特別是上一屆官員中</w:t>
      </w:r>
      <w:r>
        <w:rPr>
          <w:szCs w:val="27"/>
        </w:rPr>
        <w:t>)</w:t>
      </w:r>
      <w:r>
        <w:rPr>
          <w:szCs w:val="27"/>
        </w:rPr>
        <w:t>也有主要官員受到當時的行政長官警告，因為行政長官認為該名局長在任內履行職責時，表現未如理想，而且令社會產生回響，故此對該名局長作出警告。正如我在主體答覆中所說，在李國能大法官建議下，我們現時已設有所謂四重懲罰機制。</w:t>
      </w:r>
    </w:p>
    <w:p>
      <w:pPr>
        <w:pStyle w:val="F21"/>
        <w:spacing w:lineRule="atLeast" w:line="390"/>
        <w:rPr>
          <w:szCs w:val="27"/>
        </w:rPr>
      </w:pPr>
      <w:r>
        <w:rPr>
          <w:szCs w:val="27"/>
        </w:rPr>
      </w:r>
    </w:p>
    <w:p>
      <w:pPr>
        <w:pStyle w:val="F21"/>
        <w:spacing w:lineRule="atLeast" w:line="390"/>
        <w:rPr>
          <w:szCs w:val="27"/>
        </w:rPr>
      </w:pPr>
      <w:r>
        <w:rPr>
          <w:szCs w:val="27"/>
        </w:rPr>
        <w:tab/>
      </w:r>
      <w:r>
        <w:rPr>
          <w:szCs w:val="27"/>
        </w:rPr>
        <w:t>我相信在這個制度下，行政長官在有需要時，當然會就個別主要官員的工作表現或其個人及其他方面的情況，正如林大輝</w:t>
      </w:r>
      <w:r>
        <w:rPr>
          <w:rFonts w:ascii="華康細明體" w:hAnsi="華康細明體" w:cs="華康細明體"/>
          <w:szCs w:val="27"/>
        </w:rPr>
        <w:t>議員</w:t>
      </w:r>
      <w:r>
        <w:rPr>
          <w:szCs w:val="27"/>
        </w:rPr>
        <w:t>所說，約談誡勉。我認為無須就現行機制架床疊屋，另設甚麼委員會。</w:t>
      </w:r>
    </w:p>
    <w:p>
      <w:pPr>
        <w:pStyle w:val="F21"/>
        <w:spacing w:lineRule="atLeast" w:line="390"/>
        <w:rPr>
          <w:szCs w:val="27"/>
        </w:rPr>
      </w:pPr>
      <w:r>
        <w:rPr>
          <w:szCs w:val="27"/>
        </w:rPr>
      </w:r>
    </w:p>
    <w:p>
      <w:pPr>
        <w:pStyle w:val="F21"/>
        <w:spacing w:lineRule="atLeast" w:line="390"/>
        <w:rPr>
          <w:szCs w:val="27"/>
        </w:rPr>
      </w:pPr>
      <w:r>
        <w:rPr>
          <w:szCs w:val="27"/>
        </w:rPr>
      </w:r>
    </w:p>
    <w:p>
      <w:pPr>
        <w:pStyle w:val="F21"/>
        <w:spacing w:lineRule="atLeast" w:line="390"/>
        <w:rPr>
          <w:i/>
          <w:i/>
          <w:szCs w:val="27"/>
        </w:rPr>
      </w:pPr>
      <w:r>
        <w:rPr>
          <w:rFonts w:eastAsia="華康中黑體"/>
          <w:b/>
          <w:kern w:val="2"/>
          <w:szCs w:val="27"/>
        </w:rPr>
        <w:t>陳偉業議員</w:t>
      </w:r>
      <w:r>
        <w:rPr>
          <w:szCs w:val="27"/>
        </w:rPr>
        <w:t>：</w:t>
      </w:r>
      <w:r>
        <w:rPr>
          <w:i/>
          <w:szCs w:val="27"/>
        </w:rPr>
        <w:t>主席，林大輝</w:t>
      </w:r>
      <w:r>
        <w:rPr>
          <w:rFonts w:ascii="華康細明體" w:hAnsi="華康細明體" w:cs="華康細明體"/>
          <w:i/>
          <w:szCs w:val="27"/>
        </w:rPr>
        <w:t>議員</w:t>
      </w:r>
      <w:r>
        <w:rPr>
          <w:i/>
          <w:szCs w:val="27"/>
        </w:rPr>
        <w:t>的補充質詢就如特首的參選宣言一樣，但政府的答覆，充分表現出局長有“拉布”恐懼症，回答問題時，根本沒有對焦。</w:t>
      </w:r>
      <w:r>
        <w:br w:type="page"/>
      </w:r>
    </w:p>
    <w:p>
      <w:pPr>
        <w:pStyle w:val="F21"/>
        <w:spacing w:lineRule="atLeast" w:line="400"/>
        <w:rPr>
          <w:rFonts w:cs="華康細明體"/>
          <w:i/>
          <w:i/>
          <w:szCs w:val="27"/>
        </w:rPr>
      </w:pPr>
      <w:r>
        <w:rPr>
          <w:i/>
          <w:szCs w:val="27"/>
        </w:rPr>
        <w:tab/>
      </w:r>
      <w:r>
        <w:rPr>
          <w:i/>
          <w:szCs w:val="27"/>
        </w:rPr>
        <w:t>林大輝</w:t>
      </w:r>
      <w:r>
        <w:rPr>
          <w:rFonts w:ascii="華康細明體" w:hAnsi="華康細明體" w:cs="華康細明體"/>
          <w:i/>
          <w:szCs w:val="27"/>
        </w:rPr>
        <w:t>議員提出的質詢，是關於李克強總理提到官員失職等連串的問題。如果官員失職，是因為我們</w:t>
      </w:r>
      <w:r>
        <w:rPr>
          <w:rFonts w:cs="華康細明體"/>
          <w:i/>
          <w:szCs w:val="27"/>
        </w:rPr>
        <w:t>“</w:t>
      </w:r>
      <w:r>
        <w:rPr>
          <w:rFonts w:cs="華康細明體"/>
          <w:i/>
          <w:szCs w:val="27"/>
        </w:rPr>
        <w:t>Do Re Me”3</w:t>
      </w:r>
      <w:r>
        <w:rPr>
          <w:rFonts w:cs="華康細明體"/>
          <w:i/>
          <w:szCs w:val="27"/>
        </w:rPr>
        <w:t>位議員“拉布”，導致整個政府、司局長，包括特首表現無能，這便是豆腐政府，理應立即解散</w:t>
      </w:r>
      <w:r>
        <w:rPr>
          <w:rFonts w:cs="華康細明體"/>
          <w:i/>
          <w:szCs w:val="27"/>
        </w:rPr>
        <w:t>......</w:t>
      </w:r>
    </w:p>
    <w:p>
      <w:pPr>
        <w:pStyle w:val="F21"/>
        <w:spacing w:lineRule="atLeast" w:line="380"/>
        <w:rPr>
          <w:rFonts w:cs="華康細明體"/>
          <w:szCs w:val="27"/>
        </w:rPr>
      </w:pPr>
      <w:r>
        <w:rPr>
          <w:rFonts w:cs="華康細明體"/>
          <w:szCs w:val="27"/>
        </w:rPr>
      </w:r>
    </w:p>
    <w:p>
      <w:pPr>
        <w:pStyle w:val="F21"/>
        <w:spacing w:lineRule="atLeast" w:line="380"/>
        <w:rPr>
          <w:rFonts w:cs="華康細明體"/>
          <w:szCs w:val="27"/>
        </w:rPr>
      </w:pPr>
      <w:r>
        <w:rPr>
          <w:rFonts w:cs="華康細明體"/>
          <w:szCs w:val="27"/>
        </w:rPr>
      </w:r>
    </w:p>
    <w:p>
      <w:pPr>
        <w:pStyle w:val="F21"/>
        <w:spacing w:lineRule="atLeast" w:line="380"/>
        <w:rPr>
          <w:rFonts w:cs="華康細明體"/>
          <w:szCs w:val="27"/>
        </w:rPr>
      </w:pPr>
      <w:r>
        <w:rPr>
          <w:rFonts w:ascii="華康中黑體" w:hAnsi="華康中黑體" w:cs="華康細明體" w:eastAsia="華康中黑體"/>
          <w:b/>
          <w:szCs w:val="27"/>
        </w:rPr>
        <w:t>主席</w:t>
      </w:r>
      <w:r>
        <w:rPr>
          <w:rFonts w:cs="華康細明體"/>
          <w:szCs w:val="27"/>
        </w:rPr>
        <w:t>：陳議員，請提出補充質詢。</w:t>
      </w:r>
    </w:p>
    <w:p>
      <w:pPr>
        <w:pStyle w:val="F21"/>
        <w:spacing w:lineRule="atLeast" w:line="380"/>
        <w:rPr>
          <w:rFonts w:cs="華康細明體"/>
          <w:szCs w:val="27"/>
        </w:rPr>
      </w:pPr>
      <w:r>
        <w:rPr>
          <w:rFonts w:cs="華康細明體"/>
          <w:szCs w:val="27"/>
        </w:rPr>
      </w:r>
    </w:p>
    <w:p>
      <w:pPr>
        <w:pStyle w:val="F21"/>
        <w:spacing w:lineRule="atLeast" w:line="380"/>
        <w:rPr>
          <w:rFonts w:cs="華康細明體"/>
          <w:szCs w:val="27"/>
        </w:rPr>
      </w:pPr>
      <w:r>
        <w:rPr>
          <w:rFonts w:cs="華康細明體"/>
          <w:szCs w:val="27"/>
        </w:rPr>
      </w:r>
    </w:p>
    <w:p>
      <w:pPr>
        <w:pStyle w:val="F21"/>
        <w:spacing w:lineRule="atLeast" w:line="380"/>
        <w:rPr>
          <w:rFonts w:cs="Times New Roman"/>
          <w:i/>
          <w:i/>
          <w:szCs w:val="27"/>
        </w:rPr>
      </w:pPr>
      <w:r>
        <w:rPr>
          <w:rFonts w:eastAsia="華康中黑體"/>
          <w:b/>
          <w:kern w:val="2"/>
          <w:szCs w:val="27"/>
        </w:rPr>
        <w:t>陳偉業議員</w:t>
      </w:r>
      <w:r>
        <w:rPr>
          <w:szCs w:val="27"/>
        </w:rPr>
        <w:t>：</w:t>
      </w:r>
      <w:r>
        <w:rPr>
          <w:i/>
          <w:szCs w:val="27"/>
        </w:rPr>
        <w:t>主席，我正要提出補充質詢。梁振英剛剛高姿態表示，要選民透過選舉，將一些</w:t>
      </w:r>
      <w:r>
        <w:rPr>
          <w:rFonts w:ascii="華康細明體" w:hAnsi="華康細明體" w:cs="華康細明體"/>
          <w:i/>
          <w:szCs w:val="27"/>
        </w:rPr>
        <w:t>議員</w:t>
      </w:r>
      <w:r>
        <w:rPr>
          <w:i/>
          <w:szCs w:val="27"/>
        </w:rPr>
        <w:t xml:space="preserve">從這個議會中剔除。關於處理政治危機和處理重大政治問題，當政府無法通過一項政策時，一般民主議會便會解散議會，進行重選。政府已經連續兩次無法通過成立創新及科技局的議案，對嗎？政改也有機會無法獲得通過，政府不要“說便兇狠，做便無能” </w:t>
      </w:r>
      <w:r>
        <w:rPr>
          <w:rFonts w:ascii="Symbol" w:hAnsi="Symbol" w:cs="Symbol" w:eastAsia="Symbol"/>
          <w:i/>
          <w:szCs w:val="27"/>
        </w:rPr>
        <w:t></w:t>
      </w:r>
      <w:r>
        <w:rPr>
          <w:i/>
          <w:szCs w:val="27"/>
        </w:rPr>
        <w:t xml:space="preserve"> 主席，其實網上的形容詞更為生動，但當中夾雜粗口，所以我不會說那一句 </w:t>
      </w:r>
      <w:r>
        <w:rPr>
          <w:rFonts w:ascii="Symbol" w:hAnsi="Symbol" w:cs="Symbol" w:eastAsia="Symbol"/>
          <w:i/>
          <w:szCs w:val="27"/>
        </w:rPr>
        <w:t></w:t>
      </w:r>
      <w:r>
        <w:rPr>
          <w:i/>
          <w:szCs w:val="27"/>
        </w:rPr>
        <w:t xml:space="preserve"> 我只會說“說便兇狠，做便無能”。局長會否要求梁振英解散立法會？正如他所說，選民以選票來決定哪一位當</w:t>
      </w:r>
      <w:r>
        <w:rPr>
          <w:rFonts w:ascii="華康細明體" w:hAnsi="華康細明體" w:cs="華康細明體"/>
          <w:i/>
          <w:szCs w:val="27"/>
        </w:rPr>
        <w:t>議員</w:t>
      </w:r>
      <w:r>
        <w:rPr>
          <w:i/>
          <w:szCs w:val="27"/>
        </w:rPr>
        <w:t>。如果局長可以，便一併拿梁振英當賭注，進行公投，把梁振英“炒魷魚”，讓他不能當特首。</w:t>
      </w:r>
    </w:p>
    <w:p>
      <w:pPr>
        <w:pStyle w:val="F21"/>
        <w:spacing w:lineRule="atLeast" w:line="380"/>
        <w:rPr>
          <w:i/>
          <w:i/>
          <w:szCs w:val="27"/>
        </w:rPr>
      </w:pPr>
      <w:r>
        <w:rPr>
          <w:i/>
          <w:szCs w:val="27"/>
        </w:rPr>
      </w:r>
    </w:p>
    <w:p>
      <w:pPr>
        <w:pStyle w:val="F21"/>
        <w:spacing w:lineRule="atLeast" w:line="380"/>
        <w:rPr>
          <w:i/>
          <w:i/>
          <w:szCs w:val="27"/>
        </w:rPr>
      </w:pPr>
      <w:r>
        <w:rPr>
          <w:i/>
          <w:szCs w:val="27"/>
        </w:rPr>
        <w:tab/>
      </w:r>
      <w:r>
        <w:rPr>
          <w:i/>
          <w:szCs w:val="27"/>
        </w:rPr>
        <w:t>市民可以透過選舉選擇立法會</w:t>
      </w:r>
      <w:r>
        <w:rPr>
          <w:rFonts w:ascii="華康細明體" w:hAnsi="華康細明體" w:cs="華康細明體"/>
          <w:i/>
          <w:szCs w:val="27"/>
        </w:rPr>
        <w:t>議員</w:t>
      </w:r>
      <w:r>
        <w:rPr>
          <w:i/>
          <w:szCs w:val="27"/>
        </w:rPr>
        <w:t>，但市民卻無法選擇特首，而市民最想踢走的，便是這一位“</w:t>
      </w:r>
      <w:r>
        <w:rPr>
          <w:i/>
          <w:szCs w:val="27"/>
        </w:rPr>
        <w:t>689”</w:t>
      </w:r>
      <w:r>
        <w:rPr>
          <w:i/>
          <w:szCs w:val="27"/>
        </w:rPr>
        <w:t>無能的特首</w:t>
      </w:r>
      <w:r>
        <w:rPr>
          <w:i/>
          <w:szCs w:val="27"/>
        </w:rPr>
        <w:t>......</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細明體" w:eastAsia="華康中黑體"/>
          <w:b/>
          <w:szCs w:val="27"/>
        </w:rPr>
        <w:t>主席</w:t>
      </w:r>
      <w:r>
        <w:rPr>
          <w:szCs w:val="27"/>
        </w:rPr>
        <w:t>：陳議員，請讓局長回答你的補充質詢。</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中黑體" w:eastAsia="華康中黑體"/>
          <w:b/>
          <w:szCs w:val="27"/>
        </w:rPr>
        <w:t>政制及內地事務局局長</w:t>
      </w:r>
      <w:r>
        <w:rPr>
          <w:szCs w:val="27"/>
        </w:rPr>
        <w:t>：主席，根據《基本法》，立法會的任期是</w:t>
      </w:r>
      <w:r>
        <w:rPr>
          <w:szCs w:val="27"/>
        </w:rPr>
        <w:t>4</w:t>
      </w:r>
      <w:r>
        <w:rPr>
          <w:szCs w:val="27"/>
        </w:rPr>
        <w:t>年一任，除非是根據《基本法》第四十九條和第五十條，有重要法案或財政預算案無法在立法會獲得通過，才會有所謂解散重選的機制。</w:t>
      </w:r>
    </w:p>
    <w:p>
      <w:pPr>
        <w:pStyle w:val="F21"/>
        <w:spacing w:lineRule="atLeast" w:line="380"/>
        <w:rPr>
          <w:szCs w:val="27"/>
        </w:rPr>
      </w:pPr>
      <w:r>
        <w:rPr>
          <w:szCs w:val="27"/>
        </w:rPr>
      </w:r>
    </w:p>
    <w:p>
      <w:pPr>
        <w:pStyle w:val="F21"/>
        <w:spacing w:lineRule="atLeast" w:line="380"/>
        <w:rPr>
          <w:szCs w:val="27"/>
        </w:rPr>
      </w:pPr>
      <w:r>
        <w:rPr>
          <w:szCs w:val="27"/>
        </w:rPr>
        <w:tab/>
      </w:r>
      <w:r>
        <w:rPr>
          <w:szCs w:val="27"/>
        </w:rPr>
        <w:t>陳偉業</w:t>
      </w:r>
      <w:r>
        <w:rPr>
          <w:rFonts w:ascii="華康細明體" w:hAnsi="華康細明體" w:cs="華康細明體"/>
          <w:szCs w:val="27"/>
        </w:rPr>
        <w:t>議員</w:t>
      </w:r>
      <w:r>
        <w:rPr>
          <w:szCs w:val="27"/>
        </w:rPr>
        <w:t>剛才提到兩件事，第一件應該屬於過往無法通過財務委員會的撥款申請，正如我在主體答覆中也有提到，這並不屬於法案。至於我們將會提交議會的政改議案，也不是本地層面的條例草案，所以《基本法》第四十九條和第五十條也不適用。</w:t>
      </w:r>
    </w:p>
    <w:p>
      <w:pPr>
        <w:pStyle w:val="F21"/>
        <w:spacing w:lineRule="exact" w:line="40"/>
        <w:rPr>
          <w:szCs w:val="27"/>
        </w:rPr>
      </w:pPr>
      <w:r>
        <w:rPr>
          <w:szCs w:val="27"/>
        </w:rPr>
      </w:r>
    </w:p>
    <w:p>
      <w:pPr>
        <w:pStyle w:val="Normal"/>
        <w:widowControl/>
        <w:tabs>
          <w:tab w:val="clear" w:pos="720"/>
        </w:tabs>
        <w:spacing w:lineRule="exact" w:line="40"/>
        <w:jc w:val="left"/>
        <w:rPr>
          <w:rFonts w:cs="" w:cstheme="minorBidi"/>
          <w:spacing w:val="20"/>
          <w:sz w:val="27"/>
          <w:szCs w:val="27"/>
          <w:lang w:val="en-US"/>
        </w:rPr>
      </w:pPr>
      <w:r>
        <w:rPr>
          <w:rFonts w:cs="" w:cstheme="minorBidi"/>
          <w:spacing w:val="20"/>
          <w:sz w:val="27"/>
          <w:szCs w:val="27"/>
          <w:lang w:val="en-US"/>
        </w:rPr>
      </w:r>
      <w:r>
        <w:br w:type="page"/>
      </w:r>
    </w:p>
    <w:p>
      <w:pPr>
        <w:pStyle w:val="F21"/>
        <w:spacing w:lineRule="atLeast" w:line="370"/>
        <w:rPr>
          <w:i/>
          <w:i/>
          <w:szCs w:val="27"/>
        </w:rPr>
      </w:pPr>
      <w:r>
        <w:rPr>
          <w:rFonts w:eastAsia="華康中黑體"/>
          <w:b/>
          <w:kern w:val="2"/>
          <w:szCs w:val="27"/>
        </w:rPr>
        <w:t>陳偉業議員</w:t>
      </w:r>
      <w:r>
        <w:rPr>
          <w:szCs w:val="27"/>
        </w:rPr>
        <w:t>：</w:t>
      </w:r>
      <w:r>
        <w:rPr>
          <w:i/>
          <w:szCs w:val="27"/>
        </w:rPr>
        <w:t>如果政改無法獲得通過，政府會否解散立法會，透過解散而重選？政改是一項重要法案。</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細明體" w:eastAsia="華康中黑體"/>
          <w:b/>
          <w:szCs w:val="27"/>
        </w:rPr>
        <w:t>主席</w:t>
      </w:r>
      <w:r>
        <w:rPr>
          <w:szCs w:val="27"/>
        </w:rPr>
        <w:t>：局長，你有否補充？</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kern w:val="2"/>
          <w:szCs w:val="27"/>
        </w:rPr>
        <w:t>政制及內地事務局局長</w:t>
      </w:r>
      <w:r>
        <w:rPr>
          <w:szCs w:val="27"/>
        </w:rPr>
        <w:t>：主席，正如我剛才所說，我的上一任局長在立法會一次質詢中，也曾向立法會解釋，據我們的理解，《基本法》附件一的修正案不屬於本地立法層面的修訂。據我們理解，《基本法》第四十九條和第五十條所涉及的重要法案，只是指本地法案的修訂，所以是不適用的。</w:t>
      </w:r>
    </w:p>
    <w:p>
      <w:pPr>
        <w:pStyle w:val="F21"/>
        <w:spacing w:lineRule="atLeast" w:line="370"/>
        <w:rPr>
          <w:szCs w:val="27"/>
        </w:rPr>
      </w:pPr>
      <w:r>
        <w:rPr>
          <w:szCs w:val="27"/>
        </w:rPr>
      </w:r>
    </w:p>
    <w:p>
      <w:pPr>
        <w:pStyle w:val="Normal"/>
        <w:widowControl/>
        <w:tabs>
          <w:tab w:val="clear" w:pos="720"/>
        </w:tabs>
        <w:spacing w:lineRule="atLeast" w:line="370"/>
        <w:jc w:val="left"/>
        <w:rPr>
          <w:rFonts w:cs="" w:cstheme="minorBidi"/>
          <w:spacing w:val="20"/>
          <w:sz w:val="27"/>
          <w:szCs w:val="27"/>
          <w:lang w:val="en-US"/>
        </w:rPr>
      </w:pPr>
      <w:r>
        <w:rPr>
          <w:rFonts w:cs="" w:cstheme="minorBidi"/>
          <w:spacing w:val="20"/>
          <w:sz w:val="27"/>
          <w:szCs w:val="27"/>
          <w:lang w:val="en-US"/>
        </w:rPr>
      </w:r>
    </w:p>
    <w:p>
      <w:pPr>
        <w:pStyle w:val="F21"/>
        <w:spacing w:lineRule="atLeast" w:line="370"/>
        <w:rPr>
          <w:i/>
          <w:i/>
          <w:szCs w:val="27"/>
        </w:rPr>
      </w:pPr>
      <w:r>
        <w:rPr>
          <w:rFonts w:eastAsia="華康中黑體"/>
          <w:b/>
          <w:kern w:val="2"/>
          <w:szCs w:val="27"/>
        </w:rPr>
        <w:t>葉國謙議員</w:t>
      </w:r>
      <w:r>
        <w:rPr>
          <w:szCs w:val="27"/>
        </w:rPr>
        <w:t>：</w:t>
      </w:r>
      <w:r>
        <w:rPr>
          <w:i/>
          <w:szCs w:val="27"/>
        </w:rPr>
        <w:t>主席，聽完陳偉業</w:t>
      </w:r>
      <w:r>
        <w:rPr>
          <w:rFonts w:ascii="華康細明體" w:hAnsi="華康細明體" w:cs="華康細明體"/>
          <w:i/>
          <w:szCs w:val="27"/>
        </w:rPr>
        <w:t>議員</w:t>
      </w:r>
      <w:r>
        <w:rPr>
          <w:i/>
          <w:szCs w:val="27"/>
        </w:rPr>
        <w:t>的慷慨陳詞，其實他應該給香港市民一個機會，讓他們有機會在</w:t>
      </w:r>
      <w:r>
        <w:rPr>
          <w:i/>
          <w:szCs w:val="27"/>
        </w:rPr>
        <w:t>2017</w:t>
      </w:r>
      <w:r>
        <w:rPr>
          <w:i/>
          <w:szCs w:val="27"/>
        </w:rPr>
        <w:t>年以“一人一票”的方式選出特首。既然他如此慷慨陳詞，我呼籲他屆時不要反對</w:t>
      </w:r>
      <w:r>
        <w:rPr>
          <w:i/>
          <w:szCs w:val="27"/>
        </w:rPr>
        <w:t>......</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細明體" w:eastAsia="華康中黑體"/>
          <w:b/>
          <w:szCs w:val="27"/>
        </w:rPr>
        <w:t>主席</w:t>
      </w:r>
      <w:r>
        <w:rPr>
          <w:szCs w:val="27"/>
        </w:rPr>
        <w:t>：葉議員，請提出補充質詢。</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eastAsia="華康中黑體"/>
          <w:b/>
          <w:kern w:val="2"/>
          <w:szCs w:val="27"/>
        </w:rPr>
        <w:t>葉國謙議員</w:t>
      </w:r>
      <w:r>
        <w:rPr>
          <w:szCs w:val="27"/>
        </w:rPr>
        <w:t>：</w:t>
      </w:r>
      <w:r>
        <w:rPr>
          <w:i/>
          <w:szCs w:val="27"/>
        </w:rPr>
        <w:t>......</w:t>
      </w:r>
      <w:r>
        <w:rPr>
          <w:i/>
          <w:szCs w:val="27"/>
        </w:rPr>
        <w:t>不要剝奪香港市民的權利。我想問局長，事實上，不論是市民、立法會</w:t>
      </w:r>
      <w:r>
        <w:rPr>
          <w:rFonts w:ascii="華康細明體" w:hAnsi="華康細明體" w:cs="華康細明體"/>
          <w:i/>
          <w:szCs w:val="27"/>
        </w:rPr>
        <w:t>或傳媒也看到現時行政立法的關係真的不太好，加上泛民、反對派的議員不斷</w:t>
      </w:r>
      <w:r>
        <w:rPr>
          <w:rFonts w:cs="華康細明體"/>
          <w:i/>
          <w:szCs w:val="27"/>
        </w:rPr>
        <w:t>“拉布”，令不少政策不能推行和實施。</w:t>
      </w:r>
      <w:r>
        <w:rPr>
          <w:i/>
          <w:szCs w:val="27"/>
        </w:rPr>
        <w:t>即使是剛才所說的創新及科技局，也被“拉布”拉倒，至今仍未能成立。所以，在這種情況下，政府的民望被拉低，而且跌得很低。我想請問局長有否檢討一下，如何有效地落實各項政策，在過程中有否將反對派濫用《議事規則》及“拉布”的行為納入考慮之列，繼而採取相應的對策和措施？</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eastAsia="華康中黑體"/>
          <w:b/>
          <w:szCs w:val="27"/>
        </w:rPr>
        <w:t>政制及內地事務局局長</w:t>
      </w:r>
      <w:r>
        <w:rPr>
          <w:szCs w:val="27"/>
        </w:rPr>
        <w:t>：主席，多謝葉國謙議員的補充質詢。我相信，這方面的問題要從兩方面考慮。第一，當然是從體制上，包括在立法會議事時《議事規則》的各項規定，也包括財務委員會的規定。如果沒有記錯，葉國謙議員曾就財務委員會的議事規程提出可改進的建議，藉以令議會更有效率。這是其中一方面。</w:t>
      </w:r>
      <w:r>
        <w:br w:type="page"/>
      </w:r>
    </w:p>
    <w:p>
      <w:pPr>
        <w:pStyle w:val="F21"/>
        <w:spacing w:lineRule="atLeast" w:line="380"/>
        <w:rPr>
          <w:szCs w:val="27"/>
        </w:rPr>
      </w:pPr>
      <w:r>
        <w:rPr>
          <w:szCs w:val="27"/>
        </w:rPr>
        <w:tab/>
      </w:r>
      <w:r>
        <w:rPr>
          <w:szCs w:val="27"/>
        </w:rPr>
        <w:t>第二方面，我相信特區政府會向市民大眾提供應有的服務，立法會亦是民意代表。所以，我認為特區政府的施政和立法會議政的效率始終受到市民監察。過往多項民調對特區政府或官員或立法會議員的表現亦各有評價。不如我們互相勉勵，希望特區政府官員和立法會議員能夠細心研究市民究竟對行政立法關係有何期許。現時的僵局或比較僵化的關係，若長久下去，是不是市民樂見的？我希望大家能抱着為社會整體長遠的利益的心態互相勉勵。</w:t>
      </w:r>
    </w:p>
    <w:p>
      <w:pPr>
        <w:pStyle w:val="F21"/>
        <w:spacing w:lineRule="atLeast" w:line="380"/>
        <w:rPr>
          <w:szCs w:val="27"/>
        </w:rPr>
      </w:pPr>
      <w:r>
        <w:rPr>
          <w:szCs w:val="27"/>
        </w:rPr>
      </w:r>
    </w:p>
    <w:p>
      <w:pPr>
        <w:pStyle w:val="Normal"/>
        <w:widowControl/>
        <w:tabs>
          <w:tab w:val="clear" w:pos="720"/>
        </w:tabs>
        <w:spacing w:lineRule="atLeast" w:line="380"/>
        <w:jc w:val="left"/>
        <w:rPr>
          <w:rFonts w:cs="" w:cstheme="minorBidi"/>
          <w:spacing w:val="20"/>
          <w:sz w:val="27"/>
          <w:szCs w:val="27"/>
          <w:lang w:val="en-US"/>
        </w:rPr>
      </w:pPr>
      <w:r>
        <w:rPr>
          <w:rFonts w:cs="" w:cstheme="minorBidi"/>
          <w:spacing w:val="20"/>
          <w:sz w:val="27"/>
          <w:szCs w:val="27"/>
          <w:lang w:val="en-US"/>
        </w:rPr>
      </w:r>
    </w:p>
    <w:p>
      <w:pPr>
        <w:pStyle w:val="F21"/>
        <w:spacing w:lineRule="atLeast" w:line="380"/>
        <w:rPr>
          <w:i/>
          <w:i/>
          <w:szCs w:val="27"/>
        </w:rPr>
      </w:pPr>
      <w:r>
        <w:rPr>
          <w:rFonts w:ascii="華康中黑體" w:hAnsi="華康中黑體" w:eastAsia="華康中黑體"/>
          <w:b/>
          <w:szCs w:val="27"/>
        </w:rPr>
        <w:t>梁國雄議員</w:t>
      </w:r>
      <w:r>
        <w:rPr>
          <w:szCs w:val="27"/>
        </w:rPr>
        <w:t>：</w:t>
      </w:r>
      <w:r>
        <w:rPr>
          <w:i/>
          <w:szCs w:val="27"/>
        </w:rPr>
        <w:t>主席，葉國謙議員真是胡說八道，</w:t>
      </w:r>
      <w:r>
        <w:rPr>
          <w:i/>
          <w:szCs w:val="27"/>
        </w:rPr>
        <w:t>2012</w:t>
      </w:r>
      <w:r>
        <w:rPr>
          <w:i/>
          <w:szCs w:val="27"/>
        </w:rPr>
        <w:t>年梁振英是低票當選，在一個小圈子選舉中從未試過有如此低的票數。小弟是高票當選，在票數方面他已經輸了。儘管他甚至使出吃奶的力氣，也不過是低票當選，還有甚麼好說的。很簡單</w:t>
      </w:r>
      <w:r>
        <w:rPr>
          <w:i/>
          <w:szCs w:val="27"/>
        </w:rPr>
        <w:t>......</w:t>
      </w:r>
    </w:p>
    <w:p>
      <w:pPr>
        <w:pStyle w:val="F21"/>
        <w:spacing w:lineRule="atLeast" w:line="380"/>
        <w:rPr>
          <w:szCs w:val="27"/>
        </w:rPr>
      </w:pPr>
      <w:r>
        <w:rPr>
          <w:szCs w:val="27"/>
        </w:rPr>
      </w:r>
    </w:p>
    <w:p>
      <w:pPr>
        <w:pStyle w:val="Normal"/>
        <w:widowControl/>
        <w:tabs>
          <w:tab w:val="clear" w:pos="720"/>
        </w:tabs>
        <w:spacing w:lineRule="atLeast" w:line="380"/>
        <w:jc w:val="left"/>
        <w:rPr>
          <w:rFonts w:cs="" w:cstheme="minorBidi"/>
          <w:spacing w:val="20"/>
          <w:sz w:val="27"/>
          <w:szCs w:val="27"/>
          <w:lang w:val="en-US"/>
        </w:rPr>
      </w:pPr>
      <w:r>
        <w:rPr>
          <w:rFonts w:cs="" w:cstheme="minorBidi"/>
          <w:spacing w:val="20"/>
          <w:sz w:val="27"/>
          <w:szCs w:val="27"/>
          <w:lang w:val="en-US"/>
        </w:rPr>
      </w:r>
    </w:p>
    <w:p>
      <w:pPr>
        <w:pStyle w:val="F21"/>
        <w:spacing w:lineRule="atLeast" w:line="380"/>
        <w:rPr>
          <w:szCs w:val="27"/>
        </w:rPr>
      </w:pPr>
      <w:r>
        <w:rPr>
          <w:rFonts w:ascii="華康中黑體" w:hAnsi="華康中黑體" w:cs="華康細明體" w:eastAsia="華康中黑體"/>
          <w:b/>
          <w:szCs w:val="27"/>
        </w:rPr>
        <w:t>主席</w:t>
      </w:r>
      <w:r>
        <w:rPr>
          <w:szCs w:val="27"/>
        </w:rPr>
        <w:t>：梁議員，請提出補充質詢。</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eastAsia="華康中黑體"/>
          <w:b/>
          <w:szCs w:val="27"/>
        </w:rPr>
        <w:t>梁國雄議員</w:t>
      </w:r>
      <w:r>
        <w:rPr>
          <w:szCs w:val="27"/>
        </w:rPr>
        <w:t>：</w:t>
      </w:r>
      <w:r>
        <w:rPr>
          <w:i/>
          <w:szCs w:val="27"/>
        </w:rPr>
        <w:t>我當然會提出我的補充質詢。主席，我認為李克強總理並沒有提到“拉布”二字，林大輝議員的提問也沒有談到“拉布”，但官員卻不斷說“拉布”。我現在問一個很簡單的問題，我覺得梁振英真是非常厲害，光聽局長剛才的發言，便知道他的語言“偽術”的滲透力是非常厲害的</w:t>
      </w:r>
      <w:r>
        <w:rPr>
          <w:i/>
          <w:szCs w:val="27"/>
        </w:rPr>
        <w:t>......</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細明體" w:eastAsia="華康中黑體"/>
          <w:b/>
          <w:szCs w:val="27"/>
        </w:rPr>
        <w:t>主席</w:t>
      </w:r>
      <w:r>
        <w:rPr>
          <w:szCs w:val="27"/>
        </w:rPr>
        <w:t>：梁議員，請提出補充質詢。</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eastAsia="華康中黑體"/>
          <w:b/>
          <w:szCs w:val="27"/>
        </w:rPr>
        <w:t>梁國雄議員</w:t>
      </w:r>
      <w:r>
        <w:rPr>
          <w:szCs w:val="27"/>
        </w:rPr>
        <w:t>：</w:t>
      </w:r>
      <w:r>
        <w:rPr>
          <w:i/>
          <w:szCs w:val="27"/>
        </w:rPr>
        <w:t>好的。譚志源局長，你說現在已設有機制，那麼對於現時推銷第三跑道的民航處處長，他把辦公室當成“私竇”或行宮，是浪費公帑；以及對於涉及海難事故的海事處處長，他們有誰曾被警告或被公開譴責或問責或被約談？有做過嗎？有就說有，沒有就說沒有，究竟有沒有？現行的四大機制</w:t>
      </w:r>
      <w:r>
        <w:rPr>
          <w:i/>
          <w:szCs w:val="27"/>
        </w:rPr>
        <w:t>......</w:t>
      </w:r>
      <w:r>
        <w:rPr>
          <w:i/>
          <w:szCs w:val="27"/>
        </w:rPr>
        <w:t>主席，先讓我說完</w:t>
      </w:r>
      <w:r>
        <w:rPr>
          <w:i/>
          <w:szCs w:val="27"/>
        </w:rPr>
        <w:t>......</w:t>
      </w:r>
    </w:p>
    <w:p>
      <w:pPr>
        <w:pStyle w:val="F21"/>
        <w:spacing w:lineRule="atLeast" w:line="380"/>
        <w:rPr>
          <w:i/>
          <w:i/>
          <w:szCs w:val="27"/>
        </w:rPr>
      </w:pPr>
      <w:r>
        <w:rPr>
          <w:i/>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細明體" w:eastAsia="華康中黑體"/>
          <w:b/>
          <w:szCs w:val="27"/>
        </w:rPr>
        <w:t>主席</w:t>
      </w:r>
      <w:r>
        <w:rPr>
          <w:szCs w:val="27"/>
        </w:rPr>
        <w:t>：梁議員，你已提出了補充質詢，請坐下。</w:t>
      </w:r>
    </w:p>
    <w:p>
      <w:pPr>
        <w:pStyle w:val="F21"/>
        <w:spacing w:lineRule="exact" w:line="20"/>
        <w:rPr>
          <w:szCs w:val="27"/>
        </w:rPr>
      </w:pPr>
      <w:r>
        <w:rPr>
          <w:szCs w:val="27"/>
        </w:rPr>
      </w:r>
    </w:p>
    <w:p>
      <w:pPr>
        <w:pStyle w:val="Normal"/>
        <w:widowControl/>
        <w:tabs>
          <w:tab w:val="clear" w:pos="720"/>
        </w:tabs>
        <w:spacing w:lineRule="exact" w:line="20"/>
        <w:jc w:val="left"/>
        <w:rPr>
          <w:rFonts w:cs="" w:cstheme="minorBidi"/>
          <w:spacing w:val="20"/>
          <w:sz w:val="27"/>
          <w:szCs w:val="27"/>
          <w:lang w:val="en-US"/>
        </w:rPr>
      </w:pPr>
      <w:r>
        <w:rPr>
          <w:rFonts w:cs="" w:cstheme="minorBidi"/>
          <w:spacing w:val="20"/>
          <w:sz w:val="27"/>
          <w:szCs w:val="27"/>
          <w:lang w:val="en-US"/>
        </w:rPr>
      </w:r>
      <w:r>
        <w:br w:type="page"/>
      </w:r>
    </w:p>
    <w:p>
      <w:pPr>
        <w:pStyle w:val="F21"/>
        <w:spacing w:lineRule="atLeast" w:line="380"/>
        <w:rPr>
          <w:i/>
          <w:i/>
          <w:szCs w:val="27"/>
        </w:rPr>
      </w:pPr>
      <w:r>
        <w:rPr>
          <w:rFonts w:ascii="華康中黑體" w:hAnsi="華康中黑體" w:eastAsia="華康中黑體"/>
          <w:b/>
          <w:szCs w:val="27"/>
        </w:rPr>
        <w:t>梁國雄議員</w:t>
      </w:r>
      <w:r>
        <w:rPr>
          <w:szCs w:val="27"/>
        </w:rPr>
        <w:t>：</w:t>
      </w:r>
      <w:r>
        <w:rPr>
          <w:i/>
          <w:szCs w:val="27"/>
        </w:rPr>
        <w:t>不是，我怕有人聽不明白。林大輝議員提出的機制是按照李克強總理的機制，叫局長用四大機制辦事，但他又不回答。現行的四大機制，這兩個佞人、壞官有否受到懲處？有嗎？</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細明體" w:eastAsia="華康中黑體"/>
          <w:b/>
          <w:szCs w:val="27"/>
        </w:rPr>
        <w:t>主席</w:t>
      </w:r>
      <w:r>
        <w:rPr>
          <w:szCs w:val="27"/>
        </w:rPr>
        <w:t>：梁議員，請停止發言並坐下。</w:t>
      </w:r>
    </w:p>
    <w:p>
      <w:pPr>
        <w:pStyle w:val="F21"/>
        <w:spacing w:lineRule="atLeast" w:line="380"/>
        <w:rPr>
          <w:szCs w:val="27"/>
        </w:rPr>
      </w:pPr>
      <w:r>
        <w:rPr>
          <w:szCs w:val="27"/>
        </w:rPr>
      </w:r>
    </w:p>
    <w:p>
      <w:pPr>
        <w:pStyle w:val="Normal"/>
        <w:widowControl/>
        <w:tabs>
          <w:tab w:val="clear" w:pos="720"/>
        </w:tabs>
        <w:spacing w:lineRule="atLeast" w:line="380"/>
        <w:jc w:val="left"/>
        <w:rPr>
          <w:rFonts w:cs="" w:cstheme="minorBidi"/>
          <w:spacing w:val="20"/>
          <w:sz w:val="27"/>
          <w:szCs w:val="27"/>
          <w:lang w:val="en-US"/>
        </w:rPr>
      </w:pPr>
      <w:r>
        <w:rPr>
          <w:rFonts w:cs="" w:cstheme="minorBidi"/>
          <w:spacing w:val="20"/>
          <w:sz w:val="27"/>
          <w:szCs w:val="27"/>
          <w:lang w:val="en-US"/>
        </w:rPr>
      </w:r>
    </w:p>
    <w:p>
      <w:pPr>
        <w:pStyle w:val="F21"/>
        <w:spacing w:lineRule="atLeast" w:line="380"/>
        <w:rPr>
          <w:i/>
          <w:i/>
          <w:szCs w:val="27"/>
        </w:rPr>
      </w:pPr>
      <w:r>
        <w:rPr>
          <w:rFonts w:ascii="華康中黑體" w:hAnsi="華康中黑體" w:eastAsia="華康中黑體"/>
          <w:b/>
          <w:szCs w:val="27"/>
        </w:rPr>
        <w:t>梁國雄議員</w:t>
      </w:r>
      <w:r>
        <w:rPr>
          <w:szCs w:val="27"/>
        </w:rPr>
        <w:t>：</w:t>
      </w:r>
      <w:r>
        <w:rPr>
          <w:i/>
          <w:szCs w:val="27"/>
        </w:rPr>
        <w:t>沒有的話便“收皮”。</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eastAsia="華康中黑體"/>
          <w:b/>
          <w:szCs w:val="27"/>
        </w:rPr>
        <w:t>政制及內地事務局局長</w:t>
      </w:r>
      <w:r>
        <w:rPr>
          <w:szCs w:val="27"/>
        </w:rPr>
        <w:t>：主席，我在主體答覆中提到涉及政治任命的官員的懲處機制。在現行公務員的制度中，其實也有相若的機制。一般而言，執行懲處的機構會視乎有關人員的職級，在發現紀律問題後，由部門管理層或公務員事務局作出內部紀律調查和相應的懲處。根據工作表現作出的評核，每年當然有公務員系統的評核報告，這方面多年來都行之有效。故此，不論是政治委任官員或公務員也有相應的制度。</w:t>
      </w:r>
    </w:p>
    <w:p>
      <w:pPr>
        <w:pStyle w:val="F21"/>
        <w:spacing w:lineRule="atLeast" w:line="380"/>
        <w:rPr>
          <w:szCs w:val="27"/>
        </w:rPr>
      </w:pPr>
      <w:r>
        <w:rPr>
          <w:szCs w:val="27"/>
        </w:rPr>
      </w:r>
    </w:p>
    <w:p>
      <w:pPr>
        <w:pStyle w:val="F21"/>
        <w:spacing w:lineRule="atLeast" w:line="380"/>
        <w:rPr>
          <w:szCs w:val="27"/>
        </w:rPr>
      </w:pPr>
      <w:r>
        <w:rPr>
          <w:szCs w:val="27"/>
        </w:rPr>
        <w:tab/>
      </w:r>
      <w:r>
        <w:rPr>
          <w:szCs w:val="27"/>
        </w:rPr>
        <w:t xml:space="preserve">剛才 </w:t>
      </w:r>
      <w:r>
        <w:rPr>
          <w:rFonts w:ascii="Symbol" w:hAnsi="Symbol" w:cs="Symbol" w:eastAsia="Symbol"/>
          <w:kern w:val="2"/>
          <w:szCs w:val="27"/>
        </w:rPr>
        <w:t></w:t>
      </w:r>
      <w:r>
        <w:rPr>
          <w:szCs w:val="27"/>
        </w:rPr>
        <w:t xml:space="preserve"> 不是“長毛”議員，是梁國雄議員才對 </w:t>
      </w:r>
      <w:r>
        <w:rPr>
          <w:rFonts w:ascii="Symbol" w:hAnsi="Symbol" w:cs="Symbol" w:eastAsia="Symbol"/>
          <w:kern w:val="2"/>
          <w:szCs w:val="27"/>
        </w:rPr>
        <w:t></w:t>
      </w:r>
      <w:r>
        <w:rPr>
          <w:kern w:val="2"/>
          <w:szCs w:val="27"/>
        </w:rPr>
        <w:t xml:space="preserve"> </w:t>
      </w:r>
      <w:r>
        <w:rPr>
          <w:szCs w:val="27"/>
        </w:rPr>
        <w:t>剛才他提到的兩個例子，基於個案性質，恐怕我不方便在這裏作進一步的評論。</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eastAsia="華康中黑體"/>
          <w:b/>
          <w:szCs w:val="27"/>
        </w:rPr>
        <w:t>梁國雄議員</w:t>
      </w:r>
      <w:r>
        <w:rPr>
          <w:szCs w:val="27"/>
        </w:rPr>
        <w:t>：</w:t>
      </w:r>
      <w:r>
        <w:rPr>
          <w:i/>
          <w:szCs w:val="27"/>
        </w:rPr>
        <w:t>主席</w:t>
      </w:r>
      <w:r>
        <w:rPr>
          <w:i/>
          <w:szCs w:val="27"/>
        </w:rPr>
        <w:t>......</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細明體" w:eastAsia="華康中黑體"/>
          <w:b/>
          <w:szCs w:val="27"/>
        </w:rPr>
        <w:t>主席</w:t>
      </w:r>
      <w:r>
        <w:rPr>
          <w:szCs w:val="27"/>
        </w:rPr>
        <w:t>：梁議員，局長已清楚回答了你的補充質詢。</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eastAsia="華康中黑體"/>
          <w:b/>
          <w:szCs w:val="27"/>
        </w:rPr>
        <w:t>梁國雄議員</w:t>
      </w:r>
      <w:r>
        <w:rPr>
          <w:szCs w:val="27"/>
        </w:rPr>
        <w:t>：</w:t>
      </w:r>
      <w:r>
        <w:rPr>
          <w:i/>
          <w:szCs w:val="27"/>
        </w:rPr>
        <w:t>......</w:t>
      </w:r>
      <w:r>
        <w:rPr>
          <w:i/>
          <w:szCs w:val="27"/>
        </w:rPr>
        <w:t>你錯了，因為李克強總理並沒有說問責官員，只是說“為官”，所以，林議員問得對，只是“為官”。</w:t>
      </w:r>
    </w:p>
    <w:p>
      <w:pPr>
        <w:pStyle w:val="F21"/>
        <w:spacing w:lineRule="atLeast" w:line="380"/>
        <w:rPr>
          <w:i/>
          <w:i/>
          <w:szCs w:val="27"/>
        </w:rPr>
      </w:pPr>
      <w:r>
        <w:rPr>
          <w:i/>
          <w:szCs w:val="27"/>
        </w:rPr>
      </w:r>
    </w:p>
    <w:p>
      <w:pPr>
        <w:pStyle w:val="F21"/>
        <w:spacing w:lineRule="atLeast" w:line="380"/>
        <w:rPr>
          <w:i/>
          <w:i/>
          <w:szCs w:val="27"/>
        </w:rPr>
      </w:pPr>
      <w:r>
        <w:rPr>
          <w:i/>
          <w:szCs w:val="27"/>
        </w:rPr>
        <w:tab/>
      </w:r>
      <w:r>
        <w:rPr>
          <w:i/>
          <w:szCs w:val="27"/>
        </w:rPr>
        <w:t>好了，我不說了，即他們不是“官”。</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細明體" w:eastAsia="華康中黑體"/>
          <w:b/>
          <w:szCs w:val="27"/>
        </w:rPr>
        <w:t>主席</w:t>
      </w:r>
      <w:r>
        <w:rPr>
          <w:szCs w:val="27"/>
        </w:rPr>
        <w:t>：本會就這項質詢已用了</w:t>
      </w:r>
      <w:r>
        <w:rPr>
          <w:szCs w:val="27"/>
        </w:rPr>
        <w:t>24</w:t>
      </w:r>
      <w:r>
        <w:rPr>
          <w:szCs w:val="27"/>
        </w:rPr>
        <w:t>分鐘。口頭質詢到此為止。</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spacing w:lineRule="atLeast" w:line="400"/>
        <w:rPr>
          <w:rFonts w:eastAsia="華康中黑體" w:cs="Times New Roman"/>
          <w:b/>
          <w:b/>
          <w:sz w:val="28"/>
          <w:szCs w:val="28"/>
        </w:rPr>
      </w:pPr>
      <w:bookmarkStart w:id="24" w:name="wrq"/>
      <w:r>
        <w:rPr>
          <w:rFonts w:cs="Times New Roman" w:eastAsia="華康中黑體"/>
          <w:b/>
          <w:sz w:val="28"/>
          <w:szCs w:val="28"/>
        </w:rPr>
        <w:t>議員質詢的書面答覆</w:t>
      </w:r>
    </w:p>
    <w:p>
      <w:pPr>
        <w:pStyle w:val="Normal"/>
        <w:spacing w:lineRule="atLeast" w:line="400"/>
        <w:rPr>
          <w:rFonts w:eastAsia="華康中黑體"/>
          <w:b/>
          <w:b/>
          <w:color w:val="FF0000"/>
          <w:spacing w:val="20"/>
          <w:sz w:val="27"/>
          <w:szCs w:val="22"/>
          <w:lang w:val="en-US"/>
        </w:rPr>
      </w:pPr>
      <w:bookmarkStart w:id="25" w:name="wrq"/>
      <w:r>
        <w:rPr>
          <w:b/>
        </w:rPr>
        <w:t>WRITTEN ANSWERS TO QUESTIONS</w:t>
      </w:r>
      <w:bookmarkEnd w:id="25"/>
    </w:p>
    <w:p>
      <w:pPr>
        <w:pStyle w:val="F21"/>
        <w:spacing w:lineRule="atLeast" w:line="400"/>
        <w:rPr>
          <w:rFonts w:cs="Times New Roman"/>
        </w:rPr>
      </w:pPr>
      <w:r>
        <w:rPr>
          <w:rFonts w:cs="Times New Roman"/>
        </w:rPr>
      </w:r>
    </w:p>
    <w:p>
      <w:pPr>
        <w:pStyle w:val="F21"/>
        <w:spacing w:lineRule="atLeast" w:line="400"/>
        <w:rPr>
          <w:rFonts w:eastAsia="華康中黑體" w:cs="Times New Roman"/>
          <w:b/>
          <w:b/>
        </w:rPr>
      </w:pPr>
      <w:bookmarkStart w:id="26" w:name="wrq07"/>
      <w:r>
        <w:rPr>
          <w:rFonts w:cs="Times New Roman" w:eastAsia="華康中黑體"/>
          <w:b/>
        </w:rPr>
        <w:t>逮捕及起訴社會運動人士</w:t>
      </w:r>
    </w:p>
    <w:p>
      <w:pPr>
        <w:pStyle w:val="F21"/>
        <w:spacing w:lineRule="atLeast" w:line="400"/>
        <w:rPr>
          <w:rFonts w:cs="Times New Roman"/>
          <w:b/>
          <w:b/>
          <w:spacing w:val="0"/>
          <w:sz w:val="28"/>
          <w:szCs w:val="26"/>
          <w:lang w:val="en-GB"/>
        </w:rPr>
      </w:pPr>
      <w:bookmarkStart w:id="27" w:name="wrq07"/>
      <w:r>
        <w:rPr>
          <w:rFonts w:cs="Times New Roman"/>
          <w:b/>
          <w:spacing w:val="0"/>
          <w:sz w:val="28"/>
          <w:szCs w:val="26"/>
          <w:lang w:val="en-GB"/>
        </w:rPr>
        <w:t>Arrest and Prosecution of Participants in Social Movements</w:t>
      </w:r>
      <w:bookmarkEnd w:id="27"/>
    </w:p>
    <w:p>
      <w:pPr>
        <w:pStyle w:val="F21"/>
        <w:spacing w:lineRule="atLeast" w:line="400"/>
        <w:rPr>
          <w:rFonts w:cs="Times New Roman"/>
        </w:rPr>
      </w:pPr>
      <w:r>
        <w:rPr>
          <w:rFonts w:cs="Times New Roman"/>
        </w:rPr>
      </w:r>
    </w:p>
    <w:p>
      <w:pPr>
        <w:pStyle w:val="F21"/>
        <w:spacing w:lineRule="atLeast" w:line="400"/>
        <w:rPr>
          <w:i/>
          <w:i/>
          <w:szCs w:val="27"/>
        </w:rPr>
      </w:pPr>
      <w:r>
        <w:rPr>
          <w:rFonts w:eastAsia="華康中黑體"/>
          <w:b/>
          <w:szCs w:val="27"/>
        </w:rPr>
        <w:t>7.</w:t>
        <w:tab/>
      </w:r>
      <w:r>
        <w:rPr>
          <w:rFonts w:eastAsia="華康中黑體"/>
          <w:b/>
          <w:szCs w:val="27"/>
        </w:rPr>
        <w:t>范國威議員</w:t>
      </w:r>
      <w:r>
        <w:rPr>
          <w:szCs w:val="27"/>
        </w:rPr>
        <w:t>：</w:t>
      </w:r>
      <w:r>
        <w:rPr>
          <w:i/>
          <w:szCs w:val="27"/>
        </w:rPr>
        <w:t>主席，有參與社會運動的人士向本人反映，自去年</w:t>
      </w:r>
      <w:r>
        <w:rPr>
          <w:i/>
          <w:szCs w:val="27"/>
        </w:rPr>
        <w:t>9</w:t>
      </w:r>
      <w:r>
        <w:rPr>
          <w:i/>
          <w:szCs w:val="27"/>
        </w:rPr>
        <w:t>月</w:t>
      </w:r>
      <w:r>
        <w:rPr>
          <w:i/>
          <w:szCs w:val="27"/>
        </w:rPr>
        <w:t>28</w:t>
      </w:r>
      <w:r>
        <w:rPr>
          <w:i/>
          <w:szCs w:val="27"/>
        </w:rPr>
        <w:t>日發生佔領運動以來，警方打壓社會運動不遺餘力，包括胡亂逮捕及起訴有關人士。就此，政府可否告知本會：</w:t>
      </w:r>
    </w:p>
    <w:p>
      <w:pPr>
        <w:pStyle w:val="F21"/>
        <w:spacing w:lineRule="atLeast" w:line="400"/>
        <w:rPr>
          <w:i/>
          <w:i/>
          <w:szCs w:val="27"/>
        </w:rPr>
      </w:pPr>
      <w:r>
        <w:rPr>
          <w:i/>
          <w:szCs w:val="27"/>
        </w:rPr>
      </w:r>
    </w:p>
    <w:p>
      <w:pPr>
        <w:pStyle w:val="Style13"/>
        <w:spacing w:lineRule="atLeast" w:line="400"/>
        <w:rPr/>
      </w:pPr>
      <w:r>
        <w:rPr/>
        <w:t>(</w:t>
      </w:r>
      <w:r>
        <w:rPr/>
        <w:t>一</w:t>
      </w:r>
      <w:r>
        <w:rPr/>
        <w:t>)</w:t>
        <w:tab/>
      </w:r>
      <w:r>
        <w:rPr/>
        <w:t>由去年</w:t>
      </w:r>
      <w:r>
        <w:rPr/>
        <w:t>9</w:t>
      </w:r>
      <w:r>
        <w:rPr/>
        <w:t>月</w:t>
      </w:r>
      <w:r>
        <w:rPr/>
        <w:t>28</w:t>
      </w:r>
      <w:r>
        <w:rPr/>
        <w:t>日至今，因參與各類社會運動</w:t>
      </w:r>
      <w:r>
        <w:rPr/>
        <w:t>(</w:t>
      </w:r>
      <w:r>
        <w:rPr/>
        <w:t>包括佔領運動、“鳩嗚”行動及“反走私水貨客”行動</w:t>
      </w:r>
      <w:r>
        <w:rPr/>
        <w:t>)</w:t>
      </w:r>
      <w:r>
        <w:rPr/>
        <w:t>而被警務人員要求出示身份證並被記錄有關資料的人數</w:t>
      </w:r>
      <w:r>
        <w:rPr/>
        <w:t>(</w:t>
      </w:r>
      <w:r>
        <w:rPr/>
        <w:t>按下表分項列出</w:t>
      </w:r>
      <w:r>
        <w:rPr/>
        <w:t>)</w:t>
      </w:r>
      <w:r>
        <w:rPr/>
        <w:t>、警方記錄該等資料的目的，以及該等資料的用途為何；</w:t>
      </w:r>
    </w:p>
    <w:p>
      <w:pPr>
        <w:pStyle w:val="Style13"/>
        <w:spacing w:lineRule="atLeast" w:line="400"/>
        <w:rPr/>
      </w:pPr>
      <w:r>
        <w:rPr/>
      </w:r>
    </w:p>
    <w:tbl>
      <w:tblPr>
        <w:tblStyle w:val="a9"/>
        <w:tblW w:w="7805" w:type="dxa"/>
        <w:jc w:val="left"/>
        <w:tblInd w:w="1418" w:type="dxa"/>
        <w:tblCellMar>
          <w:top w:w="0" w:type="dxa"/>
          <w:left w:w="108" w:type="dxa"/>
          <w:bottom w:w="0" w:type="dxa"/>
          <w:right w:w="108" w:type="dxa"/>
        </w:tblCellMar>
        <w:tblLook w:val="01e0" w:noHBand="0" w:noVBand="0" w:firstColumn="1" w:lastRow="1" w:lastColumn="1" w:firstRow="1"/>
      </w:tblPr>
      <w:tblGrid>
        <w:gridCol w:w="3902"/>
        <w:gridCol w:w="3902"/>
      </w:tblGrid>
      <w:tr>
        <w:trPr/>
        <w:tc>
          <w:tcPr>
            <w:tcW w:w="3902" w:type="dxa"/>
            <w:tcBorders/>
          </w:tcPr>
          <w:p>
            <w:pPr>
              <w:pStyle w:val="Style13"/>
              <w:tabs>
                <w:tab w:val="left" w:pos="480" w:leader="none"/>
                <w:tab w:val="left" w:pos="567" w:leader="none"/>
              </w:tabs>
              <w:spacing w:lineRule="atLeast" w:line="400"/>
              <w:ind w:left="57" w:right="57" w:hanging="0"/>
              <w:jc w:val="center"/>
              <w:rPr/>
            </w:pPr>
            <w:r>
              <w:rPr/>
              <w:t>社會運動</w:t>
            </w:r>
          </w:p>
        </w:tc>
        <w:tc>
          <w:tcPr>
            <w:tcW w:w="3902" w:type="dxa"/>
            <w:tcBorders/>
          </w:tcPr>
          <w:p>
            <w:pPr>
              <w:pStyle w:val="Style13"/>
              <w:tabs>
                <w:tab w:val="left" w:pos="480" w:leader="none"/>
                <w:tab w:val="left" w:pos="567" w:leader="none"/>
              </w:tabs>
              <w:spacing w:lineRule="atLeast" w:line="400"/>
              <w:ind w:left="57" w:right="57" w:hanging="0"/>
              <w:jc w:val="center"/>
              <w:rPr/>
            </w:pPr>
            <w:r>
              <w:rPr/>
              <w:t>人數</w:t>
            </w:r>
          </w:p>
        </w:tc>
      </w:tr>
      <w:tr>
        <w:trPr/>
        <w:tc>
          <w:tcPr>
            <w:tcW w:w="3902" w:type="dxa"/>
            <w:tcBorders/>
          </w:tcPr>
          <w:p>
            <w:pPr>
              <w:pStyle w:val="Style13"/>
              <w:tabs>
                <w:tab w:val="left" w:pos="480" w:leader="none"/>
                <w:tab w:val="left" w:pos="567" w:leader="none"/>
              </w:tabs>
              <w:spacing w:lineRule="atLeast" w:line="400"/>
              <w:ind w:left="57" w:right="57" w:hanging="0"/>
              <w:rPr/>
            </w:pPr>
            <w:r>
              <w:rPr/>
              <w:t>佔領運動</w:t>
            </w:r>
          </w:p>
        </w:tc>
        <w:tc>
          <w:tcPr>
            <w:tcW w:w="3902" w:type="dxa"/>
            <w:tcBorders/>
          </w:tcPr>
          <w:p>
            <w:pPr>
              <w:pStyle w:val="Style13"/>
              <w:tabs>
                <w:tab w:val="left" w:pos="480" w:leader="none"/>
                <w:tab w:val="left" w:pos="567" w:leader="none"/>
              </w:tabs>
              <w:spacing w:lineRule="atLeast" w:line="400"/>
              <w:ind w:left="57" w:right="57" w:hanging="0"/>
              <w:rPr/>
            </w:pPr>
            <w:r>
              <w:rPr/>
            </w:r>
          </w:p>
        </w:tc>
      </w:tr>
      <w:tr>
        <w:trPr/>
        <w:tc>
          <w:tcPr>
            <w:tcW w:w="3902" w:type="dxa"/>
            <w:tcBorders/>
          </w:tcPr>
          <w:p>
            <w:pPr>
              <w:pStyle w:val="Style13"/>
              <w:tabs>
                <w:tab w:val="left" w:pos="480" w:leader="none"/>
                <w:tab w:val="left" w:pos="567" w:leader="none"/>
              </w:tabs>
              <w:spacing w:lineRule="atLeast" w:line="400"/>
              <w:ind w:left="57" w:right="57" w:hanging="0"/>
              <w:rPr/>
            </w:pPr>
            <w:r>
              <w:rPr/>
              <w:t>“</w:t>
            </w:r>
            <w:r>
              <w:rPr/>
              <w:t>鳩嗚”行動</w:t>
            </w:r>
          </w:p>
        </w:tc>
        <w:tc>
          <w:tcPr>
            <w:tcW w:w="3902" w:type="dxa"/>
            <w:tcBorders/>
          </w:tcPr>
          <w:p>
            <w:pPr>
              <w:pStyle w:val="Style13"/>
              <w:tabs>
                <w:tab w:val="left" w:pos="480" w:leader="none"/>
                <w:tab w:val="left" w:pos="567" w:leader="none"/>
              </w:tabs>
              <w:spacing w:lineRule="atLeast" w:line="400"/>
              <w:ind w:left="57" w:right="57" w:hanging="0"/>
              <w:rPr/>
            </w:pPr>
            <w:r>
              <w:rPr/>
            </w:r>
          </w:p>
        </w:tc>
      </w:tr>
      <w:tr>
        <w:trPr/>
        <w:tc>
          <w:tcPr>
            <w:tcW w:w="3902" w:type="dxa"/>
            <w:tcBorders/>
          </w:tcPr>
          <w:p>
            <w:pPr>
              <w:pStyle w:val="Style13"/>
              <w:tabs>
                <w:tab w:val="left" w:pos="480" w:leader="none"/>
                <w:tab w:val="left" w:pos="567" w:leader="none"/>
              </w:tabs>
              <w:spacing w:lineRule="atLeast" w:line="400"/>
              <w:ind w:left="57" w:right="57" w:hanging="0"/>
              <w:rPr/>
            </w:pPr>
            <w:r>
              <w:rPr/>
              <w:t>“</w:t>
            </w:r>
            <w:r>
              <w:rPr/>
              <w:t>反走私水貨客”行動</w:t>
            </w:r>
          </w:p>
        </w:tc>
        <w:tc>
          <w:tcPr>
            <w:tcW w:w="3902" w:type="dxa"/>
            <w:tcBorders/>
          </w:tcPr>
          <w:p>
            <w:pPr>
              <w:pStyle w:val="Style13"/>
              <w:tabs>
                <w:tab w:val="left" w:pos="480" w:leader="none"/>
                <w:tab w:val="left" w:pos="567" w:leader="none"/>
              </w:tabs>
              <w:spacing w:lineRule="atLeast" w:line="400"/>
              <w:ind w:left="57" w:right="57" w:hanging="0"/>
              <w:rPr/>
            </w:pPr>
            <w:r>
              <w:rPr/>
            </w:r>
          </w:p>
        </w:tc>
      </w:tr>
      <w:tr>
        <w:trPr/>
        <w:tc>
          <w:tcPr>
            <w:tcW w:w="3902" w:type="dxa"/>
            <w:tcBorders/>
          </w:tcPr>
          <w:p>
            <w:pPr>
              <w:pStyle w:val="Style13"/>
              <w:tabs>
                <w:tab w:val="left" w:pos="480" w:leader="none"/>
                <w:tab w:val="left" w:pos="567" w:leader="none"/>
              </w:tabs>
              <w:spacing w:lineRule="atLeast" w:line="400"/>
              <w:ind w:left="57" w:right="57" w:hanging="0"/>
              <w:rPr/>
            </w:pPr>
            <w:r>
              <w:rPr/>
              <w:t>其他</w:t>
            </w:r>
            <w:r>
              <w:rPr/>
              <w:t>(</w:t>
            </w:r>
            <w:r>
              <w:rPr/>
              <w:t>分開列明</w:t>
            </w:r>
            <w:r>
              <w:rPr/>
              <w:t>)</w:t>
            </w:r>
          </w:p>
        </w:tc>
        <w:tc>
          <w:tcPr>
            <w:tcW w:w="3902" w:type="dxa"/>
            <w:tcBorders/>
          </w:tcPr>
          <w:p>
            <w:pPr>
              <w:pStyle w:val="Style13"/>
              <w:tabs>
                <w:tab w:val="left" w:pos="480" w:leader="none"/>
                <w:tab w:val="left" w:pos="567" w:leader="none"/>
              </w:tabs>
              <w:spacing w:lineRule="atLeast" w:line="400"/>
              <w:ind w:left="57" w:right="57" w:hanging="0"/>
              <w:rPr/>
            </w:pPr>
            <w:r>
              <w:rPr/>
            </w:r>
          </w:p>
        </w:tc>
      </w:tr>
    </w:tbl>
    <w:p>
      <w:pPr>
        <w:pStyle w:val="Style13"/>
        <w:spacing w:lineRule="atLeast" w:line="400"/>
        <w:rPr>
          <w:rFonts w:cs="Times New Roman"/>
        </w:rPr>
      </w:pPr>
      <w:r>
        <w:rPr>
          <w:rFonts w:cs="Times New Roman"/>
        </w:rPr>
      </w:r>
    </w:p>
    <w:p>
      <w:pPr>
        <w:pStyle w:val="Style13"/>
        <w:spacing w:lineRule="atLeast" w:line="400"/>
        <w:rPr/>
      </w:pPr>
      <w:r>
        <w:rPr/>
        <w:t>(</w:t>
      </w:r>
      <w:r>
        <w:rPr/>
        <w:t>二</w:t>
      </w:r>
      <w:r>
        <w:rPr/>
        <w:t>)</w:t>
        <w:tab/>
      </w:r>
      <w:r>
        <w:rPr/>
        <w:t>去年</w:t>
      </w:r>
      <w:r>
        <w:rPr/>
        <w:t>9</w:t>
      </w:r>
      <w:r>
        <w:rPr/>
        <w:t>月</w:t>
      </w:r>
      <w:r>
        <w:rPr/>
        <w:t>28</w:t>
      </w:r>
      <w:r>
        <w:rPr/>
        <w:t>日至今，因參與各類社會運動而被逮捕的人數為何</w:t>
      </w:r>
      <w:r>
        <w:rPr/>
        <w:t>(</w:t>
      </w:r>
      <w:r>
        <w:rPr/>
        <w:t>按下表分項列出</w:t>
      </w:r>
      <w:r>
        <w:rPr/>
        <w:t>)</w:t>
      </w:r>
      <w:r>
        <w:rPr/>
        <w:t>；及</w:t>
      </w:r>
    </w:p>
    <w:p>
      <w:pPr>
        <w:pStyle w:val="Style13"/>
        <w:spacing w:lineRule="atLeast" w:line="400"/>
        <w:rPr/>
      </w:pPr>
      <w:r>
        <w:rPr/>
      </w:r>
    </w:p>
    <w:tbl>
      <w:tblPr>
        <w:tblStyle w:val="a9"/>
        <w:tblW w:w="7805" w:type="dxa"/>
        <w:jc w:val="left"/>
        <w:tblInd w:w="1418" w:type="dxa"/>
        <w:tblCellMar>
          <w:top w:w="0" w:type="dxa"/>
          <w:left w:w="108" w:type="dxa"/>
          <w:bottom w:w="0" w:type="dxa"/>
          <w:right w:w="108" w:type="dxa"/>
        </w:tblCellMar>
        <w:tblLook w:val="01e0" w:noHBand="0" w:noVBand="0" w:firstColumn="1" w:lastRow="1" w:lastColumn="1" w:firstRow="1"/>
      </w:tblPr>
      <w:tblGrid>
        <w:gridCol w:w="3902"/>
        <w:gridCol w:w="3902"/>
      </w:tblGrid>
      <w:tr>
        <w:trPr/>
        <w:tc>
          <w:tcPr>
            <w:tcW w:w="3902" w:type="dxa"/>
            <w:tcBorders/>
          </w:tcPr>
          <w:p>
            <w:pPr>
              <w:pStyle w:val="Style13"/>
              <w:tabs>
                <w:tab w:val="left" w:pos="480" w:leader="none"/>
                <w:tab w:val="left" w:pos="567" w:leader="none"/>
              </w:tabs>
              <w:spacing w:lineRule="atLeast" w:line="400"/>
              <w:ind w:left="57" w:right="57" w:hanging="0"/>
              <w:jc w:val="center"/>
              <w:rPr/>
            </w:pPr>
            <w:r>
              <w:rPr/>
              <w:t>社會運動</w:t>
            </w:r>
          </w:p>
        </w:tc>
        <w:tc>
          <w:tcPr>
            <w:tcW w:w="3902" w:type="dxa"/>
            <w:tcBorders/>
          </w:tcPr>
          <w:p>
            <w:pPr>
              <w:pStyle w:val="Style13"/>
              <w:tabs>
                <w:tab w:val="left" w:pos="480" w:leader="none"/>
                <w:tab w:val="left" w:pos="567" w:leader="none"/>
              </w:tabs>
              <w:spacing w:lineRule="atLeast" w:line="400"/>
              <w:ind w:left="57" w:right="57" w:hanging="0"/>
              <w:jc w:val="center"/>
              <w:rPr/>
            </w:pPr>
            <w:r>
              <w:rPr/>
              <w:t>人數</w:t>
            </w:r>
          </w:p>
        </w:tc>
      </w:tr>
      <w:tr>
        <w:trPr/>
        <w:tc>
          <w:tcPr>
            <w:tcW w:w="3902" w:type="dxa"/>
            <w:tcBorders/>
          </w:tcPr>
          <w:p>
            <w:pPr>
              <w:pStyle w:val="Style13"/>
              <w:tabs>
                <w:tab w:val="left" w:pos="480" w:leader="none"/>
                <w:tab w:val="left" w:pos="567" w:leader="none"/>
              </w:tabs>
              <w:spacing w:lineRule="atLeast" w:line="400"/>
              <w:ind w:left="57" w:right="57" w:hanging="0"/>
              <w:rPr/>
            </w:pPr>
            <w:r>
              <w:rPr/>
              <w:t>佔領運動</w:t>
            </w:r>
          </w:p>
        </w:tc>
        <w:tc>
          <w:tcPr>
            <w:tcW w:w="3902" w:type="dxa"/>
            <w:tcBorders/>
          </w:tcPr>
          <w:p>
            <w:pPr>
              <w:pStyle w:val="Style13"/>
              <w:tabs>
                <w:tab w:val="left" w:pos="480" w:leader="none"/>
                <w:tab w:val="left" w:pos="567" w:leader="none"/>
              </w:tabs>
              <w:spacing w:lineRule="atLeast" w:line="400"/>
              <w:ind w:left="57" w:right="57" w:hanging="0"/>
              <w:rPr/>
            </w:pPr>
            <w:r>
              <w:rPr/>
            </w:r>
          </w:p>
        </w:tc>
      </w:tr>
      <w:tr>
        <w:trPr/>
        <w:tc>
          <w:tcPr>
            <w:tcW w:w="3902" w:type="dxa"/>
            <w:tcBorders/>
          </w:tcPr>
          <w:p>
            <w:pPr>
              <w:pStyle w:val="Style13"/>
              <w:tabs>
                <w:tab w:val="left" w:pos="480" w:leader="none"/>
                <w:tab w:val="left" w:pos="567" w:leader="none"/>
              </w:tabs>
              <w:spacing w:lineRule="atLeast" w:line="400"/>
              <w:ind w:left="57" w:right="57" w:hanging="0"/>
              <w:rPr/>
            </w:pPr>
            <w:r>
              <w:rPr/>
              <w:t>“</w:t>
            </w:r>
            <w:r>
              <w:rPr/>
              <w:t>鳩嗚”行動</w:t>
            </w:r>
          </w:p>
        </w:tc>
        <w:tc>
          <w:tcPr>
            <w:tcW w:w="3902" w:type="dxa"/>
            <w:tcBorders/>
          </w:tcPr>
          <w:p>
            <w:pPr>
              <w:pStyle w:val="Style13"/>
              <w:tabs>
                <w:tab w:val="left" w:pos="480" w:leader="none"/>
                <w:tab w:val="left" w:pos="567" w:leader="none"/>
              </w:tabs>
              <w:spacing w:lineRule="atLeast" w:line="400"/>
              <w:ind w:left="57" w:right="57" w:hanging="0"/>
              <w:rPr/>
            </w:pPr>
            <w:r>
              <w:rPr/>
            </w:r>
          </w:p>
        </w:tc>
      </w:tr>
      <w:tr>
        <w:trPr/>
        <w:tc>
          <w:tcPr>
            <w:tcW w:w="3902" w:type="dxa"/>
            <w:tcBorders/>
          </w:tcPr>
          <w:p>
            <w:pPr>
              <w:pStyle w:val="Style13"/>
              <w:tabs>
                <w:tab w:val="left" w:pos="480" w:leader="none"/>
                <w:tab w:val="left" w:pos="567" w:leader="none"/>
              </w:tabs>
              <w:spacing w:lineRule="atLeast" w:line="400"/>
              <w:ind w:left="57" w:right="57" w:hanging="0"/>
              <w:rPr/>
            </w:pPr>
            <w:r>
              <w:rPr/>
              <w:t>“</w:t>
            </w:r>
            <w:r>
              <w:rPr/>
              <w:t>反走私水貨客”行動</w:t>
            </w:r>
          </w:p>
        </w:tc>
        <w:tc>
          <w:tcPr>
            <w:tcW w:w="3902" w:type="dxa"/>
            <w:tcBorders/>
          </w:tcPr>
          <w:p>
            <w:pPr>
              <w:pStyle w:val="Style13"/>
              <w:tabs>
                <w:tab w:val="left" w:pos="480" w:leader="none"/>
                <w:tab w:val="left" w:pos="567" w:leader="none"/>
              </w:tabs>
              <w:spacing w:lineRule="atLeast" w:line="400"/>
              <w:ind w:left="57" w:right="57" w:hanging="0"/>
              <w:rPr/>
            </w:pPr>
            <w:r>
              <w:rPr/>
            </w:r>
          </w:p>
        </w:tc>
      </w:tr>
      <w:tr>
        <w:trPr/>
        <w:tc>
          <w:tcPr>
            <w:tcW w:w="3902" w:type="dxa"/>
            <w:tcBorders/>
          </w:tcPr>
          <w:p>
            <w:pPr>
              <w:pStyle w:val="Style13"/>
              <w:tabs>
                <w:tab w:val="left" w:pos="480" w:leader="none"/>
                <w:tab w:val="left" w:pos="567" w:leader="none"/>
              </w:tabs>
              <w:spacing w:lineRule="atLeast" w:line="400"/>
              <w:ind w:left="57" w:right="57" w:hanging="0"/>
              <w:rPr/>
            </w:pPr>
            <w:r>
              <w:rPr/>
              <w:t>其他</w:t>
            </w:r>
            <w:r>
              <w:rPr/>
              <w:t>(</w:t>
            </w:r>
            <w:r>
              <w:rPr/>
              <w:t>分開列明</w:t>
            </w:r>
            <w:r>
              <w:rPr/>
              <w:t>)</w:t>
            </w:r>
          </w:p>
        </w:tc>
        <w:tc>
          <w:tcPr>
            <w:tcW w:w="3902" w:type="dxa"/>
            <w:tcBorders/>
          </w:tcPr>
          <w:p>
            <w:pPr>
              <w:pStyle w:val="Style13"/>
              <w:tabs>
                <w:tab w:val="left" w:pos="480" w:leader="none"/>
                <w:tab w:val="left" w:pos="567" w:leader="none"/>
              </w:tabs>
              <w:spacing w:lineRule="atLeast" w:line="400"/>
              <w:ind w:left="57" w:right="57" w:hanging="0"/>
              <w:rPr/>
            </w:pPr>
            <w:r>
              <w:rPr/>
            </w:r>
          </w:p>
        </w:tc>
      </w:tr>
    </w:tbl>
    <w:p>
      <w:pPr>
        <w:pStyle w:val="Style13"/>
        <w:spacing w:lineRule="atLeast" w:line="400"/>
        <w:rPr>
          <w:rFonts w:cs="Times New Roman"/>
        </w:rPr>
      </w:pPr>
      <w:r>
        <w:rPr>
          <w:rFonts w:cs="Times New Roman"/>
        </w:rPr>
      </w:r>
    </w:p>
    <w:p>
      <w:pPr>
        <w:pStyle w:val="Style13"/>
        <w:spacing w:lineRule="atLeast" w:line="400"/>
        <w:rPr/>
      </w:pPr>
      <w:r>
        <w:rPr/>
        <w:t>(</w:t>
      </w:r>
      <w:r>
        <w:rPr/>
        <w:t>三</w:t>
      </w:r>
      <w:r>
        <w:rPr/>
        <w:t>)</w:t>
        <w:tab/>
      </w:r>
      <w:r>
        <w:rPr/>
        <w:t>由</w:t>
      </w:r>
      <w:r>
        <w:rPr/>
        <w:t>2013</w:t>
      </w:r>
      <w:r>
        <w:rPr/>
        <w:t>年</w:t>
      </w:r>
      <w:r>
        <w:rPr/>
        <w:t>1</w:t>
      </w:r>
      <w:r>
        <w:rPr/>
        <w:t>月至去年</w:t>
      </w:r>
      <w:r>
        <w:rPr/>
        <w:t>8</w:t>
      </w:r>
      <w:r>
        <w:rPr/>
        <w:t>月及由去年</w:t>
      </w:r>
      <w:r>
        <w:rPr/>
        <w:t>9</w:t>
      </w:r>
      <w:r>
        <w:rPr/>
        <w:t>月</w:t>
      </w:r>
      <w:r>
        <w:rPr/>
        <w:t>28</w:t>
      </w:r>
      <w:r>
        <w:rPr/>
        <w:t>日至今兩段期間，分別因在參與社會運動中涉嫌犯罪而被逮捕的人數，以及當中屬下表第</w:t>
      </w:r>
      <w:r>
        <w:rPr/>
        <w:t>(ii)</w:t>
      </w:r>
      <w:r>
        <w:rPr/>
        <w:t>至</w:t>
      </w:r>
      <w:r>
        <w:rPr/>
        <w:t>(v)</w:t>
      </w:r>
      <w:r>
        <w:rPr/>
        <w:t>項情況的人數為何</w:t>
      </w:r>
      <w:r>
        <w:rPr/>
        <w:t>(</w:t>
      </w:r>
      <w:r>
        <w:rPr/>
        <w:t>使用與下表相同格式的表格列出有關數字</w:t>
      </w:r>
      <w:r>
        <w:rPr/>
        <w:t>)</w:t>
      </w:r>
      <w:r>
        <w:rPr/>
        <w:t>？</w:t>
      </w:r>
    </w:p>
    <w:tbl>
      <w:tblPr>
        <w:tblStyle w:val="a9"/>
        <w:tblW w:w="7799" w:type="dxa"/>
        <w:jc w:val="left"/>
        <w:tblInd w:w="1418" w:type="dxa"/>
        <w:tblCellMar>
          <w:top w:w="0" w:type="dxa"/>
          <w:left w:w="108" w:type="dxa"/>
          <w:bottom w:w="0" w:type="dxa"/>
          <w:right w:w="108" w:type="dxa"/>
        </w:tblCellMar>
        <w:tblLook w:val="01e0" w:noHBand="0" w:noVBand="0" w:firstColumn="1" w:lastRow="1" w:lastColumn="1" w:firstRow="1"/>
      </w:tblPr>
      <w:tblGrid>
        <w:gridCol w:w="3387"/>
        <w:gridCol w:w="1102"/>
        <w:gridCol w:w="1103"/>
        <w:gridCol w:w="1103"/>
        <w:gridCol w:w="1104"/>
      </w:tblGrid>
      <w:tr>
        <w:trPr/>
        <w:tc>
          <w:tcPr>
            <w:tcW w:w="3387" w:type="dxa"/>
            <w:vMerge w:val="restart"/>
            <w:tcBorders/>
            <w:vAlign w:val="center"/>
          </w:tcPr>
          <w:p>
            <w:pPr>
              <w:pStyle w:val="Style13"/>
              <w:tabs>
                <w:tab w:val="left" w:pos="480" w:leader="none"/>
                <w:tab w:val="left" w:pos="567" w:leader="none"/>
              </w:tabs>
              <w:ind w:left="57" w:right="57" w:hanging="0"/>
              <w:jc w:val="center"/>
              <w:rPr/>
            </w:pPr>
            <w:r>
              <w:rPr/>
              <w:t>人數</w:t>
            </w:r>
          </w:p>
        </w:tc>
        <w:tc>
          <w:tcPr>
            <w:tcW w:w="4412" w:type="dxa"/>
            <w:gridSpan w:val="4"/>
            <w:tcBorders/>
            <w:vAlign w:val="center"/>
          </w:tcPr>
          <w:p>
            <w:pPr>
              <w:pStyle w:val="Style13"/>
              <w:tabs>
                <w:tab w:val="left" w:pos="480" w:leader="none"/>
                <w:tab w:val="left" w:pos="567" w:leader="none"/>
              </w:tabs>
              <w:ind w:left="57" w:right="57" w:hanging="0"/>
              <w:jc w:val="center"/>
              <w:rPr/>
            </w:pPr>
            <w:r>
              <w:rPr/>
              <w:t>所涉罪行</w:t>
            </w:r>
          </w:p>
        </w:tc>
      </w:tr>
      <w:tr>
        <w:trPr/>
        <w:tc>
          <w:tcPr>
            <w:tcW w:w="3387" w:type="dxa"/>
            <w:vMerge w:val="continue"/>
            <w:tcBorders/>
            <w:vAlign w:val="center"/>
          </w:tcPr>
          <w:p>
            <w:pPr>
              <w:pStyle w:val="Normal"/>
              <w:widowControl/>
              <w:spacing w:lineRule="auto" w:line="240"/>
              <w:jc w:val="left"/>
              <w:rPr>
                <w:i/>
                <w:i/>
                <w:spacing w:val="20"/>
                <w:sz w:val="27"/>
              </w:rPr>
            </w:pPr>
            <w:r>
              <w:rPr>
                <w:i/>
                <w:spacing w:val="20"/>
                <w:sz w:val="27"/>
              </w:rPr>
            </w:r>
          </w:p>
        </w:tc>
        <w:tc>
          <w:tcPr>
            <w:tcW w:w="1102" w:type="dxa"/>
            <w:tcBorders/>
            <w:vAlign w:val="center"/>
          </w:tcPr>
          <w:p>
            <w:pPr>
              <w:pStyle w:val="Style13"/>
              <w:tabs>
                <w:tab w:val="left" w:pos="480" w:leader="none"/>
                <w:tab w:val="left" w:pos="567" w:leader="none"/>
              </w:tabs>
              <w:ind w:left="57" w:right="57" w:hanging="0"/>
              <w:jc w:val="center"/>
              <w:rPr/>
            </w:pPr>
            <w:r>
              <w:rPr/>
              <w:t>襲擊</w:t>
            </w:r>
          </w:p>
          <w:p>
            <w:pPr>
              <w:pStyle w:val="Style13"/>
              <w:tabs>
                <w:tab w:val="left" w:pos="480" w:leader="none"/>
                <w:tab w:val="left" w:pos="567" w:leader="none"/>
              </w:tabs>
              <w:ind w:left="57" w:right="57" w:hanging="0"/>
              <w:jc w:val="center"/>
              <w:rPr/>
            </w:pPr>
            <w:r>
              <w:rPr/>
              <w:t>警務</w:t>
            </w:r>
          </w:p>
          <w:p>
            <w:pPr>
              <w:pStyle w:val="Style13"/>
              <w:tabs>
                <w:tab w:val="left" w:pos="480" w:leader="none"/>
                <w:tab w:val="left" w:pos="567" w:leader="none"/>
              </w:tabs>
              <w:ind w:left="57" w:right="57" w:hanging="0"/>
              <w:jc w:val="center"/>
              <w:rPr/>
            </w:pPr>
            <w:r>
              <w:rPr/>
              <w:t>人員</w:t>
            </w:r>
          </w:p>
        </w:tc>
        <w:tc>
          <w:tcPr>
            <w:tcW w:w="1103" w:type="dxa"/>
            <w:tcBorders/>
            <w:vAlign w:val="center"/>
          </w:tcPr>
          <w:p>
            <w:pPr>
              <w:pStyle w:val="Style13"/>
              <w:tabs>
                <w:tab w:val="left" w:pos="480" w:leader="none"/>
                <w:tab w:val="left" w:pos="567" w:leader="none"/>
              </w:tabs>
              <w:ind w:left="57" w:right="57" w:hanging="0"/>
              <w:jc w:val="center"/>
              <w:rPr/>
            </w:pPr>
            <w:r>
              <w:rPr/>
              <w:t>非法</w:t>
            </w:r>
          </w:p>
          <w:p>
            <w:pPr>
              <w:pStyle w:val="Style13"/>
              <w:tabs>
                <w:tab w:val="left" w:pos="480" w:leader="none"/>
                <w:tab w:val="left" w:pos="567" w:leader="none"/>
              </w:tabs>
              <w:ind w:left="57" w:right="57" w:hanging="0"/>
              <w:jc w:val="center"/>
              <w:rPr/>
            </w:pPr>
            <w:r>
              <w:rPr/>
              <w:t>集結</w:t>
            </w:r>
          </w:p>
        </w:tc>
        <w:tc>
          <w:tcPr>
            <w:tcW w:w="1103" w:type="dxa"/>
            <w:tcBorders/>
            <w:vAlign w:val="center"/>
          </w:tcPr>
          <w:p>
            <w:pPr>
              <w:pStyle w:val="Style13"/>
              <w:tabs>
                <w:tab w:val="left" w:pos="480" w:leader="none"/>
                <w:tab w:val="left" w:pos="567" w:leader="none"/>
              </w:tabs>
              <w:ind w:left="57" w:right="57" w:hanging="0"/>
              <w:jc w:val="center"/>
              <w:rPr/>
            </w:pPr>
            <w:r>
              <w:rPr/>
              <w:t>因違反禁制令而藐視法庭</w:t>
            </w:r>
          </w:p>
        </w:tc>
        <w:tc>
          <w:tcPr>
            <w:tcW w:w="1104" w:type="dxa"/>
            <w:tcBorders/>
            <w:vAlign w:val="center"/>
          </w:tcPr>
          <w:p>
            <w:pPr>
              <w:pStyle w:val="Style13"/>
              <w:tabs>
                <w:tab w:val="left" w:pos="480" w:leader="none"/>
                <w:tab w:val="left" w:pos="567" w:leader="none"/>
              </w:tabs>
              <w:ind w:left="57" w:right="57" w:hanging="0"/>
              <w:jc w:val="center"/>
              <w:rPr/>
            </w:pPr>
            <w:r>
              <w:rPr/>
              <w:t>其他</w:t>
            </w:r>
          </w:p>
          <w:p>
            <w:pPr>
              <w:pStyle w:val="Style13"/>
              <w:tabs>
                <w:tab w:val="left" w:pos="480" w:leader="none"/>
                <w:tab w:val="left" w:pos="567" w:leader="none"/>
              </w:tabs>
              <w:ind w:left="57" w:right="57" w:hanging="0"/>
              <w:jc w:val="center"/>
              <w:rPr/>
            </w:pPr>
            <w:r>
              <w:rPr/>
              <w:t>罪行</w:t>
            </w:r>
            <w:r>
              <w:rPr/>
              <w:t>(</w:t>
            </w:r>
            <w:r>
              <w:rPr/>
              <w:t>分開列明</w:t>
            </w:r>
            <w:r>
              <w:rPr/>
              <w:t>)</w:t>
            </w:r>
          </w:p>
        </w:tc>
      </w:tr>
      <w:tr>
        <w:trPr/>
        <w:tc>
          <w:tcPr>
            <w:tcW w:w="3387" w:type="dxa"/>
            <w:tcBorders/>
          </w:tcPr>
          <w:p>
            <w:pPr>
              <w:pStyle w:val="Style13"/>
              <w:ind w:left="624" w:right="57" w:hanging="567"/>
              <w:rPr/>
            </w:pPr>
            <w:r>
              <w:rPr/>
              <w:t>(i)</w:t>
              <w:tab/>
            </w:r>
            <w:r>
              <w:rPr/>
              <w:t>被逮捕</w:t>
            </w:r>
          </w:p>
        </w:tc>
        <w:tc>
          <w:tcPr>
            <w:tcW w:w="1102"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4" w:type="dxa"/>
            <w:tcBorders/>
          </w:tcPr>
          <w:p>
            <w:pPr>
              <w:pStyle w:val="Style13"/>
              <w:tabs>
                <w:tab w:val="left" w:pos="480" w:leader="none"/>
                <w:tab w:val="left" w:pos="567" w:leader="none"/>
              </w:tabs>
              <w:ind w:left="57" w:right="57" w:hanging="0"/>
              <w:rPr/>
            </w:pPr>
            <w:r>
              <w:rPr/>
            </w:r>
          </w:p>
        </w:tc>
      </w:tr>
      <w:tr>
        <w:trPr/>
        <w:tc>
          <w:tcPr>
            <w:tcW w:w="3387" w:type="dxa"/>
            <w:tcBorders/>
          </w:tcPr>
          <w:p>
            <w:pPr>
              <w:pStyle w:val="Style13"/>
              <w:ind w:left="624" w:right="57" w:hanging="567"/>
              <w:rPr/>
            </w:pPr>
            <w:r>
              <w:rPr/>
              <w:t>(ii)</w:t>
              <w:tab/>
            </w:r>
            <w:r>
              <w:rPr/>
              <w:t>獲撤銷指控</w:t>
            </w:r>
          </w:p>
        </w:tc>
        <w:tc>
          <w:tcPr>
            <w:tcW w:w="1102"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4" w:type="dxa"/>
            <w:tcBorders/>
          </w:tcPr>
          <w:p>
            <w:pPr>
              <w:pStyle w:val="Style13"/>
              <w:tabs>
                <w:tab w:val="left" w:pos="480" w:leader="none"/>
                <w:tab w:val="left" w:pos="567" w:leader="none"/>
              </w:tabs>
              <w:ind w:left="57" w:right="57" w:hanging="0"/>
              <w:rPr/>
            </w:pPr>
            <w:r>
              <w:rPr/>
            </w:r>
          </w:p>
        </w:tc>
      </w:tr>
      <w:tr>
        <w:trPr/>
        <w:tc>
          <w:tcPr>
            <w:tcW w:w="3387" w:type="dxa"/>
            <w:tcBorders/>
          </w:tcPr>
          <w:p>
            <w:pPr>
              <w:pStyle w:val="Style13"/>
              <w:ind w:left="624" w:right="57" w:hanging="567"/>
              <w:rPr/>
            </w:pPr>
            <w:r>
              <w:rPr/>
              <w:t>(iii)</w:t>
              <w:tab/>
            </w:r>
            <w:r>
              <w:rPr/>
              <w:t>獲准保釋等候調查</w:t>
            </w:r>
          </w:p>
        </w:tc>
        <w:tc>
          <w:tcPr>
            <w:tcW w:w="1102"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4" w:type="dxa"/>
            <w:tcBorders/>
          </w:tcPr>
          <w:p>
            <w:pPr>
              <w:pStyle w:val="Style13"/>
              <w:tabs>
                <w:tab w:val="left" w:pos="480" w:leader="none"/>
                <w:tab w:val="left" w:pos="567" w:leader="none"/>
              </w:tabs>
              <w:ind w:left="57" w:right="57" w:hanging="0"/>
              <w:rPr/>
            </w:pPr>
            <w:r>
              <w:rPr/>
            </w:r>
          </w:p>
        </w:tc>
      </w:tr>
      <w:tr>
        <w:trPr/>
        <w:tc>
          <w:tcPr>
            <w:tcW w:w="3387" w:type="dxa"/>
            <w:tcBorders/>
          </w:tcPr>
          <w:p>
            <w:pPr>
              <w:pStyle w:val="Style13"/>
              <w:ind w:left="624" w:right="57" w:hanging="567"/>
              <w:rPr/>
            </w:pPr>
            <w:r>
              <w:rPr/>
              <w:t>(iv)</w:t>
              <w:tab/>
            </w:r>
            <w:r>
              <w:rPr/>
              <w:t>被還押等候調查</w:t>
            </w:r>
          </w:p>
        </w:tc>
        <w:tc>
          <w:tcPr>
            <w:tcW w:w="1102"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4" w:type="dxa"/>
            <w:tcBorders/>
          </w:tcPr>
          <w:p>
            <w:pPr>
              <w:pStyle w:val="Style13"/>
              <w:tabs>
                <w:tab w:val="left" w:pos="480" w:leader="none"/>
                <w:tab w:val="left" w:pos="567" w:leader="none"/>
              </w:tabs>
              <w:ind w:left="57" w:right="57" w:hanging="0"/>
              <w:rPr/>
            </w:pPr>
            <w:r>
              <w:rPr/>
            </w:r>
          </w:p>
        </w:tc>
      </w:tr>
      <w:tr>
        <w:trPr/>
        <w:tc>
          <w:tcPr>
            <w:tcW w:w="3387" w:type="dxa"/>
            <w:tcBorders/>
          </w:tcPr>
          <w:p>
            <w:pPr>
              <w:pStyle w:val="Style13"/>
              <w:ind w:left="624" w:right="57" w:hanging="567"/>
              <w:rPr/>
            </w:pPr>
            <w:r>
              <w:rPr/>
              <w:t>(v)</w:t>
              <w:tab/>
            </w:r>
            <w:r>
              <w:rPr/>
              <w:t>被檢控</w:t>
            </w:r>
          </w:p>
        </w:tc>
        <w:tc>
          <w:tcPr>
            <w:tcW w:w="1102"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4" w:type="dxa"/>
            <w:tcBorders/>
          </w:tcPr>
          <w:p>
            <w:pPr>
              <w:pStyle w:val="Style13"/>
              <w:tabs>
                <w:tab w:val="left" w:pos="480" w:leader="none"/>
                <w:tab w:val="left" w:pos="567" w:leader="none"/>
              </w:tabs>
              <w:ind w:left="57" w:right="57" w:hanging="0"/>
              <w:rPr/>
            </w:pPr>
            <w:r>
              <w:rPr/>
            </w:r>
          </w:p>
        </w:tc>
      </w:tr>
      <w:tr>
        <w:trPr/>
        <w:tc>
          <w:tcPr>
            <w:tcW w:w="3387" w:type="dxa"/>
            <w:vMerge w:val="restart"/>
            <w:tcBorders/>
          </w:tcPr>
          <w:p>
            <w:pPr>
              <w:pStyle w:val="Style13"/>
              <w:tabs>
                <w:tab w:val="left" w:pos="480" w:leader="none"/>
                <w:tab w:val="left" w:pos="567" w:leader="none"/>
              </w:tabs>
              <w:ind w:left="57" w:right="57" w:hanging="0"/>
              <w:rPr/>
            </w:pPr>
            <w:r>
              <w:rPr/>
              <w:t>第</w:t>
            </w:r>
            <w:r>
              <w:rPr/>
              <w:t>(v)</w:t>
            </w:r>
            <w:r>
              <w:rPr/>
              <w:t>項當中：</w:t>
            </w:r>
          </w:p>
          <w:p>
            <w:pPr>
              <w:pStyle w:val="Style13"/>
              <w:ind w:left="908" w:right="57" w:hanging="851"/>
              <w:rPr/>
            </w:pPr>
            <w:r>
              <w:rPr/>
              <w:t>―</w:t>
            </w:r>
            <w:r>
              <w:rPr/>
              <w:tab/>
            </w:r>
            <w:r>
              <w:rPr/>
              <w:t>未有判決</w:t>
            </w:r>
          </w:p>
        </w:tc>
        <w:tc>
          <w:tcPr>
            <w:tcW w:w="1102" w:type="dxa"/>
            <w:tcBorders>
              <w:bottom w:val="nil"/>
            </w:tcBorders>
          </w:tcPr>
          <w:p>
            <w:pPr>
              <w:pStyle w:val="Style13"/>
              <w:tabs>
                <w:tab w:val="left" w:pos="480" w:leader="none"/>
                <w:tab w:val="left" w:pos="567" w:leader="none"/>
              </w:tabs>
              <w:ind w:left="57" w:right="57" w:hanging="0"/>
              <w:rPr/>
            </w:pPr>
            <w:r>
              <w:rPr/>
            </w:r>
          </w:p>
        </w:tc>
        <w:tc>
          <w:tcPr>
            <w:tcW w:w="1103" w:type="dxa"/>
            <w:tcBorders>
              <w:bottom w:val="nil"/>
            </w:tcBorders>
          </w:tcPr>
          <w:p>
            <w:pPr>
              <w:pStyle w:val="Style13"/>
              <w:tabs>
                <w:tab w:val="left" w:pos="480" w:leader="none"/>
                <w:tab w:val="left" w:pos="567" w:leader="none"/>
              </w:tabs>
              <w:ind w:left="57" w:right="57" w:hanging="0"/>
              <w:rPr/>
            </w:pPr>
            <w:r>
              <w:rPr/>
            </w:r>
          </w:p>
        </w:tc>
        <w:tc>
          <w:tcPr>
            <w:tcW w:w="1103" w:type="dxa"/>
            <w:tcBorders>
              <w:bottom w:val="nil"/>
            </w:tcBorders>
          </w:tcPr>
          <w:p>
            <w:pPr>
              <w:pStyle w:val="Style13"/>
              <w:tabs>
                <w:tab w:val="left" w:pos="480" w:leader="none"/>
                <w:tab w:val="left" w:pos="567" w:leader="none"/>
              </w:tabs>
              <w:ind w:left="57" w:right="57" w:hanging="0"/>
              <w:rPr/>
            </w:pPr>
            <w:r>
              <w:rPr/>
            </w:r>
          </w:p>
        </w:tc>
        <w:tc>
          <w:tcPr>
            <w:tcW w:w="1104" w:type="dxa"/>
            <w:tcBorders>
              <w:bottom w:val="nil"/>
            </w:tcBorders>
          </w:tcPr>
          <w:p>
            <w:pPr>
              <w:pStyle w:val="Style13"/>
              <w:tabs>
                <w:tab w:val="left" w:pos="480" w:leader="none"/>
                <w:tab w:val="left" w:pos="567" w:leader="none"/>
              </w:tabs>
              <w:ind w:left="57" w:right="57" w:hanging="0"/>
              <w:rPr/>
            </w:pPr>
            <w:r>
              <w:rPr/>
            </w:r>
          </w:p>
        </w:tc>
      </w:tr>
      <w:tr>
        <w:trPr/>
        <w:tc>
          <w:tcPr>
            <w:tcW w:w="3387" w:type="dxa"/>
            <w:vMerge w:val="continue"/>
            <w:tcBorders/>
            <w:vAlign w:val="center"/>
          </w:tcPr>
          <w:p>
            <w:pPr>
              <w:pStyle w:val="Normal"/>
              <w:widowControl/>
              <w:spacing w:lineRule="auto" w:line="240"/>
              <w:jc w:val="left"/>
              <w:rPr>
                <w:i/>
                <w:i/>
                <w:spacing w:val="20"/>
                <w:sz w:val="27"/>
              </w:rPr>
            </w:pPr>
            <w:r>
              <w:rPr>
                <w:i/>
                <w:spacing w:val="20"/>
                <w:sz w:val="27"/>
              </w:rPr>
            </w:r>
          </w:p>
        </w:tc>
        <w:tc>
          <w:tcPr>
            <w:tcW w:w="1102" w:type="dxa"/>
            <w:tcBorders>
              <w:top w:val="nil"/>
            </w:tcBorders>
          </w:tcPr>
          <w:p>
            <w:pPr>
              <w:pStyle w:val="Style13"/>
              <w:tabs>
                <w:tab w:val="left" w:pos="480" w:leader="none"/>
                <w:tab w:val="left" w:pos="567" w:leader="none"/>
              </w:tabs>
              <w:ind w:left="57" w:right="57" w:hanging="0"/>
              <w:rPr/>
            </w:pPr>
            <w:r>
              <w:rPr/>
            </w:r>
          </w:p>
        </w:tc>
        <w:tc>
          <w:tcPr>
            <w:tcW w:w="1103" w:type="dxa"/>
            <w:tcBorders>
              <w:top w:val="nil"/>
            </w:tcBorders>
          </w:tcPr>
          <w:p>
            <w:pPr>
              <w:pStyle w:val="Style13"/>
              <w:tabs>
                <w:tab w:val="left" w:pos="480" w:leader="none"/>
                <w:tab w:val="left" w:pos="567" w:leader="none"/>
              </w:tabs>
              <w:ind w:left="57" w:right="57" w:hanging="0"/>
              <w:rPr/>
            </w:pPr>
            <w:r>
              <w:rPr/>
            </w:r>
          </w:p>
        </w:tc>
        <w:tc>
          <w:tcPr>
            <w:tcW w:w="1103" w:type="dxa"/>
            <w:tcBorders>
              <w:top w:val="nil"/>
            </w:tcBorders>
          </w:tcPr>
          <w:p>
            <w:pPr>
              <w:pStyle w:val="Style13"/>
              <w:tabs>
                <w:tab w:val="left" w:pos="480" w:leader="none"/>
                <w:tab w:val="left" w:pos="567" w:leader="none"/>
              </w:tabs>
              <w:ind w:left="57" w:right="57" w:hanging="0"/>
              <w:rPr/>
            </w:pPr>
            <w:r>
              <w:rPr/>
            </w:r>
          </w:p>
        </w:tc>
        <w:tc>
          <w:tcPr>
            <w:tcW w:w="1104" w:type="dxa"/>
            <w:tcBorders>
              <w:top w:val="nil"/>
            </w:tcBorders>
          </w:tcPr>
          <w:p>
            <w:pPr>
              <w:pStyle w:val="Style13"/>
              <w:tabs>
                <w:tab w:val="left" w:pos="480" w:leader="none"/>
                <w:tab w:val="left" w:pos="567" w:leader="none"/>
              </w:tabs>
              <w:ind w:left="57" w:right="57" w:hanging="0"/>
              <w:rPr/>
            </w:pPr>
            <w:r>
              <w:rPr/>
            </w:r>
          </w:p>
        </w:tc>
      </w:tr>
      <w:tr>
        <w:trPr/>
        <w:tc>
          <w:tcPr>
            <w:tcW w:w="3387" w:type="dxa"/>
            <w:tcBorders/>
          </w:tcPr>
          <w:p>
            <w:pPr>
              <w:pStyle w:val="Style13"/>
              <w:ind w:left="624" w:right="57" w:hanging="567"/>
              <w:rPr/>
            </w:pPr>
            <w:r>
              <w:rPr/>
              <w:t>―</w:t>
            </w:r>
            <w:r>
              <w:rPr/>
              <w:tab/>
            </w:r>
            <w:r>
              <w:rPr/>
              <w:t>被判罪名成立</w:t>
            </w:r>
          </w:p>
        </w:tc>
        <w:tc>
          <w:tcPr>
            <w:tcW w:w="1102"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4" w:type="dxa"/>
            <w:tcBorders/>
          </w:tcPr>
          <w:p>
            <w:pPr>
              <w:pStyle w:val="Style13"/>
              <w:tabs>
                <w:tab w:val="left" w:pos="480" w:leader="none"/>
                <w:tab w:val="left" w:pos="567" w:leader="none"/>
              </w:tabs>
              <w:ind w:left="57" w:right="57" w:hanging="0"/>
              <w:rPr/>
            </w:pPr>
            <w:r>
              <w:rPr/>
            </w:r>
          </w:p>
        </w:tc>
      </w:tr>
      <w:tr>
        <w:trPr/>
        <w:tc>
          <w:tcPr>
            <w:tcW w:w="3387" w:type="dxa"/>
            <w:tcBorders/>
          </w:tcPr>
          <w:p>
            <w:pPr>
              <w:pStyle w:val="Style13"/>
              <w:ind w:left="624" w:right="57" w:hanging="567"/>
              <w:rPr/>
            </w:pPr>
            <w:r>
              <w:rPr/>
              <w:t>―</w:t>
            </w:r>
            <w:r>
              <w:rPr/>
              <w:tab/>
            </w:r>
            <w:r>
              <w:rPr/>
              <w:t>被判無罪釋放</w:t>
            </w:r>
          </w:p>
        </w:tc>
        <w:tc>
          <w:tcPr>
            <w:tcW w:w="1102"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3" w:type="dxa"/>
            <w:tcBorders/>
          </w:tcPr>
          <w:p>
            <w:pPr>
              <w:pStyle w:val="Style13"/>
              <w:tabs>
                <w:tab w:val="left" w:pos="480" w:leader="none"/>
                <w:tab w:val="left" w:pos="567" w:leader="none"/>
              </w:tabs>
              <w:ind w:left="57" w:right="57" w:hanging="0"/>
              <w:rPr/>
            </w:pPr>
            <w:r>
              <w:rPr/>
            </w:r>
          </w:p>
        </w:tc>
        <w:tc>
          <w:tcPr>
            <w:tcW w:w="1104" w:type="dxa"/>
            <w:tcBorders/>
          </w:tcPr>
          <w:p>
            <w:pPr>
              <w:pStyle w:val="Style13"/>
              <w:tabs>
                <w:tab w:val="left" w:pos="480" w:leader="none"/>
                <w:tab w:val="left" w:pos="567" w:leader="none"/>
              </w:tabs>
              <w:ind w:left="57" w:right="57" w:hanging="0"/>
              <w:rPr/>
            </w:pPr>
            <w:r>
              <w:rPr/>
            </w:r>
          </w:p>
        </w:tc>
      </w:tr>
    </w:tbl>
    <w:p>
      <w:pPr>
        <w:pStyle w:val="Style13"/>
        <w:spacing w:lineRule="atLeast" w:line="350"/>
        <w:ind w:left="0" w:hanging="0"/>
        <w:rPr>
          <w:rFonts w:cs="Times New Roman"/>
        </w:rPr>
      </w:pPr>
      <w:r>
        <w:rPr>
          <w:rFonts w:cs="Times New Roman"/>
        </w:rPr>
      </w:r>
    </w:p>
    <w:p>
      <w:pPr>
        <w:pStyle w:val="Style13"/>
        <w:spacing w:lineRule="atLeast" w:line="350"/>
        <w:ind w:left="0" w:hanging="0"/>
        <w:rPr/>
      </w:pPr>
      <w:r>
        <w:rPr/>
      </w:r>
    </w:p>
    <w:p>
      <w:pPr>
        <w:pStyle w:val="Style13"/>
        <w:spacing w:lineRule="atLeast" w:line="350"/>
        <w:ind w:left="0" w:hanging="0"/>
        <w:rPr>
          <w:i w:val="false"/>
          <w:i w:val="false"/>
        </w:rPr>
      </w:pPr>
      <w:r>
        <w:rPr>
          <w:rFonts w:eastAsia="華康中黑體"/>
          <w:b/>
          <w:i w:val="false"/>
          <w:szCs w:val="27"/>
        </w:rPr>
        <w:t>保安局局長</w:t>
      </w:r>
      <w:r>
        <w:rPr>
          <w:i w:val="false"/>
          <w:szCs w:val="27"/>
        </w:rPr>
        <w:t>：主席，</w:t>
      </w:r>
      <w:r>
        <w:rPr>
          <w:i w:val="false"/>
        </w:rPr>
        <w:t>作為一個專業執法部門，警方的職責是維護法紀。警方對所有違法行為均一視同仁，也會平等對待所有市民，包括參與社會運動或公眾活動的人士。警方只會在有人涉嫌違法的情況下才依法作出拘捕。對於所謂警方</w:t>
      </w:r>
      <w:r>
        <w:rPr>
          <w:i w:val="false"/>
          <w:szCs w:val="27"/>
        </w:rPr>
        <w:t>“</w:t>
      </w:r>
      <w:r>
        <w:rPr>
          <w:i w:val="false"/>
        </w:rPr>
        <w:t>打壓社會運動</w:t>
      </w:r>
      <w:r>
        <w:rPr>
          <w:i w:val="false"/>
          <w:szCs w:val="27"/>
        </w:rPr>
        <w:t>”</w:t>
      </w:r>
      <w:r>
        <w:rPr>
          <w:i w:val="false"/>
        </w:rPr>
        <w:t>、</w:t>
      </w:r>
      <w:r>
        <w:rPr>
          <w:i w:val="false"/>
          <w:szCs w:val="27"/>
        </w:rPr>
        <w:t>“</w:t>
      </w:r>
      <w:r>
        <w:rPr>
          <w:i w:val="false"/>
        </w:rPr>
        <w:t>胡亂逮捕及起訴</w:t>
      </w:r>
      <w:r>
        <w:rPr>
          <w:i w:val="false"/>
          <w:szCs w:val="27"/>
        </w:rPr>
        <w:t>”</w:t>
      </w:r>
      <w:r>
        <w:rPr>
          <w:i w:val="false"/>
        </w:rPr>
        <w:t>等論述，我們絕不認同。被捕人士的政治立場絕對不在是否提出檢控考慮之列。對任何因牽涉公眾活動而被捕的人士，所有檢控都會按照既定指引作出適當的處理。</w:t>
      </w:r>
    </w:p>
    <w:p>
      <w:pPr>
        <w:pStyle w:val="Style13"/>
        <w:spacing w:lineRule="atLeast" w:line="350"/>
        <w:ind w:left="0" w:hanging="0"/>
        <w:rPr>
          <w:i w:val="false"/>
          <w:i w:val="false"/>
        </w:rPr>
      </w:pPr>
      <w:r>
        <w:rPr>
          <w:i w:val="false"/>
        </w:rPr>
      </w:r>
    </w:p>
    <w:p>
      <w:pPr>
        <w:pStyle w:val="Style13"/>
        <w:spacing w:lineRule="atLeast" w:line="350"/>
        <w:ind w:left="0" w:hanging="0"/>
        <w:rPr>
          <w:i w:val="false"/>
          <w:i w:val="false"/>
        </w:rPr>
      </w:pPr>
      <w:r>
        <w:rPr>
          <w:i w:val="false"/>
        </w:rPr>
        <w:tab/>
      </w:r>
      <w:r>
        <w:rPr>
          <w:i w:val="false"/>
        </w:rPr>
        <w:t>香港居民根據《基本法》享有和平集會、遊行和示威的自由和權利。警方一貫的政策是在便利合法及和平的公眾集會順利舉行，以及減低這些活動對公眾及道路使用者的影響兩方面，致力取得平衡，並確保公共秩序和公共安全。任何人士如計劃舉辦公眾活動，以及如有關活動人數超出法例規限，應及早依法通知警方有關活動的具體安排，讓警方制訂及採取相應措施以便利有關活動進行，並確保公共秩序及公共安全。參與公眾活動的人士在表達訴求時，亦應遵守法律，和平有序，不應作出任何破壞公共秩序或暴力的行為。</w:t>
      </w:r>
    </w:p>
    <w:p>
      <w:pPr>
        <w:pStyle w:val="Style13"/>
        <w:spacing w:lineRule="atLeast" w:line="350"/>
        <w:ind w:left="0" w:hanging="0"/>
        <w:rPr>
          <w:i w:val="false"/>
          <w:i w:val="false"/>
        </w:rPr>
      </w:pPr>
      <w:r>
        <w:rPr>
          <w:i w:val="false"/>
        </w:rPr>
      </w:r>
    </w:p>
    <w:p>
      <w:pPr>
        <w:pStyle w:val="F21"/>
        <w:spacing w:lineRule="atLeast" w:line="350"/>
        <w:rPr/>
      </w:pPr>
      <w:r>
        <w:rPr/>
        <w:tab/>
      </w:r>
      <w:r>
        <w:rPr/>
        <w:t>去年持續</w:t>
      </w:r>
      <w:r>
        <w:rPr/>
        <w:t>79</w:t>
      </w:r>
      <w:r>
        <w:rPr/>
        <w:t>天的非法佔領運動，以至近期的所謂</w:t>
      </w:r>
      <w:r>
        <w:rPr>
          <w:szCs w:val="27"/>
        </w:rPr>
        <w:t>“</w:t>
      </w:r>
      <w:r>
        <w:rPr/>
        <w:t>購物行動</w:t>
      </w:r>
      <w:r>
        <w:rPr>
          <w:szCs w:val="27"/>
        </w:rPr>
        <w:t>”</w:t>
      </w:r>
      <w:r>
        <w:rPr/>
        <w:t>及</w:t>
      </w:r>
      <w:r>
        <w:rPr>
          <w:szCs w:val="27"/>
        </w:rPr>
        <w:t>“</w:t>
      </w:r>
      <w:r>
        <w:rPr/>
        <w:t>反水貨客</w:t>
      </w:r>
      <w:r>
        <w:rPr>
          <w:szCs w:val="27"/>
        </w:rPr>
        <w:t>”</w:t>
      </w:r>
      <w:r>
        <w:rPr/>
        <w:t>活動，出現了各種粗野、謾罵、滋擾、暴力及蓄意搗亂的行為，嚴重衝擊本港法治、公共安全及社會秩序。特區政府對這些罔顧法紀的行為予以最嚴厲的譴責。警方絕對不會容忍違法行為。對於任何違法行為，警方必定果斷執法。</w:t>
      </w:r>
      <w:r>
        <w:br w:type="page"/>
      </w:r>
    </w:p>
    <w:p>
      <w:pPr>
        <w:pStyle w:val="Style13"/>
        <w:spacing w:lineRule="atLeast" w:line="370"/>
        <w:ind w:left="0" w:hanging="0"/>
        <w:rPr>
          <w:i w:val="false"/>
          <w:i w:val="false"/>
        </w:rPr>
      </w:pPr>
      <w:r>
        <w:rPr>
          <w:i w:val="false"/>
        </w:rPr>
        <w:tab/>
      </w:r>
      <w:r>
        <w:rPr>
          <w:i w:val="false"/>
        </w:rPr>
        <w:t>就范國威議員的質詢，當局答覆如下：</w:t>
      </w:r>
    </w:p>
    <w:p>
      <w:pPr>
        <w:pStyle w:val="Style13"/>
        <w:spacing w:lineRule="atLeast" w:line="370"/>
        <w:ind w:left="0" w:hanging="0"/>
        <w:rPr>
          <w:i w:val="false"/>
          <w:i w:val="false"/>
        </w:rPr>
      </w:pPr>
      <w:r>
        <w:rPr>
          <w:i w:val="false"/>
        </w:rPr>
      </w:r>
    </w:p>
    <w:p>
      <w:pPr>
        <w:pStyle w:val="Style13"/>
        <w:spacing w:lineRule="atLeast" w:line="370"/>
        <w:rPr>
          <w:i w:val="false"/>
          <w:i w:val="false"/>
        </w:rPr>
      </w:pPr>
      <w:r>
        <w:rPr>
          <w:i w:val="false"/>
        </w:rPr>
        <w:t>(</w:t>
      </w:r>
      <w:r>
        <w:rPr>
          <w:i w:val="false"/>
        </w:rPr>
        <w:t>一</w:t>
      </w:r>
      <w:r>
        <w:rPr>
          <w:i w:val="false"/>
        </w:rPr>
        <w:t>)</w:t>
        <w:tab/>
      </w:r>
      <w:r>
        <w:rPr>
          <w:i w:val="false"/>
        </w:rPr>
        <w:t>警務人員可以依法要求任何人出示身份證明文件並進行查閱。警方沒有以公眾活動分類備存此等統計數字。</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警務人員會確保錄取個人資料是為執行職務的合法目的而進行，並且不會錄取多於所須的資料。警方會因應相關案件及不同的情況就懷疑干犯罪行的人士作出調查。警方亦會按既定程序處理於執法時錄取的個人資料，確保不會抵觸《個人資料</w:t>
      </w:r>
      <w:r>
        <w:rPr>
          <w:i w:val="false"/>
        </w:rPr>
        <w:t>(</w:t>
      </w:r>
      <w:r>
        <w:rPr>
          <w:i w:val="false"/>
        </w:rPr>
        <w:t>私隱</w:t>
      </w:r>
      <w:r>
        <w:rPr>
          <w:i w:val="false"/>
        </w:rPr>
        <w:t>)</w:t>
      </w:r>
      <w:r>
        <w:rPr>
          <w:i w:val="false"/>
        </w:rPr>
        <w:t>條例》。</w:t>
      </w:r>
    </w:p>
    <w:p>
      <w:pPr>
        <w:pStyle w:val="Style13"/>
        <w:spacing w:lineRule="atLeast" w:line="370"/>
        <w:rPr>
          <w:i w:val="false"/>
          <w:i w:val="false"/>
        </w:rPr>
      </w:pPr>
      <w:r>
        <w:rPr>
          <w:i w:val="false"/>
        </w:rPr>
      </w:r>
    </w:p>
    <w:p>
      <w:pPr>
        <w:pStyle w:val="Style13"/>
        <w:spacing w:lineRule="atLeast" w:line="370"/>
        <w:rPr>
          <w:i w:val="false"/>
          <w:i w:val="false"/>
        </w:rPr>
      </w:pPr>
      <w:r>
        <w:rPr>
          <w:i w:val="false"/>
        </w:rPr>
        <w:t>(</w:t>
      </w:r>
      <w:r>
        <w:rPr>
          <w:i w:val="false"/>
        </w:rPr>
        <w:t>二</w:t>
      </w:r>
      <w:r>
        <w:rPr>
          <w:i w:val="false"/>
        </w:rPr>
        <w:t>)</w:t>
      </w:r>
      <w:r>
        <w:rPr>
          <w:i w:val="false"/>
        </w:rPr>
        <w:t>及</w:t>
      </w:r>
      <w:r>
        <w:rPr>
          <w:i w:val="false"/>
        </w:rPr>
        <w:t>(</w:t>
      </w:r>
      <w:r>
        <w:rPr>
          <w:i w:val="false"/>
        </w:rPr>
        <w:t>三</w:t>
      </w:r>
      <w:r>
        <w:rPr>
          <w:i w:val="false"/>
        </w:rPr>
        <w:t>)</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於</w:t>
      </w:r>
      <w:r>
        <w:rPr>
          <w:i w:val="false"/>
        </w:rPr>
        <w:t>2014</w:t>
      </w:r>
      <w:r>
        <w:rPr>
          <w:i w:val="false"/>
        </w:rPr>
        <w:t>年非法佔領運動期間，有</w:t>
      </w:r>
      <w:r>
        <w:rPr>
          <w:i w:val="false"/>
        </w:rPr>
        <w:t>955</w:t>
      </w:r>
      <w:r>
        <w:rPr>
          <w:i w:val="false"/>
        </w:rPr>
        <w:t>人因涉嫌干犯各種罪行而被捕。此外，截至今年</w:t>
      </w:r>
      <w:r>
        <w:rPr>
          <w:i w:val="false"/>
        </w:rPr>
        <w:t>3</w:t>
      </w:r>
      <w:r>
        <w:rPr>
          <w:i w:val="false"/>
        </w:rPr>
        <w:t>月</w:t>
      </w:r>
      <w:r>
        <w:rPr>
          <w:i w:val="false"/>
        </w:rPr>
        <w:t>15</w:t>
      </w:r>
      <w:r>
        <w:rPr>
          <w:i w:val="false"/>
        </w:rPr>
        <w:t>日，有</w:t>
      </w:r>
      <w:r>
        <w:rPr>
          <w:i w:val="false"/>
        </w:rPr>
        <w:t>48</w:t>
      </w:r>
      <w:r>
        <w:rPr>
          <w:i w:val="false"/>
        </w:rPr>
        <w:t>人於非法佔領運動結束後被捕。</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就今年</w:t>
      </w:r>
      <w:r>
        <w:rPr>
          <w:i w:val="false"/>
        </w:rPr>
        <w:t>2</w:t>
      </w:r>
      <w:r>
        <w:rPr>
          <w:i w:val="false"/>
        </w:rPr>
        <w:t>月及</w:t>
      </w:r>
      <w:r>
        <w:rPr>
          <w:i w:val="false"/>
        </w:rPr>
        <w:t>3</w:t>
      </w:r>
      <w:r>
        <w:rPr>
          <w:i w:val="false"/>
        </w:rPr>
        <w:t>月在多個周末於全港不同地區出現的所謂</w:t>
      </w:r>
      <w:r>
        <w:rPr>
          <w:i w:val="false"/>
          <w:szCs w:val="27"/>
        </w:rPr>
        <w:t>“</w:t>
      </w:r>
      <w:r>
        <w:rPr>
          <w:i w:val="false"/>
        </w:rPr>
        <w:t>反水貨客</w:t>
      </w:r>
      <w:r>
        <w:rPr>
          <w:i w:val="false"/>
          <w:szCs w:val="27"/>
        </w:rPr>
        <w:t>”</w:t>
      </w:r>
      <w:r>
        <w:rPr>
          <w:i w:val="false"/>
        </w:rPr>
        <w:t>活動，截至</w:t>
      </w:r>
      <w:r>
        <w:rPr>
          <w:i w:val="false"/>
        </w:rPr>
        <w:t>3</w:t>
      </w:r>
      <w:r>
        <w:rPr>
          <w:i w:val="false"/>
        </w:rPr>
        <w:t>月</w:t>
      </w:r>
      <w:r>
        <w:rPr>
          <w:i w:val="false"/>
        </w:rPr>
        <w:t>15</w:t>
      </w:r>
      <w:r>
        <w:rPr>
          <w:i w:val="false"/>
        </w:rPr>
        <w:t>日，警方合共拘捕</w:t>
      </w:r>
      <w:r>
        <w:rPr>
          <w:i w:val="false"/>
        </w:rPr>
        <w:t>69</w:t>
      </w:r>
      <w:r>
        <w:rPr>
          <w:i w:val="false"/>
        </w:rPr>
        <w:t>人。</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除了上述較受關注的公眾活動外，警方沒有以目的及主題備存其他公眾活動的相關統計數字。</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於</w:t>
      </w:r>
      <w:r>
        <w:rPr>
          <w:i w:val="false"/>
        </w:rPr>
        <w:t>2013</w:t>
      </w:r>
      <w:r>
        <w:rPr>
          <w:i w:val="false"/>
        </w:rPr>
        <w:t>年、</w:t>
      </w:r>
      <w:r>
        <w:rPr>
          <w:i w:val="false"/>
        </w:rPr>
        <w:t>2014</w:t>
      </w:r>
      <w:r>
        <w:rPr>
          <w:i w:val="false"/>
        </w:rPr>
        <w:t>年及</w:t>
      </w:r>
      <w:r>
        <w:rPr>
          <w:i w:val="false"/>
        </w:rPr>
        <w:t>2015</w:t>
      </w:r>
      <w:r>
        <w:rPr>
          <w:i w:val="false"/>
        </w:rPr>
        <w:t>年</w:t>
      </w:r>
      <w:r>
        <w:rPr>
          <w:i w:val="false"/>
        </w:rPr>
        <w:t>(</w:t>
      </w:r>
      <w:r>
        <w:rPr>
          <w:i w:val="false"/>
        </w:rPr>
        <w:t>截至</w:t>
      </w:r>
      <w:r>
        <w:rPr>
          <w:i w:val="false"/>
        </w:rPr>
        <w:t>2</w:t>
      </w:r>
      <w:r>
        <w:rPr>
          <w:i w:val="false"/>
        </w:rPr>
        <w:t>月</w:t>
      </w:r>
      <w:r>
        <w:rPr>
          <w:i w:val="false"/>
        </w:rPr>
        <w:t>28</w:t>
      </w:r>
      <w:r>
        <w:rPr>
          <w:i w:val="false"/>
        </w:rPr>
        <w:t>日</w:t>
      </w:r>
      <w:r>
        <w:rPr>
          <w:i w:val="false"/>
        </w:rPr>
        <w:t>)</w:t>
      </w:r>
      <w:r>
        <w:rPr>
          <w:i w:val="false"/>
        </w:rPr>
        <w:t>因牽涉公眾活動而被捕及檢控的人士的數字載於附件。</w:t>
      </w:r>
    </w:p>
    <w:p>
      <w:pPr>
        <w:pStyle w:val="Style13"/>
        <w:spacing w:lineRule="atLeast" w:line="370"/>
        <w:ind w:left="0" w:hanging="0"/>
        <w:rPr>
          <w:i w:val="false"/>
          <w:i w:val="false"/>
        </w:rPr>
      </w:pPr>
      <w:r>
        <w:rPr>
          <w:i w:val="false"/>
        </w:rPr>
      </w:r>
    </w:p>
    <w:p>
      <w:pPr>
        <w:pStyle w:val="Style13"/>
        <w:spacing w:lineRule="atLeast" w:line="370"/>
        <w:ind w:left="0" w:hanging="0"/>
        <w:rPr>
          <w:i w:val="false"/>
          <w:i w:val="false"/>
        </w:rPr>
      </w:pPr>
      <w:r>
        <w:rPr>
          <w:i w:val="false"/>
        </w:rPr>
      </w:r>
    </w:p>
    <w:p>
      <w:pPr>
        <w:pStyle w:val="Style13"/>
        <w:spacing w:lineRule="atLeast" w:line="370"/>
        <w:ind w:left="0" w:hanging="0"/>
        <w:jc w:val="right"/>
        <w:rPr>
          <w:i w:val="false"/>
          <w:i w:val="false"/>
        </w:rPr>
      </w:pPr>
      <w:r>
        <w:rPr>
          <w:i w:val="false"/>
        </w:rPr>
        <w:t>附件</w:t>
      </w:r>
    </w:p>
    <w:p>
      <w:pPr>
        <w:pStyle w:val="Style13"/>
        <w:spacing w:lineRule="atLeast" w:line="370"/>
        <w:ind w:left="0" w:hanging="0"/>
        <w:jc w:val="right"/>
        <w:rPr>
          <w:i w:val="false"/>
          <w:i w:val="false"/>
        </w:rPr>
      </w:pPr>
      <w:r>
        <w:rPr>
          <w:i w:val="false"/>
        </w:rPr>
      </w:r>
    </w:p>
    <w:p>
      <w:pPr>
        <w:pStyle w:val="Style13"/>
        <w:spacing w:lineRule="atLeast" w:line="370"/>
        <w:ind w:left="0" w:hanging="0"/>
        <w:jc w:val="center"/>
        <w:rPr>
          <w:i w:val="false"/>
          <w:i w:val="false"/>
        </w:rPr>
      </w:pPr>
      <w:r>
        <w:rPr>
          <w:i w:val="false"/>
        </w:rPr>
        <w:t>2013</w:t>
      </w:r>
      <w:r>
        <w:rPr>
          <w:i w:val="false"/>
        </w:rPr>
        <w:t>年、</w:t>
      </w:r>
      <w:r>
        <w:rPr>
          <w:i w:val="false"/>
        </w:rPr>
        <w:t>2014</w:t>
      </w:r>
      <w:r>
        <w:rPr>
          <w:i w:val="false"/>
        </w:rPr>
        <w:t>年及</w:t>
      </w:r>
      <w:r>
        <w:rPr>
          <w:i w:val="false"/>
        </w:rPr>
        <w:t>2015</w:t>
      </w:r>
      <w:r>
        <w:rPr>
          <w:i w:val="false"/>
        </w:rPr>
        <w:t>年</w:t>
      </w:r>
      <w:r>
        <w:rPr>
          <w:i w:val="false"/>
        </w:rPr>
        <w:t>(</w:t>
      </w:r>
      <w:r>
        <w:rPr>
          <w:i w:val="false"/>
        </w:rPr>
        <w:t>截至</w:t>
      </w:r>
      <w:r>
        <w:rPr>
          <w:i w:val="false"/>
        </w:rPr>
        <w:t>2</w:t>
      </w:r>
      <w:r>
        <w:rPr>
          <w:i w:val="false"/>
        </w:rPr>
        <w:t>月</w:t>
      </w:r>
      <w:r>
        <w:rPr>
          <w:i w:val="false"/>
        </w:rPr>
        <w:t>28</w:t>
      </w:r>
      <w:r>
        <w:rPr>
          <w:i w:val="false"/>
        </w:rPr>
        <w:t>日</w:t>
      </w:r>
      <w:r>
        <w:rPr>
          <w:i w:val="false"/>
        </w:rPr>
        <w:t>)</w:t>
      </w:r>
    </w:p>
    <w:p>
      <w:pPr>
        <w:pStyle w:val="Style13"/>
        <w:spacing w:lineRule="atLeast" w:line="370"/>
        <w:ind w:left="0" w:hanging="0"/>
        <w:jc w:val="center"/>
        <w:rPr>
          <w:i w:val="false"/>
          <w:i w:val="false"/>
        </w:rPr>
      </w:pPr>
      <w:r>
        <w:rPr>
          <w:i w:val="false"/>
        </w:rPr>
        <w:t>因牽涉公眾活動而被捕及檢控的人士的數字</w:t>
      </w:r>
    </w:p>
    <w:p>
      <w:pPr>
        <w:pStyle w:val="Style13"/>
        <w:spacing w:lineRule="atLeast" w:line="370"/>
        <w:ind w:left="0" w:hanging="0"/>
        <w:jc w:val="center"/>
        <w:rPr>
          <w:i w:val="false"/>
          <w:i w:val="false"/>
        </w:rPr>
      </w:pPr>
      <w:r>
        <w:rPr>
          <w:i w:val="false"/>
        </w:rPr>
      </w:r>
    </w:p>
    <w:tbl>
      <w:tblPr>
        <w:tblStyle w:val="a9"/>
        <w:tblW w:w="9224" w:type="dxa"/>
        <w:jc w:val="left"/>
        <w:tblInd w:w="0" w:type="dxa"/>
        <w:tblCellMar>
          <w:top w:w="0" w:type="dxa"/>
          <w:left w:w="108" w:type="dxa"/>
          <w:bottom w:w="0" w:type="dxa"/>
          <w:right w:w="108" w:type="dxa"/>
        </w:tblCellMar>
        <w:tblLook w:val="01e0" w:noHBand="0" w:noVBand="0" w:firstColumn="1" w:lastRow="1" w:lastColumn="1" w:firstRow="1"/>
      </w:tblPr>
      <w:tblGrid>
        <w:gridCol w:w="2305"/>
        <w:gridCol w:w="2306"/>
        <w:gridCol w:w="2307"/>
        <w:gridCol w:w="2305"/>
      </w:tblGrid>
      <w:tr>
        <w:trPr>
          <w:tblHeader w:val="true"/>
        </w:trPr>
        <w:tc>
          <w:tcPr>
            <w:tcW w:w="2305" w:type="dxa"/>
            <w:tcBorders/>
          </w:tcPr>
          <w:p>
            <w:pPr>
              <w:pStyle w:val="Style13"/>
              <w:tabs>
                <w:tab w:val="left" w:pos="480" w:leader="none"/>
                <w:tab w:val="left" w:pos="567" w:leader="none"/>
              </w:tabs>
              <w:spacing w:lineRule="atLeast" w:line="370"/>
              <w:ind w:left="57" w:right="57" w:hanging="0"/>
              <w:rPr>
                <w:i w:val="false"/>
                <w:i w:val="false"/>
              </w:rPr>
            </w:pPr>
            <w:r>
              <w:rPr>
                <w:i w:val="false"/>
              </w:rPr>
            </w:r>
          </w:p>
        </w:tc>
        <w:tc>
          <w:tcPr>
            <w:tcW w:w="2306" w:type="dxa"/>
            <w:tcBorders/>
            <w:vAlign w:val="center"/>
          </w:tcPr>
          <w:p>
            <w:pPr>
              <w:pStyle w:val="Style13"/>
              <w:tabs>
                <w:tab w:val="left" w:pos="480" w:leader="none"/>
                <w:tab w:val="left" w:pos="567" w:leader="none"/>
              </w:tabs>
              <w:spacing w:lineRule="atLeast" w:line="370"/>
              <w:ind w:left="57" w:right="57" w:hanging="0"/>
              <w:jc w:val="center"/>
              <w:rPr/>
            </w:pPr>
            <w:r>
              <w:rPr/>
              <w:t>2013</w:t>
            </w:r>
            <w:r>
              <w:rPr/>
              <w:t>年</w:t>
            </w:r>
          </w:p>
        </w:tc>
        <w:tc>
          <w:tcPr>
            <w:tcW w:w="2307" w:type="dxa"/>
            <w:tcBorders/>
            <w:vAlign w:val="center"/>
          </w:tcPr>
          <w:p>
            <w:pPr>
              <w:pStyle w:val="Style13"/>
              <w:tabs>
                <w:tab w:val="left" w:pos="480" w:leader="none"/>
                <w:tab w:val="left" w:pos="567" w:leader="none"/>
              </w:tabs>
              <w:spacing w:lineRule="atLeast" w:line="370"/>
              <w:ind w:left="57" w:right="57" w:hanging="0"/>
              <w:jc w:val="center"/>
              <w:rPr/>
            </w:pPr>
            <w:r>
              <w:rPr/>
              <w:t>2014</w:t>
            </w:r>
            <w:r>
              <w:rPr/>
              <w:t>年</w:t>
            </w:r>
          </w:p>
        </w:tc>
        <w:tc>
          <w:tcPr>
            <w:tcW w:w="2305" w:type="dxa"/>
            <w:tcBorders/>
            <w:vAlign w:val="center"/>
          </w:tcPr>
          <w:p>
            <w:pPr>
              <w:pStyle w:val="Style13"/>
              <w:tabs>
                <w:tab w:val="left" w:pos="480" w:leader="none"/>
                <w:tab w:val="left" w:pos="567" w:leader="none"/>
              </w:tabs>
              <w:spacing w:lineRule="atLeast" w:line="370"/>
              <w:ind w:left="57" w:right="57" w:hanging="0"/>
              <w:jc w:val="center"/>
              <w:rPr/>
            </w:pPr>
            <w:r>
              <w:rPr/>
              <w:t>2015</w:t>
            </w:r>
            <w:r>
              <w:rPr/>
              <w:t>年</w:t>
            </w:r>
          </w:p>
          <w:p>
            <w:pPr>
              <w:pStyle w:val="Style13"/>
              <w:tabs>
                <w:tab w:val="left" w:pos="480" w:leader="none"/>
                <w:tab w:val="left" w:pos="567" w:leader="none"/>
              </w:tabs>
              <w:spacing w:lineRule="atLeast" w:line="370"/>
              <w:ind w:left="57" w:right="57" w:hanging="0"/>
              <w:jc w:val="center"/>
              <w:rPr/>
            </w:pPr>
            <w:r>
              <w:rPr/>
              <w:t>(</w:t>
            </w:r>
            <w:r>
              <w:rPr/>
              <w:t>截至</w:t>
            </w:r>
            <w:r>
              <w:rPr/>
              <w:t>2</w:t>
            </w:r>
            <w:r>
              <w:rPr/>
              <w:t>月</w:t>
            </w:r>
            <w:r>
              <w:rPr/>
              <w:t>28</w:t>
            </w:r>
            <w:r>
              <w:rPr/>
              <w:t>日</w:t>
            </w:r>
            <w:r>
              <w:rPr/>
              <w:t>)</w:t>
            </w:r>
          </w:p>
        </w:tc>
      </w:tr>
      <w:tr>
        <w:trPr/>
        <w:tc>
          <w:tcPr>
            <w:tcW w:w="2305" w:type="dxa"/>
            <w:tcBorders/>
          </w:tcPr>
          <w:p>
            <w:pPr>
              <w:pStyle w:val="Style13"/>
              <w:tabs>
                <w:tab w:val="left" w:pos="480" w:leader="none"/>
                <w:tab w:val="left" w:pos="567" w:leader="none"/>
              </w:tabs>
              <w:spacing w:lineRule="atLeast" w:line="370"/>
              <w:ind w:left="57" w:right="57" w:hanging="0"/>
              <w:rPr>
                <w:i w:val="false"/>
                <w:i w:val="false"/>
              </w:rPr>
            </w:pPr>
            <w:r>
              <w:rPr>
                <w:i w:val="false"/>
              </w:rPr>
              <w:t>公眾活動宗數</w:t>
            </w:r>
          </w:p>
        </w:tc>
        <w:tc>
          <w:tcPr>
            <w:tcW w:w="2306" w:type="dxa"/>
            <w:tcBorders/>
            <w:vAlign w:val="center"/>
          </w:tcPr>
          <w:p>
            <w:pPr>
              <w:pStyle w:val="Style13"/>
              <w:tabs>
                <w:tab w:val="left" w:pos="480" w:leader="none"/>
                <w:tab w:val="left" w:pos="567" w:leader="none"/>
              </w:tabs>
              <w:spacing w:lineRule="atLeast" w:line="370"/>
              <w:ind w:left="57" w:right="57" w:hanging="0"/>
              <w:jc w:val="center"/>
              <w:rPr>
                <w:i w:val="false"/>
                <w:i w:val="false"/>
              </w:rPr>
            </w:pPr>
            <w:r>
              <w:rPr>
                <w:i w:val="false"/>
              </w:rPr>
              <w:t>6 166</w:t>
            </w:r>
          </w:p>
        </w:tc>
        <w:tc>
          <w:tcPr>
            <w:tcW w:w="2307" w:type="dxa"/>
            <w:tcBorders/>
            <w:vAlign w:val="center"/>
          </w:tcPr>
          <w:p>
            <w:pPr>
              <w:pStyle w:val="Style13"/>
              <w:tabs>
                <w:tab w:val="left" w:pos="480" w:leader="none"/>
                <w:tab w:val="left" w:pos="567" w:leader="none"/>
              </w:tabs>
              <w:spacing w:lineRule="atLeast" w:line="370"/>
              <w:ind w:left="57" w:right="57" w:hanging="0"/>
              <w:jc w:val="center"/>
              <w:rPr>
                <w:i w:val="false"/>
                <w:i w:val="false"/>
              </w:rPr>
            </w:pPr>
            <w:r>
              <w:rPr>
                <w:i w:val="false"/>
              </w:rPr>
              <w:t>6 818</w:t>
            </w:r>
          </w:p>
        </w:tc>
        <w:tc>
          <w:tcPr>
            <w:tcW w:w="2305" w:type="dxa"/>
            <w:tcBorders/>
            <w:vAlign w:val="center"/>
          </w:tcPr>
          <w:p>
            <w:pPr>
              <w:pStyle w:val="Style13"/>
              <w:tabs>
                <w:tab w:val="left" w:pos="480" w:leader="none"/>
                <w:tab w:val="left" w:pos="567" w:leader="none"/>
              </w:tabs>
              <w:spacing w:lineRule="atLeast" w:line="370"/>
              <w:ind w:left="57" w:right="57" w:hanging="0"/>
              <w:jc w:val="center"/>
              <w:rPr>
                <w:i w:val="false"/>
                <w:i w:val="false"/>
              </w:rPr>
            </w:pPr>
            <w:r>
              <w:rPr>
                <w:i w:val="false"/>
              </w:rPr>
              <w:t>891</w:t>
            </w:r>
          </w:p>
        </w:tc>
      </w:tr>
      <w:tr>
        <w:trPr/>
        <w:tc>
          <w:tcPr>
            <w:tcW w:w="2305" w:type="dxa"/>
            <w:tcBorders/>
          </w:tcPr>
          <w:p>
            <w:pPr>
              <w:pStyle w:val="Style13"/>
              <w:tabs>
                <w:tab w:val="left" w:pos="480" w:leader="none"/>
                <w:tab w:val="left" w:pos="567" w:leader="none"/>
              </w:tabs>
              <w:spacing w:lineRule="atLeast" w:line="370"/>
              <w:ind w:left="57" w:right="57" w:hanging="0"/>
              <w:rPr>
                <w:i w:val="false"/>
                <w:i w:val="false"/>
              </w:rPr>
            </w:pPr>
            <w:r>
              <w:rPr>
                <w:i w:val="false"/>
              </w:rPr>
              <w:t>涉及有檢控的公眾活動宗數</w:t>
            </w:r>
          </w:p>
        </w:tc>
        <w:tc>
          <w:tcPr>
            <w:tcW w:w="2306" w:type="dxa"/>
            <w:tcBorders/>
            <w:vAlign w:val="center"/>
          </w:tcPr>
          <w:p>
            <w:pPr>
              <w:pStyle w:val="Style13"/>
              <w:tabs>
                <w:tab w:val="left" w:pos="480" w:leader="none"/>
                <w:tab w:val="left" w:pos="567" w:leader="none"/>
              </w:tabs>
              <w:spacing w:lineRule="atLeast" w:line="370"/>
              <w:ind w:left="454" w:right="57" w:hanging="0"/>
              <w:jc w:val="center"/>
              <w:rPr>
                <w:i w:val="false"/>
                <w:i w:val="false"/>
              </w:rPr>
            </w:pPr>
            <w:r>
              <w:rPr>
                <w:i w:val="false"/>
              </w:rPr>
              <w:t>29</w:t>
            </w:r>
          </w:p>
        </w:tc>
        <w:tc>
          <w:tcPr>
            <w:tcW w:w="2307" w:type="dxa"/>
            <w:tcBorders/>
            <w:vAlign w:val="center"/>
          </w:tcPr>
          <w:p>
            <w:pPr>
              <w:pStyle w:val="Style13"/>
              <w:tabs>
                <w:tab w:val="left" w:pos="480" w:leader="none"/>
                <w:tab w:val="left" w:pos="567" w:leader="none"/>
              </w:tabs>
              <w:spacing w:lineRule="atLeast" w:line="370"/>
              <w:ind w:left="482" w:right="57" w:hanging="0"/>
              <w:jc w:val="center"/>
              <w:rPr>
                <w:i w:val="false"/>
                <w:i w:val="false"/>
              </w:rPr>
            </w:pPr>
            <w:r>
              <w:rPr>
                <w:i w:val="false"/>
              </w:rPr>
              <w:t>48</w:t>
            </w:r>
          </w:p>
        </w:tc>
        <w:tc>
          <w:tcPr>
            <w:tcW w:w="2305" w:type="dxa"/>
            <w:tcBorders/>
            <w:vAlign w:val="center"/>
          </w:tcPr>
          <w:p>
            <w:pPr>
              <w:pStyle w:val="Style13"/>
              <w:tabs>
                <w:tab w:val="left" w:pos="480" w:leader="none"/>
                <w:tab w:val="left" w:pos="567" w:leader="none"/>
              </w:tabs>
              <w:spacing w:lineRule="atLeast" w:line="370"/>
              <w:ind w:left="340" w:right="57" w:hanging="0"/>
              <w:jc w:val="center"/>
              <w:rPr>
                <w:i w:val="false"/>
                <w:i w:val="false"/>
              </w:rPr>
            </w:pPr>
            <w:r>
              <w:rPr>
                <w:i w:val="false"/>
              </w:rPr>
              <w:t>4</w:t>
            </w:r>
          </w:p>
        </w:tc>
      </w:tr>
      <w:tr>
        <w:trPr/>
        <w:tc>
          <w:tcPr>
            <w:tcW w:w="2305" w:type="dxa"/>
            <w:tcBorders/>
          </w:tcPr>
          <w:p>
            <w:pPr>
              <w:pStyle w:val="Style13"/>
              <w:tabs>
                <w:tab w:val="left" w:pos="480" w:leader="none"/>
                <w:tab w:val="left" w:pos="567" w:leader="none"/>
              </w:tabs>
              <w:spacing w:lineRule="atLeast" w:line="366"/>
              <w:ind w:left="57" w:right="57" w:hanging="0"/>
              <w:rPr>
                <w:i w:val="false"/>
                <w:i w:val="false"/>
              </w:rPr>
            </w:pPr>
            <w:r>
              <w:rPr>
                <w:i w:val="false"/>
              </w:rPr>
              <w:t>因涉及該年份的公眾活動而被拘捕的示威人士數目</w:t>
            </w:r>
          </w:p>
        </w:tc>
        <w:tc>
          <w:tcPr>
            <w:tcW w:w="2306" w:type="dxa"/>
            <w:tcBorders/>
            <w:vAlign w:val="center"/>
          </w:tcPr>
          <w:p>
            <w:pPr>
              <w:pStyle w:val="Style13"/>
              <w:tabs>
                <w:tab w:val="left" w:pos="480" w:leader="none"/>
                <w:tab w:val="left" w:pos="567" w:leader="none"/>
              </w:tabs>
              <w:spacing w:lineRule="atLeast" w:line="366"/>
              <w:ind w:left="454" w:right="57" w:hanging="0"/>
              <w:jc w:val="center"/>
              <w:rPr>
                <w:i w:val="false"/>
                <w:i w:val="false"/>
              </w:rPr>
            </w:pPr>
            <w:r>
              <w:rPr>
                <w:i w:val="false"/>
              </w:rPr>
              <w:t>82</w:t>
            </w:r>
          </w:p>
        </w:tc>
        <w:tc>
          <w:tcPr>
            <w:tcW w:w="2307" w:type="dxa"/>
            <w:tcBorders/>
            <w:vAlign w:val="center"/>
          </w:tcPr>
          <w:p>
            <w:pPr>
              <w:pStyle w:val="Style13"/>
              <w:tabs>
                <w:tab w:val="left" w:pos="480" w:leader="none"/>
                <w:tab w:val="left" w:pos="567" w:leader="none"/>
              </w:tabs>
              <w:spacing w:lineRule="atLeast" w:line="366"/>
              <w:ind w:left="57" w:right="57" w:hanging="0"/>
              <w:jc w:val="center"/>
              <w:rPr>
                <w:i w:val="false"/>
                <w:i w:val="false"/>
              </w:rPr>
            </w:pPr>
            <w:r>
              <w:rPr>
                <w:i w:val="false"/>
              </w:rPr>
              <w:t>1 726</w:t>
            </w:r>
          </w:p>
        </w:tc>
        <w:tc>
          <w:tcPr>
            <w:tcW w:w="2305" w:type="dxa"/>
            <w:tcBorders/>
            <w:vAlign w:val="center"/>
          </w:tcPr>
          <w:p>
            <w:pPr>
              <w:pStyle w:val="Style13"/>
              <w:tabs>
                <w:tab w:val="left" w:pos="480" w:leader="none"/>
                <w:tab w:val="left" w:pos="567" w:leader="none"/>
              </w:tabs>
              <w:spacing w:lineRule="atLeast" w:line="366"/>
              <w:ind w:left="170" w:right="57" w:hanging="0"/>
              <w:jc w:val="center"/>
              <w:rPr>
                <w:i w:val="false"/>
                <w:i w:val="false"/>
              </w:rPr>
            </w:pPr>
            <w:r>
              <w:rPr>
                <w:i w:val="false"/>
              </w:rPr>
              <w:t>44</w:t>
            </w:r>
          </w:p>
        </w:tc>
      </w:tr>
      <w:tr>
        <w:trPr/>
        <w:tc>
          <w:tcPr>
            <w:tcW w:w="2305" w:type="dxa"/>
            <w:tcBorders/>
          </w:tcPr>
          <w:p>
            <w:pPr>
              <w:pStyle w:val="Style13"/>
              <w:tabs>
                <w:tab w:val="left" w:pos="480" w:leader="none"/>
                <w:tab w:val="left" w:pos="567" w:leader="none"/>
              </w:tabs>
              <w:spacing w:lineRule="atLeast" w:line="366"/>
              <w:ind w:left="57" w:right="57" w:hanging="0"/>
              <w:rPr>
                <w:i w:val="false"/>
                <w:i w:val="false"/>
              </w:rPr>
            </w:pPr>
            <w:r>
              <w:rPr>
                <w:i w:val="false"/>
              </w:rPr>
              <w:t>因涉及該年份的公眾活動而被檢控的示威人士數目</w:t>
            </w:r>
          </w:p>
        </w:tc>
        <w:tc>
          <w:tcPr>
            <w:tcW w:w="2306" w:type="dxa"/>
            <w:tcBorders/>
            <w:vAlign w:val="center"/>
          </w:tcPr>
          <w:p>
            <w:pPr>
              <w:pStyle w:val="Style13"/>
              <w:tabs>
                <w:tab w:val="left" w:pos="480" w:leader="none"/>
                <w:tab w:val="left" w:pos="567" w:leader="none"/>
              </w:tabs>
              <w:spacing w:lineRule="atLeast" w:line="366"/>
              <w:ind w:left="454" w:right="57" w:hanging="0"/>
              <w:jc w:val="center"/>
              <w:rPr>
                <w:i w:val="false"/>
                <w:i w:val="false"/>
              </w:rPr>
            </w:pPr>
            <w:r>
              <w:rPr>
                <w:i w:val="false"/>
              </w:rPr>
              <w:t>41</w:t>
            </w:r>
          </w:p>
        </w:tc>
        <w:tc>
          <w:tcPr>
            <w:tcW w:w="2307" w:type="dxa"/>
            <w:tcBorders/>
            <w:vAlign w:val="center"/>
          </w:tcPr>
          <w:p>
            <w:pPr>
              <w:pStyle w:val="Style13"/>
              <w:tabs>
                <w:tab w:val="left" w:pos="480" w:leader="none"/>
                <w:tab w:val="left" w:pos="567" w:leader="none"/>
              </w:tabs>
              <w:spacing w:lineRule="atLeast" w:line="366"/>
              <w:ind w:left="340" w:right="57" w:hanging="0"/>
              <w:jc w:val="center"/>
              <w:rPr>
                <w:i w:val="false"/>
                <w:i w:val="false"/>
              </w:rPr>
            </w:pPr>
            <w:r>
              <w:rPr>
                <w:i w:val="false"/>
              </w:rPr>
              <w:t>163</w:t>
            </w:r>
          </w:p>
        </w:tc>
        <w:tc>
          <w:tcPr>
            <w:tcW w:w="2305" w:type="dxa"/>
            <w:tcBorders/>
            <w:vAlign w:val="center"/>
          </w:tcPr>
          <w:p>
            <w:pPr>
              <w:pStyle w:val="Style13"/>
              <w:tabs>
                <w:tab w:val="left" w:pos="480" w:leader="none"/>
                <w:tab w:val="left" w:pos="567" w:leader="none"/>
              </w:tabs>
              <w:spacing w:lineRule="atLeast" w:line="366"/>
              <w:ind w:left="170" w:right="57" w:hanging="0"/>
              <w:jc w:val="center"/>
              <w:rPr>
                <w:i w:val="false"/>
                <w:i w:val="false"/>
              </w:rPr>
            </w:pPr>
            <w:r>
              <w:rPr>
                <w:i w:val="false"/>
              </w:rPr>
              <w:t>14</w:t>
            </w:r>
          </w:p>
        </w:tc>
      </w:tr>
      <w:tr>
        <w:trPr/>
        <w:tc>
          <w:tcPr>
            <w:tcW w:w="2305" w:type="dxa"/>
            <w:tcBorders/>
          </w:tcPr>
          <w:p>
            <w:pPr>
              <w:pStyle w:val="Style13"/>
              <w:tabs>
                <w:tab w:val="left" w:pos="480" w:leader="none"/>
                <w:tab w:val="left" w:pos="567" w:leader="none"/>
              </w:tabs>
              <w:spacing w:lineRule="atLeast" w:line="366"/>
              <w:ind w:left="57" w:right="57" w:hanging="0"/>
              <w:rPr>
                <w:i w:val="false"/>
                <w:i w:val="false"/>
              </w:rPr>
            </w:pPr>
            <w:r>
              <w:rPr>
                <w:i w:val="false"/>
              </w:rPr>
              <w:t>所涉及的檢控罪行</w:t>
            </w:r>
          </w:p>
        </w:tc>
        <w:tc>
          <w:tcPr>
            <w:tcW w:w="2306" w:type="dxa"/>
            <w:tcBorders/>
          </w:tcPr>
          <w:p>
            <w:pPr>
              <w:pStyle w:val="Style13"/>
              <w:tabs>
                <w:tab w:val="left" w:pos="480" w:leader="none"/>
                <w:tab w:val="left" w:pos="567" w:leader="none"/>
              </w:tabs>
              <w:spacing w:lineRule="atLeast" w:line="366"/>
              <w:ind w:left="57" w:right="57" w:hanging="0"/>
              <w:rPr>
                <w:i w:val="false"/>
                <w:i w:val="false"/>
              </w:rPr>
            </w:pPr>
            <w:r>
              <w:rPr>
                <w:i w:val="false"/>
              </w:rPr>
              <w:t>普通襲擊、刑事損壞、參與非法集結等</w:t>
            </w:r>
          </w:p>
        </w:tc>
        <w:tc>
          <w:tcPr>
            <w:tcW w:w="2307" w:type="dxa"/>
            <w:tcBorders/>
          </w:tcPr>
          <w:p>
            <w:pPr>
              <w:pStyle w:val="Style13"/>
              <w:tabs>
                <w:tab w:val="left" w:pos="480" w:leader="none"/>
                <w:tab w:val="left" w:pos="567" w:leader="none"/>
              </w:tabs>
              <w:spacing w:lineRule="atLeast" w:line="366"/>
              <w:ind w:left="57" w:right="57" w:hanging="0"/>
              <w:rPr>
                <w:i w:val="false"/>
                <w:i w:val="false"/>
              </w:rPr>
            </w:pPr>
            <w:r>
              <w:rPr>
                <w:i w:val="false"/>
              </w:rPr>
              <w:t>參與非法集結、在公眾地方造成阻礙、藏有攻擊性武器、普通襲擊、襲警等</w:t>
            </w:r>
          </w:p>
        </w:tc>
        <w:tc>
          <w:tcPr>
            <w:tcW w:w="2305" w:type="dxa"/>
            <w:tcBorders/>
          </w:tcPr>
          <w:p>
            <w:pPr>
              <w:pStyle w:val="Style13"/>
              <w:tabs>
                <w:tab w:val="left" w:pos="480" w:leader="none"/>
                <w:tab w:val="left" w:pos="567" w:leader="none"/>
              </w:tabs>
              <w:spacing w:lineRule="atLeast" w:line="366"/>
              <w:ind w:left="57" w:right="57" w:hanging="0"/>
              <w:rPr>
                <w:i w:val="false"/>
                <w:i w:val="false"/>
              </w:rPr>
            </w:pPr>
            <w:r>
              <w:rPr>
                <w:i w:val="false"/>
              </w:rPr>
              <w:t>在公眾地方打鬥、參與非法集結、襲警等</w:t>
            </w:r>
          </w:p>
        </w:tc>
      </w:tr>
    </w:tbl>
    <w:p>
      <w:pPr>
        <w:pStyle w:val="F21"/>
        <w:spacing w:lineRule="atLeast" w:line="366"/>
        <w:rPr>
          <w:rFonts w:cs="Times New Roman"/>
          <w:lang w:val="en-GB"/>
        </w:rPr>
      </w:pPr>
      <w:r>
        <w:rPr>
          <w:rFonts w:cs="Times New Roman"/>
          <w:lang w:val="en-GB"/>
        </w:rPr>
      </w:r>
    </w:p>
    <w:p>
      <w:pPr>
        <w:pStyle w:val="F21"/>
        <w:spacing w:lineRule="atLeast" w:line="366"/>
        <w:rPr>
          <w:rFonts w:cs="Times New Roman"/>
        </w:rPr>
      </w:pPr>
      <w:r>
        <w:rPr>
          <w:rFonts w:cs="Times New Roman"/>
        </w:rPr>
      </w:r>
    </w:p>
    <w:p>
      <w:pPr>
        <w:pStyle w:val="F21"/>
        <w:spacing w:lineRule="atLeast" w:line="366"/>
        <w:rPr>
          <w:rFonts w:eastAsia="華康中黑體" w:cs="Times New Roman"/>
          <w:b/>
          <w:b/>
        </w:rPr>
      </w:pPr>
      <w:bookmarkStart w:id="28" w:name="wrq08"/>
      <w:r>
        <w:rPr>
          <w:rFonts w:cs="Times New Roman" w:eastAsia="華康中黑體"/>
          <w:b/>
        </w:rPr>
        <w:t>發展民宿</w:t>
      </w:r>
    </w:p>
    <w:p>
      <w:pPr>
        <w:pStyle w:val="F21"/>
        <w:spacing w:lineRule="atLeast" w:line="366"/>
        <w:rPr>
          <w:rFonts w:cs="Times New Roman"/>
          <w:b/>
          <w:b/>
          <w:spacing w:val="0"/>
          <w:sz w:val="28"/>
          <w:szCs w:val="26"/>
          <w:lang w:val="en-GB"/>
        </w:rPr>
      </w:pPr>
      <w:bookmarkStart w:id="29" w:name="wrq08"/>
      <w:r>
        <w:rPr>
          <w:rFonts w:cs="Times New Roman"/>
          <w:b/>
          <w:spacing w:val="0"/>
          <w:sz w:val="28"/>
          <w:szCs w:val="26"/>
          <w:lang w:val="en-GB"/>
        </w:rPr>
        <w:t>Development of Home-stay Lodgings</w:t>
      </w:r>
      <w:bookmarkEnd w:id="29"/>
      <w:r>
        <w:rPr>
          <w:rFonts w:cs="Times New Roman"/>
          <w:b/>
          <w:spacing w:val="0"/>
          <w:sz w:val="28"/>
          <w:szCs w:val="26"/>
          <w:lang w:val="en-GB"/>
        </w:rPr>
        <w:t xml:space="preserve"> </w:t>
      </w:r>
    </w:p>
    <w:p>
      <w:pPr>
        <w:pStyle w:val="F21"/>
        <w:spacing w:lineRule="atLeast" w:line="366"/>
        <w:rPr>
          <w:rFonts w:cs="Times New Roman"/>
        </w:rPr>
      </w:pPr>
      <w:r>
        <w:rPr>
          <w:rFonts w:cs="Times New Roman"/>
        </w:rPr>
      </w:r>
    </w:p>
    <w:p>
      <w:pPr>
        <w:pStyle w:val="F21"/>
        <w:spacing w:lineRule="atLeast" w:line="366"/>
        <w:rPr>
          <w:i/>
          <w:i/>
          <w:szCs w:val="27"/>
        </w:rPr>
      </w:pPr>
      <w:r>
        <w:rPr>
          <w:rFonts w:eastAsia="華康中黑體"/>
          <w:b/>
          <w:szCs w:val="27"/>
        </w:rPr>
        <w:t>8.</w:t>
        <w:tab/>
      </w:r>
      <w:r>
        <w:rPr>
          <w:rFonts w:eastAsia="華康中黑體"/>
          <w:b/>
          <w:szCs w:val="27"/>
        </w:rPr>
        <w:t>李慧琼議員</w:t>
      </w:r>
      <w:r>
        <w:rPr>
          <w:szCs w:val="27"/>
        </w:rPr>
        <w:t>：</w:t>
      </w:r>
      <w:r>
        <w:rPr>
          <w:i/>
          <w:szCs w:val="27"/>
        </w:rPr>
        <w:t>主席，有旅遊業人士指出，台灣、日本和英國的經驗顯示，民宿提供另類的旅遊體驗，對當地和境外的旅遊人士均有極大吸引力。民宿既可以在保存人文風貎和不破壞自然環境的前提下，為偏遠地區作出經濟貢獻，也可使旅遊資源更豐富。反觀在香港，用作民宿的處所須遵守與持牌賓館及酒店同樣嚴格的建築物安全及消防安全規定，以致民宿的發展受到窒礙。就此，政府可否告知本會：</w:t>
      </w:r>
    </w:p>
    <w:p>
      <w:pPr>
        <w:pStyle w:val="F21"/>
        <w:spacing w:lineRule="atLeast" w:line="366"/>
        <w:rPr>
          <w:i/>
          <w:i/>
          <w:szCs w:val="27"/>
        </w:rPr>
      </w:pPr>
      <w:r>
        <w:rPr>
          <w:i/>
          <w:szCs w:val="27"/>
        </w:rPr>
      </w:r>
    </w:p>
    <w:p>
      <w:pPr>
        <w:pStyle w:val="Style13"/>
        <w:spacing w:lineRule="atLeast" w:line="366"/>
        <w:rPr/>
      </w:pPr>
      <w:r>
        <w:rPr/>
        <w:t>(</w:t>
      </w:r>
      <w:r>
        <w:rPr/>
        <w:t>一</w:t>
      </w:r>
      <w:r>
        <w:rPr/>
        <w:t>)</w:t>
        <w:tab/>
      </w:r>
      <w:r>
        <w:rPr/>
        <w:t>有否參考其他地方的成功經驗，並研究在香港發展民宿旅遊的可行性，以豐富香港的旅遊資源；若有，詳情為何；若否，原因為何；</w:t>
      </w:r>
    </w:p>
    <w:p>
      <w:pPr>
        <w:pStyle w:val="Style13"/>
        <w:spacing w:lineRule="atLeast" w:line="366"/>
        <w:rPr/>
      </w:pPr>
      <w:r>
        <w:rPr/>
      </w:r>
    </w:p>
    <w:p>
      <w:pPr>
        <w:pStyle w:val="Style13"/>
        <w:spacing w:lineRule="atLeast" w:line="366"/>
        <w:rPr/>
      </w:pPr>
      <w:r>
        <w:rPr/>
        <w:t>(</w:t>
      </w:r>
      <w:r>
        <w:rPr/>
        <w:t>二</w:t>
      </w:r>
      <w:r>
        <w:rPr/>
        <w:t>)</w:t>
        <w:tab/>
      </w:r>
      <w:r>
        <w:rPr/>
        <w:t>會否考慮制定專門法例，為民宿訂立較簡單及寬鬆的發牌規定，以便村屋只須經過簡單的改裝便可用作經營民宿；若會，詳情為何；若否，原因為何；及</w:t>
      </w:r>
    </w:p>
    <w:p>
      <w:pPr>
        <w:pStyle w:val="Style13"/>
        <w:spacing w:lineRule="atLeast" w:line="366"/>
        <w:rPr/>
      </w:pPr>
      <w:r>
        <w:rPr/>
      </w:r>
    </w:p>
    <w:p>
      <w:pPr>
        <w:pStyle w:val="Style13"/>
        <w:spacing w:lineRule="atLeast" w:line="366"/>
        <w:rPr/>
      </w:pPr>
      <w:r>
        <w:rPr/>
        <w:t>(</w:t>
      </w:r>
      <w:r>
        <w:rPr/>
        <w:t>三</w:t>
      </w:r>
      <w:r>
        <w:rPr/>
        <w:t>)</w:t>
        <w:tab/>
      </w:r>
      <w:r>
        <w:rPr/>
        <w:t>會否把民宿旅遊列為新興行業，並制訂政策鼓勵年輕人投身該行業；若會，詳情為何；若否，原因為何？</w:t>
      </w:r>
    </w:p>
    <w:p>
      <w:pPr>
        <w:pStyle w:val="Style13"/>
        <w:snapToGrid w:val="false"/>
        <w:spacing w:lineRule="exact" w:line="20"/>
        <w:ind w:left="0" w:hanging="0"/>
        <w:rPr/>
      </w:pPr>
      <w:r>
        <w:rPr/>
      </w:r>
    </w:p>
    <w:p>
      <w:pPr>
        <w:pStyle w:val="Normal"/>
        <w:widowControl/>
        <w:tabs>
          <w:tab w:val="clear" w:pos="720"/>
        </w:tabs>
        <w:snapToGrid w:val="false"/>
        <w:spacing w:lineRule="exact" w:line="20"/>
        <w:jc w:val="left"/>
        <w:rPr>
          <w:rFonts w:cs="華康細明體"/>
          <w:i/>
          <w:i/>
          <w:spacing w:val="20"/>
          <w:sz w:val="27"/>
          <w:lang w:val="en-US"/>
        </w:rPr>
      </w:pPr>
      <w:r>
        <w:rPr>
          <w:rFonts w:cs="華康細明體"/>
          <w:i/>
          <w:spacing w:val="20"/>
          <w:sz w:val="27"/>
          <w:lang w:val="en-US"/>
        </w:rPr>
      </w:r>
      <w:r>
        <w:br w:type="page"/>
      </w:r>
    </w:p>
    <w:p>
      <w:pPr>
        <w:pStyle w:val="Style13"/>
        <w:ind w:left="0" w:hanging="0"/>
        <w:rPr>
          <w:i w:val="false"/>
          <w:i w:val="false"/>
        </w:rPr>
      </w:pPr>
      <w:r>
        <w:rPr>
          <w:rFonts w:eastAsia="華康中黑體"/>
          <w:b/>
          <w:i w:val="false"/>
          <w:szCs w:val="27"/>
        </w:rPr>
        <w:t>商務及經濟發展局局長</w:t>
      </w:r>
      <w:r>
        <w:rPr>
          <w:i w:val="false"/>
          <w:szCs w:val="27"/>
        </w:rPr>
        <w:t>：主席，</w:t>
      </w:r>
      <w:r>
        <w:rPr>
          <w:i w:val="false"/>
        </w:rPr>
        <w:t>政府理解有意見認為香港可參考海外部分國家或地區的經驗，發展以</w:t>
      </w:r>
      <w:r>
        <w:rPr>
          <w:i w:val="false"/>
          <w:szCs w:val="27"/>
        </w:rPr>
        <w:t>“</w:t>
      </w:r>
      <w:r>
        <w:rPr>
          <w:i w:val="false"/>
        </w:rPr>
        <w:t>民宿</w:t>
      </w:r>
      <w:r>
        <w:rPr>
          <w:i w:val="false"/>
          <w:szCs w:val="27"/>
        </w:rPr>
        <w:t>”</w:t>
      </w:r>
      <w:r>
        <w:rPr>
          <w:i w:val="false"/>
        </w:rPr>
        <w:t>概念為藍本的旅客住宿設施。從旅遊角度而言，發展更多元化的旅客住宿設施有助吸引更多不同類型的旅客訪港，豐富旅客在港的體驗。然而，在地少人多的香港，大前提是任何類型的旅客住宿設施，包括以</w:t>
      </w:r>
      <w:r>
        <w:rPr>
          <w:i w:val="false"/>
          <w:szCs w:val="27"/>
        </w:rPr>
        <w:t>“</w:t>
      </w:r>
      <w:r>
        <w:rPr>
          <w:i w:val="false"/>
        </w:rPr>
        <w:t>民宿</w:t>
      </w:r>
      <w:r>
        <w:rPr>
          <w:i w:val="false"/>
          <w:szCs w:val="27"/>
        </w:rPr>
        <w:t>”</w:t>
      </w:r>
      <w:r>
        <w:rPr>
          <w:i w:val="false"/>
        </w:rPr>
        <w:t>概念為藍本的旅客住宿設施，都必須確保能夠為旅客提供一個安全合適的住宿環境，並受到法例的規管。</w:t>
      </w:r>
    </w:p>
    <w:p>
      <w:pPr>
        <w:pStyle w:val="Style13"/>
        <w:ind w:left="0" w:hanging="0"/>
        <w:rPr>
          <w:i w:val="false"/>
          <w:i w:val="false"/>
        </w:rPr>
      </w:pPr>
      <w:r>
        <w:rPr>
          <w:i w:val="false"/>
        </w:rPr>
      </w:r>
    </w:p>
    <w:p>
      <w:pPr>
        <w:pStyle w:val="Style13"/>
        <w:ind w:left="0" w:hanging="0"/>
        <w:rPr>
          <w:i w:val="false"/>
          <w:i w:val="false"/>
        </w:rPr>
      </w:pPr>
      <w:r>
        <w:rPr>
          <w:i w:val="false"/>
        </w:rPr>
        <w:tab/>
      </w:r>
      <w:r>
        <w:rPr>
          <w:i w:val="false"/>
        </w:rPr>
        <w:t>就李議員的質詢，經統籌民政事務局的資料後，我現綜合答覆如下：</w:t>
      </w:r>
    </w:p>
    <w:p>
      <w:pPr>
        <w:pStyle w:val="Style13"/>
        <w:ind w:left="0" w:hanging="0"/>
        <w:rPr>
          <w:i w:val="false"/>
          <w:i w:val="false"/>
        </w:rPr>
      </w:pPr>
      <w:r>
        <w:rPr>
          <w:i w:val="false"/>
        </w:rPr>
      </w:r>
    </w:p>
    <w:p>
      <w:pPr>
        <w:pStyle w:val="Style13"/>
        <w:rPr>
          <w:i w:val="false"/>
          <w:i w:val="false"/>
        </w:rPr>
      </w:pPr>
      <w:r>
        <w:rPr>
          <w:i w:val="false"/>
        </w:rPr>
        <w:t>(</w:t>
      </w:r>
      <w:r>
        <w:rPr>
          <w:i w:val="false"/>
        </w:rPr>
        <w:t>一</w:t>
      </w:r>
      <w:r>
        <w:rPr>
          <w:i w:val="false"/>
        </w:rPr>
        <w:t>)</w:t>
        <w:tab/>
      </w:r>
      <w:r>
        <w:rPr>
          <w:i w:val="false"/>
        </w:rPr>
        <w:t>有一些海外國家或地區的</w:t>
      </w:r>
      <w:r>
        <w:rPr>
          <w:i w:val="false"/>
          <w:szCs w:val="27"/>
        </w:rPr>
        <w:t>“</w:t>
      </w:r>
      <w:r>
        <w:rPr>
          <w:i w:val="false"/>
        </w:rPr>
        <w:t>民宿</w:t>
      </w:r>
      <w:r>
        <w:rPr>
          <w:i w:val="false"/>
          <w:szCs w:val="27"/>
        </w:rPr>
        <w:t>”</w:t>
      </w:r>
      <w:r>
        <w:rPr>
          <w:i w:val="false"/>
        </w:rPr>
        <w:t>推廣把私人住所分租予旅客，在香港發展以這類</w:t>
      </w:r>
      <w:r>
        <w:rPr>
          <w:i w:val="false"/>
          <w:szCs w:val="27"/>
        </w:rPr>
        <w:t>“</w:t>
      </w:r>
      <w:r>
        <w:rPr>
          <w:i w:val="false"/>
        </w:rPr>
        <w:t>民宿</w:t>
      </w:r>
      <w:r>
        <w:rPr>
          <w:i w:val="false"/>
          <w:szCs w:val="27"/>
        </w:rPr>
        <w:t>”</w:t>
      </w:r>
      <w:r>
        <w:rPr>
          <w:i w:val="false"/>
        </w:rPr>
        <w:t>概念為藍本的旅客住宿設施需要進一步探討。首先，不少外地這類</w:t>
      </w:r>
      <w:r>
        <w:rPr>
          <w:i w:val="false"/>
          <w:szCs w:val="27"/>
        </w:rPr>
        <w:t>“</w:t>
      </w:r>
      <w:r>
        <w:rPr>
          <w:i w:val="false"/>
        </w:rPr>
        <w:t>民宿</w:t>
      </w:r>
      <w:r>
        <w:rPr>
          <w:i w:val="false"/>
          <w:szCs w:val="27"/>
        </w:rPr>
        <w:t>”</w:t>
      </w:r>
      <w:r>
        <w:rPr>
          <w:i w:val="false"/>
        </w:rPr>
        <w:t>位於鄉郊地方，當地的農村、漁村及山村家庭能給予旅客濃厚的鄉土家園的感覺，是發展這類旅客住宿設施的客觀條件和優勢。就香港而言，居住環境相對上述的外地鄉郊地方較為擠迫。從一般村屋或住宅單位騰出部分空間出租予旅客作住宿用途有限，亦須面對消防安全、環境衞生、旅客的人身安全和第三者風險保險等問題，因此要透過類似概念在香港給予旅客一個舒適安全的住宿環境，實行上存在一定的難度。</w:t>
      </w:r>
    </w:p>
    <w:p>
      <w:pPr>
        <w:pStyle w:val="Style13"/>
        <w:rPr>
          <w:i w:val="false"/>
          <w:i w:val="false"/>
        </w:rPr>
      </w:pPr>
      <w:r>
        <w:rPr>
          <w:i w:val="false"/>
        </w:rPr>
      </w:r>
    </w:p>
    <w:p>
      <w:pPr>
        <w:pStyle w:val="Style13"/>
        <w:rPr>
          <w:i w:val="false"/>
          <w:i w:val="false"/>
        </w:rPr>
      </w:pPr>
      <w:r>
        <w:rPr>
          <w:i w:val="false"/>
        </w:rPr>
        <w:t>(</w:t>
      </w:r>
      <w:r>
        <w:rPr>
          <w:i w:val="false"/>
        </w:rPr>
        <w:t>二</w:t>
      </w:r>
      <w:r>
        <w:rPr>
          <w:i w:val="false"/>
        </w:rPr>
        <w:t>)</w:t>
        <w:tab/>
      </w:r>
      <w:r>
        <w:rPr>
          <w:i w:val="false"/>
        </w:rPr>
        <w:t>為保障旅客安全，正如其他持牌酒店和賓館一樣，任何以</w:t>
      </w:r>
      <w:r>
        <w:rPr>
          <w:i w:val="false"/>
          <w:szCs w:val="27"/>
        </w:rPr>
        <w:t>“</w:t>
      </w:r>
      <w:r>
        <w:rPr>
          <w:i w:val="false"/>
        </w:rPr>
        <w:t>民宿</w:t>
      </w:r>
      <w:r>
        <w:rPr>
          <w:i w:val="false"/>
          <w:szCs w:val="27"/>
        </w:rPr>
        <w:t>”</w:t>
      </w:r>
      <w:r>
        <w:rPr>
          <w:i w:val="false"/>
        </w:rPr>
        <w:t>概念為藍本的旅客住宿設施亦應受到法例監管，這亦符合旅客的合理期望。現時，在香港經營旅館，即任何處所的佔用人、東主或租客向到臨該處所的人士提供收費的住宿地方，均受《旅館業條例》</w:t>
      </w:r>
      <w:r>
        <w:rPr>
          <w:i w:val="false"/>
        </w:rPr>
        <w:t>(</w:t>
      </w:r>
      <w:r>
        <w:rPr>
          <w:i w:val="false"/>
        </w:rPr>
        <w:t>第</w:t>
      </w:r>
      <w:r>
        <w:rPr>
          <w:i w:val="false"/>
        </w:rPr>
        <w:t>349</w:t>
      </w:r>
      <w:r>
        <w:rPr>
          <w:i w:val="false"/>
        </w:rPr>
        <w:t>章</w:t>
      </w:r>
      <w:r>
        <w:rPr>
          <w:i w:val="false"/>
        </w:rPr>
        <w:t>)</w:t>
      </w:r>
      <w:r>
        <w:rPr>
          <w:i w:val="false"/>
        </w:rPr>
        <w:t>規管。訂立該條例的目的是透過發牌制度，確保擬用作旅館的處所的樓宇結構和消防安全達至法定標準，保障入住者及公眾安全。</w:t>
      </w:r>
    </w:p>
    <w:p>
      <w:pPr>
        <w:pStyle w:val="Style13"/>
        <w:rPr>
          <w:i w:val="false"/>
          <w:i w:val="false"/>
        </w:rPr>
      </w:pPr>
      <w:r>
        <w:rPr>
          <w:i w:val="false"/>
        </w:rPr>
      </w:r>
    </w:p>
    <w:p>
      <w:pPr>
        <w:pStyle w:val="Style13"/>
        <w:rPr>
          <w:i w:val="false"/>
          <w:i w:val="false"/>
        </w:rPr>
      </w:pPr>
      <w:r>
        <w:rPr>
          <w:i w:val="false"/>
        </w:rPr>
        <w:tab/>
      </w:r>
      <w:r>
        <w:rPr>
          <w:i w:val="false"/>
        </w:rPr>
        <w:t>任何處所的營運模式符合《旅館業條例》</w:t>
      </w:r>
      <w:r>
        <w:rPr>
          <w:i w:val="false"/>
        </w:rPr>
        <w:t>(</w:t>
      </w:r>
      <w:r>
        <w:rPr>
          <w:i w:val="false"/>
        </w:rPr>
        <w:t>第</w:t>
      </w:r>
      <w:r>
        <w:rPr>
          <w:i w:val="false"/>
        </w:rPr>
        <w:t>349</w:t>
      </w:r>
      <w:r>
        <w:rPr>
          <w:i w:val="false"/>
        </w:rPr>
        <w:t>章</w:t>
      </w:r>
      <w:r>
        <w:rPr>
          <w:i w:val="false"/>
        </w:rPr>
        <w:t>)</w:t>
      </w:r>
      <w:r>
        <w:rPr>
          <w:i w:val="false"/>
        </w:rPr>
        <w:t>下</w:t>
      </w:r>
      <w:r>
        <w:rPr>
          <w:i w:val="false"/>
          <w:szCs w:val="27"/>
        </w:rPr>
        <w:t>“</w:t>
      </w:r>
      <w:r>
        <w:rPr>
          <w:i w:val="false"/>
        </w:rPr>
        <w:t>旅館</w:t>
      </w:r>
      <w:r>
        <w:rPr>
          <w:i w:val="false"/>
          <w:szCs w:val="27"/>
        </w:rPr>
        <w:t>”</w:t>
      </w:r>
      <w:r>
        <w:rPr>
          <w:i w:val="false"/>
        </w:rPr>
        <w:t>的釋義，都必須向民政事務總署轄下的牌照事務處</w:t>
      </w:r>
      <w:r>
        <w:rPr>
          <w:i w:val="false"/>
        </w:rPr>
        <w:t>(</w:t>
      </w:r>
      <w:r>
        <w:rPr>
          <w:i w:val="false"/>
          <w:szCs w:val="27"/>
        </w:rPr>
        <w:t>“</w:t>
      </w:r>
      <w:r>
        <w:rPr>
          <w:i w:val="false"/>
        </w:rPr>
        <w:t>牌照處</w:t>
      </w:r>
      <w:r>
        <w:rPr>
          <w:i w:val="false"/>
          <w:szCs w:val="27"/>
        </w:rPr>
        <w:t>”</w:t>
      </w:r>
      <w:r>
        <w:rPr>
          <w:i w:val="false"/>
          <w:szCs w:val="27"/>
        </w:rPr>
        <w:t>)</w:t>
      </w:r>
      <w:r>
        <w:rPr>
          <w:i w:val="false"/>
        </w:rPr>
        <w:t>領取旅館牌照，方可經營，除非該處所每次出租期均為連續</w:t>
      </w:r>
      <w:r>
        <w:rPr>
          <w:i w:val="false"/>
        </w:rPr>
        <w:t>28</w:t>
      </w:r>
      <w:r>
        <w:rPr>
          <w:i w:val="false"/>
        </w:rPr>
        <w:t>天或以上則可獲豁免，不受條例規限。</w:t>
      </w:r>
    </w:p>
    <w:p>
      <w:pPr>
        <w:pStyle w:val="Style13"/>
        <w:rPr>
          <w:i w:val="false"/>
          <w:i w:val="false"/>
        </w:rPr>
      </w:pPr>
      <w:r>
        <w:rPr>
          <w:i w:val="false"/>
        </w:rPr>
      </w:r>
    </w:p>
    <w:p>
      <w:pPr>
        <w:pStyle w:val="Style13"/>
        <w:rPr>
          <w:i w:val="false"/>
          <w:i w:val="false"/>
        </w:rPr>
      </w:pPr>
      <w:r>
        <w:rPr>
          <w:i w:val="false"/>
        </w:rPr>
        <w:tab/>
      </w:r>
      <w:r>
        <w:rPr>
          <w:i w:val="false"/>
        </w:rPr>
        <w:t>根據現行的發牌制度，位於新界並符合《建築物條例</w:t>
      </w:r>
      <w:r>
        <w:rPr>
          <w:i w:val="false"/>
        </w:rPr>
        <w:t>(</w:t>
      </w:r>
      <w:r>
        <w:rPr>
          <w:i w:val="false"/>
        </w:rPr>
        <w:t>新界適用</w:t>
      </w:r>
      <w:r>
        <w:rPr>
          <w:i w:val="false"/>
        </w:rPr>
        <w:t>)</w:t>
      </w:r>
      <w:r>
        <w:rPr>
          <w:i w:val="false"/>
        </w:rPr>
        <w:t>條例》</w:t>
      </w:r>
      <w:r>
        <w:rPr>
          <w:i w:val="false"/>
        </w:rPr>
        <w:t>(</w:t>
      </w:r>
      <w:r>
        <w:rPr>
          <w:i w:val="false"/>
        </w:rPr>
        <w:t>第</w:t>
      </w:r>
      <w:r>
        <w:rPr>
          <w:i w:val="false"/>
        </w:rPr>
        <w:t>121</w:t>
      </w:r>
      <w:r>
        <w:rPr>
          <w:i w:val="false"/>
        </w:rPr>
        <w:t>章</w:t>
      </w:r>
      <w:r>
        <w:rPr>
          <w:i w:val="false"/>
        </w:rPr>
        <w:t>)</w:t>
      </w:r>
      <w:r>
        <w:rPr>
          <w:i w:val="false"/>
        </w:rPr>
        <w:t>規定的新界豁免管制屋宇，如已獲得分區地政處發出的完工證或不反對佔用書，以及符合批約條款可作住用用途，亦可申請旅館牌照。事實上，因應新界鄉村屋的設計和鄉郊獨特的環境，牌照處一直採取靈活及務實的態度，制訂了適用於新界鄉村屋旅館的樓宇及消防安全的基本規定。若收到有關申請，該處會派員實地視察，為個別鄉村屋進行樓宇結構及消防安全評估和審核，訂明適用於個別申請的安全要求。現時，約</w:t>
      </w:r>
      <w:r>
        <w:rPr>
          <w:i w:val="false"/>
        </w:rPr>
        <w:t>120</w:t>
      </w:r>
      <w:r>
        <w:rPr>
          <w:i w:val="false"/>
        </w:rPr>
        <w:t>間位於離島的</w:t>
      </w:r>
      <w:r>
        <w:rPr>
          <w:i w:val="false"/>
          <w:szCs w:val="27"/>
        </w:rPr>
        <w:t>“</w:t>
      </w:r>
      <w:r>
        <w:rPr>
          <w:i w:val="false"/>
        </w:rPr>
        <w:t>度假屋</w:t>
      </w:r>
      <w:r>
        <w:rPr>
          <w:i w:val="false"/>
          <w:szCs w:val="27"/>
        </w:rPr>
        <w:t>”</w:t>
      </w:r>
      <w:r>
        <w:rPr>
          <w:i w:val="false"/>
        </w:rPr>
        <w:t>便是根據以上安排獲發旅館牌照。</w:t>
      </w:r>
    </w:p>
    <w:p>
      <w:pPr>
        <w:pStyle w:val="Style13"/>
        <w:spacing w:lineRule="atLeast" w:line="380"/>
        <w:rPr>
          <w:i w:val="false"/>
          <w:i w:val="false"/>
        </w:rPr>
      </w:pPr>
      <w:r>
        <w:rPr>
          <w:i w:val="false"/>
        </w:rPr>
      </w:r>
    </w:p>
    <w:p>
      <w:pPr>
        <w:pStyle w:val="Style13"/>
        <w:spacing w:lineRule="atLeast" w:line="380"/>
        <w:rPr>
          <w:i w:val="false"/>
          <w:i w:val="false"/>
        </w:rPr>
      </w:pPr>
      <w:r>
        <w:rPr>
          <w:i w:val="false"/>
        </w:rPr>
        <w:tab/>
      </w:r>
      <w:r>
        <w:rPr>
          <w:i w:val="false"/>
        </w:rPr>
        <w:t>據民政事務局理解，在其他司法管轄區，</w:t>
      </w:r>
      <w:r>
        <w:rPr>
          <w:i w:val="false"/>
          <w:szCs w:val="27"/>
        </w:rPr>
        <w:t>“</w:t>
      </w:r>
      <w:r>
        <w:rPr>
          <w:i w:val="false"/>
        </w:rPr>
        <w:t>民宿</w:t>
      </w:r>
      <w:r>
        <w:rPr>
          <w:i w:val="false"/>
          <w:szCs w:val="27"/>
        </w:rPr>
        <w:t>”</w:t>
      </w:r>
      <w:r>
        <w:rPr>
          <w:i w:val="false"/>
        </w:rPr>
        <w:t>或類似供旅客住宿的設施，同樣需要符合當地法規中有關樓宇及消防安全的要求，而有關要求與香港目前適用於</w:t>
      </w:r>
      <w:r>
        <w:rPr>
          <w:i w:val="false"/>
          <w:szCs w:val="27"/>
        </w:rPr>
        <w:t>“</w:t>
      </w:r>
      <w:r>
        <w:rPr>
          <w:i w:val="false"/>
        </w:rPr>
        <w:t>度假屋</w:t>
      </w:r>
      <w:r>
        <w:rPr>
          <w:i w:val="false"/>
          <w:szCs w:val="27"/>
        </w:rPr>
        <w:t>”</w:t>
      </w:r>
      <w:r>
        <w:rPr>
          <w:i w:val="false"/>
        </w:rPr>
        <w:t>的規定大致相若。</w:t>
      </w:r>
    </w:p>
    <w:p>
      <w:pPr>
        <w:pStyle w:val="Style13"/>
        <w:spacing w:lineRule="atLeast" w:line="380"/>
        <w:rPr>
          <w:i w:val="false"/>
          <w:i w:val="false"/>
        </w:rPr>
      </w:pPr>
      <w:r>
        <w:rPr>
          <w:i w:val="false"/>
        </w:rPr>
      </w:r>
    </w:p>
    <w:p>
      <w:pPr>
        <w:pStyle w:val="Style13"/>
        <w:spacing w:lineRule="atLeast" w:line="380"/>
        <w:rPr>
          <w:i w:val="false"/>
          <w:i w:val="false"/>
        </w:rPr>
      </w:pPr>
      <w:r>
        <w:rPr>
          <w:i w:val="false"/>
        </w:rPr>
        <w:t>(</w:t>
      </w:r>
      <w:r>
        <w:rPr>
          <w:i w:val="false"/>
        </w:rPr>
        <w:t>三</w:t>
      </w:r>
      <w:r>
        <w:rPr>
          <w:i w:val="false"/>
        </w:rPr>
        <w:t>)</w:t>
        <w:tab/>
      </w:r>
      <w:r>
        <w:rPr>
          <w:i w:val="false"/>
        </w:rPr>
        <w:t>為支持青年人發展，行政長官在今年的施政報告中提出成立</w:t>
      </w:r>
      <w:r>
        <w:rPr>
          <w:i w:val="false"/>
        </w:rPr>
        <w:t>3</w:t>
      </w:r>
      <w:r>
        <w:rPr>
          <w:i w:val="false"/>
        </w:rPr>
        <w:t>億元的</w:t>
      </w:r>
      <w:r>
        <w:rPr>
          <w:i w:val="false"/>
          <w:szCs w:val="27"/>
        </w:rPr>
        <w:t>“</w:t>
      </w:r>
      <w:r>
        <w:rPr>
          <w:i w:val="false"/>
        </w:rPr>
        <w:t>青年發展基金</w:t>
      </w:r>
      <w:r>
        <w:rPr>
          <w:i w:val="false"/>
          <w:szCs w:val="27"/>
        </w:rPr>
        <w:t>”</w:t>
      </w:r>
      <w:r>
        <w:rPr>
          <w:i w:val="false"/>
        </w:rPr>
        <w:t>，資助現有計劃未能涵蓋的創新青年發展活動，包括以資金配對的形式，和非政府機構合作，支持青年人創業。民政事務局正就有關基金的運作細節</w:t>
      </w:r>
      <w:r>
        <w:rPr>
          <w:i w:val="false"/>
        </w:rPr>
        <w:t>(</w:t>
      </w:r>
      <w:r>
        <w:rPr>
          <w:i w:val="false"/>
        </w:rPr>
        <w:t>例如撥款的申請資格、審批程序及分配優次等</w:t>
      </w:r>
      <w:r>
        <w:rPr>
          <w:i w:val="false"/>
        </w:rPr>
        <w:t>)</w:t>
      </w:r>
      <w:r>
        <w:rPr>
          <w:i w:val="false"/>
        </w:rPr>
        <w:t>徵詢青年事務委員會意見。初步構思，該基金會與不同背景和類型的非政府機構合作，由有關機構負責審批年輕創業者的申請，並為他們提供所需的支援包括配對具相關經驗的導師、提供業務資訊及指導、協助建立營商網絡等。議員提出的建議，民政事務局會與收集到的其他意見一併考慮。</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eastAsia="華康中黑體" w:cs="Times New Roman"/>
          <w:b/>
          <w:b/>
        </w:rPr>
      </w:pPr>
      <w:bookmarkStart w:id="30" w:name="wrq09"/>
      <w:r>
        <w:rPr>
          <w:rFonts w:cs="Times New Roman" w:eastAsia="華康中黑體"/>
          <w:b/>
        </w:rPr>
        <w:t>囚犯保外就醫事宜</w:t>
      </w:r>
    </w:p>
    <w:p>
      <w:pPr>
        <w:pStyle w:val="Normal"/>
        <w:spacing w:lineRule="atLeast" w:line="380"/>
        <w:rPr>
          <w:b/>
          <w:b/>
        </w:rPr>
      </w:pPr>
      <w:bookmarkStart w:id="31" w:name="wrq09"/>
      <w:r>
        <w:rPr>
          <w:b/>
        </w:rPr>
        <w:t>Medical Parole for Prisoners</w:t>
      </w:r>
      <w:bookmarkEnd w:id="31"/>
    </w:p>
    <w:p>
      <w:pPr>
        <w:pStyle w:val="F21"/>
        <w:spacing w:lineRule="atLeast" w:line="380"/>
        <w:rPr>
          <w:rFonts w:cs="Times New Roman"/>
        </w:rPr>
      </w:pPr>
      <w:r>
        <w:rPr>
          <w:rFonts w:cs="Times New Roman"/>
        </w:rPr>
      </w:r>
    </w:p>
    <w:p>
      <w:pPr>
        <w:pStyle w:val="F21"/>
        <w:spacing w:lineRule="atLeast" w:line="380"/>
        <w:rPr>
          <w:i/>
          <w:i/>
          <w:szCs w:val="27"/>
        </w:rPr>
      </w:pPr>
      <w:r>
        <w:rPr>
          <w:rFonts w:eastAsia="華康中黑體"/>
          <w:b/>
          <w:szCs w:val="27"/>
        </w:rPr>
        <w:t>9.</w:t>
        <w:tab/>
      </w:r>
      <w:r>
        <w:rPr>
          <w:rFonts w:eastAsia="華康中黑體"/>
          <w:b/>
          <w:szCs w:val="27"/>
        </w:rPr>
        <w:t>蔣麗芸議員</w:t>
      </w:r>
      <w:r>
        <w:rPr>
          <w:szCs w:val="27"/>
        </w:rPr>
        <w:t>：</w:t>
      </w:r>
      <w:r>
        <w:rPr>
          <w:i/>
          <w:szCs w:val="27"/>
        </w:rPr>
        <w:t>主席，據報，台灣高雄市近日發生一宗囚犯挾持監獄人員作人質的事件，而該等囚犯最終吞槍自盡。該等囚犯提出多項訴求，並指責有關當局審批囚犯保外就醫申請尺度不一。就本港囚犯保外就醫事宜，政府可否告知本會：</w:t>
      </w:r>
    </w:p>
    <w:p>
      <w:pPr>
        <w:pStyle w:val="F21"/>
        <w:spacing w:lineRule="atLeast" w:line="380"/>
        <w:rPr>
          <w:i/>
          <w:i/>
          <w:szCs w:val="27"/>
        </w:rPr>
      </w:pPr>
      <w:r>
        <w:rPr>
          <w:i/>
          <w:szCs w:val="27"/>
        </w:rPr>
      </w:r>
    </w:p>
    <w:p>
      <w:pPr>
        <w:pStyle w:val="Style13"/>
        <w:spacing w:lineRule="atLeast" w:line="380"/>
        <w:rPr/>
      </w:pPr>
      <w:r>
        <w:rPr/>
        <w:t>(</w:t>
      </w:r>
      <w:r>
        <w:rPr/>
        <w:t>一</w:t>
      </w:r>
      <w:r>
        <w:rPr/>
        <w:t>)</w:t>
        <w:tab/>
      </w:r>
      <w:r>
        <w:rPr/>
        <w:t>過去</w:t>
      </w:r>
      <w:r>
        <w:rPr/>
        <w:t>10</w:t>
      </w:r>
      <w:r>
        <w:rPr/>
        <w:t>年，每年香港患有嚴重疾病的囚犯人數，以及當中因而死亡的人數；</w:t>
      </w:r>
      <w:r>
        <w:br w:type="page"/>
      </w:r>
    </w:p>
    <w:p>
      <w:pPr>
        <w:pStyle w:val="Style13"/>
        <w:rPr/>
      </w:pPr>
      <w:r>
        <w:rPr/>
        <w:t>(</w:t>
      </w:r>
      <w:r>
        <w:rPr/>
        <w:t>二</w:t>
      </w:r>
      <w:r>
        <w:rPr/>
        <w:t>)</w:t>
        <w:tab/>
      </w:r>
      <w:r>
        <w:rPr/>
        <w:t>過去</w:t>
      </w:r>
      <w:r>
        <w:rPr/>
        <w:t>10</w:t>
      </w:r>
      <w:r>
        <w:rPr/>
        <w:t>年，每年香港因患嚴重疾病而申請減刑或假釋的囚犯人數，並按申請結果表列分項數字；及</w:t>
      </w:r>
    </w:p>
    <w:p>
      <w:pPr>
        <w:pStyle w:val="Style13"/>
        <w:rPr/>
      </w:pPr>
      <w:r>
        <w:rPr/>
      </w:r>
    </w:p>
    <w:p>
      <w:pPr>
        <w:pStyle w:val="Style13"/>
        <w:rPr/>
      </w:pPr>
      <w:r>
        <w:rPr/>
        <w:t>(</w:t>
      </w:r>
      <w:r>
        <w:rPr/>
        <w:t>三</w:t>
      </w:r>
      <w:r>
        <w:rPr/>
        <w:t>)</w:t>
        <w:tab/>
      </w:r>
      <w:r>
        <w:rPr/>
        <w:t>是否知悉哪些國家或地區的法例訂有囚犯申請保外就醫的條文；香港法例是否容許囚犯基於嚴重疾病申請保外就醫；若否，當局會否參考該等國家或地區的做法，修訂有關的法例？</w:t>
      </w:r>
    </w:p>
    <w:p>
      <w:pPr>
        <w:pStyle w:val="Style13"/>
        <w:rPr/>
      </w:pPr>
      <w:r>
        <w:rPr/>
      </w:r>
    </w:p>
    <w:p>
      <w:pPr>
        <w:pStyle w:val="Style13"/>
        <w:rPr/>
      </w:pPr>
      <w:r>
        <w:rPr/>
      </w:r>
    </w:p>
    <w:p>
      <w:pPr>
        <w:pStyle w:val="Style13"/>
        <w:ind w:left="0" w:hanging="0"/>
        <w:rPr>
          <w:i w:val="false"/>
          <w:i w:val="false"/>
          <w:szCs w:val="27"/>
        </w:rPr>
      </w:pPr>
      <w:r>
        <w:rPr>
          <w:rFonts w:eastAsia="華康中黑體"/>
          <w:b/>
          <w:i w:val="false"/>
          <w:szCs w:val="27"/>
        </w:rPr>
        <w:t>保安局局長</w:t>
      </w:r>
      <w:r>
        <w:rPr>
          <w:i w:val="false"/>
          <w:szCs w:val="27"/>
        </w:rPr>
        <w:t>：主席，就質詢的各部分答覆如下：</w:t>
      </w:r>
    </w:p>
    <w:p>
      <w:pPr>
        <w:pStyle w:val="Style13"/>
        <w:ind w:left="0" w:hanging="0"/>
        <w:rPr>
          <w:i w:val="false"/>
          <w:i w:val="false"/>
          <w:szCs w:val="27"/>
        </w:rPr>
      </w:pPr>
      <w:r>
        <w:rPr>
          <w:i w:val="false"/>
          <w:szCs w:val="27"/>
        </w:rPr>
      </w:r>
    </w:p>
    <w:p>
      <w:pPr>
        <w:pStyle w:val="Style13"/>
        <w:ind w:left="0" w:hanging="0"/>
        <w:rPr>
          <w:i w:val="false"/>
          <w:i w:val="false"/>
          <w:szCs w:val="27"/>
        </w:rPr>
      </w:pPr>
      <w:r>
        <w:rPr>
          <w:i w:val="false"/>
          <w:szCs w:val="27"/>
        </w:rPr>
        <w:tab/>
      </w:r>
      <w:r>
        <w:rPr>
          <w:i w:val="false"/>
          <w:szCs w:val="27"/>
        </w:rPr>
        <w:t>在懲教院所服刑的在囚人士享有一般市民的基本醫療福利。所有懲教院所均設有醫院或診療室，由衞生署派駐的醫生及擁有護理資格的懲教人員提供基本醫療服務。在囚人士如感到身體不適，會獲安排到院所醫院或診療室接受醫生診治。如有需要，他們會被轉介予到診專科醫生或轉送公立醫院專科門診接受診治或留院。院所醫生會跟進有關個案及參考有關專科醫生對該在囚人士作出的診斷、治療方案和預測病情發展的評估。</w:t>
      </w:r>
    </w:p>
    <w:p>
      <w:pPr>
        <w:pStyle w:val="Style13"/>
        <w:ind w:left="0" w:hanging="0"/>
        <w:rPr>
          <w:i w:val="false"/>
          <w:i w:val="false"/>
          <w:szCs w:val="27"/>
        </w:rPr>
      </w:pPr>
      <w:r>
        <w:rPr>
          <w:i w:val="false"/>
          <w:szCs w:val="27"/>
        </w:rPr>
      </w:r>
    </w:p>
    <w:p>
      <w:pPr>
        <w:pStyle w:val="Style13"/>
        <w:ind w:left="0" w:hanging="0"/>
        <w:rPr>
          <w:i w:val="false"/>
          <w:i w:val="false"/>
          <w:szCs w:val="27"/>
        </w:rPr>
      </w:pPr>
      <w:r>
        <w:rPr>
          <w:i w:val="false"/>
          <w:szCs w:val="27"/>
        </w:rPr>
        <w:tab/>
      </w:r>
      <w:r>
        <w:rPr>
          <w:i w:val="false"/>
          <w:szCs w:val="27"/>
        </w:rPr>
        <w:t>至於病情嚴重的個案，如認為任何在囚人士不會存活超過他的刑期，或認為有關在囚人士繼續留在懲教院所會有生命危險，或完全或永遠不適合在懲教院所服刑，院所醫生會在參考相關公立醫院專科醫生的意見後，考慮是否根據《監獄規則》第</w:t>
      </w:r>
      <w:r>
        <w:rPr>
          <w:i w:val="false"/>
          <w:szCs w:val="27"/>
        </w:rPr>
        <w:t>148</w:t>
      </w:r>
      <w:r>
        <w:rPr>
          <w:i w:val="false"/>
          <w:szCs w:val="27"/>
        </w:rPr>
        <w:t>條以書面向懲教署署長提出建議，以便呈交行政長官。行政長官可考慮根據《基本法》第</w:t>
      </w:r>
      <w:r>
        <w:rPr>
          <w:i w:val="false"/>
          <w:szCs w:val="27"/>
        </w:rPr>
        <w:t>48(12)</w:t>
      </w:r>
      <w:r>
        <w:rPr>
          <w:i w:val="false"/>
          <w:szCs w:val="27"/>
        </w:rPr>
        <w:t>條行使職權，赦免或減輕該在囚人士的刑罰。過去</w:t>
      </w:r>
      <w:r>
        <w:rPr>
          <w:i w:val="false"/>
          <w:szCs w:val="27"/>
        </w:rPr>
        <w:t>10</w:t>
      </w:r>
      <w:r>
        <w:rPr>
          <w:i w:val="false"/>
          <w:szCs w:val="27"/>
        </w:rPr>
        <w:t>年</w:t>
      </w:r>
      <w:r>
        <w:rPr>
          <w:i w:val="false"/>
          <w:szCs w:val="27"/>
        </w:rPr>
        <w:t>(2005</w:t>
      </w:r>
      <w:r>
        <w:rPr>
          <w:i w:val="false"/>
          <w:szCs w:val="27"/>
        </w:rPr>
        <w:t>年至</w:t>
      </w:r>
      <w:r>
        <w:rPr>
          <w:i w:val="false"/>
          <w:szCs w:val="27"/>
        </w:rPr>
        <w:t>2014</w:t>
      </w:r>
      <w:r>
        <w:rPr>
          <w:i w:val="false"/>
          <w:szCs w:val="27"/>
        </w:rPr>
        <w:t>年</w:t>
      </w:r>
      <w:r>
        <w:rPr>
          <w:i w:val="false"/>
          <w:szCs w:val="27"/>
        </w:rPr>
        <w:t>)</w:t>
      </w:r>
      <w:r>
        <w:rPr>
          <w:i w:val="false"/>
          <w:szCs w:val="27"/>
        </w:rPr>
        <w:t>，共有</w:t>
      </w:r>
      <w:r>
        <w:rPr>
          <w:i w:val="false"/>
          <w:szCs w:val="27"/>
        </w:rPr>
        <w:t>58</w:t>
      </w:r>
      <w:r>
        <w:rPr>
          <w:i w:val="false"/>
          <w:szCs w:val="27"/>
        </w:rPr>
        <w:t>名在囚人士根據上述安排提早獲釋，當中主要是末期癌症、肝衰竭及腦血管疾病患者。</w:t>
      </w:r>
    </w:p>
    <w:p>
      <w:pPr>
        <w:pStyle w:val="Style13"/>
        <w:ind w:left="0" w:hanging="0"/>
        <w:rPr>
          <w:i w:val="false"/>
          <w:i w:val="false"/>
          <w:szCs w:val="27"/>
        </w:rPr>
      </w:pPr>
      <w:r>
        <w:rPr>
          <w:i w:val="false"/>
          <w:szCs w:val="27"/>
        </w:rPr>
      </w:r>
    </w:p>
    <w:p>
      <w:pPr>
        <w:pStyle w:val="Style13"/>
        <w:ind w:left="0" w:hanging="0"/>
        <w:rPr>
          <w:i w:val="false"/>
          <w:i w:val="false"/>
          <w:szCs w:val="27"/>
        </w:rPr>
      </w:pPr>
      <w:r>
        <w:rPr>
          <w:i w:val="false"/>
          <w:szCs w:val="27"/>
        </w:rPr>
        <w:tab/>
      </w:r>
      <w:r>
        <w:rPr>
          <w:i w:val="false"/>
          <w:szCs w:val="27"/>
        </w:rPr>
        <w:t>《監獄規則》第</w:t>
      </w:r>
      <w:r>
        <w:rPr>
          <w:i w:val="false"/>
          <w:szCs w:val="27"/>
        </w:rPr>
        <w:t>104</w:t>
      </w:r>
      <w:r>
        <w:rPr>
          <w:i w:val="false"/>
          <w:szCs w:val="27"/>
        </w:rPr>
        <w:t>條規定，遇有任何在囚人士死亡，懲教署須立即將事件通知死因裁判官。死因裁判官會就死亡個案在陪審團參與的情況下進行研訊，為每個囚犯死亡個案作調查和總結。根據紀錄，過去</w:t>
      </w:r>
      <w:r>
        <w:rPr>
          <w:i w:val="false"/>
          <w:szCs w:val="27"/>
        </w:rPr>
        <w:t>10</w:t>
      </w:r>
      <w:r>
        <w:rPr>
          <w:i w:val="false"/>
          <w:szCs w:val="27"/>
        </w:rPr>
        <w:t>年</w:t>
      </w:r>
      <w:r>
        <w:rPr>
          <w:i w:val="false"/>
          <w:szCs w:val="27"/>
        </w:rPr>
        <w:t>(2005</w:t>
      </w:r>
      <w:r>
        <w:rPr>
          <w:i w:val="false"/>
          <w:szCs w:val="27"/>
        </w:rPr>
        <w:t>年至</w:t>
      </w:r>
      <w:r>
        <w:rPr>
          <w:i w:val="false"/>
          <w:szCs w:val="27"/>
        </w:rPr>
        <w:t>2014</w:t>
      </w:r>
      <w:r>
        <w:rPr>
          <w:i w:val="false"/>
          <w:szCs w:val="27"/>
        </w:rPr>
        <w:t>年</w:t>
      </w:r>
      <w:r>
        <w:rPr>
          <w:i w:val="false"/>
          <w:szCs w:val="27"/>
        </w:rPr>
        <w:t>)</w:t>
      </w:r>
      <w:r>
        <w:rPr>
          <w:i w:val="false"/>
          <w:szCs w:val="27"/>
        </w:rPr>
        <w:t>在囚人士的死亡個案共有</w:t>
      </w:r>
      <w:r>
        <w:rPr>
          <w:i w:val="false"/>
          <w:szCs w:val="27"/>
        </w:rPr>
        <w:t>178</w:t>
      </w:r>
      <w:r>
        <w:rPr>
          <w:i w:val="false"/>
          <w:szCs w:val="27"/>
        </w:rPr>
        <w:t>宗。</w:t>
      </w:r>
    </w:p>
    <w:p>
      <w:pPr>
        <w:pStyle w:val="Style13"/>
        <w:ind w:left="0" w:hanging="0"/>
        <w:rPr>
          <w:i w:val="false"/>
          <w:i w:val="false"/>
          <w:szCs w:val="27"/>
        </w:rPr>
      </w:pPr>
      <w:r>
        <w:rPr>
          <w:i w:val="false"/>
          <w:szCs w:val="27"/>
        </w:rPr>
      </w:r>
    </w:p>
    <w:p>
      <w:pPr>
        <w:pStyle w:val="Style13"/>
        <w:ind w:left="0" w:hanging="0"/>
        <w:rPr>
          <w:i w:val="false"/>
          <w:i w:val="false"/>
          <w:szCs w:val="27"/>
        </w:rPr>
      </w:pPr>
      <w:r>
        <w:rPr>
          <w:i w:val="false"/>
          <w:szCs w:val="27"/>
        </w:rPr>
        <w:tab/>
      </w:r>
      <w:r>
        <w:rPr>
          <w:i w:val="false"/>
          <w:szCs w:val="27"/>
        </w:rPr>
        <w:t>在現行法例下，合資格的在囚人士可根據《囚犯</w:t>
      </w:r>
      <w:r>
        <w:rPr>
          <w:i w:val="false"/>
          <w:szCs w:val="27"/>
        </w:rPr>
        <w:t>(</w:t>
      </w:r>
      <w:r>
        <w:rPr>
          <w:i w:val="false"/>
          <w:szCs w:val="27"/>
        </w:rPr>
        <w:t>監管下釋放</w:t>
      </w:r>
      <w:r>
        <w:rPr>
          <w:i w:val="false"/>
          <w:szCs w:val="27"/>
        </w:rPr>
        <w:t>)</w:t>
      </w:r>
      <w:r>
        <w:rPr>
          <w:i w:val="false"/>
          <w:szCs w:val="27"/>
        </w:rPr>
        <w:t>條例》下的兩項提早釋放計劃，申請在監獄以外的開放環境服部分監禁刑期。正在服</w:t>
      </w:r>
      <w:r>
        <w:rPr>
          <w:i w:val="false"/>
          <w:szCs w:val="27"/>
        </w:rPr>
        <w:t>3</w:t>
      </w:r>
      <w:r>
        <w:rPr>
          <w:i w:val="false"/>
          <w:szCs w:val="27"/>
        </w:rPr>
        <w:t>年或多於</w:t>
      </w:r>
      <w:r>
        <w:rPr>
          <w:i w:val="false"/>
          <w:szCs w:val="27"/>
        </w:rPr>
        <w:t>3</w:t>
      </w:r>
      <w:r>
        <w:rPr>
          <w:i w:val="false"/>
          <w:szCs w:val="27"/>
        </w:rPr>
        <w:t>年的有限期監禁刑期，而且至少已服滿刑期的一半或</w:t>
      </w:r>
      <w:r>
        <w:rPr>
          <w:i w:val="false"/>
          <w:szCs w:val="27"/>
        </w:rPr>
        <w:t>20</w:t>
      </w:r>
      <w:r>
        <w:rPr>
          <w:i w:val="false"/>
          <w:szCs w:val="27"/>
        </w:rPr>
        <w:t>個月</w:t>
      </w:r>
      <w:r>
        <w:rPr>
          <w:i w:val="false"/>
          <w:szCs w:val="27"/>
        </w:rPr>
        <w:t>(</w:t>
      </w:r>
      <w:r>
        <w:rPr>
          <w:i w:val="false"/>
          <w:szCs w:val="27"/>
        </w:rPr>
        <w:t>以較長者為準</w:t>
      </w:r>
      <w:r>
        <w:rPr>
          <w:i w:val="false"/>
          <w:szCs w:val="27"/>
        </w:rPr>
        <w:t>)</w:t>
      </w:r>
      <w:r>
        <w:rPr>
          <w:i w:val="false"/>
          <w:szCs w:val="27"/>
        </w:rPr>
        <w:t>的合資格在囚人士可按監管下釋放計劃申請提早獲釋；而正在服兩年或多於兩年的有限期監禁刑期，而且在</w:t>
      </w:r>
      <w:r>
        <w:rPr>
          <w:i w:val="false"/>
          <w:szCs w:val="27"/>
        </w:rPr>
        <w:t>6</w:t>
      </w:r>
      <w:r>
        <w:rPr>
          <w:i w:val="false"/>
          <w:szCs w:val="27"/>
        </w:rPr>
        <w:t>個月內便屆最早釋放日期的合資格在囚人士，則可按釋前就業計劃申請提早獲釋。兩項提早釋放計劃的目的是幫助在囚人士早日重投社會，讓他們成為奉公守法的市民。監管下釋囚委員會負責考慮合資格在囚人士的提早釋放申請、訂明監管令中的監管條件、更改或取消該等條件、處理被拒者要求覆核行政長官決定的申請、考慮是否撤銷監管令等，並向政府提出建議。我們沒有就提早釋放計劃的申請人是否患上嚴重疾病而作出統計。</w:t>
      </w:r>
    </w:p>
    <w:p>
      <w:pPr>
        <w:pStyle w:val="Style13"/>
        <w:spacing w:lineRule="atLeast" w:line="370"/>
        <w:ind w:left="0" w:hanging="0"/>
        <w:rPr>
          <w:i w:val="false"/>
          <w:i w:val="false"/>
          <w:szCs w:val="27"/>
        </w:rPr>
      </w:pPr>
      <w:r>
        <w:rPr>
          <w:i w:val="false"/>
          <w:szCs w:val="27"/>
        </w:rPr>
      </w:r>
    </w:p>
    <w:p>
      <w:pPr>
        <w:pStyle w:val="Style13"/>
        <w:spacing w:lineRule="atLeast" w:line="370"/>
        <w:ind w:left="0" w:hanging="0"/>
        <w:rPr>
          <w:i w:val="false"/>
          <w:i w:val="false"/>
          <w:szCs w:val="27"/>
        </w:rPr>
      </w:pPr>
      <w:r>
        <w:rPr>
          <w:i w:val="false"/>
          <w:szCs w:val="27"/>
        </w:rPr>
        <w:tab/>
      </w:r>
      <w:r>
        <w:rPr>
          <w:i w:val="false"/>
          <w:szCs w:val="27"/>
        </w:rPr>
        <w:t>據了解，其他國家或地區處理在囚人士因其健康需要而須離開院所接受診治的做法各有不同。就香港而言，由於在囚人士與一般市民享有同樣的基本醫療福利，包括到公立醫院專科門診接受診治或留院，政府沒有計劃另行設立讓在囚人士單純以健康理由申請提早獲釋的機制。</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eastAsia="華康中黑體" w:cs="Times New Roman"/>
          <w:b/>
          <w:b/>
        </w:rPr>
      </w:pPr>
      <w:bookmarkStart w:id="32" w:name="wrq10"/>
      <w:r>
        <w:rPr>
          <w:rFonts w:cs="Times New Roman" w:eastAsia="華康中黑體"/>
          <w:b/>
        </w:rPr>
        <w:t>區議會的利益申報制度</w:t>
      </w:r>
    </w:p>
    <w:p>
      <w:pPr>
        <w:pStyle w:val="Normal"/>
        <w:spacing w:lineRule="atLeast" w:line="370"/>
        <w:rPr>
          <w:b/>
          <w:b/>
        </w:rPr>
      </w:pPr>
      <w:bookmarkStart w:id="33" w:name="wrq10"/>
      <w:r>
        <w:rPr>
          <w:b/>
        </w:rPr>
        <w:t>System of Declaration of Interests for District Councils</w:t>
      </w:r>
      <w:bookmarkEnd w:id="33"/>
    </w:p>
    <w:p>
      <w:pPr>
        <w:pStyle w:val="F21"/>
        <w:spacing w:lineRule="atLeast" w:line="370"/>
        <w:rPr>
          <w:rFonts w:cs="Times New Roman"/>
        </w:rPr>
      </w:pPr>
      <w:r>
        <w:rPr>
          <w:rFonts w:cs="Times New Roman"/>
        </w:rPr>
      </w:r>
    </w:p>
    <w:p>
      <w:pPr>
        <w:pStyle w:val="F21"/>
        <w:spacing w:lineRule="atLeast" w:line="370"/>
        <w:rPr>
          <w:i/>
          <w:i/>
          <w:szCs w:val="27"/>
        </w:rPr>
      </w:pPr>
      <w:r>
        <w:rPr>
          <w:rFonts w:eastAsia="華康中黑體"/>
          <w:b/>
          <w:szCs w:val="27"/>
        </w:rPr>
        <w:t>10.</w:t>
        <w:tab/>
      </w:r>
      <w:r>
        <w:rPr>
          <w:rFonts w:eastAsia="華康中黑體"/>
          <w:b/>
          <w:szCs w:val="27"/>
        </w:rPr>
        <w:t>何俊仁議員</w:t>
      </w:r>
      <w:r>
        <w:rPr>
          <w:szCs w:val="27"/>
        </w:rPr>
        <w:t>：</w:t>
      </w:r>
      <w:r>
        <w:rPr>
          <w:i/>
          <w:szCs w:val="27"/>
        </w:rPr>
        <w:t>主席，《區議會條例》</w:t>
      </w:r>
      <w:r>
        <w:rPr>
          <w:i/>
          <w:szCs w:val="27"/>
        </w:rPr>
        <w:t>(</w:t>
      </w:r>
      <w:r>
        <w:rPr>
          <w:i/>
          <w:szCs w:val="27"/>
        </w:rPr>
        <w:t>第</w:t>
      </w:r>
      <w:r>
        <w:rPr>
          <w:i/>
          <w:szCs w:val="27"/>
        </w:rPr>
        <w:t>547</w:t>
      </w:r>
      <w:r>
        <w:rPr>
          <w:i/>
          <w:szCs w:val="27"/>
        </w:rPr>
        <w:t>章</w:t>
      </w:r>
      <w:r>
        <w:rPr>
          <w:i/>
          <w:szCs w:val="27"/>
        </w:rPr>
        <w:t>)</w:t>
      </w:r>
      <w:r>
        <w:rPr>
          <w:i/>
          <w:szCs w:val="27"/>
        </w:rPr>
        <w:t>第</w:t>
      </w:r>
      <w:r>
        <w:rPr>
          <w:i/>
          <w:szCs w:val="27"/>
        </w:rPr>
        <w:t>68</w:t>
      </w:r>
      <w:r>
        <w:rPr>
          <w:i/>
          <w:szCs w:val="27"/>
        </w:rPr>
        <w:t>條訂明，“區議會可訂立常規，以規管其程序及其轄下委員會的程序”。據悉，各區議會已根據民政事務總署擬備的《區議會常規範本》</w:t>
      </w:r>
      <w:r>
        <w:rPr>
          <w:i/>
          <w:szCs w:val="27"/>
        </w:rPr>
        <w:t>(“</w:t>
      </w:r>
      <w:r>
        <w:rPr>
          <w:i/>
          <w:szCs w:val="27"/>
        </w:rPr>
        <w:t>《範本》”</w:t>
      </w:r>
      <w:r>
        <w:rPr>
          <w:i/>
          <w:szCs w:val="27"/>
        </w:rPr>
        <w:t>)</w:t>
      </w:r>
      <w:r>
        <w:rPr>
          <w:i/>
          <w:szCs w:val="27"/>
        </w:rPr>
        <w:t>訂立其會議常規，當中均有採納《範本》的以下申報利益條文：區議會主席必須決定，曾就某事項披露利益關係的區議員</w:t>
      </w:r>
      <w:r>
        <w:rPr>
          <w:i/>
          <w:szCs w:val="27"/>
        </w:rPr>
        <w:t>(</w:t>
      </w:r>
      <w:r>
        <w:rPr>
          <w:i/>
          <w:szCs w:val="27"/>
        </w:rPr>
        <w:t>區議會主席除外</w:t>
      </w:r>
      <w:r>
        <w:rPr>
          <w:i/>
          <w:szCs w:val="27"/>
        </w:rPr>
        <w:t>)</w:t>
      </w:r>
      <w:r>
        <w:rPr>
          <w:i/>
          <w:szCs w:val="27"/>
        </w:rPr>
        <w:t>可否就該事項發言或參與表決、可否留在席上旁聽，或應否避席</w:t>
      </w:r>
      <w:r>
        <w:rPr>
          <w:i/>
          <w:szCs w:val="27"/>
        </w:rPr>
        <w:t>(</w:t>
      </w:r>
      <w:r>
        <w:rPr>
          <w:i/>
          <w:szCs w:val="27"/>
        </w:rPr>
        <w:t>如區議會主席曾就某事項披露利益關係，則須由區議會副主席作出有關決定</w:t>
      </w:r>
      <w:r>
        <w:rPr>
          <w:i/>
          <w:szCs w:val="27"/>
        </w:rPr>
        <w:t>)</w:t>
      </w:r>
      <w:r>
        <w:rPr>
          <w:i/>
          <w:szCs w:val="27"/>
        </w:rPr>
        <w:t>。就區議會的利益申報制度，政府可否告知本會：</w:t>
      </w:r>
    </w:p>
    <w:p>
      <w:pPr>
        <w:pStyle w:val="F21"/>
        <w:spacing w:lineRule="atLeast" w:line="370"/>
        <w:rPr>
          <w:i/>
          <w:i/>
          <w:szCs w:val="27"/>
        </w:rPr>
      </w:pPr>
      <w:r>
        <w:rPr>
          <w:i/>
          <w:szCs w:val="27"/>
        </w:rPr>
      </w:r>
    </w:p>
    <w:p>
      <w:pPr>
        <w:pStyle w:val="Style13"/>
        <w:spacing w:lineRule="atLeast" w:line="370"/>
        <w:rPr/>
      </w:pPr>
      <w:r>
        <w:rPr/>
        <w:t>(</w:t>
      </w:r>
      <w:r>
        <w:rPr/>
        <w:t>一</w:t>
      </w:r>
      <w:r>
        <w:rPr/>
        <w:t>)</w:t>
        <w:tab/>
      </w:r>
      <w:r>
        <w:rPr/>
        <w:t>當局是否知悉，現時有否區議會主席依上述條文作出決定時採取以下做法：要求作為公共或私營公司／機構</w:t>
      </w:r>
      <w:r>
        <w:rPr/>
        <w:t>(</w:t>
      </w:r>
      <w:r>
        <w:rPr/>
        <w:t>包括非牟利福利機構</w:t>
      </w:r>
      <w:r>
        <w:rPr/>
        <w:t>)</w:t>
      </w:r>
      <w:r>
        <w:rPr/>
        <w:t>非受薪</w:t>
      </w:r>
      <w:r>
        <w:rPr/>
        <w:t>(</w:t>
      </w:r>
      <w:r>
        <w:rPr/>
        <w:t>即沒有酬金、津貼或其他實惠</w:t>
      </w:r>
      <w:r>
        <w:rPr/>
        <w:t>)</w:t>
      </w:r>
      <w:r>
        <w:rPr/>
        <w:t>董事的區議員，</w:t>
      </w:r>
      <w:r>
        <w:rPr/>
        <w:t>(i)</w:t>
      </w:r>
      <w:r>
        <w:rPr/>
        <w:t>在區議會及其委員會討論與該公司或機構相關的撥款建議時，須披露此關連及／或須避席，以及</w:t>
      </w:r>
      <w:r>
        <w:rPr/>
        <w:t>(ii)</w:t>
      </w:r>
      <w:r>
        <w:rPr/>
        <w:t>不得在有關撥款建議的表決中投票；若有，詳情為何；及</w:t>
      </w:r>
    </w:p>
    <w:p>
      <w:pPr>
        <w:pStyle w:val="Style13"/>
        <w:spacing w:lineRule="atLeast" w:line="370"/>
        <w:rPr/>
      </w:pPr>
      <w:r>
        <w:rPr/>
      </w:r>
    </w:p>
    <w:p>
      <w:pPr>
        <w:pStyle w:val="Style13"/>
        <w:spacing w:lineRule="atLeast" w:line="370"/>
        <w:rPr/>
      </w:pPr>
      <w:r>
        <w:rPr/>
        <w:t>(</w:t>
      </w:r>
      <w:r>
        <w:rPr/>
        <w:t>二</w:t>
      </w:r>
      <w:r>
        <w:rPr/>
        <w:t>)</w:t>
        <w:tab/>
      </w:r>
      <w:r>
        <w:rPr/>
        <w:t>當局會否檢討《範本》內申報利益條文的內容，並將第</w:t>
      </w:r>
      <w:r>
        <w:rPr/>
        <w:t>(</w:t>
      </w:r>
      <w:r>
        <w:rPr/>
        <w:t>一</w:t>
      </w:r>
      <w:r>
        <w:rPr/>
        <w:t>)</w:t>
      </w:r>
      <w:r>
        <w:rPr/>
        <w:t>項提及的做法納入《範本》，以及建議各區議會考慮予以採納；若會，詳情為何；若否，原因為何？</w:t>
      </w:r>
    </w:p>
    <w:p>
      <w:pPr>
        <w:pStyle w:val="Style13"/>
        <w:spacing w:lineRule="exact" w:line="20"/>
        <w:ind w:left="0" w:hanging="0"/>
        <w:rPr/>
      </w:pPr>
      <w:r>
        <w:rPr/>
      </w:r>
    </w:p>
    <w:p>
      <w:pPr>
        <w:pStyle w:val="Normal"/>
        <w:widowControl/>
        <w:tabs>
          <w:tab w:val="clear" w:pos="720"/>
        </w:tabs>
        <w:spacing w:lineRule="exact" w:line="20"/>
        <w:jc w:val="left"/>
        <w:rPr>
          <w:rFonts w:cs="華康細明體"/>
          <w:i/>
          <w:i/>
          <w:spacing w:val="20"/>
          <w:sz w:val="27"/>
          <w:lang w:val="en-US"/>
        </w:rPr>
      </w:pPr>
      <w:r>
        <w:rPr>
          <w:rFonts w:cs="華康細明體"/>
          <w:i/>
          <w:spacing w:val="20"/>
          <w:sz w:val="27"/>
          <w:lang w:val="en-US"/>
        </w:rPr>
      </w:r>
      <w:r>
        <w:br w:type="page"/>
      </w:r>
    </w:p>
    <w:p>
      <w:pPr>
        <w:pStyle w:val="Style13"/>
        <w:ind w:left="0" w:hanging="0"/>
        <w:rPr>
          <w:i w:val="false"/>
          <w:i w:val="false"/>
        </w:rPr>
      </w:pPr>
      <w:r>
        <w:rPr>
          <w:rFonts w:eastAsia="華康中黑體"/>
          <w:b/>
          <w:i w:val="false"/>
          <w:szCs w:val="27"/>
        </w:rPr>
        <w:t>民政事務局局長</w:t>
      </w:r>
      <w:r>
        <w:rPr>
          <w:i w:val="false"/>
          <w:szCs w:val="27"/>
        </w:rPr>
        <w:t>：主席，</w:t>
      </w:r>
      <w:r>
        <w:rPr>
          <w:i w:val="false"/>
        </w:rPr>
        <w:t>為避免利益衝突，民政事務總署參照廉政公署發出的兩層申報利益制度指引，就區議會的運作，制訂相關條文，要求區議員在成為區議員時申報其一般金錢利益或其他實惠，以及在遇有利益衝突時申報。</w:t>
      </w:r>
    </w:p>
    <w:p>
      <w:pPr>
        <w:pStyle w:val="Normal"/>
        <w:rPr>
          <w:spacing w:val="20"/>
          <w:sz w:val="27"/>
        </w:rPr>
      </w:pPr>
      <w:r>
        <w:rPr>
          <w:spacing w:val="20"/>
          <w:sz w:val="27"/>
        </w:rPr>
      </w:r>
    </w:p>
    <w:p>
      <w:pPr>
        <w:pStyle w:val="Normal"/>
        <w:ind w:firstLine="567"/>
        <w:rPr>
          <w:spacing w:val="20"/>
          <w:sz w:val="27"/>
        </w:rPr>
      </w:pPr>
      <w:r>
        <w:rPr>
          <w:spacing w:val="20"/>
          <w:sz w:val="27"/>
        </w:rPr>
        <w:t>十八區區議會均已將有關利益申報條文納入其《區議會常規》內，所有區議員均須遵守。</w:t>
      </w:r>
    </w:p>
    <w:p>
      <w:pPr>
        <w:pStyle w:val="Normal"/>
        <w:rPr>
          <w:spacing w:val="20"/>
          <w:sz w:val="27"/>
        </w:rPr>
      </w:pPr>
      <w:r>
        <w:rPr>
          <w:spacing w:val="20"/>
          <w:sz w:val="27"/>
        </w:rPr>
      </w:r>
    </w:p>
    <w:p>
      <w:pPr>
        <w:pStyle w:val="Normal"/>
        <w:ind w:firstLine="567"/>
        <w:rPr>
          <w:spacing w:val="20"/>
          <w:sz w:val="27"/>
        </w:rPr>
      </w:pPr>
      <w:r>
        <w:rPr>
          <w:spacing w:val="20"/>
          <w:sz w:val="27"/>
        </w:rPr>
        <w:t>兩層申報利益制度是指：</w:t>
      </w:r>
    </w:p>
    <w:p>
      <w:pPr>
        <w:pStyle w:val="Normal"/>
        <w:rPr>
          <w:spacing w:val="20"/>
          <w:sz w:val="27"/>
        </w:rPr>
      </w:pPr>
      <w:r>
        <w:rPr>
          <w:spacing w:val="20"/>
          <w:sz w:val="27"/>
        </w:rPr>
      </w:r>
    </w:p>
    <w:p>
      <w:pPr>
        <w:pStyle w:val="Normal"/>
        <w:ind w:left="1134" w:hanging="567"/>
        <w:rPr>
          <w:spacing w:val="20"/>
          <w:sz w:val="27"/>
        </w:rPr>
      </w:pPr>
      <w:r>
        <w:rPr>
          <w:spacing w:val="20"/>
          <w:sz w:val="27"/>
        </w:rPr>
        <w:t>(i)</w:t>
        <w:tab/>
      </w:r>
      <w:r>
        <w:rPr>
          <w:i/>
          <w:spacing w:val="20"/>
          <w:sz w:val="27"/>
        </w:rPr>
        <w:t>成員個人利益登記冊</w:t>
      </w:r>
    </w:p>
    <w:p>
      <w:pPr>
        <w:pStyle w:val="Normal"/>
        <w:rPr>
          <w:spacing w:val="20"/>
          <w:sz w:val="27"/>
        </w:rPr>
      </w:pPr>
      <w:r>
        <w:rPr>
          <w:spacing w:val="20"/>
          <w:sz w:val="27"/>
        </w:rPr>
      </w:r>
    </w:p>
    <w:p>
      <w:pPr>
        <w:pStyle w:val="Normal"/>
        <w:ind w:left="1134" w:hanging="0"/>
        <w:rPr>
          <w:spacing w:val="20"/>
          <w:sz w:val="27"/>
        </w:rPr>
      </w:pPr>
      <w:r>
        <w:rPr>
          <w:spacing w:val="20"/>
          <w:sz w:val="27"/>
        </w:rPr>
        <w:t>區議員必須向區議會秘書提供個人利益詳情，包括公共或私營公司的受薪東主、合夥人或董事職位；受薪的工作、職位、行業或專業；收受的財政贊助；擁有的土地或物業和其個人、配偶及未成年子女所持有的股份等。</w:t>
      </w:r>
    </w:p>
    <w:p>
      <w:pPr>
        <w:pStyle w:val="Normal"/>
        <w:rPr>
          <w:spacing w:val="20"/>
          <w:sz w:val="27"/>
        </w:rPr>
      </w:pPr>
      <w:r>
        <w:rPr>
          <w:spacing w:val="20"/>
          <w:sz w:val="27"/>
        </w:rPr>
      </w:r>
    </w:p>
    <w:p>
      <w:pPr>
        <w:pStyle w:val="Normal"/>
        <w:ind w:left="1134" w:hanging="567"/>
        <w:rPr>
          <w:spacing w:val="20"/>
          <w:sz w:val="27"/>
        </w:rPr>
      </w:pPr>
      <w:r>
        <w:rPr>
          <w:spacing w:val="20"/>
          <w:sz w:val="27"/>
        </w:rPr>
        <w:t>(ii)</w:t>
        <w:tab/>
      </w:r>
      <w:r>
        <w:rPr>
          <w:i/>
          <w:spacing w:val="20"/>
          <w:sz w:val="27"/>
        </w:rPr>
        <w:t>在會議上申報利益</w:t>
      </w:r>
    </w:p>
    <w:p>
      <w:pPr>
        <w:pStyle w:val="Normal"/>
        <w:rPr>
          <w:spacing w:val="20"/>
          <w:sz w:val="27"/>
        </w:rPr>
      </w:pPr>
      <w:r>
        <w:rPr>
          <w:spacing w:val="20"/>
          <w:sz w:val="27"/>
        </w:rPr>
      </w:r>
    </w:p>
    <w:p>
      <w:pPr>
        <w:pStyle w:val="Normal"/>
        <w:ind w:left="1134" w:hanging="0"/>
        <w:rPr>
          <w:spacing w:val="20"/>
          <w:sz w:val="27"/>
        </w:rPr>
      </w:pPr>
      <w:r>
        <w:rPr>
          <w:spacing w:val="20"/>
          <w:sz w:val="27"/>
        </w:rPr>
        <w:t>如區議員在區議會考慮的任何事項中，包括所處理的投標、報價和區議會撥款，有任何金錢或其他方面的利益關係，或發現與受惠者或可能受惠者有關連，該議員在發覺此事後，必須在討論該事項之前，盡早向區議會申報。主席會決定該區議員可否就有關事項發言或參與表決或應否暫時避席。</w:t>
      </w:r>
    </w:p>
    <w:p>
      <w:pPr>
        <w:pStyle w:val="Normal"/>
        <w:rPr>
          <w:spacing w:val="20"/>
          <w:sz w:val="27"/>
        </w:rPr>
      </w:pPr>
      <w:r>
        <w:rPr>
          <w:spacing w:val="20"/>
          <w:sz w:val="27"/>
        </w:rPr>
      </w:r>
    </w:p>
    <w:p>
      <w:pPr>
        <w:pStyle w:val="Style13"/>
        <w:ind w:left="0" w:hanging="0"/>
        <w:rPr>
          <w:i w:val="false"/>
          <w:i w:val="false"/>
        </w:rPr>
      </w:pPr>
      <w:r>
        <w:rPr>
          <w:i w:val="false"/>
        </w:rPr>
        <w:tab/>
      </w:r>
      <w:r>
        <w:rPr>
          <w:i w:val="false"/>
        </w:rPr>
        <w:t>一般而言，主席會根據區議員所申報的利益，考慮該區議員就有關區議會正處理的事項上是否有潛在或實際的利益衝突，並決定他應否避席、可在席但不投票不討論、不投票但可討論或可投票可討論等方案。</w:t>
      </w:r>
    </w:p>
    <w:p>
      <w:pPr>
        <w:pStyle w:val="Style13"/>
        <w:rPr>
          <w:i w:val="false"/>
          <w:i w:val="false"/>
        </w:rPr>
      </w:pPr>
      <w:r>
        <w:rPr>
          <w:i w:val="false"/>
        </w:rPr>
      </w:r>
    </w:p>
    <w:p>
      <w:pPr>
        <w:pStyle w:val="Style13"/>
        <w:ind w:left="851" w:hanging="851"/>
        <w:rPr>
          <w:i w:val="false"/>
          <w:i w:val="false"/>
        </w:rPr>
      </w:pPr>
      <w:r>
        <w:rPr>
          <w:i w:val="false"/>
        </w:rPr>
        <w:tab/>
      </w:r>
      <w:r>
        <w:rPr>
          <w:i w:val="false"/>
        </w:rPr>
        <w:t>就質詢的兩個部分，我的答覆分別如下：</w:t>
      </w:r>
    </w:p>
    <w:p>
      <w:pPr>
        <w:pStyle w:val="Normal"/>
        <w:rPr>
          <w:spacing w:val="20"/>
          <w:sz w:val="27"/>
        </w:rPr>
      </w:pPr>
      <w:r>
        <w:rPr>
          <w:spacing w:val="20"/>
          <w:sz w:val="27"/>
        </w:rPr>
      </w:r>
    </w:p>
    <w:p>
      <w:pPr>
        <w:pStyle w:val="Style13"/>
        <w:rPr>
          <w:i w:val="false"/>
          <w:i w:val="false"/>
        </w:rPr>
      </w:pPr>
      <w:r>
        <w:rPr>
          <w:i w:val="false"/>
        </w:rPr>
        <w:t>(</w:t>
      </w:r>
      <w:r>
        <w:rPr>
          <w:i w:val="false"/>
        </w:rPr>
        <w:t>一</w:t>
      </w:r>
      <w:r>
        <w:rPr>
          <w:i w:val="false"/>
        </w:rPr>
        <w:t>)</w:t>
        <w:tab/>
      </w:r>
      <w:r>
        <w:rPr>
          <w:i w:val="false"/>
        </w:rPr>
        <w:t>根據</w:t>
      </w:r>
      <w:r>
        <w:rPr>
          <w:i w:val="false"/>
        </w:rPr>
        <w:t>18</w:t>
      </w:r>
      <w:r>
        <w:rPr>
          <w:i w:val="false"/>
        </w:rPr>
        <w:t>區區議會秘書處的紀錄，在</w:t>
      </w:r>
      <w:r>
        <w:rPr>
          <w:i w:val="false"/>
        </w:rPr>
        <w:t>2012</w:t>
      </w:r>
      <w:r>
        <w:rPr>
          <w:i w:val="false"/>
        </w:rPr>
        <w:t>年</w:t>
      </w:r>
      <w:r>
        <w:rPr>
          <w:i w:val="false"/>
        </w:rPr>
        <w:t>1</w:t>
      </w:r>
      <w:r>
        <w:rPr>
          <w:i w:val="false"/>
        </w:rPr>
        <w:t>月至</w:t>
      </w:r>
      <w:r>
        <w:rPr>
          <w:i w:val="false"/>
        </w:rPr>
        <w:t>2015</w:t>
      </w:r>
      <w:r>
        <w:rPr>
          <w:i w:val="false"/>
        </w:rPr>
        <w:t>年</w:t>
      </w:r>
      <w:r>
        <w:rPr>
          <w:i w:val="false"/>
        </w:rPr>
        <w:t>2</w:t>
      </w:r>
      <w:r>
        <w:rPr>
          <w:i w:val="false"/>
        </w:rPr>
        <w:t>月，沒有區議會主席要求區議員，如果作為公共或私營公司</w:t>
      </w:r>
      <w:r>
        <w:rPr>
          <w:i w:val="false"/>
          <w:szCs w:val="27"/>
        </w:rPr>
        <w:t>／</w:t>
      </w:r>
      <w:r>
        <w:rPr>
          <w:i w:val="false"/>
        </w:rPr>
        <w:t>機構</w:t>
      </w:r>
      <w:r>
        <w:rPr>
          <w:i w:val="false"/>
        </w:rPr>
        <w:t>(</w:t>
      </w:r>
      <w:r>
        <w:rPr>
          <w:i w:val="false"/>
        </w:rPr>
        <w:t>包括非牟利福利機構</w:t>
      </w:r>
      <w:r>
        <w:rPr>
          <w:i w:val="false"/>
        </w:rPr>
        <w:t>)</w:t>
      </w:r>
      <w:r>
        <w:rPr>
          <w:i w:val="false"/>
        </w:rPr>
        <w:t>非受薪</w:t>
      </w:r>
      <w:r>
        <w:rPr>
          <w:i w:val="false"/>
        </w:rPr>
        <w:t>(</w:t>
      </w:r>
      <w:r>
        <w:rPr>
          <w:i w:val="false"/>
        </w:rPr>
        <w:t>或沒有酬金、津貼或其他實惠</w:t>
      </w:r>
      <w:r>
        <w:rPr>
          <w:i w:val="false"/>
        </w:rPr>
        <w:t>)</w:t>
      </w:r>
      <w:r>
        <w:rPr>
          <w:i w:val="false"/>
        </w:rPr>
        <w:t>董事，</w:t>
      </w:r>
      <w:r>
        <w:rPr>
          <w:i w:val="false"/>
        </w:rPr>
        <w:t>(i)</w:t>
      </w:r>
      <w:r>
        <w:rPr>
          <w:i w:val="false"/>
        </w:rPr>
        <w:t>在區議會及其委員會討論與該公司或機構相關的撥款建議時，須披露此關連及</w:t>
      </w:r>
      <w:r>
        <w:rPr>
          <w:i w:val="false"/>
          <w:szCs w:val="27"/>
        </w:rPr>
        <w:t>／</w:t>
      </w:r>
      <w:r>
        <w:rPr>
          <w:i w:val="false"/>
        </w:rPr>
        <w:t>或須避席，以及</w:t>
      </w:r>
      <w:r>
        <w:rPr>
          <w:i w:val="false"/>
        </w:rPr>
        <w:t>(ii)</w:t>
      </w:r>
      <w:r>
        <w:rPr>
          <w:i w:val="false"/>
        </w:rPr>
        <w:t>不得在有關撥款建議的表決中投票。</w:t>
      </w:r>
      <w:r>
        <w:br w:type="page"/>
      </w:r>
    </w:p>
    <w:p>
      <w:pPr>
        <w:pStyle w:val="Style13"/>
        <w:rPr>
          <w:i w:val="false"/>
          <w:i w:val="false"/>
        </w:rPr>
      </w:pPr>
      <w:r>
        <w:rPr>
          <w:i w:val="false"/>
        </w:rPr>
        <w:t>(</w:t>
      </w:r>
      <w:r>
        <w:rPr>
          <w:i w:val="false"/>
        </w:rPr>
        <w:t>二</w:t>
      </w:r>
      <w:r>
        <w:rPr>
          <w:i w:val="false"/>
        </w:rPr>
        <w:t>)</w:t>
        <w:tab/>
      </w:r>
      <w:r>
        <w:rPr>
          <w:i w:val="false"/>
        </w:rPr>
        <w:t>《區議會常規範本》</w:t>
      </w:r>
      <w:r>
        <w:rPr>
          <w:i w:val="false"/>
        </w:rPr>
        <w:t>(</w:t>
      </w:r>
      <w:r>
        <w:rPr>
          <w:i w:val="false"/>
          <w:szCs w:val="27"/>
        </w:rPr>
        <w:t>“</w:t>
      </w:r>
      <w:r>
        <w:rPr>
          <w:i w:val="false"/>
          <w:szCs w:val="27"/>
        </w:rPr>
        <w:t>《範本》”</w:t>
      </w:r>
      <w:r>
        <w:rPr>
          <w:i w:val="false"/>
        </w:rPr>
        <w:t>)</w:t>
      </w:r>
      <w:r>
        <w:rPr>
          <w:i w:val="false"/>
        </w:rPr>
        <w:t>的利益申報制度行之有效，也廣為所有區議會接納及熟悉，目前沒有需要檢討《範本》內申報利益的條文。</w:t>
      </w:r>
    </w:p>
    <w:p>
      <w:pPr>
        <w:pStyle w:val="F21"/>
        <w:rPr>
          <w:rFonts w:cs="Times New Roman"/>
        </w:rPr>
      </w:pPr>
      <w:r>
        <w:rPr>
          <w:rFonts w:cs="Times New Roman"/>
        </w:rPr>
      </w:r>
    </w:p>
    <w:p>
      <w:pPr>
        <w:pStyle w:val="F21"/>
        <w:rPr>
          <w:rFonts w:cs="Times New Roman"/>
        </w:rPr>
      </w:pPr>
      <w:r>
        <w:rPr>
          <w:rFonts w:cs="Times New Roman"/>
        </w:rPr>
      </w:r>
    </w:p>
    <w:p>
      <w:pPr>
        <w:pStyle w:val="F21"/>
        <w:rPr>
          <w:rFonts w:eastAsia="華康中黑體" w:cs="Times New Roman"/>
          <w:b/>
          <w:b/>
        </w:rPr>
      </w:pPr>
      <w:bookmarkStart w:id="34" w:name="wrq11"/>
      <w:r>
        <w:rPr>
          <w:rFonts w:cs="Times New Roman" w:eastAsia="華康中黑體"/>
          <w:b/>
        </w:rPr>
        <w:t>建造業機電工程技術人員的短缺情況</w:t>
      </w:r>
    </w:p>
    <w:p>
      <w:pPr>
        <w:pStyle w:val="Normal"/>
        <w:rPr>
          <w:b/>
          <w:b/>
        </w:rPr>
      </w:pPr>
      <w:bookmarkStart w:id="35" w:name="wrq11"/>
      <w:r>
        <w:rPr>
          <w:b/>
        </w:rPr>
        <w:t>Shortage of Technical Personnel Engaged in Electrical and Mechanical Works Under Construction Industry</w:t>
      </w:r>
      <w:bookmarkEnd w:id="35"/>
    </w:p>
    <w:p>
      <w:pPr>
        <w:pStyle w:val="F21"/>
        <w:rPr>
          <w:rFonts w:cs="Times New Roman"/>
        </w:rPr>
      </w:pPr>
      <w:r>
        <w:rPr>
          <w:rFonts w:cs="Times New Roman"/>
        </w:rPr>
      </w:r>
    </w:p>
    <w:p>
      <w:pPr>
        <w:pStyle w:val="F21"/>
        <w:overflowPunct w:val="true"/>
        <w:rPr>
          <w:i/>
          <w:i/>
          <w:szCs w:val="27"/>
        </w:rPr>
      </w:pPr>
      <w:r>
        <w:rPr>
          <w:rFonts w:eastAsia="華康中黑體"/>
          <w:b/>
          <w:szCs w:val="27"/>
        </w:rPr>
        <w:t>11.</w:t>
        <w:tab/>
      </w:r>
      <w:r>
        <w:rPr>
          <w:rFonts w:ascii="華康中黑體" w:hAnsi="華康中黑體" w:eastAsia="華康中黑體"/>
          <w:b/>
          <w:szCs w:val="27"/>
        </w:rPr>
        <w:t>郭偉强</w:t>
      </w:r>
      <w:r>
        <w:rPr>
          <w:rFonts w:eastAsia="華康中黑體"/>
          <w:b/>
          <w:szCs w:val="27"/>
        </w:rPr>
        <w:t>議員</w:t>
      </w:r>
      <w:r>
        <w:rPr>
          <w:szCs w:val="27"/>
        </w:rPr>
        <w:t>：</w:t>
      </w:r>
      <w:r>
        <w:rPr>
          <w:i/>
          <w:szCs w:val="27"/>
        </w:rPr>
        <w:t>主席，據報，勞工及福利局局長近日表示，現時本港每年欠缺</w:t>
      </w:r>
      <w:r>
        <w:rPr>
          <w:i/>
          <w:szCs w:val="27"/>
        </w:rPr>
        <w:t>1</w:t>
      </w:r>
      <w:r>
        <w:rPr>
          <w:i/>
          <w:szCs w:val="27"/>
        </w:rPr>
        <w:t>萬至</w:t>
      </w:r>
      <w:r>
        <w:rPr>
          <w:i/>
          <w:szCs w:val="27"/>
        </w:rPr>
        <w:t>1.5</w:t>
      </w:r>
      <w:r>
        <w:rPr>
          <w:i/>
          <w:szCs w:val="27"/>
        </w:rPr>
        <w:t>萬名建造業技術工人。就本港建造業機電工程技術人員的短缺情況，政府可否告知本會：</w:t>
      </w:r>
    </w:p>
    <w:p>
      <w:pPr>
        <w:pStyle w:val="F21"/>
        <w:overflowPunct w:val="true"/>
        <w:rPr>
          <w:i/>
          <w:i/>
          <w:szCs w:val="27"/>
        </w:rPr>
      </w:pPr>
      <w:r>
        <w:rPr>
          <w:i/>
          <w:szCs w:val="27"/>
        </w:rPr>
      </w:r>
    </w:p>
    <w:p>
      <w:pPr>
        <w:pStyle w:val="Style13"/>
        <w:overflowPunct w:val="true"/>
        <w:rPr>
          <w:szCs w:val="27"/>
        </w:rPr>
      </w:pPr>
      <w:r>
        <w:rPr>
          <w:szCs w:val="27"/>
        </w:rPr>
        <w:t>(</w:t>
      </w:r>
      <w:r>
        <w:rPr>
          <w:szCs w:val="27"/>
        </w:rPr>
        <w:t>一</w:t>
      </w:r>
      <w:r>
        <w:rPr>
          <w:szCs w:val="27"/>
        </w:rPr>
        <w:t>)</w:t>
        <w:tab/>
      </w:r>
      <w:r>
        <w:rPr>
          <w:szCs w:val="27"/>
        </w:rPr>
        <w:t>當局根據甚麼準則計算出上述數目；</w:t>
      </w:r>
    </w:p>
    <w:p>
      <w:pPr>
        <w:pStyle w:val="Style13"/>
        <w:overflowPunct w:val="true"/>
        <w:rPr>
          <w:szCs w:val="27"/>
        </w:rPr>
      </w:pPr>
      <w:r>
        <w:rPr>
          <w:szCs w:val="27"/>
        </w:rPr>
      </w:r>
    </w:p>
    <w:p>
      <w:pPr>
        <w:pStyle w:val="Style13"/>
        <w:overflowPunct w:val="true"/>
        <w:rPr>
          <w:szCs w:val="27"/>
        </w:rPr>
      </w:pPr>
      <w:r>
        <w:rPr>
          <w:szCs w:val="27"/>
        </w:rPr>
        <w:t>(</w:t>
      </w:r>
      <w:r>
        <w:rPr>
          <w:szCs w:val="27"/>
        </w:rPr>
        <w:t>二</w:t>
      </w:r>
      <w:r>
        <w:rPr>
          <w:szCs w:val="27"/>
        </w:rPr>
        <w:t>)</w:t>
        <w:tab/>
      </w:r>
      <w:r>
        <w:rPr>
          <w:szCs w:val="27"/>
        </w:rPr>
        <w:t>過去</w:t>
      </w:r>
      <w:r>
        <w:rPr>
          <w:szCs w:val="27"/>
        </w:rPr>
        <w:t>5</w:t>
      </w:r>
      <w:r>
        <w:rPr>
          <w:szCs w:val="27"/>
        </w:rPr>
        <w:t>年，建造業機電工程的各個工種每年分別欠缺多少名</w:t>
      </w:r>
      <w:r>
        <w:rPr>
          <w:szCs w:val="27"/>
        </w:rPr>
        <w:t>(i)</w:t>
      </w:r>
      <w:r>
        <w:rPr>
          <w:szCs w:val="27"/>
        </w:rPr>
        <w:t>專業人士／技師、</w:t>
      </w:r>
      <w:r>
        <w:rPr>
          <w:szCs w:val="27"/>
        </w:rPr>
        <w:t>(ii)</w:t>
      </w:r>
      <w:r>
        <w:rPr>
          <w:szCs w:val="27"/>
        </w:rPr>
        <w:t>技術員、</w:t>
      </w:r>
      <w:r>
        <w:rPr>
          <w:szCs w:val="27"/>
        </w:rPr>
        <w:t>(iii)</w:t>
      </w:r>
      <w:r>
        <w:rPr>
          <w:szCs w:val="27"/>
        </w:rPr>
        <w:t>技工，以及</w:t>
      </w:r>
      <w:r>
        <w:rPr>
          <w:szCs w:val="27"/>
        </w:rPr>
        <w:t>(iv)</w:t>
      </w:r>
      <w:r>
        <w:rPr>
          <w:szCs w:val="27"/>
        </w:rPr>
        <w:t>半技術工人／普通工人</w:t>
      </w:r>
      <w:r>
        <w:rPr>
          <w:szCs w:val="27"/>
        </w:rPr>
        <w:t>(</w:t>
      </w:r>
      <w:r>
        <w:rPr>
          <w:szCs w:val="27"/>
        </w:rPr>
        <w:t>按下表列出</w:t>
      </w:r>
      <w:r>
        <w:rPr>
          <w:szCs w:val="27"/>
        </w:rPr>
        <w:t>)</w:t>
      </w:r>
      <w:r>
        <w:rPr>
          <w:szCs w:val="27"/>
        </w:rPr>
        <w:t>；若當局未能提供數字，原因為何，以及會否考慮盡快調查有關的短缺情況；</w:t>
      </w:r>
    </w:p>
    <w:p>
      <w:pPr>
        <w:pStyle w:val="Style13"/>
        <w:overflowPunct w:val="true"/>
        <w:rPr>
          <w:szCs w:val="27"/>
        </w:rPr>
      </w:pPr>
      <w:r>
        <w:rPr>
          <w:szCs w:val="27"/>
        </w:rPr>
      </w:r>
    </w:p>
    <w:tbl>
      <w:tblPr>
        <w:tblStyle w:val="a9"/>
        <w:tblW w:w="7806" w:type="dxa"/>
        <w:jc w:val="left"/>
        <w:tblInd w:w="1418" w:type="dxa"/>
        <w:tblCellMar>
          <w:top w:w="0" w:type="dxa"/>
          <w:left w:w="108" w:type="dxa"/>
          <w:bottom w:w="0" w:type="dxa"/>
          <w:right w:w="108" w:type="dxa"/>
        </w:tblCellMar>
        <w:tblLook w:val="01e0" w:noHBand="0" w:noVBand="0" w:firstColumn="1" w:lastRow="1" w:lastColumn="1" w:firstRow="1"/>
      </w:tblPr>
      <w:tblGrid>
        <w:gridCol w:w="2547"/>
        <w:gridCol w:w="1314"/>
        <w:gridCol w:w="1315"/>
        <w:gridCol w:w="1314"/>
        <w:gridCol w:w="1316"/>
      </w:tblGrid>
      <w:tr>
        <w:trPr/>
        <w:tc>
          <w:tcPr>
            <w:tcW w:w="2547" w:type="dxa"/>
            <w:tcBorders/>
          </w:tcPr>
          <w:p>
            <w:pPr>
              <w:pStyle w:val="Style13"/>
              <w:tabs>
                <w:tab w:val="left" w:pos="480" w:leader="none"/>
                <w:tab w:val="left" w:pos="567" w:leader="none"/>
              </w:tabs>
              <w:overflowPunct w:val="true"/>
              <w:spacing w:lineRule="atLeast" w:line="400"/>
              <w:ind w:left="28" w:hanging="0"/>
              <w:rPr>
                <w:szCs w:val="27"/>
              </w:rPr>
            </w:pPr>
            <w:r>
              <w:rPr>
                <w:szCs w:val="27"/>
              </w:rPr>
              <w:t>技術人員</w:t>
            </w:r>
          </w:p>
          <w:p>
            <w:pPr>
              <w:pStyle w:val="Style13"/>
              <w:tabs>
                <w:tab w:val="left" w:pos="480" w:leader="none"/>
                <w:tab w:val="left" w:pos="567" w:leader="none"/>
              </w:tabs>
              <w:overflowPunct w:val="true"/>
              <w:spacing w:lineRule="atLeast" w:line="400"/>
              <w:ind w:left="28" w:hanging="0"/>
              <w:jc w:val="right"/>
              <w:rPr>
                <w:szCs w:val="27"/>
              </w:rPr>
            </w:pPr>
            <w:r>
              <w:rPr>
                <w:szCs w:val="27"/>
              </w:rPr>
              <w:t>工種</w:t>
            </w:r>
          </w:p>
        </w:tc>
        <w:tc>
          <w:tcPr>
            <w:tcW w:w="1314" w:type="dxa"/>
            <w:tcBorders/>
            <w:vAlign w:val="center"/>
          </w:tcPr>
          <w:p>
            <w:pPr>
              <w:pStyle w:val="Style13"/>
              <w:tabs>
                <w:tab w:val="left" w:pos="480" w:leader="none"/>
                <w:tab w:val="left" w:pos="567" w:leader="none"/>
              </w:tabs>
              <w:overflowPunct w:val="true"/>
              <w:spacing w:lineRule="atLeast" w:line="400"/>
              <w:ind w:left="28" w:hanging="0"/>
              <w:jc w:val="center"/>
              <w:rPr>
                <w:szCs w:val="27"/>
              </w:rPr>
            </w:pPr>
            <w:r>
              <w:rPr>
                <w:szCs w:val="27"/>
              </w:rPr>
              <w:t>(i)</w:t>
            </w:r>
          </w:p>
        </w:tc>
        <w:tc>
          <w:tcPr>
            <w:tcW w:w="1315" w:type="dxa"/>
            <w:tcBorders/>
            <w:vAlign w:val="center"/>
          </w:tcPr>
          <w:p>
            <w:pPr>
              <w:pStyle w:val="Style13"/>
              <w:tabs>
                <w:tab w:val="left" w:pos="480" w:leader="none"/>
                <w:tab w:val="left" w:pos="567" w:leader="none"/>
              </w:tabs>
              <w:overflowPunct w:val="true"/>
              <w:spacing w:lineRule="atLeast" w:line="400"/>
              <w:ind w:left="28" w:hanging="0"/>
              <w:jc w:val="center"/>
              <w:rPr>
                <w:szCs w:val="27"/>
              </w:rPr>
            </w:pPr>
            <w:r>
              <w:rPr>
                <w:szCs w:val="27"/>
              </w:rPr>
              <w:t>(ii)</w:t>
            </w:r>
          </w:p>
        </w:tc>
        <w:tc>
          <w:tcPr>
            <w:tcW w:w="1314" w:type="dxa"/>
            <w:tcBorders/>
            <w:vAlign w:val="center"/>
          </w:tcPr>
          <w:p>
            <w:pPr>
              <w:pStyle w:val="Style13"/>
              <w:tabs>
                <w:tab w:val="left" w:pos="480" w:leader="none"/>
                <w:tab w:val="left" w:pos="567" w:leader="none"/>
              </w:tabs>
              <w:overflowPunct w:val="true"/>
              <w:spacing w:lineRule="atLeast" w:line="400"/>
              <w:ind w:left="28" w:hanging="0"/>
              <w:jc w:val="center"/>
              <w:rPr>
                <w:szCs w:val="27"/>
              </w:rPr>
            </w:pPr>
            <w:r>
              <w:rPr>
                <w:szCs w:val="27"/>
              </w:rPr>
              <w:t>(iii)</w:t>
            </w:r>
          </w:p>
        </w:tc>
        <w:tc>
          <w:tcPr>
            <w:tcW w:w="1316" w:type="dxa"/>
            <w:tcBorders/>
            <w:vAlign w:val="center"/>
          </w:tcPr>
          <w:p>
            <w:pPr>
              <w:pStyle w:val="Style13"/>
              <w:tabs>
                <w:tab w:val="left" w:pos="480" w:leader="none"/>
                <w:tab w:val="left" w:pos="567" w:leader="none"/>
              </w:tabs>
              <w:overflowPunct w:val="true"/>
              <w:spacing w:lineRule="atLeast" w:line="400"/>
              <w:ind w:left="28" w:hanging="0"/>
              <w:jc w:val="center"/>
              <w:rPr>
                <w:szCs w:val="27"/>
              </w:rPr>
            </w:pPr>
            <w:r>
              <w:rPr>
                <w:szCs w:val="27"/>
              </w:rPr>
              <w:t>(iv)</w:t>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水喉</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冷凍</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汽車</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消防</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燃氣</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電子</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電梯</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電氣</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機械</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供水</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供氣</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供電</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運輸</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鐵路</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r>
        <w:trPr/>
        <w:tc>
          <w:tcPr>
            <w:tcW w:w="2547" w:type="dxa"/>
            <w:tcBorders/>
          </w:tcPr>
          <w:p>
            <w:pPr>
              <w:pStyle w:val="Style13"/>
              <w:tabs>
                <w:tab w:val="left" w:pos="480" w:leader="none"/>
                <w:tab w:val="left" w:pos="567" w:leader="none"/>
              </w:tabs>
              <w:overflowPunct w:val="true"/>
              <w:ind w:left="28" w:hanging="0"/>
              <w:rPr>
                <w:szCs w:val="27"/>
              </w:rPr>
            </w:pPr>
            <w:r>
              <w:rPr>
                <w:szCs w:val="27"/>
              </w:rPr>
              <w:t>其他</w:t>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5" w:type="dxa"/>
            <w:tcBorders/>
          </w:tcPr>
          <w:p>
            <w:pPr>
              <w:pStyle w:val="Style13"/>
              <w:tabs>
                <w:tab w:val="left" w:pos="480" w:leader="none"/>
                <w:tab w:val="left" w:pos="567" w:leader="none"/>
              </w:tabs>
              <w:overflowPunct w:val="true"/>
              <w:ind w:left="28" w:hanging="0"/>
              <w:rPr>
                <w:szCs w:val="27"/>
              </w:rPr>
            </w:pPr>
            <w:r>
              <w:rPr>
                <w:szCs w:val="27"/>
              </w:rPr>
            </w:r>
          </w:p>
        </w:tc>
        <w:tc>
          <w:tcPr>
            <w:tcW w:w="1314" w:type="dxa"/>
            <w:tcBorders/>
          </w:tcPr>
          <w:p>
            <w:pPr>
              <w:pStyle w:val="Style13"/>
              <w:tabs>
                <w:tab w:val="left" w:pos="480" w:leader="none"/>
                <w:tab w:val="left" w:pos="567" w:leader="none"/>
              </w:tabs>
              <w:overflowPunct w:val="true"/>
              <w:ind w:left="28" w:hanging="0"/>
              <w:rPr>
                <w:szCs w:val="27"/>
              </w:rPr>
            </w:pPr>
            <w:r>
              <w:rPr>
                <w:szCs w:val="27"/>
              </w:rPr>
            </w:r>
          </w:p>
        </w:tc>
        <w:tc>
          <w:tcPr>
            <w:tcW w:w="1316" w:type="dxa"/>
            <w:tcBorders/>
          </w:tcPr>
          <w:p>
            <w:pPr>
              <w:pStyle w:val="Style13"/>
              <w:tabs>
                <w:tab w:val="left" w:pos="480" w:leader="none"/>
                <w:tab w:val="left" w:pos="567" w:leader="none"/>
              </w:tabs>
              <w:overflowPunct w:val="true"/>
              <w:ind w:left="28" w:hanging="0"/>
              <w:rPr>
                <w:szCs w:val="27"/>
              </w:rPr>
            </w:pPr>
            <w:r>
              <w:rPr>
                <w:szCs w:val="27"/>
              </w:rPr>
            </w:r>
          </w:p>
        </w:tc>
      </w:tr>
    </w:tbl>
    <w:p>
      <w:pPr>
        <w:pStyle w:val="Style13"/>
        <w:overflowPunct w:val="true"/>
        <w:spacing w:lineRule="atLeast" w:line="400"/>
        <w:rPr>
          <w:szCs w:val="27"/>
        </w:rPr>
      </w:pPr>
      <w:r>
        <w:rPr>
          <w:szCs w:val="27"/>
        </w:rPr>
        <w:t>(</w:t>
      </w:r>
      <w:r>
        <w:rPr>
          <w:szCs w:val="27"/>
        </w:rPr>
        <w:t>三</w:t>
      </w:r>
      <w:r>
        <w:rPr>
          <w:szCs w:val="27"/>
        </w:rPr>
        <w:t>)</w:t>
        <w:tab/>
      </w:r>
      <w:r>
        <w:rPr>
          <w:szCs w:val="27"/>
        </w:rPr>
        <w:t>是否知悉在過去</w:t>
      </w:r>
      <w:r>
        <w:rPr>
          <w:szCs w:val="27"/>
        </w:rPr>
        <w:t>5</w:t>
      </w:r>
      <w:r>
        <w:rPr>
          <w:szCs w:val="27"/>
        </w:rPr>
        <w:t>年，每年有哪些機構就第</w:t>
      </w:r>
      <w:r>
        <w:rPr>
          <w:szCs w:val="27"/>
        </w:rPr>
        <w:t>(</w:t>
      </w:r>
      <w:r>
        <w:rPr>
          <w:szCs w:val="27"/>
        </w:rPr>
        <w:t>二</w:t>
      </w:r>
      <w:r>
        <w:rPr>
          <w:szCs w:val="27"/>
        </w:rPr>
        <w:t>)</w:t>
      </w:r>
      <w:r>
        <w:rPr>
          <w:szCs w:val="27"/>
        </w:rPr>
        <w:t>項所列工種的人員舉辦培訓課程，以及有關課程的名稱、修讀年期及畢業人數；及</w:t>
      </w:r>
    </w:p>
    <w:p>
      <w:pPr>
        <w:pStyle w:val="Style13"/>
        <w:overflowPunct w:val="true"/>
        <w:spacing w:lineRule="atLeast" w:line="400"/>
        <w:rPr>
          <w:szCs w:val="27"/>
        </w:rPr>
      </w:pPr>
      <w:r>
        <w:rPr>
          <w:szCs w:val="27"/>
        </w:rPr>
      </w:r>
    </w:p>
    <w:p>
      <w:pPr>
        <w:pStyle w:val="Style13"/>
        <w:overflowPunct w:val="true"/>
        <w:spacing w:lineRule="atLeast" w:line="400"/>
        <w:rPr>
          <w:szCs w:val="27"/>
        </w:rPr>
      </w:pPr>
      <w:r>
        <w:rPr>
          <w:szCs w:val="27"/>
        </w:rPr>
        <w:t>(</w:t>
      </w:r>
      <w:r>
        <w:rPr>
          <w:szCs w:val="27"/>
        </w:rPr>
        <w:t>四</w:t>
      </w:r>
      <w:r>
        <w:rPr>
          <w:szCs w:val="27"/>
        </w:rPr>
        <w:t>)</w:t>
        <w:tab/>
      </w:r>
      <w:r>
        <w:rPr>
          <w:szCs w:val="27"/>
        </w:rPr>
        <w:t>會否制訂新措施以提高本地建造業機電工程技術人員的供應和技術水平；若會，詳情為何；若否，原因為何？</w:t>
      </w:r>
    </w:p>
    <w:p>
      <w:pPr>
        <w:pStyle w:val="Style13"/>
        <w:overflowPunct w:val="true"/>
        <w:spacing w:lineRule="atLeast" w:line="400"/>
        <w:ind w:left="0" w:hanging="0"/>
        <w:rPr>
          <w:szCs w:val="27"/>
        </w:rPr>
      </w:pPr>
      <w:r>
        <w:rPr>
          <w:szCs w:val="27"/>
        </w:rPr>
      </w:r>
    </w:p>
    <w:p>
      <w:pPr>
        <w:pStyle w:val="Style13"/>
        <w:overflowPunct w:val="true"/>
        <w:spacing w:lineRule="atLeast" w:line="400"/>
        <w:ind w:left="0" w:hanging="0"/>
        <w:rPr>
          <w:szCs w:val="27"/>
        </w:rPr>
      </w:pPr>
      <w:r>
        <w:rPr>
          <w:szCs w:val="27"/>
        </w:rPr>
      </w:r>
    </w:p>
    <w:p>
      <w:pPr>
        <w:pStyle w:val="Style13"/>
        <w:overflowPunct w:val="true"/>
        <w:spacing w:lineRule="atLeast" w:line="400"/>
        <w:ind w:left="0" w:hanging="0"/>
        <w:rPr>
          <w:i w:val="false"/>
          <w:i w:val="false"/>
          <w:szCs w:val="27"/>
        </w:rPr>
      </w:pPr>
      <w:r>
        <w:rPr>
          <w:rFonts w:eastAsia="華康中黑體"/>
          <w:b/>
          <w:i w:val="false"/>
        </w:rPr>
        <w:t>發展局局長</w:t>
      </w:r>
      <w:r>
        <w:rPr>
          <w:i w:val="false"/>
        </w:rPr>
        <w:t>：</w:t>
      </w:r>
      <w:r>
        <w:rPr>
          <w:rStyle w:val="F2"/>
          <w:i w:val="false"/>
        </w:rPr>
        <w:t>主席，自</w:t>
      </w:r>
      <w:r>
        <w:rPr>
          <w:rStyle w:val="F2"/>
          <w:i w:val="false"/>
        </w:rPr>
        <w:t>2013</w:t>
      </w:r>
      <w:r>
        <w:rPr>
          <w:rStyle w:val="F2"/>
          <w:i w:val="false"/>
        </w:rPr>
        <w:t>年起，政府與建造業議會</w:t>
      </w:r>
      <w:r>
        <w:rPr>
          <w:rStyle w:val="F2"/>
          <w:i w:val="false"/>
        </w:rPr>
        <w:t>(</w:t>
      </w:r>
      <w:r>
        <w:rPr>
          <w:rStyle w:val="F2"/>
          <w:i w:val="false"/>
          <w:szCs w:val="27"/>
        </w:rPr>
        <w:t>“</w:t>
      </w:r>
      <w:r>
        <w:rPr>
          <w:rStyle w:val="F2"/>
          <w:i w:val="false"/>
        </w:rPr>
        <w:t>議會</w:t>
      </w:r>
      <w:r>
        <w:rPr>
          <w:rStyle w:val="F2"/>
          <w:i w:val="false"/>
          <w:szCs w:val="27"/>
        </w:rPr>
        <w:t>”</w:t>
      </w:r>
      <w:r>
        <w:rPr>
          <w:rStyle w:val="F2"/>
          <w:i w:val="false"/>
        </w:rPr>
        <w:t>)</w:t>
      </w:r>
      <w:r>
        <w:rPr>
          <w:rStyle w:val="F2"/>
          <w:i w:val="false"/>
        </w:rPr>
        <w:t>合作評估未來</w:t>
      </w:r>
      <w:r>
        <w:rPr>
          <w:rStyle w:val="F2"/>
          <w:i w:val="false"/>
        </w:rPr>
        <w:t>10</w:t>
      </w:r>
      <w:r>
        <w:rPr>
          <w:rStyle w:val="F2"/>
          <w:i w:val="false"/>
        </w:rPr>
        <w:t>年公、私營建造工程的整體開支及建造業工人供求的情況。根據議會在</w:t>
      </w:r>
      <w:r>
        <w:rPr>
          <w:rStyle w:val="F2"/>
          <w:i w:val="false"/>
        </w:rPr>
        <w:t>2014</w:t>
      </w:r>
      <w:r>
        <w:rPr>
          <w:rStyle w:val="F2"/>
          <w:i w:val="false"/>
        </w:rPr>
        <w:t>年</w:t>
      </w:r>
      <w:r>
        <w:rPr>
          <w:rStyle w:val="F2"/>
          <w:i w:val="false"/>
        </w:rPr>
        <w:t>10</w:t>
      </w:r>
      <w:r>
        <w:rPr>
          <w:rStyle w:val="F2"/>
          <w:i w:val="false"/>
        </w:rPr>
        <w:t>月公布最新的建造業工人人力預測報告，在未來數年，建造業整體仍欠缺約</w:t>
      </w:r>
      <w:r>
        <w:rPr>
          <w:rStyle w:val="F2"/>
          <w:i w:val="false"/>
        </w:rPr>
        <w:t>1</w:t>
      </w:r>
      <w:r>
        <w:rPr>
          <w:rStyle w:val="F2"/>
          <w:i w:val="false"/>
        </w:rPr>
        <w:t>萬至</w:t>
      </w:r>
      <w:r>
        <w:rPr>
          <w:rStyle w:val="F2"/>
          <w:i w:val="false"/>
        </w:rPr>
        <w:t>15 000</w:t>
      </w:r>
      <w:r>
        <w:rPr>
          <w:rStyle w:val="F2"/>
          <w:i w:val="false"/>
        </w:rPr>
        <w:t>名技術工人，勞工及福利局局長所引述的是上述由議會預測的數字。</w:t>
      </w:r>
    </w:p>
    <w:p>
      <w:pPr>
        <w:pStyle w:val="Style13"/>
        <w:overflowPunct w:val="true"/>
        <w:spacing w:lineRule="atLeast" w:line="400"/>
        <w:ind w:left="0" w:hanging="0"/>
        <w:rPr>
          <w:szCs w:val="27"/>
        </w:rPr>
      </w:pPr>
      <w:r>
        <w:rPr>
          <w:szCs w:val="27"/>
        </w:rPr>
      </w:r>
    </w:p>
    <w:p>
      <w:pPr>
        <w:pStyle w:val="Normal"/>
        <w:tabs>
          <w:tab w:val="clear" w:pos="720"/>
        </w:tabs>
        <w:overflowPunct w:val="true"/>
        <w:spacing w:lineRule="atLeast" w:line="400"/>
        <w:rPr>
          <w:spacing w:val="20"/>
          <w:sz w:val="27"/>
          <w:szCs w:val="27"/>
        </w:rPr>
      </w:pPr>
      <w:r>
        <w:rPr>
          <w:spacing w:val="20"/>
          <w:sz w:val="27"/>
          <w:szCs w:val="27"/>
        </w:rPr>
        <w:tab/>
      </w:r>
      <w:r>
        <w:rPr>
          <w:spacing w:val="20"/>
          <w:sz w:val="27"/>
          <w:szCs w:val="27"/>
        </w:rPr>
        <w:t>就郭議員質詢的</w:t>
      </w:r>
      <w:r>
        <w:rPr>
          <w:spacing w:val="20"/>
          <w:sz w:val="27"/>
          <w:szCs w:val="27"/>
        </w:rPr>
        <w:t>4</w:t>
      </w:r>
      <w:r>
        <w:rPr>
          <w:spacing w:val="20"/>
          <w:sz w:val="27"/>
          <w:szCs w:val="27"/>
        </w:rPr>
        <w:t>個部分，我現答覆如下：</w:t>
      </w:r>
    </w:p>
    <w:p>
      <w:pPr>
        <w:pStyle w:val="Normal"/>
        <w:overflowPunct w:val="true"/>
        <w:spacing w:lineRule="atLeast" w:line="400"/>
        <w:rPr>
          <w:spacing w:val="20"/>
          <w:sz w:val="27"/>
          <w:szCs w:val="27"/>
        </w:rPr>
      </w:pPr>
      <w:r>
        <w:rPr>
          <w:spacing w:val="20"/>
          <w:sz w:val="27"/>
          <w:szCs w:val="27"/>
        </w:rPr>
      </w:r>
    </w:p>
    <w:p>
      <w:pPr>
        <w:pStyle w:val="Style13"/>
        <w:spacing w:lineRule="atLeast" w:line="400"/>
        <w:rPr>
          <w:i w:val="false"/>
          <w:i w:val="false"/>
        </w:rPr>
      </w:pPr>
      <w:r>
        <w:rPr>
          <w:i w:val="false"/>
        </w:rPr>
        <w:t>(</w:t>
      </w:r>
      <w:r>
        <w:rPr>
          <w:i w:val="false"/>
        </w:rPr>
        <w:t>一</w:t>
      </w:r>
      <w:r>
        <w:rPr>
          <w:i w:val="false"/>
        </w:rPr>
        <w:t>)</w:t>
        <w:tab/>
      </w:r>
      <w:r>
        <w:rPr>
          <w:i w:val="false"/>
        </w:rPr>
        <w:t>就上述建造業工人供求的預測，議會向業界及相關政府部門收集有關數據，並成立專責小組處理。小組成員包括相關商會、工會、專業學會、發展局及政府統計處的代表，負責制訂人力預測的推算方法，並討論及通過估算結果。人力預測評估當中已考慮最新預計的公、私營工程量、在職工人數目及年齡分布、培訓，以及其他相關因素。議會會定期更新人力預測及公布其結果。</w:t>
      </w:r>
    </w:p>
    <w:p>
      <w:pPr>
        <w:pStyle w:val="Style13"/>
        <w:spacing w:lineRule="atLeast" w:line="400"/>
        <w:rPr>
          <w:i w:val="false"/>
          <w:i w:val="false"/>
        </w:rPr>
      </w:pPr>
      <w:r>
        <w:rPr>
          <w:i w:val="false"/>
        </w:rPr>
      </w:r>
    </w:p>
    <w:p>
      <w:pPr>
        <w:pStyle w:val="Style13"/>
        <w:spacing w:lineRule="atLeast" w:line="400"/>
        <w:rPr>
          <w:i w:val="false"/>
          <w:i w:val="false"/>
        </w:rPr>
      </w:pPr>
      <w:r>
        <w:rPr>
          <w:i w:val="false"/>
        </w:rPr>
        <w:t>(</w:t>
      </w:r>
      <w:r>
        <w:rPr>
          <w:i w:val="false"/>
        </w:rPr>
        <w:t>二</w:t>
      </w:r>
      <w:r>
        <w:rPr>
          <w:i w:val="false"/>
        </w:rPr>
        <w:t>)</w:t>
        <w:tab/>
      </w:r>
      <w:r>
        <w:rPr>
          <w:i w:val="false"/>
        </w:rPr>
        <w:t>機電業的人力資源除建造業相關工種外，亦涉及建造業以外的其他行業，例如船舶修建業及氣體燃料業等。就答覆第</w:t>
      </w:r>
      <w:r>
        <w:rPr>
          <w:i w:val="false"/>
        </w:rPr>
        <w:t>(</w:t>
      </w:r>
      <w:r>
        <w:rPr>
          <w:i w:val="false"/>
        </w:rPr>
        <w:t>一</w:t>
      </w:r>
      <w:r>
        <w:rPr>
          <w:i w:val="false"/>
        </w:rPr>
        <w:t>)</w:t>
      </w:r>
      <w:r>
        <w:rPr>
          <w:i w:val="false"/>
        </w:rPr>
        <w:t>部分所述的人力預測，由於仍未能充分掌握機電工種人手在建造業及其他行業的分布，所以難以就建造業機電工種提供人手短缺的數據。儘管如此，職業訓練局</w:t>
      </w:r>
      <w:r>
        <w:rPr>
          <w:i w:val="false"/>
        </w:rPr>
        <w:t>(“</w:t>
      </w:r>
      <w:r>
        <w:rPr>
          <w:i w:val="false"/>
        </w:rPr>
        <w:t>職訓局”</w:t>
      </w:r>
      <w:r>
        <w:rPr>
          <w:i w:val="false"/>
        </w:rPr>
        <w:t>)</w:t>
      </w:r>
      <w:r>
        <w:rPr>
          <w:i w:val="false"/>
        </w:rPr>
        <w:t>每兩年進行一次機電工程業的人力調查，透過訪問機電業僱主，得悉機電業各工種的職位空缺，根據職訓局所提供在“</w:t>
      </w:r>
      <w:r>
        <w:rPr>
          <w:i w:val="false"/>
        </w:rPr>
        <w:t>2011</w:t>
      </w:r>
      <w:r>
        <w:rPr>
          <w:i w:val="false"/>
        </w:rPr>
        <w:t>年機電工程業的人力調查”的資料，相關工種的職業空缺情況如下：</w:t>
      </w:r>
    </w:p>
    <w:p>
      <w:pPr>
        <w:pStyle w:val="Normal"/>
        <w:widowControl/>
        <w:tabs>
          <w:tab w:val="clear" w:pos="720"/>
        </w:tabs>
        <w:spacing w:lineRule="auto" w:line="276" w:before="0" w:after="200"/>
        <w:jc w:val="left"/>
        <w:rPr>
          <w:spacing w:val="20"/>
          <w:sz w:val="27"/>
          <w:szCs w:val="27"/>
        </w:rPr>
      </w:pPr>
      <w:r>
        <w:rPr>
          <w:spacing w:val="20"/>
          <w:sz w:val="27"/>
          <w:szCs w:val="27"/>
        </w:rPr>
      </w:r>
      <w:r>
        <w:br w:type="page"/>
      </w:r>
    </w:p>
    <w:tbl>
      <w:tblPr>
        <w:tblStyle w:val="a9"/>
        <w:tblW w:w="7813" w:type="dxa"/>
        <w:jc w:val="left"/>
        <w:tblInd w:w="1418" w:type="dxa"/>
        <w:tblCellMar>
          <w:top w:w="0" w:type="dxa"/>
          <w:left w:w="108" w:type="dxa"/>
          <w:bottom w:w="0" w:type="dxa"/>
          <w:right w:w="108" w:type="dxa"/>
        </w:tblCellMar>
        <w:tblLook w:val="01e0" w:noHBand="0" w:noVBand="0" w:firstColumn="1" w:lastRow="1" w:lastColumn="1" w:firstRow="1"/>
      </w:tblPr>
      <w:tblGrid>
        <w:gridCol w:w="2426"/>
        <w:gridCol w:w="1560"/>
        <w:gridCol w:w="1257"/>
        <w:gridCol w:w="1256"/>
        <w:gridCol w:w="1314"/>
      </w:tblGrid>
      <w:tr>
        <w:trPr/>
        <w:tc>
          <w:tcPr>
            <w:tcW w:w="2426" w:type="dxa"/>
            <w:tcBorders/>
            <w:vAlign w:val="center"/>
          </w:tcPr>
          <w:p>
            <w:pPr>
              <w:pStyle w:val="Normal"/>
              <w:pageBreakBefore/>
              <w:widowControl w:val="false"/>
              <w:overflowPunct w:val="true"/>
              <w:ind w:left="57" w:hanging="0"/>
              <w:jc w:val="left"/>
              <w:rPr>
                <w:i/>
                <w:i/>
                <w:spacing w:val="20"/>
                <w:sz w:val="27"/>
                <w:szCs w:val="27"/>
              </w:rPr>
            </w:pPr>
            <w:r>
              <w:rPr>
                <w:i/>
                <w:spacing w:val="20"/>
                <w:sz w:val="27"/>
                <w:szCs w:val="27"/>
              </w:rPr>
              <w:t>技術工人</w:t>
            </w:r>
          </w:p>
          <w:p>
            <w:pPr>
              <w:pStyle w:val="Normal"/>
              <w:widowControl w:val="false"/>
              <w:overflowPunct w:val="true"/>
              <w:ind w:left="57" w:hanging="0"/>
              <w:jc w:val="left"/>
              <w:rPr>
                <w:i/>
                <w:i/>
                <w:spacing w:val="20"/>
                <w:sz w:val="27"/>
                <w:szCs w:val="27"/>
              </w:rPr>
            </w:pPr>
            <w:r>
              <w:rPr>
                <w:i/>
                <w:spacing w:val="20"/>
                <w:sz w:val="27"/>
                <w:szCs w:val="27"/>
              </w:rPr>
            </w:r>
          </w:p>
          <w:p>
            <w:pPr>
              <w:pStyle w:val="Normal"/>
              <w:widowControl w:val="false"/>
              <w:overflowPunct w:val="true"/>
              <w:ind w:right="57" w:hanging="0"/>
              <w:jc w:val="right"/>
              <w:rPr>
                <w:i/>
                <w:i/>
                <w:spacing w:val="20"/>
                <w:sz w:val="27"/>
                <w:szCs w:val="27"/>
              </w:rPr>
            </w:pPr>
            <w:r>
              <w:rPr>
                <w:i/>
                <w:spacing w:val="20"/>
                <w:sz w:val="27"/>
                <w:szCs w:val="27"/>
              </w:rPr>
              <w:t>工種</w:t>
            </w:r>
          </w:p>
        </w:tc>
        <w:tc>
          <w:tcPr>
            <w:tcW w:w="1560" w:type="dxa"/>
            <w:tcBorders/>
            <w:vAlign w:val="center"/>
          </w:tcPr>
          <w:p>
            <w:pPr>
              <w:pStyle w:val="Normal"/>
              <w:widowControl w:val="false"/>
              <w:overflowPunct w:val="true"/>
              <w:jc w:val="center"/>
              <w:rPr>
                <w:i/>
                <w:i/>
                <w:spacing w:val="20"/>
                <w:sz w:val="27"/>
                <w:szCs w:val="27"/>
              </w:rPr>
            </w:pPr>
            <w:r>
              <w:rPr>
                <w:i/>
                <w:spacing w:val="20"/>
                <w:sz w:val="27"/>
                <w:szCs w:val="27"/>
              </w:rPr>
              <w:t>專業人士／技師</w:t>
            </w:r>
          </w:p>
        </w:tc>
        <w:tc>
          <w:tcPr>
            <w:tcW w:w="1257" w:type="dxa"/>
            <w:tcBorders/>
            <w:vAlign w:val="center"/>
          </w:tcPr>
          <w:p>
            <w:pPr>
              <w:pStyle w:val="Normal"/>
              <w:widowControl w:val="false"/>
              <w:overflowPunct w:val="true"/>
              <w:jc w:val="center"/>
              <w:rPr>
                <w:i/>
                <w:i/>
                <w:spacing w:val="20"/>
                <w:sz w:val="27"/>
                <w:szCs w:val="27"/>
              </w:rPr>
            </w:pPr>
            <w:r>
              <w:rPr>
                <w:i/>
                <w:spacing w:val="20"/>
                <w:sz w:val="27"/>
                <w:szCs w:val="27"/>
              </w:rPr>
              <w:t>技術員</w:t>
            </w:r>
          </w:p>
        </w:tc>
        <w:tc>
          <w:tcPr>
            <w:tcW w:w="1256" w:type="dxa"/>
            <w:tcBorders/>
            <w:vAlign w:val="center"/>
          </w:tcPr>
          <w:p>
            <w:pPr>
              <w:pStyle w:val="Normal"/>
              <w:widowControl w:val="false"/>
              <w:overflowPunct w:val="true"/>
              <w:jc w:val="center"/>
              <w:rPr>
                <w:i/>
                <w:i/>
                <w:spacing w:val="20"/>
                <w:sz w:val="27"/>
                <w:szCs w:val="27"/>
              </w:rPr>
            </w:pPr>
            <w:r>
              <w:rPr>
                <w:i/>
                <w:spacing w:val="20"/>
                <w:sz w:val="27"/>
                <w:szCs w:val="27"/>
              </w:rPr>
              <w:t>技工</w:t>
            </w:r>
          </w:p>
        </w:tc>
        <w:tc>
          <w:tcPr>
            <w:tcW w:w="1314" w:type="dxa"/>
            <w:tcBorders/>
            <w:vAlign w:val="center"/>
          </w:tcPr>
          <w:p>
            <w:pPr>
              <w:pStyle w:val="Normal"/>
              <w:widowControl w:val="false"/>
              <w:overflowPunct w:val="true"/>
              <w:jc w:val="center"/>
              <w:rPr>
                <w:i/>
                <w:i/>
                <w:spacing w:val="20"/>
                <w:sz w:val="27"/>
                <w:szCs w:val="27"/>
              </w:rPr>
            </w:pPr>
            <w:r>
              <w:rPr>
                <w:i/>
                <w:spacing w:val="20"/>
                <w:sz w:val="27"/>
                <w:szCs w:val="27"/>
              </w:rPr>
              <w:t>半技術</w:t>
            </w:r>
          </w:p>
          <w:p>
            <w:pPr>
              <w:pStyle w:val="Normal"/>
              <w:widowControl w:val="false"/>
              <w:overflowPunct w:val="true"/>
              <w:jc w:val="center"/>
              <w:rPr>
                <w:i/>
                <w:i/>
                <w:spacing w:val="20"/>
                <w:sz w:val="27"/>
                <w:szCs w:val="27"/>
              </w:rPr>
            </w:pPr>
            <w:r>
              <w:rPr>
                <w:i/>
                <w:spacing w:val="20"/>
                <w:sz w:val="27"/>
                <w:szCs w:val="27"/>
              </w:rPr>
              <w:t>工人／</w:t>
            </w:r>
          </w:p>
          <w:p>
            <w:pPr>
              <w:pStyle w:val="Normal"/>
              <w:widowControl w:val="false"/>
              <w:overflowPunct w:val="true"/>
              <w:jc w:val="center"/>
              <w:rPr>
                <w:i/>
                <w:i/>
                <w:spacing w:val="20"/>
                <w:sz w:val="27"/>
                <w:szCs w:val="27"/>
              </w:rPr>
            </w:pPr>
            <w:r>
              <w:rPr>
                <w:i/>
                <w:spacing w:val="20"/>
                <w:sz w:val="27"/>
                <w:szCs w:val="27"/>
              </w:rPr>
              <w:t>普通工人</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水喉</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5</w:t>
            </w:r>
          </w:p>
        </w:tc>
        <w:tc>
          <w:tcPr>
            <w:tcW w:w="1257"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10</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冷凍</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18</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21</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263</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汽車</w:t>
            </w:r>
            <w:r>
              <w:rPr>
                <w:spacing w:val="20"/>
                <w:sz w:val="27"/>
                <w:szCs w:val="27"/>
              </w:rPr>
              <w:t>(</w:t>
            </w:r>
            <w:r>
              <w:rPr>
                <w:spacing w:val="20"/>
                <w:sz w:val="27"/>
                <w:szCs w:val="27"/>
              </w:rPr>
              <w:t>資料來自</w:t>
            </w:r>
            <w:r>
              <w:rPr>
                <w:spacing w:val="20"/>
                <w:sz w:val="27"/>
                <w:szCs w:val="27"/>
              </w:rPr>
              <w:t>2012</w:t>
            </w:r>
            <w:r>
              <w:rPr>
                <w:spacing w:val="20"/>
                <w:sz w:val="27"/>
                <w:szCs w:val="27"/>
              </w:rPr>
              <w:t>年汽車業人力調查數據</w:t>
            </w:r>
            <w:r>
              <w:rPr>
                <w:spacing w:val="20"/>
                <w:sz w:val="27"/>
                <w:szCs w:val="27"/>
              </w:rPr>
              <w:t>)</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5</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21</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355</w:t>
            </w:r>
          </w:p>
        </w:tc>
        <w:tc>
          <w:tcPr>
            <w:tcW w:w="1314" w:type="dxa"/>
            <w:tcBorders/>
            <w:vAlign w:val="center"/>
          </w:tcPr>
          <w:p>
            <w:pPr>
              <w:pStyle w:val="Normal"/>
              <w:widowControl w:val="false"/>
              <w:overflowPunct w:val="true"/>
              <w:jc w:val="center"/>
              <w:rPr>
                <w:spacing w:val="20"/>
                <w:sz w:val="27"/>
                <w:szCs w:val="27"/>
              </w:rPr>
            </w:pPr>
            <w:r>
              <w:rPr>
                <w:spacing w:val="20"/>
                <w:sz w:val="27"/>
                <w:szCs w:val="27"/>
              </w:rPr>
              <w:t>162</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消防</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23</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23</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89</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燃氣</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4</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6</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13</w:t>
            </w:r>
          </w:p>
        </w:tc>
        <w:tc>
          <w:tcPr>
            <w:tcW w:w="1314" w:type="dxa"/>
            <w:tcBorders/>
            <w:vAlign w:val="center"/>
          </w:tcPr>
          <w:p>
            <w:pPr>
              <w:pStyle w:val="Normal"/>
              <w:widowControl w:val="false"/>
              <w:overflowPunct w:val="true"/>
              <w:jc w:val="center"/>
              <w:rPr>
                <w:spacing w:val="20"/>
                <w:sz w:val="27"/>
                <w:szCs w:val="27"/>
              </w:rPr>
            </w:pPr>
            <w:r>
              <w:rPr>
                <w:spacing w:val="20"/>
                <w:sz w:val="27"/>
                <w:szCs w:val="27"/>
              </w:rPr>
              <w:t>23</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電子</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11</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81</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350</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電梯</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2</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2</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19</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電氣</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91</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44</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507</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機械</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40</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19</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224</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供水</w:t>
            </w:r>
          </w:p>
        </w:tc>
        <w:tc>
          <w:tcPr>
            <w:tcW w:w="1560"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7"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供氣</w:t>
            </w:r>
          </w:p>
        </w:tc>
        <w:tc>
          <w:tcPr>
            <w:tcW w:w="1560"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7"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供電</w:t>
            </w:r>
          </w:p>
        </w:tc>
        <w:tc>
          <w:tcPr>
            <w:tcW w:w="1560"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7"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運輸</w:t>
            </w:r>
          </w:p>
        </w:tc>
        <w:tc>
          <w:tcPr>
            <w:tcW w:w="1560"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7"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鐵路</w:t>
            </w:r>
          </w:p>
        </w:tc>
        <w:tc>
          <w:tcPr>
            <w:tcW w:w="1560"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7"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314"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其他</w:t>
            </w:r>
            <w:r>
              <w:rPr>
                <w:spacing w:val="20"/>
                <w:sz w:val="27"/>
                <w:szCs w:val="27"/>
              </w:rPr>
              <w:t>(</w:t>
            </w:r>
            <w:r>
              <w:rPr>
                <w:spacing w:val="20"/>
                <w:sz w:val="27"/>
                <w:szCs w:val="27"/>
              </w:rPr>
              <w:t>例如：屋宇設備、繪圖員、</w:t>
            </w:r>
            <w:r>
              <w:rPr>
                <w:spacing w:val="20"/>
                <w:sz w:val="27"/>
                <w:szCs w:val="27"/>
              </w:rPr>
              <w:t>...)</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62</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145</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201</w:t>
            </w:r>
          </w:p>
        </w:tc>
        <w:tc>
          <w:tcPr>
            <w:tcW w:w="1314" w:type="dxa"/>
            <w:tcBorders/>
            <w:vAlign w:val="center"/>
          </w:tcPr>
          <w:p>
            <w:pPr>
              <w:pStyle w:val="Normal"/>
              <w:widowControl w:val="false"/>
              <w:overflowPunct w:val="true"/>
              <w:jc w:val="center"/>
              <w:rPr>
                <w:spacing w:val="20"/>
                <w:sz w:val="27"/>
                <w:szCs w:val="27"/>
              </w:rPr>
            </w:pPr>
            <w:r>
              <w:rPr>
                <w:spacing w:val="20"/>
                <w:sz w:val="27"/>
                <w:szCs w:val="27"/>
              </w:rPr>
              <w:t>94</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總和</w:t>
            </w:r>
          </w:p>
        </w:tc>
        <w:tc>
          <w:tcPr>
            <w:tcW w:w="1560" w:type="dxa"/>
            <w:tcBorders/>
            <w:vAlign w:val="center"/>
          </w:tcPr>
          <w:p>
            <w:pPr>
              <w:pStyle w:val="Normal"/>
              <w:widowControl w:val="false"/>
              <w:overflowPunct w:val="true"/>
              <w:jc w:val="center"/>
              <w:rPr>
                <w:spacing w:val="20"/>
                <w:sz w:val="27"/>
                <w:szCs w:val="27"/>
              </w:rPr>
            </w:pPr>
            <w:r>
              <w:rPr>
                <w:spacing w:val="20"/>
                <w:sz w:val="27"/>
                <w:szCs w:val="27"/>
              </w:rPr>
              <w:t>261</w:t>
            </w:r>
          </w:p>
        </w:tc>
        <w:tc>
          <w:tcPr>
            <w:tcW w:w="1257" w:type="dxa"/>
            <w:tcBorders/>
            <w:vAlign w:val="center"/>
          </w:tcPr>
          <w:p>
            <w:pPr>
              <w:pStyle w:val="Normal"/>
              <w:widowControl w:val="false"/>
              <w:overflowPunct w:val="true"/>
              <w:jc w:val="center"/>
              <w:rPr>
                <w:spacing w:val="20"/>
                <w:sz w:val="27"/>
                <w:szCs w:val="27"/>
              </w:rPr>
            </w:pPr>
            <w:r>
              <w:rPr>
                <w:spacing w:val="20"/>
                <w:sz w:val="27"/>
                <w:szCs w:val="27"/>
              </w:rPr>
              <w:t>362</w:t>
            </w:r>
          </w:p>
        </w:tc>
        <w:tc>
          <w:tcPr>
            <w:tcW w:w="1256" w:type="dxa"/>
            <w:tcBorders/>
            <w:vAlign w:val="center"/>
          </w:tcPr>
          <w:p>
            <w:pPr>
              <w:pStyle w:val="Normal"/>
              <w:widowControl w:val="false"/>
              <w:overflowPunct w:val="true"/>
              <w:jc w:val="center"/>
              <w:rPr>
                <w:spacing w:val="20"/>
                <w:sz w:val="27"/>
                <w:szCs w:val="27"/>
              </w:rPr>
            </w:pPr>
            <w:r>
              <w:rPr>
                <w:spacing w:val="20"/>
                <w:sz w:val="27"/>
                <w:szCs w:val="27"/>
              </w:rPr>
              <w:t>2 031</w:t>
            </w:r>
          </w:p>
        </w:tc>
        <w:tc>
          <w:tcPr>
            <w:tcW w:w="1314" w:type="dxa"/>
            <w:tcBorders/>
            <w:vAlign w:val="center"/>
          </w:tcPr>
          <w:p>
            <w:pPr>
              <w:pStyle w:val="Normal"/>
              <w:widowControl w:val="false"/>
              <w:overflowPunct w:val="true"/>
              <w:jc w:val="center"/>
              <w:rPr>
                <w:spacing w:val="20"/>
                <w:sz w:val="27"/>
                <w:szCs w:val="27"/>
              </w:rPr>
            </w:pPr>
            <w:r>
              <w:rPr>
                <w:spacing w:val="20"/>
                <w:sz w:val="27"/>
                <w:szCs w:val="27"/>
              </w:rPr>
              <w:t>279</w:t>
            </w:r>
          </w:p>
        </w:tc>
      </w:tr>
    </w:tbl>
    <w:p>
      <w:pPr>
        <w:pStyle w:val="Normal"/>
        <w:overflowPunct w:val="true"/>
        <w:snapToGrid w:val="false"/>
        <w:spacing w:lineRule="auto" w:line="240"/>
        <w:ind w:left="1985" w:hanging="567"/>
        <w:rPr>
          <w:spacing w:val="20"/>
          <w:sz w:val="20"/>
          <w:szCs w:val="20"/>
        </w:rPr>
      </w:pPr>
      <w:r>
        <w:rPr>
          <w:spacing w:val="20"/>
          <w:sz w:val="20"/>
          <w:szCs w:val="20"/>
        </w:rPr>
      </w:r>
    </w:p>
    <w:p>
      <w:pPr>
        <w:pStyle w:val="Normal"/>
        <w:overflowPunct w:val="true"/>
        <w:snapToGrid w:val="false"/>
        <w:spacing w:lineRule="auto" w:line="240"/>
        <w:ind w:left="1985" w:hanging="567"/>
        <w:rPr>
          <w:spacing w:val="20"/>
          <w:sz w:val="20"/>
        </w:rPr>
      </w:pPr>
      <w:r>
        <w:rPr>
          <w:spacing w:val="20"/>
          <w:sz w:val="20"/>
        </w:rPr>
        <w:t>註：</w:t>
      </w:r>
    </w:p>
    <w:p>
      <w:pPr>
        <w:pStyle w:val="Normal"/>
        <w:overflowPunct w:val="true"/>
        <w:snapToGrid w:val="false"/>
        <w:spacing w:lineRule="auto" w:line="240"/>
        <w:ind w:left="1985" w:hanging="567"/>
        <w:rPr>
          <w:spacing w:val="20"/>
          <w:sz w:val="20"/>
        </w:rPr>
      </w:pPr>
      <w:r>
        <w:rPr>
          <w:spacing w:val="20"/>
          <w:sz w:val="20"/>
        </w:rPr>
      </w:r>
    </w:p>
    <w:p>
      <w:pPr>
        <w:pStyle w:val="Normal"/>
        <w:overflowPunct w:val="true"/>
        <w:snapToGrid w:val="false"/>
        <w:spacing w:lineRule="auto" w:line="240"/>
        <w:ind w:left="1985" w:hanging="567"/>
        <w:rPr>
          <w:spacing w:val="20"/>
          <w:sz w:val="20"/>
        </w:rPr>
      </w:pPr>
      <w:r>
        <w:rPr>
          <w:spacing w:val="20"/>
          <w:sz w:val="20"/>
        </w:rPr>
        <w:t>*</w:t>
        <w:tab/>
      </w:r>
      <w:r>
        <w:rPr>
          <w:spacing w:val="20"/>
          <w:sz w:val="20"/>
        </w:rPr>
        <w:t>由於調查中工種的劃分並非按表格上的分類，因此無法提供數字。</w:t>
      </w:r>
    </w:p>
    <w:p>
      <w:pPr>
        <w:pStyle w:val="Normal"/>
        <w:overflowPunct w:val="true"/>
        <w:rPr>
          <w:spacing w:val="20"/>
          <w:sz w:val="27"/>
          <w:szCs w:val="27"/>
        </w:rPr>
      </w:pPr>
      <w:r>
        <w:rPr>
          <w:spacing w:val="20"/>
          <w:sz w:val="27"/>
          <w:szCs w:val="27"/>
        </w:rPr>
      </w:r>
    </w:p>
    <w:p>
      <w:pPr>
        <w:pStyle w:val="Style13"/>
        <w:rPr>
          <w:i w:val="false"/>
          <w:i w:val="false"/>
        </w:rPr>
      </w:pPr>
      <w:r>
        <w:rPr>
          <w:i w:val="false"/>
        </w:rPr>
        <w:tab/>
      </w:r>
      <w:r>
        <w:rPr>
          <w:i w:val="false"/>
        </w:rPr>
        <w:t>根據職訓局所提供在“</w:t>
      </w:r>
      <w:r>
        <w:rPr>
          <w:i w:val="false"/>
        </w:rPr>
        <w:t>2013</w:t>
      </w:r>
      <w:r>
        <w:rPr>
          <w:i w:val="false"/>
        </w:rPr>
        <w:t>年機電工程業的人力調查”的資料，受訪機電業僱主報稱的職位空缺如下：</w:t>
      </w:r>
    </w:p>
    <w:p>
      <w:pPr>
        <w:pStyle w:val="Normal"/>
        <w:overflowPunct w:val="true"/>
        <w:jc w:val="center"/>
        <w:rPr>
          <w:spacing w:val="20"/>
          <w:sz w:val="27"/>
          <w:szCs w:val="27"/>
        </w:rPr>
      </w:pPr>
      <w:r>
        <w:rPr>
          <w:spacing w:val="20"/>
          <w:sz w:val="27"/>
          <w:szCs w:val="27"/>
        </w:rPr>
      </w:r>
    </w:p>
    <w:tbl>
      <w:tblPr>
        <w:tblStyle w:val="a9"/>
        <w:tblW w:w="7821" w:type="dxa"/>
        <w:jc w:val="left"/>
        <w:tblInd w:w="1418" w:type="dxa"/>
        <w:tblCellMar>
          <w:top w:w="0" w:type="dxa"/>
          <w:left w:w="108" w:type="dxa"/>
          <w:bottom w:w="0" w:type="dxa"/>
          <w:right w:w="108" w:type="dxa"/>
        </w:tblCellMar>
        <w:tblLook w:val="01e0" w:noHBand="0" w:noVBand="0" w:firstColumn="1" w:lastRow="1" w:lastColumn="1" w:firstRow="1"/>
      </w:tblPr>
      <w:tblGrid>
        <w:gridCol w:w="2426"/>
        <w:gridCol w:w="1561"/>
        <w:gridCol w:w="1259"/>
        <w:gridCol w:w="1259"/>
        <w:gridCol w:w="1316"/>
      </w:tblGrid>
      <w:tr>
        <w:trPr>
          <w:tblHeader w:val="true"/>
        </w:trPr>
        <w:tc>
          <w:tcPr>
            <w:tcW w:w="2426" w:type="dxa"/>
            <w:tcBorders/>
            <w:vAlign w:val="center"/>
          </w:tcPr>
          <w:p>
            <w:pPr>
              <w:pStyle w:val="Normal"/>
              <w:widowControl w:val="false"/>
              <w:overflowPunct w:val="true"/>
              <w:ind w:left="57" w:hanging="0"/>
              <w:rPr>
                <w:i/>
                <w:i/>
                <w:spacing w:val="20"/>
                <w:sz w:val="27"/>
                <w:szCs w:val="27"/>
              </w:rPr>
            </w:pPr>
            <w:r>
              <w:rPr>
                <w:i/>
                <w:spacing w:val="20"/>
                <w:sz w:val="27"/>
                <w:szCs w:val="27"/>
              </w:rPr>
              <w:t>技術工人</w:t>
            </w:r>
          </w:p>
          <w:p>
            <w:pPr>
              <w:pStyle w:val="Normal"/>
              <w:widowControl w:val="false"/>
              <w:overflowPunct w:val="true"/>
              <w:rPr>
                <w:i/>
                <w:i/>
                <w:spacing w:val="20"/>
                <w:sz w:val="27"/>
                <w:szCs w:val="27"/>
              </w:rPr>
            </w:pPr>
            <w:r>
              <w:rPr>
                <w:i/>
                <w:spacing w:val="20"/>
                <w:sz w:val="27"/>
                <w:szCs w:val="27"/>
              </w:rPr>
            </w:r>
          </w:p>
          <w:p>
            <w:pPr>
              <w:pStyle w:val="Normal"/>
              <w:widowControl w:val="false"/>
              <w:overflowPunct w:val="true"/>
              <w:ind w:right="57" w:hanging="0"/>
              <w:jc w:val="right"/>
              <w:rPr>
                <w:i/>
                <w:i/>
                <w:spacing w:val="20"/>
                <w:sz w:val="27"/>
                <w:szCs w:val="27"/>
              </w:rPr>
            </w:pPr>
            <w:r>
              <w:rPr>
                <w:i/>
                <w:spacing w:val="20"/>
                <w:sz w:val="27"/>
                <w:szCs w:val="27"/>
              </w:rPr>
              <w:t>工種</w:t>
            </w:r>
          </w:p>
        </w:tc>
        <w:tc>
          <w:tcPr>
            <w:tcW w:w="1561" w:type="dxa"/>
            <w:tcBorders/>
            <w:vAlign w:val="center"/>
          </w:tcPr>
          <w:p>
            <w:pPr>
              <w:pStyle w:val="Normal"/>
              <w:widowControl w:val="false"/>
              <w:overflowPunct w:val="true"/>
              <w:jc w:val="center"/>
              <w:rPr>
                <w:i/>
                <w:i/>
                <w:spacing w:val="20"/>
                <w:sz w:val="27"/>
                <w:szCs w:val="27"/>
              </w:rPr>
            </w:pPr>
            <w:r>
              <w:rPr>
                <w:i/>
                <w:spacing w:val="20"/>
                <w:sz w:val="27"/>
                <w:szCs w:val="27"/>
              </w:rPr>
              <w:t>專業人士／技師</w:t>
            </w:r>
          </w:p>
        </w:tc>
        <w:tc>
          <w:tcPr>
            <w:tcW w:w="1259" w:type="dxa"/>
            <w:tcBorders/>
            <w:vAlign w:val="center"/>
          </w:tcPr>
          <w:p>
            <w:pPr>
              <w:pStyle w:val="Normal"/>
              <w:widowControl w:val="false"/>
              <w:overflowPunct w:val="true"/>
              <w:jc w:val="center"/>
              <w:rPr>
                <w:i/>
                <w:i/>
                <w:spacing w:val="20"/>
                <w:sz w:val="27"/>
                <w:szCs w:val="27"/>
              </w:rPr>
            </w:pPr>
            <w:r>
              <w:rPr>
                <w:i/>
                <w:spacing w:val="20"/>
                <w:sz w:val="27"/>
                <w:szCs w:val="27"/>
              </w:rPr>
              <w:t>技術員</w:t>
            </w:r>
          </w:p>
        </w:tc>
        <w:tc>
          <w:tcPr>
            <w:tcW w:w="1259" w:type="dxa"/>
            <w:tcBorders/>
            <w:vAlign w:val="center"/>
          </w:tcPr>
          <w:p>
            <w:pPr>
              <w:pStyle w:val="Normal"/>
              <w:widowControl w:val="false"/>
              <w:overflowPunct w:val="true"/>
              <w:jc w:val="center"/>
              <w:rPr>
                <w:i/>
                <w:i/>
                <w:spacing w:val="20"/>
                <w:sz w:val="27"/>
                <w:szCs w:val="27"/>
              </w:rPr>
            </w:pPr>
            <w:r>
              <w:rPr>
                <w:i/>
                <w:spacing w:val="20"/>
                <w:sz w:val="27"/>
                <w:szCs w:val="27"/>
              </w:rPr>
              <w:t>技工</w:t>
            </w:r>
          </w:p>
        </w:tc>
        <w:tc>
          <w:tcPr>
            <w:tcW w:w="1316" w:type="dxa"/>
            <w:tcBorders/>
            <w:vAlign w:val="center"/>
          </w:tcPr>
          <w:p>
            <w:pPr>
              <w:pStyle w:val="Normal"/>
              <w:widowControl w:val="false"/>
              <w:overflowPunct w:val="true"/>
              <w:jc w:val="center"/>
              <w:rPr>
                <w:i/>
                <w:i/>
                <w:spacing w:val="20"/>
                <w:sz w:val="27"/>
                <w:szCs w:val="27"/>
              </w:rPr>
            </w:pPr>
            <w:r>
              <w:rPr>
                <w:i/>
                <w:spacing w:val="20"/>
                <w:sz w:val="27"/>
                <w:szCs w:val="27"/>
              </w:rPr>
              <w:t>半技術</w:t>
            </w:r>
          </w:p>
          <w:p>
            <w:pPr>
              <w:pStyle w:val="Normal"/>
              <w:widowControl w:val="false"/>
              <w:overflowPunct w:val="true"/>
              <w:jc w:val="center"/>
              <w:rPr>
                <w:i/>
                <w:i/>
                <w:spacing w:val="20"/>
                <w:sz w:val="27"/>
                <w:szCs w:val="27"/>
              </w:rPr>
            </w:pPr>
            <w:r>
              <w:rPr>
                <w:i/>
                <w:spacing w:val="20"/>
                <w:sz w:val="27"/>
                <w:szCs w:val="27"/>
              </w:rPr>
              <w:t>工人／</w:t>
            </w:r>
          </w:p>
          <w:p>
            <w:pPr>
              <w:pStyle w:val="Normal"/>
              <w:widowControl w:val="false"/>
              <w:overflowPunct w:val="true"/>
              <w:jc w:val="center"/>
              <w:rPr>
                <w:i/>
                <w:i/>
                <w:spacing w:val="20"/>
                <w:sz w:val="27"/>
                <w:szCs w:val="27"/>
              </w:rPr>
            </w:pPr>
            <w:r>
              <w:rPr>
                <w:i/>
                <w:spacing w:val="20"/>
                <w:sz w:val="27"/>
                <w:szCs w:val="27"/>
              </w:rPr>
              <w:t>普通工人</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水喉</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15</w:t>
            </w:r>
          </w:p>
        </w:tc>
        <w:tc>
          <w:tcPr>
            <w:tcW w:w="1259"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16</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冷凍</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70</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55</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432</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汽車</w:t>
            </w:r>
            <w:r>
              <w:rPr>
                <w:spacing w:val="20"/>
                <w:sz w:val="27"/>
                <w:szCs w:val="27"/>
              </w:rPr>
              <w:t>(</w:t>
            </w:r>
            <w:r>
              <w:rPr>
                <w:spacing w:val="20"/>
                <w:sz w:val="27"/>
                <w:szCs w:val="27"/>
              </w:rPr>
              <w:t>資料來自</w:t>
            </w:r>
            <w:r>
              <w:rPr>
                <w:spacing w:val="20"/>
                <w:sz w:val="27"/>
                <w:szCs w:val="27"/>
              </w:rPr>
              <w:t>2014</w:t>
            </w:r>
            <w:r>
              <w:rPr>
                <w:spacing w:val="20"/>
                <w:sz w:val="27"/>
                <w:szCs w:val="27"/>
              </w:rPr>
              <w:t>年汽車業人力調查數據</w:t>
            </w:r>
            <w:r>
              <w:rPr>
                <w:spacing w:val="20"/>
                <w:sz w:val="27"/>
                <w:szCs w:val="27"/>
              </w:rPr>
              <w:t>)</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3</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77</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530</w:t>
            </w:r>
          </w:p>
        </w:tc>
        <w:tc>
          <w:tcPr>
            <w:tcW w:w="1316" w:type="dxa"/>
            <w:tcBorders/>
            <w:vAlign w:val="center"/>
          </w:tcPr>
          <w:p>
            <w:pPr>
              <w:pStyle w:val="Normal"/>
              <w:widowControl w:val="false"/>
              <w:overflowPunct w:val="true"/>
              <w:jc w:val="center"/>
              <w:rPr>
                <w:spacing w:val="20"/>
                <w:sz w:val="27"/>
                <w:szCs w:val="27"/>
              </w:rPr>
            </w:pPr>
            <w:r>
              <w:rPr>
                <w:spacing w:val="20"/>
                <w:sz w:val="27"/>
                <w:szCs w:val="27"/>
              </w:rPr>
              <w:t>294</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消防</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14</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23</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207</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燃氣</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4</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6</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33</w:t>
            </w:r>
          </w:p>
        </w:tc>
        <w:tc>
          <w:tcPr>
            <w:tcW w:w="1316" w:type="dxa"/>
            <w:tcBorders/>
            <w:vAlign w:val="center"/>
          </w:tcPr>
          <w:p>
            <w:pPr>
              <w:pStyle w:val="Normal"/>
              <w:widowControl w:val="false"/>
              <w:overflowPunct w:val="true"/>
              <w:jc w:val="center"/>
              <w:rPr>
                <w:spacing w:val="20"/>
                <w:sz w:val="27"/>
                <w:szCs w:val="27"/>
              </w:rPr>
            </w:pPr>
            <w:r>
              <w:rPr>
                <w:spacing w:val="20"/>
                <w:sz w:val="27"/>
                <w:szCs w:val="27"/>
              </w:rPr>
              <w:t>6</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電子</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20</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57</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14</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電梯</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2</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44</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253</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電氣</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88</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109</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603</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機械</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21</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53</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180</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供水</w:t>
            </w:r>
          </w:p>
        </w:tc>
        <w:tc>
          <w:tcPr>
            <w:tcW w:w="1561"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9"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9"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供氣</w:t>
            </w:r>
          </w:p>
        </w:tc>
        <w:tc>
          <w:tcPr>
            <w:tcW w:w="1561"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9"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9"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供電</w:t>
            </w:r>
          </w:p>
        </w:tc>
        <w:tc>
          <w:tcPr>
            <w:tcW w:w="1561"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9"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9"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運輸</w:t>
            </w:r>
            <w:r>
              <w:rPr>
                <w:spacing w:val="20"/>
                <w:sz w:val="27"/>
                <w:szCs w:val="27"/>
              </w:rPr>
              <w:t>(</w:t>
            </w:r>
            <w:r>
              <w:rPr>
                <w:spacing w:val="20"/>
                <w:sz w:val="27"/>
                <w:szCs w:val="27"/>
              </w:rPr>
              <w:t>飛機維修</w:t>
            </w:r>
            <w:r>
              <w:rPr>
                <w:spacing w:val="20"/>
                <w:sz w:val="27"/>
                <w:szCs w:val="27"/>
              </w:rPr>
              <w:t>)</w:t>
            </w:r>
            <w:r>
              <w:rPr>
                <w:spacing w:val="20"/>
                <w:sz w:val="27"/>
                <w:szCs w:val="27"/>
                <w:vertAlign w:val="superscript"/>
              </w:rPr>
              <w:t>#</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41</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12</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148</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鐵路</w:t>
            </w:r>
            <w:r>
              <w:rPr>
                <w:spacing w:val="20"/>
                <w:sz w:val="27"/>
                <w:szCs w:val="27"/>
                <w:vertAlign w:val="superscript"/>
              </w:rPr>
              <w:t>#</w:t>
            </w:r>
          </w:p>
        </w:tc>
        <w:tc>
          <w:tcPr>
            <w:tcW w:w="1561"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23</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17</w:t>
            </w:r>
          </w:p>
        </w:tc>
        <w:tc>
          <w:tcPr>
            <w:tcW w:w="1316" w:type="dxa"/>
            <w:tcBorders/>
            <w:vAlign w:val="center"/>
          </w:tcPr>
          <w:p>
            <w:pPr>
              <w:pStyle w:val="Normal"/>
              <w:widowControl w:val="false"/>
              <w:overflowPunct w:val="true"/>
              <w:jc w:val="center"/>
              <w:rPr>
                <w:spacing w:val="20"/>
                <w:sz w:val="27"/>
                <w:szCs w:val="27"/>
                <w:vertAlign w:val="superscript"/>
              </w:rPr>
            </w:pPr>
            <w:r>
              <w:rPr>
                <w:spacing w:val="20"/>
                <w:sz w:val="27"/>
                <w:szCs w:val="27"/>
                <w:vertAlign w:val="superscript"/>
              </w:rPr>
              <w:t>*</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其他</w:t>
            </w:r>
            <w:r>
              <w:rPr>
                <w:spacing w:val="20"/>
                <w:sz w:val="27"/>
                <w:szCs w:val="27"/>
              </w:rPr>
              <w:t>(</w:t>
            </w:r>
            <w:r>
              <w:rPr>
                <w:spacing w:val="20"/>
                <w:sz w:val="27"/>
                <w:szCs w:val="27"/>
              </w:rPr>
              <w:t>例如：屋宇設備、繪圖員、</w:t>
            </w:r>
            <w:r>
              <w:rPr>
                <w:spacing w:val="20"/>
                <w:sz w:val="27"/>
                <w:szCs w:val="27"/>
              </w:rPr>
              <w:t>...)</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78</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157</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277</w:t>
            </w:r>
          </w:p>
        </w:tc>
        <w:tc>
          <w:tcPr>
            <w:tcW w:w="1316" w:type="dxa"/>
            <w:tcBorders/>
            <w:vAlign w:val="center"/>
          </w:tcPr>
          <w:p>
            <w:pPr>
              <w:pStyle w:val="Normal"/>
              <w:widowControl w:val="false"/>
              <w:overflowPunct w:val="true"/>
              <w:jc w:val="center"/>
              <w:rPr>
                <w:spacing w:val="20"/>
                <w:sz w:val="27"/>
                <w:szCs w:val="27"/>
              </w:rPr>
            </w:pPr>
            <w:r>
              <w:rPr>
                <w:spacing w:val="20"/>
                <w:sz w:val="27"/>
                <w:szCs w:val="27"/>
              </w:rPr>
              <w:t>696</w:t>
            </w:r>
          </w:p>
        </w:tc>
      </w:tr>
      <w:tr>
        <w:trPr/>
        <w:tc>
          <w:tcPr>
            <w:tcW w:w="2426" w:type="dxa"/>
            <w:tcBorders/>
            <w:vAlign w:val="center"/>
          </w:tcPr>
          <w:p>
            <w:pPr>
              <w:pStyle w:val="Normal"/>
              <w:widowControl w:val="false"/>
              <w:overflowPunct w:val="true"/>
              <w:ind w:left="57" w:hanging="0"/>
              <w:rPr>
                <w:spacing w:val="20"/>
                <w:sz w:val="27"/>
                <w:szCs w:val="27"/>
              </w:rPr>
            </w:pPr>
            <w:r>
              <w:rPr>
                <w:spacing w:val="20"/>
                <w:sz w:val="27"/>
                <w:szCs w:val="27"/>
              </w:rPr>
              <w:t>總和</w:t>
            </w:r>
          </w:p>
        </w:tc>
        <w:tc>
          <w:tcPr>
            <w:tcW w:w="1561" w:type="dxa"/>
            <w:tcBorders/>
            <w:vAlign w:val="center"/>
          </w:tcPr>
          <w:p>
            <w:pPr>
              <w:pStyle w:val="Normal"/>
              <w:widowControl w:val="false"/>
              <w:overflowPunct w:val="true"/>
              <w:jc w:val="center"/>
              <w:rPr>
                <w:spacing w:val="20"/>
                <w:sz w:val="27"/>
                <w:szCs w:val="27"/>
              </w:rPr>
            </w:pPr>
            <w:r>
              <w:rPr>
                <w:spacing w:val="20"/>
                <w:sz w:val="27"/>
                <w:szCs w:val="27"/>
              </w:rPr>
              <w:t>356</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616</w:t>
            </w:r>
          </w:p>
        </w:tc>
        <w:tc>
          <w:tcPr>
            <w:tcW w:w="1259" w:type="dxa"/>
            <w:tcBorders/>
            <w:vAlign w:val="center"/>
          </w:tcPr>
          <w:p>
            <w:pPr>
              <w:pStyle w:val="Normal"/>
              <w:widowControl w:val="false"/>
              <w:overflowPunct w:val="true"/>
              <w:jc w:val="center"/>
              <w:rPr>
                <w:spacing w:val="20"/>
                <w:sz w:val="27"/>
                <w:szCs w:val="27"/>
              </w:rPr>
            </w:pPr>
            <w:r>
              <w:rPr>
                <w:spacing w:val="20"/>
                <w:sz w:val="27"/>
                <w:szCs w:val="27"/>
              </w:rPr>
              <w:t>2 710</w:t>
            </w:r>
          </w:p>
        </w:tc>
        <w:tc>
          <w:tcPr>
            <w:tcW w:w="1316" w:type="dxa"/>
            <w:tcBorders/>
            <w:vAlign w:val="center"/>
          </w:tcPr>
          <w:p>
            <w:pPr>
              <w:pStyle w:val="Normal"/>
              <w:widowControl w:val="false"/>
              <w:overflowPunct w:val="true"/>
              <w:jc w:val="center"/>
              <w:rPr>
                <w:spacing w:val="20"/>
                <w:sz w:val="27"/>
                <w:szCs w:val="27"/>
              </w:rPr>
            </w:pPr>
            <w:r>
              <w:rPr>
                <w:spacing w:val="20"/>
                <w:sz w:val="27"/>
                <w:szCs w:val="27"/>
              </w:rPr>
              <w:t>996</w:t>
            </w:r>
          </w:p>
        </w:tc>
      </w:tr>
    </w:tbl>
    <w:p>
      <w:pPr>
        <w:pStyle w:val="Normal"/>
        <w:overflowPunct w:val="true"/>
        <w:snapToGrid w:val="false"/>
        <w:spacing w:lineRule="auto" w:line="240"/>
        <w:ind w:left="1985" w:hanging="567"/>
        <w:rPr>
          <w:spacing w:val="20"/>
          <w:sz w:val="20"/>
          <w:szCs w:val="20"/>
        </w:rPr>
      </w:pPr>
      <w:r>
        <w:rPr>
          <w:spacing w:val="20"/>
          <w:sz w:val="20"/>
          <w:szCs w:val="20"/>
        </w:rPr>
      </w:r>
    </w:p>
    <w:p>
      <w:pPr>
        <w:pStyle w:val="Normal"/>
        <w:overflowPunct w:val="true"/>
        <w:snapToGrid w:val="false"/>
        <w:spacing w:lineRule="auto" w:line="240"/>
        <w:ind w:left="1985" w:hanging="567"/>
        <w:rPr>
          <w:spacing w:val="20"/>
          <w:sz w:val="20"/>
        </w:rPr>
      </w:pPr>
      <w:r>
        <w:rPr>
          <w:spacing w:val="20"/>
          <w:sz w:val="20"/>
        </w:rPr>
        <w:t>註：</w:t>
      </w:r>
    </w:p>
    <w:p>
      <w:pPr>
        <w:pStyle w:val="Normal"/>
        <w:overflowPunct w:val="true"/>
        <w:snapToGrid w:val="false"/>
        <w:spacing w:lineRule="auto" w:line="240"/>
        <w:ind w:left="1985" w:hanging="567"/>
        <w:rPr>
          <w:spacing w:val="20"/>
          <w:sz w:val="20"/>
        </w:rPr>
      </w:pPr>
      <w:r>
        <w:rPr>
          <w:spacing w:val="20"/>
          <w:sz w:val="20"/>
        </w:rPr>
      </w:r>
    </w:p>
    <w:p>
      <w:pPr>
        <w:pStyle w:val="Normal"/>
        <w:overflowPunct w:val="true"/>
        <w:snapToGrid w:val="false"/>
        <w:spacing w:lineRule="auto" w:line="240"/>
        <w:ind w:left="1985" w:hanging="567"/>
        <w:rPr>
          <w:spacing w:val="20"/>
          <w:sz w:val="20"/>
        </w:rPr>
      </w:pPr>
      <w:r>
        <w:rPr>
          <w:spacing w:val="20"/>
          <w:sz w:val="20"/>
        </w:rPr>
        <w:t>*</w:t>
        <w:tab/>
      </w:r>
      <w:r>
        <w:rPr>
          <w:spacing w:val="20"/>
          <w:sz w:val="20"/>
        </w:rPr>
        <w:t>由於調查中工種的劃分並非按表格上的分類，因此無法提供數字。</w:t>
      </w:r>
    </w:p>
    <w:p>
      <w:pPr>
        <w:pStyle w:val="Normal"/>
        <w:overflowPunct w:val="true"/>
        <w:snapToGrid w:val="false"/>
        <w:spacing w:lineRule="auto" w:line="240"/>
        <w:ind w:left="1985" w:hanging="567"/>
        <w:rPr>
          <w:spacing w:val="20"/>
          <w:sz w:val="20"/>
        </w:rPr>
      </w:pPr>
      <w:r>
        <w:rPr>
          <w:spacing w:val="20"/>
          <w:sz w:val="20"/>
        </w:rPr>
      </w:r>
    </w:p>
    <w:p>
      <w:pPr>
        <w:pStyle w:val="Normal"/>
        <w:overflowPunct w:val="true"/>
        <w:snapToGrid w:val="false"/>
        <w:spacing w:lineRule="auto" w:line="240"/>
        <w:ind w:left="1985" w:hanging="567"/>
        <w:rPr>
          <w:spacing w:val="20"/>
          <w:sz w:val="20"/>
        </w:rPr>
      </w:pPr>
      <w:r>
        <w:rPr>
          <w:spacing w:val="20"/>
          <w:sz w:val="20"/>
        </w:rPr>
        <w:t>#</w:t>
        <w:tab/>
      </w:r>
      <w:r>
        <w:rPr>
          <w:spacing w:val="20"/>
          <w:sz w:val="20"/>
        </w:rPr>
        <w:t>與飛機維修和鐵路有關的工種由</w:t>
      </w:r>
      <w:r>
        <w:rPr>
          <w:spacing w:val="20"/>
          <w:sz w:val="20"/>
        </w:rPr>
        <w:t>2013</w:t>
      </w:r>
      <w:r>
        <w:rPr>
          <w:spacing w:val="20"/>
          <w:sz w:val="20"/>
        </w:rPr>
        <w:t>年的人力調查才開始獨立分類。</w:t>
      </w:r>
    </w:p>
    <w:p>
      <w:pPr>
        <w:pStyle w:val="Normal"/>
        <w:overflowPunct w:val="true"/>
        <w:rPr>
          <w:spacing w:val="20"/>
          <w:sz w:val="27"/>
          <w:szCs w:val="27"/>
        </w:rPr>
      </w:pPr>
      <w:r>
        <w:rPr>
          <w:spacing w:val="20"/>
          <w:sz w:val="27"/>
          <w:szCs w:val="27"/>
        </w:rPr>
      </w:r>
    </w:p>
    <w:p>
      <w:pPr>
        <w:pStyle w:val="Style13"/>
        <w:rPr>
          <w:i w:val="false"/>
          <w:i w:val="false"/>
        </w:rPr>
      </w:pPr>
      <w:r>
        <w:rPr>
          <w:i w:val="false"/>
        </w:rPr>
        <w:t>(</w:t>
      </w:r>
      <w:r>
        <w:rPr>
          <w:i w:val="false"/>
        </w:rPr>
        <w:t>三</w:t>
      </w:r>
      <w:r>
        <w:rPr>
          <w:i w:val="false"/>
        </w:rPr>
        <w:t>)</w:t>
        <w:tab/>
      </w:r>
      <w:r>
        <w:rPr>
          <w:i w:val="false"/>
        </w:rPr>
        <w:t>在過去</w:t>
      </w:r>
      <w:r>
        <w:rPr>
          <w:i w:val="false"/>
        </w:rPr>
        <w:t>5</w:t>
      </w:r>
      <w:r>
        <w:rPr>
          <w:i w:val="false"/>
        </w:rPr>
        <w:t>年，就各大學教育資助委員會</w:t>
      </w:r>
      <w:r>
        <w:rPr>
          <w:i w:val="false"/>
        </w:rPr>
        <w:t>(</w:t>
      </w:r>
      <w:r>
        <w:rPr>
          <w:i w:val="false"/>
          <w:szCs w:val="27"/>
        </w:rPr>
        <w:t>“</w:t>
      </w:r>
      <w:r>
        <w:rPr>
          <w:i w:val="false"/>
          <w:szCs w:val="27"/>
        </w:rPr>
        <w:t>教</w:t>
      </w:r>
      <w:r>
        <w:rPr>
          <w:i w:val="false"/>
        </w:rPr>
        <w:t>資會</w:t>
      </w:r>
      <w:r>
        <w:rPr>
          <w:i w:val="false"/>
          <w:szCs w:val="27"/>
        </w:rPr>
        <w:t>”</w:t>
      </w:r>
      <w:r>
        <w:rPr>
          <w:i w:val="false"/>
          <w:szCs w:val="27"/>
        </w:rPr>
        <w:t>)</w:t>
      </w:r>
      <w:r>
        <w:rPr>
          <w:i w:val="false"/>
        </w:rPr>
        <w:t>資助院校、職訓局、僱員再培訓局、議會及機電工程署等所舉辦與建造業相關的機電工程工種的全日制培訓課程名稱、修讀年期及畢業人數，請參閱附件。</w:t>
      </w:r>
    </w:p>
    <w:p>
      <w:pPr>
        <w:pStyle w:val="Style13"/>
        <w:rPr>
          <w:i w:val="false"/>
          <w:i w:val="false"/>
        </w:rPr>
      </w:pPr>
      <w:r>
        <w:rPr>
          <w:i w:val="false"/>
        </w:rPr>
      </w:r>
    </w:p>
    <w:p>
      <w:pPr>
        <w:pStyle w:val="Style13"/>
        <w:rPr>
          <w:i w:val="false"/>
          <w:i w:val="false"/>
        </w:rPr>
      </w:pPr>
      <w:r>
        <w:rPr>
          <w:i w:val="false"/>
        </w:rPr>
        <w:t>(</w:t>
      </w:r>
      <w:r>
        <w:rPr>
          <w:i w:val="false"/>
        </w:rPr>
        <w:t>四</w:t>
      </w:r>
      <w:r>
        <w:rPr>
          <w:i w:val="false"/>
        </w:rPr>
        <w:t>)</w:t>
        <w:tab/>
      </w:r>
      <w:r>
        <w:rPr>
          <w:i w:val="false"/>
        </w:rPr>
        <w:t>政府會繼續透過培訓提高本地建造業機電工程技術人員的技術水平；並加強宣傳，提升行業形象，吸引更多年青人加入建造業。</w:t>
      </w:r>
    </w:p>
    <w:p>
      <w:pPr>
        <w:pStyle w:val="Style13"/>
        <w:rPr>
          <w:i w:val="false"/>
          <w:i w:val="false"/>
        </w:rPr>
      </w:pPr>
      <w:r>
        <w:rPr>
          <w:i w:val="false"/>
        </w:rPr>
      </w:r>
    </w:p>
    <w:p>
      <w:pPr>
        <w:pStyle w:val="Style13"/>
        <w:rPr/>
      </w:pPr>
      <w:r>
        <w:rPr>
          <w:i w:val="false"/>
        </w:rPr>
        <w:tab/>
      </w:r>
      <w:r>
        <w:rPr>
          <w:i w:val="false"/>
        </w:rPr>
        <w:t>就技術人員培訓方面，職訓局已在</w:t>
      </w:r>
      <w:r>
        <w:rPr>
          <w:i w:val="false"/>
        </w:rPr>
        <w:t>2014-2015</w:t>
      </w:r>
      <w:r>
        <w:rPr>
          <w:i w:val="false"/>
        </w:rPr>
        <w:t>學年開始推行“職業教育和就業支援先導計劃”</w:t>
      </w:r>
      <w:r>
        <w:rPr>
          <w:i w:val="false"/>
        </w:rPr>
        <w:t>(“</w:t>
      </w:r>
      <w:r>
        <w:rPr>
          <w:i w:val="false"/>
        </w:rPr>
        <w:t>先導計劃”</w:t>
      </w:r>
      <w:r>
        <w:rPr>
          <w:i w:val="false"/>
        </w:rPr>
        <w:t>)</w:t>
      </w:r>
      <w:r>
        <w:rPr>
          <w:i w:val="false"/>
        </w:rPr>
        <w:t>，吸引更多年青人加入人力需求殷切的行業，當中包括建造業相關的機電工種。在先導計劃下，學員接受特選行業的學徒培訓，並獲發行業和政府的津貼及行業承諾水平的工資，先導計劃將惠及共</w:t>
      </w:r>
      <w:r>
        <w:rPr>
          <w:i w:val="false"/>
        </w:rPr>
        <w:t>2 000</w:t>
      </w:r>
      <w:r>
        <w:rPr>
          <w:i w:val="false"/>
        </w:rPr>
        <w:t>名學員。</w:t>
      </w:r>
      <w:r>
        <w:br w:type="page"/>
      </w:r>
    </w:p>
    <w:p>
      <w:pPr>
        <w:pStyle w:val="Style13"/>
        <w:spacing w:lineRule="atLeast" w:line="340"/>
        <w:rPr>
          <w:i w:val="false"/>
          <w:i w:val="false"/>
        </w:rPr>
      </w:pPr>
      <w:r>
        <w:rPr>
          <w:i w:val="false"/>
        </w:rPr>
        <w:tab/>
      </w:r>
      <w:r>
        <w:rPr>
          <w:i w:val="false"/>
        </w:rPr>
        <w:t>另一方面，議會自</w:t>
      </w:r>
      <w:r>
        <w:rPr>
          <w:i w:val="false"/>
        </w:rPr>
        <w:t>2013-2014</w:t>
      </w:r>
      <w:r>
        <w:rPr>
          <w:i w:val="false"/>
        </w:rPr>
        <w:t>學年起，資助學員參加職訓局與建造業機電工程工種相關的首年“中專教育文憑課程 ― 技術工人”課程。此外，於</w:t>
      </w:r>
      <w:r>
        <w:rPr>
          <w:i w:val="false"/>
        </w:rPr>
        <w:t>2015-2016</w:t>
      </w:r>
      <w:r>
        <w:rPr>
          <w:i w:val="false"/>
        </w:rPr>
        <w:t>學年，議會將推展新措施，資助約</w:t>
      </w:r>
      <w:r>
        <w:rPr>
          <w:i w:val="false"/>
        </w:rPr>
        <w:t>400</w:t>
      </w:r>
      <w:r>
        <w:rPr>
          <w:i w:val="false"/>
        </w:rPr>
        <w:t>名學員參加職訓局“中專教育文憑課程 ― 技術員”，以吸引更多完成中六或同等學歷的學員報讀技術員課程。</w:t>
      </w:r>
    </w:p>
    <w:p>
      <w:pPr>
        <w:pStyle w:val="Style13"/>
        <w:spacing w:lineRule="atLeast" w:line="340"/>
        <w:rPr>
          <w:i w:val="false"/>
          <w:i w:val="false"/>
        </w:rPr>
      </w:pPr>
      <w:r>
        <w:rPr>
          <w:i w:val="false"/>
        </w:rPr>
      </w:r>
    </w:p>
    <w:p>
      <w:pPr>
        <w:pStyle w:val="Style13"/>
        <w:spacing w:lineRule="atLeast" w:line="340"/>
        <w:rPr>
          <w:i w:val="false"/>
          <w:i w:val="false"/>
        </w:rPr>
      </w:pPr>
      <w:r>
        <w:rPr>
          <w:i w:val="false"/>
        </w:rPr>
        <w:tab/>
      </w:r>
      <w:r>
        <w:rPr>
          <w:i w:val="false"/>
        </w:rPr>
        <w:t>此外，業界成立了香港機電業推廣工作小組，負責推廣機電業。在</w:t>
      </w:r>
      <w:r>
        <w:rPr>
          <w:i w:val="false"/>
        </w:rPr>
        <w:t>2014</w:t>
      </w:r>
      <w:r>
        <w:rPr>
          <w:i w:val="false"/>
        </w:rPr>
        <w:t>年，上述小組在中學及不同的活動場場地舉辦了</w:t>
      </w:r>
      <w:r>
        <w:rPr>
          <w:i w:val="false"/>
        </w:rPr>
        <w:t>13</w:t>
      </w:r>
      <w:r>
        <w:rPr>
          <w:i w:val="false"/>
        </w:rPr>
        <w:t>次展板巡迴展及大型宣傳活動，當中包括推出電視紀錄片“機電夢飛翔”。在</w:t>
      </w:r>
      <w:r>
        <w:rPr>
          <w:i w:val="false"/>
        </w:rPr>
        <w:t>2015</w:t>
      </w:r>
      <w:r>
        <w:rPr>
          <w:i w:val="false"/>
        </w:rPr>
        <w:t>年，小組已安排</w:t>
      </w:r>
      <w:r>
        <w:rPr>
          <w:i w:val="false"/>
        </w:rPr>
        <w:t>23</w:t>
      </w:r>
      <w:r>
        <w:rPr>
          <w:i w:val="false"/>
        </w:rPr>
        <w:t>次的巡迴展覽，向更多年青人宣傳機電行業，此外，小組內的機構、工會和商會亦會共同推廣機電行業，新的宣傳活動暫定有機電生活小品微電影比賽、機電專才繽紛日等。</w:t>
      </w:r>
    </w:p>
    <w:p>
      <w:pPr>
        <w:pStyle w:val="Normal"/>
        <w:overflowPunct w:val="true"/>
        <w:rPr>
          <w:spacing w:val="20"/>
          <w:sz w:val="27"/>
          <w:szCs w:val="27"/>
        </w:rPr>
      </w:pPr>
      <w:r>
        <w:rPr>
          <w:spacing w:val="20"/>
          <w:sz w:val="27"/>
          <w:szCs w:val="27"/>
        </w:rPr>
      </w:r>
    </w:p>
    <w:p>
      <w:pPr>
        <w:pStyle w:val="Normal"/>
        <w:overflowPunct w:val="true"/>
        <w:rPr>
          <w:spacing w:val="20"/>
          <w:sz w:val="27"/>
          <w:szCs w:val="27"/>
        </w:rPr>
      </w:pPr>
      <w:r>
        <w:rPr>
          <w:spacing w:val="20"/>
          <w:sz w:val="27"/>
          <w:szCs w:val="27"/>
        </w:rPr>
      </w:r>
    </w:p>
    <w:p>
      <w:pPr>
        <w:pStyle w:val="Normal"/>
        <w:overflowPunct w:val="true"/>
        <w:jc w:val="right"/>
        <w:rPr>
          <w:spacing w:val="20"/>
          <w:sz w:val="27"/>
          <w:szCs w:val="27"/>
        </w:rPr>
      </w:pPr>
      <w:r>
        <w:rPr>
          <w:spacing w:val="20"/>
          <w:sz w:val="27"/>
          <w:szCs w:val="27"/>
        </w:rPr>
        <w:t>附件</w:t>
      </w:r>
    </w:p>
    <w:p>
      <w:pPr>
        <w:pStyle w:val="Normal"/>
        <w:overflowPunct w:val="true"/>
        <w:rPr>
          <w:spacing w:val="20"/>
          <w:sz w:val="27"/>
          <w:szCs w:val="27"/>
        </w:rPr>
      </w:pPr>
      <w:r>
        <w:rPr>
          <w:spacing w:val="20"/>
          <w:sz w:val="27"/>
          <w:szCs w:val="27"/>
        </w:rPr>
      </w:r>
    </w:p>
    <w:p>
      <w:pPr>
        <w:pStyle w:val="Normal"/>
        <w:overflowPunct w:val="true"/>
        <w:jc w:val="center"/>
        <w:rPr>
          <w:spacing w:val="20"/>
          <w:sz w:val="27"/>
          <w:szCs w:val="27"/>
        </w:rPr>
      </w:pPr>
      <w:r>
        <w:rPr>
          <w:spacing w:val="20"/>
          <w:sz w:val="27"/>
          <w:szCs w:val="27"/>
        </w:rPr>
        <w:t>過去</w:t>
      </w:r>
      <w:r>
        <w:rPr>
          <w:spacing w:val="20"/>
          <w:sz w:val="27"/>
          <w:szCs w:val="27"/>
        </w:rPr>
        <w:t>5</w:t>
      </w:r>
      <w:r>
        <w:rPr>
          <w:spacing w:val="20"/>
          <w:sz w:val="27"/>
          <w:szCs w:val="27"/>
        </w:rPr>
        <w:t>年與建造業有關的機電工程工種的</w:t>
      </w:r>
    </w:p>
    <w:p>
      <w:pPr>
        <w:pStyle w:val="Normal"/>
        <w:overflowPunct w:val="true"/>
        <w:jc w:val="center"/>
        <w:rPr>
          <w:spacing w:val="20"/>
          <w:sz w:val="27"/>
          <w:szCs w:val="27"/>
        </w:rPr>
      </w:pPr>
      <w:r>
        <w:rPr>
          <w:spacing w:val="20"/>
          <w:sz w:val="27"/>
          <w:szCs w:val="27"/>
        </w:rPr>
        <w:t>人員培訓課程名稱、修讀年期及畢業人數</w:t>
      </w:r>
    </w:p>
    <w:p>
      <w:pPr>
        <w:pStyle w:val="Normal"/>
        <w:overflowPunct w:val="true"/>
        <w:rPr>
          <w:spacing w:val="20"/>
          <w:sz w:val="27"/>
          <w:szCs w:val="27"/>
        </w:rPr>
      </w:pPr>
      <w:r>
        <w:rPr>
          <w:spacing w:val="20"/>
          <w:sz w:val="27"/>
          <w:szCs w:val="27"/>
        </w:rPr>
      </w:r>
    </w:p>
    <w:p>
      <w:pPr>
        <w:pStyle w:val="Normal"/>
        <w:overflowPunct w:val="true"/>
        <w:rPr>
          <w:spacing w:val="20"/>
          <w:sz w:val="27"/>
          <w:szCs w:val="27"/>
        </w:rPr>
      </w:pPr>
      <w:r>
        <w:rPr>
          <w:spacing w:val="20"/>
          <w:sz w:val="27"/>
          <w:szCs w:val="27"/>
        </w:rPr>
        <w:t>專業人員</w:t>
      </w:r>
      <w:r>
        <w:rPr>
          <w:spacing w:val="20"/>
          <w:sz w:val="27"/>
          <w:szCs w:val="27"/>
        </w:rPr>
        <w:t>(</w:t>
      </w:r>
      <w:r>
        <w:rPr>
          <w:spacing w:val="20"/>
          <w:sz w:val="27"/>
          <w:szCs w:val="27"/>
        </w:rPr>
        <w:t>資料來源：教育局</w:t>
      </w:r>
      <w:r>
        <w:rPr>
          <w:spacing w:val="20"/>
          <w:sz w:val="27"/>
          <w:szCs w:val="27"/>
        </w:rPr>
        <w:t>)</w:t>
      </w:r>
    </w:p>
    <w:p>
      <w:pPr>
        <w:pStyle w:val="Normal"/>
        <w:overflowPunct w:val="true"/>
        <w:rPr>
          <w:spacing w:val="20"/>
          <w:sz w:val="27"/>
          <w:szCs w:val="27"/>
        </w:rPr>
      </w:pPr>
      <w:r>
        <w:rPr>
          <w:spacing w:val="20"/>
          <w:sz w:val="27"/>
          <w:szCs w:val="27"/>
        </w:rPr>
      </w:r>
    </w:p>
    <w:tbl>
      <w:tblPr>
        <w:tblStyle w:val="a9"/>
        <w:tblW w:w="9213" w:type="dxa"/>
        <w:jc w:val="left"/>
        <w:tblInd w:w="0" w:type="dxa"/>
        <w:tblCellMar>
          <w:top w:w="0" w:type="dxa"/>
          <w:left w:w="108" w:type="dxa"/>
          <w:bottom w:w="0" w:type="dxa"/>
          <w:right w:w="108" w:type="dxa"/>
        </w:tblCellMar>
        <w:tblLook w:val="01e0" w:noHBand="0" w:noVBand="0" w:firstColumn="1" w:lastRow="1" w:lastColumn="1" w:firstRow="1"/>
      </w:tblPr>
      <w:tblGrid>
        <w:gridCol w:w="1085"/>
        <w:gridCol w:w="2835"/>
        <w:gridCol w:w="1474"/>
        <w:gridCol w:w="763"/>
        <w:gridCol w:w="764"/>
        <w:gridCol w:w="763"/>
        <w:gridCol w:w="765"/>
        <w:gridCol w:w="763"/>
      </w:tblGrid>
      <w:tr>
        <w:trPr/>
        <w:tc>
          <w:tcPr>
            <w:tcW w:w="1085" w:type="dxa"/>
            <w:vMerge w:val="restart"/>
            <w:tcBorders/>
            <w:vAlign w:val="center"/>
          </w:tcPr>
          <w:p>
            <w:pPr>
              <w:pStyle w:val="Normal"/>
              <w:widowControl w:val="false"/>
              <w:overflowPunct w:val="true"/>
              <w:jc w:val="center"/>
              <w:rPr>
                <w:i/>
                <w:i/>
                <w:spacing w:val="20"/>
                <w:sz w:val="27"/>
                <w:szCs w:val="27"/>
              </w:rPr>
            </w:pPr>
            <w:r>
              <w:rPr>
                <w:i/>
                <w:spacing w:val="20"/>
                <w:sz w:val="27"/>
                <w:szCs w:val="27"/>
              </w:rPr>
              <w:t>培訓</w:t>
            </w:r>
          </w:p>
          <w:p>
            <w:pPr>
              <w:pStyle w:val="Normal"/>
              <w:widowControl w:val="false"/>
              <w:overflowPunct w:val="true"/>
              <w:jc w:val="center"/>
              <w:rPr>
                <w:i/>
                <w:i/>
                <w:spacing w:val="20"/>
                <w:sz w:val="27"/>
                <w:szCs w:val="27"/>
              </w:rPr>
            </w:pPr>
            <w:r>
              <w:rPr>
                <w:i/>
                <w:spacing w:val="20"/>
                <w:sz w:val="27"/>
                <w:szCs w:val="27"/>
              </w:rPr>
              <w:t>機構</w:t>
            </w:r>
          </w:p>
          <w:p>
            <w:pPr>
              <w:pStyle w:val="Normal"/>
              <w:widowControl w:val="false"/>
              <w:overflowPunct w:val="true"/>
              <w:jc w:val="center"/>
              <w:rPr>
                <w:i/>
                <w:i/>
                <w:spacing w:val="20"/>
                <w:sz w:val="27"/>
                <w:szCs w:val="27"/>
              </w:rPr>
            </w:pPr>
            <w:r>
              <w:rPr>
                <w:i/>
                <w:spacing w:val="20"/>
                <w:sz w:val="27"/>
                <w:szCs w:val="27"/>
              </w:rPr>
              <w:t>名稱</w:t>
            </w:r>
          </w:p>
        </w:tc>
        <w:tc>
          <w:tcPr>
            <w:tcW w:w="2835" w:type="dxa"/>
            <w:vMerge w:val="restart"/>
            <w:tcBorders/>
            <w:vAlign w:val="center"/>
          </w:tcPr>
          <w:p>
            <w:pPr>
              <w:pStyle w:val="Normal"/>
              <w:widowControl w:val="false"/>
              <w:overflowPunct w:val="true"/>
              <w:jc w:val="center"/>
              <w:rPr>
                <w:i/>
                <w:i/>
                <w:spacing w:val="20"/>
                <w:sz w:val="27"/>
                <w:szCs w:val="27"/>
              </w:rPr>
            </w:pPr>
            <w:r>
              <w:rPr>
                <w:i/>
                <w:spacing w:val="20"/>
                <w:sz w:val="27"/>
                <w:szCs w:val="27"/>
              </w:rPr>
              <w:t>培訓課程名稱</w:t>
            </w:r>
          </w:p>
        </w:tc>
        <w:tc>
          <w:tcPr>
            <w:tcW w:w="1474" w:type="dxa"/>
            <w:vMerge w:val="restart"/>
            <w:tcBorders/>
            <w:vAlign w:val="center"/>
          </w:tcPr>
          <w:p>
            <w:pPr>
              <w:pStyle w:val="Normal"/>
              <w:widowControl w:val="false"/>
              <w:overflowPunct w:val="true"/>
              <w:jc w:val="center"/>
              <w:rPr>
                <w:i/>
                <w:i/>
                <w:spacing w:val="20"/>
                <w:sz w:val="27"/>
                <w:szCs w:val="27"/>
              </w:rPr>
            </w:pPr>
            <w:r>
              <w:rPr>
                <w:i/>
                <w:spacing w:val="20"/>
                <w:sz w:val="27"/>
                <w:szCs w:val="27"/>
              </w:rPr>
              <w:t>修讀年期</w:t>
            </w:r>
          </w:p>
        </w:tc>
        <w:tc>
          <w:tcPr>
            <w:tcW w:w="3818" w:type="dxa"/>
            <w:gridSpan w:val="5"/>
            <w:tcBorders/>
            <w:vAlign w:val="center"/>
          </w:tcPr>
          <w:p>
            <w:pPr>
              <w:pStyle w:val="Normal"/>
              <w:widowControl w:val="false"/>
              <w:overflowPunct w:val="true"/>
              <w:jc w:val="center"/>
              <w:rPr>
                <w:i/>
                <w:i/>
                <w:spacing w:val="20"/>
                <w:sz w:val="27"/>
                <w:szCs w:val="27"/>
              </w:rPr>
            </w:pPr>
            <w:r>
              <w:rPr>
                <w:i/>
                <w:spacing w:val="20"/>
                <w:sz w:val="27"/>
                <w:szCs w:val="27"/>
              </w:rPr>
              <w:t>畢業人數</w:t>
            </w:r>
          </w:p>
        </w:tc>
      </w:tr>
      <w:tr>
        <w:trPr/>
        <w:tc>
          <w:tcPr>
            <w:tcW w:w="1085" w:type="dxa"/>
            <w:vMerge w:val="continue"/>
            <w:tcBorders/>
            <w:vAlign w:val="center"/>
          </w:tcPr>
          <w:p>
            <w:pPr>
              <w:pStyle w:val="Normal"/>
              <w:widowControl/>
              <w:spacing w:lineRule="auto" w:line="240"/>
              <w:jc w:val="left"/>
              <w:rPr>
                <w:i/>
                <w:i/>
                <w:spacing w:val="20"/>
                <w:sz w:val="27"/>
                <w:szCs w:val="27"/>
              </w:rPr>
            </w:pPr>
            <w:r>
              <w:rPr>
                <w:i/>
                <w:spacing w:val="20"/>
                <w:sz w:val="27"/>
                <w:szCs w:val="27"/>
              </w:rPr>
            </w:r>
          </w:p>
        </w:tc>
        <w:tc>
          <w:tcPr>
            <w:tcW w:w="2835" w:type="dxa"/>
            <w:vMerge w:val="continue"/>
            <w:tcBorders/>
            <w:vAlign w:val="center"/>
          </w:tcPr>
          <w:p>
            <w:pPr>
              <w:pStyle w:val="Normal"/>
              <w:widowControl/>
              <w:spacing w:lineRule="auto" w:line="240"/>
              <w:jc w:val="left"/>
              <w:rPr>
                <w:i/>
                <w:i/>
                <w:spacing w:val="20"/>
                <w:sz w:val="27"/>
                <w:szCs w:val="27"/>
              </w:rPr>
            </w:pPr>
            <w:r>
              <w:rPr>
                <w:i/>
                <w:spacing w:val="20"/>
                <w:sz w:val="27"/>
                <w:szCs w:val="27"/>
              </w:rPr>
            </w:r>
          </w:p>
        </w:tc>
        <w:tc>
          <w:tcPr>
            <w:tcW w:w="1474" w:type="dxa"/>
            <w:vMerge w:val="continue"/>
            <w:tcBorders/>
            <w:vAlign w:val="center"/>
          </w:tcPr>
          <w:p>
            <w:pPr>
              <w:pStyle w:val="Normal"/>
              <w:widowControl/>
              <w:spacing w:lineRule="auto" w:line="240"/>
              <w:jc w:val="left"/>
              <w:rPr>
                <w:i/>
                <w:i/>
                <w:spacing w:val="20"/>
                <w:sz w:val="27"/>
                <w:szCs w:val="27"/>
              </w:rPr>
            </w:pPr>
            <w:r>
              <w:rPr>
                <w:i/>
                <w:spacing w:val="20"/>
                <w:sz w:val="27"/>
                <w:szCs w:val="27"/>
              </w:rPr>
            </w:r>
          </w:p>
        </w:tc>
        <w:tc>
          <w:tcPr>
            <w:tcW w:w="763" w:type="dxa"/>
            <w:tcBorders/>
            <w:vAlign w:val="center"/>
          </w:tcPr>
          <w:p>
            <w:pPr>
              <w:pStyle w:val="Normal"/>
              <w:widowControl w:val="false"/>
              <w:overflowPunct w:val="true"/>
              <w:jc w:val="center"/>
              <w:rPr>
                <w:i/>
                <w:i/>
                <w:spacing w:val="20"/>
                <w:sz w:val="27"/>
                <w:szCs w:val="27"/>
              </w:rPr>
            </w:pPr>
            <w:r>
              <w:rPr>
                <w:i/>
                <w:spacing w:val="20"/>
                <w:sz w:val="27"/>
                <w:szCs w:val="27"/>
              </w:rPr>
              <w:t>2008-2009</w:t>
            </w:r>
            <w:r>
              <w:rPr>
                <w:i/>
                <w:spacing w:val="20"/>
                <w:sz w:val="27"/>
                <w:szCs w:val="27"/>
              </w:rPr>
              <w:t>學年</w:t>
            </w:r>
          </w:p>
        </w:tc>
        <w:tc>
          <w:tcPr>
            <w:tcW w:w="764" w:type="dxa"/>
            <w:tcBorders/>
            <w:vAlign w:val="center"/>
          </w:tcPr>
          <w:p>
            <w:pPr>
              <w:pStyle w:val="Normal"/>
              <w:widowControl w:val="false"/>
              <w:overflowPunct w:val="true"/>
              <w:jc w:val="center"/>
              <w:rPr>
                <w:i/>
                <w:i/>
                <w:spacing w:val="20"/>
                <w:sz w:val="27"/>
                <w:szCs w:val="27"/>
              </w:rPr>
            </w:pPr>
            <w:r>
              <w:rPr>
                <w:i/>
                <w:spacing w:val="20"/>
                <w:sz w:val="27"/>
                <w:szCs w:val="27"/>
              </w:rPr>
              <w:t>2009-2010</w:t>
            </w:r>
            <w:r>
              <w:rPr>
                <w:i/>
                <w:spacing w:val="20"/>
                <w:sz w:val="27"/>
                <w:szCs w:val="27"/>
              </w:rPr>
              <w:t>學年</w:t>
            </w:r>
          </w:p>
        </w:tc>
        <w:tc>
          <w:tcPr>
            <w:tcW w:w="763" w:type="dxa"/>
            <w:tcBorders/>
            <w:vAlign w:val="center"/>
          </w:tcPr>
          <w:p>
            <w:pPr>
              <w:pStyle w:val="Normal"/>
              <w:widowControl w:val="false"/>
              <w:overflowPunct w:val="true"/>
              <w:jc w:val="center"/>
              <w:rPr>
                <w:i/>
                <w:i/>
                <w:spacing w:val="20"/>
                <w:sz w:val="27"/>
                <w:szCs w:val="27"/>
              </w:rPr>
            </w:pPr>
            <w:r>
              <w:rPr>
                <w:i/>
                <w:spacing w:val="20"/>
                <w:sz w:val="27"/>
                <w:szCs w:val="27"/>
              </w:rPr>
              <w:t>2010-2011</w:t>
            </w:r>
            <w:r>
              <w:rPr>
                <w:i/>
                <w:spacing w:val="20"/>
                <w:sz w:val="27"/>
                <w:szCs w:val="27"/>
              </w:rPr>
              <w:t>學年</w:t>
            </w:r>
          </w:p>
        </w:tc>
        <w:tc>
          <w:tcPr>
            <w:tcW w:w="765" w:type="dxa"/>
            <w:tcBorders/>
            <w:vAlign w:val="center"/>
          </w:tcPr>
          <w:p>
            <w:pPr>
              <w:pStyle w:val="Normal"/>
              <w:widowControl w:val="false"/>
              <w:overflowPunct w:val="true"/>
              <w:jc w:val="center"/>
              <w:rPr>
                <w:i/>
                <w:i/>
                <w:spacing w:val="20"/>
                <w:sz w:val="27"/>
                <w:szCs w:val="27"/>
              </w:rPr>
            </w:pPr>
            <w:r>
              <w:rPr>
                <w:i/>
                <w:spacing w:val="20"/>
                <w:sz w:val="27"/>
                <w:szCs w:val="27"/>
              </w:rPr>
              <w:t>2011-2012</w:t>
            </w:r>
            <w:r>
              <w:rPr>
                <w:i/>
                <w:spacing w:val="20"/>
                <w:sz w:val="27"/>
                <w:szCs w:val="27"/>
              </w:rPr>
              <w:t>學年</w:t>
            </w:r>
          </w:p>
        </w:tc>
        <w:tc>
          <w:tcPr>
            <w:tcW w:w="763" w:type="dxa"/>
            <w:tcBorders/>
            <w:vAlign w:val="center"/>
          </w:tcPr>
          <w:p>
            <w:pPr>
              <w:pStyle w:val="Normal"/>
              <w:widowControl w:val="false"/>
              <w:overflowPunct w:val="true"/>
              <w:jc w:val="center"/>
              <w:rPr>
                <w:i/>
                <w:i/>
                <w:spacing w:val="20"/>
                <w:sz w:val="27"/>
                <w:szCs w:val="27"/>
              </w:rPr>
            </w:pPr>
            <w:r>
              <w:rPr>
                <w:i/>
                <w:spacing w:val="20"/>
                <w:sz w:val="27"/>
                <w:szCs w:val="27"/>
              </w:rPr>
              <w:t>2012-2013</w:t>
            </w:r>
            <w:r>
              <w:rPr>
                <w:i/>
                <w:spacing w:val="20"/>
                <w:sz w:val="27"/>
                <w:szCs w:val="27"/>
              </w:rPr>
              <w:t>學年</w:t>
            </w:r>
          </w:p>
        </w:tc>
      </w:tr>
      <w:tr>
        <w:trPr/>
        <w:tc>
          <w:tcPr>
            <w:tcW w:w="1085" w:type="dxa"/>
            <w:tcBorders/>
          </w:tcPr>
          <w:p>
            <w:pPr>
              <w:pStyle w:val="Normal"/>
              <w:widowControl w:val="false"/>
              <w:overflowPunct w:val="true"/>
              <w:ind w:left="85" w:hanging="0"/>
              <w:jc w:val="left"/>
              <w:rPr>
                <w:spacing w:val="20"/>
                <w:sz w:val="27"/>
                <w:szCs w:val="27"/>
              </w:rPr>
            </w:pPr>
            <w:r>
              <w:rPr>
                <w:spacing w:val="20"/>
                <w:sz w:val="27"/>
                <w:szCs w:val="27"/>
              </w:rPr>
              <w:t>教資會資助院校</w:t>
            </w:r>
          </w:p>
        </w:tc>
        <w:tc>
          <w:tcPr>
            <w:tcW w:w="2835" w:type="dxa"/>
            <w:tcBorders/>
            <w:vAlign w:val="center"/>
          </w:tcPr>
          <w:p>
            <w:pPr>
              <w:pStyle w:val="Normal"/>
              <w:widowControl w:val="false"/>
              <w:overflowPunct w:val="true"/>
              <w:ind w:left="57" w:hanging="0"/>
              <w:rPr>
                <w:spacing w:val="20"/>
                <w:sz w:val="27"/>
                <w:szCs w:val="27"/>
              </w:rPr>
            </w:pPr>
            <w:r>
              <w:rPr>
                <w:spacing w:val="20"/>
                <w:sz w:val="27"/>
                <w:szCs w:val="27"/>
              </w:rPr>
              <w:t>學士學科</w:t>
            </w:r>
            <w:r>
              <w:rPr>
                <w:spacing w:val="20"/>
                <w:sz w:val="27"/>
                <w:szCs w:val="27"/>
                <w:vertAlign w:val="superscript"/>
              </w:rPr>
              <w:t>(1)</w:t>
            </w:r>
            <w:r>
              <w:rPr>
                <w:spacing w:val="20"/>
                <w:sz w:val="27"/>
                <w:szCs w:val="27"/>
              </w:rPr>
              <w:t>―</w:t>
            </w:r>
            <w:r>
              <w:rPr>
                <w:spacing w:val="20"/>
                <w:sz w:val="27"/>
                <w:szCs w:val="27"/>
              </w:rPr>
              <w:t>屋宇裝備工程、電機工程、機械工程</w:t>
            </w:r>
          </w:p>
        </w:tc>
        <w:tc>
          <w:tcPr>
            <w:tcW w:w="1474" w:type="dxa"/>
            <w:tcBorders/>
            <w:vAlign w:val="center"/>
          </w:tcPr>
          <w:p>
            <w:pPr>
              <w:pStyle w:val="Normal"/>
              <w:widowControl w:val="false"/>
              <w:overflowPunct w:val="true"/>
              <w:jc w:val="center"/>
              <w:rPr>
                <w:spacing w:val="20"/>
                <w:sz w:val="27"/>
                <w:szCs w:val="27"/>
              </w:rPr>
            </w:pPr>
            <w:r>
              <w:rPr>
                <w:spacing w:val="20"/>
                <w:sz w:val="27"/>
                <w:szCs w:val="27"/>
              </w:rPr>
              <w:t>3</w:t>
            </w:r>
            <w:r>
              <w:rPr>
                <w:spacing w:val="20"/>
                <w:sz w:val="27"/>
                <w:szCs w:val="27"/>
              </w:rPr>
              <w:t>至</w:t>
            </w:r>
            <w:r>
              <w:rPr>
                <w:spacing w:val="20"/>
                <w:sz w:val="27"/>
                <w:szCs w:val="27"/>
              </w:rPr>
              <w:t>4</w:t>
            </w:r>
            <w:r>
              <w:rPr>
                <w:spacing w:val="20"/>
                <w:sz w:val="27"/>
                <w:szCs w:val="27"/>
              </w:rPr>
              <w:t>年</w:t>
            </w:r>
          </w:p>
        </w:tc>
        <w:tc>
          <w:tcPr>
            <w:tcW w:w="763" w:type="dxa"/>
            <w:tcBorders/>
            <w:vAlign w:val="center"/>
          </w:tcPr>
          <w:p>
            <w:pPr>
              <w:pStyle w:val="Normal"/>
              <w:widowControl w:val="false"/>
              <w:overflowPunct w:val="true"/>
              <w:jc w:val="center"/>
              <w:rPr>
                <w:spacing w:val="20"/>
                <w:sz w:val="27"/>
                <w:szCs w:val="27"/>
              </w:rPr>
            </w:pPr>
            <w:r>
              <w:rPr>
                <w:spacing w:val="20"/>
                <w:sz w:val="27"/>
                <w:szCs w:val="27"/>
              </w:rPr>
              <w:t>394</w:t>
            </w:r>
          </w:p>
        </w:tc>
        <w:tc>
          <w:tcPr>
            <w:tcW w:w="764" w:type="dxa"/>
            <w:tcBorders/>
            <w:vAlign w:val="center"/>
          </w:tcPr>
          <w:p>
            <w:pPr>
              <w:pStyle w:val="Normal"/>
              <w:widowControl w:val="false"/>
              <w:overflowPunct w:val="true"/>
              <w:jc w:val="center"/>
              <w:rPr>
                <w:spacing w:val="20"/>
                <w:sz w:val="27"/>
                <w:szCs w:val="27"/>
              </w:rPr>
            </w:pPr>
            <w:r>
              <w:rPr>
                <w:spacing w:val="20"/>
                <w:sz w:val="27"/>
                <w:szCs w:val="27"/>
              </w:rPr>
              <w:t>442</w:t>
            </w:r>
          </w:p>
        </w:tc>
        <w:tc>
          <w:tcPr>
            <w:tcW w:w="763" w:type="dxa"/>
            <w:tcBorders/>
            <w:vAlign w:val="center"/>
          </w:tcPr>
          <w:p>
            <w:pPr>
              <w:pStyle w:val="Normal"/>
              <w:widowControl w:val="false"/>
              <w:overflowPunct w:val="true"/>
              <w:jc w:val="center"/>
              <w:rPr>
                <w:spacing w:val="20"/>
                <w:sz w:val="27"/>
                <w:szCs w:val="27"/>
              </w:rPr>
            </w:pPr>
            <w:r>
              <w:rPr>
                <w:spacing w:val="20"/>
                <w:sz w:val="27"/>
                <w:szCs w:val="27"/>
              </w:rPr>
              <w:t>460</w:t>
            </w:r>
          </w:p>
        </w:tc>
        <w:tc>
          <w:tcPr>
            <w:tcW w:w="765" w:type="dxa"/>
            <w:tcBorders/>
            <w:vAlign w:val="center"/>
          </w:tcPr>
          <w:p>
            <w:pPr>
              <w:pStyle w:val="Normal"/>
              <w:widowControl w:val="false"/>
              <w:overflowPunct w:val="true"/>
              <w:jc w:val="center"/>
              <w:rPr>
                <w:spacing w:val="20"/>
                <w:sz w:val="27"/>
                <w:szCs w:val="27"/>
              </w:rPr>
            </w:pPr>
            <w:r>
              <w:rPr>
                <w:spacing w:val="20"/>
                <w:sz w:val="27"/>
                <w:szCs w:val="27"/>
              </w:rPr>
              <w:t>430</w:t>
            </w:r>
          </w:p>
        </w:tc>
        <w:tc>
          <w:tcPr>
            <w:tcW w:w="763" w:type="dxa"/>
            <w:tcBorders/>
            <w:vAlign w:val="center"/>
          </w:tcPr>
          <w:p>
            <w:pPr>
              <w:pStyle w:val="Normal"/>
              <w:widowControl w:val="false"/>
              <w:overflowPunct w:val="true"/>
              <w:jc w:val="center"/>
              <w:rPr>
                <w:spacing w:val="20"/>
                <w:sz w:val="27"/>
                <w:szCs w:val="27"/>
              </w:rPr>
            </w:pPr>
            <w:r>
              <w:rPr>
                <w:spacing w:val="20"/>
                <w:sz w:val="27"/>
                <w:szCs w:val="27"/>
              </w:rPr>
              <w:t>452</w:t>
            </w:r>
          </w:p>
        </w:tc>
      </w:tr>
      <w:tr>
        <w:trPr/>
        <w:tc>
          <w:tcPr>
            <w:tcW w:w="1085" w:type="dxa"/>
            <w:vMerge w:val="restart"/>
            <w:tcBorders/>
          </w:tcPr>
          <w:p>
            <w:pPr>
              <w:pStyle w:val="Normal"/>
              <w:widowControl w:val="false"/>
              <w:overflowPunct w:val="true"/>
              <w:ind w:left="85" w:hanging="0"/>
              <w:jc w:val="left"/>
              <w:rPr>
                <w:spacing w:val="20"/>
                <w:sz w:val="27"/>
                <w:szCs w:val="27"/>
              </w:rPr>
            </w:pPr>
            <w:r>
              <w:rPr>
                <w:spacing w:val="20"/>
                <w:sz w:val="27"/>
                <w:szCs w:val="27"/>
              </w:rPr>
              <w:t>職訓局―才晉高等教育學院</w:t>
            </w:r>
          </w:p>
        </w:tc>
        <w:tc>
          <w:tcPr>
            <w:tcW w:w="2835" w:type="dxa"/>
            <w:tcBorders/>
            <w:vAlign w:val="center"/>
          </w:tcPr>
          <w:p>
            <w:pPr>
              <w:pStyle w:val="Normal"/>
              <w:widowControl w:val="false"/>
              <w:overflowPunct w:val="true"/>
              <w:ind w:left="57" w:hanging="0"/>
              <w:rPr>
                <w:spacing w:val="20"/>
                <w:sz w:val="27"/>
                <w:szCs w:val="27"/>
              </w:rPr>
            </w:pPr>
            <w:r>
              <w:rPr>
                <w:spacing w:val="20"/>
                <w:sz w:val="27"/>
                <w:szCs w:val="27"/>
              </w:rPr>
              <w:t>工程</w:t>
            </w:r>
            <w:r>
              <w:rPr>
                <w:spacing w:val="20"/>
                <w:sz w:val="27"/>
                <w:szCs w:val="27"/>
              </w:rPr>
              <w:t>(</w:t>
            </w:r>
            <w:r>
              <w:rPr>
                <w:spacing w:val="20"/>
                <w:sz w:val="27"/>
                <w:szCs w:val="27"/>
              </w:rPr>
              <w:t>電機工程</w:t>
            </w:r>
            <w:r>
              <w:rPr>
                <w:spacing w:val="20"/>
                <w:sz w:val="27"/>
                <w:szCs w:val="27"/>
              </w:rPr>
              <w:t>)</w:t>
            </w:r>
            <w:r>
              <w:rPr>
                <w:spacing w:val="20"/>
                <w:sz w:val="27"/>
                <w:szCs w:val="27"/>
              </w:rPr>
              <w:t>學士</w:t>
            </w:r>
            <w:r>
              <w:rPr>
                <w:spacing w:val="20"/>
                <w:sz w:val="27"/>
                <w:szCs w:val="27"/>
              </w:rPr>
              <w:t>(</w:t>
            </w:r>
            <w:r>
              <w:rPr>
                <w:spacing w:val="20"/>
                <w:sz w:val="27"/>
                <w:szCs w:val="27"/>
              </w:rPr>
              <w:t>榮譽</w:t>
            </w:r>
            <w:r>
              <w:rPr>
                <w:spacing w:val="20"/>
                <w:sz w:val="27"/>
                <w:szCs w:val="27"/>
              </w:rPr>
              <w:t>)</w:t>
            </w:r>
            <w:r>
              <w:rPr>
                <w:spacing w:val="20"/>
                <w:sz w:val="27"/>
                <w:szCs w:val="27"/>
                <w:vertAlign w:val="superscript"/>
              </w:rPr>
              <w:t>(2)</w:t>
            </w:r>
          </w:p>
        </w:tc>
        <w:tc>
          <w:tcPr>
            <w:tcW w:w="1474" w:type="dxa"/>
            <w:tcBorders/>
            <w:vAlign w:val="center"/>
          </w:tcPr>
          <w:p>
            <w:pPr>
              <w:pStyle w:val="Normal"/>
              <w:widowControl w:val="false"/>
              <w:overflowPunct w:val="true"/>
              <w:jc w:val="center"/>
              <w:rPr>
                <w:spacing w:val="20"/>
                <w:sz w:val="27"/>
                <w:szCs w:val="27"/>
              </w:rPr>
            </w:pPr>
            <w:r>
              <w:rPr>
                <w:spacing w:val="20"/>
                <w:sz w:val="27"/>
                <w:szCs w:val="27"/>
              </w:rPr>
              <w:t>2</w:t>
            </w:r>
            <w:r>
              <w:rPr>
                <w:spacing w:val="20"/>
                <w:sz w:val="27"/>
                <w:szCs w:val="27"/>
              </w:rPr>
              <w:t>年</w:t>
            </w:r>
          </w:p>
        </w:tc>
        <w:tc>
          <w:tcPr>
            <w:tcW w:w="763" w:type="dxa"/>
            <w:tcBorders/>
            <w:vAlign w:val="center"/>
          </w:tcPr>
          <w:p>
            <w:pPr>
              <w:pStyle w:val="Normal"/>
              <w:widowControl w:val="false"/>
              <w:overflowPunct w:val="true"/>
              <w:jc w:val="center"/>
              <w:rPr>
                <w:spacing w:val="20"/>
                <w:sz w:val="27"/>
                <w:szCs w:val="27"/>
              </w:rPr>
            </w:pPr>
            <w:r>
              <w:rPr>
                <w:spacing w:val="20"/>
                <w:sz w:val="27"/>
                <w:szCs w:val="27"/>
              </w:rPr>
              <w:t>-</w:t>
            </w:r>
          </w:p>
        </w:tc>
        <w:tc>
          <w:tcPr>
            <w:tcW w:w="764" w:type="dxa"/>
            <w:tcBorders/>
            <w:vAlign w:val="center"/>
          </w:tcPr>
          <w:p>
            <w:pPr>
              <w:pStyle w:val="Normal"/>
              <w:widowControl w:val="false"/>
              <w:overflowPunct w:val="true"/>
              <w:jc w:val="center"/>
              <w:rPr>
                <w:spacing w:val="20"/>
                <w:sz w:val="27"/>
                <w:szCs w:val="27"/>
              </w:rPr>
            </w:pPr>
            <w:r>
              <w:rPr>
                <w:spacing w:val="20"/>
                <w:sz w:val="27"/>
                <w:szCs w:val="27"/>
              </w:rPr>
              <w:t>-</w:t>
            </w:r>
          </w:p>
        </w:tc>
        <w:tc>
          <w:tcPr>
            <w:tcW w:w="763" w:type="dxa"/>
            <w:tcBorders/>
            <w:vAlign w:val="center"/>
          </w:tcPr>
          <w:p>
            <w:pPr>
              <w:pStyle w:val="Normal"/>
              <w:widowControl w:val="false"/>
              <w:overflowPunct w:val="true"/>
              <w:jc w:val="center"/>
              <w:rPr>
                <w:spacing w:val="20"/>
                <w:sz w:val="27"/>
                <w:szCs w:val="27"/>
              </w:rPr>
            </w:pPr>
            <w:r>
              <w:rPr>
                <w:spacing w:val="20"/>
                <w:sz w:val="27"/>
                <w:szCs w:val="27"/>
              </w:rPr>
              <w:t>-</w:t>
            </w:r>
          </w:p>
        </w:tc>
        <w:tc>
          <w:tcPr>
            <w:tcW w:w="765" w:type="dxa"/>
            <w:tcBorders/>
            <w:vAlign w:val="center"/>
          </w:tcPr>
          <w:p>
            <w:pPr>
              <w:pStyle w:val="Normal"/>
              <w:widowControl w:val="false"/>
              <w:overflowPunct w:val="true"/>
              <w:jc w:val="center"/>
              <w:rPr>
                <w:spacing w:val="20"/>
                <w:sz w:val="27"/>
                <w:szCs w:val="27"/>
              </w:rPr>
            </w:pPr>
            <w:r>
              <w:rPr>
                <w:spacing w:val="20"/>
                <w:sz w:val="27"/>
                <w:szCs w:val="27"/>
              </w:rPr>
              <w:t>-</w:t>
            </w:r>
          </w:p>
        </w:tc>
        <w:tc>
          <w:tcPr>
            <w:tcW w:w="763" w:type="dxa"/>
            <w:tcBorders/>
            <w:vAlign w:val="center"/>
          </w:tcPr>
          <w:p>
            <w:pPr>
              <w:pStyle w:val="Normal"/>
              <w:widowControl w:val="false"/>
              <w:overflowPunct w:val="true"/>
              <w:jc w:val="center"/>
              <w:rPr>
                <w:spacing w:val="20"/>
                <w:sz w:val="27"/>
                <w:szCs w:val="27"/>
              </w:rPr>
            </w:pPr>
            <w:r>
              <w:rPr>
                <w:spacing w:val="20"/>
                <w:sz w:val="27"/>
                <w:szCs w:val="27"/>
              </w:rPr>
              <w:t>-</w:t>
            </w:r>
          </w:p>
        </w:tc>
      </w:tr>
      <w:tr>
        <w:trPr/>
        <w:tc>
          <w:tcPr>
            <w:tcW w:w="1085" w:type="dxa"/>
            <w:vMerge w:val="continue"/>
            <w:tcBorders/>
            <w:vAlign w:val="center"/>
          </w:tcPr>
          <w:p>
            <w:pPr>
              <w:pStyle w:val="Normal"/>
              <w:widowControl/>
              <w:spacing w:lineRule="auto" w:line="240"/>
              <w:jc w:val="left"/>
              <w:rPr>
                <w:spacing w:val="20"/>
                <w:sz w:val="27"/>
                <w:szCs w:val="27"/>
              </w:rPr>
            </w:pPr>
            <w:r>
              <w:rPr>
                <w:spacing w:val="20"/>
                <w:sz w:val="27"/>
                <w:szCs w:val="27"/>
              </w:rPr>
            </w:r>
          </w:p>
        </w:tc>
        <w:tc>
          <w:tcPr>
            <w:tcW w:w="2835" w:type="dxa"/>
            <w:tcBorders/>
            <w:vAlign w:val="center"/>
          </w:tcPr>
          <w:p>
            <w:pPr>
              <w:pStyle w:val="Normal"/>
              <w:widowControl w:val="false"/>
              <w:overflowPunct w:val="true"/>
              <w:ind w:left="57" w:hanging="0"/>
              <w:rPr>
                <w:spacing w:val="20"/>
                <w:sz w:val="27"/>
                <w:szCs w:val="27"/>
              </w:rPr>
            </w:pPr>
            <w:r>
              <w:rPr>
                <w:spacing w:val="20"/>
                <w:sz w:val="27"/>
                <w:szCs w:val="27"/>
              </w:rPr>
              <w:t>工程</w:t>
            </w:r>
            <w:r>
              <w:rPr>
                <w:spacing w:val="20"/>
                <w:sz w:val="27"/>
                <w:szCs w:val="27"/>
              </w:rPr>
              <w:t>(</w:t>
            </w:r>
            <w:r>
              <w:rPr>
                <w:spacing w:val="20"/>
                <w:sz w:val="27"/>
                <w:szCs w:val="27"/>
              </w:rPr>
              <w:t>機械工程</w:t>
            </w:r>
            <w:r>
              <w:rPr>
                <w:spacing w:val="20"/>
                <w:sz w:val="27"/>
                <w:szCs w:val="27"/>
              </w:rPr>
              <w:t>)</w:t>
            </w:r>
            <w:r>
              <w:rPr>
                <w:spacing w:val="20"/>
                <w:sz w:val="27"/>
                <w:szCs w:val="27"/>
              </w:rPr>
              <w:t>學士</w:t>
            </w:r>
            <w:r>
              <w:rPr>
                <w:spacing w:val="20"/>
                <w:sz w:val="27"/>
                <w:szCs w:val="27"/>
              </w:rPr>
              <w:t>(</w:t>
            </w:r>
            <w:r>
              <w:rPr>
                <w:spacing w:val="20"/>
                <w:sz w:val="27"/>
                <w:szCs w:val="27"/>
              </w:rPr>
              <w:t>榮譽</w:t>
            </w:r>
            <w:r>
              <w:rPr>
                <w:spacing w:val="20"/>
                <w:sz w:val="27"/>
                <w:szCs w:val="27"/>
              </w:rPr>
              <w:t>)</w:t>
            </w:r>
            <w:r>
              <w:rPr>
                <w:spacing w:val="20"/>
                <w:sz w:val="27"/>
                <w:szCs w:val="27"/>
                <w:vertAlign w:val="superscript"/>
              </w:rPr>
              <w:t>(2)</w:t>
            </w:r>
          </w:p>
        </w:tc>
        <w:tc>
          <w:tcPr>
            <w:tcW w:w="1474" w:type="dxa"/>
            <w:tcBorders/>
            <w:vAlign w:val="center"/>
          </w:tcPr>
          <w:p>
            <w:pPr>
              <w:pStyle w:val="Normal"/>
              <w:widowControl w:val="false"/>
              <w:overflowPunct w:val="true"/>
              <w:jc w:val="center"/>
              <w:rPr>
                <w:spacing w:val="20"/>
                <w:sz w:val="27"/>
                <w:szCs w:val="27"/>
              </w:rPr>
            </w:pPr>
            <w:r>
              <w:rPr>
                <w:spacing w:val="20"/>
                <w:sz w:val="27"/>
                <w:szCs w:val="27"/>
              </w:rPr>
              <w:t>2</w:t>
            </w:r>
            <w:r>
              <w:rPr>
                <w:spacing w:val="20"/>
                <w:sz w:val="27"/>
                <w:szCs w:val="27"/>
              </w:rPr>
              <w:t>年</w:t>
            </w:r>
          </w:p>
        </w:tc>
        <w:tc>
          <w:tcPr>
            <w:tcW w:w="763" w:type="dxa"/>
            <w:tcBorders/>
            <w:vAlign w:val="center"/>
          </w:tcPr>
          <w:p>
            <w:pPr>
              <w:pStyle w:val="Normal"/>
              <w:widowControl w:val="false"/>
              <w:overflowPunct w:val="true"/>
              <w:jc w:val="center"/>
              <w:rPr>
                <w:spacing w:val="20"/>
                <w:sz w:val="27"/>
                <w:szCs w:val="27"/>
              </w:rPr>
            </w:pPr>
            <w:r>
              <w:rPr>
                <w:spacing w:val="20"/>
                <w:sz w:val="27"/>
                <w:szCs w:val="27"/>
              </w:rPr>
              <w:t>-</w:t>
            </w:r>
          </w:p>
        </w:tc>
        <w:tc>
          <w:tcPr>
            <w:tcW w:w="764" w:type="dxa"/>
            <w:tcBorders/>
            <w:vAlign w:val="center"/>
          </w:tcPr>
          <w:p>
            <w:pPr>
              <w:pStyle w:val="Normal"/>
              <w:widowControl w:val="false"/>
              <w:overflowPunct w:val="true"/>
              <w:jc w:val="center"/>
              <w:rPr>
                <w:spacing w:val="20"/>
                <w:sz w:val="27"/>
                <w:szCs w:val="27"/>
              </w:rPr>
            </w:pPr>
            <w:r>
              <w:rPr>
                <w:spacing w:val="20"/>
                <w:sz w:val="27"/>
                <w:szCs w:val="27"/>
              </w:rPr>
              <w:t>-</w:t>
            </w:r>
          </w:p>
        </w:tc>
        <w:tc>
          <w:tcPr>
            <w:tcW w:w="763" w:type="dxa"/>
            <w:tcBorders/>
            <w:vAlign w:val="center"/>
          </w:tcPr>
          <w:p>
            <w:pPr>
              <w:pStyle w:val="Normal"/>
              <w:widowControl w:val="false"/>
              <w:overflowPunct w:val="true"/>
              <w:jc w:val="center"/>
              <w:rPr>
                <w:spacing w:val="20"/>
                <w:sz w:val="27"/>
                <w:szCs w:val="27"/>
              </w:rPr>
            </w:pPr>
            <w:r>
              <w:rPr>
                <w:spacing w:val="20"/>
                <w:sz w:val="27"/>
                <w:szCs w:val="27"/>
              </w:rPr>
              <w:t>-</w:t>
            </w:r>
          </w:p>
        </w:tc>
        <w:tc>
          <w:tcPr>
            <w:tcW w:w="765" w:type="dxa"/>
            <w:tcBorders/>
            <w:vAlign w:val="center"/>
          </w:tcPr>
          <w:p>
            <w:pPr>
              <w:pStyle w:val="Normal"/>
              <w:widowControl w:val="false"/>
              <w:overflowPunct w:val="true"/>
              <w:jc w:val="center"/>
              <w:rPr>
                <w:spacing w:val="20"/>
                <w:sz w:val="27"/>
                <w:szCs w:val="27"/>
              </w:rPr>
            </w:pPr>
            <w:r>
              <w:rPr>
                <w:spacing w:val="20"/>
                <w:sz w:val="27"/>
                <w:szCs w:val="27"/>
              </w:rPr>
              <w:t>-</w:t>
            </w:r>
          </w:p>
        </w:tc>
        <w:tc>
          <w:tcPr>
            <w:tcW w:w="763" w:type="dxa"/>
            <w:tcBorders/>
            <w:vAlign w:val="center"/>
          </w:tcPr>
          <w:p>
            <w:pPr>
              <w:pStyle w:val="Normal"/>
              <w:widowControl w:val="false"/>
              <w:overflowPunct w:val="true"/>
              <w:jc w:val="center"/>
              <w:rPr>
                <w:spacing w:val="20"/>
                <w:sz w:val="27"/>
                <w:szCs w:val="27"/>
              </w:rPr>
            </w:pPr>
            <w:r>
              <w:rPr>
                <w:spacing w:val="20"/>
                <w:sz w:val="27"/>
                <w:szCs w:val="27"/>
              </w:rPr>
              <w:t>-</w:t>
            </w:r>
          </w:p>
        </w:tc>
      </w:tr>
    </w:tbl>
    <w:p>
      <w:pPr>
        <w:pStyle w:val="Normal"/>
        <w:overflowPunct w:val="true"/>
        <w:snapToGrid w:val="false"/>
        <w:spacing w:lineRule="auto" w:line="240"/>
        <w:ind w:left="567" w:hanging="567"/>
        <w:rPr>
          <w:spacing w:val="20"/>
          <w:sz w:val="20"/>
          <w:szCs w:val="20"/>
        </w:rPr>
      </w:pPr>
      <w:r>
        <w:rPr>
          <w:spacing w:val="20"/>
          <w:sz w:val="20"/>
          <w:szCs w:val="20"/>
        </w:rPr>
      </w:r>
    </w:p>
    <w:p>
      <w:pPr>
        <w:pStyle w:val="Normal"/>
        <w:overflowPunct w:val="true"/>
        <w:snapToGrid w:val="false"/>
        <w:spacing w:lineRule="auto" w:line="240"/>
        <w:ind w:left="567" w:hanging="567"/>
        <w:rPr>
          <w:spacing w:val="20"/>
          <w:sz w:val="20"/>
        </w:rPr>
      </w:pPr>
      <w:r>
        <w:rPr>
          <w:spacing w:val="20"/>
          <w:sz w:val="20"/>
        </w:rPr>
        <w:t>註：</w:t>
      </w:r>
    </w:p>
    <w:p>
      <w:pPr>
        <w:pStyle w:val="Normal"/>
        <w:overflowPunct w:val="true"/>
        <w:snapToGrid w:val="false"/>
        <w:spacing w:lineRule="auto" w:line="240"/>
        <w:ind w:left="567" w:hanging="567"/>
        <w:rPr>
          <w:spacing w:val="20"/>
          <w:sz w:val="20"/>
        </w:rPr>
      </w:pPr>
      <w:r>
        <w:rPr>
          <w:spacing w:val="20"/>
          <w:sz w:val="20"/>
        </w:rPr>
      </w:r>
    </w:p>
    <w:p>
      <w:pPr>
        <w:pStyle w:val="Normal"/>
        <w:overflowPunct w:val="true"/>
        <w:snapToGrid w:val="false"/>
        <w:spacing w:lineRule="auto" w:line="240"/>
        <w:ind w:left="567" w:hanging="567"/>
        <w:rPr>
          <w:spacing w:val="20"/>
          <w:sz w:val="20"/>
        </w:rPr>
      </w:pPr>
      <w:r>
        <w:rPr>
          <w:spacing w:val="20"/>
          <w:sz w:val="20"/>
        </w:rPr>
        <w:t>(1)</w:t>
        <w:tab/>
      </w:r>
      <w:r>
        <w:rPr>
          <w:spacing w:val="20"/>
          <w:sz w:val="20"/>
        </w:rPr>
        <w:t>新學制</w:t>
      </w:r>
      <w:r>
        <w:rPr>
          <w:spacing w:val="20"/>
          <w:sz w:val="20"/>
        </w:rPr>
        <w:t>(4</w:t>
      </w:r>
      <w:r>
        <w:rPr>
          <w:spacing w:val="20"/>
          <w:sz w:val="20"/>
        </w:rPr>
        <w:t>年</w:t>
      </w:r>
      <w:r>
        <w:rPr>
          <w:spacing w:val="20"/>
          <w:sz w:val="20"/>
        </w:rPr>
        <w:t>)</w:t>
      </w:r>
      <w:r>
        <w:rPr>
          <w:spacing w:val="20"/>
          <w:sz w:val="20"/>
        </w:rPr>
        <w:t>於</w:t>
      </w:r>
      <w:r>
        <w:rPr>
          <w:spacing w:val="20"/>
          <w:sz w:val="20"/>
        </w:rPr>
        <w:t>2012-2013</w:t>
      </w:r>
      <w:r>
        <w:rPr>
          <w:spacing w:val="20"/>
          <w:sz w:val="20"/>
        </w:rPr>
        <w:t>學年或以後實施。</w:t>
      </w:r>
      <w:r>
        <w:rPr>
          <w:spacing w:val="20"/>
          <w:sz w:val="20"/>
        </w:rPr>
        <w:t>2013-2014</w:t>
      </w:r>
      <w:r>
        <w:rPr>
          <w:spacing w:val="20"/>
          <w:sz w:val="20"/>
        </w:rPr>
        <w:t>學年畢業生數據暫未能提供。</w:t>
      </w:r>
    </w:p>
    <w:p>
      <w:pPr>
        <w:pStyle w:val="Normal"/>
        <w:overflowPunct w:val="true"/>
        <w:snapToGrid w:val="false"/>
        <w:spacing w:lineRule="auto" w:line="240"/>
        <w:ind w:left="567" w:hanging="567"/>
        <w:rPr>
          <w:spacing w:val="20"/>
          <w:sz w:val="20"/>
        </w:rPr>
      </w:pPr>
      <w:r>
        <w:rPr>
          <w:spacing w:val="20"/>
          <w:sz w:val="20"/>
        </w:rPr>
      </w:r>
    </w:p>
    <w:p>
      <w:pPr>
        <w:pStyle w:val="Normal"/>
        <w:overflowPunct w:val="true"/>
        <w:snapToGrid w:val="false"/>
        <w:spacing w:lineRule="auto" w:line="240"/>
        <w:ind w:left="567" w:hanging="567"/>
        <w:rPr>
          <w:spacing w:val="20"/>
          <w:sz w:val="27"/>
          <w:szCs w:val="27"/>
        </w:rPr>
      </w:pPr>
      <w:r>
        <w:rPr>
          <w:spacing w:val="20"/>
          <w:sz w:val="20"/>
        </w:rPr>
        <w:t>(2)</w:t>
        <w:tab/>
      </w:r>
      <w:r>
        <w:rPr>
          <w:spacing w:val="20"/>
          <w:sz w:val="20"/>
        </w:rPr>
        <w:t>該學士學位銜接課程與墨爾本皇家理工大學合辦。首屆學生將於</w:t>
      </w:r>
      <w:r>
        <w:rPr>
          <w:spacing w:val="20"/>
          <w:sz w:val="20"/>
        </w:rPr>
        <w:t>2016</w:t>
      </w:r>
      <w:r>
        <w:rPr>
          <w:spacing w:val="20"/>
          <w:sz w:val="20"/>
        </w:rPr>
        <w:t>年畢業。</w:t>
      </w:r>
      <w:r>
        <w:br w:type="page"/>
      </w:r>
    </w:p>
    <w:p>
      <w:pPr>
        <w:pStyle w:val="Normal"/>
        <w:overflowPunct w:val="true"/>
        <w:spacing w:lineRule="atLeast" w:line="410"/>
        <w:rPr>
          <w:spacing w:val="20"/>
          <w:sz w:val="27"/>
          <w:szCs w:val="27"/>
        </w:rPr>
      </w:pPr>
      <w:r>
        <w:rPr>
          <w:spacing w:val="20"/>
          <w:sz w:val="27"/>
          <w:szCs w:val="27"/>
        </w:rPr>
        <w:t>技術人員</w:t>
      </w:r>
      <w:r>
        <w:rPr>
          <w:i/>
          <w:spacing w:val="20"/>
          <w:sz w:val="27"/>
          <w:szCs w:val="27"/>
        </w:rPr>
        <w:t>／</w:t>
      </w:r>
      <w:r>
        <w:rPr>
          <w:spacing w:val="20"/>
          <w:sz w:val="27"/>
          <w:szCs w:val="27"/>
        </w:rPr>
        <w:t>工人</w:t>
      </w:r>
    </w:p>
    <w:p>
      <w:pPr>
        <w:pStyle w:val="Normal"/>
        <w:overflowPunct w:val="true"/>
        <w:spacing w:lineRule="atLeast" w:line="410"/>
        <w:rPr>
          <w:spacing w:val="20"/>
          <w:sz w:val="27"/>
          <w:szCs w:val="27"/>
        </w:rPr>
      </w:pPr>
      <w:r>
        <w:rPr>
          <w:spacing w:val="20"/>
          <w:sz w:val="27"/>
          <w:szCs w:val="27"/>
        </w:rPr>
      </w:r>
    </w:p>
    <w:tbl>
      <w:tblPr>
        <w:tblStyle w:val="a9"/>
        <w:tblW w:w="9210" w:type="dxa"/>
        <w:jc w:val="left"/>
        <w:tblInd w:w="0" w:type="dxa"/>
        <w:tblCellMar>
          <w:top w:w="0" w:type="dxa"/>
          <w:left w:w="108" w:type="dxa"/>
          <w:bottom w:w="0" w:type="dxa"/>
          <w:right w:w="108" w:type="dxa"/>
        </w:tblCellMar>
        <w:tblLook w:val="01e0" w:noHBand="0" w:noVBand="0" w:firstColumn="1" w:lastRow="1" w:lastColumn="1" w:firstRow="1"/>
      </w:tblPr>
      <w:tblGrid>
        <w:gridCol w:w="1805"/>
        <w:gridCol w:w="369"/>
        <w:gridCol w:w="1790"/>
        <w:gridCol w:w="1561"/>
        <w:gridCol w:w="736"/>
        <w:gridCol w:w="737"/>
        <w:gridCol w:w="738"/>
        <w:gridCol w:w="737"/>
        <w:gridCol w:w="736"/>
      </w:tblGrid>
      <w:tr>
        <w:trPr>
          <w:tblHeader w:val="true"/>
        </w:trPr>
        <w:tc>
          <w:tcPr>
            <w:tcW w:w="1805" w:type="dxa"/>
            <w:vMerge w:val="restart"/>
            <w:tcBorders/>
            <w:vAlign w:val="center"/>
          </w:tcPr>
          <w:p>
            <w:pPr>
              <w:pStyle w:val="Normal"/>
              <w:widowControl w:val="false"/>
              <w:overflowPunct w:val="true"/>
              <w:spacing w:lineRule="atLeast" w:line="410"/>
              <w:jc w:val="center"/>
              <w:rPr>
                <w:i/>
                <w:i/>
                <w:spacing w:val="20"/>
                <w:sz w:val="27"/>
                <w:szCs w:val="27"/>
              </w:rPr>
            </w:pPr>
            <w:r>
              <w:rPr>
                <w:i/>
                <w:spacing w:val="20"/>
                <w:sz w:val="27"/>
                <w:szCs w:val="27"/>
              </w:rPr>
              <w:t>培訓機構</w:t>
            </w:r>
          </w:p>
          <w:p>
            <w:pPr>
              <w:pStyle w:val="Normal"/>
              <w:widowControl w:val="false"/>
              <w:overflowPunct w:val="true"/>
              <w:spacing w:lineRule="atLeast" w:line="410"/>
              <w:jc w:val="center"/>
              <w:rPr>
                <w:i/>
                <w:i/>
                <w:spacing w:val="20"/>
                <w:sz w:val="27"/>
                <w:szCs w:val="27"/>
              </w:rPr>
            </w:pPr>
            <w:r>
              <w:rPr>
                <w:i/>
                <w:spacing w:val="20"/>
                <w:sz w:val="27"/>
                <w:szCs w:val="27"/>
              </w:rPr>
              <w:t>名稱</w:t>
            </w:r>
          </w:p>
        </w:tc>
        <w:tc>
          <w:tcPr>
            <w:tcW w:w="2159" w:type="dxa"/>
            <w:gridSpan w:val="2"/>
            <w:vMerge w:val="restart"/>
            <w:tcBorders/>
            <w:vAlign w:val="center"/>
          </w:tcPr>
          <w:p>
            <w:pPr>
              <w:pStyle w:val="Normal"/>
              <w:widowControl w:val="false"/>
              <w:overflowPunct w:val="true"/>
              <w:spacing w:lineRule="atLeast" w:line="410"/>
              <w:jc w:val="center"/>
              <w:rPr>
                <w:i/>
                <w:i/>
                <w:spacing w:val="20"/>
                <w:sz w:val="27"/>
                <w:szCs w:val="27"/>
              </w:rPr>
            </w:pPr>
            <w:r>
              <w:rPr>
                <w:i/>
                <w:spacing w:val="20"/>
                <w:sz w:val="27"/>
                <w:szCs w:val="27"/>
              </w:rPr>
              <w:t>培訓課程名稱</w:t>
            </w:r>
          </w:p>
        </w:tc>
        <w:tc>
          <w:tcPr>
            <w:tcW w:w="1561" w:type="dxa"/>
            <w:vMerge w:val="restart"/>
            <w:tcBorders/>
            <w:vAlign w:val="center"/>
          </w:tcPr>
          <w:p>
            <w:pPr>
              <w:pStyle w:val="Normal"/>
              <w:widowControl w:val="false"/>
              <w:overflowPunct w:val="true"/>
              <w:spacing w:lineRule="atLeast" w:line="410"/>
              <w:jc w:val="center"/>
              <w:rPr>
                <w:i/>
                <w:i/>
                <w:spacing w:val="20"/>
                <w:sz w:val="27"/>
                <w:szCs w:val="27"/>
              </w:rPr>
            </w:pPr>
            <w:r>
              <w:rPr>
                <w:i/>
                <w:spacing w:val="20"/>
                <w:sz w:val="27"/>
                <w:szCs w:val="27"/>
              </w:rPr>
              <w:t>修讀年期</w:t>
            </w:r>
          </w:p>
        </w:tc>
        <w:tc>
          <w:tcPr>
            <w:tcW w:w="3684" w:type="dxa"/>
            <w:gridSpan w:val="5"/>
            <w:tcBorders/>
            <w:vAlign w:val="center"/>
          </w:tcPr>
          <w:p>
            <w:pPr>
              <w:pStyle w:val="Normal"/>
              <w:widowControl w:val="false"/>
              <w:overflowPunct w:val="true"/>
              <w:spacing w:lineRule="atLeast" w:line="410"/>
              <w:jc w:val="center"/>
              <w:rPr>
                <w:i/>
                <w:i/>
                <w:spacing w:val="20"/>
                <w:sz w:val="27"/>
                <w:szCs w:val="27"/>
              </w:rPr>
            </w:pPr>
            <w:r>
              <w:rPr>
                <w:i/>
                <w:spacing w:val="20"/>
                <w:sz w:val="27"/>
                <w:szCs w:val="27"/>
              </w:rPr>
              <w:t>畢業人數</w:t>
            </w:r>
          </w:p>
        </w:tc>
      </w:tr>
      <w:tr>
        <w:trPr>
          <w:tblHeader w:val="true"/>
        </w:trPr>
        <w:tc>
          <w:tcPr>
            <w:tcW w:w="1805" w:type="dxa"/>
            <w:vMerge w:val="continue"/>
            <w:tcBorders/>
            <w:vAlign w:val="center"/>
          </w:tcPr>
          <w:p>
            <w:pPr>
              <w:pStyle w:val="Normal"/>
              <w:widowControl/>
              <w:spacing w:lineRule="atLeast" w:line="410"/>
              <w:jc w:val="left"/>
              <w:rPr>
                <w:i/>
                <w:i/>
                <w:spacing w:val="20"/>
                <w:sz w:val="27"/>
                <w:szCs w:val="27"/>
              </w:rPr>
            </w:pPr>
            <w:r>
              <w:rPr>
                <w:i/>
                <w:spacing w:val="20"/>
                <w:sz w:val="27"/>
                <w:szCs w:val="27"/>
              </w:rPr>
            </w:r>
          </w:p>
        </w:tc>
        <w:tc>
          <w:tcPr>
            <w:tcW w:w="2159" w:type="dxa"/>
            <w:gridSpan w:val="2"/>
            <w:vMerge w:val="continue"/>
            <w:tcBorders/>
            <w:vAlign w:val="center"/>
          </w:tcPr>
          <w:p>
            <w:pPr>
              <w:pStyle w:val="Normal"/>
              <w:widowControl/>
              <w:spacing w:lineRule="atLeast" w:line="410"/>
              <w:jc w:val="left"/>
              <w:rPr>
                <w:i/>
                <w:i/>
                <w:spacing w:val="20"/>
                <w:sz w:val="27"/>
                <w:szCs w:val="27"/>
              </w:rPr>
            </w:pPr>
            <w:r>
              <w:rPr>
                <w:i/>
                <w:spacing w:val="20"/>
                <w:sz w:val="27"/>
                <w:szCs w:val="27"/>
              </w:rPr>
            </w:r>
          </w:p>
        </w:tc>
        <w:tc>
          <w:tcPr>
            <w:tcW w:w="1561" w:type="dxa"/>
            <w:vMerge w:val="continue"/>
            <w:tcBorders/>
            <w:vAlign w:val="center"/>
          </w:tcPr>
          <w:p>
            <w:pPr>
              <w:pStyle w:val="Normal"/>
              <w:widowControl/>
              <w:spacing w:lineRule="atLeast" w:line="410"/>
              <w:jc w:val="left"/>
              <w:rPr>
                <w:i/>
                <w:i/>
                <w:spacing w:val="20"/>
                <w:sz w:val="27"/>
                <w:szCs w:val="27"/>
              </w:rPr>
            </w:pPr>
            <w:r>
              <w:rPr>
                <w:i/>
                <w:spacing w:val="20"/>
                <w:sz w:val="27"/>
                <w:szCs w:val="27"/>
              </w:rPr>
            </w:r>
          </w:p>
        </w:tc>
        <w:tc>
          <w:tcPr>
            <w:tcW w:w="736" w:type="dxa"/>
            <w:tcBorders/>
            <w:vAlign w:val="center"/>
          </w:tcPr>
          <w:p>
            <w:pPr>
              <w:pStyle w:val="Normal"/>
              <w:widowControl w:val="false"/>
              <w:overflowPunct w:val="true"/>
              <w:spacing w:lineRule="atLeast" w:line="410"/>
              <w:jc w:val="center"/>
              <w:rPr>
                <w:i/>
                <w:i/>
                <w:spacing w:val="20"/>
                <w:sz w:val="27"/>
                <w:szCs w:val="27"/>
              </w:rPr>
            </w:pPr>
            <w:r>
              <w:rPr>
                <w:i/>
                <w:spacing w:val="20"/>
                <w:sz w:val="27"/>
                <w:szCs w:val="27"/>
              </w:rPr>
              <w:t>2010</w:t>
            </w:r>
            <w:r>
              <w:rPr>
                <w:i/>
                <w:spacing w:val="20"/>
                <w:sz w:val="27"/>
                <w:szCs w:val="27"/>
              </w:rPr>
              <w:t>年</w:t>
            </w:r>
          </w:p>
        </w:tc>
        <w:tc>
          <w:tcPr>
            <w:tcW w:w="737" w:type="dxa"/>
            <w:tcBorders/>
            <w:vAlign w:val="center"/>
          </w:tcPr>
          <w:p>
            <w:pPr>
              <w:pStyle w:val="Normal"/>
              <w:widowControl w:val="false"/>
              <w:overflowPunct w:val="true"/>
              <w:spacing w:lineRule="atLeast" w:line="410"/>
              <w:jc w:val="center"/>
              <w:rPr>
                <w:i/>
                <w:i/>
                <w:spacing w:val="20"/>
                <w:sz w:val="27"/>
                <w:szCs w:val="27"/>
              </w:rPr>
            </w:pPr>
            <w:r>
              <w:rPr>
                <w:i/>
                <w:spacing w:val="20"/>
                <w:sz w:val="27"/>
                <w:szCs w:val="27"/>
              </w:rPr>
              <w:t>2011</w:t>
            </w:r>
            <w:r>
              <w:rPr>
                <w:i/>
                <w:spacing w:val="20"/>
                <w:sz w:val="27"/>
                <w:szCs w:val="27"/>
              </w:rPr>
              <w:t>年</w:t>
            </w:r>
          </w:p>
        </w:tc>
        <w:tc>
          <w:tcPr>
            <w:tcW w:w="738" w:type="dxa"/>
            <w:tcBorders/>
            <w:vAlign w:val="center"/>
          </w:tcPr>
          <w:p>
            <w:pPr>
              <w:pStyle w:val="Normal"/>
              <w:widowControl w:val="false"/>
              <w:overflowPunct w:val="true"/>
              <w:spacing w:lineRule="atLeast" w:line="410"/>
              <w:jc w:val="center"/>
              <w:rPr>
                <w:i/>
                <w:i/>
                <w:spacing w:val="20"/>
                <w:sz w:val="27"/>
                <w:szCs w:val="27"/>
              </w:rPr>
            </w:pPr>
            <w:r>
              <w:rPr>
                <w:i/>
                <w:spacing w:val="20"/>
                <w:sz w:val="27"/>
                <w:szCs w:val="27"/>
              </w:rPr>
              <w:t>2012</w:t>
            </w:r>
            <w:r>
              <w:rPr>
                <w:i/>
                <w:spacing w:val="20"/>
                <w:sz w:val="27"/>
                <w:szCs w:val="27"/>
              </w:rPr>
              <w:t>年</w:t>
            </w:r>
          </w:p>
        </w:tc>
        <w:tc>
          <w:tcPr>
            <w:tcW w:w="737" w:type="dxa"/>
            <w:tcBorders/>
            <w:vAlign w:val="center"/>
          </w:tcPr>
          <w:p>
            <w:pPr>
              <w:pStyle w:val="Normal"/>
              <w:widowControl w:val="false"/>
              <w:overflowPunct w:val="true"/>
              <w:spacing w:lineRule="atLeast" w:line="410"/>
              <w:jc w:val="center"/>
              <w:rPr>
                <w:i/>
                <w:i/>
                <w:spacing w:val="20"/>
                <w:sz w:val="27"/>
                <w:szCs w:val="27"/>
              </w:rPr>
            </w:pPr>
            <w:r>
              <w:rPr>
                <w:i/>
                <w:spacing w:val="20"/>
                <w:sz w:val="27"/>
                <w:szCs w:val="27"/>
              </w:rPr>
              <w:t>2013</w:t>
            </w:r>
            <w:r>
              <w:rPr>
                <w:i/>
                <w:spacing w:val="20"/>
                <w:sz w:val="27"/>
                <w:szCs w:val="27"/>
              </w:rPr>
              <w:t>年</w:t>
            </w:r>
          </w:p>
        </w:tc>
        <w:tc>
          <w:tcPr>
            <w:tcW w:w="736" w:type="dxa"/>
            <w:tcBorders/>
            <w:vAlign w:val="center"/>
          </w:tcPr>
          <w:p>
            <w:pPr>
              <w:pStyle w:val="Normal"/>
              <w:widowControl w:val="false"/>
              <w:overflowPunct w:val="true"/>
              <w:spacing w:lineRule="atLeast" w:line="410"/>
              <w:jc w:val="center"/>
              <w:rPr>
                <w:i/>
                <w:i/>
                <w:spacing w:val="20"/>
                <w:sz w:val="27"/>
                <w:szCs w:val="27"/>
              </w:rPr>
            </w:pPr>
            <w:r>
              <w:rPr>
                <w:i/>
                <w:spacing w:val="20"/>
                <w:sz w:val="27"/>
                <w:szCs w:val="27"/>
              </w:rPr>
              <w:t>2014</w:t>
            </w:r>
            <w:r>
              <w:rPr>
                <w:i/>
                <w:spacing w:val="20"/>
                <w:sz w:val="27"/>
                <w:szCs w:val="27"/>
              </w:rPr>
              <w:t>年</w:t>
            </w:r>
          </w:p>
        </w:tc>
      </w:tr>
      <w:tr>
        <w:trPr/>
        <w:tc>
          <w:tcPr>
            <w:tcW w:w="1805" w:type="dxa"/>
            <w:tcBorders/>
          </w:tcPr>
          <w:p>
            <w:pPr>
              <w:pStyle w:val="Normal"/>
              <w:widowControl w:val="false"/>
              <w:overflowPunct w:val="true"/>
              <w:spacing w:lineRule="atLeast" w:line="410"/>
              <w:ind w:left="57" w:hanging="0"/>
              <w:rPr>
                <w:spacing w:val="20"/>
                <w:sz w:val="27"/>
                <w:szCs w:val="27"/>
              </w:rPr>
            </w:pPr>
            <w:r>
              <w:rPr>
                <w:spacing w:val="20"/>
                <w:sz w:val="27"/>
                <w:szCs w:val="27"/>
              </w:rPr>
              <w:t>香港理工大學―香港專上學院</w:t>
            </w:r>
          </w:p>
          <w:p>
            <w:pPr>
              <w:pStyle w:val="Normal"/>
              <w:widowControl w:val="false"/>
              <w:overflowPunct w:val="true"/>
              <w:spacing w:lineRule="atLeast" w:line="410"/>
              <w:ind w:left="57" w:hanging="0"/>
              <w:rPr>
                <w:spacing w:val="20"/>
                <w:sz w:val="27"/>
                <w:szCs w:val="27"/>
              </w:rPr>
            </w:pPr>
            <w:r>
              <w:rPr>
                <w:spacing w:val="20"/>
                <w:sz w:val="27"/>
                <w:szCs w:val="27"/>
              </w:rPr>
              <w:t>(</w:t>
            </w:r>
            <w:r>
              <w:rPr>
                <w:spacing w:val="20"/>
                <w:sz w:val="27"/>
                <w:szCs w:val="27"/>
              </w:rPr>
              <w:t>資料來源：教育局</w:t>
            </w:r>
            <w:r>
              <w:rPr>
                <w:spacing w:val="20"/>
                <w:sz w:val="27"/>
                <w:szCs w:val="27"/>
              </w:rPr>
              <w:t>)</w:t>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機械工程高級文憑</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2</w:t>
            </w:r>
            <w:r>
              <w:rPr>
                <w:spacing w:val="20"/>
                <w:sz w:val="27"/>
                <w:szCs w:val="27"/>
              </w:rPr>
              <w:t>年</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19</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34</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50</w:t>
            </w:r>
          </w:p>
        </w:tc>
        <w:tc>
          <w:tcPr>
            <w:tcW w:w="736" w:type="dxa"/>
            <w:tcBorders/>
          </w:tcPr>
          <w:p>
            <w:pPr>
              <w:pStyle w:val="Normal"/>
              <w:widowControl w:val="false"/>
              <w:overflowPunct w:val="true"/>
              <w:spacing w:lineRule="atLeast" w:line="410"/>
              <w:jc w:val="center"/>
              <w:rPr>
                <w:spacing w:val="20"/>
                <w:sz w:val="27"/>
                <w:szCs w:val="27"/>
                <w:vertAlign w:val="superscript"/>
              </w:rPr>
            </w:pPr>
            <w:r>
              <w:rPr>
                <w:spacing w:val="20"/>
                <w:sz w:val="27"/>
                <w:szCs w:val="27"/>
                <w:vertAlign w:val="superscript"/>
              </w:rPr>
              <w:t>(3)</w:t>
            </w:r>
          </w:p>
        </w:tc>
      </w:tr>
      <w:tr>
        <w:trPr/>
        <w:tc>
          <w:tcPr>
            <w:tcW w:w="1805" w:type="dxa"/>
            <w:vMerge w:val="restart"/>
            <w:tcBorders/>
          </w:tcPr>
          <w:p>
            <w:pPr>
              <w:pStyle w:val="Normal"/>
              <w:widowControl w:val="false"/>
              <w:overflowPunct w:val="true"/>
              <w:spacing w:lineRule="atLeast" w:line="410"/>
              <w:ind w:left="57" w:hanging="0"/>
              <w:rPr>
                <w:spacing w:val="20"/>
                <w:sz w:val="27"/>
                <w:szCs w:val="27"/>
              </w:rPr>
            </w:pPr>
            <w:r>
              <w:rPr>
                <w:spacing w:val="20"/>
                <w:sz w:val="27"/>
                <w:szCs w:val="27"/>
              </w:rPr>
              <w:t>職訓局―香港專業教育學院</w:t>
            </w:r>
          </w:p>
          <w:p>
            <w:pPr>
              <w:pStyle w:val="Normal"/>
              <w:widowControl w:val="false"/>
              <w:overflowPunct w:val="true"/>
              <w:spacing w:lineRule="atLeast" w:line="410"/>
              <w:ind w:left="57" w:hanging="0"/>
              <w:rPr>
                <w:spacing w:val="20"/>
                <w:sz w:val="27"/>
                <w:szCs w:val="27"/>
              </w:rPr>
            </w:pPr>
            <w:r>
              <w:rPr>
                <w:spacing w:val="20"/>
                <w:sz w:val="27"/>
                <w:szCs w:val="27"/>
              </w:rPr>
              <w:t>(</w:t>
            </w:r>
            <w:r>
              <w:rPr>
                <w:spacing w:val="20"/>
                <w:sz w:val="27"/>
                <w:szCs w:val="27"/>
              </w:rPr>
              <w:t>資料來源：職訓局</w:t>
            </w:r>
            <w:r>
              <w:rPr>
                <w:spacing w:val="20"/>
                <w:sz w:val="27"/>
                <w:szCs w:val="27"/>
              </w:rPr>
              <w:t>)</w:t>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屋宇裝備工程學高級文憑</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2</w:t>
            </w:r>
            <w:r>
              <w:rPr>
                <w:spacing w:val="20"/>
                <w:sz w:val="27"/>
                <w:szCs w:val="27"/>
              </w:rPr>
              <w:t>至</w:t>
            </w:r>
            <w:r>
              <w:rPr>
                <w:spacing w:val="20"/>
                <w:sz w:val="27"/>
                <w:szCs w:val="27"/>
              </w:rPr>
              <w:t>3</w:t>
            </w:r>
            <w:r>
              <w:rPr>
                <w:spacing w:val="20"/>
                <w:sz w:val="27"/>
                <w:szCs w:val="27"/>
              </w:rPr>
              <w:t>年</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56</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55</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75</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89</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187</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機電科技應用高級文憑</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2</w:t>
            </w:r>
            <w:r>
              <w:rPr>
                <w:spacing w:val="20"/>
                <w:sz w:val="27"/>
                <w:szCs w:val="27"/>
              </w:rPr>
              <w:t>至</w:t>
            </w:r>
            <w:r>
              <w:rPr>
                <w:spacing w:val="20"/>
                <w:sz w:val="27"/>
                <w:szCs w:val="27"/>
              </w:rPr>
              <w:t>3</w:t>
            </w:r>
            <w:r>
              <w:rPr>
                <w:spacing w:val="20"/>
                <w:sz w:val="27"/>
                <w:szCs w:val="27"/>
              </w:rPr>
              <w:t>年</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27</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38</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49</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44</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57</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電機工程高級文憑</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2</w:t>
            </w:r>
            <w:r>
              <w:rPr>
                <w:spacing w:val="20"/>
                <w:sz w:val="27"/>
                <w:szCs w:val="27"/>
              </w:rPr>
              <w:t>至</w:t>
            </w:r>
            <w:r>
              <w:rPr>
                <w:spacing w:val="20"/>
                <w:sz w:val="27"/>
                <w:szCs w:val="27"/>
              </w:rPr>
              <w:t>3</w:t>
            </w:r>
            <w:r>
              <w:rPr>
                <w:spacing w:val="20"/>
                <w:sz w:val="27"/>
                <w:szCs w:val="27"/>
              </w:rPr>
              <w:t>年</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253</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219</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214</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279</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386</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電氣服務工程高級文憑</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2</w:t>
            </w:r>
            <w:r>
              <w:rPr>
                <w:spacing w:val="20"/>
                <w:sz w:val="27"/>
                <w:szCs w:val="27"/>
              </w:rPr>
              <w:t>至</w:t>
            </w:r>
            <w:r>
              <w:rPr>
                <w:spacing w:val="20"/>
                <w:sz w:val="27"/>
                <w:szCs w:val="27"/>
              </w:rPr>
              <w:t>3</w:t>
            </w:r>
            <w:r>
              <w:rPr>
                <w:spacing w:val="20"/>
                <w:sz w:val="27"/>
                <w:szCs w:val="27"/>
              </w:rPr>
              <w:t>年</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12</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13</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16</w:t>
            </w:r>
          </w:p>
        </w:tc>
        <w:tc>
          <w:tcPr>
            <w:tcW w:w="736" w:type="dxa"/>
            <w:tcBorders/>
          </w:tcPr>
          <w:p>
            <w:pPr>
              <w:pStyle w:val="Normal"/>
              <w:widowControl w:val="false"/>
              <w:overflowPunct w:val="true"/>
              <w:spacing w:lineRule="atLeast" w:line="410"/>
              <w:jc w:val="center"/>
              <w:rPr>
                <w:spacing w:val="20"/>
                <w:sz w:val="27"/>
                <w:szCs w:val="27"/>
                <w:vertAlign w:val="superscript"/>
              </w:rPr>
            </w:pPr>
            <w:r>
              <w:rPr>
                <w:spacing w:val="20"/>
                <w:sz w:val="27"/>
                <w:szCs w:val="27"/>
                <w:vertAlign w:val="superscript"/>
              </w:rPr>
              <w:t>(4)</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環境工程及能源管理高級文憑</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2</w:t>
            </w:r>
            <w:r>
              <w:rPr>
                <w:spacing w:val="20"/>
                <w:sz w:val="27"/>
                <w:szCs w:val="27"/>
              </w:rPr>
              <w:t>至</w:t>
            </w:r>
            <w:r>
              <w:rPr>
                <w:spacing w:val="20"/>
                <w:sz w:val="27"/>
                <w:szCs w:val="27"/>
              </w:rPr>
              <w:t>3</w:t>
            </w:r>
            <w:r>
              <w:rPr>
                <w:spacing w:val="20"/>
                <w:sz w:val="27"/>
                <w:szCs w:val="27"/>
              </w:rPr>
              <w:t>年</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25</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53</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65</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68</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vertAlign w:val="superscript"/>
              </w:rPr>
              <w:t>(4)</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智能屋宇及自動化系統工程高級文憑</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2</w:t>
            </w:r>
            <w:r>
              <w:rPr>
                <w:spacing w:val="20"/>
                <w:sz w:val="27"/>
                <w:szCs w:val="27"/>
              </w:rPr>
              <w:t>至</w:t>
            </w:r>
            <w:r>
              <w:rPr>
                <w:spacing w:val="20"/>
                <w:sz w:val="27"/>
                <w:szCs w:val="27"/>
              </w:rPr>
              <w:t>3</w:t>
            </w:r>
            <w:r>
              <w:rPr>
                <w:spacing w:val="20"/>
                <w:sz w:val="27"/>
                <w:szCs w:val="27"/>
              </w:rPr>
              <w:t>年</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43</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31</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37</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30</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24</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機械工程學高級文憑</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2</w:t>
            </w:r>
            <w:r>
              <w:rPr>
                <w:spacing w:val="20"/>
                <w:sz w:val="27"/>
                <w:szCs w:val="27"/>
              </w:rPr>
              <w:t>至</w:t>
            </w:r>
            <w:r>
              <w:rPr>
                <w:spacing w:val="20"/>
                <w:sz w:val="27"/>
                <w:szCs w:val="27"/>
              </w:rPr>
              <w:t>3</w:t>
            </w:r>
            <w:r>
              <w:rPr>
                <w:spacing w:val="20"/>
                <w:sz w:val="27"/>
                <w:szCs w:val="27"/>
              </w:rPr>
              <w:t>年</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131</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137</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183</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150</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279</w:t>
            </w:r>
          </w:p>
        </w:tc>
      </w:tr>
      <w:tr>
        <w:trPr/>
        <w:tc>
          <w:tcPr>
            <w:tcW w:w="1805" w:type="dxa"/>
            <w:vMerge w:val="restart"/>
            <w:tcBorders/>
          </w:tcPr>
          <w:p>
            <w:pPr>
              <w:pStyle w:val="Normal"/>
              <w:widowControl w:val="false"/>
              <w:overflowPunct w:val="true"/>
              <w:spacing w:lineRule="atLeast" w:line="410"/>
              <w:ind w:left="57" w:hanging="0"/>
              <w:rPr>
                <w:spacing w:val="20"/>
                <w:sz w:val="27"/>
                <w:szCs w:val="27"/>
              </w:rPr>
            </w:pPr>
            <w:r>
              <w:rPr>
                <w:spacing w:val="20"/>
                <w:sz w:val="27"/>
                <w:szCs w:val="27"/>
              </w:rPr>
              <w:t>職訓局―青年學院</w:t>
            </w:r>
          </w:p>
          <w:p>
            <w:pPr>
              <w:pStyle w:val="Normal"/>
              <w:widowControl w:val="false"/>
              <w:overflowPunct w:val="true"/>
              <w:spacing w:lineRule="atLeast" w:line="410"/>
              <w:ind w:left="57" w:hanging="0"/>
              <w:rPr>
                <w:spacing w:val="20"/>
                <w:sz w:val="27"/>
                <w:szCs w:val="27"/>
              </w:rPr>
            </w:pPr>
            <w:r>
              <w:rPr>
                <w:spacing w:val="20"/>
                <w:sz w:val="27"/>
                <w:szCs w:val="27"/>
              </w:rPr>
              <w:t>(</w:t>
            </w:r>
            <w:r>
              <w:rPr>
                <w:spacing w:val="20"/>
                <w:sz w:val="27"/>
                <w:szCs w:val="27"/>
              </w:rPr>
              <w:t>資料來源：職訓局</w:t>
            </w:r>
            <w:r>
              <w:rPr>
                <w:spacing w:val="20"/>
                <w:sz w:val="27"/>
                <w:szCs w:val="27"/>
              </w:rPr>
              <w:t>)</w:t>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中專教育文憑課程</w:t>
            </w:r>
            <w:r>
              <w:rPr>
                <w:spacing w:val="20"/>
                <w:sz w:val="27"/>
                <w:szCs w:val="27"/>
              </w:rPr>
              <w:t>(</w:t>
            </w:r>
            <w:r>
              <w:rPr>
                <w:spacing w:val="20"/>
                <w:sz w:val="27"/>
                <w:szCs w:val="27"/>
              </w:rPr>
              <w:t>屋宇裝備工程</w:t>
            </w:r>
            <w:r>
              <w:rPr>
                <w:spacing w:val="20"/>
                <w:sz w:val="27"/>
                <w:szCs w:val="27"/>
              </w:rPr>
              <w:t>)</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1</w:t>
            </w:r>
            <w:r>
              <w:rPr>
                <w:spacing w:val="20"/>
                <w:sz w:val="27"/>
                <w:szCs w:val="27"/>
              </w:rPr>
              <w:t>年或</w:t>
            </w:r>
            <w:r>
              <w:rPr>
                <w:spacing w:val="20"/>
                <w:sz w:val="27"/>
                <w:szCs w:val="27"/>
              </w:rPr>
              <w:t>3</w:t>
            </w:r>
            <w:r>
              <w:rPr>
                <w:spacing w:val="20"/>
                <w:sz w:val="27"/>
                <w:szCs w:val="27"/>
              </w:rPr>
              <w:t>年</w:t>
            </w:r>
            <w:r>
              <w:rPr>
                <w:spacing w:val="20"/>
                <w:sz w:val="27"/>
                <w:szCs w:val="27"/>
                <w:vertAlign w:val="superscript"/>
              </w:rPr>
              <w:t>(5)</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223</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285</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92</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122</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97</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中專教育文憑課程</w:t>
            </w:r>
            <w:r>
              <w:rPr>
                <w:spacing w:val="20"/>
                <w:sz w:val="27"/>
                <w:szCs w:val="27"/>
              </w:rPr>
              <w:t>(</w:t>
            </w:r>
            <w:r>
              <w:rPr>
                <w:spacing w:val="20"/>
                <w:sz w:val="27"/>
                <w:szCs w:val="27"/>
              </w:rPr>
              <w:t>電機工程</w:t>
            </w:r>
            <w:r>
              <w:rPr>
                <w:spacing w:val="20"/>
                <w:sz w:val="27"/>
                <w:szCs w:val="27"/>
              </w:rPr>
              <w:t>)</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1</w:t>
            </w:r>
            <w:r>
              <w:rPr>
                <w:spacing w:val="20"/>
                <w:sz w:val="27"/>
                <w:szCs w:val="27"/>
              </w:rPr>
              <w:t>年或</w:t>
            </w:r>
            <w:r>
              <w:rPr>
                <w:spacing w:val="20"/>
                <w:sz w:val="27"/>
                <w:szCs w:val="27"/>
              </w:rPr>
              <w:t>3</w:t>
            </w:r>
            <w:r>
              <w:rPr>
                <w:spacing w:val="20"/>
                <w:sz w:val="27"/>
                <w:szCs w:val="27"/>
              </w:rPr>
              <w:t>年</w:t>
            </w:r>
            <w:r>
              <w:rPr>
                <w:spacing w:val="20"/>
                <w:sz w:val="27"/>
                <w:szCs w:val="27"/>
                <w:vertAlign w:val="superscript"/>
              </w:rPr>
              <w:t>(5)</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244</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299</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117</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165</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93</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中專教育文憑課程</w:t>
            </w:r>
            <w:r>
              <w:rPr>
                <w:spacing w:val="20"/>
                <w:sz w:val="27"/>
                <w:szCs w:val="27"/>
              </w:rPr>
              <w:t>(</w:t>
            </w:r>
            <w:r>
              <w:rPr>
                <w:spacing w:val="20"/>
                <w:sz w:val="27"/>
                <w:szCs w:val="27"/>
              </w:rPr>
              <w:t>機械工程</w:t>
            </w:r>
            <w:r>
              <w:rPr>
                <w:spacing w:val="20"/>
                <w:sz w:val="27"/>
                <w:szCs w:val="27"/>
              </w:rPr>
              <w:t>)</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1</w:t>
            </w:r>
            <w:r>
              <w:rPr>
                <w:spacing w:val="20"/>
                <w:sz w:val="27"/>
                <w:szCs w:val="27"/>
              </w:rPr>
              <w:t>年或</w:t>
            </w:r>
            <w:r>
              <w:rPr>
                <w:spacing w:val="20"/>
                <w:sz w:val="27"/>
                <w:szCs w:val="27"/>
              </w:rPr>
              <w:t>3</w:t>
            </w:r>
            <w:r>
              <w:rPr>
                <w:spacing w:val="20"/>
                <w:sz w:val="27"/>
                <w:szCs w:val="27"/>
              </w:rPr>
              <w:t>年</w:t>
            </w:r>
            <w:r>
              <w:rPr>
                <w:spacing w:val="20"/>
                <w:sz w:val="27"/>
                <w:szCs w:val="27"/>
                <w:vertAlign w:val="superscript"/>
              </w:rPr>
              <w:t>(5)</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208</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220</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38</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107</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169</w:t>
            </w:r>
          </w:p>
        </w:tc>
      </w:tr>
      <w:tr>
        <w:trPr/>
        <w:tc>
          <w:tcPr>
            <w:tcW w:w="1805" w:type="dxa"/>
            <w:vMerge w:val="restart"/>
            <w:tcBorders/>
          </w:tcPr>
          <w:p>
            <w:pPr>
              <w:pStyle w:val="Normal"/>
              <w:widowControl w:val="false"/>
              <w:overflowPunct w:val="true"/>
              <w:spacing w:lineRule="atLeast" w:line="410"/>
              <w:ind w:left="57" w:hanging="0"/>
              <w:rPr>
                <w:spacing w:val="20"/>
                <w:sz w:val="27"/>
                <w:szCs w:val="27"/>
              </w:rPr>
            </w:pPr>
            <w:r>
              <w:rPr>
                <w:spacing w:val="20"/>
                <w:sz w:val="27"/>
                <w:szCs w:val="27"/>
              </w:rPr>
              <w:t>機電工程署</w:t>
            </w:r>
          </w:p>
          <w:p>
            <w:pPr>
              <w:pStyle w:val="Normal"/>
              <w:widowControl w:val="false"/>
              <w:overflowPunct w:val="true"/>
              <w:spacing w:lineRule="atLeast" w:line="410"/>
              <w:ind w:left="57" w:hanging="0"/>
              <w:rPr>
                <w:spacing w:val="20"/>
                <w:sz w:val="27"/>
                <w:szCs w:val="27"/>
              </w:rPr>
            </w:pPr>
            <w:r>
              <w:rPr>
                <w:spacing w:val="20"/>
                <w:sz w:val="27"/>
                <w:szCs w:val="27"/>
              </w:rPr>
              <w:t>(</w:t>
            </w:r>
            <w:r>
              <w:rPr>
                <w:spacing w:val="20"/>
                <w:sz w:val="27"/>
                <w:szCs w:val="27"/>
              </w:rPr>
              <w:t>資料來源：機電工程署</w:t>
            </w:r>
            <w:r>
              <w:rPr>
                <w:spacing w:val="20"/>
                <w:sz w:val="27"/>
                <w:szCs w:val="27"/>
              </w:rPr>
              <w:t>)</w:t>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機電工程署技術員培訓計劃―機械工程</w:t>
            </w:r>
          </w:p>
        </w:tc>
        <w:tc>
          <w:tcPr>
            <w:tcW w:w="1561" w:type="dxa"/>
            <w:vMerge w:val="restart"/>
            <w:tcBorders/>
          </w:tcPr>
          <w:p>
            <w:pPr>
              <w:pStyle w:val="Normal"/>
              <w:widowControl w:val="false"/>
              <w:overflowPunct w:val="true"/>
              <w:spacing w:lineRule="atLeast" w:line="410"/>
              <w:jc w:val="center"/>
              <w:rPr>
                <w:spacing w:val="20"/>
                <w:sz w:val="27"/>
                <w:szCs w:val="27"/>
              </w:rPr>
            </w:pPr>
            <w:r>
              <w:rPr>
                <w:spacing w:val="20"/>
                <w:sz w:val="27"/>
                <w:szCs w:val="27"/>
              </w:rPr>
              <w:t>3</w:t>
            </w:r>
            <w:r>
              <w:rPr>
                <w:spacing w:val="20"/>
                <w:sz w:val="27"/>
                <w:szCs w:val="27"/>
              </w:rPr>
              <w:t>至</w:t>
            </w:r>
            <w:r>
              <w:rPr>
                <w:spacing w:val="20"/>
                <w:sz w:val="27"/>
                <w:szCs w:val="27"/>
              </w:rPr>
              <w:t>4</w:t>
            </w:r>
            <w:r>
              <w:rPr>
                <w:spacing w:val="20"/>
                <w:sz w:val="27"/>
                <w:szCs w:val="27"/>
              </w:rPr>
              <w:t>年</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21</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20</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28</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20</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27</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機電工程署技術員培訓計劃―汽車</w:t>
            </w:r>
          </w:p>
        </w:tc>
        <w:tc>
          <w:tcPr>
            <w:tcW w:w="1561"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14</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11</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2</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6</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機電工程署技術員培訓計劃―電機工程</w:t>
            </w:r>
          </w:p>
        </w:tc>
        <w:tc>
          <w:tcPr>
            <w:tcW w:w="1561"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7</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18</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23</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27</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38</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機電工程署技術員培訓計劃―空調製冷設備技工</w:t>
            </w:r>
          </w:p>
        </w:tc>
        <w:tc>
          <w:tcPr>
            <w:tcW w:w="1561"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3</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10</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14</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11</w:t>
            </w:r>
          </w:p>
        </w:tc>
      </w:tr>
      <w:tr>
        <w:trPr/>
        <w:tc>
          <w:tcPr>
            <w:tcW w:w="1805"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機電工程署技術員培訓計劃―電子工程</w:t>
            </w:r>
          </w:p>
        </w:tc>
        <w:tc>
          <w:tcPr>
            <w:tcW w:w="1561" w:type="dxa"/>
            <w:vMerge w:val="continue"/>
            <w:tcBorders/>
            <w:vAlign w:val="center"/>
          </w:tcPr>
          <w:p>
            <w:pPr>
              <w:pStyle w:val="Normal"/>
              <w:widowControl/>
              <w:spacing w:lineRule="atLeast" w:line="410"/>
              <w:jc w:val="left"/>
              <w:rPr>
                <w:spacing w:val="20"/>
                <w:sz w:val="27"/>
                <w:szCs w:val="27"/>
              </w:rPr>
            </w:pPr>
            <w:r>
              <w:rPr>
                <w:spacing w:val="20"/>
                <w:sz w:val="27"/>
                <w:szCs w:val="27"/>
              </w:rPr>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4</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3</w:t>
            </w:r>
          </w:p>
        </w:tc>
        <w:tc>
          <w:tcPr>
            <w:tcW w:w="738" w:type="dxa"/>
            <w:tcBorders/>
          </w:tcPr>
          <w:p>
            <w:pPr>
              <w:pStyle w:val="Normal"/>
              <w:widowControl w:val="false"/>
              <w:overflowPunct w:val="true"/>
              <w:spacing w:lineRule="atLeast" w:line="410"/>
              <w:jc w:val="center"/>
              <w:rPr>
                <w:spacing w:val="20"/>
                <w:sz w:val="27"/>
                <w:szCs w:val="27"/>
              </w:rPr>
            </w:pPr>
            <w:r>
              <w:rPr>
                <w:spacing w:val="20"/>
                <w:sz w:val="27"/>
                <w:szCs w:val="27"/>
              </w:rPr>
              <w:t>4</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7</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6</w:t>
            </w:r>
          </w:p>
        </w:tc>
      </w:tr>
      <w:tr>
        <w:trPr/>
        <w:tc>
          <w:tcPr>
            <w:tcW w:w="1805" w:type="dxa"/>
            <w:tcBorders/>
          </w:tcPr>
          <w:p>
            <w:pPr>
              <w:pStyle w:val="Normal"/>
              <w:widowControl w:val="false"/>
              <w:overflowPunct w:val="true"/>
              <w:spacing w:lineRule="atLeast" w:line="410"/>
              <w:ind w:left="57" w:hanging="0"/>
              <w:rPr>
                <w:spacing w:val="20"/>
                <w:sz w:val="27"/>
                <w:szCs w:val="27"/>
              </w:rPr>
            </w:pPr>
            <w:r>
              <w:rPr>
                <w:spacing w:val="20"/>
                <w:sz w:val="27"/>
                <w:szCs w:val="27"/>
              </w:rPr>
              <w:t>香港科技專上書院</w:t>
            </w:r>
          </w:p>
          <w:p>
            <w:pPr>
              <w:pStyle w:val="Normal"/>
              <w:widowControl w:val="false"/>
              <w:overflowPunct w:val="true"/>
              <w:spacing w:lineRule="atLeast" w:line="410"/>
              <w:ind w:left="57" w:hanging="0"/>
              <w:rPr>
                <w:spacing w:val="20"/>
                <w:sz w:val="27"/>
                <w:szCs w:val="27"/>
              </w:rPr>
            </w:pPr>
            <w:r>
              <w:rPr>
                <w:spacing w:val="20"/>
                <w:sz w:val="27"/>
                <w:szCs w:val="27"/>
              </w:rPr>
              <w:t>(</w:t>
            </w:r>
            <w:r>
              <w:rPr>
                <w:spacing w:val="20"/>
                <w:sz w:val="27"/>
                <w:szCs w:val="27"/>
              </w:rPr>
              <w:t>資料來源：教育局</w:t>
            </w:r>
            <w:r>
              <w:rPr>
                <w:spacing w:val="20"/>
                <w:sz w:val="27"/>
                <w:szCs w:val="27"/>
              </w:rPr>
              <w:t>)</w:t>
            </w:r>
          </w:p>
        </w:tc>
        <w:tc>
          <w:tcPr>
            <w:tcW w:w="2159" w:type="dxa"/>
            <w:gridSpan w:val="2"/>
            <w:tcBorders/>
          </w:tcPr>
          <w:p>
            <w:pPr>
              <w:pStyle w:val="Normal"/>
              <w:widowControl w:val="false"/>
              <w:overflowPunct w:val="true"/>
              <w:spacing w:lineRule="atLeast" w:line="410"/>
              <w:ind w:left="57" w:hanging="0"/>
              <w:rPr>
                <w:spacing w:val="20"/>
                <w:sz w:val="27"/>
                <w:szCs w:val="27"/>
              </w:rPr>
            </w:pPr>
            <w:r>
              <w:rPr>
                <w:spacing w:val="20"/>
                <w:sz w:val="27"/>
                <w:szCs w:val="27"/>
              </w:rPr>
              <w:t>毅進文憑課程―屋宇設備工程學</w:t>
            </w:r>
          </w:p>
        </w:tc>
        <w:tc>
          <w:tcPr>
            <w:tcW w:w="1561" w:type="dxa"/>
            <w:tcBorders/>
          </w:tcPr>
          <w:p>
            <w:pPr>
              <w:pStyle w:val="Normal"/>
              <w:widowControl w:val="false"/>
              <w:overflowPunct w:val="true"/>
              <w:spacing w:lineRule="atLeast" w:line="410"/>
              <w:jc w:val="center"/>
              <w:rPr>
                <w:spacing w:val="20"/>
                <w:sz w:val="27"/>
                <w:szCs w:val="27"/>
              </w:rPr>
            </w:pPr>
            <w:r>
              <w:rPr>
                <w:spacing w:val="20"/>
                <w:sz w:val="27"/>
                <w:szCs w:val="27"/>
              </w:rPr>
              <w:t>全日制</w:t>
            </w:r>
            <w:r>
              <w:rPr>
                <w:spacing w:val="20"/>
                <w:sz w:val="27"/>
                <w:szCs w:val="27"/>
              </w:rPr>
              <w:t>1</w:t>
            </w:r>
            <w:r>
              <w:rPr>
                <w:spacing w:val="20"/>
                <w:sz w:val="27"/>
                <w:szCs w:val="27"/>
              </w:rPr>
              <w:t>年</w:t>
            </w:r>
          </w:p>
        </w:tc>
        <w:tc>
          <w:tcPr>
            <w:tcW w:w="2211" w:type="dxa"/>
            <w:gridSpan w:val="3"/>
            <w:tcBorders/>
          </w:tcPr>
          <w:p>
            <w:pPr>
              <w:pStyle w:val="Normal"/>
              <w:widowControl w:val="false"/>
              <w:overflowPunct w:val="true"/>
              <w:spacing w:lineRule="atLeast" w:line="410"/>
              <w:ind w:left="57" w:hanging="0"/>
              <w:rPr>
                <w:spacing w:val="20"/>
                <w:sz w:val="27"/>
                <w:szCs w:val="27"/>
              </w:rPr>
            </w:pPr>
            <w:r>
              <w:rPr>
                <w:spacing w:val="20"/>
                <w:sz w:val="27"/>
                <w:szCs w:val="27"/>
              </w:rPr>
              <w:t>毅進計劃課程在</w:t>
            </w:r>
            <w:r>
              <w:rPr>
                <w:spacing w:val="20"/>
                <w:sz w:val="27"/>
                <w:szCs w:val="27"/>
              </w:rPr>
              <w:t>2012</w:t>
            </w:r>
            <w:r>
              <w:rPr>
                <w:spacing w:val="20"/>
                <w:sz w:val="27"/>
                <w:szCs w:val="27"/>
              </w:rPr>
              <w:t>年之前沒有建造業相關的機電業工種培訓課程。隨着新學制的推行，以及香港中學會考在</w:t>
            </w:r>
            <w:r>
              <w:rPr>
                <w:spacing w:val="20"/>
                <w:sz w:val="27"/>
                <w:szCs w:val="27"/>
              </w:rPr>
              <w:t>2012</w:t>
            </w:r>
            <w:r>
              <w:rPr>
                <w:spacing w:val="20"/>
                <w:sz w:val="27"/>
                <w:szCs w:val="27"/>
              </w:rPr>
              <w:t>年起停辦，教育局在</w:t>
            </w:r>
            <w:r>
              <w:rPr>
                <w:spacing w:val="20"/>
                <w:sz w:val="27"/>
                <w:szCs w:val="27"/>
              </w:rPr>
              <w:t>2012-2013</w:t>
            </w:r>
            <w:r>
              <w:rPr>
                <w:spacing w:val="20"/>
                <w:sz w:val="27"/>
                <w:szCs w:val="27"/>
              </w:rPr>
              <w:t>學年起推出毅進文憑課程以取代前毅進計劃課程。</w:t>
            </w:r>
          </w:p>
        </w:tc>
        <w:tc>
          <w:tcPr>
            <w:tcW w:w="737" w:type="dxa"/>
            <w:tcBorders/>
          </w:tcPr>
          <w:p>
            <w:pPr>
              <w:pStyle w:val="Normal"/>
              <w:widowControl w:val="false"/>
              <w:overflowPunct w:val="true"/>
              <w:spacing w:lineRule="atLeast" w:line="410"/>
              <w:jc w:val="center"/>
              <w:rPr>
                <w:spacing w:val="20"/>
                <w:sz w:val="27"/>
                <w:szCs w:val="27"/>
              </w:rPr>
            </w:pPr>
            <w:r>
              <w:rPr>
                <w:spacing w:val="20"/>
                <w:sz w:val="27"/>
                <w:szCs w:val="27"/>
              </w:rPr>
              <w:t>31</w:t>
            </w:r>
          </w:p>
        </w:tc>
        <w:tc>
          <w:tcPr>
            <w:tcW w:w="736" w:type="dxa"/>
            <w:tcBorders/>
          </w:tcPr>
          <w:p>
            <w:pPr>
              <w:pStyle w:val="Normal"/>
              <w:widowControl w:val="false"/>
              <w:overflowPunct w:val="true"/>
              <w:spacing w:lineRule="atLeast" w:line="410"/>
              <w:jc w:val="center"/>
              <w:rPr>
                <w:spacing w:val="20"/>
                <w:sz w:val="27"/>
                <w:szCs w:val="27"/>
              </w:rPr>
            </w:pPr>
            <w:r>
              <w:rPr>
                <w:spacing w:val="20"/>
                <w:sz w:val="27"/>
                <w:szCs w:val="27"/>
              </w:rPr>
              <w:t>24</w:t>
            </w:r>
          </w:p>
        </w:tc>
      </w:tr>
      <w:tr>
        <w:trPr/>
        <w:tc>
          <w:tcPr>
            <w:tcW w:w="1805" w:type="dxa"/>
            <w:vMerge w:val="restart"/>
            <w:tcBorders/>
          </w:tcPr>
          <w:p>
            <w:pPr>
              <w:pStyle w:val="Normal"/>
              <w:widowControl w:val="false"/>
              <w:overflowPunct w:val="true"/>
              <w:spacing w:lineRule="atLeast" w:line="400"/>
              <w:ind w:left="57" w:hanging="0"/>
              <w:rPr>
                <w:spacing w:val="20"/>
                <w:sz w:val="27"/>
                <w:szCs w:val="27"/>
              </w:rPr>
            </w:pPr>
            <w:r>
              <w:rPr>
                <w:spacing w:val="20"/>
                <w:sz w:val="27"/>
                <w:szCs w:val="27"/>
              </w:rPr>
              <w:t>建造業議會</w:t>
            </w:r>
          </w:p>
          <w:p>
            <w:pPr>
              <w:pStyle w:val="Normal"/>
              <w:widowControl w:val="false"/>
              <w:overflowPunct w:val="true"/>
              <w:spacing w:lineRule="atLeast" w:line="400"/>
              <w:ind w:left="57" w:hanging="0"/>
              <w:rPr>
                <w:spacing w:val="20"/>
                <w:sz w:val="27"/>
                <w:szCs w:val="27"/>
              </w:rPr>
            </w:pPr>
            <w:r>
              <w:rPr>
                <w:spacing w:val="20"/>
                <w:sz w:val="27"/>
                <w:szCs w:val="27"/>
              </w:rPr>
              <w:t>(</w:t>
            </w:r>
            <w:r>
              <w:rPr>
                <w:spacing w:val="20"/>
                <w:sz w:val="27"/>
                <w:szCs w:val="27"/>
              </w:rPr>
              <w:t>資料來源：建造業議會</w:t>
            </w:r>
            <w:r>
              <w:rPr>
                <w:spacing w:val="20"/>
                <w:sz w:val="27"/>
                <w:szCs w:val="27"/>
              </w:rPr>
              <w:t>)</w:t>
            </w:r>
          </w:p>
        </w:tc>
        <w:tc>
          <w:tcPr>
            <w:tcW w:w="2159" w:type="dxa"/>
            <w:gridSpan w:val="2"/>
            <w:tcBorders>
              <w:bottom w:val="single" w:sz="4" w:space="0" w:color="FFFFFF"/>
            </w:tcBorders>
          </w:tcPr>
          <w:p>
            <w:pPr>
              <w:pStyle w:val="Normal"/>
              <w:widowControl w:val="false"/>
              <w:overflowPunct w:val="true"/>
              <w:spacing w:lineRule="atLeast" w:line="400"/>
              <w:ind w:left="57" w:hanging="0"/>
              <w:rPr>
                <w:spacing w:val="20"/>
                <w:sz w:val="27"/>
                <w:szCs w:val="27"/>
              </w:rPr>
            </w:pPr>
            <w:r>
              <w:rPr>
                <w:spacing w:val="20"/>
                <w:sz w:val="27"/>
                <w:szCs w:val="27"/>
              </w:rPr>
              <w:t>承建商合作培訓計劃―機電行業</w:t>
            </w:r>
          </w:p>
          <w:p>
            <w:pPr>
              <w:pStyle w:val="Normal"/>
              <w:widowControl w:val="false"/>
              <w:overflowPunct w:val="true"/>
              <w:spacing w:lineRule="atLeast" w:line="400"/>
              <w:ind w:left="57" w:hanging="0"/>
              <w:rPr>
                <w:spacing w:val="20"/>
                <w:sz w:val="27"/>
                <w:szCs w:val="27"/>
              </w:rPr>
            </w:pPr>
            <w:r>
              <w:rPr>
                <w:spacing w:val="20"/>
                <w:sz w:val="27"/>
                <w:szCs w:val="27"/>
              </w:rPr>
              <w:t>包括以下工種：</w:t>
            </w:r>
          </w:p>
        </w:tc>
        <w:tc>
          <w:tcPr>
            <w:tcW w:w="1561" w:type="dxa"/>
            <w:vMerge w:val="restart"/>
            <w:tcBorders/>
          </w:tcPr>
          <w:p>
            <w:pPr>
              <w:pStyle w:val="Normal"/>
              <w:widowControl w:val="false"/>
              <w:overflowPunct w:val="true"/>
              <w:spacing w:lineRule="atLeast" w:line="400"/>
              <w:jc w:val="center"/>
              <w:rPr>
                <w:spacing w:val="20"/>
                <w:sz w:val="27"/>
                <w:szCs w:val="27"/>
              </w:rPr>
            </w:pPr>
            <w:r>
              <w:rPr>
                <w:spacing w:val="20"/>
                <w:sz w:val="27"/>
                <w:szCs w:val="27"/>
              </w:rPr>
              <w:t>150</w:t>
            </w:r>
            <w:r>
              <w:rPr>
                <w:spacing w:val="20"/>
                <w:sz w:val="27"/>
                <w:szCs w:val="27"/>
              </w:rPr>
              <w:t>日</w:t>
            </w:r>
          </w:p>
        </w:tc>
        <w:tc>
          <w:tcPr>
            <w:tcW w:w="736" w:type="dxa"/>
            <w:vMerge w:val="restart"/>
            <w:tcBorders/>
          </w:tcPr>
          <w:p>
            <w:pPr>
              <w:pStyle w:val="Normal"/>
              <w:widowControl w:val="false"/>
              <w:overflowPunct w:val="true"/>
              <w:spacing w:lineRule="atLeast" w:line="400"/>
              <w:jc w:val="center"/>
              <w:rPr>
                <w:spacing w:val="20"/>
                <w:sz w:val="27"/>
                <w:szCs w:val="27"/>
              </w:rPr>
            </w:pPr>
            <w:r>
              <w:rPr>
                <w:spacing w:val="20"/>
                <w:sz w:val="27"/>
                <w:szCs w:val="27"/>
              </w:rPr>
              <w:t>0</w:t>
            </w:r>
          </w:p>
        </w:tc>
        <w:tc>
          <w:tcPr>
            <w:tcW w:w="737" w:type="dxa"/>
            <w:vMerge w:val="restart"/>
            <w:tcBorders/>
          </w:tcPr>
          <w:p>
            <w:pPr>
              <w:pStyle w:val="Normal"/>
              <w:widowControl w:val="false"/>
              <w:overflowPunct w:val="true"/>
              <w:spacing w:lineRule="atLeast" w:line="400"/>
              <w:jc w:val="center"/>
              <w:rPr>
                <w:spacing w:val="20"/>
                <w:sz w:val="27"/>
                <w:szCs w:val="27"/>
              </w:rPr>
            </w:pPr>
            <w:r>
              <w:rPr>
                <w:spacing w:val="20"/>
                <w:sz w:val="27"/>
                <w:szCs w:val="27"/>
              </w:rPr>
              <w:t>0</w:t>
            </w:r>
          </w:p>
        </w:tc>
        <w:tc>
          <w:tcPr>
            <w:tcW w:w="738" w:type="dxa"/>
            <w:vMerge w:val="restart"/>
            <w:tcBorders/>
          </w:tcPr>
          <w:p>
            <w:pPr>
              <w:pStyle w:val="Normal"/>
              <w:widowControl w:val="false"/>
              <w:overflowPunct w:val="true"/>
              <w:spacing w:lineRule="atLeast" w:line="400"/>
              <w:jc w:val="center"/>
              <w:rPr>
                <w:spacing w:val="20"/>
                <w:sz w:val="27"/>
                <w:szCs w:val="27"/>
              </w:rPr>
            </w:pPr>
            <w:r>
              <w:rPr>
                <w:spacing w:val="20"/>
                <w:sz w:val="27"/>
                <w:szCs w:val="27"/>
              </w:rPr>
              <w:t>0</w:t>
            </w:r>
          </w:p>
        </w:tc>
        <w:tc>
          <w:tcPr>
            <w:tcW w:w="737" w:type="dxa"/>
            <w:vMerge w:val="restart"/>
            <w:tcBorders/>
          </w:tcPr>
          <w:p>
            <w:pPr>
              <w:pStyle w:val="Normal"/>
              <w:widowControl w:val="false"/>
              <w:overflowPunct w:val="true"/>
              <w:spacing w:lineRule="atLeast" w:line="400"/>
              <w:jc w:val="center"/>
              <w:rPr>
                <w:spacing w:val="20"/>
                <w:sz w:val="27"/>
                <w:szCs w:val="27"/>
              </w:rPr>
            </w:pPr>
            <w:r>
              <w:rPr>
                <w:spacing w:val="20"/>
                <w:sz w:val="27"/>
                <w:szCs w:val="27"/>
              </w:rPr>
              <w:t>0</w:t>
            </w:r>
          </w:p>
        </w:tc>
        <w:tc>
          <w:tcPr>
            <w:tcW w:w="736" w:type="dxa"/>
            <w:vMerge w:val="restart"/>
            <w:tcBorders/>
          </w:tcPr>
          <w:p>
            <w:pPr>
              <w:pStyle w:val="Normal"/>
              <w:widowControl w:val="false"/>
              <w:overflowPunct w:val="true"/>
              <w:spacing w:lineRule="atLeast" w:line="400"/>
              <w:jc w:val="center"/>
              <w:rPr>
                <w:spacing w:val="20"/>
                <w:sz w:val="27"/>
                <w:szCs w:val="27"/>
              </w:rPr>
            </w:pPr>
            <w:r>
              <w:rPr>
                <w:spacing w:val="20"/>
                <w:sz w:val="27"/>
                <w:szCs w:val="27"/>
              </w:rPr>
              <w:t>41</w:t>
            </w:r>
          </w:p>
        </w:tc>
      </w:tr>
      <w:tr>
        <w:trPr/>
        <w:tc>
          <w:tcPr>
            <w:tcW w:w="1805"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369" w:type="dxa"/>
            <w:tcBorders>
              <w:top w:val="single" w:sz="4" w:space="0" w:color="FFFFFF"/>
              <w:right w:val="single" w:sz="4" w:space="0" w:color="FFFFFF"/>
            </w:tcBorders>
          </w:tcPr>
          <w:p>
            <w:pPr>
              <w:pStyle w:val="Normal"/>
              <w:widowControl w:val="false"/>
              <w:overflowPunct w:val="true"/>
              <w:spacing w:lineRule="atLeast" w:line="400"/>
              <w:ind w:left="57" w:hanging="0"/>
              <w:rPr>
                <w:spacing w:val="20"/>
                <w:sz w:val="27"/>
                <w:szCs w:val="27"/>
              </w:rPr>
            </w:pPr>
            <w:r>
              <w:rPr>
                <w:spacing w:val="20"/>
                <w:sz w:val="27"/>
                <w:szCs w:val="27"/>
              </w:rPr>
              <w:t>―</w:t>
            </w:r>
          </w:p>
          <w:p>
            <w:pPr>
              <w:pStyle w:val="Normal"/>
              <w:widowControl w:val="false"/>
              <w:overflowPunct w:val="true"/>
              <w:spacing w:lineRule="atLeast" w:line="400"/>
              <w:ind w:left="57" w:hanging="0"/>
              <w:rPr>
                <w:spacing w:val="20"/>
                <w:sz w:val="27"/>
                <w:szCs w:val="27"/>
              </w:rPr>
            </w:pPr>
            <w:r>
              <w:rPr>
                <w:spacing w:val="20"/>
                <w:sz w:val="27"/>
                <w:szCs w:val="27"/>
              </w:rPr>
              <w:t>―</w:t>
            </w:r>
          </w:p>
          <w:p>
            <w:pPr>
              <w:pStyle w:val="Normal"/>
              <w:widowControl w:val="false"/>
              <w:overflowPunct w:val="true"/>
              <w:spacing w:lineRule="atLeast" w:line="400"/>
              <w:ind w:left="57" w:hanging="0"/>
              <w:rPr>
                <w:spacing w:val="20"/>
                <w:sz w:val="27"/>
                <w:szCs w:val="27"/>
              </w:rPr>
            </w:pPr>
            <w:r>
              <w:rPr>
                <w:spacing w:val="20"/>
                <w:sz w:val="27"/>
                <w:szCs w:val="27"/>
              </w:rPr>
            </w:r>
          </w:p>
          <w:p>
            <w:pPr>
              <w:pStyle w:val="Normal"/>
              <w:widowControl w:val="false"/>
              <w:overflowPunct w:val="true"/>
              <w:spacing w:lineRule="atLeast" w:line="400"/>
              <w:ind w:left="57" w:hanging="0"/>
              <w:rPr>
                <w:spacing w:val="20"/>
                <w:sz w:val="27"/>
                <w:szCs w:val="27"/>
              </w:rPr>
            </w:pPr>
            <w:r>
              <w:rPr>
                <w:spacing w:val="20"/>
                <w:sz w:val="27"/>
                <w:szCs w:val="27"/>
              </w:rPr>
              <w:t>―</w:t>
            </w:r>
          </w:p>
          <w:p>
            <w:pPr>
              <w:pStyle w:val="Normal"/>
              <w:widowControl w:val="false"/>
              <w:overflowPunct w:val="true"/>
              <w:spacing w:lineRule="atLeast" w:line="400"/>
              <w:ind w:left="57" w:hanging="0"/>
              <w:rPr>
                <w:spacing w:val="20"/>
                <w:sz w:val="27"/>
                <w:szCs w:val="27"/>
              </w:rPr>
            </w:pPr>
            <w:r>
              <w:rPr>
                <w:spacing w:val="20"/>
                <w:sz w:val="27"/>
                <w:szCs w:val="27"/>
              </w:rPr>
            </w:r>
          </w:p>
          <w:p>
            <w:pPr>
              <w:pStyle w:val="Normal"/>
              <w:widowControl w:val="false"/>
              <w:overflowPunct w:val="true"/>
              <w:spacing w:lineRule="atLeast" w:line="400"/>
              <w:ind w:left="57" w:hanging="0"/>
              <w:rPr>
                <w:spacing w:val="20"/>
                <w:sz w:val="27"/>
                <w:szCs w:val="27"/>
              </w:rPr>
            </w:pPr>
            <w:r>
              <w:rPr>
                <w:spacing w:val="20"/>
                <w:sz w:val="27"/>
                <w:szCs w:val="27"/>
              </w:rPr>
              <w:t>―</w:t>
            </w:r>
          </w:p>
          <w:p>
            <w:pPr>
              <w:pStyle w:val="Normal"/>
              <w:widowControl w:val="false"/>
              <w:overflowPunct w:val="true"/>
              <w:spacing w:lineRule="atLeast" w:line="400"/>
              <w:ind w:left="57" w:hanging="0"/>
              <w:rPr>
                <w:rFonts w:ascii="華康細明體" w:hAnsi="華康細明體" w:cs="華康細明體"/>
                <w:spacing w:val="20"/>
                <w:sz w:val="27"/>
                <w:szCs w:val="27"/>
              </w:rPr>
            </w:pPr>
            <w:r>
              <w:rPr>
                <w:spacing w:val="20"/>
                <w:sz w:val="27"/>
                <w:szCs w:val="27"/>
              </w:rPr>
              <w:t>――</w:t>
            </w:r>
            <w:r>
              <w:rPr>
                <w:rFonts w:cs="華康細明體" w:ascii="華康細明體" w:hAnsi="華康細明體"/>
                <w:spacing w:val="20"/>
                <w:sz w:val="27"/>
                <w:szCs w:val="27"/>
              </w:rPr>
              <w:t></w:t>
            </w:r>
          </w:p>
          <w:p>
            <w:pPr>
              <w:pStyle w:val="Normal"/>
              <w:widowControl w:val="false"/>
              <w:overflowPunct w:val="true"/>
              <w:spacing w:lineRule="atLeast" w:line="400"/>
              <w:ind w:left="57" w:hanging="0"/>
              <w:rPr>
                <w:spacing w:val="20"/>
                <w:sz w:val="27"/>
                <w:szCs w:val="27"/>
              </w:rPr>
            </w:pPr>
            <w:r>
              <w:rPr>
                <w:spacing w:val="20"/>
                <w:sz w:val="27"/>
                <w:szCs w:val="27"/>
              </w:rPr>
            </w:r>
          </w:p>
          <w:p>
            <w:pPr>
              <w:pStyle w:val="Normal"/>
              <w:widowControl w:val="false"/>
              <w:overflowPunct w:val="true"/>
              <w:spacing w:lineRule="atLeast" w:line="400"/>
              <w:ind w:left="57" w:hanging="0"/>
              <w:rPr>
                <w:spacing w:val="20"/>
                <w:sz w:val="27"/>
                <w:szCs w:val="27"/>
              </w:rPr>
            </w:pPr>
            <w:r>
              <w:rPr>
                <w:spacing w:val="20"/>
                <w:sz w:val="27"/>
                <w:szCs w:val="27"/>
              </w:rPr>
              <w:t>―</w:t>
            </w:r>
          </w:p>
          <w:p>
            <w:pPr>
              <w:pStyle w:val="Normal"/>
              <w:widowControl w:val="false"/>
              <w:overflowPunct w:val="true"/>
              <w:spacing w:lineRule="atLeast" w:line="400"/>
              <w:ind w:left="57" w:hanging="0"/>
              <w:rPr>
                <w:spacing w:val="20"/>
                <w:sz w:val="27"/>
                <w:szCs w:val="27"/>
              </w:rPr>
            </w:pPr>
            <w:r>
              <w:rPr>
                <w:spacing w:val="20"/>
                <w:sz w:val="27"/>
                <w:szCs w:val="27"/>
              </w:rPr>
            </w:r>
          </w:p>
          <w:p>
            <w:pPr>
              <w:pStyle w:val="Normal"/>
              <w:widowControl w:val="false"/>
              <w:overflowPunct w:val="true"/>
              <w:spacing w:lineRule="atLeast" w:line="400"/>
              <w:ind w:left="57" w:hanging="0"/>
              <w:rPr>
                <w:spacing w:val="20"/>
                <w:sz w:val="27"/>
                <w:szCs w:val="27"/>
              </w:rPr>
            </w:pPr>
            <w:r>
              <w:rPr>
                <w:spacing w:val="20"/>
                <w:sz w:val="27"/>
                <w:szCs w:val="27"/>
              </w:rPr>
              <w:t>―</w:t>
            </w:r>
          </w:p>
          <w:p>
            <w:pPr>
              <w:pStyle w:val="Normal"/>
              <w:widowControl w:val="false"/>
              <w:overflowPunct w:val="true"/>
              <w:spacing w:lineRule="atLeast" w:line="400"/>
              <w:ind w:left="57" w:hanging="0"/>
              <w:rPr>
                <w:spacing w:val="20"/>
                <w:sz w:val="27"/>
                <w:szCs w:val="27"/>
              </w:rPr>
            </w:pPr>
            <w:r>
              <w:rPr>
                <w:spacing w:val="20"/>
                <w:sz w:val="27"/>
                <w:szCs w:val="27"/>
              </w:rPr>
            </w:r>
          </w:p>
        </w:tc>
        <w:tc>
          <w:tcPr>
            <w:tcW w:w="1790" w:type="dxa"/>
            <w:tcBorders>
              <w:top w:val="single" w:sz="4" w:space="0" w:color="FFFFFF"/>
              <w:left w:val="single" w:sz="4" w:space="0" w:color="FFFFFF"/>
            </w:tcBorders>
          </w:tcPr>
          <w:p>
            <w:pPr>
              <w:pStyle w:val="Normal"/>
              <w:widowControl w:val="false"/>
              <w:overflowPunct w:val="true"/>
              <w:spacing w:lineRule="atLeast" w:line="400"/>
              <w:ind w:left="57" w:hanging="0"/>
              <w:rPr>
                <w:spacing w:val="20"/>
                <w:sz w:val="27"/>
                <w:szCs w:val="27"/>
              </w:rPr>
            </w:pPr>
            <w:r>
              <w:rPr>
                <w:spacing w:val="20"/>
                <w:sz w:val="27"/>
                <w:szCs w:val="27"/>
              </w:rPr>
              <w:t>電氣布線工</w:t>
            </w:r>
          </w:p>
          <w:p>
            <w:pPr>
              <w:pStyle w:val="Normal"/>
              <w:widowControl w:val="false"/>
              <w:overflowPunct w:val="true"/>
              <w:spacing w:lineRule="atLeast" w:line="400"/>
              <w:ind w:left="57" w:hanging="0"/>
              <w:rPr>
                <w:spacing w:val="20"/>
                <w:sz w:val="27"/>
                <w:szCs w:val="27"/>
              </w:rPr>
            </w:pPr>
            <w:r>
              <w:rPr>
                <w:spacing w:val="20"/>
                <w:sz w:val="27"/>
                <w:szCs w:val="27"/>
              </w:rPr>
              <w:t>消防電氣裝配工</w:t>
            </w:r>
          </w:p>
          <w:p>
            <w:pPr>
              <w:pStyle w:val="Normal"/>
              <w:widowControl w:val="false"/>
              <w:overflowPunct w:val="true"/>
              <w:spacing w:lineRule="atLeast" w:line="400"/>
              <w:ind w:left="57" w:hanging="0"/>
              <w:rPr>
                <w:spacing w:val="20"/>
                <w:sz w:val="27"/>
                <w:szCs w:val="27"/>
              </w:rPr>
            </w:pPr>
            <w:r>
              <w:rPr>
                <w:spacing w:val="20"/>
                <w:sz w:val="27"/>
                <w:szCs w:val="27"/>
              </w:rPr>
              <w:t>消防機械裝配工</w:t>
            </w:r>
          </w:p>
          <w:p>
            <w:pPr>
              <w:pStyle w:val="Normal"/>
              <w:widowControl w:val="false"/>
              <w:overflowPunct w:val="true"/>
              <w:spacing w:lineRule="atLeast" w:line="400"/>
              <w:ind w:left="57" w:hanging="0"/>
              <w:rPr>
                <w:spacing w:val="20"/>
                <w:sz w:val="27"/>
                <w:szCs w:val="27"/>
              </w:rPr>
            </w:pPr>
            <w:r>
              <w:rPr>
                <w:spacing w:val="20"/>
                <w:sz w:val="27"/>
                <w:szCs w:val="27"/>
              </w:rPr>
              <w:t>升降機技工</w:t>
            </w:r>
          </w:p>
          <w:p>
            <w:pPr>
              <w:pStyle w:val="Normal"/>
              <w:widowControl w:val="false"/>
              <w:overflowPunct w:val="true"/>
              <w:spacing w:lineRule="atLeast" w:line="400"/>
              <w:ind w:left="57" w:hanging="0"/>
              <w:rPr>
                <w:spacing w:val="20"/>
                <w:sz w:val="27"/>
                <w:szCs w:val="27"/>
              </w:rPr>
            </w:pPr>
            <w:r>
              <w:rPr>
                <w:spacing w:val="20"/>
                <w:sz w:val="27"/>
                <w:szCs w:val="27"/>
              </w:rPr>
              <w:t>自動梯技工</w:t>
            </w:r>
          </w:p>
          <w:p>
            <w:pPr>
              <w:pStyle w:val="Normal"/>
              <w:widowControl w:val="false"/>
              <w:overflowPunct w:val="true"/>
              <w:spacing w:lineRule="atLeast" w:line="400"/>
              <w:ind w:left="57" w:hanging="0"/>
              <w:rPr>
                <w:spacing w:val="20"/>
                <w:sz w:val="27"/>
                <w:szCs w:val="27"/>
              </w:rPr>
            </w:pPr>
            <w:r>
              <w:rPr>
                <w:spacing w:val="20"/>
                <w:sz w:val="27"/>
                <w:szCs w:val="27"/>
              </w:rPr>
              <w:t>空調製冷設備技工</w:t>
            </w:r>
            <w:r>
              <w:rPr>
                <w:spacing w:val="20"/>
                <w:sz w:val="27"/>
                <w:szCs w:val="27"/>
              </w:rPr>
              <w:t>(</w:t>
            </w:r>
            <w:r>
              <w:rPr>
                <w:spacing w:val="20"/>
                <w:sz w:val="27"/>
                <w:szCs w:val="27"/>
              </w:rPr>
              <w:t>送風系統</w:t>
            </w:r>
            <w:r>
              <w:rPr>
                <w:spacing w:val="20"/>
                <w:sz w:val="27"/>
                <w:szCs w:val="27"/>
              </w:rPr>
              <w:t>)</w:t>
            </w:r>
          </w:p>
          <w:p>
            <w:pPr>
              <w:pStyle w:val="Normal"/>
              <w:widowControl w:val="false"/>
              <w:overflowPunct w:val="true"/>
              <w:spacing w:lineRule="atLeast" w:line="400"/>
              <w:ind w:left="57" w:hanging="0"/>
              <w:rPr>
                <w:spacing w:val="16"/>
                <w:sz w:val="27"/>
                <w:szCs w:val="27"/>
              </w:rPr>
            </w:pPr>
            <w:r>
              <w:rPr>
                <w:spacing w:val="16"/>
                <w:sz w:val="27"/>
                <w:szCs w:val="27"/>
              </w:rPr>
              <w:t>空調製冷設備技工</w:t>
            </w:r>
            <w:r>
              <w:rPr>
                <w:spacing w:val="16"/>
                <w:sz w:val="27"/>
                <w:szCs w:val="27"/>
              </w:rPr>
              <w:t>(</w:t>
            </w:r>
            <w:r>
              <w:rPr>
                <w:spacing w:val="16"/>
                <w:sz w:val="27"/>
                <w:szCs w:val="27"/>
              </w:rPr>
              <w:t>保溫</w:t>
            </w:r>
            <w:r>
              <w:rPr>
                <w:spacing w:val="16"/>
                <w:sz w:val="27"/>
                <w:szCs w:val="27"/>
              </w:rPr>
              <w:t>)</w:t>
            </w:r>
          </w:p>
          <w:p>
            <w:pPr>
              <w:pStyle w:val="Normal"/>
              <w:widowControl w:val="false"/>
              <w:overflowPunct w:val="true"/>
              <w:spacing w:lineRule="atLeast" w:line="400"/>
              <w:ind w:left="57" w:hanging="0"/>
              <w:rPr>
                <w:spacing w:val="20"/>
                <w:sz w:val="27"/>
                <w:szCs w:val="27"/>
              </w:rPr>
            </w:pPr>
            <w:r>
              <w:rPr>
                <w:spacing w:val="20"/>
                <w:sz w:val="27"/>
                <w:szCs w:val="27"/>
              </w:rPr>
              <w:t>空調製冷設備技工</w:t>
            </w:r>
            <w:r>
              <w:rPr>
                <w:spacing w:val="20"/>
                <w:sz w:val="27"/>
                <w:szCs w:val="27"/>
              </w:rPr>
              <w:t>(</w:t>
            </w:r>
            <w:r>
              <w:rPr>
                <w:spacing w:val="20"/>
                <w:sz w:val="27"/>
                <w:szCs w:val="27"/>
              </w:rPr>
              <w:t>水系統</w:t>
            </w:r>
            <w:r>
              <w:rPr>
                <w:spacing w:val="20"/>
                <w:sz w:val="27"/>
                <w:szCs w:val="27"/>
              </w:rPr>
              <w:t>)</w:t>
            </w:r>
          </w:p>
        </w:tc>
        <w:tc>
          <w:tcPr>
            <w:tcW w:w="1561"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736"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737"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738"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737"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736" w:type="dxa"/>
            <w:vMerge w:val="continue"/>
            <w:tcBorders/>
            <w:vAlign w:val="center"/>
          </w:tcPr>
          <w:p>
            <w:pPr>
              <w:pStyle w:val="Normal"/>
              <w:widowControl/>
              <w:spacing w:lineRule="atLeast" w:line="400"/>
              <w:jc w:val="left"/>
              <w:rPr>
                <w:spacing w:val="20"/>
                <w:sz w:val="27"/>
                <w:szCs w:val="27"/>
              </w:rPr>
            </w:pPr>
            <w:r>
              <w:rPr>
                <w:spacing w:val="20"/>
                <w:sz w:val="27"/>
                <w:szCs w:val="27"/>
              </w:rPr>
            </w:r>
          </w:p>
        </w:tc>
      </w:tr>
      <w:tr>
        <w:trPr/>
        <w:tc>
          <w:tcPr>
            <w:tcW w:w="1805" w:type="dxa"/>
            <w:vMerge w:val="restart"/>
            <w:tcBorders/>
          </w:tcPr>
          <w:p>
            <w:pPr>
              <w:pStyle w:val="Normal"/>
              <w:widowControl w:val="false"/>
              <w:overflowPunct w:val="true"/>
              <w:spacing w:lineRule="atLeast" w:line="400"/>
              <w:ind w:left="57" w:hanging="0"/>
              <w:rPr>
                <w:spacing w:val="20"/>
                <w:sz w:val="27"/>
                <w:szCs w:val="27"/>
              </w:rPr>
            </w:pPr>
            <w:r>
              <w:rPr>
                <w:spacing w:val="20"/>
                <w:sz w:val="27"/>
                <w:szCs w:val="27"/>
              </w:rPr>
              <w:t>僱員再培訓局</w:t>
            </w:r>
          </w:p>
          <w:p>
            <w:pPr>
              <w:pStyle w:val="Normal"/>
              <w:widowControl w:val="false"/>
              <w:overflowPunct w:val="true"/>
              <w:spacing w:lineRule="atLeast" w:line="400"/>
              <w:ind w:left="57" w:hanging="0"/>
              <w:rPr>
                <w:spacing w:val="20"/>
                <w:sz w:val="27"/>
                <w:szCs w:val="27"/>
              </w:rPr>
            </w:pPr>
            <w:r>
              <w:rPr>
                <w:spacing w:val="20"/>
                <w:sz w:val="27"/>
                <w:szCs w:val="27"/>
              </w:rPr>
              <w:t>(</w:t>
            </w:r>
            <w:r>
              <w:rPr>
                <w:spacing w:val="20"/>
                <w:sz w:val="27"/>
                <w:szCs w:val="27"/>
              </w:rPr>
              <w:t>資料來源：勞工及福利局</w:t>
            </w:r>
            <w:r>
              <w:rPr>
                <w:spacing w:val="20"/>
                <w:sz w:val="27"/>
                <w:szCs w:val="27"/>
              </w:rPr>
              <w:t>)</w:t>
            </w:r>
            <w:r>
              <w:rPr>
                <w:spacing w:val="20"/>
                <w:sz w:val="27"/>
                <w:szCs w:val="27"/>
                <w:vertAlign w:val="superscript"/>
              </w:rPr>
              <w:t>(6)</w:t>
            </w:r>
          </w:p>
        </w:tc>
        <w:tc>
          <w:tcPr>
            <w:tcW w:w="2159" w:type="dxa"/>
            <w:gridSpan w:val="2"/>
            <w:tcBorders/>
          </w:tcPr>
          <w:p>
            <w:pPr>
              <w:pStyle w:val="Normal"/>
              <w:widowControl w:val="false"/>
              <w:overflowPunct w:val="true"/>
              <w:spacing w:lineRule="atLeast" w:line="400"/>
              <w:ind w:left="57" w:hanging="0"/>
              <w:rPr>
                <w:spacing w:val="20"/>
                <w:sz w:val="27"/>
                <w:szCs w:val="27"/>
              </w:rPr>
            </w:pPr>
            <w:r>
              <w:rPr>
                <w:spacing w:val="20"/>
                <w:sz w:val="27"/>
                <w:szCs w:val="27"/>
              </w:rPr>
              <w:t>電氣布線工</w:t>
            </w:r>
            <w:r>
              <w:rPr>
                <w:spacing w:val="20"/>
                <w:sz w:val="27"/>
                <w:szCs w:val="27"/>
              </w:rPr>
              <w:t>(</w:t>
            </w:r>
            <w:r>
              <w:rPr>
                <w:spacing w:val="20"/>
                <w:sz w:val="27"/>
                <w:szCs w:val="27"/>
              </w:rPr>
              <w:t>中級工藝測試</w:t>
            </w:r>
            <w:r>
              <w:rPr>
                <w:spacing w:val="20"/>
                <w:sz w:val="27"/>
                <w:szCs w:val="27"/>
              </w:rPr>
              <w:t>)</w:t>
            </w:r>
            <w:r>
              <w:rPr>
                <w:spacing w:val="20"/>
                <w:sz w:val="27"/>
                <w:szCs w:val="27"/>
              </w:rPr>
              <w:t>基礎證書</w:t>
            </w:r>
          </w:p>
        </w:tc>
        <w:tc>
          <w:tcPr>
            <w:tcW w:w="1561" w:type="dxa"/>
            <w:tcBorders/>
          </w:tcPr>
          <w:p>
            <w:pPr>
              <w:pStyle w:val="Normal"/>
              <w:widowControl w:val="false"/>
              <w:overflowPunct w:val="true"/>
              <w:spacing w:lineRule="atLeast" w:line="400"/>
              <w:jc w:val="center"/>
              <w:rPr>
                <w:spacing w:val="20"/>
                <w:sz w:val="27"/>
                <w:szCs w:val="27"/>
              </w:rPr>
            </w:pPr>
            <w:r>
              <w:rPr>
                <w:spacing w:val="20"/>
                <w:sz w:val="27"/>
                <w:szCs w:val="27"/>
              </w:rPr>
              <w:t>260</w:t>
            </w:r>
            <w:r>
              <w:rPr>
                <w:spacing w:val="20"/>
                <w:sz w:val="27"/>
                <w:szCs w:val="27"/>
              </w:rPr>
              <w:t>小時</w:t>
            </w:r>
          </w:p>
        </w:tc>
        <w:tc>
          <w:tcPr>
            <w:tcW w:w="3684" w:type="dxa"/>
            <w:gridSpan w:val="5"/>
            <w:tcBorders/>
          </w:tcPr>
          <w:p>
            <w:pPr>
              <w:pStyle w:val="Normal"/>
              <w:widowControl w:val="false"/>
              <w:overflowPunct w:val="true"/>
              <w:spacing w:lineRule="atLeast" w:line="400"/>
              <w:jc w:val="center"/>
              <w:rPr>
                <w:spacing w:val="20"/>
                <w:sz w:val="27"/>
                <w:szCs w:val="27"/>
              </w:rPr>
            </w:pPr>
            <w:r>
              <w:rPr>
                <w:spacing w:val="20"/>
                <w:sz w:val="27"/>
                <w:szCs w:val="27"/>
              </w:rPr>
              <w:t>680</w:t>
            </w:r>
          </w:p>
        </w:tc>
      </w:tr>
      <w:tr>
        <w:trPr/>
        <w:tc>
          <w:tcPr>
            <w:tcW w:w="1805"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00"/>
              <w:ind w:left="57" w:hanging="0"/>
              <w:rPr>
                <w:spacing w:val="20"/>
                <w:sz w:val="27"/>
                <w:szCs w:val="27"/>
              </w:rPr>
            </w:pPr>
            <w:r>
              <w:rPr>
                <w:spacing w:val="20"/>
                <w:sz w:val="27"/>
                <w:szCs w:val="27"/>
              </w:rPr>
              <w:t>焊接技工基礎證書</w:t>
            </w:r>
          </w:p>
        </w:tc>
        <w:tc>
          <w:tcPr>
            <w:tcW w:w="1561" w:type="dxa"/>
            <w:tcBorders/>
          </w:tcPr>
          <w:p>
            <w:pPr>
              <w:pStyle w:val="Normal"/>
              <w:widowControl w:val="false"/>
              <w:overflowPunct w:val="true"/>
              <w:spacing w:lineRule="atLeast" w:line="400"/>
              <w:jc w:val="center"/>
              <w:rPr>
                <w:spacing w:val="20"/>
                <w:sz w:val="27"/>
                <w:szCs w:val="27"/>
              </w:rPr>
            </w:pPr>
            <w:r>
              <w:rPr>
                <w:spacing w:val="20"/>
                <w:sz w:val="27"/>
                <w:szCs w:val="27"/>
              </w:rPr>
              <w:t>200</w:t>
            </w:r>
            <w:r>
              <w:rPr>
                <w:spacing w:val="20"/>
                <w:sz w:val="27"/>
                <w:szCs w:val="27"/>
              </w:rPr>
              <w:t>小時</w:t>
            </w:r>
          </w:p>
        </w:tc>
        <w:tc>
          <w:tcPr>
            <w:tcW w:w="3684" w:type="dxa"/>
            <w:gridSpan w:val="5"/>
            <w:tcBorders/>
          </w:tcPr>
          <w:p>
            <w:pPr>
              <w:pStyle w:val="Normal"/>
              <w:widowControl w:val="false"/>
              <w:overflowPunct w:val="true"/>
              <w:spacing w:lineRule="atLeast" w:line="400"/>
              <w:jc w:val="center"/>
              <w:rPr>
                <w:spacing w:val="20"/>
                <w:sz w:val="27"/>
                <w:szCs w:val="27"/>
              </w:rPr>
            </w:pPr>
            <w:r>
              <w:rPr>
                <w:spacing w:val="20"/>
                <w:sz w:val="27"/>
                <w:szCs w:val="27"/>
              </w:rPr>
              <w:t>30</w:t>
            </w:r>
          </w:p>
        </w:tc>
      </w:tr>
      <w:tr>
        <w:trPr/>
        <w:tc>
          <w:tcPr>
            <w:tcW w:w="1805"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00"/>
              <w:ind w:left="57" w:hanging="0"/>
              <w:rPr>
                <w:spacing w:val="20"/>
                <w:sz w:val="27"/>
                <w:szCs w:val="27"/>
              </w:rPr>
            </w:pPr>
            <w:r>
              <w:rPr>
                <w:spacing w:val="20"/>
                <w:sz w:val="27"/>
                <w:szCs w:val="27"/>
              </w:rPr>
              <w:t>裝修水喉工</w:t>
            </w:r>
            <w:r>
              <w:rPr>
                <w:spacing w:val="20"/>
                <w:sz w:val="27"/>
                <w:szCs w:val="27"/>
              </w:rPr>
              <w:t>(</w:t>
            </w:r>
            <w:r>
              <w:rPr>
                <w:spacing w:val="20"/>
                <w:sz w:val="27"/>
                <w:szCs w:val="27"/>
              </w:rPr>
              <w:t>中級工藝測試</w:t>
            </w:r>
            <w:r>
              <w:rPr>
                <w:spacing w:val="20"/>
                <w:sz w:val="27"/>
                <w:szCs w:val="27"/>
              </w:rPr>
              <w:t>)</w:t>
            </w:r>
            <w:r>
              <w:rPr>
                <w:spacing w:val="20"/>
                <w:sz w:val="27"/>
                <w:szCs w:val="27"/>
              </w:rPr>
              <w:t>基礎證書</w:t>
            </w:r>
          </w:p>
        </w:tc>
        <w:tc>
          <w:tcPr>
            <w:tcW w:w="1561" w:type="dxa"/>
            <w:tcBorders/>
          </w:tcPr>
          <w:p>
            <w:pPr>
              <w:pStyle w:val="Normal"/>
              <w:widowControl w:val="false"/>
              <w:overflowPunct w:val="true"/>
              <w:spacing w:lineRule="atLeast" w:line="400"/>
              <w:jc w:val="center"/>
              <w:rPr>
                <w:spacing w:val="20"/>
                <w:sz w:val="27"/>
                <w:szCs w:val="27"/>
              </w:rPr>
            </w:pPr>
            <w:r>
              <w:rPr>
                <w:spacing w:val="20"/>
                <w:sz w:val="27"/>
                <w:szCs w:val="27"/>
              </w:rPr>
              <w:t>160</w:t>
            </w:r>
            <w:r>
              <w:rPr>
                <w:spacing w:val="20"/>
                <w:sz w:val="27"/>
                <w:szCs w:val="27"/>
              </w:rPr>
              <w:t>小時</w:t>
            </w:r>
          </w:p>
        </w:tc>
        <w:tc>
          <w:tcPr>
            <w:tcW w:w="3684" w:type="dxa"/>
            <w:gridSpan w:val="5"/>
            <w:tcBorders/>
          </w:tcPr>
          <w:p>
            <w:pPr>
              <w:pStyle w:val="Normal"/>
              <w:widowControl w:val="false"/>
              <w:overflowPunct w:val="true"/>
              <w:spacing w:lineRule="atLeast" w:line="400"/>
              <w:jc w:val="center"/>
              <w:rPr>
                <w:spacing w:val="20"/>
                <w:sz w:val="27"/>
                <w:szCs w:val="27"/>
              </w:rPr>
            </w:pPr>
            <w:r>
              <w:rPr>
                <w:spacing w:val="20"/>
                <w:sz w:val="27"/>
                <w:szCs w:val="27"/>
              </w:rPr>
              <w:t>130</w:t>
            </w:r>
          </w:p>
        </w:tc>
      </w:tr>
      <w:tr>
        <w:trPr/>
        <w:tc>
          <w:tcPr>
            <w:tcW w:w="1805"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00"/>
              <w:ind w:left="57" w:hanging="0"/>
              <w:rPr>
                <w:spacing w:val="20"/>
                <w:sz w:val="27"/>
                <w:szCs w:val="27"/>
              </w:rPr>
            </w:pPr>
            <w:r>
              <w:rPr>
                <w:spacing w:val="20"/>
                <w:sz w:val="27"/>
                <w:szCs w:val="27"/>
              </w:rPr>
              <w:t>電力技工證書</w:t>
            </w:r>
          </w:p>
        </w:tc>
        <w:tc>
          <w:tcPr>
            <w:tcW w:w="1561" w:type="dxa"/>
            <w:tcBorders/>
          </w:tcPr>
          <w:p>
            <w:pPr>
              <w:pStyle w:val="Normal"/>
              <w:widowControl w:val="false"/>
              <w:overflowPunct w:val="true"/>
              <w:spacing w:lineRule="atLeast" w:line="400"/>
              <w:jc w:val="center"/>
              <w:rPr>
                <w:spacing w:val="20"/>
                <w:sz w:val="27"/>
                <w:szCs w:val="27"/>
              </w:rPr>
            </w:pPr>
            <w:r>
              <w:rPr>
                <w:spacing w:val="20"/>
                <w:sz w:val="27"/>
                <w:szCs w:val="27"/>
              </w:rPr>
              <w:t>144</w:t>
            </w:r>
            <w:r>
              <w:rPr>
                <w:spacing w:val="20"/>
                <w:sz w:val="27"/>
                <w:szCs w:val="27"/>
              </w:rPr>
              <w:t>小時</w:t>
            </w:r>
          </w:p>
        </w:tc>
        <w:tc>
          <w:tcPr>
            <w:tcW w:w="3684" w:type="dxa"/>
            <w:gridSpan w:val="5"/>
            <w:tcBorders/>
          </w:tcPr>
          <w:p>
            <w:pPr>
              <w:pStyle w:val="Normal"/>
              <w:widowControl w:val="false"/>
              <w:overflowPunct w:val="true"/>
              <w:spacing w:lineRule="atLeast" w:line="400"/>
              <w:jc w:val="center"/>
              <w:rPr>
                <w:spacing w:val="20"/>
                <w:sz w:val="27"/>
                <w:szCs w:val="27"/>
              </w:rPr>
            </w:pPr>
            <w:r>
              <w:rPr>
                <w:spacing w:val="20"/>
                <w:sz w:val="27"/>
                <w:szCs w:val="27"/>
              </w:rPr>
              <w:t>20</w:t>
            </w:r>
          </w:p>
        </w:tc>
      </w:tr>
      <w:tr>
        <w:trPr/>
        <w:tc>
          <w:tcPr>
            <w:tcW w:w="1805" w:type="dxa"/>
            <w:vMerge w:val="continue"/>
            <w:tcBorders/>
            <w:vAlign w:val="center"/>
          </w:tcPr>
          <w:p>
            <w:pPr>
              <w:pStyle w:val="Normal"/>
              <w:widowControl/>
              <w:spacing w:lineRule="atLeast" w:line="40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00"/>
              <w:ind w:left="57" w:hanging="0"/>
              <w:rPr>
                <w:spacing w:val="20"/>
                <w:sz w:val="27"/>
                <w:szCs w:val="27"/>
              </w:rPr>
            </w:pPr>
            <w:r>
              <w:rPr>
                <w:spacing w:val="20"/>
                <w:sz w:val="27"/>
                <w:szCs w:val="27"/>
              </w:rPr>
              <w:t>消防</w:t>
            </w:r>
            <w:r>
              <w:rPr>
                <w:spacing w:val="20"/>
                <w:sz w:val="27"/>
                <w:szCs w:val="27"/>
              </w:rPr>
              <w:t>(</w:t>
            </w:r>
            <w:r>
              <w:rPr>
                <w:spacing w:val="20"/>
                <w:sz w:val="27"/>
                <w:szCs w:val="27"/>
              </w:rPr>
              <w:t>電</w:t>
            </w:r>
            <w:r>
              <w:rPr>
                <w:spacing w:val="20"/>
                <w:sz w:val="27"/>
                <w:szCs w:val="27"/>
              </w:rPr>
              <w:t>)</w:t>
            </w:r>
            <w:r>
              <w:rPr>
                <w:spacing w:val="20"/>
                <w:sz w:val="27"/>
                <w:szCs w:val="27"/>
              </w:rPr>
              <w:t>系統安裝技能單元證書</w:t>
            </w:r>
          </w:p>
        </w:tc>
        <w:tc>
          <w:tcPr>
            <w:tcW w:w="1561" w:type="dxa"/>
            <w:tcBorders/>
          </w:tcPr>
          <w:p>
            <w:pPr>
              <w:pStyle w:val="Normal"/>
              <w:widowControl w:val="false"/>
              <w:overflowPunct w:val="true"/>
              <w:spacing w:lineRule="atLeast" w:line="400"/>
              <w:jc w:val="center"/>
              <w:rPr>
                <w:spacing w:val="20"/>
                <w:sz w:val="27"/>
                <w:szCs w:val="27"/>
              </w:rPr>
            </w:pPr>
            <w:r>
              <w:rPr>
                <w:spacing w:val="20"/>
                <w:sz w:val="27"/>
                <w:szCs w:val="27"/>
              </w:rPr>
              <w:t>51</w:t>
            </w:r>
            <w:r>
              <w:rPr>
                <w:spacing w:val="20"/>
                <w:sz w:val="27"/>
                <w:szCs w:val="27"/>
              </w:rPr>
              <w:t>小時</w:t>
            </w:r>
          </w:p>
        </w:tc>
        <w:tc>
          <w:tcPr>
            <w:tcW w:w="3684" w:type="dxa"/>
            <w:gridSpan w:val="5"/>
            <w:tcBorders/>
          </w:tcPr>
          <w:p>
            <w:pPr>
              <w:pStyle w:val="Normal"/>
              <w:widowControl w:val="false"/>
              <w:overflowPunct w:val="true"/>
              <w:spacing w:lineRule="atLeast" w:line="400"/>
              <w:jc w:val="center"/>
              <w:rPr>
                <w:spacing w:val="20"/>
                <w:sz w:val="27"/>
                <w:szCs w:val="27"/>
              </w:rPr>
            </w:pPr>
            <w:r>
              <w:rPr>
                <w:spacing w:val="20"/>
                <w:sz w:val="27"/>
                <w:szCs w:val="27"/>
              </w:rPr>
              <w:t>60</w:t>
            </w:r>
          </w:p>
        </w:tc>
      </w:tr>
      <w:tr>
        <w:trPr/>
        <w:tc>
          <w:tcPr>
            <w:tcW w:w="1805" w:type="dxa"/>
            <w:tcBorders>
              <w:bottom w:val="nil"/>
            </w:tcBorders>
            <w:vAlign w:val="center"/>
          </w:tcPr>
          <w:p>
            <w:pPr>
              <w:pStyle w:val="Normal"/>
              <w:widowControl/>
              <w:spacing w:lineRule="atLeast" w:line="40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00"/>
              <w:ind w:left="57" w:hanging="0"/>
              <w:rPr>
                <w:spacing w:val="20"/>
                <w:sz w:val="27"/>
                <w:szCs w:val="27"/>
              </w:rPr>
            </w:pPr>
            <w:r>
              <w:rPr>
                <w:spacing w:val="20"/>
                <w:sz w:val="27"/>
                <w:szCs w:val="27"/>
              </w:rPr>
              <w:t>消防</w:t>
            </w:r>
            <w:r>
              <w:rPr>
                <w:spacing w:val="20"/>
                <w:sz w:val="27"/>
                <w:szCs w:val="27"/>
              </w:rPr>
              <w:t>(</w:t>
            </w:r>
            <w:r>
              <w:rPr>
                <w:spacing w:val="20"/>
                <w:sz w:val="27"/>
                <w:szCs w:val="27"/>
              </w:rPr>
              <w:t>水</w:t>
            </w:r>
            <w:r>
              <w:rPr>
                <w:spacing w:val="20"/>
                <w:sz w:val="27"/>
                <w:szCs w:val="27"/>
              </w:rPr>
              <w:t>)</w:t>
            </w:r>
            <w:r>
              <w:rPr>
                <w:spacing w:val="20"/>
                <w:sz w:val="27"/>
                <w:szCs w:val="27"/>
              </w:rPr>
              <w:t>系統安裝技能單元證書</w:t>
            </w:r>
          </w:p>
        </w:tc>
        <w:tc>
          <w:tcPr>
            <w:tcW w:w="1561" w:type="dxa"/>
            <w:tcBorders/>
          </w:tcPr>
          <w:p>
            <w:pPr>
              <w:pStyle w:val="Normal"/>
              <w:widowControl w:val="false"/>
              <w:overflowPunct w:val="true"/>
              <w:spacing w:lineRule="atLeast" w:line="400"/>
              <w:jc w:val="center"/>
              <w:rPr>
                <w:spacing w:val="20"/>
                <w:sz w:val="27"/>
                <w:szCs w:val="27"/>
              </w:rPr>
            </w:pPr>
            <w:r>
              <w:rPr>
                <w:spacing w:val="20"/>
                <w:sz w:val="27"/>
                <w:szCs w:val="27"/>
              </w:rPr>
              <w:t>51</w:t>
            </w:r>
            <w:r>
              <w:rPr>
                <w:spacing w:val="20"/>
                <w:sz w:val="27"/>
                <w:szCs w:val="27"/>
              </w:rPr>
              <w:t>小時</w:t>
            </w:r>
          </w:p>
        </w:tc>
        <w:tc>
          <w:tcPr>
            <w:tcW w:w="3684" w:type="dxa"/>
            <w:gridSpan w:val="5"/>
            <w:tcBorders/>
          </w:tcPr>
          <w:p>
            <w:pPr>
              <w:pStyle w:val="Normal"/>
              <w:widowControl w:val="false"/>
              <w:overflowPunct w:val="true"/>
              <w:spacing w:lineRule="atLeast" w:line="400"/>
              <w:jc w:val="center"/>
              <w:rPr>
                <w:spacing w:val="20"/>
                <w:sz w:val="27"/>
                <w:szCs w:val="27"/>
              </w:rPr>
            </w:pPr>
            <w:r>
              <w:rPr>
                <w:spacing w:val="20"/>
                <w:sz w:val="27"/>
                <w:szCs w:val="27"/>
              </w:rPr>
              <w:t>20</w:t>
            </w:r>
          </w:p>
        </w:tc>
      </w:tr>
      <w:tr>
        <w:trPr/>
        <w:tc>
          <w:tcPr>
            <w:tcW w:w="1805" w:type="dxa"/>
            <w:tcBorders>
              <w:top w:val="nil"/>
            </w:tcBorders>
            <w:vAlign w:val="center"/>
          </w:tcPr>
          <w:p>
            <w:pPr>
              <w:pStyle w:val="Normal"/>
              <w:widowControl/>
              <w:spacing w:lineRule="atLeast" w:line="400"/>
              <w:jc w:val="left"/>
              <w:rPr>
                <w:spacing w:val="20"/>
                <w:sz w:val="27"/>
                <w:szCs w:val="27"/>
              </w:rPr>
            </w:pPr>
            <w:r>
              <w:rPr>
                <w:spacing w:val="20"/>
                <w:sz w:val="27"/>
                <w:szCs w:val="27"/>
              </w:rPr>
            </w:r>
          </w:p>
        </w:tc>
        <w:tc>
          <w:tcPr>
            <w:tcW w:w="2159" w:type="dxa"/>
            <w:gridSpan w:val="2"/>
            <w:tcBorders/>
          </w:tcPr>
          <w:p>
            <w:pPr>
              <w:pStyle w:val="Normal"/>
              <w:widowControl w:val="false"/>
              <w:overflowPunct w:val="true"/>
              <w:spacing w:lineRule="atLeast" w:line="400"/>
              <w:ind w:left="57" w:hanging="0"/>
              <w:rPr>
                <w:spacing w:val="20"/>
                <w:sz w:val="27"/>
                <w:szCs w:val="27"/>
              </w:rPr>
            </w:pPr>
            <w:r>
              <w:rPr>
                <w:spacing w:val="20"/>
                <w:sz w:val="27"/>
                <w:szCs w:val="27"/>
              </w:rPr>
              <w:t>碳審計資料分析單元證書</w:t>
            </w:r>
            <w:r>
              <w:rPr>
                <w:spacing w:val="20"/>
                <w:sz w:val="27"/>
                <w:szCs w:val="27"/>
                <w:vertAlign w:val="superscript"/>
              </w:rPr>
              <w:t>(6)</w:t>
            </w:r>
          </w:p>
        </w:tc>
        <w:tc>
          <w:tcPr>
            <w:tcW w:w="1561" w:type="dxa"/>
            <w:tcBorders/>
          </w:tcPr>
          <w:p>
            <w:pPr>
              <w:pStyle w:val="Normal"/>
              <w:widowControl w:val="false"/>
              <w:overflowPunct w:val="true"/>
              <w:spacing w:lineRule="atLeast" w:line="400"/>
              <w:jc w:val="center"/>
              <w:rPr>
                <w:spacing w:val="20"/>
                <w:sz w:val="27"/>
                <w:szCs w:val="27"/>
              </w:rPr>
            </w:pPr>
            <w:r>
              <w:rPr>
                <w:spacing w:val="20"/>
                <w:sz w:val="27"/>
                <w:szCs w:val="27"/>
              </w:rPr>
              <w:t>36</w:t>
            </w:r>
            <w:r>
              <w:rPr>
                <w:spacing w:val="20"/>
                <w:sz w:val="27"/>
                <w:szCs w:val="27"/>
              </w:rPr>
              <w:t>小時</w:t>
            </w:r>
          </w:p>
        </w:tc>
        <w:tc>
          <w:tcPr>
            <w:tcW w:w="3684" w:type="dxa"/>
            <w:gridSpan w:val="5"/>
            <w:tcBorders/>
          </w:tcPr>
          <w:p>
            <w:pPr>
              <w:pStyle w:val="Normal"/>
              <w:widowControl w:val="false"/>
              <w:overflowPunct w:val="true"/>
              <w:spacing w:lineRule="atLeast" w:line="400"/>
              <w:jc w:val="center"/>
              <w:rPr>
                <w:spacing w:val="20"/>
                <w:sz w:val="27"/>
                <w:szCs w:val="27"/>
              </w:rPr>
            </w:pPr>
            <w:r>
              <w:rPr>
                <w:spacing w:val="20"/>
                <w:sz w:val="27"/>
                <w:szCs w:val="27"/>
              </w:rPr>
              <w:t>10</w:t>
            </w:r>
          </w:p>
        </w:tc>
      </w:tr>
    </w:tbl>
    <w:p>
      <w:pPr>
        <w:pStyle w:val="Normal"/>
        <w:snapToGrid w:val="false"/>
        <w:spacing w:lineRule="auto" w:line="240"/>
        <w:ind w:left="567" w:hanging="567"/>
        <w:rPr>
          <w:spacing w:val="20"/>
          <w:sz w:val="20"/>
          <w:szCs w:val="20"/>
        </w:rPr>
      </w:pPr>
      <w:r>
        <w:rPr>
          <w:spacing w:val="20"/>
          <w:sz w:val="20"/>
          <w:szCs w:val="20"/>
        </w:rPr>
      </w:r>
    </w:p>
    <w:p>
      <w:pPr>
        <w:pStyle w:val="Normal"/>
        <w:snapToGrid w:val="false"/>
        <w:spacing w:lineRule="auto" w:line="240"/>
        <w:ind w:left="567" w:hanging="567"/>
        <w:rPr>
          <w:spacing w:val="20"/>
          <w:sz w:val="20"/>
        </w:rPr>
      </w:pPr>
      <w:r>
        <w:rPr>
          <w:spacing w:val="20"/>
          <w:sz w:val="20"/>
        </w:rPr>
        <w:t>註：</w:t>
      </w:r>
    </w:p>
    <w:p>
      <w:pPr>
        <w:pStyle w:val="Normal"/>
        <w:snapToGrid w:val="false"/>
        <w:spacing w:lineRule="auto" w:line="240"/>
        <w:ind w:left="567" w:hanging="567"/>
        <w:rPr>
          <w:spacing w:val="20"/>
          <w:sz w:val="20"/>
        </w:rPr>
      </w:pPr>
      <w:r>
        <w:rPr>
          <w:spacing w:val="20"/>
          <w:sz w:val="20"/>
        </w:rPr>
      </w:r>
    </w:p>
    <w:p>
      <w:pPr>
        <w:pStyle w:val="Normal"/>
        <w:snapToGrid w:val="false"/>
        <w:spacing w:lineRule="auto" w:line="240"/>
        <w:ind w:left="567" w:hanging="567"/>
        <w:rPr>
          <w:spacing w:val="20"/>
          <w:sz w:val="20"/>
        </w:rPr>
      </w:pPr>
      <w:r>
        <w:rPr>
          <w:spacing w:val="20"/>
          <w:sz w:val="20"/>
        </w:rPr>
        <w:t>(3)</w:t>
        <w:tab/>
        <w:t>2014</w:t>
      </w:r>
      <w:r>
        <w:rPr>
          <w:spacing w:val="20"/>
          <w:sz w:val="20"/>
        </w:rPr>
        <w:t>年畢業生數據暫未能提供。</w:t>
      </w:r>
    </w:p>
    <w:p>
      <w:pPr>
        <w:pStyle w:val="Normal"/>
        <w:snapToGrid w:val="false"/>
        <w:spacing w:lineRule="auto" w:line="240"/>
        <w:ind w:left="567" w:hanging="567"/>
        <w:rPr>
          <w:spacing w:val="20"/>
          <w:sz w:val="20"/>
        </w:rPr>
      </w:pPr>
      <w:r>
        <w:rPr>
          <w:spacing w:val="20"/>
          <w:sz w:val="20"/>
        </w:rPr>
      </w:r>
    </w:p>
    <w:p>
      <w:pPr>
        <w:pStyle w:val="Normal"/>
        <w:snapToGrid w:val="false"/>
        <w:spacing w:lineRule="auto" w:line="240"/>
        <w:ind w:left="567" w:hanging="567"/>
        <w:rPr>
          <w:spacing w:val="20"/>
          <w:sz w:val="20"/>
        </w:rPr>
      </w:pPr>
      <w:r>
        <w:rPr>
          <w:spacing w:val="20"/>
          <w:sz w:val="20"/>
        </w:rPr>
        <w:t>(4)</w:t>
        <w:tab/>
      </w:r>
      <w:r>
        <w:rPr>
          <w:spacing w:val="20"/>
          <w:sz w:val="20"/>
        </w:rPr>
        <w:t>課程經整合而進行合併或改名。</w:t>
      </w:r>
    </w:p>
    <w:p>
      <w:pPr>
        <w:pStyle w:val="Normal"/>
        <w:snapToGrid w:val="false"/>
        <w:spacing w:lineRule="auto" w:line="240"/>
        <w:ind w:left="567" w:hanging="567"/>
        <w:rPr>
          <w:spacing w:val="20"/>
          <w:sz w:val="20"/>
        </w:rPr>
      </w:pPr>
      <w:r>
        <w:rPr>
          <w:spacing w:val="20"/>
          <w:sz w:val="20"/>
        </w:rPr>
      </w:r>
    </w:p>
    <w:p>
      <w:pPr>
        <w:pStyle w:val="Normal"/>
        <w:snapToGrid w:val="false"/>
        <w:spacing w:lineRule="auto" w:line="240"/>
        <w:ind w:left="567" w:hanging="567"/>
        <w:rPr>
          <w:spacing w:val="20"/>
          <w:sz w:val="20"/>
        </w:rPr>
      </w:pPr>
      <w:r>
        <w:rPr>
          <w:spacing w:val="20"/>
          <w:sz w:val="20"/>
        </w:rPr>
        <w:t>(5)</w:t>
        <w:tab/>
      </w:r>
      <w:r>
        <w:rPr>
          <w:spacing w:val="20"/>
          <w:sz w:val="20"/>
        </w:rPr>
        <w:t>就完成中三或同等學歷的學員，修讀年期一般為</w:t>
      </w:r>
      <w:r>
        <w:rPr>
          <w:spacing w:val="20"/>
          <w:sz w:val="20"/>
        </w:rPr>
        <w:t>3</w:t>
      </w:r>
      <w:r>
        <w:rPr>
          <w:spacing w:val="20"/>
          <w:sz w:val="20"/>
        </w:rPr>
        <w:t>年；就完成中六或同等學歷的學員，修讀年期一般為</w:t>
      </w:r>
      <w:r>
        <w:rPr>
          <w:spacing w:val="20"/>
          <w:sz w:val="20"/>
        </w:rPr>
        <w:t>1</w:t>
      </w:r>
      <w:r>
        <w:rPr>
          <w:spacing w:val="20"/>
          <w:sz w:val="20"/>
        </w:rPr>
        <w:t>年。</w:t>
      </w:r>
    </w:p>
    <w:p>
      <w:pPr>
        <w:pStyle w:val="Normal"/>
        <w:snapToGrid w:val="false"/>
        <w:spacing w:lineRule="auto" w:line="240"/>
        <w:ind w:left="567" w:hanging="567"/>
        <w:rPr>
          <w:spacing w:val="20"/>
          <w:sz w:val="20"/>
        </w:rPr>
      </w:pPr>
      <w:r>
        <w:rPr>
          <w:spacing w:val="20"/>
          <w:sz w:val="20"/>
        </w:rPr>
      </w:r>
    </w:p>
    <w:p>
      <w:pPr>
        <w:pStyle w:val="Normal"/>
        <w:snapToGrid w:val="false"/>
        <w:spacing w:lineRule="auto" w:line="240"/>
        <w:ind w:left="567" w:hanging="567"/>
        <w:rPr>
          <w:spacing w:val="20"/>
          <w:sz w:val="20"/>
        </w:rPr>
      </w:pPr>
      <w:r>
        <w:rPr>
          <w:spacing w:val="20"/>
          <w:sz w:val="20"/>
        </w:rPr>
        <w:t>(6)</w:t>
        <w:tab/>
        <w:t>2010-2011</w:t>
      </w:r>
      <w:r>
        <w:rPr>
          <w:spacing w:val="20"/>
          <w:sz w:val="20"/>
        </w:rPr>
        <w:t>年度至</w:t>
      </w:r>
      <w:r>
        <w:rPr>
          <w:spacing w:val="20"/>
          <w:sz w:val="20"/>
        </w:rPr>
        <w:t>2014-2015</w:t>
      </w:r>
      <w:r>
        <w:rPr>
          <w:spacing w:val="20"/>
          <w:sz w:val="20"/>
        </w:rPr>
        <w:t>年度的畢業人數，截至</w:t>
      </w:r>
      <w:r>
        <w:rPr>
          <w:spacing w:val="20"/>
          <w:sz w:val="20"/>
        </w:rPr>
        <w:t>2015</w:t>
      </w:r>
      <w:r>
        <w:rPr>
          <w:spacing w:val="20"/>
          <w:sz w:val="20"/>
        </w:rPr>
        <w:t>年</w:t>
      </w:r>
      <w:r>
        <w:rPr>
          <w:spacing w:val="20"/>
          <w:sz w:val="20"/>
        </w:rPr>
        <w:t>2</w:t>
      </w:r>
      <w:r>
        <w:rPr>
          <w:spacing w:val="20"/>
          <w:sz w:val="20"/>
        </w:rPr>
        <w:t>月</w:t>
      </w:r>
      <w:r>
        <w:rPr>
          <w:spacing w:val="20"/>
          <w:sz w:val="20"/>
        </w:rPr>
        <w:t>28</w:t>
      </w:r>
      <w:r>
        <w:rPr>
          <w:spacing w:val="20"/>
          <w:sz w:val="20"/>
        </w:rPr>
        <w:t>日的數字。</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eastAsia="華康中黑體" w:cs="Times New Roman"/>
          <w:b/>
          <w:b/>
        </w:rPr>
      </w:pPr>
      <w:bookmarkStart w:id="36" w:name="wrq12"/>
      <w:r>
        <w:rPr>
          <w:rFonts w:cs="Times New Roman" w:eastAsia="華康中黑體"/>
          <w:b/>
        </w:rPr>
        <w:t>政府部門及公營機構外判服務</w:t>
      </w:r>
    </w:p>
    <w:p>
      <w:pPr>
        <w:pStyle w:val="Normal"/>
        <w:spacing w:lineRule="atLeast" w:line="380"/>
        <w:rPr>
          <w:b/>
          <w:b/>
        </w:rPr>
      </w:pPr>
      <w:bookmarkStart w:id="37" w:name="wrq12"/>
      <w:r>
        <w:rPr>
          <w:b/>
        </w:rPr>
        <w:t>Outsourcing of Services by Government Departments and Public Organizations</w:t>
      </w:r>
      <w:bookmarkEnd w:id="37"/>
    </w:p>
    <w:p>
      <w:pPr>
        <w:pStyle w:val="F21"/>
        <w:spacing w:lineRule="atLeast" w:line="380"/>
        <w:rPr>
          <w:rFonts w:cs="Times New Roman"/>
        </w:rPr>
      </w:pPr>
      <w:r>
        <w:rPr>
          <w:rFonts w:cs="Times New Roman"/>
        </w:rPr>
      </w:r>
    </w:p>
    <w:p>
      <w:pPr>
        <w:pStyle w:val="F21"/>
        <w:spacing w:lineRule="atLeast" w:line="380"/>
        <w:rPr>
          <w:i/>
          <w:i/>
          <w:szCs w:val="27"/>
        </w:rPr>
      </w:pPr>
      <w:r>
        <w:rPr>
          <w:rFonts w:eastAsia="華康中黑體"/>
          <w:b/>
          <w:szCs w:val="27"/>
        </w:rPr>
        <w:t>12.</w:t>
        <w:tab/>
      </w:r>
      <w:r>
        <w:rPr>
          <w:rFonts w:eastAsia="華康中黑體"/>
          <w:b/>
          <w:szCs w:val="27"/>
        </w:rPr>
        <w:t>郭家麒議員</w:t>
      </w:r>
      <w:r>
        <w:rPr>
          <w:szCs w:val="27"/>
        </w:rPr>
        <w:t>：</w:t>
      </w:r>
      <w:r>
        <w:rPr>
          <w:i/>
          <w:szCs w:val="27"/>
        </w:rPr>
        <w:t>主席，就受聘於中介公司及外判服務承辦商</w:t>
      </w:r>
      <w:r>
        <w:rPr>
          <w:i/>
          <w:szCs w:val="27"/>
        </w:rPr>
        <w:t>(</w:t>
      </w:r>
      <w:r>
        <w:rPr>
          <w:i/>
          <w:szCs w:val="27"/>
        </w:rPr>
        <w:t>統稱“外判商”</w:t>
      </w:r>
      <w:r>
        <w:rPr>
          <w:i/>
          <w:szCs w:val="27"/>
        </w:rPr>
        <w:t>)</w:t>
      </w:r>
      <w:r>
        <w:rPr>
          <w:i/>
          <w:szCs w:val="27"/>
        </w:rPr>
        <w:t>而為政府部門或公營機構提供服務的員工</w:t>
      </w:r>
      <w:r>
        <w:rPr>
          <w:i/>
          <w:szCs w:val="27"/>
        </w:rPr>
        <w:t>(“</w:t>
      </w:r>
      <w:r>
        <w:rPr>
          <w:i/>
          <w:szCs w:val="27"/>
        </w:rPr>
        <w:t>外判員工”</w:t>
      </w:r>
      <w:r>
        <w:rPr>
          <w:i/>
          <w:szCs w:val="27"/>
        </w:rPr>
        <w:t>)</w:t>
      </w:r>
      <w:r>
        <w:rPr>
          <w:i/>
          <w:szCs w:val="27"/>
        </w:rPr>
        <w:t>，政府可否告知本會：</w:t>
      </w:r>
    </w:p>
    <w:p>
      <w:pPr>
        <w:pStyle w:val="F21"/>
        <w:spacing w:lineRule="atLeast" w:line="380"/>
        <w:rPr>
          <w:i/>
          <w:i/>
          <w:szCs w:val="27"/>
        </w:rPr>
      </w:pPr>
      <w:r>
        <w:rPr>
          <w:i/>
          <w:szCs w:val="27"/>
        </w:rPr>
      </w:r>
    </w:p>
    <w:p>
      <w:pPr>
        <w:pStyle w:val="Style13"/>
        <w:spacing w:lineRule="atLeast" w:line="380"/>
        <w:rPr>
          <w:szCs w:val="27"/>
        </w:rPr>
      </w:pPr>
      <w:r>
        <w:rPr>
          <w:szCs w:val="27"/>
        </w:rPr>
        <w:t>(</w:t>
      </w:r>
      <w:r>
        <w:rPr>
          <w:szCs w:val="27"/>
        </w:rPr>
        <w:t>一</w:t>
      </w:r>
      <w:r>
        <w:rPr>
          <w:szCs w:val="27"/>
        </w:rPr>
        <w:t>)</w:t>
        <w:tab/>
      </w:r>
      <w:r>
        <w:rPr>
          <w:szCs w:val="27"/>
        </w:rPr>
        <w:t>過去</w:t>
      </w:r>
      <w:r>
        <w:rPr>
          <w:szCs w:val="27"/>
        </w:rPr>
        <w:t>3</w:t>
      </w:r>
      <w:r>
        <w:rPr>
          <w:szCs w:val="27"/>
        </w:rPr>
        <w:t>年，每年各政府部門及公營機構</w:t>
      </w:r>
      <w:r>
        <w:rPr>
          <w:szCs w:val="27"/>
        </w:rPr>
        <w:t>(</w:t>
      </w:r>
      <w:r>
        <w:rPr>
          <w:szCs w:val="27"/>
        </w:rPr>
        <w:t>包括醫院管理局及職業訓練局</w:t>
      </w:r>
      <w:r>
        <w:rPr>
          <w:szCs w:val="27"/>
        </w:rPr>
        <w:t>)</w:t>
      </w:r>
      <w:r>
        <w:rPr>
          <w:szCs w:val="27"/>
        </w:rPr>
        <w:t>的外判員工總數，並按部門／機構列出分項數字；有否研究外判員工現時的薪酬福利水平，是否低於職責相若的公務員及其他私營企業僱員的水平，以及他們的僱傭合約年期是否較其他私營企業僱員的年期為短；若有研究，詳情為何；</w:t>
      </w:r>
    </w:p>
    <w:p>
      <w:pPr>
        <w:pStyle w:val="Style13"/>
        <w:spacing w:lineRule="atLeast" w:line="380"/>
        <w:rPr>
          <w:szCs w:val="27"/>
        </w:rPr>
      </w:pPr>
      <w:r>
        <w:rPr>
          <w:szCs w:val="27"/>
        </w:rPr>
      </w:r>
    </w:p>
    <w:p>
      <w:pPr>
        <w:pStyle w:val="Style13"/>
        <w:spacing w:lineRule="atLeast" w:line="380"/>
        <w:rPr>
          <w:i w:val="false"/>
          <w:i w:val="false"/>
          <w:szCs w:val="27"/>
        </w:rPr>
      </w:pPr>
      <w:r>
        <w:rPr>
          <w:szCs w:val="27"/>
        </w:rPr>
        <w:t>(</w:t>
      </w:r>
      <w:r>
        <w:rPr>
          <w:szCs w:val="27"/>
        </w:rPr>
        <w:t>二</w:t>
      </w:r>
      <w:r>
        <w:rPr>
          <w:szCs w:val="27"/>
        </w:rPr>
        <w:t>)</w:t>
        <w:tab/>
      </w:r>
      <w:r>
        <w:rPr>
          <w:szCs w:val="27"/>
        </w:rPr>
        <w:t>各政府部門及公營機構選擇外判商的具體準則；過去</w:t>
      </w:r>
      <w:r>
        <w:rPr>
          <w:szCs w:val="27"/>
        </w:rPr>
        <w:t>3</w:t>
      </w:r>
      <w:r>
        <w:rPr>
          <w:szCs w:val="27"/>
        </w:rPr>
        <w:t>年，它們把服務外判的詳情，包括服務性質和合約年期，以及每年因外判服務而節省的款項總額；</w:t>
      </w:r>
      <w:r>
        <w:br w:type="page"/>
      </w:r>
    </w:p>
    <w:p>
      <w:pPr>
        <w:pStyle w:val="Style13"/>
        <w:spacing w:lineRule="atLeast" w:line="380"/>
        <w:rPr>
          <w:szCs w:val="27"/>
        </w:rPr>
      </w:pPr>
      <w:r>
        <w:rPr>
          <w:szCs w:val="27"/>
        </w:rPr>
        <w:t>(</w:t>
      </w:r>
      <w:r>
        <w:rPr>
          <w:szCs w:val="27"/>
        </w:rPr>
        <w:t>三</w:t>
      </w:r>
      <w:r>
        <w:rPr>
          <w:szCs w:val="27"/>
        </w:rPr>
        <w:t>)</w:t>
        <w:tab/>
      </w:r>
      <w:r>
        <w:rPr>
          <w:szCs w:val="27"/>
        </w:rPr>
        <w:t>過去</w:t>
      </w:r>
      <w:r>
        <w:rPr>
          <w:szCs w:val="27"/>
        </w:rPr>
        <w:t>3</w:t>
      </w:r>
      <w:r>
        <w:rPr>
          <w:szCs w:val="27"/>
        </w:rPr>
        <w:t>年，每年各政府部門收到外判員工指稱外判商拖欠或剋扣工資或工作環境欠佳的投訴宗數；當局跟進該等投訴的詳情為何，以及當中因投訴成立而對有關外判商作出懲處的個案宗數及詳情為何；</w:t>
      </w:r>
    </w:p>
    <w:p>
      <w:pPr>
        <w:pStyle w:val="Style13"/>
        <w:spacing w:lineRule="atLeast" w:line="380"/>
        <w:rPr>
          <w:szCs w:val="27"/>
        </w:rPr>
      </w:pPr>
      <w:r>
        <w:rPr>
          <w:szCs w:val="27"/>
        </w:rPr>
      </w:r>
    </w:p>
    <w:p>
      <w:pPr>
        <w:pStyle w:val="Style13"/>
        <w:spacing w:lineRule="atLeast" w:line="380"/>
        <w:rPr>
          <w:szCs w:val="27"/>
        </w:rPr>
      </w:pPr>
      <w:r>
        <w:rPr>
          <w:szCs w:val="27"/>
        </w:rPr>
        <w:t>(</w:t>
      </w:r>
      <w:r>
        <w:rPr>
          <w:szCs w:val="27"/>
        </w:rPr>
        <w:t>四</w:t>
      </w:r>
      <w:r>
        <w:rPr>
          <w:szCs w:val="27"/>
        </w:rPr>
        <w:t>)</w:t>
        <w:tab/>
      </w:r>
      <w:r>
        <w:rPr>
          <w:szCs w:val="27"/>
        </w:rPr>
        <w:t>政府最近一次檢討其監管外判商給予外判員工的薪酬待遇的機制的日期及詳情為何；及</w:t>
      </w:r>
    </w:p>
    <w:p>
      <w:pPr>
        <w:pStyle w:val="Style13"/>
        <w:spacing w:lineRule="atLeast" w:line="380"/>
        <w:rPr>
          <w:szCs w:val="27"/>
        </w:rPr>
      </w:pPr>
      <w:r>
        <w:rPr>
          <w:szCs w:val="27"/>
        </w:rPr>
      </w:r>
    </w:p>
    <w:p>
      <w:pPr>
        <w:pStyle w:val="Style13"/>
        <w:spacing w:lineRule="atLeast" w:line="380"/>
        <w:rPr>
          <w:szCs w:val="27"/>
        </w:rPr>
      </w:pPr>
      <w:r>
        <w:rPr>
          <w:szCs w:val="27"/>
        </w:rPr>
        <w:t>(</w:t>
      </w:r>
      <w:r>
        <w:rPr>
          <w:szCs w:val="27"/>
        </w:rPr>
        <w:t>五</w:t>
      </w:r>
      <w:r>
        <w:rPr>
          <w:szCs w:val="27"/>
        </w:rPr>
        <w:t>)</w:t>
        <w:tab/>
      </w:r>
      <w:r>
        <w:rPr>
          <w:szCs w:val="27"/>
        </w:rPr>
        <w:t>各政府部門及公營機構在過去</w:t>
      </w:r>
      <w:r>
        <w:rPr>
          <w:szCs w:val="27"/>
        </w:rPr>
        <w:t>3</w:t>
      </w:r>
      <w:r>
        <w:rPr>
          <w:szCs w:val="27"/>
        </w:rPr>
        <w:t>年及預計在未來</w:t>
      </w:r>
      <w:r>
        <w:rPr>
          <w:szCs w:val="27"/>
        </w:rPr>
        <w:t>3</w:t>
      </w:r>
      <w:r>
        <w:rPr>
          <w:szCs w:val="27"/>
        </w:rPr>
        <w:t>年，每年因把</w:t>
      </w:r>
      <w:r>
        <w:rPr>
          <w:szCs w:val="27"/>
        </w:rPr>
        <w:t>(</w:t>
      </w:r>
      <w:r>
        <w:rPr>
          <w:szCs w:val="27"/>
        </w:rPr>
        <w:t>會把</w:t>
      </w:r>
      <w:r>
        <w:rPr>
          <w:szCs w:val="27"/>
        </w:rPr>
        <w:t>)</w:t>
      </w:r>
      <w:r>
        <w:rPr>
          <w:szCs w:val="27"/>
        </w:rPr>
        <w:t>服務外判而分別刪減多少個職位；它們有否計劃直接聘用員工提供服務，以取代外判服務；如有，詳情為何？</w:t>
      </w:r>
    </w:p>
    <w:p>
      <w:pPr>
        <w:pStyle w:val="Style13"/>
        <w:spacing w:lineRule="atLeast" w:line="380"/>
        <w:ind w:left="0" w:hanging="0"/>
        <w:rPr>
          <w:szCs w:val="27"/>
        </w:rPr>
      </w:pPr>
      <w:r>
        <w:rPr>
          <w:szCs w:val="27"/>
        </w:rPr>
      </w:r>
    </w:p>
    <w:p>
      <w:pPr>
        <w:pStyle w:val="Style13"/>
        <w:spacing w:lineRule="atLeast" w:line="380"/>
        <w:ind w:left="0" w:hanging="0"/>
        <w:rPr>
          <w:szCs w:val="27"/>
        </w:rPr>
      </w:pPr>
      <w:r>
        <w:rPr>
          <w:szCs w:val="27"/>
        </w:rPr>
      </w:r>
    </w:p>
    <w:p>
      <w:pPr>
        <w:pStyle w:val="Style13"/>
        <w:spacing w:lineRule="atLeast" w:line="380"/>
        <w:ind w:left="0" w:hanging="0"/>
        <w:rPr>
          <w:i w:val="false"/>
          <w:i w:val="false"/>
        </w:rPr>
      </w:pPr>
      <w:r>
        <w:rPr>
          <w:rFonts w:eastAsia="華康中黑體"/>
          <w:b/>
          <w:i w:val="false"/>
        </w:rPr>
        <w:t>財經事務及庫務局局長</w:t>
      </w:r>
      <w:r>
        <w:rPr>
          <w:i w:val="false"/>
        </w:rPr>
        <w:t>：主席，外判是政府部門用以提供公共服務的其中一種方式，個別部門會因應運作需要決定是否把服務外判。</w:t>
      </w:r>
    </w:p>
    <w:p>
      <w:pPr>
        <w:pStyle w:val="F21"/>
        <w:spacing w:lineRule="atLeast" w:line="380"/>
        <w:rPr/>
      </w:pPr>
      <w:r>
        <w:rPr/>
      </w:r>
    </w:p>
    <w:p>
      <w:pPr>
        <w:pStyle w:val="F21"/>
        <w:spacing w:lineRule="atLeast" w:line="380"/>
        <w:rPr/>
      </w:pPr>
      <w:r>
        <w:rPr/>
        <w:tab/>
      </w:r>
      <w:r>
        <w:rPr/>
        <w:t>關於受聘於中介公司及外判服務承辦商</w:t>
      </w:r>
      <w:r>
        <w:rPr/>
        <w:t>(</w:t>
      </w:r>
      <w:r>
        <w:rPr/>
        <w:t>統稱</w:t>
      </w:r>
      <w:r>
        <w:rPr>
          <w:szCs w:val="27"/>
        </w:rPr>
        <w:t>“外判商”</w:t>
      </w:r>
      <w:r>
        <w:rPr/>
        <w:t>)</w:t>
      </w:r>
      <w:r>
        <w:rPr/>
        <w:t>而為政府部門或公營機構提供服務的員工</w:t>
      </w:r>
      <w:r>
        <w:rPr/>
        <w:t>(</w:t>
      </w:r>
      <w:r>
        <w:rPr/>
        <w:t>下稱</w:t>
      </w:r>
      <w:r>
        <w:rPr>
          <w:szCs w:val="27"/>
        </w:rPr>
        <w:t>“外判員工”</w:t>
      </w:r>
      <w:r>
        <w:rPr/>
        <w:t>)</w:t>
      </w:r>
      <w:r>
        <w:rPr/>
        <w:t>和他們的薪酬待遇，財經事務及庫務局沒有備存有關資料。根據效率促進組在</w:t>
      </w:r>
      <w:r>
        <w:rPr/>
        <w:t>2013</w:t>
      </w:r>
      <w:r>
        <w:rPr/>
        <w:t>年</w:t>
      </w:r>
      <w:r>
        <w:rPr/>
        <w:t>5</w:t>
      </w:r>
      <w:r>
        <w:rPr/>
        <w:t>月就政府外判服務發表的調查報告，以每年外判服務開支計算，聘用外判服務最多的</w:t>
      </w:r>
      <w:r>
        <w:rPr/>
        <w:t>10</w:t>
      </w:r>
      <w:r>
        <w:rPr/>
        <w:t>個部門，佔所有部門用於外判服務開支的</w:t>
      </w:r>
      <w:r>
        <w:rPr/>
        <w:t>87%</w:t>
      </w:r>
      <w:r>
        <w:rPr/>
        <w:t>。這些部門包括建築署、土木工程拓展署、渠務署、環境保護署、機電工程署、食物環境衞生署、路政署、房屋署、康樂及文化事務署及水務署。根據上述部門提供的資料，現就質詢各點答覆如下︰</w:t>
      </w:r>
    </w:p>
    <w:p>
      <w:pPr>
        <w:pStyle w:val="Style13"/>
        <w:spacing w:lineRule="atLeast" w:line="380"/>
        <w:rPr>
          <w:i w:val="false"/>
          <w:i w:val="false"/>
        </w:rPr>
      </w:pPr>
      <w:r>
        <w:rPr>
          <w:i w:val="false"/>
        </w:rPr>
      </w:r>
    </w:p>
    <w:p>
      <w:pPr>
        <w:pStyle w:val="Style13"/>
        <w:spacing w:lineRule="atLeast" w:line="380"/>
        <w:rPr>
          <w:i w:val="false"/>
          <w:i w:val="false"/>
        </w:rPr>
      </w:pPr>
      <w:r>
        <w:rPr>
          <w:i w:val="false"/>
        </w:rPr>
        <w:t>(</w:t>
      </w:r>
      <w:r>
        <w:rPr>
          <w:i w:val="false"/>
        </w:rPr>
        <w:t>一</w:t>
      </w:r>
      <w:r>
        <w:rPr>
          <w:i w:val="false"/>
        </w:rPr>
        <w:t>)</w:t>
        <w:tab/>
      </w:r>
      <w:r>
        <w:rPr>
          <w:i w:val="false"/>
        </w:rPr>
        <w:t>過去</w:t>
      </w:r>
      <w:r>
        <w:rPr>
          <w:i w:val="false"/>
        </w:rPr>
        <w:t>3</w:t>
      </w:r>
      <w:r>
        <w:rPr>
          <w:i w:val="false"/>
        </w:rPr>
        <w:t>年</w:t>
      </w:r>
      <w:r>
        <w:rPr>
          <w:i w:val="false"/>
        </w:rPr>
        <w:t>(</w:t>
      </w:r>
      <w:r>
        <w:rPr>
          <w:i w:val="false"/>
        </w:rPr>
        <w:t>以</w:t>
      </w:r>
      <w:r>
        <w:rPr>
          <w:i w:val="false"/>
        </w:rPr>
        <w:t>2012</w:t>
      </w:r>
      <w:r>
        <w:rPr>
          <w:i w:val="false"/>
        </w:rPr>
        <w:t>年、</w:t>
      </w:r>
      <w:r>
        <w:rPr>
          <w:i w:val="false"/>
        </w:rPr>
        <w:t>2013</w:t>
      </w:r>
      <w:r>
        <w:rPr>
          <w:i w:val="false"/>
        </w:rPr>
        <w:t>年及</w:t>
      </w:r>
      <w:r>
        <w:rPr>
          <w:i w:val="false"/>
        </w:rPr>
        <w:t>2014</w:t>
      </w:r>
      <w:r>
        <w:rPr>
          <w:i w:val="false"/>
        </w:rPr>
        <w:t>年的</w:t>
      </w:r>
      <w:r>
        <w:rPr>
          <w:i w:val="false"/>
        </w:rPr>
        <w:t>12</w:t>
      </w:r>
      <w:r>
        <w:rPr>
          <w:i w:val="false"/>
        </w:rPr>
        <w:t>月</w:t>
      </w:r>
      <w:r>
        <w:rPr>
          <w:i w:val="false"/>
        </w:rPr>
        <w:t>31</w:t>
      </w:r>
      <w:r>
        <w:rPr>
          <w:i w:val="false"/>
        </w:rPr>
        <w:t>日計算</w:t>
      </w:r>
      <w:r>
        <w:rPr>
          <w:i w:val="false"/>
        </w:rPr>
        <w:t>)</w:t>
      </w:r>
      <w:r>
        <w:rPr>
          <w:i w:val="false"/>
        </w:rPr>
        <w:t>，上述政府部門的外判員工總數，按部門列出分項數字如下：</w:t>
      </w:r>
    </w:p>
    <w:p>
      <w:pPr>
        <w:pStyle w:val="Style13"/>
        <w:spacing w:lineRule="atLeast" w:line="380"/>
        <w:rPr>
          <w:i w:val="false"/>
          <w:i w:val="false"/>
        </w:rPr>
      </w:pPr>
      <w:r>
        <w:rPr>
          <w:i w:val="false"/>
        </w:rPr>
      </w:r>
    </w:p>
    <w:tbl>
      <w:tblPr>
        <w:tblW w:w="7805" w:type="dxa"/>
        <w:jc w:val="left"/>
        <w:tblInd w:w="1418" w:type="dxa"/>
        <w:tblCellMar>
          <w:top w:w="0" w:type="dxa"/>
          <w:left w:w="5" w:type="dxa"/>
          <w:bottom w:w="0" w:type="dxa"/>
          <w:right w:w="5" w:type="dxa"/>
        </w:tblCellMar>
        <w:tblLook w:val="01e0" w:noHBand="0" w:noVBand="0" w:firstColumn="1" w:lastRow="1" w:lastColumn="1" w:firstRow="1"/>
      </w:tblPr>
      <w:tblGrid>
        <w:gridCol w:w="3146"/>
        <w:gridCol w:w="1553"/>
        <w:gridCol w:w="1552"/>
        <w:gridCol w:w="1553"/>
      </w:tblGrid>
      <w:tr>
        <w:trPr>
          <w:tblHeader w:val="true"/>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pPr>
            <w:r>
              <w:rPr/>
              <w:t>部門</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pPr>
            <w:r>
              <w:rPr/>
              <w:t>2012</w:t>
            </w:r>
            <w:r>
              <w:rPr/>
              <w:t>年</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pPr>
            <w:r>
              <w:rPr/>
              <w:t>2013</w:t>
            </w:r>
            <w:r>
              <w:rPr/>
              <w:t>年</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pPr>
            <w:r>
              <w:rPr/>
              <w:t>2014</w:t>
            </w:r>
            <w:r>
              <w:rPr/>
              <w:t>年</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建築署</w:t>
            </w:r>
            <w:r>
              <w:rPr>
                <w:i w:val="false"/>
                <w:vertAlign w:val="superscript"/>
              </w:rPr>
              <w:t>*</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198</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174</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163</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土木工程拓展署</w:t>
            </w:r>
            <w:r>
              <w:rPr>
                <w:i w:val="false"/>
                <w:vertAlign w:val="superscript"/>
              </w:rPr>
              <w:t>#*</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158</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176</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198</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渠務署</w:t>
            </w:r>
            <w:r>
              <w:rPr>
                <w:i w:val="false"/>
                <w:vertAlign w:val="superscript"/>
              </w:rPr>
              <w:t>*</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227" w:right="57" w:hanging="0"/>
              <w:jc w:val="center"/>
              <w:rPr>
                <w:i w:val="false"/>
                <w:i w:val="false"/>
              </w:rPr>
            </w:pPr>
            <w:r>
              <w:rPr>
                <w:i w:val="false"/>
              </w:rPr>
              <w:t>1 174</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227" w:right="57" w:hanging="0"/>
              <w:jc w:val="center"/>
              <w:rPr>
                <w:i w:val="false"/>
                <w:i w:val="false"/>
              </w:rPr>
            </w:pPr>
            <w:r>
              <w:rPr>
                <w:i w:val="false"/>
              </w:rPr>
              <w:t>1 080</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908</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環境保護署</w:t>
            </w:r>
            <w:r>
              <w:rPr>
                <w:i w:val="false"/>
                <w:vertAlign w:val="superscript"/>
              </w:rPr>
              <w:t>*</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624" w:right="57" w:hanging="0"/>
              <w:jc w:val="center"/>
              <w:rPr>
                <w:i w:val="false"/>
                <w:i w:val="false"/>
              </w:rPr>
            </w:pPr>
            <w:r>
              <w:rPr>
                <w:i w:val="false"/>
              </w:rPr>
              <w:t>89</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624" w:right="57" w:hanging="0"/>
              <w:jc w:val="center"/>
              <w:rPr>
                <w:i w:val="false"/>
                <w:i w:val="false"/>
              </w:rPr>
            </w:pPr>
            <w:r>
              <w:rPr>
                <w:i w:val="false"/>
              </w:rPr>
              <w:t>90</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142</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機電工程署</w:t>
            </w:r>
            <w:r>
              <w:rPr>
                <w:i w:val="false"/>
                <w:vertAlign w:val="superscript"/>
              </w:rPr>
              <w:t>*</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624" w:right="57" w:hanging="0"/>
              <w:jc w:val="center"/>
              <w:rPr>
                <w:i w:val="false"/>
                <w:i w:val="false"/>
              </w:rPr>
            </w:pPr>
            <w:r>
              <w:rPr>
                <w:i w:val="false"/>
              </w:rPr>
              <w:t>81</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624" w:right="57" w:hanging="0"/>
              <w:jc w:val="center"/>
              <w:rPr>
                <w:i w:val="false"/>
                <w:i w:val="false"/>
              </w:rPr>
            </w:pPr>
            <w:r>
              <w:rPr>
                <w:i w:val="false"/>
              </w:rPr>
              <w:t>84</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624" w:right="57" w:hanging="0"/>
              <w:jc w:val="center"/>
              <w:rPr>
                <w:i w:val="false"/>
                <w:i w:val="false"/>
              </w:rPr>
            </w:pPr>
            <w:r>
              <w:rPr>
                <w:i w:val="false"/>
              </w:rPr>
              <w:t>88</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食物環境衞生署</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i w:val="false"/>
                <w:i w:val="false"/>
              </w:rPr>
            </w:pPr>
            <w:r>
              <w:rPr>
                <w:i w:val="false"/>
              </w:rPr>
              <w:t>12 142</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i w:val="false"/>
                <w:i w:val="false"/>
              </w:rPr>
            </w:pPr>
            <w:r>
              <w:rPr>
                <w:i w:val="false"/>
              </w:rPr>
              <w:t>12 426</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i w:val="false"/>
                <w:i w:val="false"/>
              </w:rPr>
            </w:pPr>
            <w:r>
              <w:rPr>
                <w:i w:val="false"/>
              </w:rPr>
              <w:t>12 188</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路政署</w:t>
            </w:r>
            <w:r>
              <w:rPr>
                <w:i w:val="false"/>
                <w:vertAlign w:val="superscript"/>
              </w:rPr>
              <w:t>*</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624" w:right="57" w:hanging="0"/>
              <w:jc w:val="center"/>
              <w:rPr>
                <w:i w:val="false"/>
                <w:i w:val="false"/>
              </w:rPr>
            </w:pPr>
            <w:r>
              <w:rPr>
                <w:i w:val="false"/>
              </w:rPr>
              <w:t>40</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624" w:right="57" w:hanging="0"/>
              <w:jc w:val="center"/>
              <w:rPr>
                <w:i w:val="false"/>
                <w:i w:val="false"/>
              </w:rPr>
            </w:pPr>
            <w:r>
              <w:rPr>
                <w:i w:val="false"/>
              </w:rPr>
              <w:t>53</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624" w:right="57" w:hanging="0"/>
              <w:jc w:val="center"/>
              <w:rPr>
                <w:i w:val="false"/>
                <w:i w:val="false"/>
              </w:rPr>
            </w:pPr>
            <w:r>
              <w:rPr>
                <w:i w:val="false"/>
              </w:rPr>
              <w:t>74</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房屋署</w:t>
            </w:r>
            <w:r>
              <w:rPr>
                <w:i w:val="false"/>
                <w:vertAlign w:val="superscript"/>
              </w:rPr>
              <w:t>*</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i w:val="false"/>
                <w:i w:val="false"/>
              </w:rPr>
            </w:pPr>
            <w:r>
              <w:rPr>
                <w:i w:val="false"/>
              </w:rPr>
              <w:t>30 834</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i w:val="false"/>
                <w:i w:val="false"/>
              </w:rPr>
            </w:pPr>
            <w:r>
              <w:rPr>
                <w:i w:val="false"/>
              </w:rPr>
              <w:t>30 777</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i w:val="false"/>
                <w:i w:val="false"/>
              </w:rPr>
            </w:pPr>
            <w:r>
              <w:rPr>
                <w:i w:val="false"/>
              </w:rPr>
              <w:t>31 125</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康樂及文化事務署</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i w:val="false"/>
                <w:i w:val="false"/>
              </w:rPr>
            </w:pPr>
            <w:r>
              <w:rPr>
                <w:i w:val="false"/>
              </w:rPr>
              <w:t>10 476</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i w:val="false"/>
                <w:i w:val="false"/>
              </w:rPr>
            </w:pPr>
            <w:r>
              <w:rPr>
                <w:i w:val="false"/>
              </w:rPr>
              <w:t>10 555</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jc w:val="center"/>
              <w:rPr>
                <w:i w:val="false"/>
                <w:i w:val="false"/>
              </w:rPr>
            </w:pPr>
            <w:r>
              <w:rPr>
                <w:i w:val="false"/>
              </w:rPr>
              <w:t>11 295</w:t>
            </w:r>
          </w:p>
        </w:tc>
      </w:tr>
      <w:tr>
        <w:trPr/>
        <w:tc>
          <w:tcPr>
            <w:tcW w:w="314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57" w:right="57" w:hanging="0"/>
              <w:rPr>
                <w:i w:val="false"/>
                <w:i w:val="false"/>
              </w:rPr>
            </w:pPr>
            <w:r>
              <w:rPr>
                <w:i w:val="false"/>
              </w:rPr>
              <w:t>水務署</w:t>
            </w:r>
            <w:r>
              <w:rPr>
                <w:i w:val="false"/>
                <w:vertAlign w:val="superscript"/>
              </w:rPr>
              <w:t>*</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785</w:t>
            </w:r>
          </w:p>
        </w:tc>
        <w:tc>
          <w:tcPr>
            <w:tcW w:w="155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839</w:t>
            </w:r>
          </w:p>
        </w:tc>
        <w:tc>
          <w:tcPr>
            <w:tcW w:w="155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atLeast" w:line="390"/>
              <w:ind w:left="454" w:right="57" w:hanging="0"/>
              <w:jc w:val="center"/>
              <w:rPr>
                <w:i w:val="false"/>
                <w:i w:val="false"/>
              </w:rPr>
            </w:pPr>
            <w:r>
              <w:rPr>
                <w:i w:val="false"/>
              </w:rPr>
              <w:t>863</w:t>
            </w:r>
          </w:p>
        </w:tc>
      </w:tr>
    </w:tbl>
    <w:p>
      <w:pPr>
        <w:pStyle w:val="Style13"/>
        <w:spacing w:lineRule="auto" w:line="240"/>
        <w:ind w:left="1985" w:hanging="567"/>
        <w:rPr>
          <w:rFonts w:cs="Times New Roman"/>
          <w:i w:val="false"/>
          <w:i w:val="false"/>
          <w:sz w:val="20"/>
          <w:szCs w:val="20"/>
        </w:rPr>
      </w:pPr>
      <w:r>
        <w:rPr>
          <w:rFonts w:cs="Times New Roman"/>
          <w:i w:val="false"/>
          <w:sz w:val="20"/>
          <w:szCs w:val="20"/>
        </w:rPr>
      </w:r>
    </w:p>
    <w:p>
      <w:pPr>
        <w:pStyle w:val="Style13"/>
        <w:spacing w:lineRule="auto" w:line="240"/>
        <w:ind w:left="1985" w:hanging="567"/>
        <w:rPr>
          <w:i w:val="false"/>
          <w:i w:val="false"/>
          <w:sz w:val="20"/>
          <w:szCs w:val="20"/>
        </w:rPr>
      </w:pPr>
      <w:r>
        <w:rPr>
          <w:i w:val="false"/>
          <w:sz w:val="20"/>
          <w:szCs w:val="20"/>
        </w:rPr>
        <w:t>註：</w:t>
      </w:r>
    </w:p>
    <w:p>
      <w:pPr>
        <w:pStyle w:val="Style13"/>
        <w:spacing w:lineRule="auto" w:line="240"/>
        <w:ind w:left="1985" w:hanging="567"/>
        <w:rPr>
          <w:i w:val="false"/>
          <w:i w:val="false"/>
          <w:sz w:val="20"/>
          <w:szCs w:val="20"/>
        </w:rPr>
      </w:pPr>
      <w:r>
        <w:rPr>
          <w:i w:val="false"/>
          <w:sz w:val="20"/>
          <w:szCs w:val="20"/>
        </w:rPr>
      </w:r>
    </w:p>
    <w:p>
      <w:pPr>
        <w:pStyle w:val="Style13"/>
        <w:spacing w:lineRule="auto" w:line="240"/>
        <w:ind w:left="1985" w:hanging="567"/>
        <w:rPr>
          <w:i w:val="false"/>
          <w:i w:val="false"/>
          <w:sz w:val="20"/>
          <w:szCs w:val="20"/>
        </w:rPr>
      </w:pPr>
      <w:r>
        <w:rPr>
          <w:i w:val="false"/>
          <w:sz w:val="20"/>
          <w:szCs w:val="20"/>
        </w:rPr>
        <w:t>*</w:t>
        <w:tab/>
      </w:r>
      <w:r>
        <w:rPr>
          <w:i w:val="false"/>
          <w:sz w:val="20"/>
          <w:szCs w:val="20"/>
        </w:rPr>
        <w:t>未包括部分無確實外判員工人數的外判服務合約。</w:t>
      </w:r>
    </w:p>
    <w:p>
      <w:pPr>
        <w:pStyle w:val="Style13"/>
        <w:spacing w:lineRule="auto" w:line="240"/>
        <w:ind w:left="1985" w:hanging="567"/>
        <w:rPr>
          <w:i w:val="false"/>
          <w:i w:val="false"/>
          <w:sz w:val="20"/>
          <w:szCs w:val="20"/>
        </w:rPr>
      </w:pPr>
      <w:r>
        <w:rPr>
          <w:i w:val="false"/>
          <w:sz w:val="20"/>
          <w:szCs w:val="20"/>
        </w:rPr>
      </w:r>
    </w:p>
    <w:p>
      <w:pPr>
        <w:pStyle w:val="Style13"/>
        <w:spacing w:lineRule="auto" w:line="240"/>
        <w:ind w:left="1985" w:hanging="567"/>
        <w:rPr>
          <w:i w:val="false"/>
          <w:i w:val="false"/>
          <w:sz w:val="20"/>
          <w:szCs w:val="20"/>
        </w:rPr>
      </w:pPr>
      <w:r>
        <w:rPr>
          <w:i w:val="false"/>
          <w:sz w:val="20"/>
          <w:szCs w:val="20"/>
        </w:rPr>
        <w:t>#</w:t>
        <w:tab/>
      </w:r>
      <w:r>
        <w:rPr>
          <w:i w:val="false"/>
          <w:sz w:val="20"/>
          <w:szCs w:val="20"/>
        </w:rPr>
        <w:t>土木工程拓展署提供的數字未包括工程及建造服務合約的數字。</w:t>
      </w:r>
    </w:p>
    <w:p>
      <w:pPr>
        <w:pStyle w:val="Style13"/>
        <w:rPr>
          <w:i w:val="false"/>
          <w:i w:val="false"/>
        </w:rPr>
      </w:pPr>
      <w:r>
        <w:rPr>
          <w:i w:val="false"/>
        </w:rPr>
      </w:r>
    </w:p>
    <w:p>
      <w:pPr>
        <w:pStyle w:val="Style13"/>
        <w:rPr>
          <w:i w:val="false"/>
          <w:i w:val="false"/>
        </w:rPr>
      </w:pPr>
      <w:r>
        <w:rPr>
          <w:i w:val="false"/>
        </w:rPr>
        <w:tab/>
      </w:r>
      <w:r>
        <w:rPr>
          <w:i w:val="false"/>
        </w:rPr>
        <w:t>上述部門沒有就外判員工現時的薪酬福利水平，是否低於職責相若的公務員及其他私營企業僱員的水平，以及他們的僱傭合約年期是否較其他私營企業僱員的年期為短，作出有關研究。</w:t>
      </w:r>
    </w:p>
    <w:p>
      <w:pPr>
        <w:pStyle w:val="Style13"/>
        <w:rPr>
          <w:i w:val="false"/>
          <w:i w:val="false"/>
        </w:rPr>
      </w:pPr>
      <w:r>
        <w:rPr>
          <w:i w:val="false"/>
        </w:rPr>
      </w:r>
    </w:p>
    <w:p>
      <w:pPr>
        <w:pStyle w:val="Style13"/>
        <w:rPr>
          <w:i w:val="false"/>
          <w:i w:val="false"/>
        </w:rPr>
      </w:pPr>
      <w:r>
        <w:rPr>
          <w:i w:val="false"/>
        </w:rPr>
        <w:t>(</w:t>
      </w:r>
      <w:r>
        <w:rPr>
          <w:i w:val="false"/>
        </w:rPr>
        <w:t>二</w:t>
      </w:r>
      <w:r>
        <w:rPr>
          <w:i w:val="false"/>
        </w:rPr>
        <w:t>)</w:t>
        <w:tab/>
      </w:r>
      <w:r>
        <w:rPr>
          <w:i w:val="false"/>
        </w:rPr>
        <w:t>部門選擇外判商時，會視乎服務合約的性質和金額，採取以價錢為單一準則或採用評分制度。就後者而言，評分的準則包括外判商的資歷及經驗、過往表現、技術建議，實施計劃，給予工人的工資、外判商工人的每天最高工時建議，以及建議的合約價錢等。</w:t>
      </w:r>
    </w:p>
    <w:p>
      <w:pPr>
        <w:pStyle w:val="Style13"/>
        <w:rPr>
          <w:i w:val="false"/>
          <w:i w:val="false"/>
        </w:rPr>
      </w:pPr>
      <w:r>
        <w:rPr>
          <w:i w:val="false"/>
        </w:rPr>
      </w:r>
    </w:p>
    <w:p>
      <w:pPr>
        <w:pStyle w:val="Style13"/>
        <w:rPr>
          <w:i w:val="false"/>
          <w:i w:val="false"/>
        </w:rPr>
      </w:pPr>
      <w:r>
        <w:rPr>
          <w:i w:val="false"/>
        </w:rPr>
        <w:tab/>
      </w:r>
      <w:r>
        <w:rPr>
          <w:i w:val="false"/>
        </w:rPr>
        <w:t>上述部門過去</w:t>
      </w:r>
      <w:r>
        <w:rPr>
          <w:i w:val="false"/>
        </w:rPr>
        <w:t>3</w:t>
      </w:r>
      <w:r>
        <w:rPr>
          <w:i w:val="false"/>
        </w:rPr>
        <w:t>年批出的外判合約服務性質及年期列於附件。至於每年因外判服務而節省的款項總額，上述部門並沒有相關資料。</w:t>
      </w:r>
    </w:p>
    <w:p>
      <w:pPr>
        <w:pStyle w:val="Style13"/>
        <w:rPr>
          <w:i w:val="false"/>
          <w:i w:val="false"/>
        </w:rPr>
      </w:pPr>
      <w:r>
        <w:rPr>
          <w:i w:val="false"/>
        </w:rPr>
      </w:r>
    </w:p>
    <w:p>
      <w:pPr>
        <w:pStyle w:val="Style13"/>
        <w:rPr>
          <w:i w:val="false"/>
          <w:i w:val="false"/>
        </w:rPr>
      </w:pPr>
      <w:r>
        <w:rPr>
          <w:i w:val="false"/>
        </w:rPr>
        <w:t>(</w:t>
      </w:r>
      <w:r>
        <w:rPr>
          <w:i w:val="false"/>
        </w:rPr>
        <w:t>三</w:t>
      </w:r>
      <w:r>
        <w:rPr>
          <w:i w:val="false"/>
        </w:rPr>
        <w:t>)</w:t>
        <w:tab/>
      </w:r>
      <w:r>
        <w:rPr>
          <w:i w:val="false"/>
        </w:rPr>
        <w:t>過去</w:t>
      </w:r>
      <w:r>
        <w:rPr>
          <w:i w:val="false"/>
        </w:rPr>
        <w:t>3</w:t>
      </w:r>
      <w:r>
        <w:rPr>
          <w:i w:val="false"/>
        </w:rPr>
        <w:t>年，上述部門收到外判員工指稱外判商拖欠或剋扣工資或工作環境欠佳的投訴宗數，以及當中因投訴成立而對有關外判商作出懲處的個案宗數及詳情，表列如下：</w:t>
      </w:r>
    </w:p>
    <w:p>
      <w:pPr>
        <w:pStyle w:val="Style13"/>
        <w:rPr>
          <w:i w:val="false"/>
          <w:i w:val="false"/>
        </w:rPr>
      </w:pPr>
      <w:r>
        <w:rPr>
          <w:i w:val="false"/>
        </w:rPr>
      </w:r>
    </w:p>
    <w:tbl>
      <w:tblPr>
        <w:tblW w:w="7805" w:type="dxa"/>
        <w:jc w:val="left"/>
        <w:tblInd w:w="1418" w:type="dxa"/>
        <w:tblCellMar>
          <w:top w:w="0" w:type="dxa"/>
          <w:left w:w="5" w:type="dxa"/>
          <w:bottom w:w="0" w:type="dxa"/>
          <w:right w:w="5" w:type="dxa"/>
        </w:tblCellMar>
        <w:tblLook w:val="01e0" w:noHBand="0" w:noVBand="0" w:firstColumn="1" w:lastRow="1" w:lastColumn="1" w:firstRow="1"/>
      </w:tblPr>
      <w:tblGrid>
        <w:gridCol w:w="1625"/>
        <w:gridCol w:w="685"/>
        <w:gridCol w:w="687"/>
        <w:gridCol w:w="687"/>
        <w:gridCol w:w="686"/>
        <w:gridCol w:w="687"/>
        <w:gridCol w:w="688"/>
        <w:gridCol w:w="685"/>
        <w:gridCol w:w="688"/>
        <w:gridCol w:w="686"/>
      </w:tblGrid>
      <w:tr>
        <w:trPr>
          <w:tblHeader w:val="true"/>
        </w:trPr>
        <w:tc>
          <w:tcPr>
            <w:tcW w:w="1625" w:type="dxa"/>
            <w:vMerge w:val="restart"/>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部門</w:t>
            </w:r>
          </w:p>
        </w:tc>
        <w:tc>
          <w:tcPr>
            <w:tcW w:w="2059" w:type="dxa"/>
            <w:gridSpan w:val="3"/>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2012</w:t>
            </w:r>
            <w:r>
              <w:rPr/>
              <w:t>年</w:t>
            </w:r>
          </w:p>
        </w:tc>
        <w:tc>
          <w:tcPr>
            <w:tcW w:w="2061" w:type="dxa"/>
            <w:gridSpan w:val="3"/>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2013</w:t>
            </w:r>
            <w:r>
              <w:rPr/>
              <w:t>年</w:t>
            </w:r>
          </w:p>
        </w:tc>
        <w:tc>
          <w:tcPr>
            <w:tcW w:w="2059" w:type="dxa"/>
            <w:gridSpan w:val="3"/>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2014</w:t>
            </w:r>
            <w:r>
              <w:rPr/>
              <w:t>年</w:t>
            </w:r>
          </w:p>
        </w:tc>
      </w:tr>
      <w:tr>
        <w:trPr>
          <w:tblHeader w:val="true"/>
        </w:trPr>
        <w:tc>
          <w:tcPr>
            <w:tcW w:w="162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40"/>
              <w:jc w:val="left"/>
              <w:rPr>
                <w:i/>
                <w:i/>
                <w:spacing w:val="20"/>
                <w:sz w:val="27"/>
              </w:rPr>
            </w:pPr>
            <w:r>
              <w:rPr>
                <w:i/>
                <w:spacing w:val="20"/>
                <w:sz w:val="27"/>
              </w:rPr>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spacing w:val="18"/>
              </w:rPr>
            </w:pPr>
            <w:r>
              <w:rPr>
                <w:spacing w:val="18"/>
              </w:rPr>
              <w:t>投訴個案</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成立個案</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懲處個案</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spacing w:val="18"/>
              </w:rPr>
            </w:pPr>
            <w:r>
              <w:rPr>
                <w:spacing w:val="18"/>
              </w:rPr>
              <w:t>投訴個案</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成立個案</w:t>
            </w:r>
          </w:p>
        </w:tc>
        <w:tc>
          <w:tcPr>
            <w:tcW w:w="68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懲處個案</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spacing w:val="18"/>
              </w:rPr>
            </w:pPr>
            <w:r>
              <w:rPr>
                <w:spacing w:val="18"/>
              </w:rPr>
              <w:t>投訴個案</w:t>
            </w:r>
          </w:p>
        </w:tc>
        <w:tc>
          <w:tcPr>
            <w:tcW w:w="68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成立個案</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pPr>
            <w:r>
              <w:rPr/>
              <w:t>懲處個案</w:t>
            </w:r>
          </w:p>
        </w:tc>
      </w:tr>
      <w:tr>
        <w:trPr/>
        <w:tc>
          <w:tcPr>
            <w:tcW w:w="162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hanging="0"/>
              <w:rPr>
                <w:i w:val="false"/>
                <w:i w:val="false"/>
              </w:rPr>
            </w:pPr>
            <w:r>
              <w:rPr>
                <w:i w:val="false"/>
              </w:rPr>
              <w:t>建築署</w:t>
            </w:r>
          </w:p>
        </w:tc>
        <w:tc>
          <w:tcPr>
            <w:tcW w:w="68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7</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right="-227" w:hanging="0"/>
              <w:jc w:val="center"/>
              <w:rPr>
                <w:i w:val="false"/>
                <w:i w:val="false"/>
                <w:spacing w:val="-22"/>
                <w:vertAlign w:val="superscript"/>
              </w:rPr>
            </w:pPr>
            <w:r>
              <w:rPr>
                <w:i w:val="false"/>
                <w:spacing w:val="-22"/>
              </w:rPr>
              <w:t>0</w:t>
            </w:r>
            <w:r>
              <w:rPr>
                <w:i w:val="false"/>
                <w:spacing w:val="-22"/>
                <w:vertAlign w:val="superscript"/>
              </w:rPr>
              <w:t>@</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right="-227" w:hanging="0"/>
              <w:jc w:val="center"/>
              <w:rPr>
                <w:i w:val="false"/>
                <w:i w:val="false"/>
                <w:spacing w:val="-22"/>
                <w:vertAlign w:val="superscript"/>
              </w:rPr>
            </w:pPr>
            <w:r>
              <w:rPr>
                <w:i w:val="false"/>
                <w:spacing w:val="-22"/>
              </w:rPr>
              <w:t>0</w:t>
            </w:r>
            <w:r>
              <w:rPr>
                <w:i w:val="false"/>
                <w:spacing w:val="-22"/>
                <w:vertAlign w:val="superscript"/>
              </w:rPr>
              <w:t>@</w:t>
            </w:r>
          </w:p>
        </w:tc>
        <w:tc>
          <w:tcPr>
            <w:tcW w:w="68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spacing w:val="-14"/>
              </w:rPr>
            </w:pPr>
            <w:r>
              <w:rPr>
                <w:i w:val="false"/>
                <w:spacing w:val="-14"/>
              </w:rPr>
              <w:t>7</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right="-227" w:hanging="0"/>
              <w:jc w:val="center"/>
              <w:rPr>
                <w:i w:val="false"/>
                <w:i w:val="false"/>
                <w:spacing w:val="-22"/>
                <w:vertAlign w:val="superscript"/>
              </w:rPr>
            </w:pPr>
            <w:r>
              <w:rPr>
                <w:i w:val="false"/>
                <w:spacing w:val="-22"/>
              </w:rPr>
              <w:t>0</w:t>
            </w:r>
            <w:r>
              <w:rPr>
                <w:i w:val="false"/>
                <w:spacing w:val="-22"/>
                <w:vertAlign w:val="superscript"/>
              </w:rPr>
              <w:t>@</w:t>
            </w:r>
          </w:p>
        </w:tc>
        <w:tc>
          <w:tcPr>
            <w:tcW w:w="68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right="-227" w:hanging="0"/>
              <w:jc w:val="center"/>
              <w:rPr>
                <w:i w:val="false"/>
                <w:i w:val="false"/>
                <w:spacing w:val="-22"/>
                <w:vertAlign w:val="superscript"/>
              </w:rPr>
            </w:pPr>
            <w:r>
              <w:rPr>
                <w:i w:val="false"/>
                <w:spacing w:val="-22"/>
              </w:rPr>
              <w:t>0</w:t>
            </w:r>
            <w:r>
              <w:rPr>
                <w:i w:val="false"/>
                <w:spacing w:val="-22"/>
                <w:vertAlign w:val="superscript"/>
              </w:rPr>
              <w:t>@</w:t>
            </w:r>
          </w:p>
        </w:tc>
        <w:tc>
          <w:tcPr>
            <w:tcW w:w="68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spacing w:val="-14"/>
              </w:rPr>
            </w:pPr>
            <w:r>
              <w:rPr>
                <w:i w:val="false"/>
                <w:spacing w:val="-14"/>
              </w:rPr>
              <w:t>5</w:t>
            </w:r>
          </w:p>
        </w:tc>
        <w:tc>
          <w:tcPr>
            <w:tcW w:w="68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right="-227" w:hanging="0"/>
              <w:jc w:val="center"/>
              <w:rPr>
                <w:i w:val="false"/>
                <w:i w:val="false"/>
                <w:spacing w:val="-22"/>
                <w:vertAlign w:val="superscript"/>
              </w:rPr>
            </w:pPr>
            <w:r>
              <w:rPr>
                <w:i w:val="false"/>
                <w:spacing w:val="-22"/>
              </w:rPr>
              <w:t>0</w:t>
            </w:r>
            <w:r>
              <w:rPr>
                <w:i w:val="false"/>
                <w:spacing w:val="-22"/>
                <w:vertAlign w:val="superscript"/>
              </w:rPr>
              <w:t>@</w:t>
            </w:r>
          </w:p>
        </w:tc>
        <w:tc>
          <w:tcPr>
            <w:tcW w:w="68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right="-227" w:hanging="0"/>
              <w:jc w:val="center"/>
              <w:rPr>
                <w:i w:val="false"/>
                <w:i w:val="false"/>
                <w:spacing w:val="-22"/>
                <w:vertAlign w:val="superscript"/>
              </w:rPr>
            </w:pPr>
            <w:r>
              <w:rPr>
                <w:i w:val="false"/>
                <w:spacing w:val="-22"/>
              </w:rPr>
              <w:t>0</w:t>
            </w:r>
            <w:r>
              <w:rPr>
                <w:i w:val="false"/>
                <w:spacing w:val="-22"/>
                <w:vertAlign w:val="superscript"/>
              </w:rPr>
              <w:t>@</w:t>
            </w:r>
          </w:p>
        </w:tc>
      </w:tr>
      <w:tr>
        <w:trPr/>
        <w:tc>
          <w:tcPr>
            <w:tcW w:w="162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hanging="0"/>
              <w:rPr>
                <w:i w:val="false"/>
                <w:i w:val="false"/>
              </w:rPr>
            </w:pPr>
            <w:r>
              <w:rPr>
                <w:i w:val="false"/>
              </w:rPr>
              <w:t>機電工程署</w:t>
            </w:r>
          </w:p>
        </w:tc>
        <w:tc>
          <w:tcPr>
            <w:tcW w:w="68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0</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0</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0</w:t>
            </w:r>
          </w:p>
        </w:tc>
        <w:tc>
          <w:tcPr>
            <w:tcW w:w="68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0</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0</w:t>
            </w:r>
          </w:p>
        </w:tc>
        <w:tc>
          <w:tcPr>
            <w:tcW w:w="68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0</w:t>
            </w:r>
          </w:p>
        </w:tc>
        <w:tc>
          <w:tcPr>
            <w:tcW w:w="68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right="-284" w:hanging="0"/>
              <w:jc w:val="center"/>
              <w:rPr>
                <w:i w:val="false"/>
                <w:i w:val="false"/>
                <w:spacing w:val="-6"/>
              </w:rPr>
            </w:pPr>
            <w:r>
              <w:rPr>
                <w:i w:val="false"/>
                <w:spacing w:val="-6"/>
              </w:rPr>
              <w:t>1</w:t>
            </w:r>
            <w:r>
              <w:rPr>
                <w:rFonts w:ascii="華康細明體" w:hAnsi="華康細明體"/>
                <w:i w:val="false"/>
                <w:spacing w:val="-6"/>
                <w:vertAlign w:val="superscript"/>
              </w:rPr>
              <w:t>△</w:t>
            </w:r>
          </w:p>
        </w:tc>
        <w:tc>
          <w:tcPr>
            <w:tcW w:w="68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0</w:t>
            </w:r>
          </w:p>
        </w:tc>
        <w:tc>
          <w:tcPr>
            <w:tcW w:w="68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0</w:t>
            </w:r>
          </w:p>
        </w:tc>
      </w:tr>
      <w:tr>
        <w:trPr/>
        <w:tc>
          <w:tcPr>
            <w:tcW w:w="162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hanging="0"/>
              <w:rPr>
                <w:i w:val="false"/>
                <w:i w:val="false"/>
              </w:rPr>
            </w:pPr>
            <w:r>
              <w:rPr>
                <w:i w:val="false"/>
              </w:rPr>
              <w:t>食物環境衞生署</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170" w:hanging="0"/>
              <w:jc w:val="center"/>
              <w:rPr>
                <w:i w:val="false"/>
                <w:i w:val="false"/>
              </w:rPr>
            </w:pPr>
            <w:r>
              <w:rPr>
                <w:i w:val="false"/>
              </w:rPr>
              <w:t>3</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170" w:hanging="0"/>
              <w:jc w:val="center"/>
              <w:rPr>
                <w:i w:val="false"/>
                <w:i w:val="false"/>
              </w:rPr>
            </w:pPr>
            <w:r>
              <w:rPr>
                <w:i w:val="false"/>
              </w:rPr>
              <w:t>3</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170" w:hanging="0"/>
              <w:jc w:val="center"/>
              <w:rPr>
                <w:i w:val="false"/>
                <w:i w:val="false"/>
              </w:rPr>
            </w:pPr>
            <w:r>
              <w:rPr>
                <w:i w:val="false"/>
              </w:rPr>
              <w:t>3</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170" w:hanging="0"/>
              <w:jc w:val="center"/>
              <w:rPr>
                <w:i w:val="false"/>
                <w:i w:val="false"/>
              </w:rPr>
            </w:pPr>
            <w:r>
              <w:rPr>
                <w:i w:val="false"/>
              </w:rPr>
              <w:t>5</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170" w:hanging="0"/>
              <w:jc w:val="center"/>
              <w:rPr>
                <w:i w:val="false"/>
                <w:i w:val="false"/>
              </w:rPr>
            </w:pPr>
            <w:r>
              <w:rPr>
                <w:i w:val="false"/>
              </w:rPr>
              <w:t>1</w:t>
            </w:r>
          </w:p>
        </w:tc>
        <w:tc>
          <w:tcPr>
            <w:tcW w:w="68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170" w:hanging="0"/>
              <w:jc w:val="center"/>
              <w:rPr>
                <w:i w:val="false"/>
                <w:i w:val="false"/>
              </w:rPr>
            </w:pPr>
            <w:r>
              <w:rPr>
                <w:i w:val="false"/>
              </w:rPr>
              <w:t>1</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center"/>
              <w:rPr>
                <w:i w:val="false"/>
                <w:i w:val="false"/>
              </w:rPr>
            </w:pPr>
            <w:r>
              <w:rPr>
                <w:i w:val="false"/>
              </w:rPr>
              <w:t>12</w:t>
            </w:r>
          </w:p>
        </w:tc>
        <w:tc>
          <w:tcPr>
            <w:tcW w:w="68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170" w:hanging="0"/>
              <w:jc w:val="center"/>
              <w:rPr>
                <w:i w:val="false"/>
                <w:i w:val="false"/>
              </w:rPr>
            </w:pPr>
            <w:r>
              <w:rPr>
                <w:i w:val="false"/>
              </w:rPr>
              <w:t>0</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170" w:hanging="0"/>
              <w:jc w:val="center"/>
              <w:rPr>
                <w:i w:val="false"/>
                <w:i w:val="false"/>
              </w:rPr>
            </w:pPr>
            <w:r>
              <w:rPr>
                <w:i w:val="false"/>
              </w:rPr>
              <w:t>0</w:t>
            </w:r>
          </w:p>
        </w:tc>
      </w:tr>
      <w:tr>
        <w:trPr/>
        <w:tc>
          <w:tcPr>
            <w:tcW w:w="162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hanging="0"/>
              <w:rPr>
                <w:i w:val="false"/>
                <w:i w:val="false"/>
              </w:rPr>
            </w:pPr>
            <w:r>
              <w:rPr>
                <w:i w:val="false"/>
              </w:rPr>
              <w:t>房屋署</w:t>
            </w:r>
          </w:p>
        </w:tc>
        <w:tc>
          <w:tcPr>
            <w:tcW w:w="68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56</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44</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44</w:t>
            </w:r>
          </w:p>
        </w:tc>
        <w:tc>
          <w:tcPr>
            <w:tcW w:w="68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28</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15</w:t>
            </w:r>
          </w:p>
        </w:tc>
        <w:tc>
          <w:tcPr>
            <w:tcW w:w="68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15</w:t>
            </w:r>
          </w:p>
        </w:tc>
        <w:tc>
          <w:tcPr>
            <w:tcW w:w="68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41</w:t>
            </w:r>
          </w:p>
        </w:tc>
        <w:tc>
          <w:tcPr>
            <w:tcW w:w="68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21</w:t>
            </w:r>
          </w:p>
        </w:tc>
        <w:tc>
          <w:tcPr>
            <w:tcW w:w="68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21</w:t>
            </w:r>
          </w:p>
        </w:tc>
      </w:tr>
      <w:tr>
        <w:trPr/>
        <w:tc>
          <w:tcPr>
            <w:tcW w:w="162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57" w:hanging="0"/>
              <w:rPr>
                <w:i w:val="false"/>
                <w:i w:val="false"/>
              </w:rPr>
            </w:pPr>
            <w:r>
              <w:rPr>
                <w:i w:val="false"/>
              </w:rPr>
              <w:t>水務署</w:t>
            </w:r>
          </w:p>
        </w:tc>
        <w:tc>
          <w:tcPr>
            <w:tcW w:w="68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12</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7</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1</w:t>
            </w:r>
          </w:p>
        </w:tc>
        <w:tc>
          <w:tcPr>
            <w:tcW w:w="68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0" w:hanging="0"/>
              <w:jc w:val="center"/>
              <w:rPr>
                <w:i w:val="false"/>
                <w:i w:val="false"/>
              </w:rPr>
            </w:pPr>
            <w:r>
              <w:rPr>
                <w:i w:val="false"/>
              </w:rPr>
              <w:t>11</w:t>
            </w:r>
          </w:p>
        </w:tc>
        <w:tc>
          <w:tcPr>
            <w:tcW w:w="687"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9</w:t>
            </w:r>
          </w:p>
        </w:tc>
        <w:tc>
          <w:tcPr>
            <w:tcW w:w="68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3</w:t>
            </w:r>
          </w:p>
        </w:tc>
        <w:tc>
          <w:tcPr>
            <w:tcW w:w="685"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4</w:t>
            </w:r>
          </w:p>
        </w:tc>
        <w:tc>
          <w:tcPr>
            <w:tcW w:w="68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3</w:t>
            </w:r>
          </w:p>
        </w:tc>
        <w:tc>
          <w:tcPr>
            <w:tcW w:w="686"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ind w:left="170" w:hanging="0"/>
              <w:jc w:val="center"/>
              <w:rPr>
                <w:i w:val="false"/>
                <w:i w:val="false"/>
              </w:rPr>
            </w:pPr>
            <w:r>
              <w:rPr>
                <w:i w:val="false"/>
              </w:rPr>
              <w:t>1</w:t>
            </w:r>
          </w:p>
        </w:tc>
      </w:tr>
    </w:tbl>
    <w:p>
      <w:pPr>
        <w:pStyle w:val="Style13"/>
        <w:spacing w:lineRule="auto" w:line="240"/>
        <w:ind w:left="1985" w:hanging="567"/>
        <w:rPr>
          <w:rFonts w:cs="Times New Roman"/>
          <w:i w:val="false"/>
          <w:i w:val="false"/>
          <w:sz w:val="20"/>
          <w:szCs w:val="20"/>
        </w:rPr>
      </w:pPr>
      <w:r>
        <w:rPr>
          <w:rFonts w:cs="Times New Roman"/>
          <w:i w:val="false"/>
          <w:sz w:val="20"/>
          <w:szCs w:val="20"/>
        </w:rPr>
      </w:r>
    </w:p>
    <w:p>
      <w:pPr>
        <w:pStyle w:val="Style13"/>
        <w:spacing w:lineRule="auto" w:line="240"/>
        <w:ind w:left="1985" w:hanging="567"/>
        <w:rPr>
          <w:i w:val="false"/>
          <w:i w:val="false"/>
          <w:sz w:val="20"/>
          <w:szCs w:val="20"/>
        </w:rPr>
      </w:pPr>
      <w:r>
        <w:rPr>
          <w:i w:val="false"/>
          <w:sz w:val="20"/>
          <w:szCs w:val="20"/>
        </w:rPr>
        <w:t>註：</w:t>
      </w:r>
    </w:p>
    <w:p>
      <w:pPr>
        <w:pStyle w:val="Style13"/>
        <w:spacing w:lineRule="auto" w:line="240"/>
        <w:ind w:left="1985" w:hanging="567"/>
        <w:rPr>
          <w:i w:val="false"/>
          <w:i w:val="false"/>
          <w:sz w:val="20"/>
          <w:szCs w:val="20"/>
        </w:rPr>
      </w:pPr>
      <w:r>
        <w:rPr>
          <w:i w:val="false"/>
          <w:sz w:val="20"/>
          <w:szCs w:val="20"/>
        </w:rPr>
      </w:r>
    </w:p>
    <w:p>
      <w:pPr>
        <w:pStyle w:val="Style13"/>
        <w:spacing w:lineRule="auto" w:line="240"/>
        <w:ind w:left="1985" w:hanging="567"/>
        <w:rPr>
          <w:i w:val="false"/>
          <w:i w:val="false"/>
          <w:sz w:val="20"/>
          <w:szCs w:val="20"/>
        </w:rPr>
      </w:pPr>
      <w:r>
        <w:rPr>
          <w:i w:val="false"/>
          <w:sz w:val="20"/>
          <w:szCs w:val="20"/>
        </w:rPr>
        <w:t>@</w:t>
        <w:tab/>
      </w:r>
      <w:r>
        <w:rPr>
          <w:i w:val="false"/>
          <w:sz w:val="20"/>
          <w:szCs w:val="20"/>
        </w:rPr>
        <w:t>有關部門未有相關紀錄，投訴個案均由外判承辦商直接跟進及／或轉交勞工處跟進。</w:t>
      </w:r>
    </w:p>
    <w:p>
      <w:pPr>
        <w:pStyle w:val="Style13"/>
        <w:spacing w:lineRule="auto" w:line="240"/>
        <w:ind w:left="1985" w:hanging="567"/>
        <w:rPr>
          <w:i w:val="false"/>
          <w:i w:val="false"/>
          <w:sz w:val="20"/>
          <w:szCs w:val="20"/>
        </w:rPr>
      </w:pPr>
      <w:r>
        <w:rPr>
          <w:i w:val="false"/>
          <w:sz w:val="20"/>
          <w:szCs w:val="20"/>
        </w:rPr>
      </w:r>
    </w:p>
    <w:p>
      <w:pPr>
        <w:pStyle w:val="Style13"/>
        <w:spacing w:lineRule="auto" w:line="240"/>
        <w:ind w:left="1985" w:hanging="567"/>
        <w:rPr>
          <w:i w:val="false"/>
          <w:i w:val="false"/>
          <w:sz w:val="20"/>
          <w:szCs w:val="20"/>
        </w:rPr>
      </w:pPr>
      <w:r>
        <w:rPr>
          <w:rFonts w:cs="Cambria Math" w:ascii="華康細明體" w:hAnsi="華康細明體"/>
          <w:i w:val="false"/>
          <w:sz w:val="20"/>
          <w:szCs w:val="20"/>
        </w:rPr>
        <w:t>△</w:t>
      </w:r>
      <w:r>
        <w:rPr>
          <w:i w:val="false"/>
          <w:sz w:val="20"/>
          <w:szCs w:val="20"/>
        </w:rPr>
        <w:tab/>
      </w:r>
      <w:r>
        <w:rPr>
          <w:i w:val="false"/>
          <w:sz w:val="20"/>
          <w:szCs w:val="20"/>
        </w:rPr>
        <w:t>勞工處正考慮就該個案進行檢控。</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就上述共</w:t>
      </w:r>
      <w:r>
        <w:rPr>
          <w:i w:val="false"/>
        </w:rPr>
        <w:t>89</w:t>
      </w:r>
      <w:r>
        <w:rPr>
          <w:i w:val="false"/>
        </w:rPr>
        <w:t>宗懲處的個案，有關部門對其中</w:t>
      </w:r>
      <w:r>
        <w:rPr>
          <w:i w:val="false"/>
        </w:rPr>
        <w:t>2</w:t>
      </w:r>
      <w:r>
        <w:rPr>
          <w:i w:val="false"/>
        </w:rPr>
        <w:t>宗採取法律行動、</w:t>
      </w:r>
      <w:r>
        <w:rPr>
          <w:i w:val="false"/>
        </w:rPr>
        <w:t>86</w:t>
      </w:r>
      <w:r>
        <w:rPr>
          <w:i w:val="false"/>
        </w:rPr>
        <w:t>宗發出警告信，以及</w:t>
      </w:r>
      <w:r>
        <w:rPr>
          <w:i w:val="false"/>
        </w:rPr>
        <w:t>1</w:t>
      </w:r>
      <w:r>
        <w:rPr>
          <w:i w:val="false"/>
        </w:rPr>
        <w:t>宗同時發出警告信、扣減合約金額和發出失責通知書而被有關部門根據扣分制度</w:t>
      </w:r>
      <w:r>
        <w:rPr>
          <w:i w:val="false"/>
          <w:vertAlign w:val="superscript"/>
        </w:rPr>
        <w:t>(</w:t>
      </w:r>
      <w:r>
        <w:rPr>
          <w:rStyle w:val="FootnoteAnchor"/>
          <w:i w:val="false"/>
        </w:rPr>
        <w:footnoteReference w:id="2"/>
      </w:r>
      <w:r>
        <w:rPr>
          <w:i w:val="false"/>
          <w:vertAlign w:val="superscript"/>
        </w:rPr>
        <w:t>)</w:t>
      </w:r>
      <w:r>
        <w:rPr>
          <w:i w:val="false"/>
        </w:rPr>
        <w:t>被扣減一分。</w:t>
      </w:r>
    </w:p>
    <w:p>
      <w:pPr>
        <w:pStyle w:val="Style13"/>
        <w:spacing w:lineRule="atLeast" w:line="370"/>
        <w:rPr>
          <w:i w:val="false"/>
          <w:i w:val="false"/>
        </w:rPr>
      </w:pPr>
      <w:r>
        <w:rPr>
          <w:i w:val="false"/>
        </w:rPr>
      </w:r>
    </w:p>
    <w:p>
      <w:pPr>
        <w:pStyle w:val="Style13"/>
        <w:spacing w:lineRule="atLeast" w:line="370"/>
        <w:rPr>
          <w:i w:val="false"/>
          <w:i w:val="false"/>
        </w:rPr>
      </w:pPr>
      <w:r>
        <w:rPr>
          <w:i w:val="false"/>
        </w:rPr>
        <w:t>(</w:t>
      </w:r>
      <w:r>
        <w:rPr>
          <w:i w:val="false"/>
        </w:rPr>
        <w:t>四</w:t>
      </w:r>
      <w:r>
        <w:rPr>
          <w:i w:val="false"/>
        </w:rPr>
        <w:t>)</w:t>
        <w:tab/>
      </w:r>
      <w:r>
        <w:rPr>
          <w:i w:val="false"/>
        </w:rPr>
        <w:t>外判商給予外判員工的薪酬待遇，是由勞工市場的供求機制釐定。然而，為保障非技術工人的待遇，立法會在</w:t>
      </w:r>
      <w:r>
        <w:rPr>
          <w:i w:val="false"/>
        </w:rPr>
        <w:t>2010</w:t>
      </w:r>
      <w:r>
        <w:rPr>
          <w:i w:val="false"/>
        </w:rPr>
        <w:t>年</w:t>
      </w:r>
      <w:r>
        <w:rPr>
          <w:i w:val="false"/>
        </w:rPr>
        <w:t>7</w:t>
      </w:r>
      <w:r>
        <w:rPr>
          <w:i w:val="false"/>
        </w:rPr>
        <w:t>月通過《最低工資條例》，政府亦於</w:t>
      </w:r>
      <w:r>
        <w:rPr>
          <w:i w:val="false"/>
        </w:rPr>
        <w:t>2011</w:t>
      </w:r>
      <w:r>
        <w:rPr>
          <w:i w:val="false"/>
        </w:rPr>
        <w:t>年</w:t>
      </w:r>
      <w:r>
        <w:rPr>
          <w:i w:val="false"/>
        </w:rPr>
        <w:t>5</w:t>
      </w:r>
      <w:r>
        <w:rPr>
          <w:i w:val="false"/>
        </w:rPr>
        <w:t>月</w:t>
      </w:r>
      <w:r>
        <w:rPr>
          <w:i w:val="false"/>
        </w:rPr>
        <w:t>1</w:t>
      </w:r>
      <w:r>
        <w:rPr>
          <w:i w:val="false"/>
        </w:rPr>
        <w:t>日實施首個法定最低工資。《最低工資條例》規定法定最低工資水平須每兩年最少檢討一次。對於以僱用非技術工人為主的政府服務合約，因應法定最低工資額調整，政府在</w:t>
      </w:r>
      <w:r>
        <w:rPr>
          <w:i w:val="false"/>
        </w:rPr>
        <w:t>2013</w:t>
      </w:r>
      <w:r>
        <w:rPr>
          <w:i w:val="false"/>
        </w:rPr>
        <w:t>年</w:t>
      </w:r>
      <w:r>
        <w:rPr>
          <w:i w:val="false"/>
        </w:rPr>
        <w:t>3</w:t>
      </w:r>
      <w:r>
        <w:rPr>
          <w:i w:val="false"/>
        </w:rPr>
        <w:t>月</w:t>
      </w:r>
      <w:r>
        <w:rPr>
          <w:i w:val="false"/>
        </w:rPr>
        <w:t>8</w:t>
      </w:r>
      <w:r>
        <w:rPr>
          <w:i w:val="false"/>
        </w:rPr>
        <w:t>日，修訂了適用於政府服務合約承辦商與其非技術工人簽署的</w:t>
      </w:r>
      <w:r>
        <w:rPr>
          <w:i w:val="false"/>
          <w:szCs w:val="27"/>
        </w:rPr>
        <w:t>“</w:t>
      </w:r>
      <w:r>
        <w:rPr>
          <w:i w:val="false"/>
        </w:rPr>
        <w:t>標準僱傭合約</w:t>
      </w:r>
      <w:r>
        <w:rPr>
          <w:i w:val="false"/>
          <w:szCs w:val="27"/>
        </w:rPr>
        <w:t>”</w:t>
      </w:r>
      <w:r>
        <w:rPr>
          <w:i w:val="false"/>
        </w:rPr>
        <w:t>，指明員工的薪酬須按日後《最低工資條例》規定的每小時最低工資額作出修訂而有所調整，僱員的工資亦須不低於調整後的工資水平。</w:t>
      </w:r>
    </w:p>
    <w:p>
      <w:pPr>
        <w:pStyle w:val="Style13"/>
        <w:spacing w:lineRule="atLeast" w:line="370"/>
        <w:rPr>
          <w:i w:val="false"/>
          <w:i w:val="false"/>
        </w:rPr>
      </w:pPr>
      <w:r>
        <w:rPr>
          <w:i w:val="false"/>
        </w:rPr>
      </w:r>
    </w:p>
    <w:p>
      <w:pPr>
        <w:pStyle w:val="Style13"/>
        <w:spacing w:lineRule="atLeast" w:line="370"/>
        <w:rPr>
          <w:i w:val="false"/>
          <w:i w:val="false"/>
        </w:rPr>
      </w:pPr>
      <w:r>
        <w:rPr>
          <w:i w:val="false"/>
        </w:rPr>
        <w:t>(</w:t>
      </w:r>
      <w:r>
        <w:rPr>
          <w:i w:val="false"/>
        </w:rPr>
        <w:t>五</w:t>
      </w:r>
      <w:r>
        <w:rPr>
          <w:i w:val="false"/>
        </w:rPr>
        <w:t>)</w:t>
        <w:tab/>
      </w:r>
      <w:r>
        <w:rPr>
          <w:i w:val="false"/>
        </w:rPr>
        <w:t>根據公務員事務局提供的資料，各政府部門一向有以外判服務形式讓私營機構參與提供公共服務。這種做法既有助維持精簡高效的公務員隊伍，又可令提供服務的方式更具經濟效益和更為靈活，部門也可把公務員資源集中用於提供核心服務和處理優先的工作。</w:t>
      </w:r>
      <w:r>
        <w:br w:type="page"/>
      </w:r>
    </w:p>
    <w:p>
      <w:pPr>
        <w:pStyle w:val="Style13"/>
        <w:spacing w:lineRule="atLeast" w:line="320"/>
        <w:rPr>
          <w:i w:val="false"/>
          <w:i w:val="false"/>
        </w:rPr>
      </w:pPr>
      <w:r>
        <w:rPr>
          <w:i w:val="false"/>
        </w:rPr>
        <w:tab/>
      </w:r>
      <w:r>
        <w:rPr>
          <w:i w:val="false"/>
        </w:rPr>
        <w:t>各採購部門有權決定應否以外判形式提供其部門的公眾服務及釐定外判計劃的詳情，公務員事務局並沒有各部門外判服務的資料。然而，對於應由政府直接提供，並且經審慎研究後認為不宜以其他模式提供的服務，部門應聘用公務員來應付服務的長遠運作需要。政府的一貫政策是不會因外判公共服務而遣散任何公務員，部門會透過自然流失、內部調配，或調派擔任其他職務等途徑，妥善處理受影響的員工。</w:t>
      </w:r>
    </w:p>
    <w:p>
      <w:pPr>
        <w:pStyle w:val="Style13"/>
        <w:spacing w:lineRule="atLeast" w:line="320"/>
        <w:rPr>
          <w:i w:val="false"/>
          <w:i w:val="false"/>
        </w:rPr>
      </w:pPr>
      <w:r>
        <w:rPr>
          <w:i w:val="false"/>
        </w:rPr>
      </w:r>
    </w:p>
    <w:p>
      <w:pPr>
        <w:pStyle w:val="Style13"/>
        <w:spacing w:lineRule="atLeast" w:line="320"/>
        <w:rPr>
          <w:i w:val="false"/>
          <w:i w:val="false"/>
        </w:rPr>
      </w:pPr>
      <w:r>
        <w:rPr>
          <w:i w:val="false"/>
        </w:rPr>
      </w:r>
    </w:p>
    <w:p>
      <w:pPr>
        <w:pStyle w:val="Style13"/>
        <w:spacing w:lineRule="atLeast" w:line="320"/>
        <w:jc w:val="right"/>
        <w:rPr>
          <w:i w:val="false"/>
          <w:i w:val="false"/>
        </w:rPr>
      </w:pPr>
      <w:r>
        <w:rPr>
          <w:i w:val="false"/>
        </w:rPr>
        <w:t>附件</w:t>
      </w:r>
    </w:p>
    <w:p>
      <w:pPr>
        <w:pStyle w:val="Style13"/>
        <w:spacing w:lineRule="atLeast" w:line="320"/>
        <w:jc w:val="right"/>
        <w:rPr>
          <w:i w:val="false"/>
          <w:i w:val="false"/>
        </w:rPr>
      </w:pPr>
      <w:r>
        <w:rPr>
          <w:i w:val="false"/>
        </w:rPr>
      </w:r>
    </w:p>
    <w:p>
      <w:pPr>
        <w:pStyle w:val="Style13"/>
        <w:spacing w:lineRule="atLeast" w:line="320"/>
        <w:ind w:left="0" w:hanging="0"/>
        <w:jc w:val="center"/>
        <w:rPr>
          <w:i w:val="false"/>
          <w:i w:val="false"/>
        </w:rPr>
      </w:pPr>
      <w:r>
        <w:rPr>
          <w:i w:val="false"/>
        </w:rPr>
        <w:t>按部門劃分外判服務類別</w:t>
      </w:r>
    </w:p>
    <w:p>
      <w:pPr>
        <w:pStyle w:val="Style13"/>
        <w:spacing w:lineRule="atLeast" w:line="320"/>
        <w:ind w:left="0" w:hanging="0"/>
        <w:jc w:val="center"/>
        <w:rPr>
          <w:i w:val="false"/>
          <w:i w:val="false"/>
        </w:rPr>
      </w:pPr>
      <w:r>
        <w:rPr>
          <w:i w:val="false"/>
        </w:rPr>
      </w:r>
    </w:p>
    <w:tbl>
      <w:tblPr>
        <w:tblW w:w="9223" w:type="dxa"/>
        <w:jc w:val="left"/>
        <w:tblInd w:w="5" w:type="dxa"/>
        <w:tblCellMar>
          <w:top w:w="0" w:type="dxa"/>
          <w:left w:w="5" w:type="dxa"/>
          <w:bottom w:w="0" w:type="dxa"/>
          <w:right w:w="5" w:type="dxa"/>
        </w:tblCellMar>
        <w:tblLook w:val="01e0" w:noHBand="0" w:noVBand="0" w:firstColumn="1" w:lastRow="1" w:lastColumn="1" w:firstRow="1"/>
      </w:tblPr>
      <w:tblGrid>
        <w:gridCol w:w="368"/>
        <w:gridCol w:w="369"/>
        <w:gridCol w:w="369"/>
        <w:gridCol w:w="369"/>
        <w:gridCol w:w="369"/>
        <w:gridCol w:w="369"/>
        <w:gridCol w:w="369"/>
        <w:gridCol w:w="369"/>
        <w:gridCol w:w="369"/>
        <w:gridCol w:w="369"/>
        <w:gridCol w:w="369"/>
        <w:gridCol w:w="369"/>
        <w:gridCol w:w="368"/>
        <w:gridCol w:w="369"/>
        <w:gridCol w:w="368"/>
        <w:gridCol w:w="369"/>
        <w:gridCol w:w="369"/>
        <w:gridCol w:w="369"/>
        <w:gridCol w:w="369"/>
        <w:gridCol w:w="370"/>
        <w:gridCol w:w="369"/>
        <w:gridCol w:w="369"/>
        <w:gridCol w:w="369"/>
        <w:gridCol w:w="369"/>
        <w:gridCol w:w="367"/>
      </w:tblGrid>
      <w:tr>
        <w:trPr>
          <w:tblHeader w:val="true"/>
        </w:trPr>
        <w:tc>
          <w:tcPr>
            <w:tcW w:w="368" w:type="dxa"/>
            <w:vMerge w:val="restart"/>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right="57" w:hanging="0"/>
              <w:jc w:val="center"/>
              <w:rPr>
                <w:sz w:val="24"/>
                <w:szCs w:val="24"/>
              </w:rPr>
            </w:pPr>
            <w:r>
              <w:rPr>
                <w:sz w:val="24"/>
                <w:szCs w:val="24"/>
              </w:rPr>
              <w:t>部門</w:t>
            </w:r>
          </w:p>
        </w:tc>
        <w:tc>
          <w:tcPr>
            <w:tcW w:w="8853" w:type="dxa"/>
            <w:gridSpan w:val="24"/>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0" w:hanging="0"/>
              <w:jc w:val="center"/>
              <w:rPr>
                <w:sz w:val="24"/>
                <w:szCs w:val="24"/>
              </w:rPr>
            </w:pPr>
            <w:r>
              <w:rPr>
                <w:sz w:val="24"/>
                <w:szCs w:val="24"/>
              </w:rPr>
              <w:t>服務類別</w:t>
            </w:r>
          </w:p>
        </w:tc>
      </w:tr>
      <w:tr>
        <w:trPr>
          <w:tblHeader w:val="true"/>
        </w:trPr>
        <w:tc>
          <w:tcPr>
            <w:tcW w:w="3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tLeast" w:line="320"/>
              <w:jc w:val="left"/>
              <w:rPr>
                <w:i/>
                <w:i/>
                <w:spacing w:val="20"/>
                <w:sz w:val="24"/>
                <w:szCs w:val="24"/>
              </w:rPr>
            </w:pPr>
            <w:r>
              <w:rPr>
                <w:i/>
                <w:spacing w:val="20"/>
                <w:sz w:val="24"/>
                <w:szCs w:val="24"/>
              </w:rPr>
            </w:r>
          </w:p>
        </w:tc>
        <w:tc>
          <w:tcPr>
            <w:tcW w:w="2952" w:type="dxa"/>
            <w:gridSpan w:val="8"/>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0" w:hanging="0"/>
              <w:jc w:val="center"/>
              <w:rPr>
                <w:sz w:val="24"/>
                <w:szCs w:val="24"/>
              </w:rPr>
            </w:pPr>
            <w:r>
              <w:rPr>
                <w:sz w:val="24"/>
                <w:szCs w:val="24"/>
              </w:rPr>
              <w:t>2012</w:t>
            </w:r>
            <w:r>
              <w:rPr>
                <w:sz w:val="24"/>
                <w:szCs w:val="24"/>
              </w:rPr>
              <w:t>年</w:t>
            </w:r>
          </w:p>
        </w:tc>
        <w:tc>
          <w:tcPr>
            <w:tcW w:w="2950" w:type="dxa"/>
            <w:gridSpan w:val="8"/>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0" w:hanging="0"/>
              <w:jc w:val="center"/>
              <w:rPr>
                <w:sz w:val="24"/>
                <w:szCs w:val="24"/>
              </w:rPr>
            </w:pPr>
            <w:r>
              <w:rPr>
                <w:sz w:val="24"/>
                <w:szCs w:val="24"/>
              </w:rPr>
              <w:t>2013</w:t>
            </w:r>
            <w:r>
              <w:rPr>
                <w:sz w:val="24"/>
                <w:szCs w:val="24"/>
              </w:rPr>
              <w:t>年</w:t>
            </w:r>
          </w:p>
        </w:tc>
        <w:tc>
          <w:tcPr>
            <w:tcW w:w="2951" w:type="dxa"/>
            <w:gridSpan w:val="8"/>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0" w:hanging="0"/>
              <w:jc w:val="center"/>
              <w:rPr>
                <w:sz w:val="24"/>
                <w:szCs w:val="24"/>
              </w:rPr>
            </w:pPr>
            <w:r>
              <w:rPr>
                <w:sz w:val="24"/>
                <w:szCs w:val="24"/>
              </w:rPr>
              <w:t>2014</w:t>
            </w:r>
            <w:r>
              <w:rPr>
                <w:sz w:val="24"/>
                <w:szCs w:val="24"/>
              </w:rPr>
              <w:t>年</w:t>
            </w:r>
          </w:p>
        </w:tc>
      </w:tr>
      <w:tr>
        <w:trPr>
          <w:tblHeader w:val="true"/>
        </w:trPr>
        <w:tc>
          <w:tcPr>
            <w:tcW w:w="3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tLeast" w:line="320"/>
              <w:jc w:val="left"/>
              <w:rPr>
                <w:i/>
                <w:i/>
                <w:spacing w:val="20"/>
                <w:sz w:val="24"/>
                <w:szCs w:val="24"/>
              </w:rPr>
            </w:pPr>
            <w:r>
              <w:rPr>
                <w:i/>
                <w:spacing w:val="20"/>
                <w:sz w:val="24"/>
                <w:szCs w:val="24"/>
              </w:rPr>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(a)</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(b)</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(c)</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(d)</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(e)</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(f)</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(g)</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總數</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(a)</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(b)</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(c)</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(d)</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(e)</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(f)</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(g)</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總數</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(a)</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(b)</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(c)</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(d)</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(e)</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(f)</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(g)</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28" w:hanging="0"/>
              <w:jc w:val="center"/>
              <w:rPr>
                <w:spacing w:val="14"/>
                <w:sz w:val="24"/>
                <w:szCs w:val="24"/>
              </w:rPr>
            </w:pPr>
            <w:r>
              <w:rPr>
                <w:spacing w:val="14"/>
                <w:sz w:val="24"/>
                <w:szCs w:val="24"/>
              </w:rPr>
              <w:t>總數</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center"/>
              <w:rPr>
                <w:i w:val="false"/>
                <w:i w:val="false"/>
                <w:sz w:val="24"/>
                <w:szCs w:val="24"/>
              </w:rPr>
            </w:pPr>
            <w:r>
              <w:rPr>
                <w:i w:val="false"/>
                <w:sz w:val="24"/>
                <w:szCs w:val="24"/>
              </w:rPr>
              <w:t>建築署</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55</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59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57</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61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61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64</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center"/>
              <w:rPr>
                <w:i w:val="false"/>
                <w:i w:val="false"/>
                <w:sz w:val="24"/>
                <w:szCs w:val="24"/>
              </w:rPr>
            </w:pPr>
            <w:r>
              <w:rPr>
                <w:i w:val="false"/>
                <w:sz w:val="24"/>
                <w:szCs w:val="24"/>
              </w:rPr>
              <w:t>土木工程拓展</w:t>
            </w:r>
          </w:p>
          <w:p>
            <w:pPr>
              <w:pStyle w:val="Style13"/>
              <w:tabs>
                <w:tab w:val="left" w:pos="480" w:leader="none"/>
                <w:tab w:val="left" w:pos="567" w:leader="none"/>
              </w:tabs>
              <w:spacing w:lineRule="atLeast" w:line="320"/>
              <w:ind w:left="0" w:hanging="0"/>
              <w:jc w:val="center"/>
              <w:rPr>
                <w:i w:val="false"/>
                <w:i w:val="false"/>
                <w:spacing w:val="4"/>
                <w:sz w:val="24"/>
                <w:szCs w:val="24"/>
              </w:rPr>
            </w:pPr>
            <w:r>
              <w:rPr>
                <w:i w:val="false"/>
                <w:spacing w:val="4"/>
                <w:sz w:val="24"/>
                <w:szCs w:val="24"/>
              </w:rPr>
              <w:t>署</w:t>
            </w:r>
            <w:r>
              <w:rPr>
                <w:i w:val="false"/>
                <w:spacing w:val="4"/>
                <w:sz w:val="24"/>
                <w:szCs w:val="24"/>
                <w:vertAlign w:val="superscript"/>
              </w:rPr>
              <w:t>#</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7</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51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7</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61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37</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68</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center"/>
              <w:rPr>
                <w:i w:val="false"/>
                <w:i w:val="false"/>
                <w:sz w:val="24"/>
                <w:szCs w:val="24"/>
              </w:rPr>
            </w:pPr>
            <w:r>
              <w:rPr>
                <w:i w:val="false"/>
                <w:sz w:val="24"/>
                <w:szCs w:val="24"/>
              </w:rPr>
              <w:t>渠務署</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79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5</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87</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77</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92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68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17</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89</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center"/>
              <w:rPr>
                <w:i w:val="false"/>
                <w:i w:val="false"/>
                <w:sz w:val="24"/>
                <w:szCs w:val="24"/>
              </w:rPr>
            </w:pPr>
            <w:r>
              <w:rPr>
                <w:i w:val="false"/>
                <w:sz w:val="24"/>
                <w:szCs w:val="24"/>
              </w:rPr>
              <w:t>環境保護署</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5</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25</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26</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44</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center"/>
              <w:rPr>
                <w:i w:val="false"/>
                <w:i w:val="false"/>
                <w:sz w:val="24"/>
                <w:szCs w:val="24"/>
              </w:rPr>
            </w:pPr>
            <w:r>
              <w:rPr>
                <w:i w:val="false"/>
                <w:sz w:val="24"/>
                <w:szCs w:val="24"/>
              </w:rPr>
              <w:t>機電工程署</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35</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41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42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49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56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3</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atLeast" w:line="320"/>
              <w:ind w:left="57" w:hanging="0"/>
              <w:jc w:val="right"/>
              <w:rPr>
                <w:i w:val="false"/>
                <w:i w:val="false"/>
                <w:sz w:val="24"/>
                <w:szCs w:val="24"/>
              </w:rPr>
            </w:pPr>
            <w:r>
              <w:rPr>
                <w:i w:val="false"/>
                <w:sz w:val="24"/>
                <w:szCs w:val="24"/>
              </w:rPr>
              <w:t>66</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center"/>
              <w:rPr>
                <w:i w:val="false"/>
                <w:i w:val="false"/>
                <w:sz w:val="24"/>
                <w:szCs w:val="24"/>
              </w:rPr>
            </w:pPr>
            <w:r>
              <w:rPr>
                <w:i w:val="false"/>
                <w:sz w:val="24"/>
                <w:szCs w:val="24"/>
              </w:rPr>
              <w:t>食物環境衞生署</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72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43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149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15</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56</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15</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159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38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15</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z w:val="24"/>
                <w:szCs w:val="24"/>
              </w:rPr>
            </w:pPr>
            <w:r>
              <w:rPr>
                <w:i w:val="false"/>
                <w:spacing w:val="-8"/>
                <w:sz w:val="24"/>
                <w:szCs w:val="24"/>
              </w:rPr>
              <w:t>128</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center"/>
              <w:rPr>
                <w:i w:val="false"/>
                <w:i w:val="false"/>
                <w:sz w:val="24"/>
                <w:szCs w:val="24"/>
              </w:rPr>
            </w:pPr>
            <w:r>
              <w:rPr>
                <w:i w:val="false"/>
                <w:sz w:val="24"/>
                <w:szCs w:val="24"/>
              </w:rPr>
              <w:t>路政署</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37</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34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110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30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27</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25</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91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33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24</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94</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center"/>
              <w:rPr>
                <w:i w:val="false"/>
                <w:i w:val="false"/>
                <w:sz w:val="24"/>
                <w:szCs w:val="24"/>
              </w:rPr>
            </w:pPr>
            <w:r>
              <w:rPr>
                <w:i w:val="false"/>
                <w:sz w:val="24"/>
                <w:szCs w:val="24"/>
              </w:rPr>
              <w:t>房屋署</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174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161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77</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125</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641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234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166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19</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93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69</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120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715</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276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152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27</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96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z w:val="24"/>
                <w:szCs w:val="24"/>
              </w:rPr>
            </w:pPr>
            <w:r>
              <w:rPr>
                <w:i w:val="false"/>
                <w:spacing w:val="-8"/>
                <w:sz w:val="24"/>
                <w:szCs w:val="24"/>
              </w:rPr>
              <w:t>111</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z w:val="24"/>
                <w:szCs w:val="24"/>
              </w:rPr>
            </w:pPr>
            <w:r>
              <w:rPr>
                <w:i w:val="false"/>
                <w:spacing w:val="-8"/>
                <w:sz w:val="24"/>
                <w:szCs w:val="24"/>
              </w:rPr>
              <w:t>744</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center"/>
              <w:rPr>
                <w:i w:val="false"/>
                <w:i w:val="false"/>
                <w:sz w:val="24"/>
                <w:szCs w:val="24"/>
              </w:rPr>
            </w:pPr>
            <w:r>
              <w:rPr>
                <w:i w:val="false"/>
                <w:sz w:val="24"/>
                <w:szCs w:val="24"/>
              </w:rPr>
              <w:t>康樂及文化事務署</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84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156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53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91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8"/>
                <w:sz w:val="24"/>
                <w:szCs w:val="24"/>
              </w:rPr>
            </w:pPr>
            <w:r>
              <w:rPr>
                <w:i w:val="false"/>
                <w:spacing w:val="-8"/>
                <w:sz w:val="24"/>
                <w:szCs w:val="24"/>
              </w:rPr>
              <w:t>154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43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87</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0" w:hanging="0"/>
              <w:jc w:val="right"/>
              <w:rPr>
                <w:i w:val="false"/>
                <w:i w:val="false"/>
                <w:spacing w:val="-2"/>
                <w:sz w:val="24"/>
                <w:szCs w:val="24"/>
              </w:rPr>
            </w:pPr>
            <w:r>
              <w:rPr>
                <w:i w:val="false"/>
                <w:spacing w:val="-2"/>
                <w:sz w:val="24"/>
                <w:szCs w:val="24"/>
              </w:rPr>
              <w:t>141</w:t>
            </w:r>
          </w:p>
        </w:tc>
      </w:tr>
      <w:tr>
        <w:trPr/>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center"/>
              <w:rPr>
                <w:i w:val="false"/>
                <w:i w:val="false"/>
                <w:sz w:val="24"/>
                <w:szCs w:val="24"/>
              </w:rPr>
            </w:pPr>
            <w:r>
              <w:rPr>
                <w:i w:val="false"/>
                <w:sz w:val="24"/>
                <w:szCs w:val="24"/>
              </w:rPr>
              <w:t>水務署</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3</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29</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0</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w:t>
            </w:r>
          </w:p>
        </w:tc>
        <w:tc>
          <w:tcPr>
            <w:tcW w:w="368"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78</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20</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21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14</w:t>
            </w:r>
          </w:p>
        </w:tc>
        <w:tc>
          <w:tcPr>
            <w:tcW w:w="369"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4</w:t>
            </w:r>
          </w:p>
        </w:tc>
        <w:tc>
          <w:tcPr>
            <w:tcW w:w="367"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ind w:left="57" w:hanging="0"/>
              <w:jc w:val="right"/>
              <w:rPr>
                <w:i w:val="false"/>
                <w:i w:val="false"/>
                <w:sz w:val="24"/>
                <w:szCs w:val="24"/>
              </w:rPr>
            </w:pPr>
            <w:r>
              <w:rPr>
                <w:i w:val="false"/>
                <w:sz w:val="24"/>
                <w:szCs w:val="24"/>
              </w:rPr>
              <w:t>67</w:t>
            </w:r>
          </w:p>
        </w:tc>
      </w:tr>
    </w:tbl>
    <w:p>
      <w:pPr>
        <w:pStyle w:val="Style13"/>
        <w:spacing w:lineRule="auto" w:line="240"/>
        <w:ind w:left="567" w:hanging="567"/>
        <w:jc w:val="left"/>
        <w:rPr>
          <w:rFonts w:cs="Times New Roman"/>
          <w:i w:val="false"/>
          <w:i w:val="false"/>
          <w:sz w:val="20"/>
          <w:szCs w:val="20"/>
        </w:rPr>
      </w:pPr>
      <w:r>
        <w:rPr>
          <w:rFonts w:cs="Times New Roman"/>
          <w:i w:val="false"/>
          <w:sz w:val="20"/>
          <w:szCs w:val="20"/>
        </w:rPr>
      </w:r>
    </w:p>
    <w:p>
      <w:pPr>
        <w:pStyle w:val="Style13"/>
        <w:spacing w:lineRule="auto" w:line="240"/>
        <w:ind w:left="567" w:hanging="567"/>
        <w:jc w:val="left"/>
        <w:rPr>
          <w:i w:val="false"/>
          <w:i w:val="false"/>
          <w:sz w:val="20"/>
          <w:szCs w:val="20"/>
        </w:rPr>
      </w:pPr>
      <w:r>
        <w:rPr>
          <w:i w:val="false"/>
          <w:sz w:val="20"/>
          <w:szCs w:val="20"/>
        </w:rPr>
        <w:t>服務類別</w:t>
      </w:r>
    </w:p>
    <w:p>
      <w:pPr>
        <w:pStyle w:val="Style13"/>
        <w:spacing w:lineRule="auto" w:line="240"/>
        <w:ind w:left="567" w:hanging="567"/>
        <w:jc w:val="left"/>
        <w:rPr>
          <w:i w:val="false"/>
          <w:i w:val="false"/>
          <w:sz w:val="20"/>
          <w:szCs w:val="20"/>
        </w:rPr>
      </w:pPr>
      <w:r>
        <w:rPr>
          <w:i w:val="false"/>
          <w:sz w:val="20"/>
          <w:szCs w:val="20"/>
        </w:rPr>
      </w:r>
    </w:p>
    <w:p>
      <w:pPr>
        <w:pStyle w:val="Style13"/>
        <w:spacing w:lineRule="auto" w:line="240"/>
        <w:ind w:left="567" w:hanging="567"/>
        <w:jc w:val="left"/>
        <w:rPr>
          <w:i w:val="false"/>
          <w:i w:val="false"/>
          <w:sz w:val="20"/>
          <w:szCs w:val="20"/>
        </w:rPr>
      </w:pPr>
      <w:r>
        <w:rPr>
          <w:i w:val="false"/>
          <w:sz w:val="20"/>
          <w:szCs w:val="20"/>
        </w:rPr>
        <w:t>(a)</w:t>
        <w:tab/>
      </w:r>
      <w:r>
        <w:rPr>
          <w:i w:val="false"/>
          <w:sz w:val="20"/>
          <w:szCs w:val="20"/>
        </w:rPr>
        <w:t>工程及建造服務</w:t>
      </w:r>
    </w:p>
    <w:p>
      <w:pPr>
        <w:pStyle w:val="Style13"/>
        <w:spacing w:lineRule="auto" w:line="240"/>
        <w:ind w:left="567" w:hanging="567"/>
        <w:jc w:val="left"/>
        <w:rPr>
          <w:i w:val="false"/>
          <w:i w:val="false"/>
          <w:sz w:val="20"/>
          <w:szCs w:val="20"/>
        </w:rPr>
      </w:pPr>
      <w:r>
        <w:rPr>
          <w:i w:val="false"/>
          <w:sz w:val="20"/>
          <w:szCs w:val="20"/>
        </w:rPr>
        <w:t>(b)</w:t>
        <w:tab/>
      </w:r>
      <w:r>
        <w:rPr>
          <w:i w:val="false"/>
          <w:sz w:val="20"/>
          <w:szCs w:val="20"/>
        </w:rPr>
        <w:t>物業及設施管理服務</w:t>
      </w:r>
    </w:p>
    <w:p>
      <w:pPr>
        <w:pStyle w:val="Style13"/>
        <w:spacing w:lineRule="auto" w:line="240"/>
        <w:ind w:left="567" w:hanging="567"/>
        <w:jc w:val="left"/>
        <w:rPr>
          <w:i w:val="false"/>
          <w:i w:val="false"/>
          <w:sz w:val="20"/>
          <w:szCs w:val="20"/>
        </w:rPr>
      </w:pPr>
      <w:r>
        <w:rPr>
          <w:i w:val="false"/>
          <w:sz w:val="20"/>
          <w:szCs w:val="20"/>
        </w:rPr>
        <w:t>(c)</w:t>
        <w:tab/>
      </w:r>
      <w:r>
        <w:rPr>
          <w:i w:val="false"/>
          <w:sz w:val="20"/>
          <w:szCs w:val="20"/>
        </w:rPr>
        <w:t>機械及器材維修服務</w:t>
      </w:r>
    </w:p>
    <w:p>
      <w:pPr>
        <w:pStyle w:val="Style13"/>
        <w:spacing w:lineRule="auto" w:line="240"/>
        <w:ind w:left="567" w:hanging="567"/>
        <w:jc w:val="left"/>
        <w:rPr>
          <w:i w:val="false"/>
          <w:i w:val="false"/>
          <w:sz w:val="20"/>
          <w:szCs w:val="20"/>
        </w:rPr>
      </w:pPr>
      <w:r>
        <w:rPr>
          <w:i w:val="false"/>
          <w:sz w:val="20"/>
          <w:szCs w:val="20"/>
        </w:rPr>
        <w:t>(d)</w:t>
        <w:tab/>
      </w:r>
      <w:r>
        <w:rPr>
          <w:i w:val="false"/>
          <w:sz w:val="20"/>
          <w:szCs w:val="20"/>
        </w:rPr>
        <w:t>資訊管理及資訊系統服務</w:t>
      </w:r>
    </w:p>
    <w:p>
      <w:pPr>
        <w:pStyle w:val="Style13"/>
        <w:spacing w:lineRule="auto" w:line="240"/>
        <w:ind w:left="567" w:hanging="567"/>
        <w:jc w:val="left"/>
        <w:rPr>
          <w:i w:val="false"/>
          <w:i w:val="false"/>
          <w:sz w:val="20"/>
          <w:szCs w:val="20"/>
        </w:rPr>
      </w:pPr>
      <w:r>
        <w:rPr>
          <w:i w:val="false"/>
          <w:sz w:val="20"/>
          <w:szCs w:val="20"/>
        </w:rPr>
        <w:t>(e)</w:t>
        <w:tab/>
      </w:r>
      <w:r>
        <w:rPr>
          <w:i w:val="false"/>
          <w:sz w:val="20"/>
          <w:szCs w:val="20"/>
        </w:rPr>
        <w:t>環境衞生服務</w:t>
      </w:r>
    </w:p>
    <w:p>
      <w:pPr>
        <w:pStyle w:val="Style13"/>
        <w:spacing w:lineRule="auto" w:line="240"/>
        <w:ind w:left="567" w:hanging="567"/>
        <w:jc w:val="left"/>
        <w:rPr>
          <w:i w:val="false"/>
          <w:i w:val="false"/>
          <w:sz w:val="20"/>
          <w:szCs w:val="20"/>
        </w:rPr>
      </w:pPr>
      <w:r>
        <w:rPr>
          <w:i w:val="false"/>
          <w:sz w:val="20"/>
          <w:szCs w:val="20"/>
        </w:rPr>
        <w:t>(f)</w:t>
        <w:tab/>
      </w:r>
      <w:r>
        <w:rPr>
          <w:i w:val="false"/>
          <w:sz w:val="20"/>
          <w:szCs w:val="20"/>
        </w:rPr>
        <w:t>一般行政、管理、財務及公共關係等服務</w:t>
      </w:r>
    </w:p>
    <w:p>
      <w:pPr>
        <w:pStyle w:val="Style13"/>
        <w:spacing w:lineRule="auto" w:line="240"/>
        <w:ind w:left="567" w:hanging="567"/>
        <w:jc w:val="left"/>
        <w:rPr>
          <w:i w:val="false"/>
          <w:i w:val="false"/>
          <w:sz w:val="20"/>
          <w:szCs w:val="20"/>
        </w:rPr>
      </w:pPr>
      <w:r>
        <w:rPr>
          <w:i w:val="false"/>
          <w:sz w:val="20"/>
          <w:szCs w:val="20"/>
        </w:rPr>
        <w:t>(g)</w:t>
        <w:tab/>
      </w:r>
      <w:r>
        <w:rPr>
          <w:i w:val="false"/>
          <w:sz w:val="20"/>
          <w:szCs w:val="20"/>
        </w:rPr>
        <w:t>其他</w:t>
      </w:r>
    </w:p>
    <w:p>
      <w:pPr>
        <w:pStyle w:val="Style13"/>
        <w:spacing w:lineRule="auto" w:line="240"/>
        <w:ind w:left="567" w:hanging="567"/>
        <w:jc w:val="left"/>
        <w:rPr>
          <w:i w:val="false"/>
          <w:i w:val="false"/>
          <w:sz w:val="20"/>
          <w:szCs w:val="20"/>
        </w:rPr>
      </w:pPr>
      <w:r>
        <w:rPr>
          <w:i w:val="false"/>
          <w:sz w:val="20"/>
          <w:szCs w:val="20"/>
        </w:rPr>
      </w:r>
    </w:p>
    <w:p>
      <w:pPr>
        <w:pStyle w:val="Style13"/>
        <w:spacing w:lineRule="auto" w:line="240"/>
        <w:ind w:left="567" w:hanging="567"/>
        <w:jc w:val="left"/>
        <w:rPr>
          <w:i w:val="false"/>
          <w:i w:val="false"/>
          <w:sz w:val="20"/>
          <w:szCs w:val="20"/>
        </w:rPr>
      </w:pPr>
      <w:r>
        <w:rPr>
          <w:i w:val="false"/>
          <w:sz w:val="20"/>
          <w:szCs w:val="20"/>
        </w:rPr>
        <w:t>註：</w:t>
      </w:r>
    </w:p>
    <w:p>
      <w:pPr>
        <w:pStyle w:val="Style13"/>
        <w:spacing w:lineRule="auto" w:line="240"/>
        <w:ind w:left="567" w:hanging="567"/>
        <w:jc w:val="left"/>
        <w:rPr>
          <w:i w:val="false"/>
          <w:i w:val="false"/>
          <w:sz w:val="20"/>
          <w:szCs w:val="20"/>
        </w:rPr>
      </w:pPr>
      <w:r>
        <w:rPr>
          <w:i w:val="false"/>
          <w:sz w:val="20"/>
          <w:szCs w:val="20"/>
        </w:rPr>
      </w:r>
    </w:p>
    <w:p>
      <w:pPr>
        <w:pStyle w:val="Style13"/>
        <w:spacing w:lineRule="auto" w:line="240"/>
        <w:ind w:left="567" w:hanging="567"/>
        <w:jc w:val="left"/>
        <w:rPr>
          <w:szCs w:val="27"/>
        </w:rPr>
      </w:pPr>
      <w:r>
        <w:rPr>
          <w:i w:val="false"/>
          <w:sz w:val="20"/>
          <w:szCs w:val="20"/>
        </w:rPr>
        <w:t>#</w:t>
        <w:tab/>
      </w:r>
      <w:r>
        <w:rPr>
          <w:i w:val="false"/>
          <w:sz w:val="20"/>
          <w:szCs w:val="20"/>
        </w:rPr>
        <w:t>土木工程拓展署提供的數字未包括工程及建造服務合約的數字。</w:t>
      </w:r>
      <w:r>
        <w:br w:type="page"/>
      </w:r>
    </w:p>
    <w:p>
      <w:pPr>
        <w:pStyle w:val="Style13"/>
        <w:spacing w:lineRule="auto" w:line="240"/>
        <w:ind w:left="0" w:hanging="0"/>
        <w:jc w:val="center"/>
        <w:rPr>
          <w:i w:val="false"/>
          <w:i w:val="false"/>
          <w:szCs w:val="27"/>
        </w:rPr>
      </w:pPr>
      <w:r>
        <w:rPr>
          <w:i w:val="false"/>
          <w:szCs w:val="27"/>
        </w:rPr>
        <w:t>按部門劃分外判服務合約年期</w:t>
      </w:r>
    </w:p>
    <w:p>
      <w:pPr>
        <w:pStyle w:val="Style13"/>
        <w:spacing w:lineRule="auto" w:line="240"/>
        <w:ind w:left="0" w:hanging="0"/>
        <w:jc w:val="center"/>
        <w:rPr>
          <w:i w:val="false"/>
          <w:i w:val="false"/>
          <w:szCs w:val="27"/>
        </w:rPr>
      </w:pPr>
      <w:r>
        <w:rPr>
          <w:i w:val="false"/>
          <w:szCs w:val="27"/>
        </w:rPr>
      </w:r>
    </w:p>
    <w:tbl>
      <w:tblPr>
        <w:tblW w:w="9217" w:type="dxa"/>
        <w:jc w:val="left"/>
        <w:tblInd w:w="0" w:type="dxa"/>
        <w:tblCellMar>
          <w:top w:w="0" w:type="dxa"/>
          <w:left w:w="5" w:type="dxa"/>
          <w:bottom w:w="0" w:type="dxa"/>
          <w:right w:w="5" w:type="dxa"/>
        </w:tblCellMar>
        <w:tblLook w:val="01e0" w:noHBand="0" w:noVBand="0" w:firstColumn="1" w:lastRow="1" w:lastColumn="1" w:firstRow="1"/>
      </w:tblPr>
      <w:tblGrid>
        <w:gridCol w:w="368"/>
        <w:gridCol w:w="491"/>
        <w:gridCol w:w="493"/>
        <w:gridCol w:w="491"/>
        <w:gridCol w:w="492"/>
        <w:gridCol w:w="490"/>
        <w:gridCol w:w="493"/>
        <w:gridCol w:w="491"/>
        <w:gridCol w:w="492"/>
        <w:gridCol w:w="491"/>
        <w:gridCol w:w="493"/>
        <w:gridCol w:w="490"/>
        <w:gridCol w:w="492"/>
        <w:gridCol w:w="491"/>
        <w:gridCol w:w="493"/>
        <w:gridCol w:w="490"/>
        <w:gridCol w:w="492"/>
        <w:gridCol w:w="491"/>
        <w:gridCol w:w="492"/>
      </w:tblGrid>
      <w:tr>
        <w:trPr>
          <w:tblHeader w:val="true"/>
        </w:trPr>
        <w:tc>
          <w:tcPr>
            <w:tcW w:w="368" w:type="dxa"/>
            <w:vMerge w:val="restart"/>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部門</w:t>
            </w:r>
          </w:p>
        </w:tc>
        <w:tc>
          <w:tcPr>
            <w:tcW w:w="8848" w:type="dxa"/>
            <w:gridSpan w:val="18"/>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0" w:hanging="0"/>
              <w:jc w:val="center"/>
              <w:rPr>
                <w:sz w:val="26"/>
              </w:rPr>
            </w:pPr>
            <w:r>
              <w:rPr>
                <w:sz w:val="26"/>
              </w:rPr>
              <w:t>合約服務年期</w:t>
            </w:r>
          </w:p>
        </w:tc>
      </w:tr>
      <w:tr>
        <w:trPr>
          <w:tblHeader w:val="true"/>
        </w:trPr>
        <w:tc>
          <w:tcPr>
            <w:tcW w:w="3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exact" w:line="332"/>
              <w:jc w:val="left"/>
              <w:rPr>
                <w:i/>
                <w:i/>
                <w:spacing w:val="20"/>
                <w:sz w:val="26"/>
              </w:rPr>
            </w:pPr>
            <w:r>
              <w:rPr>
                <w:i/>
                <w:spacing w:val="20"/>
                <w:sz w:val="26"/>
              </w:rPr>
            </w:r>
          </w:p>
        </w:tc>
        <w:tc>
          <w:tcPr>
            <w:tcW w:w="2950" w:type="dxa"/>
            <w:gridSpan w:val="6"/>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0" w:hanging="0"/>
              <w:jc w:val="center"/>
              <w:rPr>
                <w:sz w:val="26"/>
              </w:rPr>
            </w:pPr>
            <w:r>
              <w:rPr>
                <w:sz w:val="26"/>
              </w:rPr>
              <w:t>2012</w:t>
            </w:r>
            <w:r>
              <w:rPr>
                <w:sz w:val="26"/>
              </w:rPr>
              <w:t>年</w:t>
            </w:r>
          </w:p>
        </w:tc>
        <w:tc>
          <w:tcPr>
            <w:tcW w:w="2949" w:type="dxa"/>
            <w:gridSpan w:val="6"/>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0" w:hanging="0"/>
              <w:jc w:val="center"/>
              <w:rPr>
                <w:sz w:val="26"/>
              </w:rPr>
            </w:pPr>
            <w:r>
              <w:rPr>
                <w:sz w:val="26"/>
              </w:rPr>
              <w:t>2013</w:t>
            </w:r>
            <w:r>
              <w:rPr>
                <w:sz w:val="26"/>
              </w:rPr>
              <w:t>年</w:t>
            </w:r>
          </w:p>
        </w:tc>
        <w:tc>
          <w:tcPr>
            <w:tcW w:w="2949" w:type="dxa"/>
            <w:gridSpan w:val="6"/>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0" w:hanging="0"/>
              <w:jc w:val="center"/>
              <w:rPr>
                <w:sz w:val="26"/>
              </w:rPr>
            </w:pPr>
            <w:r>
              <w:rPr>
                <w:sz w:val="26"/>
              </w:rPr>
              <w:t>2014</w:t>
            </w:r>
            <w:r>
              <w:rPr>
                <w:sz w:val="26"/>
              </w:rPr>
              <w:t>年</w:t>
            </w:r>
          </w:p>
        </w:tc>
      </w:tr>
      <w:tr>
        <w:trPr>
          <w:tblHeader w:val="true"/>
        </w:trPr>
        <w:tc>
          <w:tcPr>
            <w:tcW w:w="3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exact" w:line="332"/>
              <w:jc w:val="left"/>
              <w:rPr>
                <w:i/>
                <w:i/>
                <w:spacing w:val="20"/>
                <w:sz w:val="26"/>
              </w:rPr>
            </w:pPr>
            <w:r>
              <w:rPr>
                <w:i/>
                <w:spacing w:val="20"/>
                <w:sz w:val="26"/>
              </w:rPr>
            </w:r>
          </w:p>
        </w:tc>
        <w:tc>
          <w:tcPr>
            <w:tcW w:w="491"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少於</w:t>
            </w:r>
            <w:r>
              <w:rPr>
                <w:sz w:val="26"/>
              </w:rPr>
              <w:t>1</w:t>
            </w:r>
            <w:r>
              <w:rPr>
                <w:sz w:val="26"/>
              </w:rPr>
              <w:t>年</w:t>
            </w:r>
          </w:p>
        </w:tc>
        <w:tc>
          <w:tcPr>
            <w:tcW w:w="493"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1</w:t>
            </w:r>
            <w:r>
              <w:rPr>
                <w:sz w:val="26"/>
              </w:rPr>
              <w:t>年至少於</w:t>
            </w:r>
            <w:r>
              <w:rPr>
                <w:sz w:val="26"/>
              </w:rPr>
              <w:t>2</w:t>
            </w:r>
            <w:r>
              <w:rPr>
                <w:sz w:val="26"/>
              </w:rPr>
              <w:t>年</w:t>
            </w:r>
          </w:p>
        </w:tc>
        <w:tc>
          <w:tcPr>
            <w:tcW w:w="491"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2</w:t>
            </w:r>
            <w:r>
              <w:rPr>
                <w:sz w:val="26"/>
              </w:rPr>
              <w:t>年至少於</w:t>
            </w:r>
            <w:r>
              <w:rPr>
                <w:sz w:val="26"/>
              </w:rPr>
              <w:t>3</w:t>
            </w:r>
            <w:r>
              <w:rPr>
                <w:sz w:val="26"/>
              </w:rPr>
              <w:t>年</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3</w:t>
            </w:r>
            <w:r>
              <w:rPr>
                <w:sz w:val="26"/>
              </w:rPr>
              <w:t>年至少於</w:t>
            </w:r>
            <w:r>
              <w:rPr>
                <w:sz w:val="26"/>
              </w:rPr>
              <w:t>4</w:t>
            </w:r>
            <w:r>
              <w:rPr>
                <w:sz w:val="26"/>
              </w:rPr>
              <w:t>年</w:t>
            </w:r>
          </w:p>
        </w:tc>
        <w:tc>
          <w:tcPr>
            <w:tcW w:w="49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4</w:t>
            </w:r>
            <w:r>
              <w:rPr>
                <w:sz w:val="26"/>
              </w:rPr>
              <w:t>年或以上</w:t>
            </w:r>
          </w:p>
        </w:tc>
        <w:tc>
          <w:tcPr>
            <w:tcW w:w="493"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總數</w:t>
            </w:r>
          </w:p>
        </w:tc>
        <w:tc>
          <w:tcPr>
            <w:tcW w:w="491"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少於</w:t>
            </w:r>
            <w:r>
              <w:rPr>
                <w:sz w:val="26"/>
              </w:rPr>
              <w:t>1</w:t>
            </w:r>
            <w:r>
              <w:rPr>
                <w:sz w:val="26"/>
              </w:rPr>
              <w:t>年</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1</w:t>
            </w:r>
            <w:r>
              <w:rPr>
                <w:sz w:val="26"/>
              </w:rPr>
              <w:t>年至少於</w:t>
            </w:r>
            <w:r>
              <w:rPr>
                <w:sz w:val="26"/>
              </w:rPr>
              <w:t>2</w:t>
            </w:r>
            <w:r>
              <w:rPr>
                <w:sz w:val="26"/>
              </w:rPr>
              <w:t>年</w:t>
            </w:r>
          </w:p>
        </w:tc>
        <w:tc>
          <w:tcPr>
            <w:tcW w:w="491"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2</w:t>
            </w:r>
            <w:r>
              <w:rPr>
                <w:sz w:val="26"/>
              </w:rPr>
              <w:t>年至少於</w:t>
            </w:r>
            <w:r>
              <w:rPr>
                <w:sz w:val="26"/>
              </w:rPr>
              <w:t>3</w:t>
            </w:r>
            <w:r>
              <w:rPr>
                <w:sz w:val="26"/>
              </w:rPr>
              <w:t>年</w:t>
            </w:r>
          </w:p>
        </w:tc>
        <w:tc>
          <w:tcPr>
            <w:tcW w:w="493"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3</w:t>
            </w:r>
            <w:r>
              <w:rPr>
                <w:sz w:val="26"/>
              </w:rPr>
              <w:t>年至少於</w:t>
            </w:r>
            <w:r>
              <w:rPr>
                <w:sz w:val="26"/>
              </w:rPr>
              <w:t>4</w:t>
            </w:r>
            <w:r>
              <w:rPr>
                <w:sz w:val="26"/>
              </w:rPr>
              <w:t>年</w:t>
            </w:r>
          </w:p>
        </w:tc>
        <w:tc>
          <w:tcPr>
            <w:tcW w:w="49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4</w:t>
            </w:r>
            <w:r>
              <w:rPr>
                <w:sz w:val="26"/>
              </w:rPr>
              <w:t>年或以上</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總數</w:t>
            </w:r>
          </w:p>
        </w:tc>
        <w:tc>
          <w:tcPr>
            <w:tcW w:w="491"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少於</w:t>
            </w:r>
            <w:r>
              <w:rPr>
                <w:sz w:val="26"/>
              </w:rPr>
              <w:t>1</w:t>
            </w:r>
            <w:r>
              <w:rPr>
                <w:sz w:val="26"/>
              </w:rPr>
              <w:t>年</w:t>
            </w:r>
          </w:p>
        </w:tc>
        <w:tc>
          <w:tcPr>
            <w:tcW w:w="493"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1</w:t>
            </w:r>
            <w:r>
              <w:rPr>
                <w:sz w:val="26"/>
              </w:rPr>
              <w:t>年至少於</w:t>
            </w:r>
            <w:r>
              <w:rPr>
                <w:sz w:val="26"/>
              </w:rPr>
              <w:t>2</w:t>
            </w:r>
            <w:r>
              <w:rPr>
                <w:sz w:val="26"/>
              </w:rPr>
              <w:t>年</w:t>
            </w:r>
          </w:p>
        </w:tc>
        <w:tc>
          <w:tcPr>
            <w:tcW w:w="490"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2</w:t>
            </w:r>
            <w:r>
              <w:rPr>
                <w:sz w:val="26"/>
              </w:rPr>
              <w:t>年至少於</w:t>
            </w:r>
            <w:r>
              <w:rPr>
                <w:sz w:val="26"/>
              </w:rPr>
              <w:t>3</w:t>
            </w:r>
            <w:r>
              <w:rPr>
                <w:sz w:val="26"/>
              </w:rPr>
              <w:t>年</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3</w:t>
            </w:r>
            <w:r>
              <w:rPr>
                <w:sz w:val="26"/>
              </w:rPr>
              <w:t>年至少於</w:t>
            </w:r>
            <w:r>
              <w:rPr>
                <w:sz w:val="26"/>
              </w:rPr>
              <w:t>4</w:t>
            </w:r>
            <w:r>
              <w:rPr>
                <w:sz w:val="26"/>
              </w:rPr>
              <w:t>年</w:t>
            </w:r>
          </w:p>
        </w:tc>
        <w:tc>
          <w:tcPr>
            <w:tcW w:w="491"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4</w:t>
            </w:r>
            <w:r>
              <w:rPr>
                <w:sz w:val="26"/>
              </w:rPr>
              <w:t>年或以上</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Style13"/>
              <w:tabs>
                <w:tab w:val="left" w:pos="480" w:leader="none"/>
                <w:tab w:val="left" w:pos="567" w:leader="none"/>
              </w:tabs>
              <w:spacing w:lineRule="exact" w:line="332"/>
              <w:ind w:left="57" w:hanging="0"/>
              <w:jc w:val="center"/>
              <w:rPr>
                <w:sz w:val="26"/>
              </w:rPr>
            </w:pPr>
            <w:r>
              <w:rPr>
                <w:sz w:val="26"/>
              </w:rPr>
              <w:t>總數</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57" w:hanging="0"/>
              <w:jc w:val="left"/>
              <w:rPr>
                <w:i w:val="false"/>
                <w:i w:val="false"/>
                <w:sz w:val="26"/>
              </w:rPr>
            </w:pPr>
            <w:r>
              <w:rPr>
                <w:i w:val="false"/>
                <w:sz w:val="26"/>
              </w:rPr>
              <w:t>建築署</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19</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8</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7</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22</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59</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12</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8</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19</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17</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12</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64</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28" w:hanging="0"/>
              <w:jc w:val="left"/>
              <w:rPr>
                <w:i w:val="false"/>
                <w:i w:val="false"/>
                <w:sz w:val="26"/>
              </w:rPr>
            </w:pPr>
            <w:r>
              <w:rPr>
                <w:i w:val="false"/>
                <w:sz w:val="26"/>
              </w:rPr>
              <w:t>土木工程拓展</w:t>
            </w:r>
            <w:r>
              <w:rPr>
                <w:i w:val="false"/>
                <w:spacing w:val="-8"/>
                <w:sz w:val="26"/>
              </w:rPr>
              <w:t>署</w:t>
            </w:r>
            <w:r>
              <w:rPr>
                <w:i w:val="false"/>
                <w:spacing w:val="-8"/>
                <w:sz w:val="26"/>
                <w:vertAlign w:val="superscript"/>
              </w:rPr>
              <w:t>#</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13</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24</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7</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19</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25</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9</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10</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34</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16</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68</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57" w:hanging="0"/>
              <w:jc w:val="left"/>
              <w:rPr>
                <w:i w:val="false"/>
                <w:i w:val="false"/>
                <w:sz w:val="26"/>
              </w:rPr>
            </w:pPr>
            <w:r>
              <w:rPr>
                <w:i w:val="false"/>
                <w:sz w:val="26"/>
              </w:rPr>
              <w:t>渠務署</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21</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22</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13</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29</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87</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29</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20</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13</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24</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92</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27</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9</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18</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24</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89</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57" w:hanging="0"/>
              <w:jc w:val="left"/>
              <w:rPr>
                <w:i w:val="false"/>
                <w:i w:val="false"/>
                <w:sz w:val="26"/>
              </w:rPr>
            </w:pPr>
            <w:r>
              <w:rPr>
                <w:i w:val="false"/>
                <w:sz w:val="26"/>
              </w:rPr>
              <w:t>環境保護署</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11</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10</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24</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13</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9</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25</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17</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17</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10</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44</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57" w:hanging="0"/>
              <w:jc w:val="left"/>
              <w:rPr>
                <w:i w:val="false"/>
                <w:i w:val="false"/>
                <w:sz w:val="26"/>
              </w:rPr>
            </w:pPr>
            <w:r>
              <w:rPr>
                <w:i w:val="false"/>
                <w:sz w:val="26"/>
              </w:rPr>
              <w:t>機電工程署</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7</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9</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18</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8</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27</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49</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7</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10</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37</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66</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57" w:hanging="0"/>
              <w:jc w:val="left"/>
              <w:rPr>
                <w:i w:val="false"/>
                <w:i w:val="false"/>
                <w:sz w:val="26"/>
              </w:rPr>
            </w:pPr>
            <w:r>
              <w:rPr>
                <w:i w:val="false"/>
                <w:sz w:val="26"/>
              </w:rPr>
              <w:t>食物環境衞生署</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38</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53</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53</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149</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65</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77</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159</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21</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53</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53</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128</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57" w:hanging="0"/>
              <w:jc w:val="left"/>
              <w:rPr>
                <w:i w:val="false"/>
                <w:i w:val="false"/>
                <w:sz w:val="26"/>
              </w:rPr>
            </w:pPr>
            <w:r>
              <w:rPr>
                <w:i w:val="false"/>
                <w:sz w:val="26"/>
              </w:rPr>
              <w:t>路政署</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59</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12</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22</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13</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110</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43</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12</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19</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91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42</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18</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17</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16</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94</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57" w:hanging="0"/>
              <w:jc w:val="left"/>
              <w:rPr>
                <w:i w:val="false"/>
                <w:i w:val="false"/>
                <w:sz w:val="26"/>
              </w:rPr>
            </w:pPr>
            <w:r>
              <w:rPr>
                <w:i w:val="false"/>
                <w:sz w:val="26"/>
              </w:rPr>
              <w:t>房屋署</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51</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125</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141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141</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183</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641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43</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137</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154</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187</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194</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715</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39</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148</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161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215</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181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744</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57" w:hanging="0"/>
              <w:jc w:val="left"/>
              <w:rPr>
                <w:i w:val="false"/>
                <w:i w:val="false"/>
                <w:sz w:val="26"/>
              </w:rPr>
            </w:pPr>
            <w:r>
              <w:rPr>
                <w:i w:val="false"/>
                <w:sz w:val="26"/>
              </w:rPr>
              <w:t>康樂及文化事務署</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54</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96</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156</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12</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101</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154</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35</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8</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98</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141</w:t>
            </w:r>
          </w:p>
        </w:tc>
      </w:tr>
      <w:tr>
        <w:trPr/>
        <w:tc>
          <w:tcPr>
            <w:tcW w:w="368"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57" w:hanging="0"/>
              <w:jc w:val="left"/>
              <w:rPr>
                <w:i w:val="false"/>
                <w:i w:val="false"/>
                <w:sz w:val="26"/>
              </w:rPr>
            </w:pPr>
            <w:r>
              <w:rPr>
                <w:i w:val="false"/>
                <w:sz w:val="26"/>
              </w:rPr>
              <w:t>水務署</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35</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15</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13</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3</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68</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41</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25</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7</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78</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w:t>
            </w:r>
          </w:p>
        </w:tc>
        <w:tc>
          <w:tcPr>
            <w:tcW w:w="493"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41</w:t>
            </w:r>
          </w:p>
        </w:tc>
        <w:tc>
          <w:tcPr>
            <w:tcW w:w="490"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16</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4</w:t>
            </w:r>
          </w:p>
        </w:tc>
        <w:tc>
          <w:tcPr>
            <w:tcW w:w="491"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0</w:t>
            </w:r>
          </w:p>
        </w:tc>
        <w:tc>
          <w:tcPr>
            <w:tcW w:w="492" w:type="dxa"/>
            <w:tcBorders>
              <w:top w:val="single" w:sz="4" w:space="0" w:color="000000"/>
              <w:left w:val="single" w:sz="4" w:space="0" w:color="000000"/>
              <w:bottom w:val="single" w:sz="4" w:space="0" w:color="000000"/>
              <w:right w:val="single" w:sz="4" w:space="0" w:color="000000"/>
            </w:tcBorders>
          </w:tcPr>
          <w:p>
            <w:pPr>
              <w:pStyle w:val="Style13"/>
              <w:tabs>
                <w:tab w:val="left" w:pos="480" w:leader="none"/>
                <w:tab w:val="left" w:pos="567" w:leader="none"/>
              </w:tabs>
              <w:spacing w:lineRule="exact" w:line="332"/>
              <w:ind w:left="0" w:hanging="0"/>
              <w:jc w:val="right"/>
              <w:rPr>
                <w:i w:val="false"/>
                <w:i w:val="false"/>
                <w:sz w:val="26"/>
              </w:rPr>
            </w:pPr>
            <w:r>
              <w:rPr>
                <w:i w:val="false"/>
                <w:sz w:val="26"/>
              </w:rPr>
              <w:t>67</w:t>
            </w:r>
          </w:p>
        </w:tc>
      </w:tr>
    </w:tbl>
    <w:p>
      <w:pPr>
        <w:pStyle w:val="Style13"/>
        <w:spacing w:lineRule="auto" w:line="240"/>
        <w:ind w:left="0" w:hanging="0"/>
        <w:jc w:val="left"/>
        <w:rPr>
          <w:rFonts w:cs="Times New Roman"/>
          <w:i w:val="false"/>
          <w:i w:val="false"/>
          <w:sz w:val="20"/>
          <w:szCs w:val="20"/>
        </w:rPr>
      </w:pPr>
      <w:r>
        <w:rPr>
          <w:rFonts w:cs="Times New Roman"/>
          <w:i w:val="false"/>
          <w:sz w:val="20"/>
          <w:szCs w:val="20"/>
        </w:rPr>
      </w:r>
    </w:p>
    <w:p>
      <w:pPr>
        <w:pStyle w:val="Style13"/>
        <w:spacing w:lineRule="auto" w:line="240"/>
        <w:ind w:left="0" w:hanging="0"/>
        <w:jc w:val="left"/>
        <w:rPr>
          <w:i w:val="false"/>
          <w:i w:val="false"/>
          <w:sz w:val="20"/>
          <w:szCs w:val="20"/>
        </w:rPr>
      </w:pPr>
      <w:r>
        <w:rPr>
          <w:i w:val="false"/>
          <w:sz w:val="20"/>
          <w:szCs w:val="20"/>
        </w:rPr>
        <w:t>註：</w:t>
      </w:r>
    </w:p>
    <w:p>
      <w:pPr>
        <w:pStyle w:val="Style13"/>
        <w:spacing w:lineRule="auto" w:line="240"/>
        <w:ind w:left="0" w:hanging="0"/>
        <w:jc w:val="left"/>
        <w:rPr>
          <w:i w:val="false"/>
          <w:i w:val="false"/>
          <w:sz w:val="20"/>
          <w:szCs w:val="20"/>
        </w:rPr>
      </w:pPr>
      <w:r>
        <w:rPr>
          <w:i w:val="false"/>
          <w:sz w:val="20"/>
          <w:szCs w:val="20"/>
        </w:rPr>
      </w:r>
    </w:p>
    <w:p>
      <w:pPr>
        <w:pStyle w:val="Style13"/>
        <w:spacing w:lineRule="auto" w:line="240"/>
        <w:ind w:left="0" w:hanging="0"/>
        <w:jc w:val="left"/>
        <w:rPr>
          <w:i w:val="false"/>
          <w:i w:val="false"/>
          <w:sz w:val="20"/>
          <w:szCs w:val="20"/>
        </w:rPr>
      </w:pPr>
      <w:r>
        <w:rPr>
          <w:i w:val="false"/>
          <w:sz w:val="20"/>
          <w:szCs w:val="20"/>
        </w:rPr>
        <w:t>#</w:t>
        <w:tab/>
      </w:r>
      <w:r>
        <w:rPr>
          <w:i w:val="false"/>
          <w:sz w:val="20"/>
          <w:szCs w:val="20"/>
        </w:rPr>
        <w:t>土木工程拓展署提供的數字未包括工程及建造服務合約的數字。</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eastAsia="華康中黑體" w:cs="Times New Roman"/>
          <w:b/>
          <w:b/>
        </w:rPr>
      </w:pPr>
      <w:bookmarkStart w:id="38" w:name="wrq13"/>
      <w:r>
        <w:rPr>
          <w:rFonts w:cs="Times New Roman" w:eastAsia="華康中黑體"/>
          <w:b/>
        </w:rPr>
        <w:t>規管財務公司及按揭中介公司的樓宇按揭業務</w:t>
      </w:r>
    </w:p>
    <w:p>
      <w:pPr>
        <w:pStyle w:val="Normal"/>
        <w:spacing w:lineRule="atLeast" w:line="380"/>
        <w:rPr>
          <w:b/>
          <w:b/>
        </w:rPr>
      </w:pPr>
      <w:bookmarkStart w:id="39" w:name="wrq13"/>
      <w:r>
        <w:rPr>
          <w:b/>
        </w:rPr>
        <w:t>Regulation of Mortgage Loan Business of Finance Companies and Mortgage Intermediaries</w:t>
      </w:r>
      <w:bookmarkEnd w:id="39"/>
    </w:p>
    <w:p>
      <w:pPr>
        <w:pStyle w:val="F21"/>
        <w:spacing w:lineRule="atLeast" w:line="380"/>
        <w:rPr>
          <w:rFonts w:cs="Times New Roman"/>
        </w:rPr>
      </w:pPr>
      <w:r>
        <w:rPr>
          <w:rFonts w:cs="Times New Roman"/>
        </w:rPr>
      </w:r>
    </w:p>
    <w:p>
      <w:pPr>
        <w:pStyle w:val="F21"/>
        <w:spacing w:lineRule="atLeast" w:line="380"/>
        <w:rPr>
          <w:i/>
          <w:i/>
          <w:szCs w:val="27"/>
        </w:rPr>
      </w:pPr>
      <w:r>
        <w:rPr>
          <w:rFonts w:eastAsia="華康中黑體"/>
          <w:b/>
          <w:szCs w:val="27"/>
        </w:rPr>
        <w:t>13.</w:t>
        <w:tab/>
      </w:r>
      <w:r>
        <w:rPr>
          <w:rFonts w:eastAsia="華康中黑體"/>
          <w:b/>
          <w:szCs w:val="27"/>
        </w:rPr>
        <w:t>謝偉俊議員</w:t>
      </w:r>
      <w:r>
        <w:rPr>
          <w:szCs w:val="27"/>
        </w:rPr>
        <w:t>：</w:t>
      </w:r>
      <w:r>
        <w:rPr>
          <w:i/>
          <w:szCs w:val="27"/>
        </w:rPr>
        <w:t>主席，據報，本港財務公司由</w:t>
      </w:r>
      <w:r>
        <w:rPr>
          <w:i/>
          <w:szCs w:val="27"/>
        </w:rPr>
        <w:t>2009</w:t>
      </w:r>
      <w:r>
        <w:rPr>
          <w:i/>
          <w:szCs w:val="27"/>
        </w:rPr>
        <w:t>年約</w:t>
      </w:r>
      <w:r>
        <w:rPr>
          <w:i/>
          <w:szCs w:val="27"/>
        </w:rPr>
        <w:t>300</w:t>
      </w:r>
      <w:r>
        <w:rPr>
          <w:i/>
          <w:szCs w:val="27"/>
        </w:rPr>
        <w:t>間激增至今年約</w:t>
      </w:r>
      <w:r>
        <w:rPr>
          <w:i/>
          <w:szCs w:val="27"/>
        </w:rPr>
        <w:t>1 200</w:t>
      </w:r>
      <w:r>
        <w:rPr>
          <w:i/>
          <w:szCs w:val="27"/>
        </w:rPr>
        <w:t>間，而該等財務公司大量承造樓宇按揭業務。有評論指出，在現行制度下，承造物業第一按揭的銀行，未必知道有關業主以相同物業向財務公司借取第二、三、四按揭貸款。鑒於財務公司收取的按揭利息高</w:t>
      </w:r>
      <w:r>
        <w:rPr>
          <w:i/>
          <w:szCs w:val="27"/>
        </w:rPr>
        <w:t>(</w:t>
      </w:r>
      <w:r>
        <w:rPr>
          <w:i/>
          <w:szCs w:val="27"/>
        </w:rPr>
        <w:t>據報高達</w:t>
      </w:r>
      <w:r>
        <w:rPr>
          <w:i/>
          <w:szCs w:val="27"/>
        </w:rPr>
        <w:t>30</w:t>
      </w:r>
      <w:r>
        <w:rPr>
          <w:i/>
          <w:szCs w:val="27"/>
        </w:rPr>
        <w:t>至</w:t>
      </w:r>
      <w:r>
        <w:rPr>
          <w:i/>
          <w:szCs w:val="27"/>
        </w:rPr>
        <w:t>40</w:t>
      </w:r>
      <w:r>
        <w:rPr>
          <w:i/>
          <w:szCs w:val="27"/>
        </w:rPr>
        <w:t>多厘</w:t>
      </w:r>
      <w:r>
        <w:rPr>
          <w:i/>
          <w:szCs w:val="27"/>
        </w:rPr>
        <w:t>)</w:t>
      </w:r>
      <w:r>
        <w:rPr>
          <w:i/>
          <w:szCs w:val="27"/>
        </w:rPr>
        <w:t>，借債人沒有能力償還按揭貸款的風險甚高。另外，有報道指出，許多銀行及財務公司夥拍按揭中介公司</w:t>
      </w:r>
      <w:r>
        <w:rPr>
          <w:i/>
          <w:szCs w:val="27"/>
        </w:rPr>
        <w:t>(“</w:t>
      </w:r>
      <w:r>
        <w:rPr>
          <w:i/>
          <w:szCs w:val="27"/>
        </w:rPr>
        <w:t>按揭中介”</w:t>
      </w:r>
      <w:r>
        <w:rPr>
          <w:i/>
          <w:szCs w:val="27"/>
        </w:rPr>
        <w:t>)</w:t>
      </w:r>
      <w:r>
        <w:rPr>
          <w:i/>
          <w:szCs w:val="27"/>
        </w:rPr>
        <w:t>爭奪按揭業務。然而，按揭中介不受香港金融管理局</w:t>
      </w:r>
      <w:r>
        <w:rPr>
          <w:i/>
          <w:szCs w:val="27"/>
        </w:rPr>
        <w:t>(“</w:t>
      </w:r>
      <w:r>
        <w:rPr>
          <w:i/>
          <w:szCs w:val="27"/>
        </w:rPr>
        <w:t>金管局”</w:t>
      </w:r>
      <w:r>
        <w:rPr>
          <w:i/>
          <w:szCs w:val="27"/>
        </w:rPr>
        <w:t>)</w:t>
      </w:r>
      <w:r>
        <w:rPr>
          <w:i/>
          <w:szCs w:val="27"/>
        </w:rPr>
        <w:t>及地產代理監管局監管，誘使市民借款手法經常出現問題。該報道指出，某地產代理公司旗下按揭中介聲稱獲</w:t>
      </w:r>
      <w:r>
        <w:rPr>
          <w:i/>
          <w:szCs w:val="27"/>
        </w:rPr>
        <w:t>18</w:t>
      </w:r>
      <w:r>
        <w:rPr>
          <w:i/>
          <w:szCs w:val="27"/>
        </w:rPr>
        <w:t>間銀行支援，並可配合借貸人需要安排以私人公司名義向銀行申請中小企貸款，按揭總成數可高達物業價格十成。就此，政府可否告知本會：</w:t>
      </w:r>
    </w:p>
    <w:p>
      <w:pPr>
        <w:pStyle w:val="F21"/>
        <w:spacing w:lineRule="atLeast" w:line="380"/>
        <w:rPr>
          <w:i/>
          <w:i/>
          <w:szCs w:val="27"/>
        </w:rPr>
      </w:pPr>
      <w:r>
        <w:rPr>
          <w:i/>
          <w:szCs w:val="27"/>
        </w:rPr>
      </w:r>
    </w:p>
    <w:p>
      <w:pPr>
        <w:pStyle w:val="Style13"/>
        <w:spacing w:lineRule="atLeast" w:line="380"/>
        <w:rPr>
          <w:szCs w:val="27"/>
        </w:rPr>
      </w:pPr>
      <w:r>
        <w:rPr>
          <w:szCs w:val="27"/>
        </w:rPr>
        <w:t>(</w:t>
      </w:r>
      <w:r>
        <w:rPr>
          <w:szCs w:val="27"/>
        </w:rPr>
        <w:t>一</w:t>
      </w:r>
      <w:r>
        <w:rPr>
          <w:szCs w:val="27"/>
        </w:rPr>
        <w:t>)</w:t>
        <w:tab/>
      </w:r>
      <w:r>
        <w:rPr>
          <w:szCs w:val="27"/>
        </w:rPr>
        <w:t>有否統計現時財務公司承造的樓宇按揭貸款的宗數和所涉貸款總額，以及當中分別涉及第二、三和四按揭的宗數和所涉貸款總額；</w:t>
      </w:r>
    </w:p>
    <w:p>
      <w:pPr>
        <w:pStyle w:val="Style13"/>
        <w:spacing w:lineRule="atLeast" w:line="380"/>
        <w:rPr>
          <w:szCs w:val="27"/>
        </w:rPr>
      </w:pPr>
      <w:r>
        <w:rPr>
          <w:szCs w:val="27"/>
        </w:rPr>
      </w:r>
    </w:p>
    <w:p>
      <w:pPr>
        <w:pStyle w:val="Style13"/>
        <w:spacing w:lineRule="atLeast" w:line="380"/>
        <w:rPr>
          <w:szCs w:val="27"/>
        </w:rPr>
      </w:pPr>
      <w:r>
        <w:rPr>
          <w:szCs w:val="27"/>
        </w:rPr>
        <w:t>(</w:t>
      </w:r>
      <w:r>
        <w:rPr>
          <w:szCs w:val="27"/>
        </w:rPr>
        <w:t>二</w:t>
      </w:r>
      <w:r>
        <w:rPr>
          <w:szCs w:val="27"/>
        </w:rPr>
        <w:t>)</w:t>
        <w:tab/>
      </w:r>
      <w:r>
        <w:rPr>
          <w:szCs w:val="27"/>
        </w:rPr>
        <w:t>當局有何措施規管</w:t>
      </w:r>
      <w:r>
        <w:rPr>
          <w:szCs w:val="27"/>
        </w:rPr>
        <w:t>(i)</w:t>
      </w:r>
      <w:r>
        <w:rPr>
          <w:szCs w:val="27"/>
        </w:rPr>
        <w:t>上述銀行和財務公司就同一物業承造的多重按揭，以及</w:t>
      </w:r>
      <w:r>
        <w:rPr>
          <w:szCs w:val="27"/>
        </w:rPr>
        <w:t>(ii)</w:t>
      </w:r>
      <w:r>
        <w:rPr>
          <w:szCs w:val="27"/>
        </w:rPr>
        <w:t>財務公司收取的按揭貸款利息水平；</w:t>
      </w:r>
    </w:p>
    <w:p>
      <w:pPr>
        <w:pStyle w:val="Style13"/>
        <w:spacing w:lineRule="atLeast" w:line="380"/>
        <w:rPr>
          <w:szCs w:val="27"/>
        </w:rPr>
      </w:pPr>
      <w:r>
        <w:rPr>
          <w:szCs w:val="27"/>
        </w:rPr>
      </w:r>
    </w:p>
    <w:p>
      <w:pPr>
        <w:pStyle w:val="Style13"/>
        <w:spacing w:lineRule="atLeast" w:line="380"/>
        <w:rPr>
          <w:szCs w:val="27"/>
        </w:rPr>
      </w:pPr>
      <w:r>
        <w:rPr>
          <w:szCs w:val="27"/>
        </w:rPr>
        <w:t>(</w:t>
      </w:r>
      <w:r>
        <w:rPr>
          <w:szCs w:val="27"/>
        </w:rPr>
        <w:t>三</w:t>
      </w:r>
      <w:r>
        <w:rPr>
          <w:szCs w:val="27"/>
        </w:rPr>
        <w:t>)</w:t>
        <w:tab/>
      </w:r>
      <w:r>
        <w:rPr>
          <w:szCs w:val="27"/>
        </w:rPr>
        <w:t>鑒於據報有財務公司以非物業按揭的名義向銀行取得貸款，然後將資金以高息承造樓宇按揭業務，當局有何措施規管此做法；</w:t>
      </w:r>
    </w:p>
    <w:p>
      <w:pPr>
        <w:pStyle w:val="Style13"/>
        <w:spacing w:lineRule="atLeast" w:line="380"/>
        <w:rPr>
          <w:szCs w:val="27"/>
        </w:rPr>
      </w:pPr>
      <w:r>
        <w:rPr>
          <w:szCs w:val="27"/>
        </w:rPr>
      </w:r>
    </w:p>
    <w:p>
      <w:pPr>
        <w:pStyle w:val="Style13"/>
        <w:spacing w:lineRule="atLeast" w:line="380"/>
        <w:rPr>
          <w:szCs w:val="27"/>
        </w:rPr>
      </w:pPr>
      <w:r>
        <w:rPr>
          <w:szCs w:val="27"/>
        </w:rPr>
        <w:t>(</w:t>
      </w:r>
      <w:r>
        <w:rPr>
          <w:szCs w:val="27"/>
        </w:rPr>
        <w:t>四</w:t>
      </w:r>
      <w:r>
        <w:rPr>
          <w:szCs w:val="27"/>
        </w:rPr>
        <w:t>)</w:t>
        <w:tab/>
      </w:r>
      <w:r>
        <w:rPr>
          <w:szCs w:val="27"/>
        </w:rPr>
        <w:t>當局有何措施確保財務公司的樓宇按揭業務不會影響本港銀行體系的穩健性；</w:t>
      </w:r>
    </w:p>
    <w:p>
      <w:pPr>
        <w:pStyle w:val="Style13"/>
        <w:spacing w:lineRule="atLeast" w:line="380"/>
        <w:rPr>
          <w:szCs w:val="27"/>
        </w:rPr>
      </w:pPr>
      <w:r>
        <w:rPr>
          <w:szCs w:val="27"/>
        </w:rPr>
      </w:r>
    </w:p>
    <w:p>
      <w:pPr>
        <w:pStyle w:val="Style13"/>
        <w:spacing w:lineRule="atLeast" w:line="380"/>
        <w:rPr>
          <w:szCs w:val="27"/>
        </w:rPr>
      </w:pPr>
      <w:r>
        <w:rPr>
          <w:szCs w:val="27"/>
        </w:rPr>
        <w:t>(</w:t>
      </w:r>
      <w:r>
        <w:rPr>
          <w:szCs w:val="27"/>
        </w:rPr>
        <w:t>五</w:t>
      </w:r>
      <w:r>
        <w:rPr>
          <w:szCs w:val="27"/>
        </w:rPr>
        <w:t>)</w:t>
        <w:tab/>
      </w:r>
      <w:r>
        <w:rPr>
          <w:szCs w:val="27"/>
        </w:rPr>
        <w:t>有否研究按揭中介以上述手法協助借貸人取得高達十成按揭，會否削弱金管局就防止金融體系承受過高按揭業務風險所採取的措施的效用；如有研究，結果為何；如否，會否盡快進行研究；</w:t>
      </w:r>
    </w:p>
    <w:p>
      <w:pPr>
        <w:pStyle w:val="Style13"/>
        <w:spacing w:lineRule="atLeast" w:line="380"/>
        <w:rPr>
          <w:szCs w:val="27"/>
        </w:rPr>
      </w:pPr>
      <w:r>
        <w:rPr>
          <w:szCs w:val="27"/>
        </w:rPr>
      </w:r>
    </w:p>
    <w:p>
      <w:pPr>
        <w:pStyle w:val="Style13"/>
        <w:spacing w:lineRule="atLeast" w:line="380"/>
        <w:rPr>
          <w:szCs w:val="27"/>
        </w:rPr>
      </w:pPr>
      <w:r>
        <w:rPr>
          <w:szCs w:val="27"/>
        </w:rPr>
        <w:t>(</w:t>
      </w:r>
      <w:r>
        <w:rPr>
          <w:szCs w:val="27"/>
        </w:rPr>
        <w:t>六</w:t>
      </w:r>
      <w:r>
        <w:rPr>
          <w:szCs w:val="27"/>
        </w:rPr>
        <w:t>)</w:t>
        <w:tab/>
      </w:r>
      <w:r>
        <w:rPr>
          <w:szCs w:val="27"/>
        </w:rPr>
        <w:t>有否研究按揭中介的上述宣傳及經營手法有否干犯法例；如有研究，結果為何；</w:t>
      </w:r>
    </w:p>
    <w:p>
      <w:pPr>
        <w:pStyle w:val="Style13"/>
        <w:spacing w:lineRule="atLeast" w:line="380"/>
        <w:rPr>
          <w:szCs w:val="27"/>
        </w:rPr>
      </w:pPr>
      <w:r>
        <w:rPr>
          <w:szCs w:val="27"/>
        </w:rPr>
      </w:r>
    </w:p>
    <w:p>
      <w:pPr>
        <w:pStyle w:val="Style13"/>
        <w:spacing w:lineRule="atLeast" w:line="380"/>
        <w:rPr>
          <w:szCs w:val="27"/>
        </w:rPr>
      </w:pPr>
      <w:r>
        <w:rPr>
          <w:szCs w:val="27"/>
        </w:rPr>
        <w:t>(</w:t>
      </w:r>
      <w:r>
        <w:rPr>
          <w:szCs w:val="27"/>
        </w:rPr>
        <w:t>七</w:t>
      </w:r>
      <w:r>
        <w:rPr>
          <w:szCs w:val="27"/>
        </w:rPr>
        <w:t>)</w:t>
        <w:tab/>
      </w:r>
      <w:r>
        <w:rPr>
          <w:szCs w:val="27"/>
        </w:rPr>
        <w:t>有否評估按揭中介促銷手法加上財務公司高息承造多重按揭，會否令熾熱物業市場火上加油；如評估結果如此，當局有何對策；及</w:t>
      </w:r>
    </w:p>
    <w:p>
      <w:pPr>
        <w:pStyle w:val="Style13"/>
        <w:spacing w:lineRule="atLeast" w:line="380"/>
        <w:rPr>
          <w:szCs w:val="27"/>
        </w:rPr>
      </w:pPr>
      <w:r>
        <w:rPr>
          <w:szCs w:val="27"/>
        </w:rPr>
      </w:r>
    </w:p>
    <w:p>
      <w:pPr>
        <w:pStyle w:val="Style13"/>
        <w:spacing w:lineRule="atLeast" w:line="380"/>
        <w:rPr>
          <w:szCs w:val="27"/>
        </w:rPr>
      </w:pPr>
      <w:r>
        <w:rPr>
          <w:szCs w:val="27"/>
        </w:rPr>
        <w:t>(</w:t>
      </w:r>
      <w:r>
        <w:rPr>
          <w:szCs w:val="27"/>
        </w:rPr>
        <w:t>八</w:t>
      </w:r>
      <w:r>
        <w:rPr>
          <w:szCs w:val="27"/>
        </w:rPr>
        <w:t>)</w:t>
        <w:tab/>
      </w:r>
      <w:r>
        <w:rPr>
          <w:szCs w:val="27"/>
        </w:rPr>
        <w:t>當局有何新措施，保障市民免受財務公司及按揭中介誤導，借取超過其還款能力的按揭貸款？</w:t>
      </w:r>
    </w:p>
    <w:p>
      <w:pPr>
        <w:pStyle w:val="Normal"/>
        <w:widowControl/>
        <w:tabs>
          <w:tab w:val="clear" w:pos="720"/>
        </w:tabs>
        <w:spacing w:lineRule="exact" w:line="20"/>
        <w:jc w:val="left"/>
        <w:rPr>
          <w:szCs w:val="27"/>
        </w:rPr>
      </w:pPr>
      <w:r>
        <w:rPr>
          <w:szCs w:val="27"/>
        </w:rPr>
      </w:r>
    </w:p>
    <w:p>
      <w:pPr>
        <w:pStyle w:val="Normal"/>
        <w:widowControl/>
        <w:tabs>
          <w:tab w:val="clear" w:pos="720"/>
        </w:tabs>
        <w:spacing w:lineRule="exact" w:line="20"/>
        <w:jc w:val="left"/>
        <w:rPr>
          <w:rFonts w:cs="華康細明體"/>
          <w:i/>
          <w:i/>
          <w:spacing w:val="20"/>
          <w:sz w:val="27"/>
          <w:szCs w:val="27"/>
          <w:lang w:val="en-US"/>
        </w:rPr>
      </w:pPr>
      <w:r>
        <w:rPr>
          <w:rFonts w:cs="華康細明體"/>
          <w:i/>
          <w:spacing w:val="20"/>
          <w:sz w:val="27"/>
          <w:szCs w:val="27"/>
          <w:lang w:val="en-US"/>
        </w:rPr>
      </w:r>
      <w:r>
        <w:br w:type="page"/>
      </w:r>
    </w:p>
    <w:p>
      <w:pPr>
        <w:pStyle w:val="Style13"/>
        <w:ind w:left="0" w:hanging="0"/>
        <w:rPr>
          <w:i w:val="false"/>
          <w:i w:val="false"/>
          <w:szCs w:val="27"/>
        </w:rPr>
      </w:pPr>
      <w:r>
        <w:rPr>
          <w:rFonts w:eastAsia="華康中黑體"/>
          <w:b/>
          <w:i w:val="false"/>
          <w:szCs w:val="27"/>
        </w:rPr>
        <w:t>財經事務及庫務局局長</w:t>
      </w:r>
      <w:r>
        <w:rPr>
          <w:i w:val="false"/>
          <w:szCs w:val="27"/>
        </w:rPr>
        <w:t>：主席，</w:t>
      </w:r>
    </w:p>
    <w:p>
      <w:pPr>
        <w:pStyle w:val="Style13"/>
        <w:ind w:left="0" w:hanging="0"/>
        <w:rPr>
          <w:i w:val="false"/>
          <w:i w:val="false"/>
          <w:szCs w:val="27"/>
        </w:rPr>
      </w:pPr>
      <w:r>
        <w:rPr>
          <w:i w:val="false"/>
          <w:szCs w:val="27"/>
        </w:rPr>
      </w:r>
    </w:p>
    <w:p>
      <w:pPr>
        <w:pStyle w:val="Style13"/>
        <w:rPr>
          <w:i w:val="false"/>
          <w:i w:val="false"/>
        </w:rPr>
      </w:pPr>
      <w:r>
        <w:rPr>
          <w:i w:val="false"/>
        </w:rPr>
        <w:t>(</w:t>
      </w:r>
      <w:r>
        <w:rPr>
          <w:i w:val="false"/>
        </w:rPr>
        <w:t>一</w:t>
      </w:r>
      <w:r>
        <w:rPr>
          <w:i w:val="false"/>
        </w:rPr>
        <w:t>)</w:t>
        <w:tab/>
      </w:r>
      <w:r>
        <w:rPr>
          <w:i w:val="false"/>
        </w:rPr>
        <w:t>政府沒有統計財務公司承造物業貸款的整體宗數和貸款總額，以及當中涉及二按或多重按揭的宗數和貸款總額。</w:t>
      </w:r>
    </w:p>
    <w:p>
      <w:pPr>
        <w:pStyle w:val="Style13"/>
        <w:rPr>
          <w:i w:val="false"/>
          <w:i w:val="false"/>
        </w:rPr>
      </w:pPr>
      <w:r>
        <w:rPr>
          <w:i w:val="false"/>
        </w:rPr>
      </w:r>
    </w:p>
    <w:p>
      <w:pPr>
        <w:pStyle w:val="Style13"/>
        <w:rPr>
          <w:i w:val="false"/>
          <w:i w:val="false"/>
        </w:rPr>
      </w:pPr>
      <w:r>
        <w:rPr>
          <w:i w:val="false"/>
        </w:rPr>
        <w:tab/>
      </w:r>
      <w:r>
        <w:rPr>
          <w:i w:val="false"/>
        </w:rPr>
        <w:t>然而，根據香港金融管理局</w:t>
      </w:r>
      <w:r>
        <w:rPr>
          <w:i w:val="false"/>
        </w:rPr>
        <w:t>(</w:t>
      </w:r>
      <w:r>
        <w:rPr>
          <w:i w:val="false"/>
          <w:szCs w:val="27"/>
        </w:rPr>
        <w:t>“</w:t>
      </w:r>
      <w:r>
        <w:rPr>
          <w:i w:val="false"/>
        </w:rPr>
        <w:t>金管局</w:t>
      </w:r>
      <w:r>
        <w:rPr>
          <w:i w:val="false"/>
          <w:szCs w:val="27"/>
        </w:rPr>
        <w:t>”</w:t>
      </w:r>
      <w:r>
        <w:rPr>
          <w:i w:val="false"/>
        </w:rPr>
        <w:t>)</w:t>
      </w:r>
      <w:r>
        <w:rPr>
          <w:i w:val="false"/>
        </w:rPr>
        <w:t>收集的資料顯示，於</w:t>
      </w:r>
      <w:r>
        <w:rPr>
          <w:i w:val="false"/>
        </w:rPr>
        <w:t>2014</w:t>
      </w:r>
      <w:r>
        <w:rPr>
          <w:i w:val="false"/>
        </w:rPr>
        <w:t>年</w:t>
      </w:r>
      <w:r>
        <w:rPr>
          <w:i w:val="false"/>
        </w:rPr>
        <w:t>12</w:t>
      </w:r>
      <w:r>
        <w:rPr>
          <w:i w:val="false"/>
        </w:rPr>
        <w:t>月底，從銀行取得資金並有參與物業相關貸款業務的財務公司總數為</w:t>
      </w:r>
      <w:r>
        <w:rPr>
          <w:i w:val="false"/>
        </w:rPr>
        <w:t>29</w:t>
      </w:r>
      <w:r>
        <w:rPr>
          <w:i w:val="false"/>
        </w:rPr>
        <w:t>間，這些財務公司提供的物業相關貸款總額約為</w:t>
      </w:r>
      <w:r>
        <w:rPr>
          <w:i w:val="false"/>
        </w:rPr>
        <w:t>92</w:t>
      </w:r>
      <w:r>
        <w:rPr>
          <w:i w:val="false"/>
        </w:rPr>
        <w:t>億元，跟本港銀行業總體約</w:t>
      </w:r>
      <w:r>
        <w:rPr>
          <w:i w:val="false"/>
        </w:rPr>
        <w:t>9,900</w:t>
      </w:r>
      <w:r>
        <w:rPr>
          <w:i w:val="false"/>
        </w:rPr>
        <w:t>億元未償還住宅按揭貸款總額比較，僅約為</w:t>
      </w:r>
      <w:r>
        <w:rPr>
          <w:i w:val="false"/>
        </w:rPr>
        <w:t>1%</w:t>
      </w:r>
      <w:r>
        <w:rPr>
          <w:i w:val="false"/>
        </w:rPr>
        <w:t>。</w:t>
      </w:r>
    </w:p>
    <w:p>
      <w:pPr>
        <w:pStyle w:val="Style13"/>
        <w:rPr>
          <w:i w:val="false"/>
          <w:i w:val="false"/>
        </w:rPr>
      </w:pPr>
      <w:r>
        <w:rPr>
          <w:i w:val="false"/>
        </w:rPr>
      </w:r>
    </w:p>
    <w:p>
      <w:pPr>
        <w:pStyle w:val="Style13"/>
        <w:rPr>
          <w:i w:val="false"/>
          <w:i w:val="false"/>
        </w:rPr>
      </w:pPr>
      <w:r>
        <w:rPr>
          <w:i w:val="false"/>
        </w:rPr>
        <w:t>(</w:t>
      </w:r>
      <w:r>
        <w:rPr>
          <w:i w:val="false"/>
        </w:rPr>
        <w:t>二</w:t>
      </w:r>
      <w:r>
        <w:rPr>
          <w:i w:val="false"/>
        </w:rPr>
        <w:t>)</w:t>
        <w:tab/>
      </w:r>
      <w:r>
        <w:rPr>
          <w:i w:val="false"/>
        </w:rPr>
        <w:t>金管局要求銀行在計算借款人的供款與入息比率時，必須把借款人的所有負債，包括借款人正在向銀行申請的按揭貸款和用作購置物業的其他按揭融資計算在內。</w:t>
      </w:r>
    </w:p>
    <w:p>
      <w:pPr>
        <w:pStyle w:val="Style13"/>
        <w:rPr>
          <w:i w:val="false"/>
          <w:i w:val="false"/>
        </w:rPr>
      </w:pPr>
      <w:r>
        <w:rPr>
          <w:i w:val="false"/>
        </w:rPr>
      </w:r>
    </w:p>
    <w:p>
      <w:pPr>
        <w:pStyle w:val="Style13"/>
        <w:rPr>
          <w:i w:val="false"/>
          <w:i w:val="false"/>
        </w:rPr>
      </w:pPr>
      <w:r>
        <w:rPr>
          <w:i w:val="false"/>
        </w:rPr>
        <w:tab/>
      </w:r>
      <w:r>
        <w:rPr>
          <w:i w:val="false"/>
        </w:rPr>
        <w:t>金管局亦鼓勵銀行定期抽查物業按揭貸款個案，銀行一旦在定期抽查中發現有未向其通知的二按或多重按揭，金管局預期銀行會與有關借款人跟進。</w:t>
      </w:r>
    </w:p>
    <w:p>
      <w:pPr>
        <w:pStyle w:val="Style13"/>
        <w:rPr>
          <w:i w:val="false"/>
          <w:i w:val="false"/>
        </w:rPr>
      </w:pPr>
      <w:r>
        <w:rPr>
          <w:i w:val="false"/>
        </w:rPr>
      </w:r>
    </w:p>
    <w:p>
      <w:pPr>
        <w:pStyle w:val="Style13"/>
        <w:rPr>
          <w:i w:val="false"/>
          <w:i w:val="false"/>
        </w:rPr>
      </w:pPr>
      <w:r>
        <w:rPr>
          <w:i w:val="false"/>
        </w:rPr>
        <w:tab/>
      </w:r>
      <w:r>
        <w:rPr>
          <w:i w:val="false"/>
        </w:rPr>
        <w:t>銀行在貸款合約條款內亦會要求借款人在承造二按前，必須先取得一按銀行的同意。此外，銀行在發放一按貸款以完成物業買賣交易前，會透過律師了解貸款人有否承造二按或多重按揭。此外，若銀行提供一按貸款，當客戶無力償還債務時，銀行有權收回物業，並把放售物業後所得的款項優先抵償其一按貸款，有剩餘的款項會用作抵償借款人的其他債務。所以，二按貸款甚至多重按揭不會影響銀行作為一按債權人所享有的抵償貸款優先權。</w:t>
      </w:r>
    </w:p>
    <w:p>
      <w:pPr>
        <w:pStyle w:val="Style13"/>
        <w:rPr>
          <w:i w:val="false"/>
          <w:i w:val="false"/>
        </w:rPr>
      </w:pPr>
      <w:r>
        <w:rPr>
          <w:i w:val="false"/>
        </w:rPr>
      </w:r>
    </w:p>
    <w:p>
      <w:pPr>
        <w:pStyle w:val="Style13"/>
        <w:rPr>
          <w:i w:val="false"/>
          <w:i w:val="false"/>
        </w:rPr>
      </w:pPr>
      <w:r>
        <w:rPr>
          <w:i w:val="false"/>
        </w:rPr>
        <w:tab/>
      </w:r>
      <w:r>
        <w:rPr>
          <w:i w:val="false"/>
        </w:rPr>
        <w:t>就貸款利率方面，《放債人條例》</w:t>
      </w:r>
      <w:r>
        <w:rPr>
          <w:i w:val="false"/>
        </w:rPr>
        <w:t>(</w:t>
      </w:r>
      <w:r>
        <w:rPr>
          <w:i w:val="false"/>
        </w:rPr>
        <w:t>第</w:t>
      </w:r>
      <w:r>
        <w:rPr>
          <w:i w:val="false"/>
        </w:rPr>
        <w:t>163</w:t>
      </w:r>
      <w:r>
        <w:rPr>
          <w:i w:val="false"/>
        </w:rPr>
        <w:t>章</w:t>
      </w:r>
      <w:r>
        <w:rPr>
          <w:i w:val="false"/>
        </w:rPr>
        <w:t>)</w:t>
      </w:r>
      <w:r>
        <w:rPr>
          <w:i w:val="false"/>
        </w:rPr>
        <w:t>設有法定要求，禁止任何人</w:t>
      </w:r>
      <w:r>
        <w:rPr>
          <w:i w:val="false"/>
        </w:rPr>
        <w:t>(</w:t>
      </w:r>
      <w:r>
        <w:rPr>
          <w:i w:val="false"/>
        </w:rPr>
        <w:t>認可機構除外</w:t>
      </w:r>
      <w:r>
        <w:rPr>
          <w:i w:val="false"/>
        </w:rPr>
        <w:t>)</w:t>
      </w:r>
      <w:r>
        <w:rPr>
          <w:i w:val="false"/>
        </w:rPr>
        <w:t>以超過年息</w:t>
      </w:r>
      <w:r>
        <w:rPr>
          <w:i w:val="false"/>
        </w:rPr>
        <w:t>60%</w:t>
      </w:r>
      <w:r>
        <w:rPr>
          <w:i w:val="false"/>
        </w:rPr>
        <w:t>的實際利率向個人作出或要約作出貸款</w:t>
      </w:r>
      <w:r>
        <w:rPr>
          <w:i w:val="false"/>
        </w:rPr>
        <w:t>(</w:t>
      </w:r>
      <w:r>
        <w:rPr>
          <w:i w:val="false"/>
        </w:rPr>
        <w:t>包括按揭貸款</w:t>
      </w:r>
      <w:r>
        <w:rPr>
          <w:i w:val="false"/>
        </w:rPr>
        <w:t>)</w:t>
      </w:r>
      <w:r>
        <w:rPr>
          <w:i w:val="false"/>
        </w:rPr>
        <w:t>。</w:t>
      </w:r>
    </w:p>
    <w:p>
      <w:pPr>
        <w:pStyle w:val="Style13"/>
        <w:rPr>
          <w:i w:val="false"/>
          <w:i w:val="false"/>
        </w:rPr>
      </w:pPr>
      <w:r>
        <w:rPr>
          <w:i w:val="false"/>
        </w:rPr>
      </w:r>
    </w:p>
    <w:p>
      <w:pPr>
        <w:pStyle w:val="Style13"/>
        <w:rPr>
          <w:i w:val="false"/>
          <w:i w:val="false"/>
        </w:rPr>
      </w:pPr>
      <w:r>
        <w:rPr>
          <w:i w:val="false"/>
        </w:rPr>
        <w:t>(</w:t>
      </w:r>
      <w:r>
        <w:rPr>
          <w:i w:val="false"/>
        </w:rPr>
        <w:t>三</w:t>
      </w:r>
      <w:r>
        <w:rPr>
          <w:i w:val="false"/>
        </w:rPr>
        <w:t>)</w:t>
      </w:r>
      <w:r>
        <w:rPr>
          <w:i w:val="false"/>
        </w:rPr>
        <w:t>及</w:t>
      </w:r>
      <w:r>
        <w:rPr>
          <w:i w:val="false"/>
        </w:rPr>
        <w:t>(</w:t>
      </w:r>
      <w:r>
        <w:rPr>
          <w:i w:val="false"/>
        </w:rPr>
        <w:t>四</w:t>
      </w:r>
      <w:r>
        <w:rPr>
          <w:i w:val="false"/>
        </w:rPr>
        <w:t>)</w:t>
      </w:r>
    </w:p>
    <w:p>
      <w:pPr>
        <w:pStyle w:val="Style13"/>
        <w:rPr>
          <w:i w:val="false"/>
          <w:i w:val="false"/>
        </w:rPr>
      </w:pPr>
      <w:r>
        <w:rPr>
          <w:i w:val="false"/>
        </w:rPr>
      </w:r>
    </w:p>
    <w:p>
      <w:pPr>
        <w:pStyle w:val="Style13"/>
        <w:rPr>
          <w:i w:val="false"/>
          <w:i w:val="false"/>
        </w:rPr>
      </w:pPr>
      <w:r>
        <w:rPr>
          <w:i w:val="false"/>
        </w:rPr>
        <w:tab/>
      </w:r>
      <w:r>
        <w:rPr>
          <w:i w:val="false"/>
        </w:rPr>
        <w:t>根據金管局收集得到的資料顯示，於</w:t>
      </w:r>
      <w:r>
        <w:rPr>
          <w:i w:val="false"/>
        </w:rPr>
        <w:t>2014</w:t>
      </w:r>
      <w:r>
        <w:rPr>
          <w:i w:val="false"/>
        </w:rPr>
        <w:t>年</w:t>
      </w:r>
      <w:r>
        <w:rPr>
          <w:i w:val="false"/>
        </w:rPr>
        <w:t>12</w:t>
      </w:r>
      <w:r>
        <w:rPr>
          <w:i w:val="false"/>
        </w:rPr>
        <w:t>月底，香港銀行向有參與貸款業務的財務公司提供融資的總額只有</w:t>
      </w:r>
      <w:r>
        <w:rPr>
          <w:i w:val="false"/>
        </w:rPr>
        <w:t>270</w:t>
      </w:r>
      <w:r>
        <w:rPr>
          <w:i w:val="false"/>
        </w:rPr>
        <w:t>億元，佔銀行體系的總貸款額不足</w:t>
      </w:r>
      <w:r>
        <w:rPr>
          <w:i w:val="false"/>
        </w:rPr>
        <w:t>0.4%</w:t>
      </w:r>
      <w:r>
        <w:rPr>
          <w:i w:val="false"/>
        </w:rPr>
        <w:t>。此外，從銀行取得資金，並有參與物業相關貸款業務的財務公司所涉及的物業相關貸款總額，跟本港銀行業總體未償還住宅按揭貸款總額比較，僅約為</w:t>
      </w:r>
      <w:r>
        <w:rPr>
          <w:i w:val="false"/>
        </w:rPr>
        <w:t>1%</w:t>
      </w:r>
      <w:r>
        <w:rPr>
          <w:i w:val="false"/>
        </w:rPr>
        <w:t>。因此，財務公司的物業相關貸款情況對銀行體系穩定性的影響有限。</w:t>
      </w:r>
    </w:p>
    <w:p>
      <w:pPr>
        <w:pStyle w:val="Style13"/>
        <w:spacing w:lineRule="atLeast" w:line="350"/>
        <w:rPr>
          <w:i w:val="false"/>
          <w:i w:val="false"/>
        </w:rPr>
      </w:pPr>
      <w:r>
        <w:rPr>
          <w:i w:val="false"/>
        </w:rPr>
      </w:r>
    </w:p>
    <w:p>
      <w:pPr>
        <w:pStyle w:val="Style13"/>
        <w:spacing w:lineRule="atLeast" w:line="350"/>
        <w:rPr>
          <w:i w:val="false"/>
          <w:i w:val="false"/>
        </w:rPr>
      </w:pPr>
      <w:r>
        <w:rPr>
          <w:i w:val="false"/>
        </w:rPr>
        <w:tab/>
      </w:r>
      <w:r>
        <w:rPr>
          <w:i w:val="false"/>
        </w:rPr>
        <w:t>儘管如此，為避免逆周期宏觀審慎監管措施的成效被削弱，金管局一直有要求有向財務公司提供信貸的銀行注意這些財務公司在提供物業按揭貸款時，須遵守金管局就物業按揭貸款所制訂的指引，否則銀行應逐漸退出與這些財務公司的信貸業務關係。</w:t>
      </w:r>
    </w:p>
    <w:p>
      <w:pPr>
        <w:pStyle w:val="Style13"/>
        <w:spacing w:lineRule="atLeast" w:line="350"/>
        <w:rPr>
          <w:i w:val="false"/>
          <w:i w:val="false"/>
        </w:rPr>
      </w:pPr>
      <w:r>
        <w:rPr>
          <w:i w:val="false"/>
        </w:rPr>
      </w:r>
    </w:p>
    <w:p>
      <w:pPr>
        <w:pStyle w:val="Style13"/>
        <w:spacing w:lineRule="atLeast" w:line="350"/>
        <w:rPr>
          <w:i w:val="false"/>
          <w:i w:val="false"/>
        </w:rPr>
      </w:pPr>
      <w:r>
        <w:rPr>
          <w:i w:val="false"/>
        </w:rPr>
        <w:tab/>
      </w:r>
      <w:r>
        <w:rPr>
          <w:i w:val="false"/>
        </w:rPr>
        <w:t>金管局於今年</w:t>
      </w:r>
      <w:r>
        <w:rPr>
          <w:i w:val="false"/>
        </w:rPr>
        <w:t>3</w:t>
      </w:r>
      <w:r>
        <w:rPr>
          <w:i w:val="false"/>
        </w:rPr>
        <w:t>月</w:t>
      </w:r>
      <w:r>
        <w:rPr>
          <w:i w:val="false"/>
        </w:rPr>
        <w:t>2</w:t>
      </w:r>
      <w:r>
        <w:rPr>
          <w:i w:val="false"/>
        </w:rPr>
        <w:t>日向銀行發出的通告，重申銀行應要求有建立信貸業務關係的財務公司確認不會提供任何形式的物業貸款予借款人以用作購置物業。至於選擇繼續涉及物業按揭貸款業務的財務公司，則須向相關銀行確認本身願意並有能力嚴格遵守金管局的審慎監管規定。金管局正在向銀行收集資料以作分析。</w:t>
      </w:r>
    </w:p>
    <w:p>
      <w:pPr>
        <w:pStyle w:val="Style13"/>
        <w:spacing w:lineRule="atLeast" w:line="350"/>
        <w:rPr>
          <w:i w:val="false"/>
          <w:i w:val="false"/>
        </w:rPr>
      </w:pPr>
      <w:r>
        <w:rPr>
          <w:i w:val="false"/>
        </w:rPr>
      </w:r>
    </w:p>
    <w:p>
      <w:pPr>
        <w:pStyle w:val="Style13"/>
        <w:spacing w:lineRule="atLeast" w:line="350"/>
        <w:rPr>
          <w:i w:val="false"/>
          <w:i w:val="false"/>
        </w:rPr>
      </w:pPr>
      <w:r>
        <w:rPr>
          <w:i w:val="false"/>
        </w:rPr>
        <w:tab/>
      </w:r>
      <w:r>
        <w:rPr>
          <w:i w:val="false"/>
        </w:rPr>
        <w:t>有一點須強調的是，金管局要求財務公司為其客戶提供按揭融資時遵守金管局就物業按揭貸款所制訂的指引，是針對財務公司提供借款人用作購置物業的一按及二按貸款，而非針對財務公司接受借款人本身持有的物業作為抵押品所提供的短期貸款業務。</w:t>
      </w:r>
    </w:p>
    <w:p>
      <w:pPr>
        <w:pStyle w:val="Style13"/>
        <w:spacing w:lineRule="atLeast" w:line="350"/>
        <w:rPr>
          <w:i w:val="false"/>
          <w:i w:val="false"/>
        </w:rPr>
      </w:pPr>
      <w:r>
        <w:rPr>
          <w:i w:val="false"/>
        </w:rPr>
      </w:r>
    </w:p>
    <w:p>
      <w:pPr>
        <w:pStyle w:val="Style13"/>
        <w:spacing w:lineRule="atLeast" w:line="350"/>
        <w:rPr>
          <w:i w:val="false"/>
          <w:i w:val="false"/>
        </w:rPr>
      </w:pPr>
      <w:r>
        <w:rPr>
          <w:i w:val="false"/>
        </w:rPr>
        <w:t>(</w:t>
      </w:r>
      <w:r>
        <w:rPr>
          <w:i w:val="false"/>
        </w:rPr>
        <w:t>五</w:t>
      </w:r>
      <w:r>
        <w:rPr>
          <w:i w:val="false"/>
        </w:rPr>
        <w:t>)</w:t>
        <w:tab/>
      </w:r>
      <w:r>
        <w:rPr>
          <w:i w:val="false"/>
        </w:rPr>
        <w:t>有關做法與金管局的逆周期措施有抵觸。銀行一向理解金管局採取以風險管理原則為本的監管模式，如任何信貸產品有違金管局就按揭貸款業務的具體或原則性要求的地方，金管局預期銀行不會提供有關產品。事實上，香港銀行公會亦表明有關做法有誤導之嫌，強調銀行不會向置業人士提供超過金管局要求的最高按揭成數。</w:t>
      </w:r>
    </w:p>
    <w:p>
      <w:pPr>
        <w:pStyle w:val="Style13"/>
        <w:spacing w:lineRule="atLeast" w:line="350"/>
        <w:rPr>
          <w:i w:val="false"/>
          <w:i w:val="false"/>
        </w:rPr>
      </w:pPr>
      <w:r>
        <w:rPr>
          <w:i w:val="false"/>
        </w:rPr>
      </w:r>
    </w:p>
    <w:p>
      <w:pPr>
        <w:pStyle w:val="Style13"/>
        <w:spacing w:lineRule="atLeast" w:line="350"/>
        <w:rPr>
          <w:i w:val="false"/>
          <w:i w:val="false"/>
        </w:rPr>
      </w:pPr>
      <w:r>
        <w:rPr>
          <w:i w:val="false"/>
        </w:rPr>
        <w:t>(</w:t>
      </w:r>
      <w:r>
        <w:rPr>
          <w:i w:val="false"/>
        </w:rPr>
        <w:t>六</w:t>
      </w:r>
      <w:r>
        <w:rPr>
          <w:i w:val="false"/>
        </w:rPr>
        <w:t>)</w:t>
        <w:tab/>
      </w:r>
      <w:r>
        <w:rPr>
          <w:i w:val="false"/>
        </w:rPr>
        <w:t>正如第</w:t>
      </w:r>
      <w:r>
        <w:rPr>
          <w:i w:val="false"/>
        </w:rPr>
        <w:t>(</w:t>
      </w:r>
      <w:r>
        <w:rPr>
          <w:i w:val="false"/>
        </w:rPr>
        <w:t>五</w:t>
      </w:r>
      <w:r>
        <w:rPr>
          <w:i w:val="false"/>
        </w:rPr>
        <w:t>)</w:t>
      </w:r>
      <w:r>
        <w:rPr>
          <w:i w:val="false"/>
        </w:rPr>
        <w:t>部分作出的答覆，有關做法有誤導之嫌。一般而言，如其他一般商戶一樣，在《商品說明條例》</w:t>
      </w:r>
      <w:r>
        <w:rPr>
          <w:i w:val="false"/>
        </w:rPr>
        <w:t>(</w:t>
      </w:r>
      <w:r>
        <w:rPr>
          <w:i w:val="false"/>
          <w:szCs w:val="27"/>
        </w:rPr>
        <w:t>“</w:t>
      </w:r>
      <w:r>
        <w:rPr>
          <w:i w:val="false"/>
        </w:rPr>
        <w:t>《條例》</w:t>
      </w:r>
      <w:r>
        <w:rPr>
          <w:i w:val="false"/>
          <w:szCs w:val="27"/>
        </w:rPr>
        <w:t>”</w:t>
      </w:r>
      <w:r>
        <w:rPr>
          <w:i w:val="false"/>
          <w:szCs w:val="27"/>
        </w:rPr>
        <w:t>)</w:t>
      </w:r>
      <w:r>
        <w:rPr>
          <w:i w:val="false"/>
        </w:rPr>
        <w:t>(</w:t>
      </w:r>
      <w:r>
        <w:rPr>
          <w:i w:val="false"/>
        </w:rPr>
        <w:t>第</w:t>
      </w:r>
      <w:r>
        <w:rPr>
          <w:i w:val="false"/>
        </w:rPr>
        <w:t>362</w:t>
      </w:r>
      <w:r>
        <w:rPr>
          <w:i w:val="false"/>
        </w:rPr>
        <w:t>章</w:t>
      </w:r>
      <w:r>
        <w:rPr>
          <w:i w:val="false"/>
        </w:rPr>
        <w:t>)</w:t>
      </w:r>
      <w:r>
        <w:rPr>
          <w:i w:val="false"/>
        </w:rPr>
        <w:t>適用範圍內的財務中介機構，不得作出《條例》禁止的營業行為，如</w:t>
      </w:r>
      <w:r>
        <w:rPr>
          <w:i w:val="false"/>
          <w:szCs w:val="27"/>
        </w:rPr>
        <w:t>“</w:t>
      </w:r>
      <w:r>
        <w:rPr>
          <w:i w:val="false"/>
        </w:rPr>
        <w:t>虛假商品說明</w:t>
      </w:r>
      <w:r>
        <w:rPr>
          <w:i w:val="false"/>
          <w:szCs w:val="27"/>
        </w:rPr>
        <w:t>”</w:t>
      </w:r>
      <w:r>
        <w:rPr>
          <w:i w:val="false"/>
        </w:rPr>
        <w:t>或</w:t>
      </w:r>
      <w:r>
        <w:rPr>
          <w:i w:val="false"/>
          <w:szCs w:val="27"/>
        </w:rPr>
        <w:t>“</w:t>
      </w:r>
      <w:r>
        <w:rPr>
          <w:i w:val="false"/>
        </w:rPr>
        <w:t>誤導性遺漏</w:t>
      </w:r>
      <w:r>
        <w:rPr>
          <w:i w:val="false"/>
          <w:szCs w:val="27"/>
        </w:rPr>
        <w:t>”</w:t>
      </w:r>
      <w:r>
        <w:rPr>
          <w:i w:val="false"/>
        </w:rPr>
        <w:t>等。若有關的做法涉及詐騙，相關的執法部門會作出調查。</w:t>
      </w:r>
    </w:p>
    <w:p>
      <w:pPr>
        <w:pStyle w:val="Style13"/>
        <w:spacing w:lineRule="atLeast" w:line="350"/>
        <w:rPr>
          <w:i w:val="false"/>
          <w:i w:val="false"/>
        </w:rPr>
      </w:pPr>
      <w:r>
        <w:rPr>
          <w:i w:val="false"/>
        </w:rPr>
      </w:r>
    </w:p>
    <w:p>
      <w:pPr>
        <w:pStyle w:val="Style13"/>
        <w:spacing w:lineRule="atLeast" w:line="350"/>
        <w:rPr>
          <w:i w:val="false"/>
          <w:i w:val="false"/>
        </w:rPr>
      </w:pPr>
      <w:r>
        <w:rPr>
          <w:i w:val="false"/>
        </w:rPr>
        <w:t>(</w:t>
      </w:r>
      <w:r>
        <w:rPr>
          <w:i w:val="false"/>
        </w:rPr>
        <w:t>七</w:t>
      </w:r>
      <w:r>
        <w:rPr>
          <w:i w:val="false"/>
        </w:rPr>
        <w:t>)</w:t>
        <w:tab/>
      </w:r>
      <w:r>
        <w:rPr>
          <w:i w:val="false"/>
        </w:rPr>
        <w:t>政府會繼續密切留意放債業務市場及樓市的情況和不斷變化的外圍形勢，在有需要時毫不猶豫推出措施，維持樓市的健康平穩發展，以及保障經濟和金融系統的穩定。</w:t>
      </w:r>
      <w:r>
        <w:br w:type="page"/>
      </w:r>
    </w:p>
    <w:p>
      <w:pPr>
        <w:pStyle w:val="Style13"/>
        <w:rPr>
          <w:i w:val="false"/>
          <w:i w:val="false"/>
        </w:rPr>
      </w:pPr>
      <w:r>
        <w:rPr>
          <w:i w:val="false"/>
        </w:rPr>
        <w:t>(</w:t>
      </w:r>
      <w:r>
        <w:rPr>
          <w:i w:val="false"/>
        </w:rPr>
        <w:t>八</w:t>
      </w:r>
      <w:r>
        <w:rPr>
          <w:i w:val="false"/>
        </w:rPr>
        <w:t>)</w:t>
        <w:tab/>
      </w:r>
      <w:r>
        <w:rPr>
          <w:i w:val="false"/>
        </w:rPr>
        <w:t>正如第</w:t>
      </w:r>
      <w:r>
        <w:rPr>
          <w:i w:val="false"/>
        </w:rPr>
        <w:t>(</w:t>
      </w:r>
      <w:r>
        <w:rPr>
          <w:i w:val="false"/>
        </w:rPr>
        <w:t>二</w:t>
      </w:r>
      <w:r>
        <w:rPr>
          <w:i w:val="false"/>
        </w:rPr>
        <w:t>)</w:t>
      </w:r>
      <w:r>
        <w:rPr>
          <w:i w:val="false"/>
        </w:rPr>
        <w:t>部分作出的答覆，金管局一直有要求銀行在計算借款人的供款與入息比率時，必須把借款人的所有負債，包括借款人正在向銀行申請的按揭貸款和用作購置物業的其他按揭融資計算在內，以避免借款人借取超過其還款能力的按揭貸款。同時，市民若要置業必須加倍小心，衡量市場逆轉時自己所要承擔的風險。</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eastAsia="華康中黑體" w:cs="Times New Roman"/>
          <w:b/>
          <w:b/>
        </w:rPr>
      </w:pPr>
      <w:bookmarkStart w:id="40" w:name="wrq14"/>
      <w:r>
        <w:rPr>
          <w:rFonts w:cs="Times New Roman" w:eastAsia="華康中黑體"/>
          <w:b/>
        </w:rPr>
        <w:t>香港各專業的人力規劃</w:t>
      </w:r>
    </w:p>
    <w:p>
      <w:pPr>
        <w:pStyle w:val="Normal"/>
        <w:spacing w:lineRule="atLeast" w:line="370"/>
        <w:rPr>
          <w:b/>
          <w:b/>
        </w:rPr>
      </w:pPr>
      <w:bookmarkStart w:id="41" w:name="wrq14"/>
      <w:r>
        <w:rPr>
          <w:b/>
        </w:rPr>
        <w:t>Manpower Planning for Various Professions in Hong Kong</w:t>
      </w:r>
      <w:bookmarkEnd w:id="41"/>
    </w:p>
    <w:p>
      <w:pPr>
        <w:pStyle w:val="F21"/>
        <w:spacing w:lineRule="atLeast" w:line="370"/>
        <w:rPr>
          <w:rFonts w:cs="Times New Roman"/>
        </w:rPr>
      </w:pPr>
      <w:r>
        <w:rPr>
          <w:rFonts w:cs="Times New Roman"/>
        </w:rPr>
      </w:r>
    </w:p>
    <w:p>
      <w:pPr>
        <w:pStyle w:val="F21"/>
        <w:spacing w:lineRule="atLeast" w:line="370"/>
        <w:rPr>
          <w:i/>
          <w:i/>
          <w:szCs w:val="27"/>
        </w:rPr>
      </w:pPr>
      <w:r>
        <w:rPr>
          <w:rFonts w:eastAsia="華康中黑體"/>
          <w:b/>
          <w:szCs w:val="27"/>
        </w:rPr>
        <w:t>14.</w:t>
        <w:tab/>
      </w:r>
      <w:r>
        <w:rPr>
          <w:rFonts w:eastAsia="華康中黑體"/>
          <w:b/>
          <w:szCs w:val="27"/>
        </w:rPr>
        <w:t>梁繼昌議員</w:t>
      </w:r>
      <w:r>
        <w:rPr>
          <w:szCs w:val="27"/>
        </w:rPr>
        <w:t>：</w:t>
      </w:r>
      <w:r>
        <w:rPr>
          <w:i/>
          <w:szCs w:val="27"/>
        </w:rPr>
        <w:t>主席，關於各專業的人力規劃，政府可否告知本會：</w:t>
      </w:r>
    </w:p>
    <w:p>
      <w:pPr>
        <w:pStyle w:val="F21"/>
        <w:spacing w:lineRule="atLeast" w:line="370"/>
        <w:rPr>
          <w:i/>
          <w:i/>
          <w:szCs w:val="27"/>
        </w:rPr>
      </w:pPr>
      <w:r>
        <w:rPr>
          <w:i/>
          <w:szCs w:val="27"/>
        </w:rPr>
      </w:r>
    </w:p>
    <w:p>
      <w:pPr>
        <w:pStyle w:val="Style13"/>
        <w:spacing w:lineRule="atLeast" w:line="370"/>
        <w:rPr>
          <w:szCs w:val="27"/>
        </w:rPr>
      </w:pPr>
      <w:r>
        <w:rPr>
          <w:szCs w:val="27"/>
        </w:rPr>
        <w:t>(</w:t>
      </w:r>
      <w:r>
        <w:rPr>
          <w:szCs w:val="27"/>
        </w:rPr>
        <w:t>一</w:t>
      </w:r>
      <w:r>
        <w:rPr>
          <w:szCs w:val="27"/>
        </w:rPr>
        <w:t>)</w:t>
        <w:tab/>
      </w:r>
      <w:r>
        <w:rPr>
          <w:szCs w:val="27"/>
        </w:rPr>
        <w:t>鑒於金融發展局在本年</w:t>
      </w:r>
      <w:r>
        <w:rPr>
          <w:szCs w:val="27"/>
        </w:rPr>
        <w:t>1</w:t>
      </w:r>
      <w:r>
        <w:rPr>
          <w:szCs w:val="27"/>
        </w:rPr>
        <w:t>月發表的“發展香港金融服務業人力資源”報告提出若干建議，以應付金融業在未來</w:t>
      </w:r>
      <w:r>
        <w:rPr>
          <w:szCs w:val="27"/>
        </w:rPr>
        <w:t>3</w:t>
      </w:r>
      <w:r>
        <w:rPr>
          <w:szCs w:val="27"/>
        </w:rPr>
        <w:t>至</w:t>
      </w:r>
      <w:r>
        <w:rPr>
          <w:szCs w:val="27"/>
        </w:rPr>
        <w:t>5</w:t>
      </w:r>
      <w:r>
        <w:rPr>
          <w:szCs w:val="27"/>
        </w:rPr>
        <w:t>年的人力需求，政府有否接納及跟進該等建議；如有，是哪些建議；如否，原因為何；</w:t>
      </w:r>
    </w:p>
    <w:p>
      <w:pPr>
        <w:pStyle w:val="Style13"/>
        <w:spacing w:lineRule="atLeast" w:line="370"/>
        <w:rPr>
          <w:szCs w:val="27"/>
        </w:rPr>
      </w:pPr>
      <w:r>
        <w:rPr>
          <w:szCs w:val="27"/>
        </w:rPr>
      </w:r>
    </w:p>
    <w:p>
      <w:pPr>
        <w:pStyle w:val="Style13"/>
        <w:spacing w:lineRule="atLeast" w:line="370"/>
        <w:rPr>
          <w:szCs w:val="27"/>
        </w:rPr>
      </w:pPr>
      <w:r>
        <w:rPr>
          <w:szCs w:val="27"/>
        </w:rPr>
        <w:t>(</w:t>
      </w:r>
      <w:r>
        <w:rPr>
          <w:szCs w:val="27"/>
        </w:rPr>
        <w:t>二</w:t>
      </w:r>
      <w:r>
        <w:rPr>
          <w:szCs w:val="27"/>
        </w:rPr>
        <w:t>)</w:t>
        <w:tab/>
      </w:r>
      <w:r>
        <w:rPr>
          <w:szCs w:val="27"/>
        </w:rPr>
        <w:t>除了第</w:t>
      </w:r>
      <w:r>
        <w:rPr>
          <w:szCs w:val="27"/>
        </w:rPr>
        <w:t>(</w:t>
      </w:r>
      <w:r>
        <w:rPr>
          <w:szCs w:val="27"/>
        </w:rPr>
        <w:t>一</w:t>
      </w:r>
      <w:r>
        <w:rPr>
          <w:szCs w:val="27"/>
        </w:rPr>
        <w:t>)</w:t>
      </w:r>
      <w:r>
        <w:rPr>
          <w:szCs w:val="27"/>
        </w:rPr>
        <w:t>項提及會跟進的建議，政府有何具體計劃解決現時金融業人力資源供求失衡的問題，以及提高從業員的整體專業水平；及</w:t>
      </w:r>
    </w:p>
    <w:p>
      <w:pPr>
        <w:pStyle w:val="Style13"/>
        <w:spacing w:lineRule="atLeast" w:line="370"/>
        <w:rPr>
          <w:szCs w:val="27"/>
        </w:rPr>
      </w:pPr>
      <w:r>
        <w:rPr>
          <w:szCs w:val="27"/>
        </w:rPr>
      </w:r>
    </w:p>
    <w:p>
      <w:pPr>
        <w:pStyle w:val="Style13"/>
        <w:spacing w:lineRule="atLeast" w:line="370"/>
        <w:rPr>
          <w:szCs w:val="27"/>
        </w:rPr>
      </w:pPr>
      <w:r>
        <w:rPr>
          <w:szCs w:val="27"/>
        </w:rPr>
        <w:t>(</w:t>
      </w:r>
      <w:r>
        <w:rPr>
          <w:szCs w:val="27"/>
        </w:rPr>
        <w:t>三</w:t>
      </w:r>
      <w:r>
        <w:rPr>
          <w:szCs w:val="27"/>
        </w:rPr>
        <w:t>)</w:t>
        <w:tab/>
      </w:r>
      <w:r>
        <w:rPr>
          <w:szCs w:val="27"/>
        </w:rPr>
        <w:t>有否計劃就其他專業</w:t>
      </w:r>
      <w:r>
        <w:rPr>
          <w:szCs w:val="27"/>
        </w:rPr>
        <w:t>(</w:t>
      </w:r>
      <w:r>
        <w:rPr>
          <w:szCs w:val="27"/>
        </w:rPr>
        <w:t>包括會計專業</w:t>
      </w:r>
      <w:r>
        <w:rPr>
          <w:szCs w:val="27"/>
        </w:rPr>
        <w:t>)</w:t>
      </w:r>
      <w:r>
        <w:rPr>
          <w:szCs w:val="27"/>
        </w:rPr>
        <w:t>進行全面的人力資源研究，以便在掌握相關專業界別人力市場的客觀及具體情況後，制訂適時及針對性的中長期人力資源政策</w:t>
      </w:r>
      <w:r>
        <w:rPr>
          <w:szCs w:val="27"/>
        </w:rPr>
        <w:t>(</w:t>
      </w:r>
      <w:r>
        <w:rPr>
          <w:szCs w:val="27"/>
        </w:rPr>
        <w:t>包括審視需否輸入外地專才</w:t>
      </w:r>
      <w:r>
        <w:rPr>
          <w:szCs w:val="27"/>
        </w:rPr>
        <w:t>)</w:t>
      </w:r>
      <w:r>
        <w:rPr>
          <w:szCs w:val="27"/>
        </w:rPr>
        <w:t>，以配合及促進各專業的長遠健康發展；如有計劃，詳情為何；如否，原因為何？</w:t>
      </w:r>
    </w:p>
    <w:p>
      <w:pPr>
        <w:pStyle w:val="Style13"/>
        <w:spacing w:lineRule="atLeast" w:line="370"/>
        <w:ind w:left="0" w:hanging="0"/>
        <w:rPr>
          <w:szCs w:val="27"/>
        </w:rPr>
      </w:pPr>
      <w:r>
        <w:rPr>
          <w:szCs w:val="27"/>
        </w:rPr>
      </w:r>
    </w:p>
    <w:p>
      <w:pPr>
        <w:pStyle w:val="Style13"/>
        <w:spacing w:lineRule="atLeast" w:line="370"/>
        <w:ind w:left="0" w:hanging="0"/>
        <w:rPr>
          <w:szCs w:val="27"/>
        </w:rPr>
      </w:pPr>
      <w:r>
        <w:rPr>
          <w:szCs w:val="27"/>
        </w:rPr>
      </w:r>
    </w:p>
    <w:p>
      <w:pPr>
        <w:pStyle w:val="Style13"/>
        <w:spacing w:lineRule="atLeast" w:line="370"/>
        <w:ind w:left="0" w:hanging="0"/>
        <w:rPr>
          <w:i w:val="false"/>
          <w:i w:val="false"/>
          <w:szCs w:val="27"/>
        </w:rPr>
      </w:pPr>
      <w:r>
        <w:rPr>
          <w:rFonts w:eastAsia="華康中黑體"/>
          <w:b/>
          <w:i w:val="false"/>
          <w:szCs w:val="27"/>
        </w:rPr>
        <w:t>財經事務及庫務局局長</w:t>
      </w:r>
      <w:r>
        <w:rPr>
          <w:i w:val="false"/>
          <w:szCs w:val="27"/>
        </w:rPr>
        <w:t>：主席，</w:t>
      </w:r>
    </w:p>
    <w:p>
      <w:pPr>
        <w:pStyle w:val="Style13"/>
        <w:spacing w:lineRule="atLeast" w:line="370"/>
        <w:ind w:left="0" w:hanging="0"/>
        <w:rPr>
          <w:i w:val="false"/>
          <w:i w:val="false"/>
          <w:szCs w:val="27"/>
        </w:rPr>
      </w:pPr>
      <w:r>
        <w:rPr>
          <w:i w:val="false"/>
          <w:szCs w:val="27"/>
        </w:rPr>
      </w:r>
    </w:p>
    <w:p>
      <w:pPr>
        <w:pStyle w:val="Style13"/>
        <w:spacing w:lineRule="atLeast" w:line="370"/>
        <w:rPr>
          <w:i w:val="false"/>
          <w:i w:val="false"/>
        </w:rPr>
      </w:pPr>
      <w:r>
        <w:rPr>
          <w:i w:val="false"/>
        </w:rPr>
        <w:t>(</w:t>
      </w:r>
      <w:r>
        <w:rPr>
          <w:i w:val="false"/>
        </w:rPr>
        <w:t>一</w:t>
      </w:r>
      <w:r>
        <w:rPr>
          <w:i w:val="false"/>
        </w:rPr>
        <w:t>)</w:t>
      </w:r>
      <w:r>
        <w:rPr>
          <w:i w:val="false"/>
        </w:rPr>
        <w:t>及</w:t>
      </w:r>
      <w:r>
        <w:rPr>
          <w:i w:val="false"/>
        </w:rPr>
        <w:t>(</w:t>
      </w:r>
      <w:r>
        <w:rPr>
          <w:i w:val="false"/>
        </w:rPr>
        <w:t>二</w:t>
      </w:r>
      <w:r>
        <w:rPr>
          <w:i w:val="false"/>
        </w:rPr>
        <w:t>)</w:t>
      </w:r>
    </w:p>
    <w:p>
      <w:pPr>
        <w:pStyle w:val="Style13"/>
        <w:spacing w:lineRule="atLeast" w:line="370"/>
        <w:rPr>
          <w:i w:val="false"/>
          <w:i w:val="false"/>
        </w:rPr>
      </w:pPr>
      <w:r>
        <w:rPr>
          <w:i w:val="false"/>
        </w:rPr>
      </w:r>
    </w:p>
    <w:p>
      <w:pPr>
        <w:pStyle w:val="Style13"/>
        <w:spacing w:lineRule="atLeast" w:line="370"/>
        <w:rPr>
          <w:i w:val="false"/>
          <w:i w:val="false"/>
        </w:rPr>
      </w:pPr>
      <w:r>
        <w:rPr>
          <w:i w:val="false"/>
        </w:rPr>
        <w:tab/>
      </w:r>
      <w:r>
        <w:rPr>
          <w:i w:val="false"/>
        </w:rPr>
        <w:t>財政司司長於</w:t>
      </w:r>
      <w:r>
        <w:rPr>
          <w:i w:val="false"/>
        </w:rPr>
        <w:t>2014-2015</w:t>
      </w:r>
      <w:r>
        <w:rPr>
          <w:i w:val="false"/>
        </w:rPr>
        <w:t>財政年度政府財政預算案中要求財經事務及庫務局研究提升金融業人才培訓，並向他提交建議。過去</w:t>
      </w:r>
      <w:r>
        <w:rPr>
          <w:i w:val="false"/>
        </w:rPr>
        <w:t>1</w:t>
      </w:r>
      <w:r>
        <w:rPr>
          <w:i w:val="false"/>
        </w:rPr>
        <w:t>年，我們在研究有關議題時已諮詢業界，包括參考了金融發展局報告中提出為大學生提供更多各個專業範疇的資訊，為他們日後投身職場作充分準備，以及加強對從業員的培訓等建議。</w:t>
      </w:r>
    </w:p>
    <w:p>
      <w:pPr>
        <w:pStyle w:val="Style13"/>
        <w:spacing w:lineRule="atLeast" w:line="340"/>
        <w:rPr>
          <w:i w:val="false"/>
          <w:i w:val="false"/>
        </w:rPr>
      </w:pPr>
      <w:r>
        <w:rPr>
          <w:i w:val="false"/>
        </w:rPr>
      </w:r>
    </w:p>
    <w:p>
      <w:pPr>
        <w:pStyle w:val="Style13"/>
        <w:spacing w:lineRule="atLeast" w:line="340"/>
        <w:rPr>
          <w:i w:val="false"/>
          <w:i w:val="false"/>
        </w:rPr>
      </w:pPr>
      <w:r>
        <w:rPr>
          <w:rFonts w:ascii="華康細明體" w:hAnsi="華康細明體"/>
          <w:i w:val="false"/>
        </w:rPr>
        <w:t></w:t>
      </w:r>
      <w:r>
        <w:rPr>
          <w:i w:val="false"/>
        </w:rPr>
        <w:tab/>
      </w:r>
      <w:r>
        <w:rPr>
          <w:i w:val="false"/>
        </w:rPr>
        <w:t>事實上，業界亦提出應增強年青人對金融行業及有關工作性質及晉升前景的認識、協助年青人盡早投身金融行業，以及鼓勵從業員持續進修以提升專業能力等方面的工作。考慮到業界普遍認為人才短缺的情況在保險和資產財富管理兩個界別最為嚴重，我們計劃推出一項為期</w:t>
      </w:r>
      <w:r>
        <w:rPr>
          <w:i w:val="false"/>
        </w:rPr>
        <w:t>3</w:t>
      </w:r>
      <w:r>
        <w:rPr>
          <w:i w:val="false"/>
        </w:rPr>
        <w:t>年的先導計劃，以提升這兩個界別的人才培訓。</w:t>
      </w:r>
    </w:p>
    <w:p>
      <w:pPr>
        <w:pStyle w:val="Style13"/>
        <w:spacing w:lineRule="atLeast" w:line="340"/>
        <w:rPr>
          <w:i w:val="false"/>
          <w:i w:val="false"/>
        </w:rPr>
      </w:pPr>
      <w:r>
        <w:rPr>
          <w:i w:val="false"/>
        </w:rPr>
      </w:r>
    </w:p>
    <w:p>
      <w:pPr>
        <w:pStyle w:val="Style13"/>
        <w:spacing w:lineRule="atLeast" w:line="340"/>
        <w:rPr>
          <w:i w:val="false"/>
          <w:i w:val="false"/>
        </w:rPr>
      </w:pPr>
      <w:r>
        <w:rPr>
          <w:i w:val="false"/>
        </w:rPr>
        <w:tab/>
      </w:r>
      <w:r>
        <w:rPr>
          <w:i w:val="false"/>
        </w:rPr>
        <w:t>我們建議撥款</w:t>
      </w:r>
      <w:r>
        <w:rPr>
          <w:i w:val="false"/>
        </w:rPr>
        <w:t>1</w:t>
      </w:r>
      <w:r>
        <w:rPr>
          <w:i w:val="false"/>
        </w:rPr>
        <w:t>億元，用以推出不同項目支持先導計劃的</w:t>
      </w:r>
      <w:r>
        <w:rPr>
          <w:i w:val="false"/>
        </w:rPr>
        <w:t>3</w:t>
      </w:r>
      <w:r>
        <w:rPr>
          <w:i w:val="false"/>
        </w:rPr>
        <w:t>個元素，即</w:t>
      </w:r>
      <w:r>
        <w:rPr>
          <w:i w:val="false"/>
        </w:rPr>
        <w:t>(i)</w:t>
      </w:r>
      <w:r>
        <w:rPr>
          <w:i w:val="false"/>
        </w:rPr>
        <w:t>加深社會，特別是學生對保險和資產財富管理這兩個界別內不同工種性質和晉升前景的認識；</w:t>
      </w:r>
      <w:r>
        <w:rPr>
          <w:i w:val="false"/>
        </w:rPr>
        <w:t>(ii)</w:t>
      </w:r>
      <w:r>
        <w:rPr>
          <w:i w:val="false"/>
        </w:rPr>
        <w:t>提供實習機會；及</w:t>
      </w:r>
      <w:r>
        <w:rPr>
          <w:i w:val="false"/>
        </w:rPr>
        <w:t>(iii)</w:t>
      </w:r>
      <w:r>
        <w:rPr>
          <w:i w:val="false"/>
        </w:rPr>
        <w:t>強化持續進修課程的內容和資助從業員參與這些課程。</w:t>
      </w:r>
    </w:p>
    <w:p>
      <w:pPr>
        <w:pStyle w:val="Style13"/>
        <w:spacing w:lineRule="atLeast" w:line="340"/>
        <w:rPr>
          <w:i w:val="false"/>
          <w:i w:val="false"/>
        </w:rPr>
      </w:pPr>
      <w:r>
        <w:rPr>
          <w:i w:val="false"/>
        </w:rPr>
      </w:r>
    </w:p>
    <w:p>
      <w:pPr>
        <w:pStyle w:val="Style13"/>
        <w:spacing w:lineRule="atLeast" w:line="340"/>
        <w:rPr>
          <w:i w:val="false"/>
          <w:i w:val="false"/>
        </w:rPr>
      </w:pPr>
      <w:r>
        <w:rPr>
          <w:i w:val="false"/>
        </w:rPr>
        <w:tab/>
      </w:r>
      <w:r>
        <w:rPr>
          <w:i w:val="false"/>
        </w:rPr>
        <w:t>我們正與業界及相關持份者商討，擬訂計劃下措施的細節，以確保計劃能切合業界需要，以達至先導計劃的目標。我們會檢討先導計劃的成效，然後可考慮研究是否把計劃擴展至金融業內有實際需要的其他界別。</w:t>
      </w:r>
    </w:p>
    <w:p>
      <w:pPr>
        <w:pStyle w:val="Style13"/>
        <w:spacing w:lineRule="atLeast" w:line="340"/>
        <w:rPr>
          <w:i w:val="false"/>
          <w:i w:val="false"/>
        </w:rPr>
      </w:pPr>
      <w:r>
        <w:rPr>
          <w:i w:val="false"/>
        </w:rPr>
      </w:r>
    </w:p>
    <w:p>
      <w:pPr>
        <w:pStyle w:val="Style13"/>
        <w:spacing w:lineRule="atLeast" w:line="340"/>
        <w:rPr>
          <w:i w:val="false"/>
          <w:i w:val="false"/>
        </w:rPr>
      </w:pPr>
      <w:r>
        <w:rPr>
          <w:i w:val="false"/>
        </w:rPr>
        <w:t>(</w:t>
      </w:r>
      <w:r>
        <w:rPr>
          <w:i w:val="false"/>
        </w:rPr>
        <w:t>三</w:t>
      </w:r>
      <w:r>
        <w:rPr>
          <w:i w:val="false"/>
        </w:rPr>
        <w:t>)</w:t>
        <w:tab/>
      </w:r>
      <w:r>
        <w:rPr>
          <w:i w:val="false"/>
        </w:rPr>
        <w:t>政府不時進行人力資源推算，從宏觀層面推算本港中期人力資源供求的大致趨勢，以及評估在不同教育程度的人力供求上可能出現的差額。相關政策局或部門則可為屬於其職務範圍下的行業進行針對性的個別行業或職業人力規劃或研究，因有關工作需要掌握個別行業的未來發展、人力特徵及相關政策等詳細資料。</w:t>
      </w:r>
    </w:p>
    <w:p>
      <w:pPr>
        <w:pStyle w:val="Style13"/>
        <w:spacing w:lineRule="atLeast" w:line="340"/>
        <w:rPr>
          <w:i w:val="false"/>
          <w:i w:val="false"/>
        </w:rPr>
      </w:pPr>
      <w:r>
        <w:rPr>
          <w:i w:val="false"/>
        </w:rPr>
      </w:r>
    </w:p>
    <w:p>
      <w:pPr>
        <w:pStyle w:val="Style13"/>
        <w:spacing w:lineRule="atLeast" w:line="340"/>
        <w:rPr>
          <w:i w:val="false"/>
          <w:i w:val="false"/>
        </w:rPr>
      </w:pPr>
      <w:r>
        <w:rPr>
          <w:i w:val="false"/>
        </w:rPr>
        <w:tab/>
      </w:r>
      <w:r>
        <w:rPr>
          <w:i w:val="false"/>
        </w:rPr>
        <w:t>就會計專業界別人力資源方面，政府會與相關持份者包括香港會計師公會保持溝通。如果將來有計劃推行任何與會計業界人力資源相關的研究，將會適時與他們商討有關事宜。</w:t>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rPr>
      </w:r>
    </w:p>
    <w:p>
      <w:pPr>
        <w:pStyle w:val="F21"/>
        <w:spacing w:lineRule="atLeast" w:line="340"/>
        <w:rPr>
          <w:rFonts w:eastAsia="華康中黑體" w:cs="Times New Roman"/>
          <w:b/>
          <w:b/>
        </w:rPr>
      </w:pPr>
      <w:bookmarkStart w:id="42" w:name="wrq15"/>
      <w:r>
        <w:rPr>
          <w:rFonts w:cs="Times New Roman" w:eastAsia="華康中黑體"/>
          <w:b/>
        </w:rPr>
        <w:t>建造業工人的供應</w:t>
      </w:r>
    </w:p>
    <w:p>
      <w:pPr>
        <w:pStyle w:val="Normal"/>
        <w:spacing w:lineRule="atLeast" w:line="340"/>
        <w:rPr>
          <w:b/>
          <w:b/>
        </w:rPr>
      </w:pPr>
      <w:bookmarkStart w:id="43" w:name="wrq15"/>
      <w:r>
        <w:rPr>
          <w:b/>
        </w:rPr>
        <w:t>Supply of Construction Workers</w:t>
      </w:r>
      <w:bookmarkEnd w:id="43"/>
    </w:p>
    <w:p>
      <w:pPr>
        <w:pStyle w:val="F21"/>
        <w:spacing w:lineRule="atLeast" w:line="340"/>
        <w:rPr>
          <w:rFonts w:cs="Times New Roman"/>
        </w:rPr>
      </w:pPr>
      <w:r>
        <w:rPr>
          <w:rFonts w:cs="Times New Roman"/>
        </w:rPr>
      </w:r>
    </w:p>
    <w:p>
      <w:pPr>
        <w:pStyle w:val="F21"/>
        <w:spacing w:lineRule="atLeast" w:line="340"/>
        <w:rPr>
          <w:i/>
          <w:i/>
        </w:rPr>
      </w:pPr>
      <w:r>
        <w:rPr>
          <w:rFonts w:eastAsia="華康中黑體"/>
          <w:b/>
        </w:rPr>
        <w:t>15.</w:t>
        <w:tab/>
      </w:r>
      <w:r>
        <w:rPr>
          <w:rFonts w:eastAsia="華康中黑體"/>
          <w:b/>
        </w:rPr>
        <w:t>涂謹申議員</w:t>
      </w:r>
      <w:r>
        <w:rPr/>
        <w:t>：</w:t>
      </w:r>
      <w:r>
        <w:rPr>
          <w:i/>
        </w:rPr>
        <w:t>主席，近日有不少大型基建工程項目</w:t>
      </w:r>
      <w:r>
        <w:rPr>
          <w:i/>
        </w:rPr>
        <w:t>(</w:t>
      </w:r>
      <w:r>
        <w:rPr>
          <w:i/>
        </w:rPr>
        <w:t>例如港珠澳大橋相關的本地工程及蓮塘／香園圍口岸與相關工程</w:t>
      </w:r>
      <w:r>
        <w:rPr>
          <w:i/>
        </w:rPr>
        <w:t>)</w:t>
      </w:r>
      <w:r>
        <w:rPr>
          <w:i/>
        </w:rPr>
        <w:t>出現工程延誤及超支的情況。當局指出，超支的部分主因是建造業工人工資和建築材料及機械等價格上漲。有建造業人士指出，工人工資上漲的原因，與多項基建工程同時展開因而爭奪建造業工人有關。就此，政府可否告知本會：</w:t>
      </w:r>
    </w:p>
    <w:p>
      <w:pPr>
        <w:pStyle w:val="F21"/>
        <w:spacing w:lineRule="atLeast" w:line="380"/>
        <w:rPr>
          <w:i/>
          <w:i/>
        </w:rPr>
      </w:pPr>
      <w:r>
        <w:rPr>
          <w:i/>
        </w:rPr>
      </w:r>
    </w:p>
    <w:p>
      <w:pPr>
        <w:pStyle w:val="Style13"/>
        <w:spacing w:lineRule="atLeast" w:line="380"/>
        <w:rPr/>
      </w:pPr>
      <w:r>
        <w:rPr/>
        <w:t>(</w:t>
      </w:r>
      <w:r>
        <w:rPr/>
        <w:t>一</w:t>
      </w:r>
      <w:r>
        <w:rPr/>
        <w:t>)</w:t>
        <w:tab/>
      </w:r>
      <w:r>
        <w:rPr/>
        <w:t>有否評估多項大型基建工程目前共分別欠缺多少名技術及非技術工人；</w:t>
      </w:r>
    </w:p>
    <w:p>
      <w:pPr>
        <w:pStyle w:val="Style13"/>
        <w:spacing w:lineRule="atLeast" w:line="380"/>
        <w:rPr/>
      </w:pPr>
      <w:r>
        <w:rPr/>
      </w:r>
    </w:p>
    <w:p>
      <w:pPr>
        <w:pStyle w:val="Style13"/>
        <w:spacing w:lineRule="atLeast" w:line="380"/>
        <w:rPr/>
      </w:pPr>
      <w:r>
        <w:rPr/>
        <w:t>(</w:t>
      </w:r>
      <w:r>
        <w:rPr/>
        <w:t>二</w:t>
      </w:r>
      <w:r>
        <w:rPr/>
        <w:t>)</w:t>
        <w:tab/>
      </w:r>
      <w:r>
        <w:rPr/>
        <w:t>有否新的計劃吸引年輕人及其他行業的僱員投身建造業；如有，詳情為何；</w:t>
      </w:r>
    </w:p>
    <w:p>
      <w:pPr>
        <w:pStyle w:val="Style13"/>
        <w:spacing w:lineRule="atLeast" w:line="380"/>
        <w:rPr/>
      </w:pPr>
      <w:r>
        <w:rPr/>
      </w:r>
    </w:p>
    <w:p>
      <w:pPr>
        <w:pStyle w:val="Style13"/>
        <w:spacing w:lineRule="atLeast" w:line="380"/>
        <w:rPr/>
      </w:pPr>
      <w:r>
        <w:rPr/>
        <w:t>(</w:t>
      </w:r>
      <w:r>
        <w:rPr/>
        <w:t>三</w:t>
      </w:r>
      <w:r>
        <w:rPr/>
        <w:t>)</w:t>
        <w:tab/>
      </w:r>
      <w:r>
        <w:rPr/>
        <w:t>是否知悉，過去</w:t>
      </w:r>
      <w:r>
        <w:rPr/>
        <w:t>3</w:t>
      </w:r>
      <w:r>
        <w:rPr/>
        <w:t>年，每年建造業議會轄下培訓課程</w:t>
      </w:r>
      <w:r>
        <w:rPr/>
        <w:t>(“</w:t>
      </w:r>
      <w:r>
        <w:rPr/>
        <w:t>培訓課程”</w:t>
      </w:r>
      <w:r>
        <w:rPr/>
        <w:t>)</w:t>
      </w:r>
      <w:r>
        <w:rPr/>
        <w:t>的結業學員人數，並按課程類別列出分項數字；</w:t>
      </w:r>
    </w:p>
    <w:p>
      <w:pPr>
        <w:pStyle w:val="Style13"/>
        <w:spacing w:lineRule="atLeast" w:line="380"/>
        <w:rPr/>
      </w:pPr>
      <w:r>
        <w:rPr/>
      </w:r>
    </w:p>
    <w:p>
      <w:pPr>
        <w:pStyle w:val="Style13"/>
        <w:spacing w:lineRule="atLeast" w:line="380"/>
        <w:rPr/>
      </w:pPr>
      <w:r>
        <w:rPr/>
        <w:t>(</w:t>
      </w:r>
      <w:r>
        <w:rPr/>
        <w:t>四</w:t>
      </w:r>
      <w:r>
        <w:rPr/>
        <w:t>)</w:t>
        <w:tab/>
      </w:r>
      <w:r>
        <w:rPr/>
        <w:t>有否統計過去</w:t>
      </w:r>
      <w:r>
        <w:rPr/>
        <w:t>3</w:t>
      </w:r>
      <w:r>
        <w:rPr/>
        <w:t>年，培訓課程的學員在結業後的就業率，以及沒有投身建造業的結業學員佔結業學員總數的百分比；</w:t>
      </w:r>
    </w:p>
    <w:p>
      <w:pPr>
        <w:pStyle w:val="Style13"/>
        <w:spacing w:lineRule="atLeast" w:line="380"/>
        <w:rPr/>
      </w:pPr>
      <w:r>
        <w:rPr/>
      </w:r>
    </w:p>
    <w:p>
      <w:pPr>
        <w:pStyle w:val="Style13"/>
        <w:spacing w:lineRule="atLeast" w:line="380"/>
        <w:rPr/>
      </w:pPr>
      <w:r>
        <w:rPr/>
        <w:t>(</w:t>
      </w:r>
      <w:r>
        <w:rPr/>
        <w:t>五</w:t>
      </w:r>
      <w:r>
        <w:rPr/>
        <w:t>)</w:t>
        <w:tab/>
      </w:r>
      <w:r>
        <w:rPr/>
        <w:t>有否調查，過去</w:t>
      </w:r>
      <w:r>
        <w:rPr/>
        <w:t>3</w:t>
      </w:r>
      <w:r>
        <w:rPr/>
        <w:t>年內結業並投身建造業的培訓課程學員當中，在結業後的兩年內轉投其他行業的學員的百分比；及</w:t>
      </w:r>
    </w:p>
    <w:p>
      <w:pPr>
        <w:pStyle w:val="Style13"/>
        <w:spacing w:lineRule="atLeast" w:line="380"/>
        <w:rPr/>
      </w:pPr>
      <w:r>
        <w:rPr/>
      </w:r>
    </w:p>
    <w:p>
      <w:pPr>
        <w:pStyle w:val="Style13"/>
        <w:spacing w:lineRule="atLeast" w:line="380"/>
        <w:rPr/>
      </w:pPr>
      <w:r>
        <w:rPr/>
        <w:t>(</w:t>
      </w:r>
      <w:r>
        <w:rPr/>
        <w:t>六</w:t>
      </w:r>
      <w:r>
        <w:rPr/>
        <w:t>)</w:t>
        <w:tab/>
      </w:r>
      <w:r>
        <w:rPr/>
        <w:t>當局日後在規劃大型基建工程時，會否在不輸入外地勞工的前提下，規劃分階段展開該等工程，以免各項工程爭奪建造業工人引致勞工不足和工程延誤？</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發展局局長</w:t>
      </w:r>
      <w:r>
        <w:rPr/>
        <w:t>：主席，一直以來，政府審慎管理工務工程開支。根據紀錄，由</w:t>
      </w:r>
      <w:r>
        <w:rPr/>
        <w:t>2004-2005</w:t>
      </w:r>
      <w:r>
        <w:rPr/>
        <w:t>年度至</w:t>
      </w:r>
      <w:r>
        <w:rPr/>
        <w:t>2013-2014</w:t>
      </w:r>
      <w:r>
        <w:rPr/>
        <w:t>年度</w:t>
      </w:r>
      <w:r>
        <w:rPr/>
        <w:t>10</w:t>
      </w:r>
      <w:r>
        <w:rPr/>
        <w:t>個年度立法會財務委員會，雖然個別項目因應實際情況需要增加撥款，但以整體基本工程計劃而言，我們能夠在原核准預算內完成有關的項目。一般來說，核准工程預算費上升的主要原因包括：</w:t>
      </w:r>
    </w:p>
    <w:p>
      <w:pPr>
        <w:pStyle w:val="F21"/>
        <w:spacing w:lineRule="atLeast" w:line="380"/>
        <w:rPr/>
      </w:pPr>
      <w:r>
        <w:rPr/>
      </w:r>
    </w:p>
    <w:p>
      <w:pPr>
        <w:pStyle w:val="F21"/>
        <w:spacing w:lineRule="atLeast" w:line="380"/>
        <w:ind w:left="1134" w:hanging="567"/>
        <w:rPr/>
      </w:pPr>
      <w:r>
        <w:rPr/>
        <w:t>(i)</w:t>
        <w:tab/>
      </w:r>
      <w:r>
        <w:rPr/>
        <w:t>增加工程應急費用</w:t>
      </w:r>
      <w:r>
        <w:rPr/>
        <w:t>(</w:t>
      </w:r>
      <w:r>
        <w:rPr/>
        <w:t>及其相關的價格調整準備</w:t>
      </w:r>
      <w:r>
        <w:rPr/>
        <w:t>)</w:t>
      </w:r>
      <w:r>
        <w:rPr/>
        <w:t>，以應付由工程項目申請撥款獲批至投標時及在工程進行期間的不可預見情況。例如，較預期為高的回標價格，比預期為差的岩土情況，以及為回應地區所關注的事宜等而進行額外工程所引致的額外費用；及</w:t>
      </w:r>
      <w:r>
        <w:br w:type="page"/>
      </w:r>
    </w:p>
    <w:p>
      <w:pPr>
        <w:pStyle w:val="F21"/>
        <w:spacing w:lineRule="atLeast" w:line="390"/>
        <w:ind w:left="1134" w:hanging="567"/>
        <w:rPr/>
      </w:pPr>
      <w:r>
        <w:rPr/>
        <w:t>(ii)</w:t>
        <w:tab/>
      </w:r>
      <w:r>
        <w:rPr/>
        <w:t>增加價格調整準備，以應付較預期為高的工資及物料價格漲幅。協助應付建造業人手短缺的問題，政府與建造業議會</w:t>
      </w:r>
      <w:r>
        <w:rPr/>
        <w:t>(</w:t>
      </w:r>
      <w:r>
        <w:rPr/>
        <w:t>下稱“議會”</w:t>
      </w:r>
      <w:r>
        <w:rPr/>
        <w:t>)</w:t>
      </w:r>
      <w:r>
        <w:rPr/>
        <w:t>一直緊密合作以多管齊下的方式，包括加強培訓、宣傳及推廣、致力優化工人的工作環境及工地安全等，吸引更多人，特別是年青人，投身建造業。</w:t>
      </w:r>
    </w:p>
    <w:p>
      <w:pPr>
        <w:pStyle w:val="F21"/>
        <w:spacing w:lineRule="atLeast" w:line="390"/>
        <w:rPr/>
      </w:pPr>
      <w:r>
        <w:rPr/>
      </w:r>
    </w:p>
    <w:p>
      <w:pPr>
        <w:pStyle w:val="F21"/>
        <w:spacing w:lineRule="atLeast" w:line="390"/>
        <w:rPr/>
      </w:pPr>
      <w:r>
        <w:rPr/>
        <w:tab/>
      </w:r>
      <w:r>
        <w:rPr/>
        <w:t>就涂議員質詢的</w:t>
      </w:r>
      <w:r>
        <w:rPr/>
        <w:t>6</w:t>
      </w:r>
      <w:r>
        <w:rPr/>
        <w:t>個部分，我現答覆如下：</w:t>
      </w:r>
    </w:p>
    <w:p>
      <w:pPr>
        <w:pStyle w:val="F21"/>
        <w:spacing w:lineRule="atLeast" w:line="390"/>
        <w:rPr/>
      </w:pPr>
      <w:r>
        <w:rPr/>
      </w:r>
    </w:p>
    <w:p>
      <w:pPr>
        <w:pStyle w:val="Style13"/>
        <w:spacing w:lineRule="atLeast" w:line="390"/>
        <w:rPr>
          <w:i w:val="false"/>
          <w:i w:val="false"/>
        </w:rPr>
      </w:pPr>
      <w:r>
        <w:rPr>
          <w:i w:val="false"/>
        </w:rPr>
        <w:t>(</w:t>
      </w:r>
      <w:r>
        <w:rPr>
          <w:i w:val="false"/>
        </w:rPr>
        <w:t>一</w:t>
      </w:r>
      <w:r>
        <w:rPr>
          <w:i w:val="false"/>
        </w:rPr>
        <w:t>)</w:t>
        <w:tab/>
      </w:r>
      <w:r>
        <w:rPr>
          <w:i w:val="false"/>
        </w:rPr>
        <w:t>自</w:t>
      </w:r>
      <w:r>
        <w:rPr>
          <w:i w:val="false"/>
        </w:rPr>
        <w:t>2013</w:t>
      </w:r>
      <w:r>
        <w:rPr>
          <w:i w:val="false"/>
        </w:rPr>
        <w:t>年起，政府與議會合作評估未來</w:t>
      </w:r>
      <w:r>
        <w:rPr>
          <w:i w:val="false"/>
        </w:rPr>
        <w:t>10</w:t>
      </w:r>
      <w:r>
        <w:rPr>
          <w:i w:val="false"/>
        </w:rPr>
        <w:t>年公、私營建造工程的整體開支及建造業工人供求的情況。根據議會在</w:t>
      </w:r>
      <w:r>
        <w:rPr>
          <w:i w:val="false"/>
        </w:rPr>
        <w:t>2014</w:t>
      </w:r>
      <w:r>
        <w:rPr>
          <w:i w:val="false"/>
        </w:rPr>
        <w:t>年</w:t>
      </w:r>
      <w:r>
        <w:rPr>
          <w:i w:val="false"/>
        </w:rPr>
        <w:t>10</w:t>
      </w:r>
      <w:r>
        <w:rPr>
          <w:i w:val="false"/>
        </w:rPr>
        <w:t>月公布最新的建造業工人人力預測報告，在未來數年，建造業仍欠缺約</w:t>
      </w:r>
      <w:r>
        <w:rPr>
          <w:i w:val="false"/>
        </w:rPr>
        <w:t>1</w:t>
      </w:r>
      <w:r>
        <w:rPr>
          <w:i w:val="false"/>
        </w:rPr>
        <w:t>萬至</w:t>
      </w:r>
      <w:r>
        <w:rPr>
          <w:i w:val="false"/>
        </w:rPr>
        <w:t>15 000</w:t>
      </w:r>
      <w:r>
        <w:rPr>
          <w:i w:val="false"/>
        </w:rPr>
        <w:t>名技術工人。人力預測評估當中已考慮最新預計的公、私營工程量、在職工人數目及年齡分布、培訓，以及其他相關因素。議會會定期更新人力預測及公布其結果。</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議會預測非技術性工人未來數年亦會有人手短缺的情況。但由於非技術性工人的工作一般不需要技能培訓及入行較為容易，其人手供應容易受其他行業的人力情況及待遇所影響，其波幅亦會較大，因此難以就非技術性工人的人手短缺情況，進行較準確的預測。</w:t>
      </w:r>
    </w:p>
    <w:p>
      <w:pPr>
        <w:pStyle w:val="Style13"/>
        <w:spacing w:lineRule="atLeast" w:line="390"/>
        <w:rPr>
          <w:i w:val="false"/>
          <w:i w:val="false"/>
        </w:rPr>
      </w:pPr>
      <w:r>
        <w:rPr>
          <w:i w:val="false"/>
        </w:rPr>
      </w:r>
    </w:p>
    <w:p>
      <w:pPr>
        <w:pStyle w:val="Style13"/>
        <w:spacing w:lineRule="atLeast" w:line="390"/>
        <w:rPr>
          <w:i w:val="false"/>
          <w:i w:val="false"/>
        </w:rPr>
      </w:pPr>
      <w:r>
        <w:rPr>
          <w:i w:val="false"/>
        </w:rPr>
        <w:t>(</w:t>
      </w:r>
      <w:r>
        <w:rPr>
          <w:i w:val="false"/>
        </w:rPr>
        <w:t>二</w:t>
      </w:r>
      <w:r>
        <w:rPr>
          <w:i w:val="false"/>
        </w:rPr>
        <w:t>)</w:t>
        <w:tab/>
      </w:r>
      <w:r>
        <w:rPr>
          <w:i w:val="false"/>
        </w:rPr>
        <w:t>政府在</w:t>
      </w:r>
      <w:r>
        <w:rPr>
          <w:i w:val="false"/>
        </w:rPr>
        <w:t>2010</w:t>
      </w:r>
      <w:r>
        <w:rPr>
          <w:i w:val="false"/>
        </w:rPr>
        <w:t>年及</w:t>
      </w:r>
      <w:r>
        <w:rPr>
          <w:i w:val="false"/>
        </w:rPr>
        <w:t>2012</w:t>
      </w:r>
      <w:r>
        <w:rPr>
          <w:i w:val="false"/>
        </w:rPr>
        <w:t>年獲立法會批准合共</w:t>
      </w:r>
      <w:r>
        <w:rPr>
          <w:i w:val="false"/>
        </w:rPr>
        <w:t>3</w:t>
      </w:r>
      <w:r>
        <w:rPr>
          <w:i w:val="false"/>
        </w:rPr>
        <w:t>億</w:t>
      </w:r>
      <w:r>
        <w:rPr>
          <w:i w:val="false"/>
        </w:rPr>
        <w:t>2,000</w:t>
      </w:r>
      <w:r>
        <w:rPr>
          <w:i w:val="false"/>
        </w:rPr>
        <w:t>萬元撥款，用以支持議會，加強對本地建造業人員的培訓，並透過推廣及宣傳吸引更多新人加入建造業。</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就吸引年青人及轉職人士投身建造業方面，相關的措施如下：</w:t>
      </w:r>
    </w:p>
    <w:p>
      <w:pPr>
        <w:pStyle w:val="F21"/>
        <w:spacing w:lineRule="atLeast" w:line="390"/>
        <w:rPr/>
      </w:pPr>
      <w:r>
        <w:rPr/>
      </w:r>
    </w:p>
    <w:p>
      <w:pPr>
        <w:pStyle w:val="F21"/>
        <w:spacing w:lineRule="atLeast" w:line="390"/>
        <w:ind w:left="1985" w:hanging="567"/>
        <w:rPr/>
      </w:pPr>
      <w:r>
        <w:rPr/>
        <w:t>(i)</w:t>
        <w:tab/>
      </w:r>
      <w:r>
        <w:rPr/>
        <w:t>政府與議會合作推出的“強化建造業人力訓練計劃”</w:t>
      </w:r>
      <w:r>
        <w:rPr/>
        <w:t>(“</w:t>
      </w:r>
      <w:r>
        <w:rPr/>
        <w:t>強化計劃”</w:t>
      </w:r>
      <w:r>
        <w:rPr/>
        <w:t>)</w:t>
      </w:r>
      <w:r>
        <w:rPr/>
        <w:t>，運用上述撥款，以較高的培訓津貼，吸引更多新人加入人手短缺的工種，包括年輕人及轉職人士。於</w:t>
      </w:r>
      <w:r>
        <w:rPr/>
        <w:t>2014</w:t>
      </w:r>
      <w:r>
        <w:rPr/>
        <w:t>年年底，在“強化計劃”下已培訓超過</w:t>
      </w:r>
      <w:r>
        <w:rPr/>
        <w:t>6 000</w:t>
      </w:r>
      <w:r>
        <w:rPr/>
        <w:t>名半熟練技術工人，其中約</w:t>
      </w:r>
      <w:r>
        <w:rPr/>
        <w:t>60%</w:t>
      </w:r>
      <w:r>
        <w:rPr/>
        <w:t>是</w:t>
      </w:r>
      <w:r>
        <w:rPr/>
        <w:t>35</w:t>
      </w:r>
      <w:r>
        <w:rPr/>
        <w:t>歲以下，顯示多了較年青的人願意投身建造業。</w:t>
      </w:r>
      <w:r>
        <w:br w:type="page"/>
      </w:r>
    </w:p>
    <w:p>
      <w:pPr>
        <w:pStyle w:val="F21"/>
        <w:spacing w:lineRule="atLeast" w:line="410"/>
        <w:ind w:left="1985" w:hanging="567"/>
        <w:rPr/>
      </w:pPr>
      <w:r>
        <w:rPr/>
        <w:t>(ii)</w:t>
        <w:tab/>
      </w:r>
      <w:r>
        <w:rPr/>
        <w:t>議會與承建商合作推出各項“合作培訓計劃”，承建商以“先聘用，後培訓”方式，聘請學員在工地接受培訓，使他們能盡早獲取工地經驗。</w:t>
      </w:r>
    </w:p>
    <w:p>
      <w:pPr>
        <w:pStyle w:val="F21"/>
        <w:spacing w:lineRule="atLeast" w:line="410"/>
        <w:ind w:left="1985" w:hanging="567"/>
        <w:rPr/>
      </w:pPr>
      <w:r>
        <w:rPr/>
      </w:r>
    </w:p>
    <w:p>
      <w:pPr>
        <w:pStyle w:val="F21"/>
        <w:spacing w:lineRule="atLeast" w:line="410"/>
        <w:ind w:left="1985" w:hanging="567"/>
        <w:rPr/>
      </w:pPr>
      <w:r>
        <w:rPr/>
        <w:t>(iii)</w:t>
        <w:tab/>
      </w:r>
      <w:r>
        <w:rPr/>
        <w:t>議會會繼續為個別工種舉辦“基本工藝課程”的</w:t>
      </w:r>
      <w:r>
        <w:rPr/>
        <w:t>1</w:t>
      </w:r>
      <w:r>
        <w:rPr/>
        <w:t>年全日制常規培訓課程，提供培訓津貼，主要吸引及培訓完成初中的學員成為建造業半熟練技術工人。</w:t>
      </w:r>
    </w:p>
    <w:p>
      <w:pPr>
        <w:pStyle w:val="F21"/>
        <w:spacing w:lineRule="atLeast" w:line="410"/>
        <w:ind w:left="1985" w:hanging="567"/>
        <w:rPr/>
      </w:pPr>
      <w:r>
        <w:rPr/>
      </w:r>
    </w:p>
    <w:p>
      <w:pPr>
        <w:pStyle w:val="F21"/>
        <w:spacing w:lineRule="atLeast" w:line="410"/>
        <w:ind w:left="1985" w:hanging="567"/>
        <w:rPr/>
      </w:pPr>
      <w:r>
        <w:rPr/>
        <w:t>(iv)</w:t>
        <w:tab/>
      </w:r>
      <w:r>
        <w:rPr/>
        <w:t>政府與議會於</w:t>
      </w:r>
      <w:r>
        <w:rPr/>
        <w:t>2011</w:t>
      </w:r>
      <w:r>
        <w:rPr/>
        <w:t>年合作推出“</w:t>
      </w:r>
      <w:r>
        <w:rPr/>
        <w:t>Build</w:t>
      </w:r>
      <w:r>
        <w:rPr/>
        <w:t>升宣傳計劃”，以及優化工人的工作環境及工地安全，提升建造業的整體形象。</w:t>
      </w:r>
    </w:p>
    <w:p>
      <w:pPr>
        <w:pStyle w:val="F21"/>
        <w:spacing w:lineRule="atLeast" w:line="410"/>
        <w:rPr/>
      </w:pPr>
      <w:r>
        <w:rPr/>
      </w:r>
    </w:p>
    <w:p>
      <w:pPr>
        <w:pStyle w:val="Style13"/>
        <w:spacing w:lineRule="atLeast" w:line="410"/>
        <w:rPr>
          <w:i w:val="false"/>
          <w:i w:val="false"/>
        </w:rPr>
      </w:pPr>
      <w:r>
        <w:rPr>
          <w:i w:val="false"/>
        </w:rPr>
        <w:tab/>
      </w:r>
      <w:r>
        <w:rPr>
          <w:i w:val="false"/>
        </w:rPr>
        <w:t>此外，為增加熟練技術工人的供應，以配合業界的需要，政府將申請撥款，向議會注資</w:t>
      </w:r>
      <w:r>
        <w:rPr>
          <w:i w:val="false"/>
        </w:rPr>
        <w:t>1</w:t>
      </w:r>
      <w:r>
        <w:rPr>
          <w:i w:val="false"/>
        </w:rPr>
        <w:t>億元，支持議會在未來數年開展新的培訓措施，以提升半熟練技術工人的技能達至熟練技術工人的水平。議會並正就有關細節徵詢有關業界持份者的意見。如獲得立法會批准撥款，我們會致力在</w:t>
      </w:r>
      <w:r>
        <w:rPr>
          <w:i w:val="false"/>
        </w:rPr>
        <w:t>2015</w:t>
      </w:r>
      <w:r>
        <w:rPr>
          <w:i w:val="false"/>
        </w:rPr>
        <w:t>年推展有關措施。</w:t>
      </w:r>
    </w:p>
    <w:p>
      <w:pPr>
        <w:pStyle w:val="F21"/>
        <w:spacing w:lineRule="atLeast" w:line="410"/>
        <w:rPr/>
      </w:pPr>
      <w:r>
        <w:rPr/>
      </w:r>
    </w:p>
    <w:p>
      <w:pPr>
        <w:pStyle w:val="Style13"/>
        <w:spacing w:lineRule="atLeast" w:line="410"/>
        <w:rPr>
          <w:i w:val="false"/>
          <w:i w:val="false"/>
        </w:rPr>
      </w:pPr>
      <w:r>
        <w:rPr>
          <w:i w:val="false"/>
        </w:rPr>
        <w:t>(</w:t>
      </w:r>
      <w:r>
        <w:rPr>
          <w:i w:val="false"/>
        </w:rPr>
        <w:t>三</w:t>
      </w:r>
      <w:r>
        <w:rPr>
          <w:i w:val="false"/>
        </w:rPr>
        <w:t>)</w:t>
        <w:tab/>
      </w:r>
      <w:r>
        <w:rPr>
          <w:i w:val="false"/>
        </w:rPr>
        <w:t>根據議會提供的資料，由</w:t>
      </w:r>
      <w:r>
        <w:rPr>
          <w:i w:val="false"/>
        </w:rPr>
        <w:t>2012</w:t>
      </w:r>
      <w:r>
        <w:rPr>
          <w:i w:val="false"/>
        </w:rPr>
        <w:t>年至</w:t>
      </w:r>
      <w:r>
        <w:rPr>
          <w:i w:val="false"/>
        </w:rPr>
        <w:t>2014</w:t>
      </w:r>
      <w:r>
        <w:rPr>
          <w:i w:val="false"/>
        </w:rPr>
        <w:t>年，每年完成議會上述培訓課程的畢業學員數目如下：</w:t>
      </w:r>
    </w:p>
    <w:p>
      <w:pPr>
        <w:pStyle w:val="F21"/>
        <w:spacing w:lineRule="atLeast" w:line="400"/>
        <w:rPr/>
      </w:pPr>
      <w:r>
        <w:rPr/>
      </w:r>
    </w:p>
    <w:tbl>
      <w:tblPr>
        <w:tblStyle w:val="a9"/>
        <w:tblW w:w="7778" w:type="dxa"/>
        <w:jc w:val="left"/>
        <w:tblInd w:w="1445" w:type="dxa"/>
        <w:tblCellMar>
          <w:top w:w="0" w:type="dxa"/>
          <w:left w:w="108" w:type="dxa"/>
          <w:bottom w:w="0" w:type="dxa"/>
          <w:right w:w="108" w:type="dxa"/>
        </w:tblCellMar>
        <w:tblLook w:val="01e0" w:noHBand="0" w:noVBand="0" w:firstColumn="1" w:lastRow="1" w:lastColumn="1" w:firstRow="1"/>
      </w:tblPr>
      <w:tblGrid>
        <w:gridCol w:w="3334"/>
        <w:gridCol w:w="1481"/>
        <w:gridCol w:w="1481"/>
        <w:gridCol w:w="1481"/>
      </w:tblGrid>
      <w:tr>
        <w:trPr/>
        <w:tc>
          <w:tcPr>
            <w:tcW w:w="3334" w:type="dxa"/>
            <w:vMerge w:val="restart"/>
            <w:tcBorders/>
            <w:vAlign w:val="center"/>
          </w:tcPr>
          <w:p>
            <w:pPr>
              <w:pStyle w:val="F21"/>
              <w:tabs>
                <w:tab w:val="left" w:pos="480" w:leader="none"/>
                <w:tab w:val="left" w:pos="567" w:leader="none"/>
              </w:tabs>
              <w:spacing w:lineRule="atLeast" w:line="440"/>
              <w:ind w:left="57" w:hanging="0"/>
              <w:jc w:val="center"/>
              <w:rPr>
                <w:i/>
                <w:i/>
              </w:rPr>
            </w:pPr>
            <w:r>
              <w:rPr>
                <w:i/>
              </w:rPr>
              <w:t>培訓課程</w:t>
            </w:r>
          </w:p>
        </w:tc>
        <w:tc>
          <w:tcPr>
            <w:tcW w:w="4443" w:type="dxa"/>
            <w:gridSpan w:val="3"/>
            <w:tcBorders/>
          </w:tcPr>
          <w:p>
            <w:pPr>
              <w:pStyle w:val="F21"/>
              <w:tabs>
                <w:tab w:val="left" w:pos="480" w:leader="none"/>
                <w:tab w:val="left" w:pos="567" w:leader="none"/>
              </w:tabs>
              <w:spacing w:lineRule="atLeast" w:line="440"/>
              <w:jc w:val="center"/>
              <w:rPr>
                <w:i/>
                <w:i/>
              </w:rPr>
            </w:pPr>
            <w:r>
              <w:rPr>
                <w:i/>
              </w:rPr>
              <w:t>畢業學員數目</w:t>
            </w:r>
            <w:r>
              <w:rPr>
                <w:i/>
              </w:rPr>
              <w:t>(</w:t>
            </w:r>
            <w:r>
              <w:rPr>
                <w:i/>
              </w:rPr>
              <w:t>按年份</w:t>
            </w:r>
            <w:r>
              <w:rPr>
                <w:i/>
              </w:rPr>
              <w:t>)</w:t>
            </w:r>
          </w:p>
        </w:tc>
      </w:tr>
      <w:tr>
        <w:trPr/>
        <w:tc>
          <w:tcPr>
            <w:tcW w:w="3334" w:type="dxa"/>
            <w:vMerge w:val="continue"/>
            <w:tcBorders/>
            <w:vAlign w:val="center"/>
          </w:tcPr>
          <w:p>
            <w:pPr>
              <w:pStyle w:val="Normal"/>
              <w:widowControl/>
              <w:spacing w:lineRule="atLeast" w:line="440"/>
              <w:jc w:val="left"/>
              <w:rPr>
                <w:i/>
                <w:i/>
                <w:spacing w:val="20"/>
                <w:sz w:val="27"/>
              </w:rPr>
            </w:pPr>
            <w:r>
              <w:rPr>
                <w:i/>
                <w:spacing w:val="20"/>
                <w:sz w:val="27"/>
              </w:rPr>
            </w:r>
          </w:p>
        </w:tc>
        <w:tc>
          <w:tcPr>
            <w:tcW w:w="1481" w:type="dxa"/>
            <w:tcBorders/>
          </w:tcPr>
          <w:p>
            <w:pPr>
              <w:pStyle w:val="F21"/>
              <w:tabs>
                <w:tab w:val="left" w:pos="480" w:leader="none"/>
                <w:tab w:val="left" w:pos="567" w:leader="none"/>
              </w:tabs>
              <w:spacing w:lineRule="atLeast" w:line="440"/>
              <w:jc w:val="center"/>
              <w:rPr>
                <w:i/>
                <w:i/>
              </w:rPr>
            </w:pPr>
            <w:r>
              <w:rPr>
                <w:i/>
              </w:rPr>
              <w:t>2012</w:t>
            </w:r>
          </w:p>
        </w:tc>
        <w:tc>
          <w:tcPr>
            <w:tcW w:w="1481" w:type="dxa"/>
            <w:tcBorders/>
          </w:tcPr>
          <w:p>
            <w:pPr>
              <w:pStyle w:val="F21"/>
              <w:tabs>
                <w:tab w:val="left" w:pos="480" w:leader="none"/>
                <w:tab w:val="left" w:pos="567" w:leader="none"/>
              </w:tabs>
              <w:spacing w:lineRule="atLeast" w:line="440"/>
              <w:jc w:val="center"/>
              <w:rPr>
                <w:i/>
                <w:i/>
              </w:rPr>
            </w:pPr>
            <w:r>
              <w:rPr>
                <w:i/>
              </w:rPr>
              <w:t>2013</w:t>
            </w:r>
          </w:p>
        </w:tc>
        <w:tc>
          <w:tcPr>
            <w:tcW w:w="1481" w:type="dxa"/>
            <w:tcBorders/>
          </w:tcPr>
          <w:p>
            <w:pPr>
              <w:pStyle w:val="F21"/>
              <w:tabs>
                <w:tab w:val="left" w:pos="480" w:leader="none"/>
                <w:tab w:val="left" w:pos="567" w:leader="none"/>
              </w:tabs>
              <w:spacing w:lineRule="atLeast" w:line="440"/>
              <w:jc w:val="center"/>
              <w:rPr>
                <w:i/>
                <w:i/>
              </w:rPr>
            </w:pPr>
            <w:r>
              <w:rPr>
                <w:i/>
              </w:rPr>
              <w:t>2014</w:t>
            </w:r>
          </w:p>
        </w:tc>
      </w:tr>
      <w:tr>
        <w:trPr/>
        <w:tc>
          <w:tcPr>
            <w:tcW w:w="3334" w:type="dxa"/>
            <w:tcBorders/>
          </w:tcPr>
          <w:p>
            <w:pPr>
              <w:pStyle w:val="F21"/>
              <w:tabs>
                <w:tab w:val="left" w:pos="480" w:leader="none"/>
                <w:tab w:val="left" w:pos="567" w:leader="none"/>
              </w:tabs>
              <w:spacing w:lineRule="atLeast" w:line="440"/>
              <w:ind w:left="57" w:hanging="0"/>
              <w:rPr/>
            </w:pPr>
            <w:r>
              <w:rPr/>
              <w:t>強化計劃</w:t>
            </w:r>
          </w:p>
        </w:tc>
        <w:tc>
          <w:tcPr>
            <w:tcW w:w="1481" w:type="dxa"/>
            <w:tcBorders/>
          </w:tcPr>
          <w:p>
            <w:pPr>
              <w:pStyle w:val="F21"/>
              <w:tabs>
                <w:tab w:val="left" w:pos="480" w:leader="none"/>
                <w:tab w:val="left" w:pos="567" w:leader="none"/>
              </w:tabs>
              <w:spacing w:lineRule="atLeast" w:line="440"/>
              <w:ind w:right="397" w:hanging="0"/>
              <w:jc w:val="right"/>
              <w:rPr/>
            </w:pPr>
            <w:r>
              <w:rPr/>
              <w:t>1 108</w:t>
            </w:r>
          </w:p>
        </w:tc>
        <w:tc>
          <w:tcPr>
            <w:tcW w:w="1481" w:type="dxa"/>
            <w:tcBorders/>
          </w:tcPr>
          <w:p>
            <w:pPr>
              <w:pStyle w:val="F21"/>
              <w:tabs>
                <w:tab w:val="left" w:pos="480" w:leader="none"/>
                <w:tab w:val="left" w:pos="567" w:leader="none"/>
              </w:tabs>
              <w:spacing w:lineRule="atLeast" w:line="440"/>
              <w:ind w:right="397" w:hanging="0"/>
              <w:jc w:val="right"/>
              <w:rPr/>
            </w:pPr>
            <w:r>
              <w:rPr/>
              <w:t>1 625</w:t>
            </w:r>
          </w:p>
        </w:tc>
        <w:tc>
          <w:tcPr>
            <w:tcW w:w="1481" w:type="dxa"/>
            <w:tcBorders/>
          </w:tcPr>
          <w:p>
            <w:pPr>
              <w:pStyle w:val="F21"/>
              <w:tabs>
                <w:tab w:val="left" w:pos="480" w:leader="none"/>
                <w:tab w:val="left" w:pos="567" w:leader="none"/>
              </w:tabs>
              <w:spacing w:lineRule="atLeast" w:line="440"/>
              <w:ind w:right="397" w:hanging="0"/>
              <w:jc w:val="right"/>
              <w:rPr/>
            </w:pPr>
            <w:r>
              <w:rPr/>
              <w:t>2 082</w:t>
            </w:r>
          </w:p>
        </w:tc>
      </w:tr>
      <w:tr>
        <w:trPr/>
        <w:tc>
          <w:tcPr>
            <w:tcW w:w="3334" w:type="dxa"/>
            <w:tcBorders/>
          </w:tcPr>
          <w:p>
            <w:pPr>
              <w:pStyle w:val="F21"/>
              <w:tabs>
                <w:tab w:val="left" w:pos="480" w:leader="none"/>
                <w:tab w:val="left" w:pos="567" w:leader="none"/>
              </w:tabs>
              <w:spacing w:lineRule="atLeast" w:line="440"/>
              <w:ind w:left="57" w:hanging="0"/>
              <w:rPr>
                <w:rFonts w:cs="Times New Roman"/>
              </w:rPr>
            </w:pPr>
            <w:r>
              <w:rPr>
                <w:rFonts w:cs="Times New Roman"/>
              </w:rPr>
              <w:t>合作培訓計劃及其他</w:t>
            </w:r>
            <w:r>
              <w:rPr>
                <w:rFonts w:ascii="華康細明體" w:hAnsi="華康細明體" w:cs="Cambria Math"/>
                <w:vertAlign w:val="superscript"/>
              </w:rPr>
              <w:t>△</w:t>
            </w:r>
          </w:p>
        </w:tc>
        <w:tc>
          <w:tcPr>
            <w:tcW w:w="1481" w:type="dxa"/>
            <w:tcBorders/>
          </w:tcPr>
          <w:p>
            <w:pPr>
              <w:pStyle w:val="F21"/>
              <w:tabs>
                <w:tab w:val="left" w:pos="480" w:leader="none"/>
                <w:tab w:val="left" w:pos="567" w:leader="none"/>
              </w:tabs>
              <w:spacing w:lineRule="atLeast" w:line="440"/>
              <w:ind w:right="397" w:hanging="0"/>
              <w:jc w:val="right"/>
              <w:rPr/>
            </w:pPr>
            <w:r>
              <w:rPr/>
              <w:t>205</w:t>
            </w:r>
          </w:p>
        </w:tc>
        <w:tc>
          <w:tcPr>
            <w:tcW w:w="1481" w:type="dxa"/>
            <w:tcBorders/>
          </w:tcPr>
          <w:p>
            <w:pPr>
              <w:pStyle w:val="F21"/>
              <w:tabs>
                <w:tab w:val="left" w:pos="480" w:leader="none"/>
                <w:tab w:val="left" w:pos="567" w:leader="none"/>
              </w:tabs>
              <w:spacing w:lineRule="atLeast" w:line="440"/>
              <w:ind w:right="397" w:hanging="0"/>
              <w:jc w:val="right"/>
              <w:rPr/>
            </w:pPr>
            <w:r>
              <w:rPr/>
              <w:t>230</w:t>
            </w:r>
          </w:p>
        </w:tc>
        <w:tc>
          <w:tcPr>
            <w:tcW w:w="1481" w:type="dxa"/>
            <w:tcBorders/>
          </w:tcPr>
          <w:p>
            <w:pPr>
              <w:pStyle w:val="F21"/>
              <w:tabs>
                <w:tab w:val="left" w:pos="480" w:leader="none"/>
                <w:tab w:val="left" w:pos="567" w:leader="none"/>
              </w:tabs>
              <w:spacing w:lineRule="atLeast" w:line="440"/>
              <w:ind w:right="397" w:hanging="0"/>
              <w:jc w:val="right"/>
              <w:rPr/>
            </w:pPr>
            <w:r>
              <w:rPr/>
              <w:t>1 234</w:t>
            </w:r>
          </w:p>
        </w:tc>
      </w:tr>
      <w:tr>
        <w:trPr/>
        <w:tc>
          <w:tcPr>
            <w:tcW w:w="3334" w:type="dxa"/>
            <w:tcBorders/>
          </w:tcPr>
          <w:p>
            <w:pPr>
              <w:pStyle w:val="F21"/>
              <w:tabs>
                <w:tab w:val="left" w:pos="480" w:leader="none"/>
                <w:tab w:val="left" w:pos="567" w:leader="none"/>
              </w:tabs>
              <w:spacing w:lineRule="atLeast" w:line="440"/>
              <w:ind w:left="57" w:hanging="0"/>
              <w:rPr/>
            </w:pPr>
            <w:r>
              <w:rPr/>
              <w:t>成年人全日制短期課程</w:t>
            </w:r>
          </w:p>
        </w:tc>
        <w:tc>
          <w:tcPr>
            <w:tcW w:w="1481" w:type="dxa"/>
            <w:tcBorders/>
          </w:tcPr>
          <w:p>
            <w:pPr>
              <w:pStyle w:val="F21"/>
              <w:tabs>
                <w:tab w:val="left" w:pos="480" w:leader="none"/>
                <w:tab w:val="left" w:pos="567" w:leader="none"/>
              </w:tabs>
              <w:spacing w:lineRule="atLeast" w:line="440"/>
              <w:ind w:right="397" w:hanging="0"/>
              <w:jc w:val="right"/>
              <w:rPr/>
            </w:pPr>
            <w:r>
              <w:rPr/>
              <w:t>827</w:t>
            </w:r>
          </w:p>
        </w:tc>
        <w:tc>
          <w:tcPr>
            <w:tcW w:w="1481" w:type="dxa"/>
            <w:tcBorders/>
          </w:tcPr>
          <w:p>
            <w:pPr>
              <w:pStyle w:val="F21"/>
              <w:tabs>
                <w:tab w:val="left" w:pos="480" w:leader="none"/>
                <w:tab w:val="left" w:pos="567" w:leader="none"/>
              </w:tabs>
              <w:spacing w:lineRule="atLeast" w:line="440"/>
              <w:ind w:right="397" w:hanging="0"/>
              <w:jc w:val="right"/>
              <w:rPr/>
            </w:pPr>
            <w:r>
              <w:rPr/>
              <w:t>1 103</w:t>
            </w:r>
          </w:p>
        </w:tc>
        <w:tc>
          <w:tcPr>
            <w:tcW w:w="1481" w:type="dxa"/>
            <w:tcBorders/>
          </w:tcPr>
          <w:p>
            <w:pPr>
              <w:pStyle w:val="F21"/>
              <w:tabs>
                <w:tab w:val="left" w:pos="480" w:leader="none"/>
                <w:tab w:val="left" w:pos="567" w:leader="none"/>
              </w:tabs>
              <w:spacing w:lineRule="atLeast" w:line="440"/>
              <w:ind w:right="397" w:hanging="0"/>
              <w:jc w:val="right"/>
              <w:rPr/>
            </w:pPr>
            <w:r>
              <w:rPr/>
              <w:t>1 079</w:t>
            </w:r>
          </w:p>
        </w:tc>
      </w:tr>
      <w:tr>
        <w:trPr/>
        <w:tc>
          <w:tcPr>
            <w:tcW w:w="3334" w:type="dxa"/>
            <w:tcBorders/>
          </w:tcPr>
          <w:p>
            <w:pPr>
              <w:pStyle w:val="F21"/>
              <w:tabs>
                <w:tab w:val="left" w:pos="480" w:leader="none"/>
                <w:tab w:val="left" w:pos="567" w:leader="none"/>
              </w:tabs>
              <w:spacing w:lineRule="atLeast" w:line="440"/>
              <w:ind w:left="57" w:hanging="0"/>
              <w:rPr/>
            </w:pPr>
            <w:r>
              <w:rPr/>
              <w:t>基本工藝課程</w:t>
            </w:r>
          </w:p>
        </w:tc>
        <w:tc>
          <w:tcPr>
            <w:tcW w:w="1481" w:type="dxa"/>
            <w:tcBorders/>
          </w:tcPr>
          <w:p>
            <w:pPr>
              <w:pStyle w:val="F21"/>
              <w:tabs>
                <w:tab w:val="left" w:pos="480" w:leader="none"/>
                <w:tab w:val="left" w:pos="567" w:leader="none"/>
              </w:tabs>
              <w:spacing w:lineRule="atLeast" w:line="440"/>
              <w:ind w:right="397" w:hanging="0"/>
              <w:jc w:val="right"/>
              <w:rPr/>
            </w:pPr>
            <w:r>
              <w:rPr/>
              <w:t>266</w:t>
            </w:r>
          </w:p>
        </w:tc>
        <w:tc>
          <w:tcPr>
            <w:tcW w:w="1481" w:type="dxa"/>
            <w:tcBorders/>
          </w:tcPr>
          <w:p>
            <w:pPr>
              <w:pStyle w:val="F21"/>
              <w:tabs>
                <w:tab w:val="left" w:pos="480" w:leader="none"/>
                <w:tab w:val="left" w:pos="567" w:leader="none"/>
              </w:tabs>
              <w:spacing w:lineRule="atLeast" w:line="440"/>
              <w:ind w:right="397" w:hanging="0"/>
              <w:jc w:val="right"/>
              <w:rPr/>
            </w:pPr>
            <w:r>
              <w:rPr/>
              <w:t>236</w:t>
            </w:r>
          </w:p>
        </w:tc>
        <w:tc>
          <w:tcPr>
            <w:tcW w:w="1481" w:type="dxa"/>
            <w:tcBorders/>
          </w:tcPr>
          <w:p>
            <w:pPr>
              <w:pStyle w:val="F21"/>
              <w:tabs>
                <w:tab w:val="left" w:pos="480" w:leader="none"/>
                <w:tab w:val="left" w:pos="567" w:leader="none"/>
              </w:tabs>
              <w:spacing w:lineRule="atLeast" w:line="440"/>
              <w:ind w:right="397" w:hanging="0"/>
              <w:jc w:val="right"/>
              <w:rPr/>
            </w:pPr>
            <w:r>
              <w:rPr/>
              <w:t>483</w:t>
            </w:r>
          </w:p>
        </w:tc>
      </w:tr>
      <w:tr>
        <w:trPr/>
        <w:tc>
          <w:tcPr>
            <w:tcW w:w="3334" w:type="dxa"/>
            <w:tcBorders/>
          </w:tcPr>
          <w:p>
            <w:pPr>
              <w:pStyle w:val="F21"/>
              <w:tabs>
                <w:tab w:val="left" w:pos="480" w:leader="none"/>
                <w:tab w:val="left" w:pos="567" w:leader="none"/>
              </w:tabs>
              <w:spacing w:lineRule="atLeast" w:line="440"/>
              <w:ind w:left="57" w:hanging="0"/>
              <w:rPr/>
            </w:pPr>
            <w:r>
              <w:rPr/>
              <w:t>總數</w:t>
            </w:r>
          </w:p>
        </w:tc>
        <w:tc>
          <w:tcPr>
            <w:tcW w:w="1481" w:type="dxa"/>
            <w:tcBorders/>
          </w:tcPr>
          <w:p>
            <w:pPr>
              <w:pStyle w:val="F21"/>
              <w:tabs>
                <w:tab w:val="left" w:pos="480" w:leader="none"/>
                <w:tab w:val="left" w:pos="567" w:leader="none"/>
              </w:tabs>
              <w:spacing w:lineRule="atLeast" w:line="440"/>
              <w:ind w:right="397" w:hanging="0"/>
              <w:jc w:val="right"/>
              <w:rPr/>
            </w:pPr>
            <w:r>
              <w:rPr/>
              <w:t>2 406</w:t>
            </w:r>
          </w:p>
        </w:tc>
        <w:tc>
          <w:tcPr>
            <w:tcW w:w="1481" w:type="dxa"/>
            <w:tcBorders/>
          </w:tcPr>
          <w:p>
            <w:pPr>
              <w:pStyle w:val="F21"/>
              <w:tabs>
                <w:tab w:val="left" w:pos="480" w:leader="none"/>
                <w:tab w:val="left" w:pos="567" w:leader="none"/>
              </w:tabs>
              <w:spacing w:lineRule="atLeast" w:line="440"/>
              <w:ind w:right="397" w:hanging="0"/>
              <w:jc w:val="right"/>
              <w:rPr/>
            </w:pPr>
            <w:r>
              <w:rPr/>
              <w:t>3 194</w:t>
            </w:r>
          </w:p>
        </w:tc>
        <w:tc>
          <w:tcPr>
            <w:tcW w:w="1481" w:type="dxa"/>
            <w:tcBorders/>
          </w:tcPr>
          <w:p>
            <w:pPr>
              <w:pStyle w:val="F21"/>
              <w:tabs>
                <w:tab w:val="left" w:pos="480" w:leader="none"/>
                <w:tab w:val="left" w:pos="567" w:leader="none"/>
              </w:tabs>
              <w:spacing w:lineRule="atLeast" w:line="440"/>
              <w:ind w:right="397" w:hanging="0"/>
              <w:jc w:val="right"/>
              <w:rPr/>
            </w:pPr>
            <w:r>
              <w:rPr/>
              <w:t>4 878</w:t>
            </w:r>
          </w:p>
        </w:tc>
      </w:tr>
    </w:tbl>
    <w:p>
      <w:pPr>
        <w:pStyle w:val="F21"/>
        <w:spacing w:lineRule="auto" w:line="240"/>
        <w:ind w:left="1985" w:hanging="567"/>
        <w:rPr>
          <w:rFonts w:cs="Times New Roman"/>
          <w:sz w:val="20"/>
          <w:szCs w:val="20"/>
        </w:rPr>
      </w:pPr>
      <w:r>
        <w:rPr>
          <w:rFonts w:cs="Times New Roman"/>
          <w:sz w:val="20"/>
          <w:szCs w:val="20"/>
        </w:rPr>
      </w:r>
    </w:p>
    <w:p>
      <w:pPr>
        <w:pStyle w:val="F21"/>
        <w:spacing w:lineRule="auto" w:line="240"/>
        <w:ind w:left="1985" w:hanging="567"/>
        <w:rPr>
          <w:sz w:val="20"/>
          <w:szCs w:val="20"/>
        </w:rPr>
      </w:pPr>
      <w:r>
        <w:rPr>
          <w:sz w:val="20"/>
          <w:szCs w:val="20"/>
        </w:rPr>
        <w:t>註：</w:t>
      </w:r>
    </w:p>
    <w:p>
      <w:pPr>
        <w:pStyle w:val="F21"/>
        <w:spacing w:lineRule="auto" w:line="240"/>
        <w:ind w:left="1985" w:hanging="567"/>
        <w:rPr>
          <w:sz w:val="20"/>
          <w:szCs w:val="20"/>
        </w:rPr>
      </w:pPr>
      <w:r>
        <w:rPr>
          <w:sz w:val="20"/>
          <w:szCs w:val="20"/>
        </w:rPr>
      </w:r>
    </w:p>
    <w:p>
      <w:pPr>
        <w:pStyle w:val="F21"/>
        <w:spacing w:lineRule="auto" w:line="240"/>
        <w:ind w:left="1985" w:hanging="567"/>
        <w:rPr>
          <w:rFonts w:cs="Times New Roman"/>
          <w:sz w:val="20"/>
          <w:szCs w:val="20"/>
        </w:rPr>
      </w:pPr>
      <w:r>
        <w:rPr>
          <w:rFonts w:cs="Cambria Math" w:ascii="華康細明體" w:hAnsi="華康細明體"/>
          <w:sz w:val="20"/>
          <w:szCs w:val="20"/>
        </w:rPr>
        <w:t>△</w:t>
      </w:r>
      <w:r>
        <w:rPr>
          <w:rFonts w:cs="Times New Roman"/>
          <w:sz w:val="20"/>
          <w:szCs w:val="20"/>
        </w:rPr>
        <w:tab/>
      </w:r>
      <w:r>
        <w:rPr>
          <w:rFonts w:cs="Times New Roman"/>
          <w:sz w:val="20"/>
          <w:szCs w:val="20"/>
        </w:rPr>
        <w:t>其他包括議會資助職業訓練局的機電基本工藝課程及培訓懲教署在囚人士。</w:t>
      </w:r>
    </w:p>
    <w:p>
      <w:pPr>
        <w:pStyle w:val="Normal"/>
        <w:widowControl/>
        <w:tabs>
          <w:tab w:val="clear" w:pos="720"/>
        </w:tabs>
        <w:spacing w:lineRule="auto" w:line="276" w:before="0" w:after="200"/>
        <w:jc w:val="left"/>
        <w:rPr>
          <w:rFonts w:cs="" w:cstheme="minorBidi"/>
          <w:spacing w:val="20"/>
          <w:sz w:val="27"/>
          <w:lang w:val="en-US"/>
        </w:rPr>
      </w:pPr>
      <w:r>
        <w:rPr>
          <w:rFonts w:cs="" w:cstheme="minorBidi"/>
          <w:spacing w:val="20"/>
          <w:sz w:val="27"/>
          <w:lang w:val="en-US"/>
        </w:rPr>
      </w:r>
      <w:r>
        <w:br w:type="page"/>
      </w:r>
    </w:p>
    <w:p>
      <w:pPr>
        <w:pStyle w:val="Style13"/>
        <w:spacing w:lineRule="atLeast" w:line="370"/>
        <w:rPr>
          <w:i w:val="false"/>
          <w:i w:val="false"/>
        </w:rPr>
      </w:pPr>
      <w:r>
        <w:rPr>
          <w:i w:val="false"/>
        </w:rPr>
        <w:t>(</w:t>
      </w:r>
      <w:r>
        <w:rPr>
          <w:i w:val="false"/>
        </w:rPr>
        <w:t>四</w:t>
      </w:r>
      <w:r>
        <w:rPr>
          <w:i w:val="false"/>
        </w:rPr>
        <w:t>)</w:t>
        <w:tab/>
      </w:r>
      <w:r>
        <w:rPr>
          <w:i w:val="false"/>
        </w:rPr>
        <w:t>根據議會提供的資料，由</w:t>
      </w:r>
      <w:r>
        <w:rPr>
          <w:i w:val="false"/>
        </w:rPr>
        <w:t>2012</w:t>
      </w:r>
      <w:r>
        <w:rPr>
          <w:i w:val="false"/>
        </w:rPr>
        <w:t>年至</w:t>
      </w:r>
      <w:r>
        <w:rPr>
          <w:i w:val="false"/>
        </w:rPr>
        <w:t>2014</w:t>
      </w:r>
      <w:r>
        <w:rPr>
          <w:i w:val="false"/>
        </w:rPr>
        <w:t>年，完成上述課程後加入建造業的畢業學員的就業比率</w:t>
      </w:r>
      <w:r>
        <w:rPr>
          <w:i w:val="false"/>
          <w:vertAlign w:val="superscript"/>
        </w:rPr>
        <w:t>(</w:t>
      </w:r>
      <w:r>
        <w:rPr>
          <w:rStyle w:val="FootnoteAnchor"/>
          <w:i w:val="false"/>
        </w:rPr>
        <w:footnoteReference w:id="3"/>
      </w:r>
      <w:r>
        <w:rPr>
          <w:i w:val="false"/>
          <w:vertAlign w:val="superscript"/>
        </w:rPr>
        <w:t>)</w:t>
      </w:r>
      <w:r>
        <w:rPr>
          <w:i w:val="false"/>
        </w:rPr>
        <w:t>如下：</w:t>
      </w:r>
    </w:p>
    <w:p>
      <w:pPr>
        <w:pStyle w:val="F21"/>
        <w:spacing w:lineRule="atLeast" w:line="370"/>
        <w:rPr/>
      </w:pPr>
      <w:r>
        <w:rPr/>
      </w:r>
    </w:p>
    <w:tbl>
      <w:tblPr>
        <w:tblStyle w:val="a9"/>
        <w:tblW w:w="7817" w:type="dxa"/>
        <w:jc w:val="left"/>
        <w:tblInd w:w="1405" w:type="dxa"/>
        <w:tblCellMar>
          <w:top w:w="0" w:type="dxa"/>
          <w:left w:w="108" w:type="dxa"/>
          <w:bottom w:w="0" w:type="dxa"/>
          <w:right w:w="108" w:type="dxa"/>
        </w:tblCellMar>
        <w:tblLook w:val="01e0" w:noHBand="0" w:noVBand="0" w:firstColumn="1" w:lastRow="1" w:lastColumn="1" w:firstRow="1"/>
      </w:tblPr>
      <w:tblGrid>
        <w:gridCol w:w="3373"/>
        <w:gridCol w:w="1481"/>
        <w:gridCol w:w="1480"/>
        <w:gridCol w:w="1482"/>
      </w:tblGrid>
      <w:tr>
        <w:trPr/>
        <w:tc>
          <w:tcPr>
            <w:tcW w:w="3373" w:type="dxa"/>
            <w:vMerge w:val="restart"/>
            <w:tcBorders/>
            <w:vAlign w:val="center"/>
          </w:tcPr>
          <w:p>
            <w:pPr>
              <w:pStyle w:val="F21"/>
              <w:tabs>
                <w:tab w:val="left" w:pos="480" w:leader="none"/>
                <w:tab w:val="left" w:pos="567" w:leader="none"/>
              </w:tabs>
              <w:spacing w:lineRule="atLeast" w:line="370"/>
              <w:ind w:left="57" w:hanging="0"/>
              <w:jc w:val="center"/>
              <w:rPr>
                <w:i/>
                <w:i/>
              </w:rPr>
            </w:pPr>
            <w:r>
              <w:rPr>
                <w:i/>
              </w:rPr>
              <w:t>培訓課程</w:t>
            </w:r>
          </w:p>
        </w:tc>
        <w:tc>
          <w:tcPr>
            <w:tcW w:w="4443" w:type="dxa"/>
            <w:gridSpan w:val="3"/>
            <w:tcBorders/>
          </w:tcPr>
          <w:p>
            <w:pPr>
              <w:pStyle w:val="F21"/>
              <w:tabs>
                <w:tab w:val="left" w:pos="480" w:leader="none"/>
                <w:tab w:val="left" w:pos="567" w:leader="none"/>
              </w:tabs>
              <w:spacing w:lineRule="atLeast" w:line="370"/>
              <w:jc w:val="center"/>
              <w:rPr>
                <w:i/>
                <w:i/>
              </w:rPr>
            </w:pPr>
            <w:r>
              <w:rPr>
                <w:i/>
              </w:rPr>
              <w:t>就業比率</w:t>
            </w:r>
            <w:r>
              <w:rPr>
                <w:i/>
              </w:rPr>
              <w:t>(</w:t>
            </w:r>
            <w:r>
              <w:rPr>
                <w:i/>
              </w:rPr>
              <w:t>按年份</w:t>
            </w:r>
            <w:r>
              <w:rPr>
                <w:i/>
              </w:rPr>
              <w:t>)</w:t>
            </w:r>
          </w:p>
        </w:tc>
      </w:tr>
      <w:tr>
        <w:trPr/>
        <w:tc>
          <w:tcPr>
            <w:tcW w:w="3373" w:type="dxa"/>
            <w:vMerge w:val="continue"/>
            <w:tcBorders/>
            <w:vAlign w:val="center"/>
          </w:tcPr>
          <w:p>
            <w:pPr>
              <w:pStyle w:val="Normal"/>
              <w:widowControl/>
              <w:spacing w:lineRule="atLeast" w:line="370"/>
              <w:jc w:val="left"/>
              <w:rPr>
                <w:i/>
                <w:i/>
                <w:spacing w:val="20"/>
                <w:sz w:val="27"/>
              </w:rPr>
            </w:pPr>
            <w:r>
              <w:rPr>
                <w:i/>
                <w:spacing w:val="20"/>
                <w:sz w:val="27"/>
              </w:rPr>
            </w:r>
          </w:p>
        </w:tc>
        <w:tc>
          <w:tcPr>
            <w:tcW w:w="1481" w:type="dxa"/>
            <w:tcBorders/>
          </w:tcPr>
          <w:p>
            <w:pPr>
              <w:pStyle w:val="F21"/>
              <w:tabs>
                <w:tab w:val="left" w:pos="480" w:leader="none"/>
                <w:tab w:val="left" w:pos="567" w:leader="none"/>
              </w:tabs>
              <w:spacing w:lineRule="atLeast" w:line="370"/>
              <w:jc w:val="center"/>
              <w:rPr>
                <w:i/>
                <w:i/>
              </w:rPr>
            </w:pPr>
            <w:r>
              <w:rPr>
                <w:i/>
              </w:rPr>
              <w:t>2012</w:t>
            </w:r>
          </w:p>
        </w:tc>
        <w:tc>
          <w:tcPr>
            <w:tcW w:w="1480" w:type="dxa"/>
            <w:tcBorders/>
          </w:tcPr>
          <w:p>
            <w:pPr>
              <w:pStyle w:val="F21"/>
              <w:tabs>
                <w:tab w:val="left" w:pos="480" w:leader="none"/>
                <w:tab w:val="left" w:pos="567" w:leader="none"/>
              </w:tabs>
              <w:spacing w:lineRule="atLeast" w:line="370"/>
              <w:jc w:val="center"/>
              <w:rPr>
                <w:i/>
                <w:i/>
              </w:rPr>
            </w:pPr>
            <w:r>
              <w:rPr>
                <w:i/>
              </w:rPr>
              <w:t>2013</w:t>
            </w:r>
          </w:p>
        </w:tc>
        <w:tc>
          <w:tcPr>
            <w:tcW w:w="1482" w:type="dxa"/>
            <w:tcBorders/>
          </w:tcPr>
          <w:p>
            <w:pPr>
              <w:pStyle w:val="F21"/>
              <w:tabs>
                <w:tab w:val="left" w:pos="480" w:leader="none"/>
                <w:tab w:val="left" w:pos="567" w:leader="none"/>
              </w:tabs>
              <w:spacing w:lineRule="atLeast" w:line="370"/>
              <w:jc w:val="center"/>
              <w:rPr>
                <w:i/>
                <w:i/>
              </w:rPr>
            </w:pPr>
            <w:r>
              <w:rPr>
                <w:i/>
              </w:rPr>
              <w:t>2014</w:t>
            </w:r>
          </w:p>
        </w:tc>
      </w:tr>
      <w:tr>
        <w:trPr/>
        <w:tc>
          <w:tcPr>
            <w:tcW w:w="3373" w:type="dxa"/>
            <w:tcBorders/>
          </w:tcPr>
          <w:p>
            <w:pPr>
              <w:pStyle w:val="F21"/>
              <w:tabs>
                <w:tab w:val="left" w:pos="480" w:leader="none"/>
                <w:tab w:val="left" w:pos="567" w:leader="none"/>
              </w:tabs>
              <w:spacing w:lineRule="atLeast" w:line="370"/>
              <w:ind w:left="57" w:hanging="0"/>
              <w:rPr/>
            </w:pPr>
            <w:r>
              <w:rPr/>
              <w:t>強化計劃</w:t>
            </w:r>
          </w:p>
        </w:tc>
        <w:tc>
          <w:tcPr>
            <w:tcW w:w="1481" w:type="dxa"/>
            <w:tcBorders/>
          </w:tcPr>
          <w:p>
            <w:pPr>
              <w:pStyle w:val="F21"/>
              <w:tabs>
                <w:tab w:val="left" w:pos="480" w:leader="none"/>
                <w:tab w:val="left" w:pos="567" w:leader="none"/>
              </w:tabs>
              <w:spacing w:lineRule="atLeast" w:line="370"/>
              <w:jc w:val="center"/>
              <w:rPr/>
            </w:pPr>
            <w:r>
              <w:rPr/>
              <w:t>93%</w:t>
            </w:r>
          </w:p>
        </w:tc>
        <w:tc>
          <w:tcPr>
            <w:tcW w:w="1480" w:type="dxa"/>
            <w:tcBorders/>
          </w:tcPr>
          <w:p>
            <w:pPr>
              <w:pStyle w:val="F21"/>
              <w:tabs>
                <w:tab w:val="left" w:pos="480" w:leader="none"/>
                <w:tab w:val="left" w:pos="567" w:leader="none"/>
              </w:tabs>
              <w:spacing w:lineRule="atLeast" w:line="370"/>
              <w:jc w:val="center"/>
              <w:rPr/>
            </w:pPr>
            <w:r>
              <w:rPr/>
              <w:t>94%</w:t>
            </w:r>
          </w:p>
        </w:tc>
        <w:tc>
          <w:tcPr>
            <w:tcW w:w="1482" w:type="dxa"/>
            <w:tcBorders/>
          </w:tcPr>
          <w:p>
            <w:pPr>
              <w:pStyle w:val="F21"/>
              <w:tabs>
                <w:tab w:val="left" w:pos="480" w:leader="none"/>
                <w:tab w:val="left" w:pos="567" w:leader="none"/>
              </w:tabs>
              <w:spacing w:lineRule="atLeast" w:line="370"/>
              <w:jc w:val="center"/>
              <w:rPr/>
            </w:pPr>
            <w:r>
              <w:rPr/>
              <w:t>92%</w:t>
            </w:r>
          </w:p>
        </w:tc>
      </w:tr>
      <w:tr>
        <w:trPr/>
        <w:tc>
          <w:tcPr>
            <w:tcW w:w="3373" w:type="dxa"/>
            <w:tcBorders/>
          </w:tcPr>
          <w:p>
            <w:pPr>
              <w:pStyle w:val="F21"/>
              <w:tabs>
                <w:tab w:val="left" w:pos="480" w:leader="none"/>
                <w:tab w:val="left" w:pos="567" w:leader="none"/>
              </w:tabs>
              <w:spacing w:lineRule="atLeast" w:line="370"/>
              <w:ind w:left="57" w:hanging="0"/>
              <w:rPr/>
            </w:pPr>
            <w:r>
              <w:rPr/>
              <w:t>合作培訓計劃</w:t>
            </w:r>
          </w:p>
        </w:tc>
        <w:tc>
          <w:tcPr>
            <w:tcW w:w="4443" w:type="dxa"/>
            <w:gridSpan w:val="3"/>
            <w:tcBorders/>
          </w:tcPr>
          <w:p>
            <w:pPr>
              <w:pStyle w:val="F21"/>
              <w:tabs>
                <w:tab w:val="left" w:pos="480" w:leader="none"/>
                <w:tab w:val="left" w:pos="567" w:leader="none"/>
              </w:tabs>
              <w:spacing w:lineRule="atLeast" w:line="370"/>
              <w:jc w:val="center"/>
              <w:rPr/>
            </w:pPr>
            <w:r>
              <w:rPr/>
              <w:t>學員在工地培訓時已獲聘請</w:t>
            </w:r>
          </w:p>
        </w:tc>
      </w:tr>
      <w:tr>
        <w:trPr/>
        <w:tc>
          <w:tcPr>
            <w:tcW w:w="3373" w:type="dxa"/>
            <w:tcBorders/>
          </w:tcPr>
          <w:p>
            <w:pPr>
              <w:pStyle w:val="F21"/>
              <w:tabs>
                <w:tab w:val="left" w:pos="480" w:leader="none"/>
                <w:tab w:val="left" w:pos="567" w:leader="none"/>
              </w:tabs>
              <w:spacing w:lineRule="atLeast" w:line="370"/>
              <w:ind w:left="57" w:hanging="0"/>
              <w:rPr/>
            </w:pPr>
            <w:r>
              <w:rPr/>
              <w:t>成年人全日制短期課程</w:t>
            </w:r>
          </w:p>
        </w:tc>
        <w:tc>
          <w:tcPr>
            <w:tcW w:w="1481" w:type="dxa"/>
            <w:tcBorders/>
          </w:tcPr>
          <w:p>
            <w:pPr>
              <w:pStyle w:val="F21"/>
              <w:tabs>
                <w:tab w:val="left" w:pos="480" w:leader="none"/>
                <w:tab w:val="left" w:pos="567" w:leader="none"/>
              </w:tabs>
              <w:spacing w:lineRule="atLeast" w:line="370"/>
              <w:jc w:val="center"/>
              <w:rPr/>
            </w:pPr>
            <w:r>
              <w:rPr/>
              <w:t>84%</w:t>
            </w:r>
          </w:p>
        </w:tc>
        <w:tc>
          <w:tcPr>
            <w:tcW w:w="1480" w:type="dxa"/>
            <w:tcBorders/>
          </w:tcPr>
          <w:p>
            <w:pPr>
              <w:pStyle w:val="F21"/>
              <w:tabs>
                <w:tab w:val="left" w:pos="480" w:leader="none"/>
                <w:tab w:val="left" w:pos="567" w:leader="none"/>
              </w:tabs>
              <w:spacing w:lineRule="atLeast" w:line="370"/>
              <w:jc w:val="center"/>
              <w:rPr/>
            </w:pPr>
            <w:r>
              <w:rPr/>
              <w:t>85%</w:t>
            </w:r>
          </w:p>
        </w:tc>
        <w:tc>
          <w:tcPr>
            <w:tcW w:w="1482" w:type="dxa"/>
            <w:tcBorders/>
          </w:tcPr>
          <w:p>
            <w:pPr>
              <w:pStyle w:val="F21"/>
              <w:tabs>
                <w:tab w:val="left" w:pos="480" w:leader="none"/>
                <w:tab w:val="left" w:pos="567" w:leader="none"/>
              </w:tabs>
              <w:spacing w:lineRule="atLeast" w:line="370"/>
              <w:jc w:val="center"/>
              <w:rPr/>
            </w:pPr>
            <w:r>
              <w:rPr/>
              <w:t>81%</w:t>
            </w:r>
          </w:p>
        </w:tc>
      </w:tr>
      <w:tr>
        <w:trPr/>
        <w:tc>
          <w:tcPr>
            <w:tcW w:w="3373" w:type="dxa"/>
            <w:tcBorders/>
          </w:tcPr>
          <w:p>
            <w:pPr>
              <w:pStyle w:val="F21"/>
              <w:tabs>
                <w:tab w:val="left" w:pos="480" w:leader="none"/>
                <w:tab w:val="left" w:pos="567" w:leader="none"/>
              </w:tabs>
              <w:spacing w:lineRule="atLeast" w:line="370"/>
              <w:ind w:left="57" w:hanging="0"/>
              <w:rPr/>
            </w:pPr>
            <w:r>
              <w:rPr/>
              <w:t>基本工藝課程</w:t>
            </w:r>
          </w:p>
        </w:tc>
        <w:tc>
          <w:tcPr>
            <w:tcW w:w="1481" w:type="dxa"/>
            <w:tcBorders/>
          </w:tcPr>
          <w:p>
            <w:pPr>
              <w:pStyle w:val="F21"/>
              <w:tabs>
                <w:tab w:val="left" w:pos="480" w:leader="none"/>
                <w:tab w:val="left" w:pos="567" w:leader="none"/>
              </w:tabs>
              <w:spacing w:lineRule="atLeast" w:line="370"/>
              <w:jc w:val="center"/>
              <w:rPr/>
            </w:pPr>
            <w:r>
              <w:rPr/>
              <w:t>96%</w:t>
            </w:r>
          </w:p>
        </w:tc>
        <w:tc>
          <w:tcPr>
            <w:tcW w:w="1480" w:type="dxa"/>
            <w:tcBorders/>
          </w:tcPr>
          <w:p>
            <w:pPr>
              <w:pStyle w:val="F21"/>
              <w:tabs>
                <w:tab w:val="left" w:pos="480" w:leader="none"/>
                <w:tab w:val="left" w:pos="567" w:leader="none"/>
              </w:tabs>
              <w:spacing w:lineRule="atLeast" w:line="370"/>
              <w:jc w:val="center"/>
              <w:rPr/>
            </w:pPr>
            <w:r>
              <w:rPr/>
              <w:t>97%</w:t>
            </w:r>
          </w:p>
        </w:tc>
        <w:tc>
          <w:tcPr>
            <w:tcW w:w="1482" w:type="dxa"/>
            <w:tcBorders/>
          </w:tcPr>
          <w:p>
            <w:pPr>
              <w:pStyle w:val="F21"/>
              <w:tabs>
                <w:tab w:val="left" w:pos="480" w:leader="none"/>
                <w:tab w:val="left" w:pos="567" w:leader="none"/>
              </w:tabs>
              <w:spacing w:lineRule="atLeast" w:line="370"/>
              <w:jc w:val="center"/>
              <w:rPr/>
            </w:pPr>
            <w:r>
              <w:rPr/>
              <w:t>93%</w:t>
            </w:r>
          </w:p>
        </w:tc>
      </w:tr>
    </w:tbl>
    <w:p>
      <w:pPr>
        <w:pStyle w:val="F21"/>
        <w:spacing w:lineRule="atLeast" w:line="370"/>
        <w:rPr>
          <w:rFonts w:cs="Times New Roman"/>
          <w:szCs w:val="26"/>
        </w:rPr>
      </w:pPr>
      <w:r>
        <w:rPr>
          <w:rFonts w:cs="Times New Roman"/>
          <w:szCs w:val="26"/>
        </w:rPr>
      </w:r>
    </w:p>
    <w:p>
      <w:pPr>
        <w:pStyle w:val="Style13"/>
        <w:spacing w:lineRule="atLeast" w:line="370"/>
        <w:rPr>
          <w:i w:val="false"/>
          <w:i w:val="false"/>
        </w:rPr>
      </w:pPr>
      <w:r>
        <w:rPr>
          <w:i w:val="false"/>
        </w:rPr>
        <w:t>(</w:t>
      </w:r>
      <w:r>
        <w:rPr>
          <w:i w:val="false"/>
        </w:rPr>
        <w:t>五</w:t>
      </w:r>
      <w:r>
        <w:rPr>
          <w:i w:val="false"/>
        </w:rPr>
        <w:t>)</w:t>
        <w:tab/>
      </w:r>
      <w:r>
        <w:rPr>
          <w:i w:val="false"/>
        </w:rPr>
        <w:t>為了解培訓建造業工人的全日制課程畢業學員的留職概況，議會以電話訪問形式跟進學員畢業後</w:t>
      </w:r>
      <w:r>
        <w:rPr>
          <w:i w:val="false"/>
        </w:rPr>
        <w:t>12</w:t>
      </w:r>
      <w:r>
        <w:rPr>
          <w:i w:val="false"/>
        </w:rPr>
        <w:t>個月的就業概況</w:t>
      </w:r>
      <w:r>
        <w:rPr>
          <w:i w:val="false"/>
          <w:vertAlign w:val="superscript"/>
        </w:rPr>
        <w:t>(</w:t>
      </w:r>
      <w:r>
        <w:rPr>
          <w:rStyle w:val="FootnoteAnchor"/>
          <w:i w:val="false"/>
        </w:rPr>
        <w:footnoteReference w:id="4"/>
      </w:r>
      <w:r>
        <w:rPr>
          <w:i w:val="false"/>
          <w:vertAlign w:val="superscript"/>
        </w:rPr>
        <w:t>)</w:t>
      </w:r>
      <w:r>
        <w:rPr>
          <w:i w:val="false"/>
        </w:rPr>
        <w:t>。根據議會提供的資料，在</w:t>
      </w:r>
      <w:r>
        <w:rPr>
          <w:i w:val="false"/>
        </w:rPr>
        <w:t>2012</w:t>
      </w:r>
      <w:r>
        <w:rPr>
          <w:i w:val="false"/>
        </w:rPr>
        <w:t>年及</w:t>
      </w:r>
      <w:r>
        <w:rPr>
          <w:i w:val="false"/>
        </w:rPr>
        <w:t>2013</w:t>
      </w:r>
      <w:r>
        <w:rPr>
          <w:i w:val="false"/>
        </w:rPr>
        <w:t>年完成各項培訓課程的學員於畢業</w:t>
      </w:r>
      <w:r>
        <w:rPr>
          <w:i w:val="false"/>
        </w:rPr>
        <w:t>12</w:t>
      </w:r>
      <w:r>
        <w:rPr>
          <w:i w:val="false"/>
        </w:rPr>
        <w:t>個月後的留職率如下：</w:t>
      </w:r>
    </w:p>
    <w:p>
      <w:pPr>
        <w:pStyle w:val="F21"/>
        <w:spacing w:lineRule="atLeast" w:line="370"/>
        <w:rPr/>
      </w:pPr>
      <w:r>
        <w:rPr/>
      </w:r>
    </w:p>
    <w:tbl>
      <w:tblPr>
        <w:tblStyle w:val="a9"/>
        <w:tblW w:w="7800" w:type="dxa"/>
        <w:jc w:val="left"/>
        <w:tblInd w:w="1423" w:type="dxa"/>
        <w:tblCellMar>
          <w:top w:w="0" w:type="dxa"/>
          <w:left w:w="108" w:type="dxa"/>
          <w:bottom w:w="0" w:type="dxa"/>
          <w:right w:w="108" w:type="dxa"/>
        </w:tblCellMar>
        <w:tblLook w:val="01e0" w:noHBand="0" w:noVBand="0" w:firstColumn="1" w:lastRow="1" w:lastColumn="1" w:firstRow="1"/>
      </w:tblPr>
      <w:tblGrid>
        <w:gridCol w:w="2095"/>
        <w:gridCol w:w="1901"/>
        <w:gridCol w:w="1901"/>
        <w:gridCol w:w="1902"/>
      </w:tblGrid>
      <w:tr>
        <w:trPr/>
        <w:tc>
          <w:tcPr>
            <w:tcW w:w="2095" w:type="dxa"/>
            <w:vMerge w:val="restart"/>
            <w:tcBorders/>
            <w:vAlign w:val="center"/>
          </w:tcPr>
          <w:p>
            <w:pPr>
              <w:pStyle w:val="F21"/>
              <w:tabs>
                <w:tab w:val="left" w:pos="480" w:leader="none"/>
                <w:tab w:val="left" w:pos="567" w:leader="none"/>
              </w:tabs>
              <w:spacing w:lineRule="atLeast" w:line="370"/>
              <w:ind w:left="57" w:hanging="0"/>
              <w:jc w:val="center"/>
              <w:rPr>
                <w:i/>
                <w:i/>
                <w:szCs w:val="27"/>
              </w:rPr>
            </w:pPr>
            <w:r>
              <w:rPr>
                <w:i/>
                <w:szCs w:val="27"/>
              </w:rPr>
              <w:t>培訓課程</w:t>
            </w:r>
          </w:p>
        </w:tc>
        <w:tc>
          <w:tcPr>
            <w:tcW w:w="5704" w:type="dxa"/>
            <w:gridSpan w:val="3"/>
            <w:tcBorders/>
            <w:vAlign w:val="center"/>
          </w:tcPr>
          <w:p>
            <w:pPr>
              <w:pStyle w:val="F21"/>
              <w:tabs>
                <w:tab w:val="left" w:pos="480" w:leader="none"/>
                <w:tab w:val="left" w:pos="567" w:leader="none"/>
              </w:tabs>
              <w:spacing w:lineRule="atLeast" w:line="370"/>
              <w:jc w:val="center"/>
              <w:rPr>
                <w:i/>
                <w:i/>
                <w:szCs w:val="27"/>
              </w:rPr>
            </w:pPr>
            <w:r>
              <w:rPr>
                <w:i/>
                <w:szCs w:val="27"/>
              </w:rPr>
              <w:t>畢業學員於畢業後的留職率</w:t>
            </w:r>
            <w:r>
              <w:rPr>
                <w:i/>
                <w:szCs w:val="27"/>
              </w:rPr>
              <w:t>(</w:t>
            </w:r>
            <w:r>
              <w:rPr>
                <w:i/>
                <w:szCs w:val="27"/>
              </w:rPr>
              <w:t>約</w:t>
            </w:r>
            <w:r>
              <w:rPr>
                <w:i/>
                <w:szCs w:val="27"/>
              </w:rPr>
              <w:t>)</w:t>
              <w:br/>
              <w:t>(</w:t>
            </w:r>
            <w:r>
              <w:rPr>
                <w:i/>
                <w:szCs w:val="27"/>
              </w:rPr>
              <w:t>按畢業年份</w:t>
            </w:r>
            <w:r>
              <w:rPr>
                <w:i/>
                <w:szCs w:val="27"/>
              </w:rPr>
              <w:t>)</w:t>
            </w:r>
          </w:p>
        </w:tc>
      </w:tr>
      <w:tr>
        <w:trPr>
          <w:trHeight w:val="1067" w:hRule="atLeast"/>
        </w:trPr>
        <w:tc>
          <w:tcPr>
            <w:tcW w:w="2095" w:type="dxa"/>
            <w:vMerge w:val="continue"/>
            <w:tcBorders/>
            <w:vAlign w:val="center"/>
          </w:tcPr>
          <w:p>
            <w:pPr>
              <w:pStyle w:val="F21"/>
              <w:tabs>
                <w:tab w:val="left" w:pos="480" w:leader="none"/>
                <w:tab w:val="left" w:pos="567" w:leader="none"/>
              </w:tabs>
              <w:spacing w:lineRule="atLeast" w:line="370"/>
              <w:ind w:left="57" w:hanging="0"/>
              <w:jc w:val="center"/>
              <w:rPr>
                <w:i/>
                <w:i/>
                <w:szCs w:val="27"/>
              </w:rPr>
            </w:pPr>
            <w:r>
              <w:rPr>
                <w:i/>
                <w:szCs w:val="27"/>
              </w:rPr>
            </w:r>
          </w:p>
        </w:tc>
        <w:tc>
          <w:tcPr>
            <w:tcW w:w="1901" w:type="dxa"/>
            <w:tcBorders/>
            <w:vAlign w:val="center"/>
          </w:tcPr>
          <w:p>
            <w:pPr>
              <w:pStyle w:val="F21"/>
              <w:tabs>
                <w:tab w:val="left" w:pos="480" w:leader="none"/>
                <w:tab w:val="left" w:pos="567" w:leader="none"/>
              </w:tabs>
              <w:spacing w:lineRule="atLeast" w:line="370"/>
              <w:jc w:val="center"/>
              <w:rPr>
                <w:i/>
                <w:i/>
                <w:szCs w:val="27"/>
              </w:rPr>
            </w:pPr>
            <w:r>
              <w:rPr>
                <w:i/>
                <w:szCs w:val="27"/>
              </w:rPr>
              <w:t>2012</w:t>
              <w:br/>
            </w:r>
            <w:r>
              <w:rPr>
                <w:i/>
                <w:spacing w:val="4"/>
                <w:szCs w:val="27"/>
              </w:rPr>
              <w:t>(</w:t>
            </w:r>
            <w:r>
              <w:rPr>
                <w:i/>
                <w:spacing w:val="4"/>
                <w:szCs w:val="27"/>
              </w:rPr>
              <w:t>畢業</w:t>
            </w:r>
            <w:r>
              <w:rPr>
                <w:i/>
                <w:spacing w:val="4"/>
                <w:szCs w:val="27"/>
              </w:rPr>
              <w:t>12</w:t>
            </w:r>
            <w:r>
              <w:rPr>
                <w:i/>
                <w:spacing w:val="4"/>
                <w:szCs w:val="27"/>
              </w:rPr>
              <w:t>個月後</w:t>
            </w:r>
            <w:r>
              <w:rPr>
                <w:i/>
                <w:spacing w:val="4"/>
                <w:szCs w:val="27"/>
              </w:rPr>
              <w:t>)</w:t>
            </w:r>
          </w:p>
        </w:tc>
        <w:tc>
          <w:tcPr>
            <w:tcW w:w="1901" w:type="dxa"/>
            <w:tcBorders/>
            <w:vAlign w:val="center"/>
          </w:tcPr>
          <w:p>
            <w:pPr>
              <w:pStyle w:val="F21"/>
              <w:tabs>
                <w:tab w:val="left" w:pos="480" w:leader="none"/>
                <w:tab w:val="left" w:pos="567" w:leader="none"/>
              </w:tabs>
              <w:spacing w:lineRule="atLeast" w:line="370"/>
              <w:jc w:val="center"/>
              <w:rPr>
                <w:i/>
                <w:i/>
                <w:szCs w:val="27"/>
              </w:rPr>
            </w:pPr>
            <w:r>
              <w:rPr>
                <w:i/>
                <w:szCs w:val="27"/>
              </w:rPr>
              <w:t>2013</w:t>
              <w:br/>
            </w:r>
            <w:r>
              <w:rPr>
                <w:i/>
                <w:spacing w:val="4"/>
                <w:szCs w:val="27"/>
              </w:rPr>
              <w:t>(</w:t>
            </w:r>
            <w:r>
              <w:rPr>
                <w:i/>
                <w:spacing w:val="4"/>
                <w:szCs w:val="27"/>
              </w:rPr>
              <w:t>畢業</w:t>
            </w:r>
            <w:r>
              <w:rPr>
                <w:i/>
                <w:spacing w:val="4"/>
                <w:szCs w:val="27"/>
              </w:rPr>
              <w:t>12</w:t>
            </w:r>
            <w:r>
              <w:rPr>
                <w:i/>
                <w:spacing w:val="4"/>
                <w:szCs w:val="27"/>
              </w:rPr>
              <w:t>個月後</w:t>
            </w:r>
            <w:r>
              <w:rPr>
                <w:i/>
                <w:spacing w:val="4"/>
                <w:szCs w:val="27"/>
              </w:rPr>
              <w:t>)</w:t>
            </w:r>
          </w:p>
        </w:tc>
        <w:tc>
          <w:tcPr>
            <w:tcW w:w="1902" w:type="dxa"/>
            <w:tcBorders/>
            <w:vAlign w:val="center"/>
          </w:tcPr>
          <w:p>
            <w:pPr>
              <w:pStyle w:val="F21"/>
              <w:tabs>
                <w:tab w:val="left" w:pos="480" w:leader="none"/>
                <w:tab w:val="left" w:pos="567" w:leader="none"/>
              </w:tabs>
              <w:spacing w:lineRule="atLeast" w:line="370"/>
              <w:jc w:val="center"/>
              <w:rPr>
                <w:i/>
                <w:i/>
                <w:szCs w:val="27"/>
              </w:rPr>
            </w:pPr>
            <w:r>
              <w:rPr>
                <w:i/>
                <w:szCs w:val="27"/>
              </w:rPr>
              <w:t>2014</w:t>
              <w:br/>
            </w:r>
            <w:r>
              <w:rPr>
                <w:i/>
                <w:spacing w:val="4"/>
                <w:szCs w:val="27"/>
              </w:rPr>
              <w:t>(</w:t>
            </w:r>
            <w:r>
              <w:rPr>
                <w:i/>
                <w:spacing w:val="4"/>
                <w:szCs w:val="27"/>
              </w:rPr>
              <w:t>畢業</w:t>
            </w:r>
            <w:r>
              <w:rPr>
                <w:i/>
                <w:spacing w:val="4"/>
                <w:szCs w:val="27"/>
              </w:rPr>
              <w:t>6</w:t>
            </w:r>
            <w:r>
              <w:rPr>
                <w:i/>
                <w:spacing w:val="4"/>
                <w:szCs w:val="27"/>
              </w:rPr>
              <w:t>個月後</w:t>
            </w:r>
            <w:r>
              <w:rPr>
                <w:i/>
                <w:spacing w:val="4"/>
                <w:szCs w:val="27"/>
                <w:vertAlign w:val="superscript"/>
              </w:rPr>
              <w:t>^</w:t>
            </w:r>
            <w:r>
              <w:rPr>
                <w:i/>
                <w:spacing w:val="4"/>
                <w:szCs w:val="27"/>
              </w:rPr>
              <w:t>)</w:t>
            </w:r>
          </w:p>
        </w:tc>
      </w:tr>
      <w:tr>
        <w:trPr/>
        <w:tc>
          <w:tcPr>
            <w:tcW w:w="2095" w:type="dxa"/>
            <w:tcBorders/>
          </w:tcPr>
          <w:p>
            <w:pPr>
              <w:pStyle w:val="F21"/>
              <w:tabs>
                <w:tab w:val="left" w:pos="480" w:leader="none"/>
                <w:tab w:val="left" w:pos="567" w:leader="none"/>
              </w:tabs>
              <w:spacing w:lineRule="atLeast" w:line="370"/>
              <w:ind w:left="57" w:hanging="0"/>
              <w:rPr>
                <w:szCs w:val="27"/>
              </w:rPr>
            </w:pPr>
            <w:r>
              <w:rPr>
                <w:szCs w:val="27"/>
              </w:rPr>
              <w:t>強化計劃</w:t>
            </w:r>
          </w:p>
        </w:tc>
        <w:tc>
          <w:tcPr>
            <w:tcW w:w="1901" w:type="dxa"/>
            <w:tcBorders/>
          </w:tcPr>
          <w:p>
            <w:pPr>
              <w:pStyle w:val="F21"/>
              <w:tabs>
                <w:tab w:val="left" w:pos="480" w:leader="none"/>
                <w:tab w:val="left" w:pos="567" w:leader="none"/>
              </w:tabs>
              <w:spacing w:lineRule="atLeast" w:line="370"/>
              <w:jc w:val="center"/>
              <w:rPr>
                <w:szCs w:val="27"/>
              </w:rPr>
            </w:pPr>
            <w:r>
              <w:rPr>
                <w:szCs w:val="27"/>
              </w:rPr>
              <w:t>65%</w:t>
            </w:r>
          </w:p>
        </w:tc>
        <w:tc>
          <w:tcPr>
            <w:tcW w:w="1901" w:type="dxa"/>
            <w:tcBorders/>
          </w:tcPr>
          <w:p>
            <w:pPr>
              <w:pStyle w:val="F21"/>
              <w:tabs>
                <w:tab w:val="left" w:pos="480" w:leader="none"/>
                <w:tab w:val="left" w:pos="567" w:leader="none"/>
              </w:tabs>
              <w:spacing w:lineRule="atLeast" w:line="370"/>
              <w:jc w:val="center"/>
              <w:rPr>
                <w:szCs w:val="27"/>
              </w:rPr>
            </w:pPr>
            <w:r>
              <w:rPr>
                <w:szCs w:val="27"/>
              </w:rPr>
              <w:t>69%</w:t>
            </w:r>
          </w:p>
        </w:tc>
        <w:tc>
          <w:tcPr>
            <w:tcW w:w="1902" w:type="dxa"/>
            <w:tcBorders/>
          </w:tcPr>
          <w:p>
            <w:pPr>
              <w:pStyle w:val="F21"/>
              <w:tabs>
                <w:tab w:val="left" w:pos="480" w:leader="none"/>
                <w:tab w:val="left" w:pos="567" w:leader="none"/>
              </w:tabs>
              <w:spacing w:lineRule="atLeast" w:line="370"/>
              <w:jc w:val="center"/>
              <w:rPr>
                <w:szCs w:val="27"/>
              </w:rPr>
            </w:pPr>
            <w:r>
              <w:rPr>
                <w:szCs w:val="27"/>
              </w:rPr>
              <w:t>69%</w:t>
            </w:r>
          </w:p>
        </w:tc>
      </w:tr>
      <w:tr>
        <w:trPr/>
        <w:tc>
          <w:tcPr>
            <w:tcW w:w="2095" w:type="dxa"/>
            <w:tcBorders/>
          </w:tcPr>
          <w:p>
            <w:pPr>
              <w:pStyle w:val="F21"/>
              <w:tabs>
                <w:tab w:val="left" w:pos="480" w:leader="none"/>
                <w:tab w:val="left" w:pos="567" w:leader="none"/>
              </w:tabs>
              <w:spacing w:lineRule="atLeast" w:line="370"/>
              <w:ind w:left="57" w:hanging="0"/>
              <w:rPr>
                <w:szCs w:val="27"/>
              </w:rPr>
            </w:pPr>
            <w:r>
              <w:rPr>
                <w:szCs w:val="27"/>
              </w:rPr>
              <w:t>合作培訓計劃</w:t>
            </w:r>
          </w:p>
        </w:tc>
        <w:tc>
          <w:tcPr>
            <w:tcW w:w="1901" w:type="dxa"/>
            <w:vMerge w:val="restart"/>
            <w:tcBorders/>
            <w:vAlign w:val="center"/>
          </w:tcPr>
          <w:p>
            <w:pPr>
              <w:pStyle w:val="F21"/>
              <w:tabs>
                <w:tab w:val="left" w:pos="480" w:leader="none"/>
                <w:tab w:val="left" w:pos="567" w:leader="none"/>
              </w:tabs>
              <w:spacing w:lineRule="atLeast" w:line="370"/>
              <w:ind w:left="113" w:hanging="0"/>
              <w:rPr>
                <w:spacing w:val="10"/>
                <w:szCs w:val="27"/>
              </w:rPr>
            </w:pPr>
            <w:r>
              <w:rPr>
                <w:spacing w:val="10"/>
                <w:szCs w:val="27"/>
              </w:rPr>
              <w:t>議會未作統計</w:t>
            </w:r>
          </w:p>
        </w:tc>
        <w:tc>
          <w:tcPr>
            <w:tcW w:w="1901" w:type="dxa"/>
            <w:tcBorders/>
          </w:tcPr>
          <w:p>
            <w:pPr>
              <w:pStyle w:val="F21"/>
              <w:tabs>
                <w:tab w:val="left" w:pos="480" w:leader="none"/>
                <w:tab w:val="left" w:pos="567" w:leader="none"/>
              </w:tabs>
              <w:spacing w:lineRule="atLeast" w:line="370"/>
              <w:jc w:val="center"/>
              <w:rPr>
                <w:szCs w:val="27"/>
              </w:rPr>
            </w:pPr>
            <w:r>
              <w:rPr>
                <w:szCs w:val="27"/>
              </w:rPr>
              <w:t>53%</w:t>
            </w:r>
            <w:r>
              <w:rPr>
                <w:szCs w:val="27"/>
                <w:vertAlign w:val="superscript"/>
              </w:rPr>
              <w:t>#</w:t>
            </w:r>
          </w:p>
        </w:tc>
        <w:tc>
          <w:tcPr>
            <w:tcW w:w="1902" w:type="dxa"/>
            <w:tcBorders/>
          </w:tcPr>
          <w:p>
            <w:pPr>
              <w:pStyle w:val="F21"/>
              <w:tabs>
                <w:tab w:val="left" w:pos="480" w:leader="none"/>
                <w:tab w:val="left" w:pos="567" w:leader="none"/>
              </w:tabs>
              <w:spacing w:lineRule="atLeast" w:line="370"/>
              <w:jc w:val="center"/>
              <w:rPr>
                <w:szCs w:val="27"/>
              </w:rPr>
            </w:pPr>
            <w:r>
              <w:rPr>
                <w:szCs w:val="27"/>
              </w:rPr>
              <w:t>64%</w:t>
            </w:r>
          </w:p>
        </w:tc>
      </w:tr>
      <w:tr>
        <w:trPr/>
        <w:tc>
          <w:tcPr>
            <w:tcW w:w="2095" w:type="dxa"/>
            <w:tcBorders/>
          </w:tcPr>
          <w:p>
            <w:pPr>
              <w:pStyle w:val="F21"/>
              <w:tabs>
                <w:tab w:val="left" w:pos="480" w:leader="none"/>
                <w:tab w:val="left" w:pos="567" w:leader="none"/>
              </w:tabs>
              <w:spacing w:lineRule="atLeast" w:line="370"/>
              <w:ind w:left="57" w:hanging="0"/>
              <w:rPr>
                <w:szCs w:val="27"/>
              </w:rPr>
            </w:pPr>
            <w:r>
              <w:rPr>
                <w:szCs w:val="27"/>
              </w:rPr>
              <w:t>成年人全日制短期課程</w:t>
            </w:r>
          </w:p>
        </w:tc>
        <w:tc>
          <w:tcPr>
            <w:tcW w:w="1901" w:type="dxa"/>
            <w:vMerge w:val="continue"/>
            <w:tcBorders/>
            <w:vAlign w:val="center"/>
          </w:tcPr>
          <w:p>
            <w:pPr>
              <w:pStyle w:val="Normal"/>
              <w:widowControl/>
              <w:spacing w:lineRule="atLeast" w:line="370"/>
              <w:jc w:val="left"/>
              <w:rPr>
                <w:spacing w:val="10"/>
                <w:sz w:val="27"/>
                <w:szCs w:val="27"/>
              </w:rPr>
            </w:pPr>
            <w:r>
              <w:rPr>
                <w:spacing w:val="10"/>
                <w:sz w:val="27"/>
                <w:szCs w:val="27"/>
              </w:rPr>
            </w:r>
          </w:p>
        </w:tc>
        <w:tc>
          <w:tcPr>
            <w:tcW w:w="1901" w:type="dxa"/>
            <w:tcBorders/>
            <w:vAlign w:val="center"/>
          </w:tcPr>
          <w:p>
            <w:pPr>
              <w:pStyle w:val="F21"/>
              <w:tabs>
                <w:tab w:val="left" w:pos="480" w:leader="none"/>
                <w:tab w:val="left" w:pos="567" w:leader="none"/>
              </w:tabs>
              <w:spacing w:lineRule="atLeast" w:line="370"/>
              <w:jc w:val="center"/>
              <w:rPr>
                <w:szCs w:val="27"/>
              </w:rPr>
            </w:pPr>
            <w:r>
              <w:rPr>
                <w:szCs w:val="27"/>
              </w:rPr>
              <w:t>65%</w:t>
            </w:r>
          </w:p>
        </w:tc>
        <w:tc>
          <w:tcPr>
            <w:tcW w:w="1902" w:type="dxa"/>
            <w:tcBorders/>
            <w:vAlign w:val="center"/>
          </w:tcPr>
          <w:p>
            <w:pPr>
              <w:pStyle w:val="F21"/>
              <w:tabs>
                <w:tab w:val="left" w:pos="480" w:leader="none"/>
                <w:tab w:val="left" w:pos="567" w:leader="none"/>
              </w:tabs>
              <w:spacing w:lineRule="atLeast" w:line="370"/>
              <w:jc w:val="center"/>
              <w:rPr>
                <w:szCs w:val="27"/>
              </w:rPr>
            </w:pPr>
            <w:r>
              <w:rPr>
                <w:szCs w:val="27"/>
              </w:rPr>
              <w:t>67%</w:t>
            </w:r>
          </w:p>
        </w:tc>
      </w:tr>
      <w:tr>
        <w:trPr/>
        <w:tc>
          <w:tcPr>
            <w:tcW w:w="2095" w:type="dxa"/>
            <w:tcBorders/>
          </w:tcPr>
          <w:p>
            <w:pPr>
              <w:pStyle w:val="F21"/>
              <w:tabs>
                <w:tab w:val="left" w:pos="480" w:leader="none"/>
                <w:tab w:val="left" w:pos="567" w:leader="none"/>
              </w:tabs>
              <w:spacing w:lineRule="atLeast" w:line="370"/>
              <w:ind w:left="57" w:hanging="0"/>
              <w:rPr>
                <w:szCs w:val="27"/>
              </w:rPr>
            </w:pPr>
            <w:r>
              <w:rPr>
                <w:szCs w:val="27"/>
              </w:rPr>
              <w:t>基本工藝課程</w:t>
            </w:r>
          </w:p>
        </w:tc>
        <w:tc>
          <w:tcPr>
            <w:tcW w:w="1901" w:type="dxa"/>
            <w:vMerge w:val="continue"/>
            <w:tcBorders/>
            <w:vAlign w:val="center"/>
          </w:tcPr>
          <w:p>
            <w:pPr>
              <w:pStyle w:val="Normal"/>
              <w:widowControl/>
              <w:spacing w:lineRule="atLeast" w:line="370"/>
              <w:jc w:val="left"/>
              <w:rPr>
                <w:spacing w:val="10"/>
                <w:sz w:val="27"/>
                <w:szCs w:val="27"/>
              </w:rPr>
            </w:pPr>
            <w:r>
              <w:rPr>
                <w:spacing w:val="10"/>
                <w:sz w:val="27"/>
                <w:szCs w:val="27"/>
              </w:rPr>
            </w:r>
          </w:p>
        </w:tc>
        <w:tc>
          <w:tcPr>
            <w:tcW w:w="1901" w:type="dxa"/>
            <w:tcBorders/>
          </w:tcPr>
          <w:p>
            <w:pPr>
              <w:pStyle w:val="F21"/>
              <w:tabs>
                <w:tab w:val="left" w:pos="480" w:leader="none"/>
                <w:tab w:val="left" w:pos="567" w:leader="none"/>
              </w:tabs>
              <w:spacing w:lineRule="atLeast" w:line="370"/>
              <w:jc w:val="center"/>
              <w:rPr>
                <w:szCs w:val="27"/>
              </w:rPr>
            </w:pPr>
            <w:r>
              <w:rPr>
                <w:szCs w:val="27"/>
              </w:rPr>
              <w:t>86%</w:t>
            </w:r>
          </w:p>
        </w:tc>
        <w:tc>
          <w:tcPr>
            <w:tcW w:w="1902" w:type="dxa"/>
            <w:tcBorders/>
          </w:tcPr>
          <w:p>
            <w:pPr>
              <w:pStyle w:val="F21"/>
              <w:tabs>
                <w:tab w:val="left" w:pos="480" w:leader="none"/>
                <w:tab w:val="left" w:pos="567" w:leader="none"/>
              </w:tabs>
              <w:spacing w:lineRule="atLeast" w:line="370"/>
              <w:jc w:val="center"/>
              <w:rPr>
                <w:spacing w:val="14"/>
                <w:szCs w:val="27"/>
              </w:rPr>
            </w:pPr>
            <w:r>
              <w:rPr>
                <w:spacing w:val="14"/>
                <w:szCs w:val="27"/>
              </w:rPr>
              <w:t>未有相關數據</w:t>
            </w:r>
            <w:r>
              <w:rPr>
                <w:spacing w:val="14"/>
                <w:szCs w:val="27"/>
                <w:vertAlign w:val="superscript"/>
              </w:rPr>
              <w:t>*</w:t>
            </w:r>
          </w:p>
        </w:tc>
      </w:tr>
    </w:tbl>
    <w:p>
      <w:pPr>
        <w:pStyle w:val="F21"/>
        <w:rPr>
          <w:rFonts w:cs="Times New Roman"/>
          <w:szCs w:val="26"/>
        </w:rPr>
      </w:pPr>
      <w:r>
        <w:rPr>
          <w:rFonts w:cs="Times New Roman"/>
          <w:szCs w:val="26"/>
        </w:rPr>
      </w:r>
    </w:p>
    <w:p>
      <w:pPr>
        <w:pStyle w:val="F21"/>
        <w:spacing w:lineRule="auto" w:line="240"/>
        <w:ind w:left="1418" w:hanging="0"/>
        <w:rPr>
          <w:sz w:val="20"/>
          <w:szCs w:val="20"/>
        </w:rPr>
      </w:pPr>
      <w:r>
        <w:rPr>
          <w:sz w:val="20"/>
          <w:szCs w:val="20"/>
        </w:rPr>
        <w:t>註：</w:t>
      </w:r>
    </w:p>
    <w:p>
      <w:pPr>
        <w:pStyle w:val="F21"/>
        <w:spacing w:lineRule="auto" w:line="240"/>
        <w:ind w:left="1418" w:hanging="0"/>
        <w:rPr>
          <w:sz w:val="20"/>
          <w:szCs w:val="20"/>
        </w:rPr>
      </w:pPr>
      <w:r>
        <w:rPr>
          <w:sz w:val="20"/>
          <w:szCs w:val="20"/>
        </w:rPr>
      </w:r>
    </w:p>
    <w:p>
      <w:pPr>
        <w:pStyle w:val="F21"/>
        <w:spacing w:lineRule="auto" w:line="240"/>
        <w:ind w:left="1985" w:hanging="567"/>
        <w:rPr>
          <w:sz w:val="20"/>
          <w:szCs w:val="20"/>
        </w:rPr>
      </w:pPr>
      <w:r>
        <w:rPr>
          <w:sz w:val="20"/>
          <w:szCs w:val="20"/>
        </w:rPr>
        <w:t>^</w:t>
        <w:tab/>
      </w:r>
      <w:r>
        <w:rPr>
          <w:sz w:val="20"/>
          <w:szCs w:val="20"/>
        </w:rPr>
        <w:t>只計算畢業後滿</w:t>
      </w:r>
      <w:r>
        <w:rPr>
          <w:sz w:val="20"/>
          <w:szCs w:val="20"/>
        </w:rPr>
        <w:t>6</w:t>
      </w:r>
      <w:r>
        <w:rPr>
          <w:sz w:val="20"/>
          <w:szCs w:val="20"/>
        </w:rPr>
        <w:t>個月的學員。</w:t>
      </w:r>
    </w:p>
    <w:p>
      <w:pPr>
        <w:pStyle w:val="F21"/>
        <w:spacing w:lineRule="auto" w:line="240"/>
        <w:ind w:left="1418" w:hanging="0"/>
        <w:rPr>
          <w:sz w:val="20"/>
          <w:szCs w:val="20"/>
        </w:rPr>
      </w:pPr>
      <w:r>
        <w:rPr>
          <w:sz w:val="20"/>
          <w:szCs w:val="20"/>
        </w:rPr>
      </w:r>
    </w:p>
    <w:p>
      <w:pPr>
        <w:pStyle w:val="F21"/>
        <w:spacing w:lineRule="auto" w:line="240"/>
        <w:ind w:left="1985" w:hanging="567"/>
        <w:rPr>
          <w:sz w:val="20"/>
          <w:szCs w:val="20"/>
        </w:rPr>
      </w:pPr>
      <w:r>
        <w:rPr>
          <w:sz w:val="20"/>
          <w:szCs w:val="20"/>
        </w:rPr>
        <w:t>#</w:t>
        <w:tab/>
      </w:r>
      <w:r>
        <w:rPr>
          <w:sz w:val="20"/>
          <w:szCs w:val="20"/>
        </w:rPr>
        <w:t>數據只包括由</w:t>
      </w:r>
      <w:r>
        <w:rPr>
          <w:sz w:val="20"/>
          <w:szCs w:val="20"/>
        </w:rPr>
        <w:t>2013</w:t>
      </w:r>
      <w:r>
        <w:rPr>
          <w:sz w:val="20"/>
          <w:szCs w:val="20"/>
        </w:rPr>
        <w:t>年</w:t>
      </w:r>
      <w:r>
        <w:rPr>
          <w:sz w:val="20"/>
          <w:szCs w:val="20"/>
        </w:rPr>
        <w:t>9</w:t>
      </w:r>
      <w:r>
        <w:rPr>
          <w:sz w:val="20"/>
          <w:szCs w:val="20"/>
        </w:rPr>
        <w:t>月至</w:t>
      </w:r>
      <w:r>
        <w:rPr>
          <w:sz w:val="20"/>
          <w:szCs w:val="20"/>
        </w:rPr>
        <w:t>12</w:t>
      </w:r>
      <w:r>
        <w:rPr>
          <w:sz w:val="20"/>
          <w:szCs w:val="20"/>
        </w:rPr>
        <w:t>月完成相關“合作培訓計劃”的畢業學員。</w:t>
      </w:r>
    </w:p>
    <w:p>
      <w:pPr>
        <w:pStyle w:val="F21"/>
        <w:spacing w:lineRule="auto" w:line="240"/>
        <w:ind w:left="1418" w:hanging="0"/>
        <w:rPr>
          <w:sz w:val="20"/>
          <w:szCs w:val="20"/>
        </w:rPr>
      </w:pPr>
      <w:r>
        <w:rPr>
          <w:sz w:val="20"/>
          <w:szCs w:val="20"/>
        </w:rPr>
      </w:r>
    </w:p>
    <w:p>
      <w:pPr>
        <w:pStyle w:val="F21"/>
        <w:spacing w:lineRule="auto" w:line="240"/>
        <w:ind w:left="1985" w:hanging="567"/>
        <w:rPr>
          <w:sz w:val="20"/>
          <w:szCs w:val="20"/>
        </w:rPr>
      </w:pPr>
      <w:r>
        <w:rPr>
          <w:sz w:val="20"/>
          <w:szCs w:val="20"/>
        </w:rPr>
        <w:t>*</w:t>
        <w:tab/>
      </w:r>
      <w:r>
        <w:rPr>
          <w:sz w:val="20"/>
          <w:szCs w:val="20"/>
        </w:rPr>
        <w:t>由於基本工藝課程第一批學員於</w:t>
      </w:r>
      <w:r>
        <w:rPr>
          <w:sz w:val="20"/>
          <w:szCs w:val="20"/>
        </w:rPr>
        <w:t>2014</w:t>
      </w:r>
      <w:r>
        <w:rPr>
          <w:sz w:val="20"/>
          <w:szCs w:val="20"/>
        </w:rPr>
        <w:t>年</w:t>
      </w:r>
      <w:r>
        <w:rPr>
          <w:sz w:val="20"/>
          <w:szCs w:val="20"/>
        </w:rPr>
        <w:t>8</w:t>
      </w:r>
      <w:r>
        <w:rPr>
          <w:sz w:val="20"/>
          <w:szCs w:val="20"/>
        </w:rPr>
        <w:t>月畢業，學員畢業</w:t>
      </w:r>
      <w:r>
        <w:rPr>
          <w:sz w:val="20"/>
          <w:szCs w:val="20"/>
        </w:rPr>
        <w:t>6</w:t>
      </w:r>
      <w:r>
        <w:rPr>
          <w:sz w:val="20"/>
          <w:szCs w:val="20"/>
        </w:rPr>
        <w:t>個月後留職率的數據仍未能提供。</w:t>
      </w:r>
    </w:p>
    <w:p>
      <w:pPr>
        <w:pStyle w:val="Normal"/>
        <w:widowControl/>
        <w:tabs>
          <w:tab w:val="clear" w:pos="720"/>
        </w:tabs>
        <w:spacing w:lineRule="auto" w:line="276" w:before="0" w:after="200"/>
        <w:jc w:val="left"/>
        <w:rPr>
          <w:rFonts w:cs="" w:cstheme="minorBidi"/>
          <w:spacing w:val="20"/>
          <w:sz w:val="27"/>
          <w:lang w:val="en-US"/>
        </w:rPr>
      </w:pPr>
      <w:r>
        <w:rPr>
          <w:rFonts w:cs="" w:cstheme="minorBidi"/>
          <w:spacing w:val="20"/>
          <w:sz w:val="27"/>
          <w:lang w:val="en-US"/>
        </w:rPr>
      </w:r>
      <w:r>
        <w:br w:type="page"/>
      </w:r>
    </w:p>
    <w:p>
      <w:pPr>
        <w:pStyle w:val="Style13"/>
        <w:rPr>
          <w:i w:val="false"/>
          <w:i w:val="false"/>
        </w:rPr>
      </w:pPr>
      <w:r>
        <w:rPr>
          <w:i w:val="false"/>
        </w:rPr>
        <w:tab/>
      </w:r>
      <w:r>
        <w:rPr>
          <w:i w:val="false"/>
        </w:rPr>
        <w:t>議會於</w:t>
      </w:r>
      <w:r>
        <w:rPr>
          <w:i w:val="false"/>
        </w:rPr>
        <w:t>2015</w:t>
      </w:r>
      <w:r>
        <w:rPr>
          <w:i w:val="false"/>
        </w:rPr>
        <w:t>年開始，延長跟進學員畢業後就業概況的時間至</w:t>
      </w:r>
      <w:r>
        <w:rPr>
          <w:i w:val="false"/>
        </w:rPr>
        <w:t>24</w:t>
      </w:r>
      <w:r>
        <w:rPr>
          <w:i w:val="false"/>
        </w:rPr>
        <w:t>個月。由於調查正在進行中，未能提供相關數據。</w:t>
      </w:r>
    </w:p>
    <w:p>
      <w:pPr>
        <w:pStyle w:val="Style13"/>
        <w:spacing w:lineRule="atLeast" w:line="380"/>
        <w:rPr>
          <w:i w:val="false"/>
          <w:i w:val="false"/>
        </w:rPr>
      </w:pPr>
      <w:r>
        <w:rPr>
          <w:i w:val="false"/>
        </w:rPr>
      </w:r>
    </w:p>
    <w:p>
      <w:pPr>
        <w:pStyle w:val="Style13"/>
        <w:spacing w:lineRule="atLeast" w:line="380"/>
        <w:rPr>
          <w:i w:val="false"/>
          <w:i w:val="false"/>
        </w:rPr>
      </w:pPr>
      <w:r>
        <w:rPr>
          <w:i w:val="false"/>
        </w:rPr>
        <w:t>(</w:t>
      </w:r>
      <w:r>
        <w:rPr>
          <w:i w:val="false"/>
        </w:rPr>
        <w:t>六</w:t>
      </w:r>
      <w:r>
        <w:rPr>
          <w:i w:val="false"/>
        </w:rPr>
        <w:t>)</w:t>
        <w:tab/>
      </w:r>
      <w:r>
        <w:rPr>
          <w:i w:val="false"/>
        </w:rPr>
        <w:t>基建工程能為社會帶來巨大經濟和社會效益，工程展開期間會創造就業機會，完工之後則會促進經濟活動，改善市民生活環境。過去數年，政府持續增加在基本工程方面的投資，以帶動經濟，創造就業及提升香港長遠的競爭力，改善民生。</w:t>
      </w:r>
    </w:p>
    <w:p>
      <w:pPr>
        <w:pStyle w:val="Style13"/>
        <w:spacing w:lineRule="atLeast" w:line="380"/>
        <w:rPr>
          <w:i w:val="false"/>
          <w:i w:val="false"/>
        </w:rPr>
      </w:pPr>
      <w:r>
        <w:rPr>
          <w:i w:val="false"/>
        </w:rPr>
      </w:r>
    </w:p>
    <w:p>
      <w:pPr>
        <w:pStyle w:val="Style13"/>
        <w:spacing w:lineRule="atLeast" w:line="380"/>
        <w:rPr>
          <w:i w:val="false"/>
          <w:i w:val="false"/>
        </w:rPr>
      </w:pPr>
      <w:r>
        <w:rPr>
          <w:i w:val="false"/>
        </w:rPr>
        <w:tab/>
      </w:r>
      <w:r>
        <w:rPr>
          <w:i w:val="false"/>
        </w:rPr>
        <w:t>政府亦一直有為基建工程作出長遠的規劃。在持續投資在基建項目時，政府會審視公共財政的可持續性和建造業界的整體承擔能力，以審慎務實的原則來推行基本工程計劃。</w:t>
      </w:r>
    </w:p>
    <w:p>
      <w:pPr>
        <w:pStyle w:val="Style13"/>
        <w:spacing w:lineRule="atLeast" w:line="380"/>
        <w:rPr>
          <w:i w:val="false"/>
          <w:i w:val="false"/>
        </w:rPr>
      </w:pPr>
      <w:r>
        <w:rPr>
          <w:i w:val="false"/>
        </w:rPr>
      </w:r>
    </w:p>
    <w:p>
      <w:pPr>
        <w:pStyle w:val="Style13"/>
        <w:spacing w:lineRule="atLeast" w:line="380"/>
        <w:rPr>
          <w:i w:val="false"/>
          <w:i w:val="false"/>
        </w:rPr>
      </w:pPr>
      <w:r>
        <w:rPr>
          <w:i w:val="false"/>
        </w:rPr>
        <w:tab/>
      </w:r>
      <w:r>
        <w:rPr>
          <w:i w:val="false"/>
        </w:rPr>
        <w:t>政府會繼續研究和制訂有效措施，以期進一步提升監控工程進度的能力。政府一直留意建造業的市場趨勢，並按部就班推展基建項目，以應付香港在未來</w:t>
      </w:r>
      <w:r>
        <w:rPr>
          <w:i w:val="false"/>
        </w:rPr>
        <w:t>10</w:t>
      </w:r>
      <w:r>
        <w:rPr>
          <w:i w:val="false"/>
        </w:rPr>
        <w:t>年人口增長所帶來的房屋和其他需求，並推動香港發展。</w:t>
      </w:r>
    </w:p>
    <w:p>
      <w:pPr>
        <w:pStyle w:val="Style13"/>
        <w:spacing w:lineRule="atLeast" w:line="380"/>
        <w:rPr>
          <w:i w:val="false"/>
          <w:i w:val="false"/>
        </w:rPr>
      </w:pPr>
      <w:r>
        <w:rPr>
          <w:i w:val="false"/>
        </w:rPr>
      </w:r>
    </w:p>
    <w:p>
      <w:pPr>
        <w:pStyle w:val="Style13"/>
        <w:spacing w:lineRule="atLeast" w:line="380"/>
        <w:rPr>
          <w:i w:val="false"/>
          <w:i w:val="false"/>
        </w:rPr>
      </w:pPr>
      <w:r>
        <w:rPr>
          <w:i w:val="false"/>
        </w:rPr>
        <w:tab/>
      </w:r>
      <w:r>
        <w:rPr>
          <w:i w:val="false"/>
        </w:rPr>
        <w:t>我們與議會會繼續透過本地培訓、再培訓和吸引新人加入建造業以應對殷切的人手需求。然而，本港正面對整體人口老化及勞動人口萎縮的情況，在培訓本地建造業工人方面亦有不少局限。建造業需要適時、有效輸入技術工人，以應付技術工人嚴重人手短缺的問題。政府會按建造業的特性，並且在保障本地工人優先就業及工資水平的前提下，進一步優化“補充勞工計劃”，增加調配的靈活性，充分利用技術工人的生產力。</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eastAsia="華康中黑體" w:cs="Times New Roman"/>
          <w:b/>
          <w:b/>
        </w:rPr>
      </w:pPr>
      <w:bookmarkStart w:id="44" w:name="wrq16"/>
      <w:r>
        <w:rPr>
          <w:rFonts w:cs="Times New Roman" w:eastAsia="華康中黑體"/>
          <w:b/>
        </w:rPr>
        <w:t>資助房屋屋邨／屋苑使用家用燃料事宜</w:t>
      </w:r>
    </w:p>
    <w:p>
      <w:pPr>
        <w:pStyle w:val="Normal"/>
        <w:spacing w:lineRule="atLeast" w:line="380"/>
        <w:rPr>
          <w:b/>
          <w:b/>
        </w:rPr>
      </w:pPr>
      <w:bookmarkStart w:id="45" w:name="wrq16"/>
      <w:r>
        <w:rPr>
          <w:b/>
        </w:rPr>
        <w:t>Use of Domestic Fuel in Subsidized Housing Estates/Courts</w:t>
      </w:r>
      <w:bookmarkEnd w:id="45"/>
    </w:p>
    <w:p>
      <w:pPr>
        <w:pStyle w:val="F21"/>
        <w:spacing w:lineRule="atLeast" w:line="380"/>
        <w:rPr>
          <w:rFonts w:cs="Times New Roman"/>
        </w:rPr>
      </w:pPr>
      <w:r>
        <w:rPr>
          <w:rFonts w:cs="Times New Roman"/>
        </w:rPr>
      </w:r>
    </w:p>
    <w:p>
      <w:pPr>
        <w:pStyle w:val="F21"/>
        <w:spacing w:lineRule="atLeast" w:line="380"/>
        <w:rPr>
          <w:i/>
          <w:i/>
          <w:szCs w:val="27"/>
        </w:rPr>
      </w:pPr>
      <w:r>
        <w:rPr>
          <w:rFonts w:eastAsia="華康中黑體"/>
          <w:b/>
          <w:szCs w:val="27"/>
        </w:rPr>
        <w:t>16.</w:t>
        <w:tab/>
      </w:r>
      <w:r>
        <w:rPr>
          <w:rFonts w:eastAsia="華康中黑體"/>
          <w:b/>
          <w:szCs w:val="27"/>
        </w:rPr>
        <w:t>鄧家彪議員</w:t>
      </w:r>
      <w:r>
        <w:rPr>
          <w:szCs w:val="27"/>
        </w:rPr>
        <w:t>：</w:t>
      </w:r>
      <w:r>
        <w:rPr>
          <w:i/>
          <w:szCs w:val="27"/>
        </w:rPr>
        <w:t>主席，有市民向本人反映，現時油公司釐訂家用石油氣</w:t>
      </w:r>
      <w:r>
        <w:rPr>
          <w:i/>
          <w:szCs w:val="27"/>
        </w:rPr>
        <w:t>(</w:t>
      </w:r>
      <w:r>
        <w:rPr>
          <w:i/>
          <w:szCs w:val="27"/>
        </w:rPr>
        <w:t>包括中央石油氣及樽裝石油氣</w:t>
      </w:r>
      <w:r>
        <w:rPr>
          <w:i/>
          <w:szCs w:val="27"/>
        </w:rPr>
        <w:t>)</w:t>
      </w:r>
      <w:r>
        <w:rPr>
          <w:i/>
          <w:szCs w:val="27"/>
        </w:rPr>
        <w:t>零售價格的準則欠缺透明度，而政府亦沒有清楚交代為資助房屋屋邨／屋苑甄選中央石油氣供應商的程序，令公眾難以監管家用石油氣的價格及供氣服務的質素。就資助房屋屋邨／屋苑使用煤氣及中央石油氣事宜，政府可否告知本會：</w:t>
      </w:r>
      <w:r>
        <w:br w:type="page"/>
      </w:r>
    </w:p>
    <w:p>
      <w:pPr>
        <w:pStyle w:val="Style13"/>
        <w:spacing w:lineRule="atLeast" w:line="350"/>
        <w:rPr>
          <w:szCs w:val="27"/>
        </w:rPr>
      </w:pPr>
      <w:r>
        <w:rPr>
          <w:szCs w:val="27"/>
        </w:rPr>
        <w:t>(</w:t>
      </w:r>
      <w:r>
        <w:rPr>
          <w:szCs w:val="27"/>
        </w:rPr>
        <w:t>一</w:t>
      </w:r>
      <w:r>
        <w:rPr>
          <w:szCs w:val="27"/>
        </w:rPr>
        <w:t>)</w:t>
        <w:tab/>
      </w:r>
      <w:r>
        <w:rPr>
          <w:szCs w:val="27"/>
        </w:rPr>
        <w:t>有否完全掌握及定期監察各油公司的家用石油氣價格數據，包括成本價、進口價及零售價的變動；若有，詳情為何；</w:t>
      </w:r>
    </w:p>
    <w:p>
      <w:pPr>
        <w:pStyle w:val="Style13"/>
        <w:spacing w:lineRule="atLeast" w:line="350"/>
        <w:rPr>
          <w:szCs w:val="27"/>
        </w:rPr>
      </w:pPr>
      <w:r>
        <w:rPr>
          <w:szCs w:val="27"/>
        </w:rPr>
      </w:r>
    </w:p>
    <w:p>
      <w:pPr>
        <w:pStyle w:val="Style13"/>
        <w:spacing w:lineRule="atLeast" w:line="350"/>
        <w:rPr>
          <w:szCs w:val="27"/>
        </w:rPr>
      </w:pPr>
      <w:r>
        <w:rPr>
          <w:szCs w:val="27"/>
        </w:rPr>
        <w:t>(</w:t>
      </w:r>
      <w:r>
        <w:rPr>
          <w:szCs w:val="27"/>
        </w:rPr>
        <w:t>二</w:t>
      </w:r>
      <w:r>
        <w:rPr>
          <w:szCs w:val="27"/>
        </w:rPr>
        <w:t>)</w:t>
        <w:tab/>
      </w:r>
      <w:r>
        <w:rPr>
          <w:szCs w:val="27"/>
        </w:rPr>
        <w:t>以表列出現時分別有哪些居者有其屋計劃屋苑、私人參建居屋計劃屋苑、公共屋邨，以及香港房屋協會</w:t>
      </w:r>
      <w:r>
        <w:rPr>
          <w:szCs w:val="27"/>
        </w:rPr>
        <w:t>(“</w:t>
      </w:r>
      <w:r>
        <w:rPr>
          <w:szCs w:val="27"/>
        </w:rPr>
        <w:t>房協”</w:t>
      </w:r>
      <w:r>
        <w:rPr>
          <w:szCs w:val="27"/>
        </w:rPr>
        <w:t>)</w:t>
      </w:r>
      <w:r>
        <w:rPr>
          <w:szCs w:val="27"/>
        </w:rPr>
        <w:t>轄下屋邨使用煤氣及中央石油氣；</w:t>
      </w:r>
    </w:p>
    <w:p>
      <w:pPr>
        <w:pStyle w:val="Style13"/>
        <w:spacing w:lineRule="atLeast" w:line="350"/>
        <w:rPr>
          <w:szCs w:val="27"/>
        </w:rPr>
      </w:pPr>
      <w:r>
        <w:rPr>
          <w:szCs w:val="27"/>
        </w:rPr>
      </w:r>
    </w:p>
    <w:p>
      <w:pPr>
        <w:pStyle w:val="Style13"/>
        <w:spacing w:lineRule="atLeast" w:line="350"/>
        <w:rPr>
          <w:szCs w:val="27"/>
        </w:rPr>
      </w:pPr>
      <w:r>
        <w:rPr>
          <w:szCs w:val="27"/>
        </w:rPr>
        <w:t>(</w:t>
      </w:r>
      <w:r>
        <w:rPr>
          <w:szCs w:val="27"/>
        </w:rPr>
        <w:t>三</w:t>
      </w:r>
      <w:r>
        <w:rPr>
          <w:szCs w:val="27"/>
        </w:rPr>
        <w:t>)</w:t>
        <w:tab/>
      </w:r>
      <w:r>
        <w:rPr>
          <w:szCs w:val="27"/>
        </w:rPr>
        <w:t>當局在興建資助房屋時以何準則決定該等屋邨／屋苑日後採用煤氣或還是中央石油氣；鑒於</w:t>
      </w:r>
      <w:r>
        <w:rPr>
          <w:szCs w:val="27"/>
        </w:rPr>
        <w:t>1990</w:t>
      </w:r>
      <w:r>
        <w:rPr>
          <w:szCs w:val="27"/>
        </w:rPr>
        <w:t>年入伙的將軍澳富寧花園使用中央石油氣，但</w:t>
      </w:r>
      <w:r>
        <w:rPr>
          <w:szCs w:val="27"/>
        </w:rPr>
        <w:t>1991</w:t>
      </w:r>
      <w:r>
        <w:rPr>
          <w:szCs w:val="27"/>
        </w:rPr>
        <w:t>年入伙的將軍澳安寧花園卻使用煤氣，為何該等入伙年份相近而且位置接近的資助房屋屋苑會採用不同的家用燃料；及</w:t>
      </w:r>
    </w:p>
    <w:p>
      <w:pPr>
        <w:pStyle w:val="Style13"/>
        <w:spacing w:lineRule="atLeast" w:line="350"/>
        <w:rPr>
          <w:szCs w:val="27"/>
        </w:rPr>
      </w:pPr>
      <w:r>
        <w:rPr>
          <w:szCs w:val="27"/>
        </w:rPr>
      </w:r>
    </w:p>
    <w:p>
      <w:pPr>
        <w:pStyle w:val="Style13"/>
        <w:spacing w:lineRule="atLeast" w:line="350"/>
        <w:rPr>
          <w:szCs w:val="27"/>
        </w:rPr>
      </w:pPr>
      <w:r>
        <w:rPr>
          <w:szCs w:val="27"/>
        </w:rPr>
        <w:t>(</w:t>
      </w:r>
      <w:r>
        <w:rPr>
          <w:szCs w:val="27"/>
        </w:rPr>
        <w:t>四</w:t>
      </w:r>
      <w:r>
        <w:rPr>
          <w:szCs w:val="27"/>
        </w:rPr>
        <w:t>)</w:t>
        <w:tab/>
      </w:r>
      <w:r>
        <w:rPr>
          <w:szCs w:val="27"/>
        </w:rPr>
        <w:t>香港房屋委員會及房協以甚麼方式</w:t>
      </w:r>
      <w:r>
        <w:rPr>
          <w:szCs w:val="27"/>
        </w:rPr>
        <w:t>(</w:t>
      </w:r>
      <w:r>
        <w:rPr>
          <w:szCs w:val="27"/>
        </w:rPr>
        <w:t>例如公開招標</w:t>
      </w:r>
      <w:r>
        <w:rPr>
          <w:szCs w:val="27"/>
        </w:rPr>
        <w:t>)</w:t>
      </w:r>
      <w:r>
        <w:rPr>
          <w:szCs w:val="27"/>
        </w:rPr>
        <w:t>為轄下屋邨／屋苑甄選中央石油氣供應商？</w:t>
      </w:r>
    </w:p>
    <w:p>
      <w:pPr>
        <w:pStyle w:val="Style13"/>
        <w:spacing w:lineRule="atLeast" w:line="350"/>
        <w:ind w:left="0" w:hanging="0"/>
        <w:rPr>
          <w:szCs w:val="27"/>
        </w:rPr>
      </w:pPr>
      <w:r>
        <w:rPr>
          <w:szCs w:val="27"/>
        </w:rPr>
      </w:r>
    </w:p>
    <w:p>
      <w:pPr>
        <w:pStyle w:val="Style13"/>
        <w:spacing w:lineRule="atLeast" w:line="350"/>
        <w:ind w:left="0" w:hanging="0"/>
        <w:rPr>
          <w:szCs w:val="27"/>
        </w:rPr>
      </w:pPr>
      <w:r>
        <w:rPr>
          <w:szCs w:val="27"/>
        </w:rPr>
      </w:r>
    </w:p>
    <w:p>
      <w:pPr>
        <w:pStyle w:val="Style13"/>
        <w:spacing w:lineRule="atLeast" w:line="350"/>
        <w:ind w:left="0" w:hanging="0"/>
        <w:rPr>
          <w:i w:val="false"/>
          <w:i w:val="false"/>
        </w:rPr>
      </w:pPr>
      <w:r>
        <w:rPr>
          <w:rFonts w:eastAsia="華康中黑體"/>
          <w:b/>
          <w:i w:val="false"/>
        </w:rPr>
        <w:t>運輸及房屋局局長</w:t>
      </w:r>
      <w:r>
        <w:rPr>
          <w:i w:val="false"/>
        </w:rPr>
        <w:t>：主席，能源供應屬於環境局的政策範疇。</w:t>
      </w:r>
    </w:p>
    <w:p>
      <w:pPr>
        <w:pStyle w:val="Normal"/>
        <w:spacing w:lineRule="atLeast" w:line="350"/>
        <w:rPr>
          <w:spacing w:val="20"/>
          <w:sz w:val="27"/>
          <w:szCs w:val="27"/>
        </w:rPr>
      </w:pPr>
      <w:r>
        <w:rPr>
          <w:spacing w:val="20"/>
          <w:sz w:val="27"/>
          <w:szCs w:val="27"/>
        </w:rPr>
      </w:r>
    </w:p>
    <w:p>
      <w:pPr>
        <w:pStyle w:val="Normal"/>
        <w:spacing w:lineRule="atLeast" w:line="350"/>
        <w:ind w:firstLine="567"/>
        <w:rPr>
          <w:spacing w:val="20"/>
          <w:sz w:val="27"/>
          <w:szCs w:val="27"/>
        </w:rPr>
      </w:pPr>
      <w:r>
        <w:rPr>
          <w:spacing w:val="20"/>
          <w:sz w:val="27"/>
          <w:szCs w:val="27"/>
        </w:rPr>
        <w:t>關於公營房屋屋邨／屋苑使用煤氣及中央石油氣事宜，在綜合環境局提供的資料後，我現就鄧家彪議員的各項質詢答覆如下：</w:t>
      </w:r>
    </w:p>
    <w:p>
      <w:pPr>
        <w:pStyle w:val="Normal"/>
        <w:spacing w:lineRule="atLeast" w:line="350"/>
        <w:rPr>
          <w:spacing w:val="20"/>
          <w:sz w:val="27"/>
          <w:szCs w:val="27"/>
        </w:rPr>
      </w:pPr>
      <w:r>
        <w:rPr>
          <w:spacing w:val="20"/>
          <w:sz w:val="27"/>
          <w:szCs w:val="27"/>
        </w:rPr>
      </w:r>
    </w:p>
    <w:p>
      <w:pPr>
        <w:pStyle w:val="Style13"/>
        <w:spacing w:lineRule="atLeast" w:line="350"/>
        <w:rPr>
          <w:i w:val="false"/>
          <w:i w:val="false"/>
        </w:rPr>
      </w:pPr>
      <w:r>
        <w:rPr>
          <w:i w:val="false"/>
        </w:rPr>
        <w:t>(</w:t>
      </w:r>
      <w:r>
        <w:rPr>
          <w:i w:val="false"/>
        </w:rPr>
        <w:t>一</w:t>
      </w:r>
      <w:r>
        <w:rPr>
          <w:i w:val="false"/>
        </w:rPr>
        <w:t>)</w:t>
        <w:tab/>
      </w:r>
      <w:r>
        <w:rPr>
          <w:i w:val="false"/>
        </w:rPr>
        <w:t>一直以來，家用石油氣</w:t>
      </w:r>
      <w:r>
        <w:rPr>
          <w:i w:val="false"/>
        </w:rPr>
        <w:t>(</w:t>
      </w:r>
      <w:r>
        <w:rPr>
          <w:i w:val="false"/>
        </w:rPr>
        <w:t>包括中央石油氣及樽裝石油氣</w:t>
      </w:r>
      <w:r>
        <w:rPr>
          <w:i w:val="false"/>
        </w:rPr>
        <w:t>)</w:t>
      </w:r>
      <w:r>
        <w:rPr>
          <w:i w:val="false"/>
        </w:rPr>
        <w:t>的價格，均是由個別油公司按商業運作原則和本身的營運成本而釐定。然而，政府理解及關注石油氣價格對市民的影響，因此政府鼓勵業界提高其在定價方面的透明度。</w:t>
      </w:r>
    </w:p>
    <w:p>
      <w:pPr>
        <w:pStyle w:val="Style13"/>
        <w:spacing w:lineRule="atLeast" w:line="350"/>
        <w:rPr>
          <w:i w:val="false"/>
          <w:i w:val="false"/>
        </w:rPr>
      </w:pPr>
      <w:r>
        <w:rPr>
          <w:i w:val="false"/>
        </w:rPr>
      </w:r>
    </w:p>
    <w:p>
      <w:pPr>
        <w:pStyle w:val="Style13"/>
        <w:spacing w:lineRule="atLeast" w:line="350"/>
        <w:rPr>
          <w:i w:val="false"/>
          <w:i w:val="false"/>
        </w:rPr>
      </w:pPr>
      <w:r>
        <w:rPr>
          <w:i w:val="false"/>
        </w:rPr>
        <w:tab/>
      </w:r>
      <w:r>
        <w:rPr>
          <w:i w:val="false"/>
        </w:rPr>
        <w:t>自</w:t>
      </w:r>
      <w:r>
        <w:rPr>
          <w:i w:val="false"/>
        </w:rPr>
        <w:t>1999</w:t>
      </w:r>
      <w:r>
        <w:rPr>
          <w:i w:val="false"/>
        </w:rPr>
        <w:t>年起，本地一家主要的石油氣供應商自發地設立家用石油氣的價格調整機制，以增加定價的透明度。據政府了解，市場上其他油公司的管道石油氣定價及樽裝石油氣批發價大致跟隨該公司的價格調整，因此他們的價格調整非常相近。</w:t>
      </w:r>
    </w:p>
    <w:p>
      <w:pPr>
        <w:pStyle w:val="Style13"/>
        <w:spacing w:lineRule="atLeast" w:line="350"/>
        <w:rPr>
          <w:i w:val="false"/>
          <w:i w:val="false"/>
        </w:rPr>
      </w:pPr>
      <w:r>
        <w:rPr>
          <w:i w:val="false"/>
        </w:rPr>
      </w:r>
    </w:p>
    <w:p>
      <w:pPr>
        <w:pStyle w:val="Style13"/>
        <w:snapToGrid w:val="false"/>
        <w:spacing w:lineRule="atLeast" w:line="350"/>
        <w:rPr>
          <w:i w:val="false"/>
          <w:i w:val="false"/>
        </w:rPr>
      </w:pPr>
      <w:r>
        <w:rPr>
          <w:i w:val="false"/>
        </w:rPr>
        <w:tab/>
      </w:r>
      <w:r>
        <w:rPr>
          <w:i w:val="false"/>
        </w:rPr>
        <w:t>在監察家用石油氣價格方面，政府一向參照國際石油氣價格</w:t>
      </w:r>
      <w:r>
        <w:rPr>
          <w:i w:val="false"/>
        </w:rPr>
        <w:t>(</w:t>
      </w:r>
      <w:r>
        <w:rPr>
          <w:i w:val="false"/>
        </w:rPr>
        <w:t>以沙地阿拉伯出口石油氣每月合約價計算</w:t>
      </w:r>
      <w:r>
        <w:rPr>
          <w:rStyle w:val="FootnoteAnchor"/>
          <w:i w:val="false"/>
        </w:rPr>
        <w:footnoteReference w:customMarkFollows="1" w:id="5"/>
        <w:t>(1)</w:t>
      </w:r>
      <w:r>
        <w:rPr>
          <w:i w:val="false"/>
        </w:rPr>
        <w:t>)</w:t>
      </w:r>
      <w:r>
        <w:rPr>
          <w:i w:val="false"/>
        </w:rPr>
        <w:t>及本地石油氣入口價的變動，比較油公司的價格預測是否合理；並與油公司定期在其價格檢討時會面，討論其價格預測及給予意見，以及跟進油公司因應上次檢討時的預測差異而作出的價格追加或追減，以及每年</w:t>
      </w:r>
      <w:r>
        <w:rPr>
          <w:i w:val="false"/>
        </w:rPr>
        <w:t>1</w:t>
      </w:r>
      <w:r>
        <w:rPr>
          <w:i w:val="false"/>
        </w:rPr>
        <w:t>次的營運成本調整是否合理。</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根據該油公司的價格調整機制，自去年年中開始，油公司分別於</w:t>
      </w:r>
      <w:r>
        <w:rPr>
          <w:i w:val="false"/>
        </w:rPr>
        <w:t>2014</w:t>
      </w:r>
      <w:r>
        <w:rPr>
          <w:i w:val="false"/>
        </w:rPr>
        <w:t>年</w:t>
      </w:r>
      <w:r>
        <w:rPr>
          <w:i w:val="false"/>
        </w:rPr>
        <w:t>7</w:t>
      </w:r>
      <w:r>
        <w:rPr>
          <w:i w:val="false"/>
        </w:rPr>
        <w:t>月底、</w:t>
      </w:r>
      <w:r>
        <w:rPr>
          <w:i w:val="false"/>
        </w:rPr>
        <w:t>10</w:t>
      </w:r>
      <w:r>
        <w:rPr>
          <w:i w:val="false"/>
        </w:rPr>
        <w:t>月底及</w:t>
      </w:r>
      <w:r>
        <w:rPr>
          <w:i w:val="false"/>
        </w:rPr>
        <w:t>2015</w:t>
      </w:r>
      <w:r>
        <w:rPr>
          <w:i w:val="false"/>
        </w:rPr>
        <w:t>年</w:t>
      </w:r>
      <w:r>
        <w:rPr>
          <w:i w:val="false"/>
        </w:rPr>
        <w:t>1</w:t>
      </w:r>
      <w:r>
        <w:rPr>
          <w:i w:val="false"/>
        </w:rPr>
        <w:t>月底對家用石油氣的價格作出</w:t>
      </w:r>
      <w:r>
        <w:rPr>
          <w:i w:val="false"/>
        </w:rPr>
        <w:t>3</w:t>
      </w:r>
      <w:r>
        <w:rPr>
          <w:i w:val="false"/>
        </w:rPr>
        <w:t>次調整。中央家用石油氣的價格已自</w:t>
      </w:r>
      <w:r>
        <w:rPr>
          <w:i w:val="false"/>
        </w:rPr>
        <w:t>2014</w:t>
      </w:r>
      <w:r>
        <w:rPr>
          <w:i w:val="false"/>
        </w:rPr>
        <w:t>年</w:t>
      </w:r>
      <w:r>
        <w:rPr>
          <w:i w:val="false"/>
        </w:rPr>
        <w:t>7</w:t>
      </w:r>
      <w:r>
        <w:rPr>
          <w:i w:val="false"/>
        </w:rPr>
        <w:t>月初的每立方米約</w:t>
      </w:r>
      <w:r>
        <w:rPr>
          <w:i w:val="false"/>
        </w:rPr>
        <w:t>38</w:t>
      </w:r>
      <w:r>
        <w:rPr>
          <w:i w:val="false"/>
        </w:rPr>
        <w:t>元下調約兩成至最近的每立方米少於</w:t>
      </w:r>
      <w:r>
        <w:rPr>
          <w:i w:val="false"/>
        </w:rPr>
        <w:t>31</w:t>
      </w:r>
      <w:r>
        <w:rPr>
          <w:i w:val="false"/>
        </w:rPr>
        <w:t>元。樽裝石油氣批發價，亦已作相同幅度的調整。與同期的石油氣入口價</w:t>
      </w:r>
      <w:r>
        <w:rPr>
          <w:i w:val="false"/>
        </w:rPr>
        <w:t>(2014</w:t>
      </w:r>
      <w:r>
        <w:rPr>
          <w:i w:val="false"/>
        </w:rPr>
        <w:t>年</w:t>
      </w:r>
      <w:r>
        <w:rPr>
          <w:i w:val="false"/>
        </w:rPr>
        <w:t>7</w:t>
      </w:r>
      <w:r>
        <w:rPr>
          <w:i w:val="false"/>
        </w:rPr>
        <w:t>月為每公斤</w:t>
      </w:r>
      <w:r>
        <w:rPr>
          <w:i w:val="false"/>
        </w:rPr>
        <w:t>7.29</w:t>
      </w:r>
      <w:r>
        <w:rPr>
          <w:i w:val="false"/>
        </w:rPr>
        <w:t>元；</w:t>
      </w:r>
      <w:r>
        <w:rPr>
          <w:i w:val="false"/>
        </w:rPr>
        <w:t>12</w:t>
      </w:r>
      <w:r>
        <w:rPr>
          <w:i w:val="false"/>
        </w:rPr>
        <w:t>月為每公斤</w:t>
      </w:r>
      <w:r>
        <w:rPr>
          <w:i w:val="false"/>
        </w:rPr>
        <w:t>5.81</w:t>
      </w:r>
      <w:r>
        <w:rPr>
          <w:i w:val="false"/>
        </w:rPr>
        <w:t>元</w:t>
      </w:r>
      <w:r>
        <w:rPr>
          <w:i w:val="false"/>
        </w:rPr>
        <w:t>)</w:t>
      </w:r>
      <w:r>
        <w:rPr>
          <w:rStyle w:val="FootnoteAnchor"/>
          <w:i w:val="false"/>
        </w:rPr>
        <w:footnoteReference w:customMarkFollows="1" w:id="6"/>
        <w:t>(2)</w:t>
      </w:r>
      <w:r>
        <w:rPr>
          <w:i w:val="false"/>
        </w:rPr>
        <w:t>比較，相關的調整幅度與石油氣入口價的下跌幅度相約。有關家用石油氣入口價及零售價數據，請參閱附件一。</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政府會繼續致力確保能源供應可靠、維持市場開放和清除進入市場的障礙，以促進競爭。</w:t>
      </w:r>
    </w:p>
    <w:p>
      <w:pPr>
        <w:pStyle w:val="Style13"/>
        <w:spacing w:lineRule="atLeast" w:line="390"/>
        <w:rPr>
          <w:i w:val="false"/>
          <w:i w:val="false"/>
        </w:rPr>
      </w:pPr>
      <w:r>
        <w:rPr>
          <w:i w:val="false"/>
        </w:rPr>
      </w:r>
    </w:p>
    <w:p>
      <w:pPr>
        <w:pStyle w:val="Style13"/>
        <w:spacing w:lineRule="atLeast" w:line="390"/>
        <w:rPr>
          <w:i w:val="false"/>
          <w:i w:val="false"/>
        </w:rPr>
      </w:pPr>
      <w:r>
        <w:rPr>
          <w:i w:val="false"/>
        </w:rPr>
        <w:t>(</w:t>
      </w:r>
      <w:r>
        <w:rPr>
          <w:i w:val="false"/>
        </w:rPr>
        <w:t>二</w:t>
      </w:r>
      <w:r>
        <w:rPr>
          <w:i w:val="false"/>
        </w:rPr>
        <w:t>)</w:t>
        <w:tab/>
      </w:r>
      <w:r>
        <w:rPr>
          <w:i w:val="false"/>
        </w:rPr>
        <w:t>香港房屋委員會</w:t>
      </w:r>
      <w:r>
        <w:rPr>
          <w:i w:val="false"/>
        </w:rPr>
        <w:t>(“</w:t>
      </w:r>
      <w:r>
        <w:rPr>
          <w:i w:val="false"/>
        </w:rPr>
        <w:t>房委會”</w:t>
      </w:r>
      <w:r>
        <w:rPr>
          <w:i w:val="false"/>
        </w:rPr>
        <w:t>)</w:t>
      </w:r>
      <w:r>
        <w:rPr>
          <w:i w:val="false"/>
        </w:rPr>
        <w:t>發展的公營房屋，以及香港房屋協會</w:t>
      </w:r>
      <w:r>
        <w:rPr>
          <w:i w:val="false"/>
        </w:rPr>
        <w:t>(“</w:t>
      </w:r>
      <w:r>
        <w:rPr>
          <w:i w:val="false"/>
        </w:rPr>
        <w:t>房協”</w:t>
      </w:r>
      <w:r>
        <w:rPr>
          <w:i w:val="false"/>
        </w:rPr>
        <w:t>)</w:t>
      </w:r>
      <w:r>
        <w:rPr>
          <w:i w:val="false"/>
        </w:rPr>
        <w:t>轄下的資助房屋採用燃氣的資料，載於附件二。</w:t>
      </w:r>
    </w:p>
    <w:p>
      <w:pPr>
        <w:pStyle w:val="Style13"/>
        <w:spacing w:lineRule="atLeast" w:line="390"/>
        <w:rPr>
          <w:i w:val="false"/>
          <w:i w:val="false"/>
        </w:rPr>
      </w:pPr>
      <w:r>
        <w:rPr>
          <w:i w:val="false"/>
        </w:rPr>
      </w:r>
    </w:p>
    <w:p>
      <w:pPr>
        <w:pStyle w:val="Style13"/>
        <w:spacing w:lineRule="atLeast" w:line="390"/>
        <w:rPr>
          <w:i w:val="false"/>
          <w:i w:val="false"/>
        </w:rPr>
      </w:pPr>
      <w:r>
        <w:rPr>
          <w:i w:val="false"/>
        </w:rPr>
        <w:t>(</w:t>
      </w:r>
      <w:r>
        <w:rPr>
          <w:i w:val="false"/>
        </w:rPr>
        <w:t>三</w:t>
      </w:r>
      <w:r>
        <w:rPr>
          <w:i w:val="false"/>
        </w:rPr>
        <w:t>)</w:t>
      </w:r>
      <w:r>
        <w:rPr>
          <w:i w:val="false"/>
        </w:rPr>
        <w:t>及</w:t>
      </w:r>
      <w:r>
        <w:rPr>
          <w:i w:val="false"/>
        </w:rPr>
        <w:t>(</w:t>
      </w:r>
      <w:r>
        <w:rPr>
          <w:i w:val="false"/>
        </w:rPr>
        <w:t>四</w:t>
      </w:r>
      <w:r>
        <w:rPr>
          <w:i w:val="false"/>
        </w:rPr>
        <w:t>)</w:t>
      </w:r>
    </w:p>
    <w:p>
      <w:pPr>
        <w:pStyle w:val="Style13"/>
        <w:spacing w:lineRule="atLeast" w:line="390"/>
        <w:rPr>
          <w:i w:val="false"/>
          <w:i w:val="false"/>
        </w:rPr>
      </w:pPr>
      <w:r>
        <w:rPr>
          <w:i w:val="false"/>
        </w:rPr>
      </w:r>
    </w:p>
    <w:p>
      <w:pPr>
        <w:pStyle w:val="Style13"/>
        <w:spacing w:lineRule="atLeast" w:line="390"/>
        <w:rPr/>
      </w:pPr>
      <w:r>
        <w:rPr>
          <w:i w:val="false"/>
        </w:rPr>
        <w:tab/>
      </w:r>
      <w:r>
        <w:rPr>
          <w:i w:val="false"/>
        </w:rPr>
        <w:t>由於採用中央石油氣供應，需要在發展項目範圍內興建石油氣儲存庫，並按相關的安全要求釐定儲存庫與住宅之間的隔離區，所以這可能影響土地和整體規劃的靈活性，令建屋用地大幅減少，而採用煤氣供應則不會受到類似影響。因此，房委會在情況許可下，會盡量為住戶供應煤氣。由於有個別屋邨或屋苑位處偏遠地區，又或在興建時尚未有煤氣供應，房委會會公開招標，邀請石油氣供應商為發展項目提供中央石油氣。</w:t>
      </w:r>
      <w:r>
        <w:br w:type="page"/>
      </w:r>
    </w:p>
    <w:p>
      <w:pPr>
        <w:pStyle w:val="Style13"/>
        <w:spacing w:lineRule="atLeast" w:line="390"/>
        <w:rPr>
          <w:i w:val="false"/>
          <w:i w:val="false"/>
        </w:rPr>
      </w:pPr>
      <w:r>
        <w:rPr>
          <w:i w:val="false"/>
        </w:rPr>
        <w:tab/>
      </w:r>
      <w:r>
        <w:rPr>
          <w:i w:val="false"/>
        </w:rPr>
        <w:t>將軍澳富寧花園及安寧花園均屬私人機構參建居屋計劃的屋苑。就早期的私人機構參建居屋計劃，由於房委會與發展商的合約中並無列明該居屋項目的燃氣要求，所以發展商可按當時的環境和市場情況為發展項目提供煤氣或中央石油氣。房委會於</w:t>
      </w:r>
      <w:r>
        <w:rPr>
          <w:i w:val="false"/>
        </w:rPr>
        <w:t>1988</w:t>
      </w:r>
      <w:r>
        <w:rPr>
          <w:i w:val="false"/>
        </w:rPr>
        <w:t>年檢討後，規定私人機構參建居屋計劃的發展項目只能在沒有煤氣供應時，才採用中央石油氣。同時，房委會與石油氣供應商簽定的供氣合約規定，用戶所支付的價格不得高於當前私營市場價格的費用，亦即不得超過其他私人物業的中央石油氣用戶所支付的價格。</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由於富寧花園在上述檢討前已招標，發展商因應當時的環境和市場情況，採納了中央石油氣。而安寧花園則在該檢討後才招標，發展商按房委會要求採用煤氣。</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至於房協，則在興建屋苑時會視乎個別發展項目的地盤面積和設計，考慮提供中央石油氣或煤氣，並通過公開招標方式揀選燃氣供應商。</w:t>
      </w:r>
    </w:p>
    <w:p>
      <w:pPr>
        <w:pStyle w:val="Normal"/>
        <w:spacing w:lineRule="atLeast" w:line="390"/>
        <w:rPr>
          <w:spacing w:val="20"/>
          <w:sz w:val="27"/>
          <w:szCs w:val="27"/>
        </w:rPr>
      </w:pPr>
      <w:r>
        <w:rPr>
          <w:spacing w:val="20"/>
          <w:sz w:val="27"/>
          <w:szCs w:val="27"/>
        </w:rPr>
      </w:r>
    </w:p>
    <w:p>
      <w:pPr>
        <w:pStyle w:val="Normal"/>
        <w:spacing w:lineRule="atLeast" w:line="390"/>
        <w:rPr>
          <w:spacing w:val="20"/>
          <w:sz w:val="27"/>
          <w:szCs w:val="27"/>
        </w:rPr>
      </w:pPr>
      <w:r>
        <w:rPr>
          <w:spacing w:val="20"/>
          <w:sz w:val="27"/>
          <w:szCs w:val="27"/>
        </w:rPr>
      </w:r>
    </w:p>
    <w:p>
      <w:pPr>
        <w:pStyle w:val="Normal"/>
        <w:spacing w:lineRule="atLeast" w:line="390"/>
        <w:jc w:val="right"/>
        <w:rPr>
          <w:spacing w:val="20"/>
          <w:sz w:val="27"/>
          <w:szCs w:val="27"/>
        </w:rPr>
      </w:pPr>
      <w:r>
        <w:rPr>
          <w:spacing w:val="20"/>
          <w:sz w:val="27"/>
          <w:szCs w:val="27"/>
        </w:rPr>
        <w:t>附件一</w:t>
      </w:r>
    </w:p>
    <w:p>
      <w:pPr>
        <w:pStyle w:val="Normal"/>
        <w:spacing w:lineRule="atLeast" w:line="390"/>
        <w:jc w:val="right"/>
        <w:rPr>
          <w:spacing w:val="20"/>
          <w:sz w:val="27"/>
          <w:szCs w:val="27"/>
        </w:rPr>
      </w:pPr>
      <w:r>
        <w:rPr>
          <w:spacing w:val="20"/>
          <w:sz w:val="27"/>
          <w:szCs w:val="27"/>
        </w:rPr>
      </w:r>
    </w:p>
    <w:p>
      <w:pPr>
        <w:pStyle w:val="Normal"/>
        <w:spacing w:lineRule="atLeast" w:line="390"/>
        <w:jc w:val="center"/>
        <w:rPr>
          <w:spacing w:val="20"/>
          <w:sz w:val="27"/>
          <w:szCs w:val="27"/>
        </w:rPr>
      </w:pPr>
      <w:r>
        <w:rPr>
          <w:spacing w:val="20"/>
          <w:sz w:val="27"/>
          <w:szCs w:val="27"/>
        </w:rPr>
        <w:t>家用石油氣入口價及零售價數據</w:t>
      </w:r>
    </w:p>
    <w:p>
      <w:pPr>
        <w:pStyle w:val="Normal"/>
        <w:spacing w:lineRule="atLeast" w:line="390"/>
        <w:rPr>
          <w:spacing w:val="20"/>
          <w:sz w:val="27"/>
          <w:szCs w:val="27"/>
        </w:rPr>
      </w:pPr>
      <w:r>
        <w:rPr>
          <w:spacing w:val="20"/>
          <w:sz w:val="27"/>
          <w:szCs w:val="27"/>
        </w:rPr>
      </w:r>
    </w:p>
    <w:p>
      <w:pPr>
        <w:pStyle w:val="Normal"/>
        <w:tabs>
          <w:tab w:val="clear" w:pos="720"/>
        </w:tabs>
        <w:spacing w:lineRule="atLeast" w:line="390"/>
        <w:ind w:left="567" w:hanging="567"/>
        <w:rPr>
          <w:spacing w:val="20"/>
          <w:sz w:val="27"/>
          <w:szCs w:val="27"/>
        </w:rPr>
      </w:pPr>
      <w:r>
        <w:rPr>
          <w:spacing w:val="20"/>
          <w:sz w:val="27"/>
          <w:szCs w:val="27"/>
        </w:rPr>
        <w:t>1.</w:t>
        <w:tab/>
      </w:r>
      <w:r>
        <w:rPr>
          <w:spacing w:val="20"/>
          <w:sz w:val="27"/>
          <w:szCs w:val="27"/>
        </w:rPr>
        <w:t>家用石油氣入口價</w:t>
      </w:r>
    </w:p>
    <w:p>
      <w:pPr>
        <w:pStyle w:val="Normal"/>
        <w:spacing w:lineRule="atLeast" w:line="390"/>
        <w:rPr>
          <w:spacing w:val="20"/>
          <w:sz w:val="27"/>
          <w:szCs w:val="27"/>
        </w:rPr>
      </w:pPr>
      <w:r>
        <w:rPr>
          <w:spacing w:val="20"/>
          <w:sz w:val="27"/>
          <w:szCs w:val="27"/>
        </w:rPr>
      </w:r>
    </w:p>
    <w:p>
      <w:pPr>
        <w:pStyle w:val="Normal"/>
        <w:spacing w:lineRule="atLeast" w:line="390"/>
        <w:rPr>
          <w:spacing w:val="20"/>
          <w:sz w:val="27"/>
          <w:szCs w:val="27"/>
        </w:rPr>
      </w:pPr>
      <w:r>
        <w:rPr>
          <w:spacing w:val="20"/>
          <w:sz w:val="27"/>
          <w:szCs w:val="27"/>
        </w:rPr>
        <w:t>政府統計處每月向立法會提交的液體狀石油氣入口價數據表列如下：</w:t>
      </w:r>
    </w:p>
    <w:p>
      <w:pPr>
        <w:pStyle w:val="Normal"/>
        <w:spacing w:lineRule="atLeast" w:line="390"/>
        <w:rPr>
          <w:spacing w:val="20"/>
          <w:sz w:val="27"/>
          <w:szCs w:val="27"/>
        </w:rPr>
      </w:pPr>
      <w:r>
        <w:rPr>
          <w:spacing w:val="20"/>
          <w:sz w:val="27"/>
          <w:szCs w:val="27"/>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3098"/>
        <w:gridCol w:w="3062"/>
        <w:gridCol w:w="3063"/>
      </w:tblGrid>
      <w:tr>
        <w:trPr>
          <w:tblHeader w:val="true"/>
        </w:trPr>
        <w:tc>
          <w:tcPr>
            <w:tcW w:w="3098" w:type="dxa"/>
            <w:vMerge w:val="restart"/>
            <w:tcBorders/>
            <w:vAlign w:val="center"/>
          </w:tcPr>
          <w:p>
            <w:pPr>
              <w:pStyle w:val="Normal"/>
              <w:widowControl w:val="false"/>
              <w:spacing w:lineRule="atLeast" w:line="380"/>
              <w:jc w:val="center"/>
              <w:rPr>
                <w:i/>
                <w:i/>
                <w:spacing w:val="20"/>
                <w:sz w:val="27"/>
                <w:szCs w:val="27"/>
              </w:rPr>
            </w:pPr>
            <w:r>
              <w:rPr>
                <w:i/>
                <w:spacing w:val="20"/>
                <w:sz w:val="27"/>
                <w:szCs w:val="27"/>
              </w:rPr>
              <w:t>2013-2014</w:t>
            </w:r>
            <w:r>
              <w:rPr>
                <w:i/>
                <w:spacing w:val="20"/>
                <w:sz w:val="27"/>
                <w:szCs w:val="27"/>
              </w:rPr>
              <w:t>年度</w:t>
            </w:r>
          </w:p>
          <w:p>
            <w:pPr>
              <w:pStyle w:val="Normal"/>
              <w:widowControl w:val="false"/>
              <w:spacing w:lineRule="atLeast" w:line="380"/>
              <w:jc w:val="center"/>
              <w:rPr>
                <w:i/>
                <w:i/>
                <w:spacing w:val="20"/>
                <w:sz w:val="27"/>
                <w:szCs w:val="27"/>
              </w:rPr>
            </w:pPr>
            <w:r>
              <w:rPr>
                <w:i/>
                <w:spacing w:val="20"/>
                <w:sz w:val="27"/>
                <w:szCs w:val="27"/>
              </w:rPr>
              <w:t>(1</w:t>
            </w:r>
            <w:r>
              <w:rPr>
                <w:i/>
                <w:spacing w:val="20"/>
                <w:sz w:val="27"/>
                <w:szCs w:val="27"/>
              </w:rPr>
              <w:t>月至</w:t>
            </w:r>
            <w:r>
              <w:rPr>
                <w:i/>
                <w:spacing w:val="20"/>
                <w:sz w:val="27"/>
                <w:szCs w:val="27"/>
              </w:rPr>
              <w:t>12</w:t>
            </w:r>
            <w:r>
              <w:rPr>
                <w:i/>
                <w:spacing w:val="20"/>
                <w:sz w:val="27"/>
                <w:szCs w:val="27"/>
              </w:rPr>
              <w:t>月</w:t>
            </w:r>
            <w:r>
              <w:rPr>
                <w:i/>
                <w:spacing w:val="20"/>
                <w:sz w:val="27"/>
                <w:szCs w:val="27"/>
              </w:rPr>
              <w:t>)</w:t>
            </w:r>
          </w:p>
        </w:tc>
        <w:tc>
          <w:tcPr>
            <w:tcW w:w="6125" w:type="dxa"/>
            <w:gridSpan w:val="2"/>
            <w:tcBorders/>
            <w:vAlign w:val="center"/>
          </w:tcPr>
          <w:p>
            <w:pPr>
              <w:pStyle w:val="Normal"/>
              <w:widowControl w:val="false"/>
              <w:spacing w:lineRule="atLeast" w:line="380"/>
              <w:jc w:val="center"/>
              <w:rPr>
                <w:i/>
                <w:i/>
                <w:spacing w:val="20"/>
                <w:sz w:val="27"/>
                <w:szCs w:val="27"/>
              </w:rPr>
            </w:pPr>
            <w:r>
              <w:rPr>
                <w:i/>
                <w:spacing w:val="20"/>
                <w:sz w:val="27"/>
                <w:szCs w:val="27"/>
              </w:rPr>
              <w:t>液體狀石油氣</w:t>
            </w:r>
          </w:p>
        </w:tc>
      </w:tr>
      <w:tr>
        <w:trPr>
          <w:tblHeader w:val="true"/>
        </w:trPr>
        <w:tc>
          <w:tcPr>
            <w:tcW w:w="3098" w:type="dxa"/>
            <w:vMerge w:val="continue"/>
            <w:tcBorders/>
            <w:vAlign w:val="center"/>
          </w:tcPr>
          <w:p>
            <w:pPr>
              <w:pStyle w:val="Normal"/>
              <w:widowControl/>
              <w:spacing w:lineRule="atLeast" w:line="380"/>
              <w:jc w:val="left"/>
              <w:rPr>
                <w:i/>
                <w:i/>
                <w:spacing w:val="20"/>
                <w:sz w:val="27"/>
                <w:szCs w:val="27"/>
              </w:rPr>
            </w:pPr>
            <w:r>
              <w:rPr>
                <w:i/>
                <w:spacing w:val="20"/>
                <w:sz w:val="27"/>
                <w:szCs w:val="27"/>
              </w:rPr>
            </w:r>
          </w:p>
        </w:tc>
        <w:tc>
          <w:tcPr>
            <w:tcW w:w="3062" w:type="dxa"/>
            <w:tcBorders/>
            <w:vAlign w:val="center"/>
          </w:tcPr>
          <w:p>
            <w:pPr>
              <w:pStyle w:val="Normal"/>
              <w:widowControl w:val="false"/>
              <w:spacing w:lineRule="atLeast" w:line="380"/>
              <w:jc w:val="center"/>
              <w:rPr>
                <w:i/>
                <w:i/>
                <w:spacing w:val="20"/>
                <w:sz w:val="27"/>
                <w:szCs w:val="27"/>
              </w:rPr>
            </w:pPr>
            <w:r>
              <w:rPr>
                <w:i/>
                <w:spacing w:val="20"/>
                <w:sz w:val="27"/>
                <w:szCs w:val="27"/>
              </w:rPr>
              <w:t>2013</w:t>
            </w:r>
            <w:r>
              <w:rPr>
                <w:i/>
                <w:spacing w:val="20"/>
                <w:sz w:val="27"/>
                <w:szCs w:val="27"/>
              </w:rPr>
              <w:t>年</w:t>
            </w:r>
          </w:p>
          <w:p>
            <w:pPr>
              <w:pStyle w:val="Normal"/>
              <w:widowControl w:val="false"/>
              <w:spacing w:lineRule="atLeast" w:line="380"/>
              <w:jc w:val="center"/>
              <w:rPr>
                <w:i/>
                <w:i/>
                <w:spacing w:val="20"/>
                <w:sz w:val="27"/>
                <w:szCs w:val="27"/>
              </w:rPr>
            </w:pPr>
            <w:r>
              <w:rPr>
                <w:i/>
                <w:spacing w:val="20"/>
                <w:sz w:val="27"/>
                <w:szCs w:val="27"/>
              </w:rPr>
              <w:t>(</w:t>
            </w:r>
            <w:r>
              <w:rPr>
                <w:i/>
                <w:spacing w:val="20"/>
                <w:sz w:val="27"/>
                <w:szCs w:val="27"/>
              </w:rPr>
              <w:t>港元／公斤</w:t>
            </w:r>
            <w:r>
              <w:rPr>
                <w:i/>
                <w:spacing w:val="20"/>
                <w:sz w:val="27"/>
                <w:szCs w:val="27"/>
              </w:rPr>
              <w:t>)</w:t>
            </w:r>
          </w:p>
        </w:tc>
        <w:tc>
          <w:tcPr>
            <w:tcW w:w="3063" w:type="dxa"/>
            <w:tcBorders/>
            <w:vAlign w:val="center"/>
          </w:tcPr>
          <w:p>
            <w:pPr>
              <w:pStyle w:val="Normal"/>
              <w:widowControl w:val="false"/>
              <w:spacing w:lineRule="atLeast" w:line="380"/>
              <w:jc w:val="center"/>
              <w:rPr>
                <w:i/>
                <w:i/>
                <w:spacing w:val="20"/>
                <w:sz w:val="27"/>
                <w:szCs w:val="27"/>
              </w:rPr>
            </w:pPr>
            <w:r>
              <w:rPr>
                <w:i/>
                <w:spacing w:val="20"/>
                <w:sz w:val="27"/>
                <w:szCs w:val="27"/>
              </w:rPr>
              <w:t>2014</w:t>
            </w:r>
            <w:r>
              <w:rPr>
                <w:i/>
                <w:spacing w:val="20"/>
                <w:sz w:val="27"/>
                <w:szCs w:val="27"/>
              </w:rPr>
              <w:t>年</w:t>
            </w:r>
          </w:p>
          <w:p>
            <w:pPr>
              <w:pStyle w:val="Normal"/>
              <w:widowControl w:val="false"/>
              <w:spacing w:lineRule="atLeast" w:line="380"/>
              <w:jc w:val="center"/>
              <w:rPr>
                <w:i/>
                <w:i/>
                <w:spacing w:val="20"/>
                <w:sz w:val="27"/>
                <w:szCs w:val="27"/>
              </w:rPr>
            </w:pPr>
            <w:r>
              <w:rPr>
                <w:i/>
                <w:spacing w:val="20"/>
                <w:sz w:val="27"/>
                <w:szCs w:val="27"/>
              </w:rPr>
              <w:t>(</w:t>
            </w:r>
            <w:r>
              <w:rPr>
                <w:i/>
                <w:spacing w:val="20"/>
                <w:sz w:val="27"/>
                <w:szCs w:val="27"/>
              </w:rPr>
              <w:t>港元／公斤</w:t>
            </w:r>
            <w:r>
              <w:rPr>
                <w:i/>
                <w:spacing w:val="20"/>
                <w:sz w:val="27"/>
                <w:szCs w:val="27"/>
              </w:rPr>
              <w:t>)</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1</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8.30</w:t>
            </w:r>
          </w:p>
        </w:tc>
        <w:tc>
          <w:tcPr>
            <w:tcW w:w="3063" w:type="dxa"/>
            <w:tcBorders/>
          </w:tcPr>
          <w:p>
            <w:pPr>
              <w:pStyle w:val="Normal"/>
              <w:widowControl w:val="false"/>
              <w:spacing w:lineRule="atLeast" w:line="380"/>
              <w:jc w:val="center"/>
              <w:rPr>
                <w:spacing w:val="20"/>
                <w:sz w:val="27"/>
                <w:szCs w:val="27"/>
              </w:rPr>
            </w:pPr>
            <w:r>
              <w:rPr>
                <w:spacing w:val="20"/>
                <w:sz w:val="27"/>
                <w:szCs w:val="27"/>
              </w:rPr>
              <w:t>8.97</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2</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8.00</w:t>
            </w:r>
          </w:p>
        </w:tc>
        <w:tc>
          <w:tcPr>
            <w:tcW w:w="3063" w:type="dxa"/>
            <w:tcBorders/>
          </w:tcPr>
          <w:p>
            <w:pPr>
              <w:pStyle w:val="Normal"/>
              <w:widowControl w:val="false"/>
              <w:spacing w:lineRule="atLeast" w:line="380"/>
              <w:jc w:val="center"/>
              <w:rPr>
                <w:spacing w:val="20"/>
                <w:sz w:val="27"/>
                <w:szCs w:val="27"/>
              </w:rPr>
            </w:pPr>
            <w:r>
              <w:rPr>
                <w:spacing w:val="20"/>
                <w:sz w:val="27"/>
                <w:szCs w:val="27"/>
              </w:rPr>
              <w:t>9.07</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3</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7.90</w:t>
            </w:r>
          </w:p>
        </w:tc>
        <w:tc>
          <w:tcPr>
            <w:tcW w:w="3063" w:type="dxa"/>
            <w:tcBorders/>
          </w:tcPr>
          <w:p>
            <w:pPr>
              <w:pStyle w:val="Normal"/>
              <w:widowControl w:val="false"/>
              <w:spacing w:lineRule="atLeast" w:line="380"/>
              <w:jc w:val="center"/>
              <w:rPr>
                <w:spacing w:val="20"/>
                <w:sz w:val="27"/>
                <w:szCs w:val="27"/>
              </w:rPr>
            </w:pPr>
            <w:r>
              <w:rPr>
                <w:spacing w:val="20"/>
                <w:sz w:val="27"/>
                <w:szCs w:val="27"/>
              </w:rPr>
              <w:t>8.09</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4</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7.35</w:t>
            </w:r>
          </w:p>
        </w:tc>
        <w:tc>
          <w:tcPr>
            <w:tcW w:w="3063" w:type="dxa"/>
            <w:tcBorders/>
          </w:tcPr>
          <w:p>
            <w:pPr>
              <w:pStyle w:val="Normal"/>
              <w:widowControl w:val="false"/>
              <w:spacing w:lineRule="atLeast" w:line="380"/>
              <w:jc w:val="center"/>
              <w:rPr>
                <w:spacing w:val="20"/>
                <w:sz w:val="27"/>
                <w:szCs w:val="27"/>
              </w:rPr>
            </w:pPr>
            <w:r>
              <w:rPr>
                <w:spacing w:val="20"/>
                <w:sz w:val="27"/>
                <w:szCs w:val="27"/>
              </w:rPr>
              <w:t>7.59</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5</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6.76</w:t>
            </w:r>
          </w:p>
        </w:tc>
        <w:tc>
          <w:tcPr>
            <w:tcW w:w="3063" w:type="dxa"/>
            <w:tcBorders/>
          </w:tcPr>
          <w:p>
            <w:pPr>
              <w:pStyle w:val="Normal"/>
              <w:widowControl w:val="false"/>
              <w:spacing w:lineRule="atLeast" w:line="380"/>
              <w:jc w:val="center"/>
              <w:rPr>
                <w:spacing w:val="20"/>
                <w:sz w:val="27"/>
                <w:szCs w:val="27"/>
              </w:rPr>
            </w:pPr>
            <w:r>
              <w:rPr>
                <w:spacing w:val="20"/>
                <w:sz w:val="27"/>
                <w:szCs w:val="27"/>
              </w:rPr>
              <w:t>7.25</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6</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6.78</w:t>
            </w:r>
          </w:p>
        </w:tc>
        <w:tc>
          <w:tcPr>
            <w:tcW w:w="3063" w:type="dxa"/>
            <w:tcBorders/>
          </w:tcPr>
          <w:p>
            <w:pPr>
              <w:pStyle w:val="Normal"/>
              <w:widowControl w:val="false"/>
              <w:spacing w:lineRule="atLeast" w:line="380"/>
              <w:jc w:val="center"/>
              <w:rPr>
                <w:spacing w:val="20"/>
                <w:sz w:val="27"/>
                <w:szCs w:val="27"/>
              </w:rPr>
            </w:pPr>
            <w:r>
              <w:rPr>
                <w:spacing w:val="20"/>
                <w:sz w:val="27"/>
                <w:szCs w:val="27"/>
              </w:rPr>
              <w:t>7.25</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7</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6.93</w:t>
            </w:r>
          </w:p>
        </w:tc>
        <w:tc>
          <w:tcPr>
            <w:tcW w:w="3063" w:type="dxa"/>
            <w:tcBorders/>
          </w:tcPr>
          <w:p>
            <w:pPr>
              <w:pStyle w:val="Normal"/>
              <w:widowControl w:val="false"/>
              <w:spacing w:lineRule="atLeast" w:line="380"/>
              <w:jc w:val="center"/>
              <w:rPr>
                <w:spacing w:val="20"/>
                <w:sz w:val="27"/>
                <w:szCs w:val="27"/>
              </w:rPr>
            </w:pPr>
            <w:r>
              <w:rPr>
                <w:spacing w:val="20"/>
                <w:sz w:val="27"/>
                <w:szCs w:val="27"/>
              </w:rPr>
              <w:t>7.29</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8</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7.19</w:t>
            </w:r>
          </w:p>
        </w:tc>
        <w:tc>
          <w:tcPr>
            <w:tcW w:w="3063" w:type="dxa"/>
            <w:tcBorders/>
          </w:tcPr>
          <w:p>
            <w:pPr>
              <w:pStyle w:val="Normal"/>
              <w:widowControl w:val="false"/>
              <w:spacing w:lineRule="atLeast" w:line="380"/>
              <w:jc w:val="center"/>
              <w:rPr>
                <w:spacing w:val="20"/>
                <w:sz w:val="27"/>
                <w:szCs w:val="27"/>
              </w:rPr>
            </w:pPr>
            <w:r>
              <w:rPr>
                <w:spacing w:val="20"/>
                <w:sz w:val="27"/>
                <w:szCs w:val="27"/>
              </w:rPr>
              <w:t>7.13</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9</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7.10</w:t>
            </w:r>
          </w:p>
        </w:tc>
        <w:tc>
          <w:tcPr>
            <w:tcW w:w="3063" w:type="dxa"/>
            <w:tcBorders/>
          </w:tcPr>
          <w:p>
            <w:pPr>
              <w:pStyle w:val="Normal"/>
              <w:widowControl w:val="false"/>
              <w:spacing w:lineRule="atLeast" w:line="380"/>
              <w:jc w:val="center"/>
              <w:rPr>
                <w:spacing w:val="20"/>
                <w:sz w:val="27"/>
                <w:szCs w:val="27"/>
              </w:rPr>
            </w:pPr>
            <w:r>
              <w:rPr>
                <w:spacing w:val="20"/>
                <w:sz w:val="27"/>
                <w:szCs w:val="27"/>
              </w:rPr>
              <w:t>7.05</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10</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7.28</w:t>
            </w:r>
          </w:p>
        </w:tc>
        <w:tc>
          <w:tcPr>
            <w:tcW w:w="3063" w:type="dxa"/>
            <w:tcBorders/>
          </w:tcPr>
          <w:p>
            <w:pPr>
              <w:pStyle w:val="Normal"/>
              <w:widowControl w:val="false"/>
              <w:spacing w:lineRule="atLeast" w:line="380"/>
              <w:jc w:val="center"/>
              <w:rPr>
                <w:spacing w:val="20"/>
                <w:sz w:val="27"/>
                <w:szCs w:val="27"/>
              </w:rPr>
            </w:pPr>
            <w:r>
              <w:rPr>
                <w:spacing w:val="20"/>
                <w:sz w:val="27"/>
                <w:szCs w:val="27"/>
              </w:rPr>
              <w:t>6.85</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11</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7.72</w:t>
            </w:r>
          </w:p>
        </w:tc>
        <w:tc>
          <w:tcPr>
            <w:tcW w:w="3063" w:type="dxa"/>
            <w:tcBorders/>
          </w:tcPr>
          <w:p>
            <w:pPr>
              <w:pStyle w:val="Normal"/>
              <w:widowControl w:val="false"/>
              <w:spacing w:lineRule="atLeast" w:line="380"/>
              <w:jc w:val="center"/>
              <w:rPr>
                <w:spacing w:val="20"/>
                <w:sz w:val="27"/>
                <w:szCs w:val="27"/>
              </w:rPr>
            </w:pPr>
            <w:r>
              <w:rPr>
                <w:spacing w:val="20"/>
                <w:sz w:val="27"/>
                <w:szCs w:val="27"/>
              </w:rPr>
              <w:t>5.93</w:t>
            </w:r>
          </w:p>
        </w:tc>
      </w:tr>
      <w:tr>
        <w:trPr/>
        <w:tc>
          <w:tcPr>
            <w:tcW w:w="3098" w:type="dxa"/>
            <w:tcBorders/>
          </w:tcPr>
          <w:p>
            <w:pPr>
              <w:pStyle w:val="Normal"/>
              <w:widowControl w:val="false"/>
              <w:spacing w:lineRule="atLeast" w:line="380"/>
              <w:jc w:val="center"/>
              <w:rPr>
                <w:spacing w:val="20"/>
                <w:sz w:val="27"/>
                <w:szCs w:val="27"/>
              </w:rPr>
            </w:pPr>
            <w:r>
              <w:rPr>
                <w:spacing w:val="20"/>
                <w:sz w:val="27"/>
                <w:szCs w:val="27"/>
              </w:rPr>
              <w:t>12</w:t>
            </w:r>
            <w:r>
              <w:rPr>
                <w:spacing w:val="20"/>
                <w:sz w:val="27"/>
                <w:szCs w:val="27"/>
              </w:rPr>
              <w:t>月</w:t>
            </w:r>
          </w:p>
        </w:tc>
        <w:tc>
          <w:tcPr>
            <w:tcW w:w="3062" w:type="dxa"/>
            <w:tcBorders/>
          </w:tcPr>
          <w:p>
            <w:pPr>
              <w:pStyle w:val="Normal"/>
              <w:widowControl w:val="false"/>
              <w:spacing w:lineRule="atLeast" w:line="380"/>
              <w:jc w:val="center"/>
              <w:rPr>
                <w:spacing w:val="20"/>
                <w:sz w:val="27"/>
                <w:szCs w:val="27"/>
              </w:rPr>
            </w:pPr>
            <w:r>
              <w:rPr>
                <w:spacing w:val="20"/>
                <w:sz w:val="27"/>
                <w:szCs w:val="27"/>
              </w:rPr>
              <w:t>8.56</w:t>
            </w:r>
          </w:p>
        </w:tc>
        <w:tc>
          <w:tcPr>
            <w:tcW w:w="3063" w:type="dxa"/>
            <w:tcBorders/>
          </w:tcPr>
          <w:p>
            <w:pPr>
              <w:pStyle w:val="Normal"/>
              <w:widowControl w:val="false"/>
              <w:spacing w:lineRule="atLeast" w:line="380"/>
              <w:jc w:val="center"/>
              <w:rPr>
                <w:spacing w:val="20"/>
                <w:sz w:val="27"/>
                <w:szCs w:val="27"/>
              </w:rPr>
            </w:pPr>
            <w:r>
              <w:rPr>
                <w:spacing w:val="20"/>
                <w:sz w:val="27"/>
                <w:szCs w:val="27"/>
              </w:rPr>
              <w:t>5.81</w:t>
            </w:r>
          </w:p>
        </w:tc>
      </w:tr>
    </w:tbl>
    <w:p>
      <w:pPr>
        <w:pStyle w:val="Normal"/>
        <w:rPr>
          <w:spacing w:val="20"/>
          <w:sz w:val="20"/>
          <w:szCs w:val="20"/>
        </w:rPr>
      </w:pPr>
      <w:r>
        <w:rPr>
          <w:spacing w:val="20"/>
          <w:sz w:val="20"/>
          <w:szCs w:val="20"/>
        </w:rPr>
      </w:r>
    </w:p>
    <w:p>
      <w:pPr>
        <w:pStyle w:val="Normal"/>
        <w:snapToGrid w:val="false"/>
        <w:spacing w:lineRule="auto" w:line="240"/>
        <w:ind w:left="1191" w:hanging="1191"/>
        <w:rPr>
          <w:spacing w:val="20"/>
          <w:sz w:val="20"/>
        </w:rPr>
      </w:pPr>
      <w:r>
        <w:rPr>
          <w:spacing w:val="20"/>
          <w:sz w:val="20"/>
        </w:rPr>
        <w:t>資料來源：政府統計處向立法會提交的文件</w:t>
      </w:r>
      <w:r>
        <w:rPr>
          <w:spacing w:val="20"/>
          <w:sz w:val="20"/>
        </w:rPr>
        <w:t>(</w:t>
      </w:r>
      <w:r>
        <w:rPr>
          <w:spacing w:val="20"/>
          <w:sz w:val="20"/>
        </w:rPr>
        <w:t>立法會文件編號</w:t>
      </w:r>
      <w:r>
        <w:rPr>
          <w:spacing w:val="20"/>
          <w:sz w:val="20"/>
        </w:rPr>
        <w:t>CB(4)433/14-15(01))</w:t>
      </w:r>
      <w:r>
        <w:rPr>
          <w:rFonts w:ascii="華康細明體" w:hAnsi="華康細明體"/>
          <w:spacing w:val="20"/>
          <w:sz w:val="20"/>
        </w:rPr>
        <w:t>─</w:t>
      </w:r>
      <w:r>
        <w:rPr>
          <w:spacing w:val="20"/>
          <w:sz w:val="20"/>
        </w:rPr>
        <w:t>表</w:t>
      </w:r>
      <w:r>
        <w:rPr>
          <w:spacing w:val="20"/>
          <w:sz w:val="20"/>
        </w:rPr>
        <w:t>1</w:t>
      </w:r>
      <w:r>
        <w:rPr>
          <w:spacing w:val="20"/>
          <w:sz w:val="20"/>
        </w:rPr>
        <w:t>：主要石油產品進口單位價格</w:t>
      </w:r>
      <w:r>
        <w:rPr>
          <w:spacing w:val="20"/>
          <w:sz w:val="20"/>
        </w:rPr>
        <w:t>(</w:t>
      </w:r>
      <w:r>
        <w:rPr>
          <w:spacing w:val="20"/>
          <w:sz w:val="20"/>
        </w:rPr>
        <w:t>詳情可參照立法會網址：</w:t>
      </w:r>
      <w:r>
        <w:rPr>
          <w:spacing w:val="22"/>
          <w:sz w:val="20"/>
        </w:rPr>
        <w:t>&lt;http://www.legco.gov.hk/yr14-15/chinese/panels/edev/papers/edevcb4-433-1-ec.pdf&gt;)</w:t>
      </w:r>
      <w:r>
        <w:rPr>
          <w:spacing w:val="20"/>
          <w:sz w:val="20"/>
        </w:rPr>
        <w:t>。</w:t>
      </w:r>
    </w:p>
    <w:p>
      <w:pPr>
        <w:pStyle w:val="Normal"/>
        <w:spacing w:lineRule="atLeast" w:line="400"/>
        <w:rPr>
          <w:spacing w:val="20"/>
          <w:sz w:val="27"/>
          <w:szCs w:val="27"/>
        </w:rPr>
      </w:pPr>
      <w:r>
        <w:rPr>
          <w:spacing w:val="20"/>
          <w:sz w:val="27"/>
          <w:szCs w:val="27"/>
        </w:rPr>
      </w:r>
    </w:p>
    <w:p>
      <w:pPr>
        <w:pStyle w:val="Normal"/>
        <w:spacing w:lineRule="atLeast" w:line="400"/>
        <w:rPr>
          <w:spacing w:val="20"/>
          <w:sz w:val="27"/>
          <w:szCs w:val="27"/>
        </w:rPr>
      </w:pPr>
      <w:r>
        <w:rPr>
          <w:spacing w:val="20"/>
          <w:sz w:val="27"/>
          <w:szCs w:val="27"/>
        </w:rPr>
      </w:r>
    </w:p>
    <w:p>
      <w:pPr>
        <w:pStyle w:val="Normal"/>
        <w:tabs>
          <w:tab w:val="clear" w:pos="720"/>
        </w:tabs>
        <w:spacing w:lineRule="atLeast" w:line="400"/>
        <w:rPr>
          <w:spacing w:val="20"/>
          <w:sz w:val="27"/>
          <w:szCs w:val="27"/>
        </w:rPr>
      </w:pPr>
      <w:r>
        <w:rPr>
          <w:spacing w:val="20"/>
          <w:sz w:val="27"/>
          <w:szCs w:val="27"/>
        </w:rPr>
        <w:t>2.</w:t>
        <w:tab/>
      </w:r>
      <w:r>
        <w:rPr>
          <w:spacing w:val="20"/>
          <w:sz w:val="27"/>
          <w:szCs w:val="27"/>
        </w:rPr>
        <w:t>中央家用石油氣零售價</w:t>
      </w:r>
    </w:p>
    <w:p>
      <w:pPr>
        <w:pStyle w:val="Normal"/>
        <w:spacing w:lineRule="atLeast" w:line="400"/>
        <w:rPr>
          <w:spacing w:val="20"/>
          <w:sz w:val="27"/>
          <w:szCs w:val="27"/>
        </w:rPr>
      </w:pPr>
      <w:r>
        <w:rPr>
          <w:spacing w:val="20"/>
          <w:sz w:val="27"/>
          <w:szCs w:val="27"/>
        </w:rPr>
      </w:r>
    </w:p>
    <w:p>
      <w:pPr>
        <w:pStyle w:val="Normal"/>
        <w:spacing w:lineRule="atLeast" w:line="400"/>
        <w:rPr>
          <w:spacing w:val="20"/>
          <w:sz w:val="27"/>
          <w:szCs w:val="27"/>
        </w:rPr>
      </w:pPr>
      <w:r>
        <w:rPr>
          <w:spacing w:val="20"/>
          <w:sz w:val="27"/>
          <w:szCs w:val="27"/>
        </w:rPr>
        <w:t>中央家用石油氣零售價數據表列如下：</w:t>
      </w:r>
    </w:p>
    <w:p>
      <w:pPr>
        <w:pStyle w:val="Normal"/>
        <w:spacing w:lineRule="atLeast" w:line="400"/>
        <w:rPr>
          <w:spacing w:val="20"/>
          <w:sz w:val="27"/>
          <w:szCs w:val="27"/>
        </w:rPr>
      </w:pPr>
      <w:r>
        <w:rPr>
          <w:spacing w:val="20"/>
          <w:sz w:val="27"/>
          <w:szCs w:val="27"/>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4611"/>
        <w:gridCol w:w="4611"/>
      </w:tblGrid>
      <w:tr>
        <w:trPr/>
        <w:tc>
          <w:tcPr>
            <w:tcW w:w="4611" w:type="dxa"/>
            <w:tcBorders/>
            <w:vAlign w:val="center"/>
          </w:tcPr>
          <w:p>
            <w:pPr>
              <w:pStyle w:val="Normal"/>
              <w:widowControl w:val="false"/>
              <w:spacing w:lineRule="atLeast" w:line="400"/>
              <w:ind w:left="57" w:hanging="0"/>
              <w:jc w:val="center"/>
              <w:rPr>
                <w:i/>
                <w:i/>
                <w:spacing w:val="20"/>
                <w:sz w:val="27"/>
                <w:szCs w:val="27"/>
              </w:rPr>
            </w:pPr>
            <w:r>
              <w:rPr>
                <w:i/>
                <w:spacing w:val="20"/>
                <w:sz w:val="27"/>
                <w:szCs w:val="27"/>
              </w:rPr>
              <w:t>生效日期</w:t>
            </w:r>
          </w:p>
        </w:tc>
        <w:tc>
          <w:tcPr>
            <w:tcW w:w="4611" w:type="dxa"/>
            <w:tcBorders/>
            <w:vAlign w:val="center"/>
          </w:tcPr>
          <w:p>
            <w:pPr>
              <w:pStyle w:val="Normal"/>
              <w:widowControl w:val="false"/>
              <w:spacing w:lineRule="atLeast" w:line="400"/>
              <w:ind w:left="57" w:hanging="0"/>
              <w:jc w:val="center"/>
              <w:rPr>
                <w:i/>
                <w:i/>
                <w:spacing w:val="20"/>
                <w:sz w:val="27"/>
                <w:szCs w:val="27"/>
              </w:rPr>
            </w:pPr>
            <w:r>
              <w:rPr>
                <w:i/>
                <w:spacing w:val="20"/>
                <w:sz w:val="27"/>
                <w:szCs w:val="27"/>
              </w:rPr>
              <w:t>中央家用石油氣</w:t>
            </w:r>
          </w:p>
          <w:p>
            <w:pPr>
              <w:pStyle w:val="Normal"/>
              <w:widowControl w:val="false"/>
              <w:spacing w:lineRule="atLeast" w:line="400"/>
              <w:ind w:left="57" w:hanging="0"/>
              <w:jc w:val="center"/>
              <w:rPr>
                <w:i/>
                <w:i/>
                <w:spacing w:val="20"/>
                <w:sz w:val="27"/>
                <w:szCs w:val="27"/>
              </w:rPr>
            </w:pPr>
            <w:r>
              <w:rPr>
                <w:i/>
                <w:spacing w:val="20"/>
                <w:sz w:val="27"/>
                <w:szCs w:val="27"/>
              </w:rPr>
              <w:t>(</w:t>
            </w:r>
            <w:r>
              <w:rPr>
                <w:i/>
                <w:spacing w:val="20"/>
                <w:sz w:val="27"/>
                <w:szCs w:val="27"/>
              </w:rPr>
              <w:t>港元／立方米</w:t>
            </w:r>
            <w:r>
              <w:rPr>
                <w:i/>
                <w:spacing w:val="20"/>
                <w:sz w:val="27"/>
                <w:szCs w:val="27"/>
              </w:rPr>
              <w:t>)</w:t>
            </w:r>
            <w:r>
              <w:rPr>
                <w:i/>
                <w:spacing w:val="20"/>
                <w:sz w:val="27"/>
                <w:szCs w:val="27"/>
                <w:vertAlign w:val="superscript"/>
              </w:rPr>
              <w:t>註</w:t>
            </w:r>
          </w:p>
        </w:tc>
      </w:tr>
      <w:tr>
        <w:trPr/>
        <w:tc>
          <w:tcPr>
            <w:tcW w:w="4611" w:type="dxa"/>
            <w:tcBorders/>
          </w:tcPr>
          <w:p>
            <w:pPr>
              <w:pStyle w:val="Normal"/>
              <w:widowControl w:val="false"/>
              <w:spacing w:lineRule="atLeast" w:line="400"/>
              <w:ind w:left="57" w:firstLine="1236"/>
              <w:rPr>
                <w:spacing w:val="20"/>
                <w:sz w:val="27"/>
                <w:szCs w:val="27"/>
              </w:rPr>
            </w:pPr>
            <w:r>
              <w:rPr>
                <w:spacing w:val="20"/>
                <w:sz w:val="27"/>
                <w:szCs w:val="27"/>
              </w:rPr>
              <w:t>2013</w:t>
            </w:r>
            <w:r>
              <w:rPr>
                <w:spacing w:val="20"/>
                <w:sz w:val="27"/>
                <w:szCs w:val="27"/>
              </w:rPr>
              <w:t>年</w:t>
            </w:r>
            <w:r>
              <w:rPr>
                <w:spacing w:val="20"/>
                <w:sz w:val="27"/>
                <w:szCs w:val="27"/>
              </w:rPr>
              <w:t>1</w:t>
            </w:r>
            <w:r>
              <w:rPr>
                <w:spacing w:val="20"/>
                <w:sz w:val="27"/>
                <w:szCs w:val="27"/>
              </w:rPr>
              <w:t>月底</w:t>
            </w:r>
          </w:p>
        </w:tc>
        <w:tc>
          <w:tcPr>
            <w:tcW w:w="4611" w:type="dxa"/>
            <w:tcBorders/>
          </w:tcPr>
          <w:p>
            <w:pPr>
              <w:pStyle w:val="Normal"/>
              <w:widowControl w:val="false"/>
              <w:spacing w:lineRule="atLeast" w:line="400"/>
              <w:ind w:left="57" w:hanging="0"/>
              <w:jc w:val="center"/>
              <w:rPr>
                <w:spacing w:val="20"/>
                <w:sz w:val="27"/>
                <w:szCs w:val="27"/>
              </w:rPr>
            </w:pPr>
            <w:r>
              <w:rPr>
                <w:spacing w:val="20"/>
                <w:sz w:val="27"/>
                <w:szCs w:val="27"/>
              </w:rPr>
              <w:t>39.90</w:t>
            </w:r>
          </w:p>
        </w:tc>
      </w:tr>
      <w:tr>
        <w:trPr/>
        <w:tc>
          <w:tcPr>
            <w:tcW w:w="4611" w:type="dxa"/>
            <w:tcBorders/>
          </w:tcPr>
          <w:p>
            <w:pPr>
              <w:pStyle w:val="Normal"/>
              <w:widowControl w:val="false"/>
              <w:spacing w:lineRule="atLeast" w:line="400"/>
              <w:ind w:left="57" w:firstLine="1236"/>
              <w:rPr>
                <w:spacing w:val="20"/>
                <w:sz w:val="27"/>
                <w:szCs w:val="27"/>
              </w:rPr>
            </w:pPr>
            <w:r>
              <w:rPr>
                <w:spacing w:val="20"/>
                <w:sz w:val="27"/>
                <w:szCs w:val="27"/>
              </w:rPr>
              <w:t>2013</w:t>
            </w:r>
            <w:r>
              <w:rPr>
                <w:spacing w:val="20"/>
                <w:sz w:val="27"/>
                <w:szCs w:val="27"/>
              </w:rPr>
              <w:t>年</w:t>
            </w:r>
            <w:r>
              <w:rPr>
                <w:spacing w:val="20"/>
                <w:sz w:val="27"/>
                <w:szCs w:val="27"/>
              </w:rPr>
              <w:t>4</w:t>
            </w:r>
            <w:r>
              <w:rPr>
                <w:spacing w:val="20"/>
                <w:sz w:val="27"/>
                <w:szCs w:val="27"/>
              </w:rPr>
              <w:t>月底</w:t>
            </w:r>
          </w:p>
        </w:tc>
        <w:tc>
          <w:tcPr>
            <w:tcW w:w="4611" w:type="dxa"/>
            <w:tcBorders/>
          </w:tcPr>
          <w:p>
            <w:pPr>
              <w:pStyle w:val="Normal"/>
              <w:widowControl w:val="false"/>
              <w:spacing w:lineRule="atLeast" w:line="400"/>
              <w:ind w:left="57" w:hanging="0"/>
              <w:jc w:val="center"/>
              <w:rPr>
                <w:spacing w:val="20"/>
                <w:sz w:val="27"/>
                <w:szCs w:val="27"/>
              </w:rPr>
            </w:pPr>
            <w:r>
              <w:rPr>
                <w:spacing w:val="20"/>
                <w:sz w:val="27"/>
                <w:szCs w:val="27"/>
              </w:rPr>
              <w:t>35.15</w:t>
            </w:r>
          </w:p>
        </w:tc>
      </w:tr>
      <w:tr>
        <w:trPr/>
        <w:tc>
          <w:tcPr>
            <w:tcW w:w="4611" w:type="dxa"/>
            <w:tcBorders/>
          </w:tcPr>
          <w:p>
            <w:pPr>
              <w:pStyle w:val="Normal"/>
              <w:widowControl w:val="false"/>
              <w:spacing w:lineRule="atLeast" w:line="400"/>
              <w:ind w:left="57" w:firstLine="1236"/>
              <w:rPr>
                <w:spacing w:val="20"/>
                <w:sz w:val="27"/>
                <w:szCs w:val="27"/>
              </w:rPr>
            </w:pPr>
            <w:r>
              <w:rPr>
                <w:spacing w:val="20"/>
                <w:sz w:val="27"/>
                <w:szCs w:val="27"/>
              </w:rPr>
              <w:t>2013</w:t>
            </w:r>
            <w:r>
              <w:rPr>
                <w:spacing w:val="20"/>
                <w:sz w:val="27"/>
                <w:szCs w:val="27"/>
              </w:rPr>
              <w:t>年</w:t>
            </w:r>
            <w:r>
              <w:rPr>
                <w:spacing w:val="20"/>
                <w:sz w:val="27"/>
                <w:szCs w:val="27"/>
              </w:rPr>
              <w:t>7</w:t>
            </w:r>
            <w:r>
              <w:rPr>
                <w:spacing w:val="20"/>
                <w:sz w:val="27"/>
                <w:szCs w:val="27"/>
              </w:rPr>
              <w:t>月底</w:t>
            </w:r>
          </w:p>
        </w:tc>
        <w:tc>
          <w:tcPr>
            <w:tcW w:w="4611" w:type="dxa"/>
            <w:tcBorders/>
          </w:tcPr>
          <w:p>
            <w:pPr>
              <w:pStyle w:val="Normal"/>
              <w:widowControl w:val="false"/>
              <w:spacing w:lineRule="atLeast" w:line="400"/>
              <w:ind w:left="57" w:hanging="0"/>
              <w:jc w:val="center"/>
              <w:rPr>
                <w:spacing w:val="20"/>
                <w:sz w:val="27"/>
                <w:szCs w:val="27"/>
              </w:rPr>
            </w:pPr>
            <w:r>
              <w:rPr>
                <w:spacing w:val="20"/>
                <w:sz w:val="27"/>
                <w:szCs w:val="27"/>
              </w:rPr>
              <w:t>37.76</w:t>
            </w:r>
          </w:p>
        </w:tc>
      </w:tr>
      <w:tr>
        <w:trPr/>
        <w:tc>
          <w:tcPr>
            <w:tcW w:w="4611" w:type="dxa"/>
            <w:tcBorders/>
          </w:tcPr>
          <w:p>
            <w:pPr>
              <w:pStyle w:val="Normal"/>
              <w:widowControl w:val="false"/>
              <w:spacing w:lineRule="atLeast" w:line="400"/>
              <w:ind w:left="57" w:firstLine="1236"/>
              <w:rPr>
                <w:spacing w:val="20"/>
                <w:sz w:val="27"/>
                <w:szCs w:val="27"/>
              </w:rPr>
            </w:pPr>
            <w:r>
              <w:rPr>
                <w:spacing w:val="20"/>
                <w:sz w:val="27"/>
                <w:szCs w:val="27"/>
              </w:rPr>
              <w:t>2013</w:t>
            </w:r>
            <w:r>
              <w:rPr>
                <w:spacing w:val="20"/>
                <w:sz w:val="27"/>
                <w:szCs w:val="27"/>
              </w:rPr>
              <w:t>年</w:t>
            </w:r>
            <w:r>
              <w:rPr>
                <w:spacing w:val="20"/>
                <w:sz w:val="27"/>
                <w:szCs w:val="27"/>
              </w:rPr>
              <w:t>10</w:t>
            </w:r>
            <w:r>
              <w:rPr>
                <w:spacing w:val="20"/>
                <w:sz w:val="27"/>
                <w:szCs w:val="27"/>
              </w:rPr>
              <w:t>月底</w:t>
            </w:r>
          </w:p>
        </w:tc>
        <w:tc>
          <w:tcPr>
            <w:tcW w:w="4611" w:type="dxa"/>
            <w:tcBorders/>
          </w:tcPr>
          <w:p>
            <w:pPr>
              <w:pStyle w:val="Normal"/>
              <w:widowControl w:val="false"/>
              <w:spacing w:lineRule="atLeast" w:line="400"/>
              <w:ind w:left="57" w:hanging="0"/>
              <w:jc w:val="center"/>
              <w:rPr>
                <w:spacing w:val="20"/>
                <w:sz w:val="27"/>
                <w:szCs w:val="27"/>
              </w:rPr>
            </w:pPr>
            <w:r>
              <w:rPr>
                <w:spacing w:val="20"/>
                <w:sz w:val="27"/>
                <w:szCs w:val="27"/>
              </w:rPr>
              <w:t>39.86</w:t>
            </w:r>
          </w:p>
        </w:tc>
      </w:tr>
      <w:tr>
        <w:trPr/>
        <w:tc>
          <w:tcPr>
            <w:tcW w:w="4611" w:type="dxa"/>
            <w:tcBorders/>
          </w:tcPr>
          <w:p>
            <w:pPr>
              <w:pStyle w:val="Normal"/>
              <w:widowControl w:val="false"/>
              <w:spacing w:lineRule="atLeast" w:line="400"/>
              <w:ind w:left="57" w:firstLine="1236"/>
              <w:rPr>
                <w:spacing w:val="20"/>
                <w:sz w:val="27"/>
                <w:szCs w:val="27"/>
              </w:rPr>
            </w:pPr>
            <w:r>
              <w:rPr>
                <w:spacing w:val="20"/>
                <w:sz w:val="27"/>
                <w:szCs w:val="27"/>
              </w:rPr>
              <w:t>2014</w:t>
            </w:r>
            <w:r>
              <w:rPr>
                <w:spacing w:val="20"/>
                <w:sz w:val="27"/>
                <w:szCs w:val="27"/>
              </w:rPr>
              <w:t>年</w:t>
            </w:r>
            <w:r>
              <w:rPr>
                <w:spacing w:val="20"/>
                <w:sz w:val="27"/>
                <w:szCs w:val="27"/>
              </w:rPr>
              <w:t>1</w:t>
            </w:r>
            <w:r>
              <w:rPr>
                <w:spacing w:val="20"/>
                <w:sz w:val="27"/>
                <w:szCs w:val="27"/>
              </w:rPr>
              <w:t>月底</w:t>
            </w:r>
          </w:p>
        </w:tc>
        <w:tc>
          <w:tcPr>
            <w:tcW w:w="4611" w:type="dxa"/>
            <w:tcBorders/>
          </w:tcPr>
          <w:p>
            <w:pPr>
              <w:pStyle w:val="Normal"/>
              <w:widowControl w:val="false"/>
              <w:spacing w:lineRule="atLeast" w:line="400"/>
              <w:ind w:left="57" w:hanging="0"/>
              <w:jc w:val="center"/>
              <w:rPr>
                <w:spacing w:val="20"/>
                <w:sz w:val="27"/>
                <w:szCs w:val="27"/>
              </w:rPr>
            </w:pPr>
            <w:r>
              <w:rPr>
                <w:spacing w:val="20"/>
                <w:sz w:val="27"/>
                <w:szCs w:val="27"/>
              </w:rPr>
              <w:t>42.20</w:t>
            </w:r>
          </w:p>
        </w:tc>
      </w:tr>
      <w:tr>
        <w:trPr/>
        <w:tc>
          <w:tcPr>
            <w:tcW w:w="4611" w:type="dxa"/>
            <w:tcBorders/>
          </w:tcPr>
          <w:p>
            <w:pPr>
              <w:pStyle w:val="Normal"/>
              <w:widowControl w:val="false"/>
              <w:spacing w:lineRule="atLeast" w:line="400"/>
              <w:ind w:left="57" w:firstLine="1236"/>
              <w:rPr>
                <w:spacing w:val="20"/>
                <w:sz w:val="27"/>
                <w:szCs w:val="27"/>
              </w:rPr>
            </w:pPr>
            <w:r>
              <w:rPr>
                <w:spacing w:val="20"/>
                <w:sz w:val="27"/>
                <w:szCs w:val="27"/>
              </w:rPr>
              <w:t>2014</w:t>
            </w:r>
            <w:r>
              <w:rPr>
                <w:spacing w:val="20"/>
                <w:sz w:val="27"/>
                <w:szCs w:val="27"/>
              </w:rPr>
              <w:t>年</w:t>
            </w:r>
            <w:r>
              <w:rPr>
                <w:spacing w:val="20"/>
                <w:sz w:val="27"/>
                <w:szCs w:val="27"/>
              </w:rPr>
              <w:t>4</w:t>
            </w:r>
            <w:r>
              <w:rPr>
                <w:spacing w:val="20"/>
                <w:sz w:val="27"/>
                <w:szCs w:val="27"/>
              </w:rPr>
              <w:t>月底</w:t>
            </w:r>
          </w:p>
        </w:tc>
        <w:tc>
          <w:tcPr>
            <w:tcW w:w="4611" w:type="dxa"/>
            <w:tcBorders/>
          </w:tcPr>
          <w:p>
            <w:pPr>
              <w:pStyle w:val="Normal"/>
              <w:widowControl w:val="false"/>
              <w:spacing w:lineRule="atLeast" w:line="400"/>
              <w:ind w:left="57" w:hanging="0"/>
              <w:jc w:val="center"/>
              <w:rPr>
                <w:spacing w:val="20"/>
                <w:sz w:val="27"/>
                <w:szCs w:val="27"/>
              </w:rPr>
            </w:pPr>
            <w:r>
              <w:rPr>
                <w:spacing w:val="20"/>
                <w:sz w:val="27"/>
                <w:szCs w:val="27"/>
              </w:rPr>
              <w:t>38.04</w:t>
            </w:r>
          </w:p>
        </w:tc>
      </w:tr>
      <w:tr>
        <w:trPr/>
        <w:tc>
          <w:tcPr>
            <w:tcW w:w="4611" w:type="dxa"/>
            <w:tcBorders/>
          </w:tcPr>
          <w:p>
            <w:pPr>
              <w:pStyle w:val="Normal"/>
              <w:widowControl w:val="false"/>
              <w:spacing w:lineRule="atLeast" w:line="400"/>
              <w:ind w:left="57" w:firstLine="1236"/>
              <w:rPr>
                <w:spacing w:val="20"/>
                <w:sz w:val="27"/>
                <w:szCs w:val="27"/>
              </w:rPr>
            </w:pPr>
            <w:r>
              <w:rPr>
                <w:spacing w:val="20"/>
                <w:sz w:val="27"/>
                <w:szCs w:val="27"/>
              </w:rPr>
              <w:t>2014</w:t>
            </w:r>
            <w:r>
              <w:rPr>
                <w:spacing w:val="20"/>
                <w:sz w:val="27"/>
                <w:szCs w:val="27"/>
              </w:rPr>
              <w:t>年</w:t>
            </w:r>
            <w:r>
              <w:rPr>
                <w:spacing w:val="20"/>
                <w:sz w:val="27"/>
                <w:szCs w:val="27"/>
              </w:rPr>
              <w:t>7</w:t>
            </w:r>
            <w:r>
              <w:rPr>
                <w:spacing w:val="20"/>
                <w:sz w:val="27"/>
                <w:szCs w:val="27"/>
              </w:rPr>
              <w:t>月底</w:t>
            </w:r>
          </w:p>
        </w:tc>
        <w:tc>
          <w:tcPr>
            <w:tcW w:w="4611" w:type="dxa"/>
            <w:tcBorders/>
          </w:tcPr>
          <w:p>
            <w:pPr>
              <w:pStyle w:val="Normal"/>
              <w:widowControl w:val="false"/>
              <w:spacing w:lineRule="atLeast" w:line="400"/>
              <w:ind w:left="57" w:hanging="0"/>
              <w:jc w:val="center"/>
              <w:rPr>
                <w:spacing w:val="20"/>
                <w:sz w:val="27"/>
                <w:szCs w:val="27"/>
              </w:rPr>
            </w:pPr>
            <w:r>
              <w:rPr>
                <w:spacing w:val="20"/>
                <w:sz w:val="27"/>
                <w:szCs w:val="27"/>
              </w:rPr>
              <w:t>39.16</w:t>
            </w:r>
          </w:p>
        </w:tc>
      </w:tr>
      <w:tr>
        <w:trPr/>
        <w:tc>
          <w:tcPr>
            <w:tcW w:w="4611" w:type="dxa"/>
            <w:tcBorders/>
          </w:tcPr>
          <w:p>
            <w:pPr>
              <w:pStyle w:val="Normal"/>
              <w:widowControl w:val="false"/>
              <w:spacing w:lineRule="atLeast" w:line="400"/>
              <w:ind w:left="57" w:firstLine="1236"/>
              <w:rPr>
                <w:spacing w:val="20"/>
                <w:sz w:val="27"/>
                <w:szCs w:val="27"/>
              </w:rPr>
            </w:pPr>
            <w:r>
              <w:rPr>
                <w:spacing w:val="20"/>
                <w:sz w:val="27"/>
                <w:szCs w:val="27"/>
              </w:rPr>
              <w:t>2014</w:t>
            </w:r>
            <w:r>
              <w:rPr>
                <w:spacing w:val="20"/>
                <w:sz w:val="27"/>
                <w:szCs w:val="27"/>
              </w:rPr>
              <w:t>年</w:t>
            </w:r>
            <w:r>
              <w:rPr>
                <w:spacing w:val="20"/>
                <w:sz w:val="27"/>
                <w:szCs w:val="27"/>
              </w:rPr>
              <w:t>10</w:t>
            </w:r>
            <w:r>
              <w:rPr>
                <w:spacing w:val="20"/>
                <w:sz w:val="27"/>
                <w:szCs w:val="27"/>
              </w:rPr>
              <w:t>月底</w:t>
            </w:r>
          </w:p>
        </w:tc>
        <w:tc>
          <w:tcPr>
            <w:tcW w:w="4611" w:type="dxa"/>
            <w:tcBorders/>
          </w:tcPr>
          <w:p>
            <w:pPr>
              <w:pStyle w:val="Normal"/>
              <w:widowControl w:val="false"/>
              <w:spacing w:lineRule="atLeast" w:line="400"/>
              <w:ind w:left="57" w:hanging="0"/>
              <w:jc w:val="center"/>
              <w:rPr>
                <w:spacing w:val="20"/>
                <w:sz w:val="27"/>
                <w:szCs w:val="27"/>
              </w:rPr>
            </w:pPr>
            <w:r>
              <w:rPr>
                <w:spacing w:val="20"/>
                <w:sz w:val="27"/>
                <w:szCs w:val="27"/>
              </w:rPr>
              <w:t>33.29</w:t>
            </w:r>
          </w:p>
        </w:tc>
      </w:tr>
      <w:tr>
        <w:trPr/>
        <w:tc>
          <w:tcPr>
            <w:tcW w:w="4611" w:type="dxa"/>
            <w:tcBorders/>
          </w:tcPr>
          <w:p>
            <w:pPr>
              <w:pStyle w:val="Normal"/>
              <w:widowControl w:val="false"/>
              <w:spacing w:lineRule="atLeast" w:line="400"/>
              <w:ind w:left="57" w:firstLine="1236"/>
              <w:rPr>
                <w:spacing w:val="20"/>
                <w:sz w:val="27"/>
                <w:szCs w:val="27"/>
              </w:rPr>
            </w:pPr>
            <w:r>
              <w:rPr>
                <w:spacing w:val="20"/>
                <w:sz w:val="27"/>
                <w:szCs w:val="27"/>
              </w:rPr>
              <w:t>2015</w:t>
            </w:r>
            <w:r>
              <w:rPr>
                <w:spacing w:val="20"/>
                <w:sz w:val="27"/>
                <w:szCs w:val="27"/>
              </w:rPr>
              <w:t>年</w:t>
            </w:r>
            <w:r>
              <w:rPr>
                <w:spacing w:val="20"/>
                <w:sz w:val="27"/>
                <w:szCs w:val="27"/>
              </w:rPr>
              <w:t>1</w:t>
            </w:r>
            <w:r>
              <w:rPr>
                <w:spacing w:val="20"/>
                <w:sz w:val="27"/>
                <w:szCs w:val="27"/>
              </w:rPr>
              <w:t>月底</w:t>
            </w:r>
          </w:p>
        </w:tc>
        <w:tc>
          <w:tcPr>
            <w:tcW w:w="4611" w:type="dxa"/>
            <w:tcBorders/>
          </w:tcPr>
          <w:p>
            <w:pPr>
              <w:pStyle w:val="Normal"/>
              <w:widowControl w:val="false"/>
              <w:spacing w:lineRule="atLeast" w:line="400"/>
              <w:ind w:left="57" w:hanging="0"/>
              <w:jc w:val="center"/>
              <w:rPr>
                <w:spacing w:val="20"/>
                <w:sz w:val="27"/>
                <w:szCs w:val="27"/>
              </w:rPr>
            </w:pPr>
            <w:r>
              <w:rPr>
                <w:spacing w:val="20"/>
                <w:sz w:val="27"/>
                <w:szCs w:val="27"/>
              </w:rPr>
              <w:t>30.61</w:t>
            </w:r>
          </w:p>
        </w:tc>
      </w:tr>
    </w:tbl>
    <w:p>
      <w:pPr>
        <w:pStyle w:val="Normal"/>
        <w:snapToGrid w:val="false"/>
        <w:spacing w:lineRule="auto" w:line="240"/>
        <w:rPr>
          <w:spacing w:val="20"/>
          <w:sz w:val="20"/>
          <w:szCs w:val="20"/>
        </w:rPr>
      </w:pPr>
      <w:r>
        <w:rPr>
          <w:spacing w:val="20"/>
          <w:sz w:val="20"/>
          <w:szCs w:val="20"/>
        </w:rPr>
      </w:r>
    </w:p>
    <w:p>
      <w:pPr>
        <w:pStyle w:val="Normal"/>
        <w:snapToGrid w:val="false"/>
        <w:spacing w:lineRule="auto" w:line="240"/>
        <w:rPr>
          <w:spacing w:val="20"/>
          <w:sz w:val="20"/>
        </w:rPr>
      </w:pPr>
      <w:r>
        <w:rPr>
          <w:spacing w:val="20"/>
          <w:sz w:val="20"/>
        </w:rPr>
        <w:t>註：</w:t>
      </w:r>
    </w:p>
    <w:p>
      <w:pPr>
        <w:pStyle w:val="Normal"/>
        <w:snapToGrid w:val="false"/>
        <w:spacing w:lineRule="auto" w:line="240"/>
        <w:rPr>
          <w:spacing w:val="20"/>
          <w:sz w:val="20"/>
        </w:rPr>
      </w:pPr>
      <w:r>
        <w:rPr>
          <w:spacing w:val="20"/>
          <w:sz w:val="20"/>
        </w:rPr>
      </w:r>
    </w:p>
    <w:p>
      <w:pPr>
        <w:pStyle w:val="Normal"/>
        <w:snapToGrid w:val="false"/>
        <w:spacing w:lineRule="auto" w:line="240"/>
        <w:rPr>
          <w:spacing w:val="20"/>
          <w:sz w:val="27"/>
          <w:szCs w:val="27"/>
        </w:rPr>
      </w:pPr>
      <w:r>
        <w:rPr>
          <w:spacing w:val="20"/>
          <w:sz w:val="20"/>
        </w:rPr>
        <w:t>為主要中央家用石油氣供應商的零售價。</w:t>
      </w:r>
      <w:r>
        <w:br w:type="page"/>
      </w:r>
    </w:p>
    <w:p>
      <w:pPr>
        <w:pStyle w:val="Normal"/>
        <w:spacing w:lineRule="atLeast" w:line="390"/>
        <w:jc w:val="right"/>
        <w:rPr>
          <w:spacing w:val="20"/>
          <w:sz w:val="27"/>
          <w:szCs w:val="27"/>
        </w:rPr>
      </w:pPr>
      <w:r>
        <w:rPr>
          <w:spacing w:val="20"/>
          <w:sz w:val="27"/>
          <w:szCs w:val="27"/>
        </w:rPr>
        <w:t>附件二</w:t>
      </w:r>
    </w:p>
    <w:p>
      <w:pPr>
        <w:pStyle w:val="Normal"/>
        <w:spacing w:lineRule="atLeast" w:line="390"/>
        <w:jc w:val="right"/>
        <w:rPr>
          <w:spacing w:val="20"/>
          <w:sz w:val="27"/>
          <w:szCs w:val="27"/>
        </w:rPr>
      </w:pPr>
      <w:r>
        <w:rPr>
          <w:spacing w:val="20"/>
          <w:sz w:val="27"/>
          <w:szCs w:val="27"/>
        </w:rPr>
      </w:r>
    </w:p>
    <w:p>
      <w:pPr>
        <w:pStyle w:val="Normal"/>
        <w:tabs>
          <w:tab w:val="clear" w:pos="720"/>
        </w:tabs>
        <w:spacing w:lineRule="atLeast" w:line="390"/>
        <w:rPr>
          <w:spacing w:val="20"/>
          <w:sz w:val="27"/>
          <w:szCs w:val="27"/>
        </w:rPr>
      </w:pPr>
      <w:r>
        <w:rPr>
          <w:spacing w:val="20"/>
          <w:sz w:val="27"/>
          <w:szCs w:val="27"/>
        </w:rPr>
        <w:t>1.</w:t>
        <w:tab/>
      </w:r>
      <w:r>
        <w:rPr>
          <w:spacing w:val="20"/>
          <w:sz w:val="27"/>
          <w:szCs w:val="27"/>
        </w:rPr>
        <w:t>公共租住屋邨採用燃氣資料</w:t>
      </w:r>
      <w:r>
        <w:rPr>
          <w:spacing w:val="20"/>
          <w:sz w:val="27"/>
          <w:szCs w:val="27"/>
        </w:rPr>
        <w:t>(</w:t>
      </w:r>
      <w:r>
        <w:rPr>
          <w:spacing w:val="20"/>
          <w:sz w:val="27"/>
          <w:szCs w:val="27"/>
        </w:rPr>
        <w:t>截至</w:t>
      </w:r>
      <w:r>
        <w:rPr>
          <w:spacing w:val="20"/>
          <w:sz w:val="27"/>
          <w:szCs w:val="27"/>
        </w:rPr>
        <w:t>2014</w:t>
      </w:r>
      <w:r>
        <w:rPr>
          <w:spacing w:val="20"/>
          <w:sz w:val="27"/>
          <w:szCs w:val="27"/>
        </w:rPr>
        <w:t>年</w:t>
      </w:r>
      <w:r>
        <w:rPr>
          <w:spacing w:val="20"/>
          <w:sz w:val="27"/>
          <w:szCs w:val="27"/>
        </w:rPr>
        <w:t>12</w:t>
      </w:r>
      <w:r>
        <w:rPr>
          <w:spacing w:val="20"/>
          <w:sz w:val="27"/>
          <w:szCs w:val="27"/>
        </w:rPr>
        <w:t>月</w:t>
      </w:r>
      <w:r>
        <w:rPr>
          <w:spacing w:val="20"/>
          <w:sz w:val="27"/>
          <w:szCs w:val="27"/>
        </w:rPr>
        <w:t>31</w:t>
      </w:r>
      <w:r>
        <w:rPr>
          <w:spacing w:val="20"/>
          <w:sz w:val="27"/>
          <w:szCs w:val="27"/>
        </w:rPr>
        <w:t>日</w:t>
      </w:r>
      <w:r>
        <w:rPr>
          <w:spacing w:val="20"/>
          <w:sz w:val="27"/>
          <w:szCs w:val="27"/>
        </w:rPr>
        <w:t>)</w:t>
      </w:r>
    </w:p>
    <w:p>
      <w:pPr>
        <w:pStyle w:val="Normal"/>
        <w:spacing w:lineRule="atLeast" w:line="390"/>
        <w:rPr>
          <w:spacing w:val="20"/>
          <w:sz w:val="27"/>
          <w:szCs w:val="27"/>
        </w:rPr>
      </w:pPr>
      <w:r>
        <w:rPr>
          <w:spacing w:val="20"/>
          <w:sz w:val="27"/>
          <w:szCs w:val="27"/>
        </w:rPr>
      </w:r>
    </w:p>
    <w:p>
      <w:pPr>
        <w:pStyle w:val="Normal"/>
        <w:spacing w:lineRule="atLeast" w:line="390"/>
        <w:rPr>
          <w:i/>
          <w:i/>
          <w:spacing w:val="20"/>
          <w:sz w:val="27"/>
          <w:szCs w:val="27"/>
        </w:rPr>
      </w:pPr>
      <w:r>
        <w:rPr>
          <w:i/>
          <w:spacing w:val="20"/>
          <w:sz w:val="27"/>
          <w:szCs w:val="27"/>
        </w:rPr>
        <w:t>使用煤氣的屋邨</w:t>
      </w:r>
      <w:r>
        <w:rPr>
          <w:i/>
          <w:spacing w:val="20"/>
          <w:sz w:val="27"/>
          <w:szCs w:val="27"/>
        </w:rPr>
        <w:t>(</w:t>
      </w:r>
      <w:r>
        <w:rPr>
          <w:i/>
          <w:spacing w:val="20"/>
          <w:sz w:val="27"/>
          <w:szCs w:val="27"/>
        </w:rPr>
        <w:t>共</w:t>
      </w:r>
      <w:r>
        <w:rPr>
          <w:i/>
          <w:spacing w:val="20"/>
          <w:sz w:val="27"/>
          <w:szCs w:val="27"/>
        </w:rPr>
        <w:t>154</w:t>
      </w:r>
      <w:r>
        <w:rPr>
          <w:i/>
          <w:spacing w:val="20"/>
          <w:sz w:val="27"/>
          <w:szCs w:val="27"/>
        </w:rPr>
        <w:t>個</w:t>
      </w:r>
      <w:r>
        <w:rPr>
          <w:i/>
          <w:spacing w:val="20"/>
          <w:sz w:val="27"/>
          <w:szCs w:val="27"/>
        </w:rPr>
        <w:t>)</w:t>
      </w:r>
    </w:p>
    <w:p>
      <w:pPr>
        <w:pStyle w:val="Normal"/>
        <w:spacing w:lineRule="atLeast" w:line="390"/>
        <w:rPr>
          <w:spacing w:val="20"/>
          <w:sz w:val="27"/>
          <w:szCs w:val="27"/>
        </w:rPr>
      </w:pPr>
      <w:r>
        <w:rPr>
          <w:spacing w:val="20"/>
          <w:sz w:val="27"/>
          <w:szCs w:val="27"/>
        </w:rPr>
      </w:r>
    </w:p>
    <w:p>
      <w:pPr>
        <w:pStyle w:val="Normal"/>
        <w:spacing w:lineRule="atLeast" w:line="390"/>
        <w:rPr>
          <w:spacing w:val="20"/>
          <w:sz w:val="27"/>
          <w:szCs w:val="27"/>
        </w:rPr>
      </w:pPr>
      <w:r>
        <w:rPr>
          <w:spacing w:val="20"/>
          <w:sz w:val="27"/>
          <w:szCs w:val="27"/>
        </w:rPr>
        <w:t>鴨脷洲邨、柴灣邨、澤安邨、長青邨、長亨邨、長康邨、長貴邨、長沙灣邨、象山邨、長宏邨、清河邨、彩輝邨、彩福邨、彩虹邨、彩德邨、彩雲</w:t>
      </w:r>
      <w:r>
        <w:rPr>
          <w:spacing w:val="20"/>
          <w:sz w:val="27"/>
          <w:szCs w:val="27"/>
        </w:rPr>
        <w:t>(</w:t>
      </w:r>
      <w:r>
        <w:rPr>
          <w:spacing w:val="20"/>
          <w:sz w:val="27"/>
          <w:szCs w:val="27"/>
        </w:rPr>
        <w:t>一</w:t>
      </w:r>
      <w:r>
        <w:rPr>
          <w:spacing w:val="20"/>
          <w:sz w:val="27"/>
          <w:szCs w:val="27"/>
        </w:rPr>
        <w:t>)</w:t>
      </w:r>
      <w:r>
        <w:rPr>
          <w:spacing w:val="20"/>
          <w:sz w:val="27"/>
          <w:szCs w:val="27"/>
        </w:rPr>
        <w:t>邨、彩雲</w:t>
      </w:r>
      <w:r>
        <w:rPr>
          <w:spacing w:val="20"/>
          <w:sz w:val="27"/>
          <w:szCs w:val="27"/>
        </w:rPr>
        <w:t>(</w:t>
      </w:r>
      <w:r>
        <w:rPr>
          <w:spacing w:val="20"/>
          <w:sz w:val="27"/>
          <w:szCs w:val="27"/>
        </w:rPr>
        <w:t>二</w:t>
      </w:r>
      <w:r>
        <w:rPr>
          <w:spacing w:val="20"/>
          <w:sz w:val="27"/>
          <w:szCs w:val="27"/>
        </w:rPr>
        <w:t>)</w:t>
      </w:r>
      <w:r>
        <w:rPr>
          <w:spacing w:val="20"/>
          <w:sz w:val="27"/>
          <w:szCs w:val="27"/>
        </w:rPr>
        <w:t>邨、彩盈邨、竹園南邨、秦石邨、頌安邨、青逸軒、幸福邨、富昌邨、富山邨、富泰邨、富東邨、福來邨、豐和邨、俊宏軒、厚德邨、高盛臺、顯耀邨、興民邨、興東邨、興華</w:t>
      </w:r>
      <w:r>
        <w:rPr>
          <w:spacing w:val="20"/>
          <w:sz w:val="27"/>
          <w:szCs w:val="27"/>
        </w:rPr>
        <w:t>(</w:t>
      </w:r>
      <w:r>
        <w:rPr>
          <w:spacing w:val="20"/>
          <w:sz w:val="27"/>
          <w:szCs w:val="27"/>
        </w:rPr>
        <w:t>一</w:t>
      </w:r>
      <w:r>
        <w:rPr>
          <w:spacing w:val="20"/>
          <w:sz w:val="27"/>
          <w:szCs w:val="27"/>
        </w:rPr>
        <w:t>)</w:t>
      </w:r>
      <w:r>
        <w:rPr>
          <w:spacing w:val="20"/>
          <w:sz w:val="27"/>
          <w:szCs w:val="27"/>
        </w:rPr>
        <w:t>邨、興華</w:t>
      </w:r>
      <w:r>
        <w:rPr>
          <w:spacing w:val="20"/>
          <w:sz w:val="27"/>
          <w:szCs w:val="27"/>
        </w:rPr>
        <w:t>(</w:t>
      </w:r>
      <w:r>
        <w:rPr>
          <w:spacing w:val="20"/>
          <w:sz w:val="27"/>
          <w:szCs w:val="27"/>
        </w:rPr>
        <w:t>二</w:t>
      </w:r>
      <w:r>
        <w:rPr>
          <w:spacing w:val="20"/>
          <w:sz w:val="27"/>
          <w:szCs w:val="27"/>
        </w:rPr>
        <w:t>)</w:t>
      </w:r>
      <w:r>
        <w:rPr>
          <w:spacing w:val="20"/>
          <w:sz w:val="27"/>
          <w:szCs w:val="27"/>
        </w:rPr>
        <w:t>邨、何文田邨、海麗邨、康東邨、紅磡邨、嘉福邨、啟晴邨、啟田邨、啟業邨、健明邨、高翔苑、高怡邨、葵涌邨、葵芳邨、葵聯邨、葵盛東邨、葵盛西邨、廣田邨、荔景邨、麗閣邨、麗安邨、麗瑤邨、藍田邨、利安邨、梨木樹</w:t>
      </w:r>
      <w:r>
        <w:rPr>
          <w:spacing w:val="20"/>
          <w:sz w:val="27"/>
          <w:szCs w:val="27"/>
        </w:rPr>
        <w:t>(</w:t>
      </w:r>
      <w:r>
        <w:rPr>
          <w:spacing w:val="20"/>
          <w:sz w:val="27"/>
          <w:szCs w:val="27"/>
        </w:rPr>
        <w:t>一</w:t>
      </w:r>
      <w:r>
        <w:rPr>
          <w:spacing w:val="20"/>
          <w:sz w:val="27"/>
          <w:szCs w:val="27"/>
        </w:rPr>
        <w:t>)</w:t>
      </w:r>
      <w:r>
        <w:rPr>
          <w:spacing w:val="20"/>
          <w:sz w:val="27"/>
          <w:szCs w:val="27"/>
        </w:rPr>
        <w:t>邨、梨木樹</w:t>
      </w:r>
      <w:r>
        <w:rPr>
          <w:spacing w:val="20"/>
          <w:sz w:val="27"/>
          <w:szCs w:val="27"/>
        </w:rPr>
        <w:t>(</w:t>
      </w:r>
      <w:r>
        <w:rPr>
          <w:spacing w:val="20"/>
          <w:sz w:val="27"/>
          <w:szCs w:val="27"/>
        </w:rPr>
        <w:t>二</w:t>
      </w:r>
      <w:r>
        <w:rPr>
          <w:spacing w:val="20"/>
          <w:sz w:val="27"/>
          <w:szCs w:val="27"/>
        </w:rPr>
        <w:t>)</w:t>
      </w:r>
      <w:r>
        <w:rPr>
          <w:spacing w:val="20"/>
          <w:sz w:val="27"/>
          <w:szCs w:val="27"/>
        </w:rPr>
        <w:t>邨、梨木樹邨、鯉魚門邨、瀝源邨、樂富邨、樂華</w:t>
      </w:r>
      <w:r>
        <w:rPr>
          <w:spacing w:val="20"/>
          <w:sz w:val="27"/>
          <w:szCs w:val="27"/>
        </w:rPr>
        <w:t>(</w:t>
      </w:r>
      <w:r>
        <w:rPr>
          <w:spacing w:val="20"/>
          <w:sz w:val="27"/>
          <w:szCs w:val="27"/>
        </w:rPr>
        <w:t>北</w:t>
      </w:r>
      <w:r>
        <w:rPr>
          <w:spacing w:val="20"/>
          <w:sz w:val="27"/>
          <w:szCs w:val="27"/>
        </w:rPr>
        <w:t>)</w:t>
      </w:r>
      <w:r>
        <w:rPr>
          <w:spacing w:val="20"/>
          <w:sz w:val="27"/>
          <w:szCs w:val="27"/>
        </w:rPr>
        <w:t>邨、樂華</w:t>
      </w:r>
      <w:r>
        <w:rPr>
          <w:spacing w:val="20"/>
          <w:sz w:val="27"/>
          <w:szCs w:val="27"/>
        </w:rPr>
        <w:t>(</w:t>
      </w:r>
      <w:r>
        <w:rPr>
          <w:spacing w:val="20"/>
          <w:sz w:val="27"/>
          <w:szCs w:val="27"/>
        </w:rPr>
        <w:t>南</w:t>
      </w:r>
      <w:r>
        <w:rPr>
          <w:spacing w:val="20"/>
          <w:sz w:val="27"/>
          <w:szCs w:val="27"/>
        </w:rPr>
        <w:t>)</w:t>
      </w:r>
      <w:r>
        <w:rPr>
          <w:spacing w:val="20"/>
          <w:sz w:val="27"/>
          <w:szCs w:val="27"/>
        </w:rPr>
        <w:t>邨、牛頭角下邨、黃大仙下</w:t>
      </w:r>
      <w:r>
        <w:rPr>
          <w:spacing w:val="20"/>
          <w:sz w:val="27"/>
          <w:szCs w:val="27"/>
        </w:rPr>
        <w:t>(</w:t>
      </w:r>
      <w:r>
        <w:rPr>
          <w:spacing w:val="20"/>
          <w:sz w:val="27"/>
          <w:szCs w:val="27"/>
        </w:rPr>
        <w:t>二</w:t>
      </w:r>
      <w:r>
        <w:rPr>
          <w:spacing w:val="20"/>
          <w:sz w:val="27"/>
          <w:szCs w:val="27"/>
        </w:rPr>
        <w:t>)</w:t>
      </w:r>
      <w:r>
        <w:rPr>
          <w:spacing w:val="20"/>
          <w:sz w:val="27"/>
          <w:szCs w:val="27"/>
        </w:rPr>
        <w:t>邨、隆亨邨、龍逸邨、馬坑邨、馬頭圍邨、美林邨、美田邨、美東邨、明德邨、模範邨、南山邨、愛東邨、安田邨、安蔭邨、白田邨、坪石邨、平田邨、寶達邨、寶田邨、西環邨、秀茂坪邨、秀茂坪南邨、沙角邨、沙田坳邨、石硤尾邨、石籬</w:t>
      </w:r>
      <w:r>
        <w:rPr>
          <w:spacing w:val="20"/>
          <w:sz w:val="27"/>
          <w:szCs w:val="27"/>
        </w:rPr>
        <w:t>(</w:t>
      </w:r>
      <w:r>
        <w:rPr>
          <w:spacing w:val="20"/>
          <w:sz w:val="27"/>
          <w:szCs w:val="27"/>
        </w:rPr>
        <w:t>一</w:t>
      </w:r>
      <w:r>
        <w:rPr>
          <w:spacing w:val="20"/>
          <w:sz w:val="27"/>
          <w:szCs w:val="27"/>
        </w:rPr>
        <w:t>)</w:t>
      </w:r>
      <w:r>
        <w:rPr>
          <w:spacing w:val="20"/>
          <w:sz w:val="27"/>
          <w:szCs w:val="27"/>
        </w:rPr>
        <w:t>邨、石籬</w:t>
      </w:r>
      <w:r>
        <w:rPr>
          <w:spacing w:val="20"/>
          <w:sz w:val="27"/>
          <w:szCs w:val="27"/>
        </w:rPr>
        <w:t>(</w:t>
      </w:r>
      <w:r>
        <w:rPr>
          <w:spacing w:val="20"/>
          <w:sz w:val="27"/>
          <w:szCs w:val="27"/>
        </w:rPr>
        <w:t>二</w:t>
      </w:r>
      <w:r>
        <w:rPr>
          <w:spacing w:val="20"/>
          <w:sz w:val="27"/>
          <w:szCs w:val="27"/>
        </w:rPr>
        <w:t>)</w:t>
      </w:r>
      <w:r>
        <w:rPr>
          <w:spacing w:val="20"/>
          <w:sz w:val="27"/>
          <w:szCs w:val="27"/>
        </w:rPr>
        <w:t>邨、碩門邨、石排灣邨、石圍角邨、石蔭東邨、石蔭邨、常樂邨、尚德邨、善明邨、順利邨、順安邨、順天邨、小西灣邨、新翠邨、新田圍邨、大坑東邨、大興邨、大窩口邨、德朗邨、天澤邨、天晴邨、天恆邨、天瑞</w:t>
      </w:r>
      <w:r>
        <w:rPr>
          <w:spacing w:val="20"/>
          <w:sz w:val="27"/>
          <w:szCs w:val="27"/>
        </w:rPr>
        <w:t>(</w:t>
      </w:r>
      <w:r>
        <w:rPr>
          <w:spacing w:val="20"/>
          <w:sz w:val="27"/>
          <w:szCs w:val="27"/>
        </w:rPr>
        <w:t>一</w:t>
      </w:r>
      <w:r>
        <w:rPr>
          <w:spacing w:val="20"/>
          <w:sz w:val="27"/>
          <w:szCs w:val="27"/>
        </w:rPr>
        <w:t>)</w:t>
      </w:r>
      <w:r>
        <w:rPr>
          <w:spacing w:val="20"/>
          <w:sz w:val="27"/>
          <w:szCs w:val="27"/>
        </w:rPr>
        <w:t>邨、天瑞</w:t>
      </w:r>
      <w:r>
        <w:rPr>
          <w:spacing w:val="20"/>
          <w:sz w:val="27"/>
          <w:szCs w:val="27"/>
        </w:rPr>
        <w:t>(</w:t>
      </w:r>
      <w:r>
        <w:rPr>
          <w:spacing w:val="20"/>
          <w:sz w:val="27"/>
          <w:szCs w:val="27"/>
        </w:rPr>
        <w:t>二</w:t>
      </w:r>
      <w:r>
        <w:rPr>
          <w:spacing w:val="20"/>
          <w:sz w:val="27"/>
          <w:szCs w:val="27"/>
        </w:rPr>
        <w:t>)</w:t>
      </w:r>
      <w:r>
        <w:rPr>
          <w:spacing w:val="20"/>
          <w:sz w:val="27"/>
          <w:szCs w:val="27"/>
        </w:rPr>
        <w:t>邨、天慈邨、天華邨、田灣邨、天恩邨、天逸邨、天耀</w:t>
      </w:r>
      <w:r>
        <w:rPr>
          <w:spacing w:val="20"/>
          <w:sz w:val="27"/>
          <w:szCs w:val="27"/>
        </w:rPr>
        <w:t>(</w:t>
      </w:r>
      <w:r>
        <w:rPr>
          <w:spacing w:val="20"/>
          <w:sz w:val="27"/>
          <w:szCs w:val="27"/>
        </w:rPr>
        <w:t>一</w:t>
      </w:r>
      <w:r>
        <w:rPr>
          <w:spacing w:val="20"/>
          <w:sz w:val="27"/>
          <w:szCs w:val="27"/>
        </w:rPr>
        <w:t>)</w:t>
      </w:r>
      <w:r>
        <w:rPr>
          <w:spacing w:val="20"/>
          <w:sz w:val="27"/>
          <w:szCs w:val="27"/>
        </w:rPr>
        <w:t>邨、天耀</w:t>
      </w:r>
      <w:r>
        <w:rPr>
          <w:spacing w:val="20"/>
          <w:sz w:val="27"/>
          <w:szCs w:val="27"/>
        </w:rPr>
        <w:t>(</w:t>
      </w:r>
      <w:r>
        <w:rPr>
          <w:spacing w:val="20"/>
          <w:sz w:val="27"/>
          <w:szCs w:val="27"/>
        </w:rPr>
        <w:t>二</w:t>
      </w:r>
      <w:r>
        <w:rPr>
          <w:spacing w:val="20"/>
          <w:sz w:val="27"/>
          <w:szCs w:val="27"/>
        </w:rPr>
        <w:t>)</w:t>
      </w:r>
      <w:r>
        <w:rPr>
          <w:spacing w:val="20"/>
          <w:sz w:val="27"/>
          <w:szCs w:val="27"/>
        </w:rPr>
        <w:t>邨、天悅邨、翠樂邨、翠屏</w:t>
      </w:r>
      <w:r>
        <w:rPr>
          <w:spacing w:val="20"/>
          <w:sz w:val="27"/>
          <w:szCs w:val="27"/>
        </w:rPr>
        <w:t>(</w:t>
      </w:r>
      <w:r>
        <w:rPr>
          <w:spacing w:val="20"/>
          <w:sz w:val="27"/>
          <w:szCs w:val="27"/>
        </w:rPr>
        <w:t>南</w:t>
      </w:r>
      <w:r>
        <w:rPr>
          <w:spacing w:val="20"/>
          <w:sz w:val="27"/>
          <w:szCs w:val="27"/>
        </w:rPr>
        <w:t>)</w:t>
      </w:r>
      <w:r>
        <w:rPr>
          <w:spacing w:val="20"/>
          <w:sz w:val="27"/>
          <w:szCs w:val="27"/>
        </w:rPr>
        <w:t>邨、慈正邨、慈康邨、慈樂邨、慈民邨、東匯邨、元州邨、牛頭角上邨、黃大仙上邨、華富</w:t>
      </w:r>
      <w:r>
        <w:rPr>
          <w:spacing w:val="20"/>
          <w:sz w:val="27"/>
          <w:szCs w:val="27"/>
        </w:rPr>
        <w:t>(</w:t>
      </w:r>
      <w:r>
        <w:rPr>
          <w:spacing w:val="20"/>
          <w:sz w:val="27"/>
          <w:szCs w:val="27"/>
        </w:rPr>
        <w:t>一</w:t>
      </w:r>
      <w:r>
        <w:rPr>
          <w:spacing w:val="20"/>
          <w:sz w:val="27"/>
          <w:szCs w:val="27"/>
        </w:rPr>
        <w:t>)</w:t>
      </w:r>
      <w:r>
        <w:rPr>
          <w:spacing w:val="20"/>
          <w:sz w:val="27"/>
          <w:szCs w:val="27"/>
        </w:rPr>
        <w:t>邨、華荔邨、華心邨、雲漢邨、環翠邨、橫頭磡邨、榮昌邨、禾輋邨、和樂邨、欣安邨、逸東</w:t>
      </w:r>
      <w:r>
        <w:rPr>
          <w:spacing w:val="20"/>
          <w:sz w:val="27"/>
          <w:szCs w:val="27"/>
        </w:rPr>
        <w:t>(</w:t>
      </w:r>
      <w:r>
        <w:rPr>
          <w:spacing w:val="20"/>
          <w:sz w:val="27"/>
          <w:szCs w:val="27"/>
        </w:rPr>
        <w:t>一</w:t>
      </w:r>
      <w:r>
        <w:rPr>
          <w:spacing w:val="20"/>
          <w:sz w:val="27"/>
          <w:szCs w:val="27"/>
        </w:rPr>
        <w:t>)</w:t>
      </w:r>
      <w:r>
        <w:rPr>
          <w:spacing w:val="20"/>
          <w:sz w:val="27"/>
          <w:szCs w:val="27"/>
        </w:rPr>
        <w:t>邨、逸東</w:t>
      </w:r>
      <w:r>
        <w:rPr>
          <w:spacing w:val="20"/>
          <w:sz w:val="27"/>
          <w:szCs w:val="27"/>
        </w:rPr>
        <w:t>(</w:t>
      </w:r>
      <w:r>
        <w:rPr>
          <w:spacing w:val="20"/>
          <w:sz w:val="27"/>
          <w:szCs w:val="27"/>
        </w:rPr>
        <w:t>二</w:t>
      </w:r>
      <w:r>
        <w:rPr>
          <w:spacing w:val="20"/>
          <w:sz w:val="27"/>
          <w:szCs w:val="27"/>
        </w:rPr>
        <w:t>)</w:t>
      </w:r>
      <w:r>
        <w:rPr>
          <w:spacing w:val="20"/>
          <w:sz w:val="27"/>
          <w:szCs w:val="27"/>
        </w:rPr>
        <w:t>邨、油麗邨、油塘邨、怡明邨、耀東邨、漁灣邨。</w:t>
      </w:r>
    </w:p>
    <w:p>
      <w:pPr>
        <w:pStyle w:val="Normal"/>
        <w:spacing w:lineRule="atLeast" w:line="390"/>
        <w:rPr>
          <w:spacing w:val="20"/>
          <w:sz w:val="27"/>
          <w:szCs w:val="27"/>
        </w:rPr>
      </w:pPr>
      <w:r>
        <w:rPr>
          <w:spacing w:val="20"/>
          <w:sz w:val="27"/>
          <w:szCs w:val="27"/>
        </w:rPr>
      </w:r>
    </w:p>
    <w:p>
      <w:pPr>
        <w:pStyle w:val="Normal"/>
        <w:spacing w:lineRule="atLeast" w:line="390"/>
        <w:rPr>
          <w:i/>
          <w:i/>
          <w:spacing w:val="20"/>
          <w:sz w:val="27"/>
          <w:szCs w:val="27"/>
        </w:rPr>
      </w:pPr>
      <w:r>
        <w:rPr>
          <w:i/>
          <w:spacing w:val="20"/>
          <w:sz w:val="27"/>
          <w:szCs w:val="27"/>
        </w:rPr>
        <w:t>使用中央石油氣的屋邨</w:t>
      </w:r>
      <w:r>
        <w:rPr>
          <w:i/>
          <w:spacing w:val="20"/>
          <w:sz w:val="27"/>
          <w:szCs w:val="27"/>
        </w:rPr>
        <w:t>(</w:t>
      </w:r>
      <w:r>
        <w:rPr>
          <w:i/>
          <w:spacing w:val="20"/>
          <w:sz w:val="27"/>
          <w:szCs w:val="27"/>
        </w:rPr>
        <w:t>共</w:t>
      </w:r>
      <w:r>
        <w:rPr>
          <w:i/>
          <w:spacing w:val="20"/>
          <w:sz w:val="27"/>
          <w:szCs w:val="27"/>
        </w:rPr>
        <w:t>15</w:t>
      </w:r>
      <w:r>
        <w:rPr>
          <w:i/>
          <w:spacing w:val="20"/>
          <w:sz w:val="27"/>
          <w:szCs w:val="27"/>
        </w:rPr>
        <w:t>個</w:t>
      </w:r>
      <w:r>
        <w:rPr>
          <w:i/>
          <w:spacing w:val="20"/>
          <w:sz w:val="27"/>
          <w:szCs w:val="27"/>
        </w:rPr>
        <w:t>)</w:t>
      </w:r>
    </w:p>
    <w:p>
      <w:pPr>
        <w:pStyle w:val="Normal"/>
        <w:spacing w:lineRule="atLeast" w:line="390"/>
        <w:rPr>
          <w:spacing w:val="20"/>
          <w:sz w:val="27"/>
          <w:szCs w:val="27"/>
        </w:rPr>
      </w:pPr>
      <w:r>
        <w:rPr>
          <w:spacing w:val="20"/>
          <w:sz w:val="27"/>
          <w:szCs w:val="27"/>
        </w:rPr>
      </w:r>
    </w:p>
    <w:p>
      <w:pPr>
        <w:pStyle w:val="Normal"/>
        <w:spacing w:lineRule="atLeast" w:line="390"/>
        <w:rPr>
          <w:spacing w:val="20"/>
          <w:sz w:val="27"/>
          <w:szCs w:val="27"/>
        </w:rPr>
      </w:pPr>
      <w:r>
        <w:rPr>
          <w:spacing w:val="20"/>
          <w:sz w:val="27"/>
          <w:szCs w:val="27"/>
        </w:rPr>
        <w:t>蝴蝶邨、彩園邨、金坪邨、廣福邨、龍田邨、雅寧苑、銀灣邨、愛民邨、安定邨、三聖邨、水邊圍邨、大元邨、華富</w:t>
      </w:r>
      <w:r>
        <w:rPr>
          <w:spacing w:val="20"/>
          <w:sz w:val="27"/>
          <w:szCs w:val="27"/>
        </w:rPr>
        <w:t>(</w:t>
      </w:r>
      <w:r>
        <w:rPr>
          <w:spacing w:val="20"/>
          <w:sz w:val="27"/>
          <w:szCs w:val="27"/>
        </w:rPr>
        <w:t>二</w:t>
      </w:r>
      <w:r>
        <w:rPr>
          <w:spacing w:val="20"/>
          <w:sz w:val="27"/>
          <w:szCs w:val="27"/>
        </w:rPr>
        <w:t>)</w:t>
      </w:r>
      <w:r>
        <w:rPr>
          <w:spacing w:val="20"/>
          <w:sz w:val="27"/>
          <w:szCs w:val="27"/>
        </w:rPr>
        <w:t>邨、湖景邨、友愛邨。</w:t>
      </w:r>
      <w:r>
        <w:br w:type="page"/>
      </w:r>
    </w:p>
    <w:p>
      <w:pPr>
        <w:pStyle w:val="Normal"/>
        <w:tabs>
          <w:tab w:val="clear" w:pos="720"/>
        </w:tabs>
        <w:spacing w:lineRule="atLeast" w:line="350"/>
        <w:rPr>
          <w:spacing w:val="20"/>
          <w:sz w:val="27"/>
          <w:szCs w:val="27"/>
        </w:rPr>
      </w:pPr>
      <w:r>
        <w:rPr>
          <w:spacing w:val="20"/>
          <w:sz w:val="27"/>
          <w:szCs w:val="27"/>
        </w:rPr>
        <w:t>2.</w:t>
        <w:tab/>
      </w:r>
      <w:r>
        <w:rPr>
          <w:spacing w:val="20"/>
          <w:sz w:val="27"/>
          <w:szCs w:val="27"/>
        </w:rPr>
        <w:t>租者置其屋計劃屋邨採用燃氣資料</w:t>
      </w:r>
      <w:r>
        <w:rPr>
          <w:spacing w:val="20"/>
          <w:sz w:val="27"/>
          <w:szCs w:val="27"/>
        </w:rPr>
        <w:t>(</w:t>
      </w:r>
      <w:r>
        <w:rPr>
          <w:spacing w:val="20"/>
          <w:sz w:val="27"/>
          <w:szCs w:val="27"/>
        </w:rPr>
        <w:t>截至</w:t>
      </w:r>
      <w:r>
        <w:rPr>
          <w:spacing w:val="20"/>
          <w:sz w:val="27"/>
          <w:szCs w:val="27"/>
        </w:rPr>
        <w:t>2014</w:t>
      </w:r>
      <w:r>
        <w:rPr>
          <w:spacing w:val="20"/>
          <w:sz w:val="27"/>
          <w:szCs w:val="27"/>
        </w:rPr>
        <w:t>年</w:t>
      </w:r>
      <w:r>
        <w:rPr>
          <w:spacing w:val="20"/>
          <w:sz w:val="27"/>
          <w:szCs w:val="27"/>
        </w:rPr>
        <w:t>12</w:t>
      </w:r>
      <w:r>
        <w:rPr>
          <w:spacing w:val="20"/>
          <w:sz w:val="27"/>
          <w:szCs w:val="27"/>
        </w:rPr>
        <w:t>月</w:t>
      </w:r>
      <w:r>
        <w:rPr>
          <w:spacing w:val="20"/>
          <w:sz w:val="27"/>
          <w:szCs w:val="27"/>
        </w:rPr>
        <w:t>31</w:t>
      </w:r>
      <w:r>
        <w:rPr>
          <w:spacing w:val="20"/>
          <w:sz w:val="27"/>
          <w:szCs w:val="27"/>
        </w:rPr>
        <w:t>日</w:t>
      </w:r>
      <w:r>
        <w:rPr>
          <w:spacing w:val="20"/>
          <w:sz w:val="27"/>
          <w:szCs w:val="27"/>
        </w:rPr>
        <w:t>)</w:t>
      </w:r>
    </w:p>
    <w:p>
      <w:pPr>
        <w:pStyle w:val="Normal"/>
        <w:spacing w:lineRule="atLeast" w:line="350"/>
        <w:rPr>
          <w:spacing w:val="20"/>
          <w:sz w:val="27"/>
          <w:szCs w:val="27"/>
        </w:rPr>
      </w:pPr>
      <w:r>
        <w:rPr>
          <w:spacing w:val="20"/>
          <w:sz w:val="27"/>
          <w:szCs w:val="27"/>
        </w:rPr>
      </w:r>
    </w:p>
    <w:p>
      <w:pPr>
        <w:pStyle w:val="Normal"/>
        <w:spacing w:lineRule="atLeast" w:line="350"/>
        <w:rPr>
          <w:i/>
          <w:i/>
          <w:spacing w:val="20"/>
          <w:sz w:val="27"/>
          <w:szCs w:val="27"/>
        </w:rPr>
      </w:pPr>
      <w:r>
        <w:rPr>
          <w:i/>
          <w:spacing w:val="20"/>
          <w:sz w:val="27"/>
          <w:szCs w:val="27"/>
        </w:rPr>
        <w:t>使用煤氣的屋邨</w:t>
      </w:r>
      <w:r>
        <w:rPr>
          <w:i/>
          <w:spacing w:val="20"/>
          <w:sz w:val="27"/>
          <w:szCs w:val="27"/>
        </w:rPr>
        <w:t>(</w:t>
      </w:r>
      <w:r>
        <w:rPr>
          <w:i/>
          <w:spacing w:val="20"/>
          <w:sz w:val="27"/>
          <w:szCs w:val="27"/>
        </w:rPr>
        <w:t>共</w:t>
      </w:r>
      <w:r>
        <w:rPr>
          <w:i/>
          <w:spacing w:val="20"/>
          <w:sz w:val="27"/>
          <w:szCs w:val="27"/>
        </w:rPr>
        <w:t>35</w:t>
      </w:r>
      <w:r>
        <w:rPr>
          <w:i/>
          <w:spacing w:val="20"/>
          <w:sz w:val="27"/>
          <w:szCs w:val="27"/>
        </w:rPr>
        <w:t>個</w:t>
      </w:r>
      <w:r>
        <w:rPr>
          <w:i/>
          <w:spacing w:val="20"/>
          <w:sz w:val="27"/>
          <w:szCs w:val="27"/>
        </w:rPr>
        <w:t>)</w:t>
      </w:r>
    </w:p>
    <w:p>
      <w:pPr>
        <w:pStyle w:val="Normal"/>
        <w:spacing w:lineRule="atLeast" w:line="350"/>
        <w:rPr>
          <w:spacing w:val="20"/>
          <w:sz w:val="27"/>
          <w:szCs w:val="27"/>
        </w:rPr>
      </w:pPr>
      <w:r>
        <w:rPr>
          <w:spacing w:val="20"/>
          <w:sz w:val="27"/>
          <w:szCs w:val="27"/>
        </w:rPr>
      </w:r>
    </w:p>
    <w:p>
      <w:pPr>
        <w:pStyle w:val="Normal"/>
        <w:spacing w:lineRule="atLeast" w:line="350"/>
        <w:rPr>
          <w:spacing w:val="20"/>
          <w:sz w:val="27"/>
          <w:szCs w:val="27"/>
        </w:rPr>
      </w:pPr>
      <w:r>
        <w:rPr>
          <w:spacing w:val="20"/>
          <w:sz w:val="27"/>
          <w:szCs w:val="27"/>
        </w:rPr>
        <w:t>長發邨、長安邨、彩霞邨、竹園北邨、富亨邨、鳳德邨、峰華邨、恆安邨、顯徑邨、興田邨、建生邨、景林邨、葵興邨、廣源邨、李鄭屋邨、利東邨、良景邨、朗屏邨、黃大仙下</w:t>
      </w:r>
      <w:r>
        <w:rPr>
          <w:spacing w:val="20"/>
          <w:sz w:val="27"/>
          <w:szCs w:val="27"/>
        </w:rPr>
        <w:t>(</w:t>
      </w:r>
      <w:r>
        <w:rPr>
          <w:spacing w:val="20"/>
          <w:sz w:val="27"/>
          <w:szCs w:val="27"/>
        </w:rPr>
        <w:t>一</w:t>
      </w:r>
      <w:r>
        <w:rPr>
          <w:spacing w:val="20"/>
          <w:sz w:val="27"/>
          <w:szCs w:val="27"/>
        </w:rPr>
        <w:t>)</w:t>
      </w:r>
      <w:r>
        <w:rPr>
          <w:spacing w:val="20"/>
          <w:sz w:val="27"/>
          <w:szCs w:val="27"/>
        </w:rPr>
        <w:t>邨、南昌邨、寶林邨、博康邨、太平邨、太和邨、德田邨、田景邨、青衣邨、翠林邨、翠屏</w:t>
      </w:r>
      <w:r>
        <w:rPr>
          <w:spacing w:val="20"/>
          <w:sz w:val="27"/>
          <w:szCs w:val="27"/>
        </w:rPr>
        <w:t>(</w:t>
      </w:r>
      <w:r>
        <w:rPr>
          <w:spacing w:val="20"/>
          <w:sz w:val="27"/>
          <w:szCs w:val="27"/>
        </w:rPr>
        <w:t>北</w:t>
      </w:r>
      <w:r>
        <w:rPr>
          <w:spacing w:val="20"/>
          <w:sz w:val="27"/>
          <w:szCs w:val="27"/>
        </w:rPr>
        <w:t>)</w:t>
      </w:r>
      <w:r>
        <w:rPr>
          <w:spacing w:val="20"/>
          <w:sz w:val="27"/>
          <w:szCs w:val="27"/>
        </w:rPr>
        <w:t>邨、翠灣邨、東頭</w:t>
      </w:r>
      <w:r>
        <w:rPr>
          <w:spacing w:val="20"/>
          <w:sz w:val="27"/>
          <w:szCs w:val="27"/>
        </w:rPr>
        <w:t>(</w:t>
      </w:r>
      <w:r>
        <w:rPr>
          <w:spacing w:val="20"/>
          <w:sz w:val="27"/>
          <w:szCs w:val="27"/>
        </w:rPr>
        <w:t>二</w:t>
      </w:r>
      <w:r>
        <w:rPr>
          <w:spacing w:val="20"/>
          <w:sz w:val="27"/>
          <w:szCs w:val="27"/>
        </w:rPr>
        <w:t>)</w:t>
      </w:r>
      <w:r>
        <w:rPr>
          <w:spacing w:val="20"/>
          <w:sz w:val="27"/>
          <w:szCs w:val="27"/>
        </w:rPr>
        <w:t>邨、華貴邨、華明邨、運頭塘邨、耀安邨。</w:t>
      </w:r>
    </w:p>
    <w:p>
      <w:pPr>
        <w:pStyle w:val="Normal"/>
        <w:spacing w:lineRule="atLeast" w:line="350"/>
        <w:rPr>
          <w:spacing w:val="20"/>
          <w:sz w:val="27"/>
          <w:szCs w:val="27"/>
        </w:rPr>
      </w:pPr>
      <w:r>
        <w:rPr>
          <w:spacing w:val="20"/>
          <w:sz w:val="27"/>
          <w:szCs w:val="27"/>
        </w:rPr>
      </w:r>
    </w:p>
    <w:p>
      <w:pPr>
        <w:pStyle w:val="Normal"/>
        <w:spacing w:lineRule="atLeast" w:line="350"/>
        <w:rPr>
          <w:i/>
          <w:i/>
          <w:spacing w:val="20"/>
          <w:sz w:val="27"/>
          <w:szCs w:val="27"/>
        </w:rPr>
      </w:pPr>
      <w:r>
        <w:rPr>
          <w:i/>
          <w:spacing w:val="20"/>
          <w:sz w:val="27"/>
          <w:szCs w:val="27"/>
        </w:rPr>
        <w:t>使用中央石油氣的屋邨</w:t>
      </w:r>
      <w:r>
        <w:rPr>
          <w:i/>
          <w:spacing w:val="20"/>
          <w:sz w:val="27"/>
          <w:szCs w:val="27"/>
        </w:rPr>
        <w:t>(</w:t>
      </w:r>
      <w:r>
        <w:rPr>
          <w:i/>
          <w:spacing w:val="20"/>
          <w:sz w:val="27"/>
          <w:szCs w:val="27"/>
        </w:rPr>
        <w:t>共</w:t>
      </w:r>
      <w:r>
        <w:rPr>
          <w:i/>
          <w:spacing w:val="20"/>
          <w:sz w:val="27"/>
          <w:szCs w:val="27"/>
        </w:rPr>
        <w:t>4</w:t>
      </w:r>
      <w:r>
        <w:rPr>
          <w:i/>
          <w:spacing w:val="20"/>
          <w:sz w:val="27"/>
          <w:szCs w:val="27"/>
        </w:rPr>
        <w:t>個</w:t>
      </w:r>
      <w:r>
        <w:rPr>
          <w:i/>
          <w:spacing w:val="20"/>
          <w:sz w:val="27"/>
          <w:szCs w:val="27"/>
        </w:rPr>
        <w:t>)</w:t>
      </w:r>
    </w:p>
    <w:p>
      <w:pPr>
        <w:pStyle w:val="Normal"/>
        <w:spacing w:lineRule="atLeast" w:line="350"/>
        <w:rPr>
          <w:spacing w:val="20"/>
          <w:sz w:val="27"/>
          <w:szCs w:val="27"/>
        </w:rPr>
      </w:pPr>
      <w:r>
        <w:rPr>
          <w:spacing w:val="20"/>
          <w:sz w:val="27"/>
          <w:szCs w:val="27"/>
        </w:rPr>
      </w:r>
    </w:p>
    <w:p>
      <w:pPr>
        <w:pStyle w:val="Normal"/>
        <w:spacing w:lineRule="atLeast" w:line="350"/>
        <w:rPr>
          <w:spacing w:val="20"/>
          <w:sz w:val="27"/>
          <w:szCs w:val="27"/>
        </w:rPr>
      </w:pPr>
      <w:r>
        <w:rPr>
          <w:spacing w:val="20"/>
          <w:sz w:val="27"/>
          <w:szCs w:val="27"/>
        </w:rPr>
        <w:t>祥華邨、富善邨、山景邨、天平邨。</w:t>
      </w:r>
    </w:p>
    <w:p>
      <w:pPr>
        <w:pStyle w:val="Normal"/>
        <w:spacing w:lineRule="atLeast" w:line="350"/>
        <w:rPr>
          <w:spacing w:val="20"/>
          <w:sz w:val="27"/>
          <w:szCs w:val="27"/>
        </w:rPr>
      </w:pPr>
      <w:r>
        <w:rPr>
          <w:spacing w:val="20"/>
          <w:sz w:val="27"/>
          <w:szCs w:val="27"/>
        </w:rPr>
      </w:r>
    </w:p>
    <w:p>
      <w:pPr>
        <w:pStyle w:val="Normal"/>
        <w:spacing w:lineRule="atLeast" w:line="350"/>
        <w:rPr>
          <w:spacing w:val="20"/>
          <w:sz w:val="27"/>
          <w:szCs w:val="27"/>
        </w:rPr>
      </w:pPr>
      <w:r>
        <w:rPr>
          <w:spacing w:val="20"/>
          <w:sz w:val="27"/>
          <w:szCs w:val="27"/>
        </w:rPr>
      </w:r>
    </w:p>
    <w:p>
      <w:pPr>
        <w:pStyle w:val="Normal"/>
        <w:spacing w:lineRule="atLeast" w:line="350"/>
        <w:ind w:left="566" w:hanging="566"/>
        <w:rPr>
          <w:spacing w:val="16"/>
          <w:sz w:val="27"/>
          <w:szCs w:val="27"/>
        </w:rPr>
      </w:pPr>
      <w:r>
        <w:rPr>
          <w:spacing w:val="20"/>
          <w:sz w:val="27"/>
          <w:szCs w:val="27"/>
        </w:rPr>
        <w:t>3.</w:t>
        <w:tab/>
      </w:r>
      <w:r>
        <w:rPr>
          <w:spacing w:val="16"/>
          <w:sz w:val="27"/>
          <w:szCs w:val="27"/>
        </w:rPr>
        <w:t>居者有其屋</w:t>
      </w:r>
      <w:r>
        <w:rPr>
          <w:spacing w:val="16"/>
          <w:sz w:val="27"/>
          <w:szCs w:val="27"/>
        </w:rPr>
        <w:t>(“</w:t>
      </w:r>
      <w:r>
        <w:rPr>
          <w:spacing w:val="16"/>
          <w:sz w:val="27"/>
          <w:szCs w:val="27"/>
        </w:rPr>
        <w:t>居屋”</w:t>
      </w:r>
      <w:r>
        <w:rPr>
          <w:spacing w:val="16"/>
          <w:sz w:val="27"/>
          <w:szCs w:val="27"/>
        </w:rPr>
        <w:t>)</w:t>
      </w:r>
      <w:r>
        <w:rPr>
          <w:spacing w:val="16"/>
          <w:sz w:val="27"/>
          <w:szCs w:val="27"/>
        </w:rPr>
        <w:t>計劃屋苑採用燃氣資料</w:t>
      </w:r>
      <w:r>
        <w:rPr>
          <w:spacing w:val="16"/>
          <w:sz w:val="27"/>
          <w:szCs w:val="27"/>
        </w:rPr>
        <w:t>(</w:t>
      </w:r>
      <w:r>
        <w:rPr>
          <w:spacing w:val="16"/>
          <w:sz w:val="27"/>
          <w:szCs w:val="27"/>
        </w:rPr>
        <w:t>截至</w:t>
      </w:r>
      <w:r>
        <w:rPr>
          <w:spacing w:val="16"/>
          <w:sz w:val="27"/>
          <w:szCs w:val="27"/>
        </w:rPr>
        <w:t>2014</w:t>
      </w:r>
      <w:r>
        <w:rPr>
          <w:spacing w:val="16"/>
          <w:sz w:val="27"/>
          <w:szCs w:val="27"/>
        </w:rPr>
        <w:t>年</w:t>
      </w:r>
      <w:r>
        <w:rPr>
          <w:spacing w:val="16"/>
          <w:sz w:val="27"/>
          <w:szCs w:val="27"/>
        </w:rPr>
        <w:t>12</w:t>
      </w:r>
      <w:r>
        <w:rPr>
          <w:spacing w:val="16"/>
          <w:sz w:val="27"/>
          <w:szCs w:val="27"/>
        </w:rPr>
        <w:t>月</w:t>
      </w:r>
      <w:r>
        <w:rPr>
          <w:spacing w:val="16"/>
          <w:sz w:val="27"/>
          <w:szCs w:val="27"/>
        </w:rPr>
        <w:t>31</w:t>
      </w:r>
      <w:r>
        <w:rPr>
          <w:spacing w:val="16"/>
          <w:sz w:val="27"/>
          <w:szCs w:val="27"/>
        </w:rPr>
        <w:t>日</w:t>
      </w:r>
      <w:r>
        <w:rPr>
          <w:spacing w:val="16"/>
          <w:sz w:val="27"/>
          <w:szCs w:val="27"/>
        </w:rPr>
        <w:t>)</w:t>
      </w:r>
    </w:p>
    <w:p>
      <w:pPr>
        <w:pStyle w:val="Normal"/>
        <w:spacing w:lineRule="atLeast" w:line="350"/>
        <w:rPr>
          <w:spacing w:val="20"/>
          <w:sz w:val="27"/>
          <w:szCs w:val="27"/>
        </w:rPr>
      </w:pPr>
      <w:r>
        <w:rPr>
          <w:spacing w:val="20"/>
          <w:sz w:val="27"/>
          <w:szCs w:val="27"/>
        </w:rPr>
      </w:r>
    </w:p>
    <w:p>
      <w:pPr>
        <w:pStyle w:val="Normal"/>
        <w:spacing w:lineRule="atLeast" w:line="350"/>
        <w:rPr>
          <w:i/>
          <w:i/>
          <w:spacing w:val="20"/>
          <w:sz w:val="27"/>
          <w:szCs w:val="27"/>
        </w:rPr>
      </w:pPr>
      <w:r>
        <w:rPr>
          <w:i/>
          <w:spacing w:val="20"/>
          <w:sz w:val="27"/>
          <w:szCs w:val="27"/>
        </w:rPr>
        <w:t>使用煤氣的屋苑</w:t>
      </w:r>
      <w:r>
        <w:rPr>
          <w:i/>
          <w:spacing w:val="20"/>
          <w:sz w:val="27"/>
          <w:szCs w:val="27"/>
        </w:rPr>
        <w:t>(</w:t>
      </w:r>
      <w:r>
        <w:rPr>
          <w:i/>
          <w:spacing w:val="20"/>
          <w:sz w:val="27"/>
          <w:szCs w:val="27"/>
        </w:rPr>
        <w:t>共</w:t>
      </w:r>
      <w:r>
        <w:rPr>
          <w:i/>
          <w:spacing w:val="20"/>
          <w:sz w:val="27"/>
          <w:szCs w:val="27"/>
        </w:rPr>
        <w:t>133</w:t>
      </w:r>
      <w:r>
        <w:rPr>
          <w:i/>
          <w:spacing w:val="20"/>
          <w:sz w:val="27"/>
          <w:szCs w:val="27"/>
        </w:rPr>
        <w:t>個</w:t>
      </w:r>
      <w:r>
        <w:rPr>
          <w:i/>
          <w:spacing w:val="20"/>
          <w:sz w:val="27"/>
          <w:szCs w:val="27"/>
        </w:rPr>
        <w:t>)</w:t>
      </w:r>
    </w:p>
    <w:p>
      <w:pPr>
        <w:pStyle w:val="Normal"/>
        <w:spacing w:lineRule="atLeast" w:line="350"/>
        <w:rPr>
          <w:spacing w:val="20"/>
          <w:sz w:val="27"/>
          <w:szCs w:val="27"/>
        </w:rPr>
      </w:pPr>
      <w:r>
        <w:rPr>
          <w:spacing w:val="20"/>
          <w:sz w:val="27"/>
          <w:szCs w:val="27"/>
        </w:rPr>
      </w:r>
    </w:p>
    <w:p>
      <w:pPr>
        <w:pStyle w:val="Normal"/>
        <w:spacing w:lineRule="atLeast" w:line="350"/>
        <w:rPr>
          <w:spacing w:val="16"/>
          <w:sz w:val="27"/>
          <w:szCs w:val="27"/>
        </w:rPr>
      </w:pPr>
      <w:r>
        <w:rPr>
          <w:spacing w:val="16"/>
          <w:sz w:val="27"/>
          <w:szCs w:val="27"/>
        </w:rPr>
        <w:t>昌盛苑、祥和苑、清麗苑、青雅苑、青盛苑、青泰苑、青華苑、青宏苑、</w:t>
      </w:r>
      <w:r>
        <w:rPr>
          <w:spacing w:val="26"/>
          <w:sz w:val="27"/>
          <w:szCs w:val="27"/>
        </w:rPr>
        <w:t>彩峰苑、彩明苑</w:t>
      </w:r>
      <w:r>
        <w:rPr>
          <w:rStyle w:val="FootnoteAnchor"/>
          <w:spacing w:val="26"/>
          <w:sz w:val="27"/>
          <w:szCs w:val="27"/>
        </w:rPr>
        <w:footnoteReference w:customMarkFollows="1" w:id="7"/>
        <w:t>(1)</w:t>
      </w:r>
      <w:r>
        <w:rPr>
          <w:spacing w:val="26"/>
          <w:sz w:val="27"/>
          <w:szCs w:val="27"/>
        </w:rPr>
        <w:t>、彩蒲苑、俊民苑、振華苑、頌明苑、頌雅苑、</w:t>
      </w:r>
      <w:r>
        <w:rPr>
          <w:spacing w:val="16"/>
          <w:sz w:val="27"/>
          <w:szCs w:val="27"/>
        </w:rPr>
        <w:t>富強苑、鳳鑽苑、鳳禮苑、豐盛苑、鳳庭苑、幸俊苑、杏翠苑、顯明苑、曉麗苑、曉翠苑、浩明苑、康林苑、康雅苑、康柏苑、康瑞苑、康田苑、康華苑、康逸苑、康盈苑、鴻福苑、嘉徑苑、嘉強苑、嘉隆苑、嘉盛苑、嘉田苑、啟泰苑、佳翠苑、錦豐苑、錦禧苑、錦龍苑、錦鞍苑、錦泰苑、錦英苑、瓊軒苑、瓊麗苑、景明苑、景雅苑、瓊山苑、景盛苑、景田苑、景翠苑、高俊苑、葵俊苑、葵康苑、葵賢苑、廣林苑、廣明苑、鯉安苑、樂雅苑、龍蟠苑、龍德苑、龍欣苑、美城苑、美松苑、寧峰苑、安基苑、鵬程苑、寶熙苑、寶麗苑、寶明苑、寶雅苑、寶珮苑、新圍苑、山翠苑、順緻苑、兆禧苑、兆軒苑、兆康苑、兆畦苑、兆麟苑、兆隆苑、兆邦苑、穗禾苑、德強苑、德雅苑、天頌苑、天富苑、天麗苑、天馬苑、天愛苑、天盛苑、天宏苑、天祐苑、唐明苑、翠瑤苑、慈愛苑、慈安苑、東駿苑、東熹苑、東霖苑、東盛苑、東濤苑、東欣苑、東旭苑、和明苑、欣明苑、欣盛苑、茵翠苑、逸雅苑、油翠苑、怡靖苑、怡閣苑、怡雅苑、怡翠苑、怡峰苑、賢麗苑、盈福苑、英明苑、愉翠苑、裕明苑、裕東苑、漁暉苑、漁安苑、愉城苑、愉田苑、悅翠苑、悅麗苑、煜明苑。</w:t>
      </w:r>
      <w:r>
        <w:br w:type="page"/>
      </w:r>
    </w:p>
    <w:p>
      <w:pPr>
        <w:pStyle w:val="Normal"/>
        <w:spacing w:lineRule="atLeast" w:line="380"/>
        <w:rPr>
          <w:i/>
          <w:i/>
          <w:spacing w:val="20"/>
          <w:sz w:val="27"/>
          <w:szCs w:val="27"/>
        </w:rPr>
      </w:pPr>
      <w:r>
        <w:rPr>
          <w:i/>
          <w:spacing w:val="20"/>
          <w:sz w:val="27"/>
          <w:szCs w:val="27"/>
        </w:rPr>
        <w:t>使用中央石油氣的屋苑</w:t>
      </w:r>
      <w:r>
        <w:rPr>
          <w:i/>
          <w:spacing w:val="20"/>
          <w:sz w:val="27"/>
          <w:szCs w:val="27"/>
        </w:rPr>
        <w:t>(</w:t>
      </w:r>
      <w:r>
        <w:rPr>
          <w:i/>
          <w:spacing w:val="20"/>
          <w:sz w:val="27"/>
          <w:szCs w:val="27"/>
        </w:rPr>
        <w:t>共</w:t>
      </w:r>
      <w:r>
        <w:rPr>
          <w:i/>
          <w:spacing w:val="20"/>
          <w:sz w:val="27"/>
          <w:szCs w:val="27"/>
        </w:rPr>
        <w:t>10</w:t>
      </w:r>
      <w:r>
        <w:rPr>
          <w:i/>
          <w:spacing w:val="20"/>
          <w:sz w:val="27"/>
          <w:szCs w:val="27"/>
        </w:rPr>
        <w:t>個</w:t>
      </w:r>
      <w:r>
        <w:rPr>
          <w:i/>
          <w:spacing w:val="20"/>
          <w:sz w:val="27"/>
          <w:szCs w:val="27"/>
        </w:rPr>
        <w:t>)</w:t>
      </w:r>
    </w:p>
    <w:p>
      <w:pPr>
        <w:pStyle w:val="Normal"/>
        <w:spacing w:lineRule="atLeast" w:line="380"/>
        <w:rPr>
          <w:spacing w:val="20"/>
          <w:sz w:val="27"/>
          <w:szCs w:val="27"/>
        </w:rPr>
      </w:pPr>
      <w:r>
        <w:rPr>
          <w:spacing w:val="20"/>
          <w:sz w:val="27"/>
          <w:szCs w:val="27"/>
        </w:rPr>
      </w:r>
    </w:p>
    <w:p>
      <w:pPr>
        <w:pStyle w:val="Normal"/>
        <w:spacing w:lineRule="atLeast" w:line="380"/>
        <w:rPr>
          <w:spacing w:val="20"/>
          <w:sz w:val="27"/>
          <w:szCs w:val="27"/>
        </w:rPr>
      </w:pPr>
      <w:r>
        <w:rPr>
          <w:spacing w:val="16"/>
          <w:sz w:val="27"/>
          <w:szCs w:val="27"/>
        </w:rPr>
        <w:t>龍軒苑、明雅苑、安盛苑、坪麗苑、兆安苑、兆山苑、天利苑、汀雅苑、</w:t>
      </w:r>
      <w:r>
        <w:rPr>
          <w:spacing w:val="20"/>
          <w:sz w:val="27"/>
          <w:szCs w:val="27"/>
        </w:rPr>
        <w:t>宏福苑、旭埔苑。</w:t>
      </w:r>
    </w:p>
    <w:p>
      <w:pPr>
        <w:pStyle w:val="Normal"/>
        <w:spacing w:lineRule="atLeast" w:line="380"/>
        <w:rPr>
          <w:spacing w:val="20"/>
          <w:sz w:val="27"/>
          <w:szCs w:val="27"/>
        </w:rPr>
      </w:pPr>
      <w:r>
        <w:rPr>
          <w:spacing w:val="20"/>
          <w:sz w:val="27"/>
          <w:szCs w:val="27"/>
        </w:rPr>
      </w:r>
    </w:p>
    <w:p>
      <w:pPr>
        <w:pStyle w:val="Normal"/>
        <w:spacing w:lineRule="atLeast" w:line="380"/>
        <w:rPr>
          <w:spacing w:val="20"/>
          <w:sz w:val="27"/>
          <w:szCs w:val="27"/>
        </w:rPr>
      </w:pPr>
      <w:r>
        <w:rPr>
          <w:spacing w:val="20"/>
          <w:sz w:val="27"/>
          <w:szCs w:val="27"/>
        </w:rPr>
      </w:r>
    </w:p>
    <w:p>
      <w:pPr>
        <w:pStyle w:val="Normal"/>
        <w:tabs>
          <w:tab w:val="clear" w:pos="720"/>
        </w:tabs>
        <w:spacing w:lineRule="atLeast" w:line="380"/>
        <w:rPr>
          <w:spacing w:val="20"/>
          <w:sz w:val="27"/>
          <w:szCs w:val="27"/>
        </w:rPr>
      </w:pPr>
      <w:r>
        <w:rPr>
          <w:spacing w:val="20"/>
          <w:sz w:val="27"/>
          <w:szCs w:val="27"/>
        </w:rPr>
        <w:t>4.</w:t>
        <w:tab/>
      </w:r>
      <w:r>
        <w:rPr>
          <w:spacing w:val="20"/>
          <w:sz w:val="27"/>
          <w:szCs w:val="27"/>
        </w:rPr>
        <w:t>私人機構參建居屋計劃屋苑採用燃氣資料</w:t>
      </w:r>
      <w:r>
        <w:rPr>
          <w:spacing w:val="20"/>
          <w:sz w:val="27"/>
          <w:szCs w:val="27"/>
        </w:rPr>
        <w:t>(</w:t>
      </w:r>
      <w:r>
        <w:rPr>
          <w:spacing w:val="20"/>
          <w:sz w:val="27"/>
          <w:szCs w:val="27"/>
        </w:rPr>
        <w:t>截至</w:t>
      </w:r>
      <w:r>
        <w:rPr>
          <w:spacing w:val="20"/>
          <w:sz w:val="27"/>
          <w:szCs w:val="27"/>
        </w:rPr>
        <w:t>2014</w:t>
      </w:r>
      <w:r>
        <w:rPr>
          <w:spacing w:val="20"/>
          <w:sz w:val="27"/>
          <w:szCs w:val="27"/>
        </w:rPr>
        <w:t>年</w:t>
      </w:r>
      <w:r>
        <w:rPr>
          <w:spacing w:val="20"/>
          <w:sz w:val="27"/>
          <w:szCs w:val="27"/>
        </w:rPr>
        <w:t>12</w:t>
      </w:r>
      <w:r>
        <w:rPr>
          <w:spacing w:val="20"/>
          <w:sz w:val="27"/>
          <w:szCs w:val="27"/>
        </w:rPr>
        <w:t>月</w:t>
      </w:r>
      <w:r>
        <w:rPr>
          <w:spacing w:val="20"/>
          <w:sz w:val="27"/>
          <w:szCs w:val="27"/>
        </w:rPr>
        <w:t>31</w:t>
      </w:r>
      <w:r>
        <w:rPr>
          <w:spacing w:val="20"/>
          <w:sz w:val="27"/>
          <w:szCs w:val="27"/>
        </w:rPr>
        <w:t>日</w:t>
      </w:r>
      <w:r>
        <w:rPr>
          <w:spacing w:val="20"/>
          <w:sz w:val="27"/>
          <w:szCs w:val="27"/>
        </w:rPr>
        <w:t>)</w:t>
      </w:r>
    </w:p>
    <w:p>
      <w:pPr>
        <w:pStyle w:val="Normal"/>
        <w:spacing w:lineRule="atLeast" w:line="380"/>
        <w:rPr>
          <w:spacing w:val="20"/>
          <w:sz w:val="27"/>
          <w:szCs w:val="27"/>
        </w:rPr>
      </w:pPr>
      <w:r>
        <w:rPr>
          <w:spacing w:val="20"/>
          <w:sz w:val="27"/>
          <w:szCs w:val="27"/>
        </w:rPr>
      </w:r>
    </w:p>
    <w:p>
      <w:pPr>
        <w:pStyle w:val="Normal"/>
        <w:spacing w:lineRule="atLeast" w:line="380"/>
        <w:rPr>
          <w:i/>
          <w:i/>
          <w:spacing w:val="20"/>
          <w:sz w:val="27"/>
          <w:szCs w:val="27"/>
        </w:rPr>
      </w:pPr>
      <w:r>
        <w:rPr>
          <w:i/>
          <w:spacing w:val="20"/>
          <w:sz w:val="27"/>
          <w:szCs w:val="27"/>
        </w:rPr>
        <w:t>使用煤氣的屋苑</w:t>
      </w:r>
      <w:r>
        <w:rPr>
          <w:i/>
          <w:spacing w:val="20"/>
          <w:sz w:val="27"/>
          <w:szCs w:val="27"/>
        </w:rPr>
        <w:t>(</w:t>
      </w:r>
      <w:r>
        <w:rPr>
          <w:i/>
          <w:spacing w:val="20"/>
          <w:sz w:val="27"/>
          <w:szCs w:val="27"/>
        </w:rPr>
        <w:t>共</w:t>
      </w:r>
      <w:r>
        <w:rPr>
          <w:i/>
          <w:spacing w:val="20"/>
          <w:sz w:val="27"/>
          <w:szCs w:val="27"/>
        </w:rPr>
        <w:t>32</w:t>
      </w:r>
      <w:r>
        <w:rPr>
          <w:i/>
          <w:spacing w:val="20"/>
          <w:sz w:val="27"/>
          <w:szCs w:val="27"/>
        </w:rPr>
        <w:t>個</w:t>
      </w:r>
      <w:r>
        <w:rPr>
          <w:i/>
          <w:spacing w:val="20"/>
          <w:sz w:val="27"/>
          <w:szCs w:val="27"/>
        </w:rPr>
        <w:t>)</w:t>
      </w:r>
    </w:p>
    <w:p>
      <w:pPr>
        <w:pStyle w:val="Normal"/>
        <w:spacing w:lineRule="atLeast" w:line="380"/>
        <w:rPr>
          <w:spacing w:val="20"/>
          <w:sz w:val="27"/>
          <w:szCs w:val="27"/>
        </w:rPr>
      </w:pPr>
      <w:r>
        <w:rPr>
          <w:spacing w:val="20"/>
          <w:sz w:val="27"/>
          <w:szCs w:val="27"/>
        </w:rPr>
      </w:r>
    </w:p>
    <w:p>
      <w:pPr>
        <w:pStyle w:val="Normal"/>
        <w:spacing w:lineRule="atLeast" w:line="380"/>
        <w:rPr>
          <w:spacing w:val="20"/>
          <w:sz w:val="27"/>
          <w:szCs w:val="27"/>
        </w:rPr>
      </w:pPr>
      <w:r>
        <w:rPr>
          <w:spacing w:val="34"/>
          <w:sz w:val="27"/>
          <w:szCs w:val="27"/>
        </w:rPr>
        <w:t>愛蝶灣、寶盈花園、富康花園、雅濤閣、富榮花園、富怡花園、</w:t>
      </w:r>
      <w:r>
        <w:rPr>
          <w:spacing w:val="30"/>
          <w:sz w:val="27"/>
          <w:szCs w:val="27"/>
        </w:rPr>
        <w:t>富雅</w:t>
      </w:r>
      <w:r>
        <w:rPr>
          <w:spacing w:val="20"/>
          <w:sz w:val="27"/>
          <w:szCs w:val="27"/>
        </w:rPr>
        <w:t>花園、福安花園、富輝花園、富景花園、富健花園、宏景花園、富嘉花園、富欣花園、嘉峰臺、康山花園、樂軒臺、龍門居、逸港居、</w:t>
      </w:r>
      <w:r>
        <w:rPr>
          <w:spacing w:val="28"/>
          <w:sz w:val="27"/>
          <w:szCs w:val="27"/>
        </w:rPr>
        <w:t>安寧花園、采頤花園、富寶花園、海悅花園、南濤閣、新麗花園、順欣花園、翠寧花園、宏德居、榮輝中心、榮福中心、油塘中心、</w:t>
      </w:r>
      <w:r>
        <w:rPr>
          <w:spacing w:val="24"/>
          <w:sz w:val="27"/>
          <w:szCs w:val="27"/>
        </w:rPr>
        <w:t>悅</w:t>
      </w:r>
      <w:r>
        <w:rPr>
          <w:spacing w:val="20"/>
          <w:sz w:val="27"/>
          <w:szCs w:val="27"/>
        </w:rPr>
        <w:t>湖山莊。</w:t>
      </w:r>
    </w:p>
    <w:p>
      <w:pPr>
        <w:pStyle w:val="Normal"/>
        <w:spacing w:lineRule="atLeast" w:line="380"/>
        <w:rPr>
          <w:spacing w:val="20"/>
          <w:sz w:val="27"/>
          <w:szCs w:val="27"/>
        </w:rPr>
      </w:pPr>
      <w:r>
        <w:rPr>
          <w:spacing w:val="20"/>
          <w:sz w:val="27"/>
          <w:szCs w:val="27"/>
        </w:rPr>
      </w:r>
    </w:p>
    <w:p>
      <w:pPr>
        <w:pStyle w:val="Normal"/>
        <w:spacing w:lineRule="atLeast" w:line="380"/>
        <w:rPr>
          <w:i/>
          <w:i/>
          <w:spacing w:val="20"/>
          <w:sz w:val="27"/>
          <w:szCs w:val="27"/>
        </w:rPr>
      </w:pPr>
      <w:r>
        <w:rPr>
          <w:i/>
          <w:spacing w:val="20"/>
          <w:sz w:val="27"/>
          <w:szCs w:val="27"/>
        </w:rPr>
        <w:t>使用中央石油氣的屋苑</w:t>
      </w:r>
      <w:r>
        <w:rPr>
          <w:i/>
          <w:spacing w:val="20"/>
          <w:sz w:val="27"/>
          <w:szCs w:val="27"/>
        </w:rPr>
        <w:t>(</w:t>
      </w:r>
      <w:r>
        <w:rPr>
          <w:i/>
          <w:spacing w:val="20"/>
          <w:sz w:val="27"/>
          <w:szCs w:val="27"/>
        </w:rPr>
        <w:t>共</w:t>
      </w:r>
      <w:r>
        <w:rPr>
          <w:i/>
          <w:spacing w:val="20"/>
          <w:sz w:val="27"/>
          <w:szCs w:val="27"/>
        </w:rPr>
        <w:t>16</w:t>
      </w:r>
      <w:r>
        <w:rPr>
          <w:i/>
          <w:spacing w:val="20"/>
          <w:sz w:val="27"/>
          <w:szCs w:val="27"/>
        </w:rPr>
        <w:t>個</w:t>
      </w:r>
      <w:r>
        <w:rPr>
          <w:i/>
          <w:spacing w:val="20"/>
          <w:sz w:val="27"/>
          <w:szCs w:val="27"/>
        </w:rPr>
        <w:t>)</w:t>
      </w:r>
    </w:p>
    <w:p>
      <w:pPr>
        <w:pStyle w:val="Normal"/>
        <w:spacing w:lineRule="atLeast" w:line="380"/>
        <w:rPr>
          <w:spacing w:val="20"/>
          <w:sz w:val="27"/>
          <w:szCs w:val="27"/>
        </w:rPr>
      </w:pPr>
      <w:r>
        <w:rPr>
          <w:spacing w:val="20"/>
          <w:sz w:val="27"/>
          <w:szCs w:val="27"/>
        </w:rPr>
      </w:r>
    </w:p>
    <w:p>
      <w:pPr>
        <w:pStyle w:val="Normal"/>
        <w:spacing w:lineRule="atLeast" w:line="380"/>
        <w:rPr>
          <w:spacing w:val="20"/>
          <w:sz w:val="27"/>
          <w:szCs w:val="27"/>
        </w:rPr>
      </w:pPr>
      <w:r>
        <w:rPr>
          <w:spacing w:val="24"/>
          <w:sz w:val="27"/>
          <w:szCs w:val="27"/>
        </w:rPr>
        <w:t>澤豐花園、雲叠花園、富安花園、置樂花園、富寧花園、康翠臺、海福花園、康盛花園、美樂花園、樂翠臺、景峰花園、麗晶花園、新</w:t>
      </w:r>
      <w:r>
        <w:rPr>
          <w:spacing w:val="20"/>
          <w:sz w:val="27"/>
          <w:szCs w:val="27"/>
        </w:rPr>
        <w:t>興花園、大埔廣場、翠竹花園、翠麗花園。</w:t>
      </w:r>
    </w:p>
    <w:p>
      <w:pPr>
        <w:pStyle w:val="Normal"/>
        <w:spacing w:lineRule="atLeast" w:line="380"/>
        <w:rPr>
          <w:spacing w:val="20"/>
          <w:sz w:val="27"/>
          <w:szCs w:val="27"/>
        </w:rPr>
      </w:pPr>
      <w:r>
        <w:rPr>
          <w:spacing w:val="20"/>
          <w:sz w:val="27"/>
          <w:szCs w:val="27"/>
        </w:rPr>
      </w:r>
    </w:p>
    <w:p>
      <w:pPr>
        <w:pStyle w:val="Normal"/>
        <w:spacing w:lineRule="atLeast" w:line="380"/>
        <w:rPr>
          <w:spacing w:val="20"/>
          <w:sz w:val="27"/>
          <w:szCs w:val="27"/>
        </w:rPr>
      </w:pPr>
      <w:r>
        <w:rPr>
          <w:spacing w:val="20"/>
          <w:sz w:val="27"/>
          <w:szCs w:val="27"/>
        </w:rPr>
      </w:r>
    </w:p>
    <w:p>
      <w:pPr>
        <w:pStyle w:val="Normal"/>
        <w:tabs>
          <w:tab w:val="clear" w:pos="720"/>
        </w:tabs>
        <w:spacing w:lineRule="atLeast" w:line="380"/>
        <w:ind w:left="566" w:hanging="566"/>
        <w:rPr>
          <w:spacing w:val="20"/>
          <w:sz w:val="27"/>
          <w:szCs w:val="27"/>
        </w:rPr>
      </w:pPr>
      <w:r>
        <w:rPr>
          <w:spacing w:val="20"/>
          <w:sz w:val="27"/>
          <w:szCs w:val="27"/>
        </w:rPr>
        <w:t>5.</w:t>
        <w:tab/>
      </w:r>
      <w:r>
        <w:rPr>
          <w:spacing w:val="20"/>
          <w:sz w:val="27"/>
          <w:szCs w:val="27"/>
        </w:rPr>
        <w:t>可租可買計劃及重建置業計劃屋苑採用燃氣資料</w:t>
      </w:r>
      <w:r>
        <w:rPr>
          <w:spacing w:val="20"/>
          <w:sz w:val="27"/>
          <w:szCs w:val="27"/>
        </w:rPr>
        <w:t>(</w:t>
      </w:r>
      <w:r>
        <w:rPr>
          <w:spacing w:val="20"/>
          <w:sz w:val="27"/>
          <w:szCs w:val="27"/>
        </w:rPr>
        <w:t>截至</w:t>
      </w:r>
      <w:r>
        <w:rPr>
          <w:spacing w:val="20"/>
          <w:sz w:val="27"/>
          <w:szCs w:val="27"/>
        </w:rPr>
        <w:t>2014</w:t>
      </w:r>
      <w:r>
        <w:rPr>
          <w:spacing w:val="20"/>
          <w:sz w:val="27"/>
          <w:szCs w:val="27"/>
        </w:rPr>
        <w:t>年</w:t>
      </w:r>
      <w:r>
        <w:rPr>
          <w:spacing w:val="20"/>
          <w:sz w:val="27"/>
          <w:szCs w:val="27"/>
        </w:rPr>
        <w:t>12</w:t>
      </w:r>
      <w:r>
        <w:rPr>
          <w:spacing w:val="20"/>
          <w:sz w:val="27"/>
          <w:szCs w:val="27"/>
        </w:rPr>
        <w:t>月</w:t>
      </w:r>
      <w:r>
        <w:rPr>
          <w:spacing w:val="20"/>
          <w:sz w:val="27"/>
          <w:szCs w:val="27"/>
        </w:rPr>
        <w:t>31</w:t>
      </w:r>
      <w:r>
        <w:rPr>
          <w:spacing w:val="20"/>
          <w:sz w:val="27"/>
          <w:szCs w:val="27"/>
        </w:rPr>
        <w:t>日</w:t>
      </w:r>
      <w:r>
        <w:rPr>
          <w:spacing w:val="20"/>
          <w:sz w:val="27"/>
          <w:szCs w:val="27"/>
        </w:rPr>
        <w:t>)</w:t>
      </w:r>
    </w:p>
    <w:p>
      <w:pPr>
        <w:pStyle w:val="Normal"/>
        <w:spacing w:lineRule="atLeast" w:line="380"/>
        <w:rPr>
          <w:spacing w:val="20"/>
          <w:sz w:val="27"/>
          <w:szCs w:val="27"/>
        </w:rPr>
      </w:pPr>
      <w:r>
        <w:rPr>
          <w:spacing w:val="20"/>
          <w:sz w:val="27"/>
          <w:szCs w:val="27"/>
        </w:rPr>
      </w:r>
    </w:p>
    <w:p>
      <w:pPr>
        <w:pStyle w:val="Normal"/>
        <w:spacing w:lineRule="atLeast" w:line="380"/>
        <w:rPr>
          <w:i/>
          <w:i/>
          <w:spacing w:val="20"/>
          <w:sz w:val="27"/>
          <w:szCs w:val="27"/>
        </w:rPr>
      </w:pPr>
      <w:r>
        <w:rPr>
          <w:i/>
          <w:spacing w:val="20"/>
          <w:sz w:val="27"/>
          <w:szCs w:val="27"/>
        </w:rPr>
        <w:t>使用煤氣的屋苑</w:t>
      </w:r>
      <w:r>
        <w:rPr>
          <w:i/>
          <w:spacing w:val="20"/>
          <w:sz w:val="27"/>
          <w:szCs w:val="27"/>
        </w:rPr>
        <w:t>(</w:t>
      </w:r>
      <w:r>
        <w:rPr>
          <w:i/>
          <w:spacing w:val="20"/>
          <w:sz w:val="27"/>
          <w:szCs w:val="27"/>
        </w:rPr>
        <w:t>共</w:t>
      </w:r>
      <w:r>
        <w:rPr>
          <w:i/>
          <w:spacing w:val="20"/>
          <w:sz w:val="27"/>
          <w:szCs w:val="27"/>
        </w:rPr>
        <w:t>6</w:t>
      </w:r>
      <w:r>
        <w:rPr>
          <w:i/>
          <w:spacing w:val="20"/>
          <w:sz w:val="27"/>
          <w:szCs w:val="27"/>
        </w:rPr>
        <w:t>個</w:t>
      </w:r>
      <w:r>
        <w:rPr>
          <w:i/>
          <w:spacing w:val="20"/>
          <w:sz w:val="27"/>
          <w:szCs w:val="27"/>
        </w:rPr>
        <w:t>)</w:t>
      </w:r>
    </w:p>
    <w:p>
      <w:pPr>
        <w:pStyle w:val="Normal"/>
        <w:spacing w:lineRule="atLeast" w:line="380"/>
        <w:rPr>
          <w:spacing w:val="20"/>
          <w:sz w:val="27"/>
          <w:szCs w:val="27"/>
        </w:rPr>
      </w:pPr>
      <w:r>
        <w:rPr>
          <w:spacing w:val="20"/>
          <w:sz w:val="27"/>
          <w:szCs w:val="27"/>
        </w:rPr>
      </w:r>
    </w:p>
    <w:p>
      <w:pPr>
        <w:pStyle w:val="Normal"/>
        <w:spacing w:lineRule="atLeast" w:line="380"/>
        <w:rPr>
          <w:spacing w:val="20"/>
          <w:sz w:val="27"/>
          <w:szCs w:val="27"/>
        </w:rPr>
      </w:pPr>
      <w:r>
        <w:rPr>
          <w:spacing w:val="20"/>
          <w:sz w:val="27"/>
          <w:szCs w:val="27"/>
        </w:rPr>
        <w:t>海富苑</w:t>
      </w:r>
      <w:r>
        <w:rPr>
          <w:rStyle w:val="FootnoteAnchor"/>
          <w:spacing w:val="20"/>
          <w:sz w:val="27"/>
          <w:szCs w:val="27"/>
        </w:rPr>
        <w:footnoteReference w:customMarkFollows="1" w:id="8"/>
        <w:t>(2)</w:t>
      </w:r>
      <w:r>
        <w:rPr>
          <w:spacing w:val="20"/>
          <w:sz w:val="27"/>
          <w:szCs w:val="27"/>
        </w:rPr>
        <w:t>、康強苑、冠暉苑、冠熹苑、荔欣苑、雍盛苑</w:t>
      </w:r>
      <w:r>
        <w:rPr>
          <w:rStyle w:val="FootnoteAnchor"/>
          <w:spacing w:val="20"/>
          <w:sz w:val="27"/>
          <w:szCs w:val="27"/>
        </w:rPr>
        <w:footnoteReference w:customMarkFollows="1" w:id="9"/>
        <w:t>(3)</w:t>
      </w:r>
      <w:r>
        <w:rPr>
          <w:spacing w:val="20"/>
          <w:sz w:val="27"/>
          <w:szCs w:val="27"/>
        </w:rPr>
        <w:t>。</w:t>
      </w:r>
    </w:p>
    <w:p>
      <w:pPr>
        <w:pStyle w:val="Normal"/>
        <w:widowControl/>
        <w:tabs>
          <w:tab w:val="clear" w:pos="720"/>
        </w:tabs>
        <w:spacing w:lineRule="auto" w:line="276" w:before="0" w:after="200"/>
        <w:jc w:val="left"/>
        <w:rPr>
          <w:spacing w:val="20"/>
          <w:sz w:val="27"/>
          <w:szCs w:val="27"/>
        </w:rPr>
      </w:pPr>
      <w:r>
        <w:rPr>
          <w:spacing w:val="20"/>
          <w:sz w:val="27"/>
          <w:szCs w:val="27"/>
        </w:rPr>
      </w:r>
      <w:r>
        <w:br w:type="page"/>
      </w:r>
    </w:p>
    <w:p>
      <w:pPr>
        <w:pStyle w:val="Normal"/>
        <w:tabs>
          <w:tab w:val="clear" w:pos="720"/>
        </w:tabs>
        <w:spacing w:lineRule="atLeast" w:line="320"/>
        <w:rPr>
          <w:spacing w:val="20"/>
          <w:sz w:val="27"/>
          <w:szCs w:val="27"/>
        </w:rPr>
      </w:pPr>
      <w:r>
        <w:rPr>
          <w:spacing w:val="20"/>
          <w:sz w:val="27"/>
          <w:szCs w:val="27"/>
        </w:rPr>
        <w:t>6.</w:t>
        <w:tab/>
      </w:r>
      <w:r>
        <w:rPr>
          <w:spacing w:val="20"/>
          <w:sz w:val="27"/>
          <w:szCs w:val="27"/>
        </w:rPr>
        <w:t>香港房屋協會轄下的資助房屋採用燃氣資料</w:t>
      </w:r>
    </w:p>
    <w:p>
      <w:pPr>
        <w:pStyle w:val="Normal"/>
        <w:spacing w:lineRule="atLeast" w:line="320"/>
        <w:rPr>
          <w:spacing w:val="20"/>
          <w:sz w:val="27"/>
          <w:szCs w:val="27"/>
        </w:rPr>
      </w:pPr>
      <w:r>
        <w:rPr>
          <w:spacing w:val="20"/>
          <w:sz w:val="27"/>
          <w:szCs w:val="27"/>
        </w:rPr>
      </w:r>
    </w:p>
    <w:p>
      <w:pPr>
        <w:pStyle w:val="Normal"/>
        <w:spacing w:lineRule="atLeast" w:line="320"/>
        <w:rPr>
          <w:i/>
          <w:i/>
          <w:spacing w:val="20"/>
          <w:sz w:val="27"/>
          <w:szCs w:val="27"/>
        </w:rPr>
      </w:pPr>
      <w:r>
        <w:rPr>
          <w:i/>
          <w:spacing w:val="20"/>
          <w:sz w:val="27"/>
          <w:szCs w:val="27"/>
        </w:rPr>
        <w:t>使用煤氣的屋邨／屋苑</w:t>
      </w:r>
      <w:r>
        <w:rPr>
          <w:i/>
          <w:spacing w:val="20"/>
          <w:sz w:val="27"/>
          <w:szCs w:val="27"/>
        </w:rPr>
        <w:t>(</w:t>
      </w:r>
      <w:r>
        <w:rPr>
          <w:i/>
          <w:spacing w:val="20"/>
          <w:sz w:val="27"/>
          <w:szCs w:val="27"/>
        </w:rPr>
        <w:t>共</w:t>
      </w:r>
      <w:r>
        <w:rPr>
          <w:i/>
          <w:spacing w:val="20"/>
          <w:sz w:val="27"/>
          <w:szCs w:val="27"/>
        </w:rPr>
        <w:t>26</w:t>
      </w:r>
      <w:r>
        <w:rPr>
          <w:i/>
          <w:spacing w:val="20"/>
          <w:sz w:val="27"/>
          <w:szCs w:val="27"/>
        </w:rPr>
        <w:t>個</w:t>
      </w:r>
      <w:r>
        <w:rPr>
          <w:i/>
          <w:spacing w:val="20"/>
          <w:sz w:val="27"/>
          <w:szCs w:val="27"/>
        </w:rPr>
        <w:t>)</w:t>
      </w:r>
    </w:p>
    <w:p>
      <w:pPr>
        <w:pStyle w:val="Normal"/>
        <w:spacing w:lineRule="atLeast" w:line="320"/>
        <w:rPr>
          <w:spacing w:val="20"/>
          <w:sz w:val="27"/>
          <w:szCs w:val="27"/>
        </w:rPr>
      </w:pPr>
      <w:r>
        <w:rPr>
          <w:spacing w:val="20"/>
          <w:sz w:val="27"/>
          <w:szCs w:val="27"/>
        </w:rPr>
      </w:r>
    </w:p>
    <w:p>
      <w:pPr>
        <w:pStyle w:val="Normal"/>
        <w:spacing w:lineRule="atLeast" w:line="320"/>
        <w:rPr>
          <w:spacing w:val="20"/>
          <w:sz w:val="27"/>
          <w:szCs w:val="27"/>
        </w:rPr>
      </w:pPr>
      <w:r>
        <w:rPr>
          <w:spacing w:val="20"/>
          <w:sz w:val="27"/>
          <w:szCs w:val="27"/>
        </w:rPr>
        <w:t>寶石大廈、偉景花園、祖堯邨、真善美村、健康村、乙明邨、家維邨、</w:t>
      </w:r>
      <w:r>
        <w:rPr>
          <w:spacing w:val="34"/>
          <w:sz w:val="27"/>
          <w:szCs w:val="27"/>
        </w:rPr>
        <w:t>觀龍樓、明華大廈、滿樂大廈、駿發花園、茵怡花園、漁光村、</w:t>
      </w:r>
      <w:r>
        <w:rPr>
          <w:spacing w:val="28"/>
          <w:sz w:val="27"/>
          <w:szCs w:val="27"/>
        </w:rPr>
        <w:t>樂年</w:t>
      </w:r>
      <w:r>
        <w:rPr>
          <w:spacing w:val="20"/>
          <w:sz w:val="27"/>
          <w:szCs w:val="27"/>
        </w:rPr>
        <w:t>花園、啟德花園、景新臺、雅景臺、晴碧花園、旭輝臺、叠翠軒、宏褔花園、芊紅居、悅海華庭、悅庭軒、欣圖軒、浩景臺。</w:t>
      </w:r>
    </w:p>
    <w:p>
      <w:pPr>
        <w:pStyle w:val="Normal"/>
        <w:spacing w:lineRule="atLeast" w:line="320"/>
        <w:rPr>
          <w:spacing w:val="20"/>
          <w:sz w:val="27"/>
          <w:szCs w:val="27"/>
        </w:rPr>
      </w:pPr>
      <w:r>
        <w:rPr>
          <w:spacing w:val="20"/>
          <w:sz w:val="27"/>
          <w:szCs w:val="27"/>
        </w:rPr>
      </w:r>
    </w:p>
    <w:p>
      <w:pPr>
        <w:pStyle w:val="Normal"/>
        <w:spacing w:lineRule="atLeast" w:line="320"/>
        <w:rPr>
          <w:i/>
          <w:i/>
          <w:spacing w:val="20"/>
          <w:sz w:val="27"/>
          <w:szCs w:val="27"/>
        </w:rPr>
      </w:pPr>
      <w:r>
        <w:rPr>
          <w:i/>
          <w:spacing w:val="20"/>
          <w:sz w:val="27"/>
          <w:szCs w:val="27"/>
        </w:rPr>
        <w:t>使用中央石油氣的屋邨／屋苑</w:t>
      </w:r>
      <w:r>
        <w:rPr>
          <w:i/>
          <w:spacing w:val="20"/>
          <w:sz w:val="27"/>
          <w:szCs w:val="27"/>
        </w:rPr>
        <w:t>(</w:t>
      </w:r>
      <w:r>
        <w:rPr>
          <w:i/>
          <w:spacing w:val="20"/>
          <w:sz w:val="27"/>
          <w:szCs w:val="27"/>
        </w:rPr>
        <w:t>共</w:t>
      </w:r>
      <w:r>
        <w:rPr>
          <w:i/>
          <w:spacing w:val="20"/>
          <w:sz w:val="27"/>
          <w:szCs w:val="27"/>
        </w:rPr>
        <w:t>6</w:t>
      </w:r>
      <w:r>
        <w:rPr>
          <w:i/>
          <w:spacing w:val="20"/>
          <w:sz w:val="27"/>
          <w:szCs w:val="27"/>
        </w:rPr>
        <w:t>個</w:t>
      </w:r>
      <w:r>
        <w:rPr>
          <w:i/>
          <w:spacing w:val="20"/>
          <w:sz w:val="27"/>
          <w:szCs w:val="27"/>
        </w:rPr>
        <w:t>)</w:t>
      </w:r>
    </w:p>
    <w:p>
      <w:pPr>
        <w:pStyle w:val="Normal"/>
        <w:spacing w:lineRule="atLeast" w:line="320"/>
        <w:rPr>
          <w:spacing w:val="20"/>
          <w:sz w:val="27"/>
          <w:szCs w:val="27"/>
        </w:rPr>
      </w:pPr>
      <w:r>
        <w:rPr>
          <w:spacing w:val="20"/>
          <w:sz w:val="27"/>
          <w:szCs w:val="27"/>
        </w:rPr>
      </w:r>
    </w:p>
    <w:p>
      <w:pPr>
        <w:pStyle w:val="Normal"/>
        <w:spacing w:lineRule="atLeast" w:line="320"/>
        <w:rPr>
          <w:spacing w:val="20"/>
          <w:sz w:val="27"/>
          <w:szCs w:val="27"/>
        </w:rPr>
      </w:pPr>
      <w:r>
        <w:rPr>
          <w:spacing w:val="34"/>
          <w:sz w:val="27"/>
          <w:szCs w:val="27"/>
        </w:rPr>
        <w:t>祈德尊新邨、觀塘花園大廈、勵德邨、翠塘花園、樂民新村、沙頭角</w:t>
      </w:r>
      <w:r>
        <w:rPr>
          <w:spacing w:val="20"/>
          <w:sz w:val="27"/>
          <w:szCs w:val="27"/>
        </w:rPr>
        <w:t>邨。</w:t>
      </w:r>
    </w:p>
    <w:p>
      <w:pPr>
        <w:pStyle w:val="Normal"/>
        <w:spacing w:lineRule="atLeast" w:line="320"/>
        <w:rPr>
          <w:spacing w:val="20"/>
          <w:sz w:val="27"/>
          <w:szCs w:val="27"/>
        </w:rPr>
      </w:pPr>
      <w:r>
        <w:rPr>
          <w:spacing w:val="20"/>
          <w:sz w:val="27"/>
          <w:szCs w:val="27"/>
        </w:rPr>
      </w:r>
    </w:p>
    <w:p>
      <w:pPr>
        <w:pStyle w:val="Normal"/>
        <w:spacing w:lineRule="atLeast" w:line="320"/>
        <w:rPr>
          <w:spacing w:val="20"/>
          <w:sz w:val="27"/>
          <w:szCs w:val="27"/>
        </w:rPr>
      </w:pPr>
      <w:r>
        <w:rPr>
          <w:spacing w:val="20"/>
          <w:sz w:val="27"/>
          <w:szCs w:val="27"/>
        </w:rPr>
        <w:t>另外，對面海邨使用的家用燃料為樽裝石油氣。</w:t>
      </w:r>
    </w:p>
    <w:p>
      <w:pPr>
        <w:pStyle w:val="F21"/>
        <w:spacing w:lineRule="atLeast" w:line="320"/>
        <w:rPr>
          <w:rFonts w:cs="Times New Roman"/>
          <w:lang w:val="en-GB"/>
        </w:rPr>
      </w:pPr>
      <w:r>
        <w:rPr>
          <w:rFonts w:cs="Times New Roman"/>
          <w:lang w:val="en-GB"/>
        </w:rPr>
      </w:r>
    </w:p>
    <w:p>
      <w:pPr>
        <w:pStyle w:val="F21"/>
        <w:spacing w:lineRule="atLeast" w:line="320"/>
        <w:rPr>
          <w:rFonts w:cs="Times New Roman"/>
        </w:rPr>
      </w:pPr>
      <w:r>
        <w:rPr>
          <w:rFonts w:cs="Times New Roman"/>
        </w:rPr>
      </w:r>
    </w:p>
    <w:p>
      <w:pPr>
        <w:pStyle w:val="F21"/>
        <w:spacing w:lineRule="atLeast" w:line="320"/>
        <w:rPr>
          <w:rFonts w:eastAsia="華康中黑體" w:cs="Times New Roman"/>
          <w:b/>
          <w:b/>
        </w:rPr>
      </w:pPr>
      <w:bookmarkStart w:id="46" w:name="wrq17"/>
      <w:r>
        <w:rPr>
          <w:rFonts w:cs="Times New Roman" w:eastAsia="華康中黑體"/>
          <w:b/>
        </w:rPr>
        <w:t>公民教育活動資助計劃</w:t>
      </w:r>
    </w:p>
    <w:p>
      <w:pPr>
        <w:pStyle w:val="Normal"/>
        <w:spacing w:lineRule="atLeast" w:line="320"/>
        <w:rPr>
          <w:b/>
          <w:b/>
        </w:rPr>
      </w:pPr>
      <w:bookmarkStart w:id="47" w:name="wrq17"/>
      <w:r>
        <w:rPr>
          <w:b/>
        </w:rPr>
        <w:t>Community Participation Scheme</w:t>
      </w:r>
      <w:bookmarkEnd w:id="47"/>
    </w:p>
    <w:p>
      <w:pPr>
        <w:pStyle w:val="F21"/>
        <w:spacing w:lineRule="atLeast" w:line="320"/>
        <w:rPr>
          <w:rFonts w:cs="Times New Roman"/>
        </w:rPr>
      </w:pPr>
      <w:r>
        <w:rPr>
          <w:rFonts w:cs="Times New Roman"/>
        </w:rPr>
      </w:r>
    </w:p>
    <w:p>
      <w:pPr>
        <w:pStyle w:val="F21"/>
        <w:widowControl/>
        <w:spacing w:lineRule="atLeast" w:line="320"/>
        <w:rPr>
          <w:i/>
          <w:i/>
          <w:szCs w:val="27"/>
        </w:rPr>
      </w:pPr>
      <w:r>
        <w:rPr>
          <w:rFonts w:eastAsia="華康中黑體"/>
          <w:b/>
          <w:szCs w:val="27"/>
        </w:rPr>
        <w:t>17.</w:t>
        <w:tab/>
      </w:r>
      <w:r>
        <w:rPr>
          <w:rFonts w:eastAsia="華康中黑體"/>
          <w:b/>
          <w:szCs w:val="27"/>
        </w:rPr>
        <w:t>陳家洛議員</w:t>
      </w:r>
      <w:r>
        <w:rPr>
          <w:szCs w:val="27"/>
        </w:rPr>
        <w:t>：</w:t>
      </w:r>
      <w:r>
        <w:rPr>
          <w:i/>
          <w:szCs w:val="27"/>
        </w:rPr>
        <w:t>主席，公民教育委員會</w:t>
      </w:r>
      <w:r>
        <w:rPr>
          <w:i/>
          <w:szCs w:val="27"/>
        </w:rPr>
        <w:t>(“</w:t>
      </w:r>
      <w:r>
        <w:rPr>
          <w:i/>
          <w:szCs w:val="27"/>
        </w:rPr>
        <w:t>委員會”</w:t>
      </w:r>
      <w:r>
        <w:rPr>
          <w:i/>
          <w:szCs w:val="27"/>
        </w:rPr>
        <w:t>)</w:t>
      </w:r>
      <w:r>
        <w:rPr>
          <w:i/>
          <w:szCs w:val="27"/>
        </w:rPr>
        <w:t>每年推行公民教育活動資助計劃</w:t>
      </w:r>
      <w:r>
        <w:rPr>
          <w:i/>
          <w:szCs w:val="27"/>
        </w:rPr>
        <w:t>(“</w:t>
      </w:r>
      <w:r>
        <w:rPr>
          <w:i/>
          <w:szCs w:val="27"/>
        </w:rPr>
        <w:t>資助計劃”</w:t>
      </w:r>
      <w:r>
        <w:rPr>
          <w:i/>
          <w:szCs w:val="27"/>
        </w:rPr>
        <w:t>)</w:t>
      </w:r>
      <w:r>
        <w:rPr>
          <w:i/>
          <w:szCs w:val="27"/>
        </w:rPr>
        <w:t>，資助不同的團體舉辦公民教育活動。受資助的活動涵蓋國民教育、推廣《基本法》及人權教育等課題。委員會轄下的研發、社區參與及管理小組</w:t>
      </w:r>
      <w:r>
        <w:rPr>
          <w:i/>
          <w:szCs w:val="27"/>
        </w:rPr>
        <w:t>(“</w:t>
      </w:r>
      <w:r>
        <w:rPr>
          <w:i/>
          <w:szCs w:val="27"/>
        </w:rPr>
        <w:t>審批小組”</w:t>
      </w:r>
      <w:r>
        <w:rPr>
          <w:i/>
          <w:szCs w:val="27"/>
        </w:rPr>
        <w:t>)</w:t>
      </w:r>
      <w:r>
        <w:rPr>
          <w:i/>
          <w:szCs w:val="27"/>
        </w:rPr>
        <w:t>負責審批資助申請。就此，政府可否告知本會：</w:t>
      </w:r>
    </w:p>
    <w:p>
      <w:pPr>
        <w:pStyle w:val="F21"/>
        <w:widowControl/>
        <w:spacing w:lineRule="atLeast" w:line="320"/>
        <w:rPr>
          <w:i/>
          <w:i/>
          <w:szCs w:val="27"/>
        </w:rPr>
      </w:pPr>
      <w:r>
        <w:rPr>
          <w:i/>
          <w:szCs w:val="27"/>
        </w:rPr>
      </w:r>
    </w:p>
    <w:p>
      <w:pPr>
        <w:pStyle w:val="Style13"/>
        <w:widowControl/>
        <w:spacing w:lineRule="atLeast" w:line="320"/>
        <w:rPr>
          <w:szCs w:val="27"/>
        </w:rPr>
      </w:pPr>
      <w:r>
        <w:rPr>
          <w:szCs w:val="27"/>
        </w:rPr>
        <w:t>(</w:t>
      </w:r>
      <w:r>
        <w:rPr>
          <w:szCs w:val="27"/>
        </w:rPr>
        <w:t>一</w:t>
      </w:r>
      <w:r>
        <w:rPr>
          <w:szCs w:val="27"/>
        </w:rPr>
        <w:t>)</w:t>
        <w:tab/>
      </w:r>
      <w:r>
        <w:rPr>
          <w:szCs w:val="27"/>
        </w:rPr>
        <w:t>過去</w:t>
      </w:r>
      <w:r>
        <w:rPr>
          <w:szCs w:val="27"/>
        </w:rPr>
        <w:t>3</w:t>
      </w:r>
      <w:r>
        <w:rPr>
          <w:szCs w:val="27"/>
        </w:rPr>
        <w:t>年，獲資助計劃資助的活動的名稱、舉辦日期、性質、內容、對象、參與人數及獲資助款額等詳情是甚麼</w:t>
      </w:r>
      <w:r>
        <w:rPr>
          <w:szCs w:val="27"/>
        </w:rPr>
        <w:t>(</w:t>
      </w:r>
      <w:r>
        <w:rPr>
          <w:szCs w:val="27"/>
        </w:rPr>
        <w:t>以表列出</w:t>
      </w:r>
      <w:r>
        <w:rPr>
          <w:szCs w:val="27"/>
        </w:rPr>
        <w:t>)</w:t>
      </w:r>
      <w:r>
        <w:rPr>
          <w:szCs w:val="27"/>
        </w:rPr>
        <w:t>；</w:t>
      </w:r>
    </w:p>
    <w:p>
      <w:pPr>
        <w:pStyle w:val="Style13"/>
        <w:widowControl/>
        <w:spacing w:lineRule="atLeast" w:line="320"/>
        <w:rPr>
          <w:szCs w:val="27"/>
        </w:rPr>
      </w:pPr>
      <w:r>
        <w:rPr>
          <w:szCs w:val="27"/>
        </w:rPr>
      </w:r>
    </w:p>
    <w:p>
      <w:pPr>
        <w:pStyle w:val="Style13"/>
        <w:widowControl/>
        <w:spacing w:lineRule="atLeast" w:line="320"/>
        <w:rPr>
          <w:szCs w:val="27"/>
        </w:rPr>
      </w:pPr>
      <w:r>
        <w:rPr>
          <w:szCs w:val="27"/>
        </w:rPr>
        <w:t>(</w:t>
      </w:r>
      <w:r>
        <w:rPr>
          <w:szCs w:val="27"/>
        </w:rPr>
        <w:t>二</w:t>
      </w:r>
      <w:r>
        <w:rPr>
          <w:szCs w:val="27"/>
        </w:rPr>
        <w:t>)</w:t>
        <w:tab/>
      </w:r>
      <w:r>
        <w:rPr>
          <w:szCs w:val="27"/>
        </w:rPr>
        <w:t>資助計劃的申請程序，以及審批的程序和準則是甚麼；及</w:t>
      </w:r>
    </w:p>
    <w:p>
      <w:pPr>
        <w:pStyle w:val="Style13"/>
        <w:widowControl/>
        <w:spacing w:lineRule="atLeast" w:line="320"/>
        <w:rPr>
          <w:szCs w:val="27"/>
        </w:rPr>
      </w:pPr>
      <w:r>
        <w:rPr>
          <w:szCs w:val="27"/>
        </w:rPr>
      </w:r>
    </w:p>
    <w:p>
      <w:pPr>
        <w:pStyle w:val="Style13"/>
        <w:widowControl/>
        <w:spacing w:lineRule="atLeast" w:line="320"/>
        <w:rPr>
          <w:szCs w:val="27"/>
        </w:rPr>
      </w:pPr>
      <w:r>
        <w:rPr>
          <w:szCs w:val="27"/>
        </w:rPr>
        <w:t>(</w:t>
      </w:r>
      <w:r>
        <w:rPr>
          <w:szCs w:val="27"/>
        </w:rPr>
        <w:t>三</w:t>
      </w:r>
      <w:r>
        <w:rPr>
          <w:szCs w:val="27"/>
        </w:rPr>
        <w:t>)</w:t>
        <w:tab/>
      </w:r>
      <w:r>
        <w:rPr>
          <w:szCs w:val="27"/>
        </w:rPr>
        <w:t>審批小組在過去</w:t>
      </w:r>
      <w:r>
        <w:rPr>
          <w:szCs w:val="27"/>
        </w:rPr>
        <w:t>3</w:t>
      </w:r>
      <w:r>
        <w:rPr>
          <w:szCs w:val="27"/>
        </w:rPr>
        <w:t>年的成員名單，以及其利益申報機制的詳情是甚麼？</w:t>
      </w:r>
    </w:p>
    <w:p>
      <w:pPr>
        <w:pStyle w:val="Style13"/>
        <w:widowControl/>
        <w:spacing w:lineRule="atLeast" w:line="320"/>
        <w:ind w:left="0" w:hanging="0"/>
        <w:rPr>
          <w:szCs w:val="27"/>
        </w:rPr>
      </w:pPr>
      <w:r>
        <w:rPr>
          <w:szCs w:val="27"/>
        </w:rPr>
      </w:r>
    </w:p>
    <w:p>
      <w:pPr>
        <w:pStyle w:val="Style13"/>
        <w:widowControl/>
        <w:spacing w:lineRule="atLeast" w:line="320"/>
        <w:ind w:left="0" w:hanging="0"/>
        <w:rPr>
          <w:szCs w:val="27"/>
        </w:rPr>
      </w:pPr>
      <w:r>
        <w:rPr>
          <w:szCs w:val="27"/>
        </w:rPr>
      </w:r>
    </w:p>
    <w:p>
      <w:pPr>
        <w:pStyle w:val="Style13"/>
        <w:widowControl/>
        <w:spacing w:lineRule="atLeast" w:line="320"/>
        <w:ind w:left="0" w:hanging="0"/>
        <w:rPr>
          <w:i w:val="false"/>
          <w:i w:val="false"/>
          <w:szCs w:val="27"/>
        </w:rPr>
      </w:pPr>
      <w:r>
        <w:rPr>
          <w:rFonts w:eastAsia="華康中黑體"/>
          <w:b/>
          <w:i w:val="false"/>
          <w:szCs w:val="27"/>
        </w:rPr>
        <w:t>民政事務局局長</w:t>
      </w:r>
      <w:r>
        <w:rPr>
          <w:i w:val="false"/>
          <w:szCs w:val="27"/>
        </w:rPr>
        <w:t>：主席，就陳議員提出的</w:t>
      </w:r>
      <w:r>
        <w:rPr>
          <w:i w:val="false"/>
          <w:szCs w:val="27"/>
        </w:rPr>
        <w:t>3</w:t>
      </w:r>
      <w:r>
        <w:rPr>
          <w:i w:val="false"/>
          <w:szCs w:val="27"/>
        </w:rPr>
        <w:t>項質詢，現答覆如下：</w:t>
      </w:r>
    </w:p>
    <w:p>
      <w:pPr>
        <w:pStyle w:val="Style13"/>
        <w:widowControl/>
        <w:spacing w:lineRule="atLeast" w:line="320"/>
        <w:ind w:left="0" w:hanging="0"/>
        <w:rPr>
          <w:i w:val="false"/>
          <w:i w:val="false"/>
          <w:szCs w:val="27"/>
        </w:rPr>
      </w:pPr>
      <w:r>
        <w:rPr>
          <w:i w:val="false"/>
          <w:szCs w:val="27"/>
        </w:rPr>
      </w:r>
    </w:p>
    <w:p>
      <w:pPr>
        <w:pStyle w:val="Style13"/>
        <w:widowControl/>
        <w:spacing w:lineRule="atLeast" w:line="320"/>
        <w:rPr>
          <w:i w:val="false"/>
          <w:i w:val="false"/>
          <w:szCs w:val="27"/>
        </w:rPr>
      </w:pPr>
      <w:r>
        <w:rPr>
          <w:i w:val="false"/>
          <w:szCs w:val="27"/>
        </w:rPr>
        <w:t>(</w:t>
      </w:r>
      <w:r>
        <w:rPr>
          <w:i w:val="false"/>
          <w:szCs w:val="27"/>
        </w:rPr>
        <w:t>一</w:t>
      </w:r>
      <w:r>
        <w:rPr>
          <w:i w:val="false"/>
          <w:szCs w:val="27"/>
        </w:rPr>
        <w:t>)</w:t>
        <w:tab/>
      </w:r>
      <w:r>
        <w:rPr>
          <w:i w:val="false"/>
          <w:szCs w:val="27"/>
        </w:rPr>
        <w:t>公民教育委員會通過公民教育活動資助計劃向社區團體提供資助，以舉辦活動推廣公民教育。項目包括各種活動，例如工作坊、探訪、表演、講座、展覽、嘉年華會等。</w:t>
      </w:r>
      <w:r>
        <w:rPr>
          <w:i w:val="false"/>
          <w:szCs w:val="27"/>
        </w:rPr>
        <w:t>2012-2013</w:t>
      </w:r>
      <w:r>
        <w:rPr>
          <w:i w:val="false"/>
          <w:szCs w:val="27"/>
        </w:rPr>
        <w:t>年度、</w:t>
      </w:r>
      <w:r>
        <w:rPr>
          <w:i w:val="false"/>
          <w:szCs w:val="27"/>
        </w:rPr>
        <w:t>2013-2014</w:t>
      </w:r>
      <w:r>
        <w:rPr>
          <w:i w:val="false"/>
          <w:szCs w:val="27"/>
        </w:rPr>
        <w:t>年度及</w:t>
      </w:r>
      <w:r>
        <w:rPr>
          <w:i w:val="false"/>
          <w:szCs w:val="27"/>
        </w:rPr>
        <w:t>2014-2015</w:t>
      </w:r>
      <w:r>
        <w:rPr>
          <w:i w:val="false"/>
          <w:szCs w:val="27"/>
        </w:rPr>
        <w:t>年度獲資助的活動資料詳列於附件一、二及三。</w:t>
      </w:r>
    </w:p>
    <w:p>
      <w:pPr>
        <w:pStyle w:val="Style13"/>
        <w:widowControl/>
        <w:spacing w:lineRule="atLeast" w:line="370"/>
        <w:rPr>
          <w:i w:val="false"/>
          <w:i w:val="false"/>
          <w:szCs w:val="27"/>
        </w:rPr>
      </w:pPr>
      <w:r>
        <w:rPr>
          <w:i w:val="false"/>
          <w:szCs w:val="27"/>
        </w:rPr>
      </w:r>
    </w:p>
    <w:p>
      <w:pPr>
        <w:pStyle w:val="Style13"/>
        <w:widowControl/>
        <w:spacing w:lineRule="atLeast" w:line="370"/>
        <w:rPr>
          <w:i w:val="false"/>
          <w:i w:val="false"/>
          <w:szCs w:val="27"/>
        </w:rPr>
      </w:pPr>
      <w:r>
        <w:rPr>
          <w:i w:val="false"/>
          <w:szCs w:val="27"/>
        </w:rPr>
        <w:t>(</w:t>
      </w:r>
      <w:r>
        <w:rPr>
          <w:i w:val="false"/>
          <w:szCs w:val="27"/>
        </w:rPr>
        <w:t>二</w:t>
      </w:r>
      <w:r>
        <w:rPr>
          <w:i w:val="false"/>
          <w:szCs w:val="27"/>
        </w:rPr>
        <w:t>)</w:t>
        <w:tab/>
      </w:r>
      <w:r>
        <w:rPr>
          <w:i w:val="false"/>
          <w:szCs w:val="27"/>
        </w:rPr>
        <w:t>公民教育委員會轄下的研發、社區參與及管理小組</w:t>
      </w:r>
      <w:r>
        <w:rPr>
          <w:i w:val="false"/>
          <w:szCs w:val="27"/>
        </w:rPr>
        <w:t>(</w:t>
      </w:r>
      <w:r>
        <w:rPr>
          <w:i w:val="false"/>
          <w:szCs w:val="27"/>
        </w:rPr>
        <w:t>下稱“審批小組”</w:t>
      </w:r>
      <w:r>
        <w:rPr>
          <w:i w:val="false"/>
          <w:szCs w:val="27"/>
        </w:rPr>
        <w:t>)</w:t>
      </w:r>
      <w:r>
        <w:rPr>
          <w:i w:val="false"/>
          <w:szCs w:val="27"/>
        </w:rPr>
        <w:t>負責策劃及推行公民教育活動資助計劃。審批小組會根據公布的準則，包括建議項目的創意、規模、宣傳方法等，評審有關資助申請。</w:t>
      </w:r>
    </w:p>
    <w:p>
      <w:pPr>
        <w:pStyle w:val="Style13"/>
        <w:widowControl/>
        <w:spacing w:lineRule="atLeast" w:line="370"/>
        <w:rPr>
          <w:i w:val="false"/>
          <w:i w:val="false"/>
          <w:szCs w:val="27"/>
        </w:rPr>
      </w:pPr>
      <w:r>
        <w:rPr>
          <w:i w:val="false"/>
          <w:szCs w:val="27"/>
        </w:rPr>
      </w:r>
    </w:p>
    <w:p>
      <w:pPr>
        <w:pStyle w:val="Style13"/>
        <w:widowControl/>
        <w:spacing w:lineRule="atLeast" w:line="370"/>
        <w:rPr>
          <w:i w:val="false"/>
          <w:i w:val="false"/>
          <w:szCs w:val="27"/>
        </w:rPr>
      </w:pPr>
      <w:r>
        <w:rPr>
          <w:i w:val="false"/>
          <w:szCs w:val="27"/>
        </w:rPr>
        <w:t>(</w:t>
      </w:r>
      <w:r>
        <w:rPr>
          <w:i w:val="false"/>
          <w:szCs w:val="27"/>
        </w:rPr>
        <w:t>三</w:t>
      </w:r>
      <w:r>
        <w:rPr>
          <w:i w:val="false"/>
          <w:szCs w:val="27"/>
        </w:rPr>
        <w:t>)</w:t>
        <w:tab/>
      </w:r>
      <w:r>
        <w:rPr>
          <w:i w:val="false"/>
          <w:szCs w:val="27"/>
        </w:rPr>
        <w:t>審批小組由公民教育委員會內的官方及非官方委員組成，過去</w:t>
      </w:r>
      <w:r>
        <w:rPr>
          <w:i w:val="false"/>
          <w:szCs w:val="27"/>
        </w:rPr>
        <w:t>3</w:t>
      </w:r>
      <w:r>
        <w:rPr>
          <w:i w:val="false"/>
          <w:szCs w:val="27"/>
        </w:rPr>
        <w:t>年的成員名單見附件四。公民教育委員會在申報利益方面採用兩層申報利益制度，規定成員在加入委員會時披露其一般金錢利益，並於參與討論申請的會議前再申報利益，與申請團體有利益衝突的委員不會被安排審批相關申請。</w:t>
      </w:r>
    </w:p>
    <w:p>
      <w:pPr>
        <w:pStyle w:val="Normal"/>
        <w:widowControl/>
        <w:snapToGrid w:val="false"/>
        <w:spacing w:lineRule="atLeast" w:line="370"/>
        <w:rPr>
          <w:spacing w:val="20"/>
          <w:sz w:val="27"/>
          <w:szCs w:val="27"/>
        </w:rPr>
      </w:pPr>
      <w:r>
        <w:rPr>
          <w:spacing w:val="20"/>
          <w:sz w:val="27"/>
          <w:szCs w:val="27"/>
        </w:rPr>
      </w:r>
    </w:p>
    <w:p>
      <w:pPr>
        <w:pStyle w:val="Normal"/>
        <w:widowControl/>
        <w:snapToGrid w:val="false"/>
        <w:spacing w:lineRule="atLeast" w:line="370"/>
        <w:rPr>
          <w:spacing w:val="20"/>
          <w:sz w:val="27"/>
          <w:szCs w:val="27"/>
        </w:rPr>
      </w:pPr>
      <w:r>
        <w:rPr>
          <w:spacing w:val="20"/>
          <w:sz w:val="27"/>
          <w:szCs w:val="27"/>
        </w:rPr>
      </w:r>
    </w:p>
    <w:p>
      <w:pPr>
        <w:pStyle w:val="Normal"/>
        <w:widowControl/>
        <w:snapToGrid w:val="false"/>
        <w:spacing w:lineRule="atLeast" w:line="370"/>
        <w:jc w:val="right"/>
        <w:rPr>
          <w:spacing w:val="20"/>
          <w:sz w:val="27"/>
          <w:szCs w:val="27"/>
        </w:rPr>
      </w:pPr>
      <w:r>
        <w:rPr>
          <w:spacing w:val="20"/>
          <w:sz w:val="27"/>
          <w:szCs w:val="27"/>
        </w:rPr>
        <w:t>附件一</w:t>
      </w:r>
    </w:p>
    <w:p>
      <w:pPr>
        <w:pStyle w:val="Normal"/>
        <w:widowControl/>
        <w:snapToGrid w:val="false"/>
        <w:spacing w:lineRule="atLeast" w:line="370"/>
        <w:jc w:val="right"/>
        <w:rPr>
          <w:spacing w:val="20"/>
          <w:sz w:val="27"/>
          <w:szCs w:val="27"/>
        </w:rPr>
      </w:pPr>
      <w:r>
        <w:rPr>
          <w:spacing w:val="20"/>
          <w:sz w:val="27"/>
          <w:szCs w:val="27"/>
        </w:rPr>
      </w:r>
    </w:p>
    <w:p>
      <w:pPr>
        <w:pStyle w:val="Normal"/>
        <w:widowControl/>
        <w:snapToGrid w:val="false"/>
        <w:spacing w:lineRule="atLeast" w:line="370"/>
        <w:jc w:val="center"/>
        <w:rPr>
          <w:spacing w:val="20"/>
          <w:sz w:val="27"/>
          <w:szCs w:val="27"/>
        </w:rPr>
      </w:pPr>
      <w:r>
        <w:rPr>
          <w:spacing w:val="20"/>
          <w:sz w:val="27"/>
          <w:szCs w:val="27"/>
        </w:rPr>
        <w:t>2012-2013</w:t>
      </w:r>
      <w:r>
        <w:rPr>
          <w:spacing w:val="20"/>
          <w:sz w:val="27"/>
          <w:szCs w:val="27"/>
        </w:rPr>
        <w:t>年度在公民教育活動資助計劃下獲批資助的項目</w:t>
      </w:r>
    </w:p>
    <w:p>
      <w:pPr>
        <w:pStyle w:val="Normal"/>
        <w:widowControl/>
        <w:snapToGrid w:val="false"/>
        <w:spacing w:lineRule="atLeast" w:line="370"/>
        <w:jc w:val="center"/>
        <w:rPr>
          <w:spacing w:val="20"/>
          <w:sz w:val="27"/>
          <w:szCs w:val="27"/>
        </w:rPr>
      </w:pPr>
      <w:r>
        <w:rPr>
          <w:spacing w:val="20"/>
          <w:sz w:val="27"/>
          <w:szCs w:val="27"/>
        </w:rPr>
      </w:r>
    </w:p>
    <w:tbl>
      <w:tblPr>
        <w:tblStyle w:val="a9"/>
        <w:tblW w:w="4950" w:type="pct"/>
        <w:jc w:val="left"/>
        <w:tblInd w:w="0" w:type="dxa"/>
        <w:tblCellMar>
          <w:top w:w="0" w:type="dxa"/>
          <w:left w:w="108" w:type="dxa"/>
          <w:bottom w:w="0" w:type="dxa"/>
          <w:right w:w="108" w:type="dxa"/>
        </w:tblCellMar>
        <w:tblLook w:val="01e0" w:noHBand="0" w:noVBand="0" w:firstColumn="1" w:lastRow="1" w:lastColumn="1" w:firstRow="1"/>
      </w:tblPr>
      <w:tblGrid>
        <w:gridCol w:w="597"/>
        <w:gridCol w:w="2840"/>
        <w:gridCol w:w="2842"/>
        <w:gridCol w:w="2840"/>
      </w:tblGrid>
      <w:tr>
        <w:trPr>
          <w:tblHeader w:val="true"/>
        </w:trPr>
        <w:tc>
          <w:tcPr>
            <w:tcW w:w="597" w:type="dxa"/>
            <w:tcBorders/>
          </w:tcPr>
          <w:p>
            <w:pPr>
              <w:pStyle w:val="Normal"/>
              <w:widowControl/>
              <w:snapToGrid w:val="false"/>
              <w:spacing w:lineRule="exact" w:line="320"/>
              <w:ind w:left="57" w:right="57" w:hanging="0"/>
              <w:rPr>
                <w:spacing w:val="20"/>
                <w:sz w:val="27"/>
                <w:szCs w:val="27"/>
              </w:rPr>
            </w:pPr>
            <w:r>
              <w:rPr>
                <w:spacing w:val="20"/>
                <w:sz w:val="27"/>
                <w:szCs w:val="27"/>
              </w:rPr>
            </w:r>
          </w:p>
        </w:tc>
        <w:tc>
          <w:tcPr>
            <w:tcW w:w="2840" w:type="dxa"/>
            <w:tcBorders/>
          </w:tcPr>
          <w:p>
            <w:pPr>
              <w:pStyle w:val="Normal"/>
              <w:widowControl/>
              <w:snapToGrid w:val="false"/>
              <w:spacing w:lineRule="exact" w:line="320"/>
              <w:ind w:left="57" w:right="57" w:hanging="0"/>
              <w:jc w:val="center"/>
              <w:rPr>
                <w:i/>
                <w:i/>
                <w:spacing w:val="20"/>
                <w:sz w:val="27"/>
                <w:szCs w:val="27"/>
              </w:rPr>
            </w:pPr>
            <w:r>
              <w:rPr>
                <w:i/>
                <w:spacing w:val="20"/>
                <w:sz w:val="27"/>
                <w:szCs w:val="27"/>
              </w:rPr>
              <w:t>機構名稱</w:t>
            </w:r>
            <w:r>
              <w:rPr>
                <w:i/>
                <w:spacing w:val="20"/>
                <w:sz w:val="27"/>
                <w:szCs w:val="27"/>
                <w:vertAlign w:val="superscript"/>
              </w:rPr>
              <w:t>#</w:t>
            </w:r>
          </w:p>
        </w:tc>
        <w:tc>
          <w:tcPr>
            <w:tcW w:w="2842" w:type="dxa"/>
            <w:tcBorders/>
          </w:tcPr>
          <w:p>
            <w:pPr>
              <w:pStyle w:val="Normal"/>
              <w:widowControl/>
              <w:snapToGrid w:val="false"/>
              <w:spacing w:lineRule="exact" w:line="320"/>
              <w:ind w:left="57" w:right="57" w:hanging="0"/>
              <w:jc w:val="center"/>
              <w:rPr>
                <w:i/>
                <w:i/>
                <w:spacing w:val="20"/>
                <w:sz w:val="27"/>
                <w:szCs w:val="27"/>
              </w:rPr>
            </w:pPr>
            <w:r>
              <w:rPr>
                <w:i/>
                <w:spacing w:val="20"/>
                <w:sz w:val="27"/>
                <w:szCs w:val="27"/>
              </w:rPr>
              <w:t>項目名稱</w:t>
            </w:r>
            <w:r>
              <w:rPr>
                <w:i/>
                <w:spacing w:val="20"/>
                <w:sz w:val="27"/>
                <w:szCs w:val="27"/>
                <w:vertAlign w:val="superscript"/>
              </w:rPr>
              <w:t>#</w:t>
            </w:r>
          </w:p>
        </w:tc>
        <w:tc>
          <w:tcPr>
            <w:tcW w:w="2840" w:type="dxa"/>
            <w:tcBorders/>
          </w:tcPr>
          <w:p>
            <w:pPr>
              <w:pStyle w:val="Normal"/>
              <w:widowControl/>
              <w:snapToGrid w:val="false"/>
              <w:spacing w:lineRule="exact" w:line="320"/>
              <w:ind w:left="57" w:right="57" w:hanging="0"/>
              <w:jc w:val="center"/>
              <w:rPr>
                <w:i/>
                <w:i/>
                <w:spacing w:val="20"/>
                <w:sz w:val="27"/>
                <w:szCs w:val="27"/>
              </w:rPr>
            </w:pPr>
            <w:r>
              <w:rPr>
                <w:i/>
                <w:spacing w:val="20"/>
                <w:sz w:val="27"/>
                <w:szCs w:val="27"/>
              </w:rPr>
              <w:t>獲批資助金額</w:t>
            </w:r>
            <w:r>
              <w:rPr>
                <w:i/>
                <w:spacing w:val="20"/>
                <w:sz w:val="27"/>
                <w:szCs w:val="27"/>
              </w:rPr>
              <w:t>(</w:t>
            </w:r>
            <w:r>
              <w:rPr>
                <w:i/>
                <w:spacing w:val="20"/>
                <w:sz w:val="27"/>
                <w:szCs w:val="27"/>
              </w:rPr>
              <w:t>元</w:t>
            </w:r>
            <w:r>
              <w:rPr>
                <w:i/>
                <w:spacing w:val="20"/>
                <w:sz w:val="27"/>
                <w:szCs w:val="27"/>
              </w:rPr>
              <w:t>)</w:t>
            </w:r>
          </w:p>
        </w:tc>
      </w:tr>
      <w:tr>
        <w:trPr/>
        <w:tc>
          <w:tcPr>
            <w:tcW w:w="597"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1</w:t>
            </w:r>
          </w:p>
        </w:tc>
        <w:tc>
          <w:tcPr>
            <w:tcW w:w="2840" w:type="dxa"/>
            <w:tcBorders/>
          </w:tcPr>
          <w:p>
            <w:pPr>
              <w:pStyle w:val="Normal"/>
              <w:widowControl/>
              <w:snapToGrid w:val="false"/>
              <w:spacing w:lineRule="exact" w:line="320"/>
              <w:ind w:left="57" w:right="57" w:hanging="0"/>
              <w:rPr>
                <w:spacing w:val="20"/>
                <w:sz w:val="27"/>
                <w:szCs w:val="27"/>
              </w:rPr>
            </w:pPr>
            <w:r>
              <w:rPr>
                <w:spacing w:val="20"/>
                <w:sz w:val="27"/>
                <w:szCs w:val="27"/>
              </w:rPr>
              <w:t>Roundtable Community Limited uRounders 2011-2012</w:t>
            </w:r>
          </w:p>
        </w:tc>
        <w:tc>
          <w:tcPr>
            <w:tcW w:w="2842" w:type="dxa"/>
            <w:tcBorders/>
          </w:tcPr>
          <w:p>
            <w:pPr>
              <w:pStyle w:val="Normal"/>
              <w:widowControl/>
              <w:snapToGrid w:val="false"/>
              <w:spacing w:lineRule="exact" w:line="320"/>
              <w:ind w:left="57" w:right="57" w:hanging="0"/>
              <w:rPr>
                <w:spacing w:val="20"/>
                <w:sz w:val="27"/>
                <w:szCs w:val="27"/>
              </w:rPr>
            </w:pPr>
            <w:r>
              <w:rPr>
                <w:spacing w:val="20"/>
                <w:sz w:val="27"/>
                <w:szCs w:val="27"/>
              </w:rPr>
              <w:t>暑期青少年培訓計劃</w:t>
            </w:r>
            <w:r>
              <w:rPr>
                <w:spacing w:val="20"/>
                <w:sz w:val="27"/>
                <w:szCs w:val="27"/>
              </w:rPr>
              <w:t>Global Elites 2012</w:t>
            </w:r>
          </w:p>
        </w:tc>
        <w:tc>
          <w:tcPr>
            <w:tcW w:w="2840"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298,855</w:t>
            </w:r>
          </w:p>
        </w:tc>
      </w:tr>
      <w:tr>
        <w:trPr/>
        <w:tc>
          <w:tcPr>
            <w:tcW w:w="597"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2</w:t>
            </w:r>
          </w:p>
        </w:tc>
        <w:tc>
          <w:tcPr>
            <w:tcW w:w="2840" w:type="dxa"/>
            <w:tcBorders/>
          </w:tcPr>
          <w:p>
            <w:pPr>
              <w:pStyle w:val="Normal"/>
              <w:widowControl/>
              <w:snapToGrid w:val="false"/>
              <w:spacing w:lineRule="exact" w:line="320"/>
              <w:ind w:left="57" w:right="57" w:hanging="0"/>
              <w:rPr>
                <w:spacing w:val="20"/>
                <w:sz w:val="27"/>
                <w:szCs w:val="27"/>
              </w:rPr>
            </w:pPr>
            <w:r>
              <w:rPr>
                <w:spacing w:val="20"/>
                <w:sz w:val="27"/>
                <w:szCs w:val="27"/>
              </w:rPr>
              <w:t>中華錫安傳道會有限公司 慈雲山錫安青少年綜合服務中心</w:t>
            </w:r>
          </w:p>
        </w:tc>
        <w:tc>
          <w:tcPr>
            <w:tcW w:w="2842" w:type="dxa"/>
            <w:tcBorders/>
          </w:tcPr>
          <w:p>
            <w:pPr>
              <w:pStyle w:val="Normal"/>
              <w:widowControl/>
              <w:snapToGrid w:val="false"/>
              <w:spacing w:lineRule="exact" w:line="320"/>
              <w:ind w:left="57" w:right="57" w:hanging="0"/>
              <w:rPr>
                <w:spacing w:val="20"/>
                <w:sz w:val="27"/>
                <w:szCs w:val="27"/>
              </w:rPr>
            </w:pPr>
            <w:r>
              <w:rPr>
                <w:spacing w:val="20"/>
                <w:sz w:val="27"/>
                <w:szCs w:val="27"/>
              </w:rPr>
              <w:t>翱翔新世代─正能量關愛社區計劃</w:t>
            </w:r>
          </w:p>
        </w:tc>
        <w:tc>
          <w:tcPr>
            <w:tcW w:w="2840"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137,400</w:t>
            </w:r>
          </w:p>
        </w:tc>
      </w:tr>
      <w:tr>
        <w:trPr/>
        <w:tc>
          <w:tcPr>
            <w:tcW w:w="597"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3</w:t>
            </w:r>
          </w:p>
        </w:tc>
        <w:tc>
          <w:tcPr>
            <w:tcW w:w="2840" w:type="dxa"/>
            <w:tcBorders/>
          </w:tcPr>
          <w:p>
            <w:pPr>
              <w:pStyle w:val="Normal"/>
              <w:widowControl/>
              <w:snapToGrid w:val="false"/>
              <w:spacing w:lineRule="exact" w:line="320"/>
              <w:ind w:left="57" w:right="57" w:hanging="0"/>
              <w:rPr>
                <w:spacing w:val="20"/>
                <w:sz w:val="27"/>
                <w:szCs w:val="27"/>
              </w:rPr>
            </w:pPr>
            <w:r>
              <w:rPr>
                <w:spacing w:val="20"/>
                <w:sz w:val="27"/>
                <w:szCs w:val="27"/>
              </w:rPr>
              <w:t>心晴行動慈善基金有限公司</w:t>
            </w:r>
          </w:p>
        </w:tc>
        <w:tc>
          <w:tcPr>
            <w:tcW w:w="2842" w:type="dxa"/>
            <w:tcBorders/>
          </w:tcPr>
          <w:p>
            <w:pPr>
              <w:pStyle w:val="Normal"/>
              <w:widowControl/>
              <w:snapToGrid w:val="false"/>
              <w:spacing w:lineRule="exact" w:line="320"/>
              <w:ind w:left="57" w:right="57" w:hanging="0"/>
              <w:rPr>
                <w:spacing w:val="20"/>
                <w:sz w:val="27"/>
                <w:szCs w:val="27"/>
              </w:rPr>
            </w:pPr>
            <w:r>
              <w:rPr>
                <w:spacing w:val="20"/>
                <w:sz w:val="27"/>
                <w:szCs w:val="27"/>
              </w:rPr>
              <w:t>“</w:t>
            </w:r>
            <w:r>
              <w:rPr>
                <w:spacing w:val="20"/>
                <w:sz w:val="27"/>
                <w:szCs w:val="27"/>
              </w:rPr>
              <w:t>校園計劃”─情緒睇真</w:t>
            </w:r>
            <w:r>
              <w:rPr>
                <w:spacing w:val="20"/>
                <w:sz w:val="27"/>
                <w:szCs w:val="27"/>
              </w:rPr>
              <w:t>D</w:t>
            </w:r>
            <w:r>
              <w:rPr>
                <w:spacing w:val="20"/>
                <w:sz w:val="27"/>
                <w:szCs w:val="27"/>
              </w:rPr>
              <w:t>講座、延伸及支援項目</w:t>
            </w:r>
          </w:p>
        </w:tc>
        <w:tc>
          <w:tcPr>
            <w:tcW w:w="2840"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300,000</w:t>
            </w:r>
          </w:p>
        </w:tc>
      </w:tr>
      <w:tr>
        <w:trPr/>
        <w:tc>
          <w:tcPr>
            <w:tcW w:w="597"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4</w:t>
            </w:r>
          </w:p>
        </w:tc>
        <w:tc>
          <w:tcPr>
            <w:tcW w:w="2840" w:type="dxa"/>
            <w:tcBorders/>
          </w:tcPr>
          <w:p>
            <w:pPr>
              <w:pStyle w:val="Normal"/>
              <w:widowControl/>
              <w:snapToGrid w:val="false"/>
              <w:spacing w:lineRule="exact" w:line="320"/>
              <w:ind w:left="57" w:right="57" w:hanging="0"/>
              <w:rPr>
                <w:spacing w:val="20"/>
                <w:sz w:val="27"/>
                <w:szCs w:val="27"/>
              </w:rPr>
            </w:pPr>
            <w:r>
              <w:rPr>
                <w:spacing w:val="20"/>
                <w:sz w:val="27"/>
                <w:szCs w:val="27"/>
              </w:rPr>
              <w:t>明光社</w:t>
            </w:r>
          </w:p>
        </w:tc>
        <w:tc>
          <w:tcPr>
            <w:tcW w:w="2842" w:type="dxa"/>
            <w:tcBorders/>
          </w:tcPr>
          <w:p>
            <w:pPr>
              <w:pStyle w:val="Normal"/>
              <w:widowControl/>
              <w:snapToGrid w:val="false"/>
              <w:spacing w:lineRule="exact" w:line="320"/>
              <w:ind w:left="57" w:right="57" w:hanging="0"/>
              <w:rPr>
                <w:spacing w:val="20"/>
                <w:sz w:val="27"/>
                <w:szCs w:val="27"/>
              </w:rPr>
            </w:pPr>
            <w:r>
              <w:rPr>
                <w:spacing w:val="20"/>
                <w:sz w:val="27"/>
                <w:szCs w:val="27"/>
              </w:rPr>
              <w:t>難為“權。責”定分界？─推廣青少年認識道德及公民責任計劃</w:t>
            </w:r>
          </w:p>
        </w:tc>
        <w:tc>
          <w:tcPr>
            <w:tcW w:w="2840"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212,145</w:t>
            </w:r>
          </w:p>
        </w:tc>
      </w:tr>
      <w:tr>
        <w:trPr/>
        <w:tc>
          <w:tcPr>
            <w:tcW w:w="597"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5</w:t>
            </w:r>
          </w:p>
        </w:tc>
        <w:tc>
          <w:tcPr>
            <w:tcW w:w="2840" w:type="dxa"/>
            <w:tcBorders/>
          </w:tcPr>
          <w:p>
            <w:pPr>
              <w:pStyle w:val="Normal"/>
              <w:widowControl/>
              <w:snapToGrid w:val="false"/>
              <w:spacing w:lineRule="exact" w:line="320"/>
              <w:ind w:left="57" w:right="57" w:hanging="0"/>
              <w:rPr>
                <w:spacing w:val="20"/>
                <w:sz w:val="27"/>
                <w:szCs w:val="27"/>
              </w:rPr>
            </w:pPr>
            <w:r>
              <w:rPr>
                <w:spacing w:val="20"/>
                <w:sz w:val="27"/>
                <w:szCs w:val="27"/>
              </w:rPr>
              <w:t>東華三院 黃竹坑服務綜合大樓</w:t>
            </w:r>
          </w:p>
        </w:tc>
        <w:tc>
          <w:tcPr>
            <w:tcW w:w="2842" w:type="dxa"/>
            <w:tcBorders/>
          </w:tcPr>
          <w:p>
            <w:pPr>
              <w:pStyle w:val="Normal"/>
              <w:widowControl/>
              <w:snapToGrid w:val="false"/>
              <w:spacing w:lineRule="exact" w:line="320"/>
              <w:ind w:left="57" w:right="57" w:hanging="0"/>
              <w:rPr>
                <w:spacing w:val="20"/>
                <w:sz w:val="27"/>
                <w:szCs w:val="27"/>
              </w:rPr>
            </w:pPr>
            <w:r>
              <w:rPr>
                <w:spacing w:val="20"/>
                <w:sz w:val="27"/>
                <w:szCs w:val="27"/>
              </w:rPr>
              <w:t>愛滿紛─生命關愛網絡推廣計劃</w:t>
            </w:r>
          </w:p>
        </w:tc>
        <w:tc>
          <w:tcPr>
            <w:tcW w:w="2840" w:type="dxa"/>
            <w:tcBorders/>
          </w:tcPr>
          <w:p>
            <w:pPr>
              <w:pStyle w:val="Normal"/>
              <w:widowControl/>
              <w:snapToGrid w:val="false"/>
              <w:spacing w:lineRule="exact" w:line="320"/>
              <w:ind w:left="57" w:right="57" w:hanging="0"/>
              <w:jc w:val="center"/>
              <w:rPr>
                <w:spacing w:val="20"/>
                <w:sz w:val="27"/>
                <w:szCs w:val="27"/>
              </w:rPr>
            </w:pPr>
            <w:r>
              <w:rPr>
                <w:spacing w:val="20"/>
                <w:sz w:val="27"/>
                <w:szCs w:val="27"/>
              </w:rPr>
              <w:t>189,053</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6</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東華三院 余墨緣綜合服務中心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愛香港”青年齊建共融社會計劃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130,146</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7</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致遠文化服務有限公司 大中華青年在線</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齊齊坐，說說法─中港兩地專家座談《基本法》</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231,500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8</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香港中文大學 成長綠洲</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傷健同心 關懷社群 觸動你心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112,962</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9</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香港中華文化發展聯合會有限公司</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墨子行動：結合墨家兼愛精神與義工訓練計劃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154,000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10</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香港中華基督教青年會 石硤尾會所</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V-Banking 2012</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167,974</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11</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香港兆基創意書院</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打開戲流平台</w:t>
            </w:r>
            <w:r>
              <w:rPr>
                <w:rFonts w:ascii="華康細明體" w:hAnsi="華康細明體"/>
                <w:spacing w:val="20"/>
                <w:sz w:val="27"/>
                <w:szCs w:val="27"/>
              </w:rPr>
              <w:t>•</w:t>
            </w:r>
            <w:r>
              <w:rPr>
                <w:spacing w:val="20"/>
                <w:sz w:val="27"/>
                <w:szCs w:val="27"/>
              </w:rPr>
              <w:t>“愛自己</w:t>
            </w:r>
            <w:r>
              <w:rPr>
                <w:rFonts w:ascii="華康細明體" w:hAnsi="華康細明體"/>
                <w:spacing w:val="20"/>
                <w:sz w:val="27"/>
                <w:szCs w:val="27"/>
              </w:rPr>
              <w:t>•</w:t>
            </w:r>
            <w:r>
              <w:rPr>
                <w:spacing w:val="20"/>
                <w:sz w:val="27"/>
                <w:szCs w:val="27"/>
              </w:rPr>
              <w:t>愛家人</w:t>
            </w:r>
            <w:r>
              <w:rPr>
                <w:rFonts w:ascii="華康細明體" w:hAnsi="華康細明體"/>
                <w:spacing w:val="20"/>
                <w:sz w:val="27"/>
                <w:szCs w:val="27"/>
              </w:rPr>
              <w:t>•</w:t>
            </w:r>
            <w:r>
              <w:rPr>
                <w:spacing w:val="20"/>
                <w:sz w:val="27"/>
                <w:szCs w:val="27"/>
              </w:rPr>
              <w:t>愛香港</w:t>
            </w:r>
            <w:r>
              <w:rPr>
                <w:rFonts w:ascii="華康細明體" w:hAnsi="華康細明體"/>
                <w:spacing w:val="20"/>
                <w:sz w:val="27"/>
                <w:szCs w:val="27"/>
              </w:rPr>
              <w:t>•</w:t>
            </w:r>
            <w:r>
              <w:rPr>
                <w:spacing w:val="20"/>
                <w:sz w:val="27"/>
                <w:szCs w:val="27"/>
              </w:rPr>
              <w:t>愛國家”青年戲劇比賽</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187,230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12</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香港西區婦女福利會 松鶴老人中心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耆青共懷香港情</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110,584</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13</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香港青少年服務處 賽馬會麗城綜合青少年服務中心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愛“德”起</w:t>
            </w:r>
            <w:r>
              <w:rPr>
                <w:rFonts w:ascii="華康細明體" w:hAnsi="華康細明體"/>
                <w:spacing w:val="20"/>
                <w:sz w:val="27"/>
                <w:szCs w:val="27"/>
              </w:rPr>
              <w:t>•</w:t>
            </w:r>
            <w:r>
              <w:rPr>
                <w:spacing w:val="20"/>
                <w:sz w:val="27"/>
                <w:szCs w:val="27"/>
              </w:rPr>
              <w:t>關懷行動</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117,268</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14</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香港青少年領袖發展協會 社會服務委員會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第三屆飛躍社會服務領袖計劃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236,490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15</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香港青少年領袖發展協會 香港模擬立法會籌委會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第五屆香港模擬立法會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277,776</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16</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香港青年交流之友有限公司</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夢想舞台</w:t>
            </w:r>
            <w:r>
              <w:rPr>
                <w:spacing w:val="20"/>
                <w:sz w:val="27"/>
                <w:szCs w:val="27"/>
              </w:rPr>
              <w:t>2</w:t>
            </w:r>
            <w:r>
              <w:rPr>
                <w:spacing w:val="20"/>
                <w:sz w:val="27"/>
                <w:szCs w:val="27"/>
              </w:rPr>
              <w:t>：兩岸四地青年學生夢想追逐賽</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259,636</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17</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香港青年協會 文化藝術組</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愛分享、分享愛”舞動奇蹟共融計劃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160,003</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18</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香港青年協會 賽馬會筲箕灣青年空間</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愛。吾睦鄰”關社共融計劃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166,490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19</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香港青年協會 天瑞青年空間</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鄰舍原動力”社區發展計劃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137,642</w:t>
            </w:r>
          </w:p>
        </w:tc>
      </w:tr>
      <w:tr>
        <w:trPr/>
        <w:tc>
          <w:tcPr>
            <w:tcW w:w="597" w:type="dxa"/>
            <w:tcBorders/>
          </w:tcPr>
          <w:p>
            <w:pPr>
              <w:pStyle w:val="Normal"/>
              <w:widowControl/>
              <w:snapToGrid w:val="false"/>
              <w:spacing w:lineRule="atLeast" w:line="340"/>
              <w:ind w:left="57" w:right="57" w:hanging="0"/>
              <w:jc w:val="center"/>
              <w:rPr>
                <w:spacing w:val="20"/>
                <w:sz w:val="27"/>
                <w:szCs w:val="27"/>
              </w:rPr>
            </w:pPr>
            <w:r>
              <w:rPr>
                <w:spacing w:val="20"/>
                <w:sz w:val="27"/>
                <w:szCs w:val="27"/>
              </w:rPr>
              <w:t>20</w:t>
            </w:r>
          </w:p>
        </w:tc>
        <w:tc>
          <w:tcPr>
            <w:tcW w:w="2840" w:type="dxa"/>
            <w:tcBorders/>
          </w:tcPr>
          <w:p>
            <w:pPr>
              <w:pStyle w:val="Normal"/>
              <w:widowControl/>
              <w:snapToGrid w:val="false"/>
              <w:spacing w:lineRule="atLeast" w:line="340"/>
              <w:ind w:left="57" w:right="57" w:hanging="0"/>
              <w:rPr>
                <w:spacing w:val="20"/>
                <w:sz w:val="27"/>
                <w:szCs w:val="27"/>
              </w:rPr>
            </w:pPr>
            <w:r>
              <w:rPr>
                <w:spacing w:val="20"/>
                <w:sz w:val="27"/>
                <w:szCs w:val="27"/>
              </w:rPr>
              <w:t>香港青年聯會有限公司</w:t>
            </w:r>
          </w:p>
        </w:tc>
        <w:tc>
          <w:tcPr>
            <w:tcW w:w="2842" w:type="dxa"/>
            <w:tcBorders/>
          </w:tcPr>
          <w:p>
            <w:pPr>
              <w:pStyle w:val="Normal"/>
              <w:widowControl/>
              <w:snapToGrid w:val="false"/>
              <w:spacing w:lineRule="atLeast" w:line="340"/>
              <w:ind w:left="57" w:right="57" w:hanging="0"/>
              <w:rPr>
                <w:spacing w:val="20"/>
                <w:sz w:val="27"/>
                <w:szCs w:val="27"/>
              </w:rPr>
            </w:pPr>
            <w:r>
              <w:rPr>
                <w:spacing w:val="20"/>
                <w:sz w:val="27"/>
                <w:szCs w:val="27"/>
              </w:rPr>
              <w:t>青聯賢慧愛家日</w:t>
            </w:r>
          </w:p>
        </w:tc>
        <w:tc>
          <w:tcPr>
            <w:tcW w:w="2840" w:type="dxa"/>
            <w:tcBorders/>
          </w:tcPr>
          <w:p>
            <w:pPr>
              <w:pStyle w:val="Normal"/>
              <w:widowControl/>
              <w:snapToGrid w:val="false"/>
              <w:spacing w:lineRule="atLeast" w:line="340"/>
              <w:ind w:left="57" w:right="57" w:hanging="0"/>
              <w:jc w:val="center"/>
              <w:rPr>
                <w:spacing w:val="20"/>
                <w:sz w:val="27"/>
                <w:szCs w:val="27"/>
              </w:rPr>
            </w:pPr>
            <w:r>
              <w:rPr>
                <w:spacing w:val="20"/>
                <w:sz w:val="27"/>
                <w:szCs w:val="27"/>
              </w:rPr>
              <w:t>143,475</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21</w:t>
            </w:r>
          </w:p>
        </w:tc>
        <w:tc>
          <w:tcPr>
            <w:tcW w:w="2840" w:type="dxa"/>
            <w:tcBorders/>
          </w:tcPr>
          <w:p>
            <w:pPr>
              <w:pStyle w:val="Normal"/>
              <w:widowControl/>
              <w:snapToGrid w:val="false"/>
              <w:ind w:left="57" w:right="57" w:hanging="0"/>
              <w:rPr>
                <w:spacing w:val="20"/>
                <w:sz w:val="27"/>
                <w:szCs w:val="27"/>
              </w:rPr>
            </w:pPr>
            <w:r>
              <w:rPr>
                <w:spacing w:val="20"/>
                <w:sz w:val="27"/>
                <w:szCs w:val="27"/>
              </w:rPr>
              <w:t>香港律師會</w:t>
            </w:r>
          </w:p>
        </w:tc>
        <w:tc>
          <w:tcPr>
            <w:tcW w:w="2842" w:type="dxa"/>
            <w:tcBorders/>
          </w:tcPr>
          <w:p>
            <w:pPr>
              <w:pStyle w:val="Normal"/>
              <w:widowControl/>
              <w:snapToGrid w:val="false"/>
              <w:ind w:left="57" w:right="57" w:hanging="0"/>
              <w:rPr>
                <w:spacing w:val="20"/>
                <w:sz w:val="27"/>
                <w:szCs w:val="27"/>
              </w:rPr>
            </w:pPr>
            <w:r>
              <w:rPr>
                <w:spacing w:val="20"/>
                <w:sz w:val="27"/>
                <w:szCs w:val="27"/>
              </w:rPr>
              <w:t>青</w:t>
            </w:r>
            <w:r>
              <w:rPr>
                <w:spacing w:val="20"/>
                <w:sz w:val="27"/>
                <w:szCs w:val="27"/>
              </w:rPr>
              <w:t>Teen</w:t>
            </w:r>
            <w:r>
              <w:rPr>
                <w:spacing w:val="20"/>
                <w:sz w:val="27"/>
                <w:szCs w:val="27"/>
              </w:rPr>
              <w:t>講場</w:t>
            </w:r>
            <w:r>
              <w:rPr>
                <w:spacing w:val="20"/>
                <w:sz w:val="27"/>
                <w:szCs w:val="27"/>
              </w:rPr>
              <w:t>2012</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300,000</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22</w:t>
            </w:r>
          </w:p>
        </w:tc>
        <w:tc>
          <w:tcPr>
            <w:tcW w:w="2840" w:type="dxa"/>
            <w:tcBorders/>
          </w:tcPr>
          <w:p>
            <w:pPr>
              <w:pStyle w:val="Normal"/>
              <w:widowControl/>
              <w:snapToGrid w:val="false"/>
              <w:ind w:left="57" w:right="57" w:hanging="0"/>
              <w:rPr>
                <w:spacing w:val="20"/>
                <w:sz w:val="27"/>
                <w:szCs w:val="27"/>
              </w:rPr>
            </w:pPr>
            <w:r>
              <w:rPr>
                <w:spacing w:val="20"/>
                <w:sz w:val="27"/>
                <w:szCs w:val="27"/>
              </w:rPr>
              <w:t>香港神託會有限公司 生命教育計劃</w:t>
            </w:r>
          </w:p>
        </w:tc>
        <w:tc>
          <w:tcPr>
            <w:tcW w:w="2842" w:type="dxa"/>
            <w:tcBorders/>
          </w:tcPr>
          <w:p>
            <w:pPr>
              <w:pStyle w:val="Normal"/>
              <w:widowControl/>
              <w:snapToGrid w:val="false"/>
              <w:ind w:left="57" w:right="57" w:hanging="0"/>
              <w:rPr>
                <w:spacing w:val="20"/>
                <w:sz w:val="27"/>
                <w:szCs w:val="27"/>
              </w:rPr>
            </w:pPr>
            <w:r>
              <w:rPr>
                <w:spacing w:val="20"/>
                <w:sz w:val="27"/>
                <w:szCs w:val="27"/>
              </w:rPr>
              <w:t>“</w:t>
            </w:r>
            <w:r>
              <w:rPr>
                <w:spacing w:val="20"/>
                <w:sz w:val="27"/>
                <w:szCs w:val="27"/>
              </w:rPr>
              <w:t>我的故事</w:t>
            </w:r>
            <w:r>
              <w:rPr>
                <w:rFonts w:ascii="華康細明體" w:hAnsi="華康細明體"/>
                <w:spacing w:val="20"/>
                <w:sz w:val="27"/>
                <w:szCs w:val="27"/>
              </w:rPr>
              <w:t>•</w:t>
            </w:r>
            <w:r>
              <w:rPr>
                <w:spacing w:val="20"/>
                <w:sz w:val="27"/>
                <w:szCs w:val="27"/>
              </w:rPr>
              <w:t>我的家”～社區藝術參與計劃</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163,774</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23</w:t>
            </w:r>
          </w:p>
        </w:tc>
        <w:tc>
          <w:tcPr>
            <w:tcW w:w="2840" w:type="dxa"/>
            <w:tcBorders/>
          </w:tcPr>
          <w:p>
            <w:pPr>
              <w:pStyle w:val="Normal"/>
              <w:widowControl/>
              <w:snapToGrid w:val="false"/>
              <w:ind w:left="57" w:right="57" w:hanging="0"/>
              <w:rPr>
                <w:spacing w:val="20"/>
                <w:sz w:val="27"/>
                <w:szCs w:val="27"/>
              </w:rPr>
            </w:pPr>
            <w:r>
              <w:rPr>
                <w:spacing w:val="20"/>
                <w:sz w:val="27"/>
                <w:szCs w:val="27"/>
              </w:rPr>
              <w:t>香港神託會有限公司 連青網絡─香港神託會青少年綜合服務中心</w:t>
            </w:r>
          </w:p>
        </w:tc>
        <w:tc>
          <w:tcPr>
            <w:tcW w:w="2842" w:type="dxa"/>
            <w:tcBorders/>
          </w:tcPr>
          <w:p>
            <w:pPr>
              <w:pStyle w:val="Normal"/>
              <w:widowControl/>
              <w:snapToGrid w:val="false"/>
              <w:ind w:left="57" w:right="57" w:hanging="0"/>
              <w:rPr>
                <w:spacing w:val="20"/>
                <w:sz w:val="27"/>
                <w:szCs w:val="27"/>
              </w:rPr>
            </w:pPr>
            <w:r>
              <w:rPr>
                <w:spacing w:val="20"/>
                <w:sz w:val="27"/>
                <w:szCs w:val="27"/>
              </w:rPr>
              <w:t>家家起“義”獎勵計劃</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186,700</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24</w:t>
            </w:r>
          </w:p>
        </w:tc>
        <w:tc>
          <w:tcPr>
            <w:tcW w:w="2840" w:type="dxa"/>
            <w:tcBorders/>
          </w:tcPr>
          <w:p>
            <w:pPr>
              <w:pStyle w:val="Normal"/>
              <w:widowControl/>
              <w:snapToGrid w:val="false"/>
              <w:ind w:left="57" w:right="57" w:hanging="0"/>
              <w:rPr>
                <w:spacing w:val="20"/>
                <w:sz w:val="27"/>
                <w:szCs w:val="27"/>
              </w:rPr>
            </w:pPr>
            <w:r>
              <w:rPr>
                <w:spacing w:val="20"/>
                <w:sz w:val="27"/>
                <w:szCs w:val="27"/>
              </w:rPr>
              <w:t>香港基督少年軍有限公司 臻訓中心</w:t>
            </w:r>
          </w:p>
        </w:tc>
        <w:tc>
          <w:tcPr>
            <w:tcW w:w="2842" w:type="dxa"/>
            <w:tcBorders/>
          </w:tcPr>
          <w:p>
            <w:pPr>
              <w:pStyle w:val="Normal"/>
              <w:widowControl/>
              <w:snapToGrid w:val="false"/>
              <w:ind w:left="57" w:right="57" w:hanging="0"/>
              <w:rPr>
                <w:spacing w:val="20"/>
                <w:sz w:val="27"/>
                <w:szCs w:val="27"/>
              </w:rPr>
            </w:pPr>
            <w:r>
              <w:rPr>
                <w:spacing w:val="20"/>
                <w:sz w:val="27"/>
                <w:szCs w:val="27"/>
              </w:rPr>
              <w:t>領出個未來─青少年社區服務實踐計劃</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100,200</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25</w:t>
            </w:r>
          </w:p>
        </w:tc>
        <w:tc>
          <w:tcPr>
            <w:tcW w:w="2840" w:type="dxa"/>
            <w:tcBorders/>
          </w:tcPr>
          <w:p>
            <w:pPr>
              <w:pStyle w:val="Normal"/>
              <w:widowControl/>
              <w:snapToGrid w:val="false"/>
              <w:ind w:left="57" w:right="57" w:hanging="0"/>
              <w:rPr>
                <w:spacing w:val="20"/>
                <w:sz w:val="27"/>
                <w:szCs w:val="27"/>
              </w:rPr>
            </w:pPr>
            <w:r>
              <w:rPr>
                <w:spacing w:val="20"/>
                <w:sz w:val="27"/>
                <w:szCs w:val="27"/>
              </w:rPr>
              <w:t>香港聖公會麥理浩夫人中心 林植宣博士老人綜合服務中心</w:t>
            </w:r>
          </w:p>
        </w:tc>
        <w:tc>
          <w:tcPr>
            <w:tcW w:w="2842" w:type="dxa"/>
            <w:tcBorders/>
          </w:tcPr>
          <w:p>
            <w:pPr>
              <w:pStyle w:val="Normal"/>
              <w:widowControl/>
              <w:snapToGrid w:val="false"/>
              <w:ind w:left="57" w:right="57" w:hanging="0"/>
              <w:rPr>
                <w:spacing w:val="20"/>
                <w:sz w:val="27"/>
                <w:szCs w:val="27"/>
              </w:rPr>
            </w:pPr>
            <w:r>
              <w:rPr>
                <w:spacing w:val="20"/>
                <w:sz w:val="27"/>
                <w:szCs w:val="27"/>
              </w:rPr>
              <w:t>耆心童話正能量</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147,799</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26</w:t>
            </w:r>
          </w:p>
        </w:tc>
        <w:tc>
          <w:tcPr>
            <w:tcW w:w="2840" w:type="dxa"/>
            <w:tcBorders/>
          </w:tcPr>
          <w:p>
            <w:pPr>
              <w:pStyle w:val="Normal"/>
              <w:widowControl/>
              <w:snapToGrid w:val="false"/>
              <w:ind w:left="57" w:right="57" w:hanging="0"/>
              <w:rPr>
                <w:spacing w:val="20"/>
                <w:sz w:val="27"/>
                <w:szCs w:val="27"/>
              </w:rPr>
            </w:pPr>
            <w:r>
              <w:rPr>
                <w:spacing w:val="20"/>
                <w:sz w:val="27"/>
                <w:szCs w:val="27"/>
              </w:rPr>
              <w:t>香港路德會社會服務處 路德會賽馬會海濱花園綜合服務中心</w:t>
            </w:r>
          </w:p>
        </w:tc>
        <w:tc>
          <w:tcPr>
            <w:tcW w:w="2842" w:type="dxa"/>
            <w:tcBorders/>
          </w:tcPr>
          <w:p>
            <w:pPr>
              <w:pStyle w:val="Normal"/>
              <w:widowControl/>
              <w:snapToGrid w:val="false"/>
              <w:ind w:left="57" w:right="57" w:hanging="0"/>
              <w:rPr>
                <w:spacing w:val="20"/>
                <w:sz w:val="27"/>
                <w:szCs w:val="27"/>
              </w:rPr>
            </w:pPr>
            <w:r>
              <w:rPr>
                <w:spacing w:val="20"/>
                <w:sz w:val="27"/>
                <w:szCs w:val="27"/>
              </w:rPr>
              <w:t>多“</w:t>
            </w:r>
            <w:r>
              <w:rPr>
                <w:spacing w:val="20"/>
                <w:sz w:val="27"/>
                <w:szCs w:val="27"/>
              </w:rPr>
              <w:t>Share”</w:t>
            </w:r>
            <w:r>
              <w:rPr>
                <w:spacing w:val="20"/>
                <w:sz w:val="27"/>
                <w:szCs w:val="27"/>
              </w:rPr>
              <w:t>愛推廣計劃</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163,831</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27</w:t>
            </w:r>
          </w:p>
        </w:tc>
        <w:tc>
          <w:tcPr>
            <w:tcW w:w="2840" w:type="dxa"/>
            <w:tcBorders/>
          </w:tcPr>
          <w:p>
            <w:pPr>
              <w:pStyle w:val="Normal"/>
              <w:widowControl/>
              <w:snapToGrid w:val="false"/>
              <w:ind w:left="57" w:right="57" w:hanging="0"/>
              <w:rPr>
                <w:spacing w:val="20"/>
                <w:sz w:val="27"/>
                <w:szCs w:val="27"/>
              </w:rPr>
            </w:pPr>
            <w:r>
              <w:rPr>
                <w:spacing w:val="20"/>
                <w:sz w:val="27"/>
                <w:szCs w:val="27"/>
              </w:rPr>
              <w:t>基督教香港信義會</w:t>
            </w:r>
          </w:p>
        </w:tc>
        <w:tc>
          <w:tcPr>
            <w:tcW w:w="2842" w:type="dxa"/>
            <w:tcBorders/>
          </w:tcPr>
          <w:p>
            <w:pPr>
              <w:pStyle w:val="Normal"/>
              <w:widowControl/>
              <w:snapToGrid w:val="false"/>
              <w:ind w:left="57" w:right="57" w:hanging="0"/>
              <w:rPr>
                <w:spacing w:val="20"/>
                <w:sz w:val="27"/>
                <w:szCs w:val="27"/>
              </w:rPr>
            </w:pPr>
            <w:r>
              <w:rPr>
                <w:spacing w:val="20"/>
                <w:sz w:val="27"/>
                <w:szCs w:val="27"/>
              </w:rPr>
              <w:t>“</w:t>
            </w:r>
            <w:r>
              <w:rPr>
                <w:spacing w:val="20"/>
                <w:sz w:val="27"/>
                <w:szCs w:val="27"/>
              </w:rPr>
              <w:t>Care”</w:t>
            </w:r>
            <w:r>
              <w:rPr>
                <w:spacing w:val="20"/>
                <w:sz w:val="27"/>
                <w:szCs w:val="27"/>
              </w:rPr>
              <w:t>小記者之“童心戰貧窮”計劃</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124,276</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28</w:t>
            </w:r>
          </w:p>
        </w:tc>
        <w:tc>
          <w:tcPr>
            <w:tcW w:w="2840" w:type="dxa"/>
            <w:tcBorders/>
          </w:tcPr>
          <w:p>
            <w:pPr>
              <w:pStyle w:val="Normal"/>
              <w:widowControl/>
              <w:snapToGrid w:val="false"/>
              <w:ind w:left="57" w:right="57" w:hanging="0"/>
              <w:rPr>
                <w:spacing w:val="20"/>
                <w:sz w:val="27"/>
                <w:szCs w:val="27"/>
              </w:rPr>
            </w:pPr>
            <w:r>
              <w:rPr>
                <w:spacing w:val="20"/>
                <w:sz w:val="27"/>
                <w:szCs w:val="27"/>
              </w:rPr>
              <w:t>新青年論壇有限公司</w:t>
            </w:r>
          </w:p>
        </w:tc>
        <w:tc>
          <w:tcPr>
            <w:tcW w:w="2842" w:type="dxa"/>
            <w:tcBorders/>
          </w:tcPr>
          <w:p>
            <w:pPr>
              <w:pStyle w:val="Normal"/>
              <w:widowControl/>
              <w:snapToGrid w:val="false"/>
              <w:ind w:left="57" w:right="57" w:hanging="0"/>
              <w:rPr>
                <w:spacing w:val="20"/>
                <w:sz w:val="27"/>
                <w:szCs w:val="27"/>
              </w:rPr>
            </w:pPr>
            <w:r>
              <w:rPr>
                <w:spacing w:val="20"/>
                <w:sz w:val="27"/>
                <w:szCs w:val="27"/>
              </w:rPr>
              <w:t>第七屆</w:t>
            </w:r>
            <w:r>
              <w:rPr>
                <w:spacing w:val="20"/>
                <w:sz w:val="27"/>
                <w:szCs w:val="27"/>
              </w:rPr>
              <w:t>DV</w:t>
            </w:r>
            <w:r>
              <w:rPr>
                <w:spacing w:val="20"/>
                <w:sz w:val="27"/>
                <w:szCs w:val="27"/>
              </w:rPr>
              <w:t>頭青年社會觀察行動</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152,350</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29</w:t>
            </w:r>
          </w:p>
        </w:tc>
        <w:tc>
          <w:tcPr>
            <w:tcW w:w="2840" w:type="dxa"/>
            <w:tcBorders/>
          </w:tcPr>
          <w:p>
            <w:pPr>
              <w:pStyle w:val="Normal"/>
              <w:widowControl/>
              <w:snapToGrid w:val="false"/>
              <w:ind w:left="57" w:right="57" w:hanging="0"/>
              <w:rPr>
                <w:spacing w:val="20"/>
                <w:sz w:val="27"/>
                <w:szCs w:val="27"/>
              </w:rPr>
            </w:pPr>
            <w:r>
              <w:rPr>
                <w:spacing w:val="20"/>
                <w:sz w:val="27"/>
                <w:szCs w:val="27"/>
              </w:rPr>
              <w:t>新福事工協會有限公司 關懷貧窮學校</w:t>
            </w:r>
          </w:p>
        </w:tc>
        <w:tc>
          <w:tcPr>
            <w:tcW w:w="2842" w:type="dxa"/>
            <w:tcBorders/>
          </w:tcPr>
          <w:p>
            <w:pPr>
              <w:pStyle w:val="Normal"/>
              <w:widowControl/>
              <w:snapToGrid w:val="false"/>
              <w:ind w:left="57" w:right="57" w:hanging="0"/>
              <w:rPr>
                <w:spacing w:val="20"/>
                <w:sz w:val="27"/>
                <w:szCs w:val="27"/>
              </w:rPr>
            </w:pPr>
            <w:r>
              <w:rPr>
                <w:spacing w:val="20"/>
                <w:sz w:val="27"/>
                <w:szCs w:val="27"/>
              </w:rPr>
              <w:t>“</w:t>
            </w:r>
            <w:r>
              <w:rPr>
                <w:spacing w:val="20"/>
                <w:sz w:val="27"/>
                <w:szCs w:val="27"/>
              </w:rPr>
              <w:t>2012</w:t>
            </w:r>
            <w:r>
              <w:rPr>
                <w:spacing w:val="20"/>
                <w:sz w:val="27"/>
                <w:szCs w:val="27"/>
              </w:rPr>
              <w:t>關懷貧窮大使計劃”</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117,889</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30</w:t>
            </w:r>
          </w:p>
        </w:tc>
        <w:tc>
          <w:tcPr>
            <w:tcW w:w="2840" w:type="dxa"/>
            <w:tcBorders/>
          </w:tcPr>
          <w:p>
            <w:pPr>
              <w:pStyle w:val="Normal"/>
              <w:widowControl/>
              <w:snapToGrid w:val="false"/>
              <w:ind w:left="57" w:right="57" w:hanging="0"/>
              <w:rPr>
                <w:spacing w:val="20"/>
                <w:sz w:val="27"/>
                <w:szCs w:val="27"/>
              </w:rPr>
            </w:pPr>
            <w:r>
              <w:rPr>
                <w:spacing w:val="20"/>
                <w:sz w:val="27"/>
                <w:szCs w:val="27"/>
              </w:rPr>
              <w:t>路德會啟聾學校</w:t>
            </w:r>
          </w:p>
        </w:tc>
        <w:tc>
          <w:tcPr>
            <w:tcW w:w="2842" w:type="dxa"/>
            <w:tcBorders/>
          </w:tcPr>
          <w:p>
            <w:pPr>
              <w:pStyle w:val="Normal"/>
              <w:widowControl/>
              <w:snapToGrid w:val="false"/>
              <w:ind w:left="57" w:right="57" w:hanging="0"/>
              <w:rPr>
                <w:spacing w:val="20"/>
                <w:sz w:val="27"/>
                <w:szCs w:val="27"/>
              </w:rPr>
            </w:pPr>
            <w:r>
              <w:rPr>
                <w:spacing w:val="20"/>
                <w:sz w:val="27"/>
                <w:szCs w:val="27"/>
              </w:rPr>
              <w:t>攜手“語”您。愛家國</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107,680</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31</w:t>
            </w:r>
          </w:p>
        </w:tc>
        <w:tc>
          <w:tcPr>
            <w:tcW w:w="2840" w:type="dxa"/>
            <w:tcBorders/>
          </w:tcPr>
          <w:p>
            <w:pPr>
              <w:pStyle w:val="Normal"/>
              <w:widowControl/>
              <w:snapToGrid w:val="false"/>
              <w:ind w:left="57" w:right="57" w:hanging="0"/>
              <w:rPr>
                <w:spacing w:val="20"/>
                <w:sz w:val="27"/>
                <w:szCs w:val="27"/>
              </w:rPr>
            </w:pPr>
            <w:r>
              <w:rPr>
                <w:spacing w:val="20"/>
                <w:sz w:val="27"/>
                <w:szCs w:val="27"/>
              </w:rPr>
              <w:t>鄰舍輔導會 東涌綜合服務中心</w:t>
            </w:r>
          </w:p>
        </w:tc>
        <w:tc>
          <w:tcPr>
            <w:tcW w:w="2842" w:type="dxa"/>
            <w:tcBorders/>
          </w:tcPr>
          <w:p>
            <w:pPr>
              <w:pStyle w:val="Normal"/>
              <w:widowControl/>
              <w:snapToGrid w:val="false"/>
              <w:ind w:left="57" w:right="57" w:hanging="0"/>
              <w:rPr>
                <w:spacing w:val="20"/>
                <w:sz w:val="27"/>
                <w:szCs w:val="27"/>
              </w:rPr>
            </w:pPr>
            <w:r>
              <w:rPr>
                <w:spacing w:val="20"/>
                <w:sz w:val="27"/>
                <w:szCs w:val="27"/>
              </w:rPr>
              <w:t>“</w:t>
            </w:r>
            <w:r>
              <w:rPr>
                <w:spacing w:val="20"/>
                <w:sz w:val="27"/>
                <w:szCs w:val="27"/>
              </w:rPr>
              <w:t>一家一”義放彩虹計劃</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186,847</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32</w:t>
            </w:r>
          </w:p>
        </w:tc>
        <w:tc>
          <w:tcPr>
            <w:tcW w:w="2840" w:type="dxa"/>
            <w:tcBorders/>
          </w:tcPr>
          <w:p>
            <w:pPr>
              <w:pStyle w:val="Normal"/>
              <w:widowControl/>
              <w:snapToGrid w:val="false"/>
              <w:ind w:left="57" w:right="57" w:hanging="0"/>
              <w:rPr>
                <w:spacing w:val="20"/>
                <w:sz w:val="27"/>
                <w:szCs w:val="27"/>
              </w:rPr>
            </w:pPr>
            <w:r>
              <w:rPr>
                <w:spacing w:val="20"/>
                <w:sz w:val="27"/>
                <w:szCs w:val="27"/>
              </w:rPr>
              <w:t>觀塘新青年論壇</w:t>
            </w:r>
          </w:p>
        </w:tc>
        <w:tc>
          <w:tcPr>
            <w:tcW w:w="2842" w:type="dxa"/>
            <w:tcBorders/>
          </w:tcPr>
          <w:p>
            <w:pPr>
              <w:pStyle w:val="Normal"/>
              <w:widowControl/>
              <w:snapToGrid w:val="false"/>
              <w:ind w:left="57" w:right="57" w:hanging="0"/>
              <w:rPr>
                <w:spacing w:val="20"/>
                <w:sz w:val="27"/>
                <w:szCs w:val="27"/>
              </w:rPr>
            </w:pPr>
            <w:r>
              <w:rPr>
                <w:spacing w:val="20"/>
                <w:sz w:val="27"/>
                <w:szCs w:val="27"/>
              </w:rPr>
              <w:t>青年政治學堂─公民社會體驗計劃</w:t>
            </w:r>
            <w:r>
              <w:rPr>
                <w:spacing w:val="20"/>
                <w:sz w:val="27"/>
                <w:szCs w:val="27"/>
              </w:rPr>
              <w:t>2012</w:t>
            </w:r>
            <w:r>
              <w:rPr>
                <w:spacing w:val="20"/>
                <w:sz w:val="27"/>
                <w:szCs w:val="27"/>
              </w:rPr>
              <w:t>：十二五規劃初探：大國公民的權利與義務</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128,778</w:t>
            </w:r>
          </w:p>
        </w:tc>
      </w:tr>
      <w:tr>
        <w:trPr/>
        <w:tc>
          <w:tcPr>
            <w:tcW w:w="597" w:type="dxa"/>
            <w:tcBorders/>
          </w:tcPr>
          <w:p>
            <w:pPr>
              <w:pStyle w:val="Normal"/>
              <w:widowControl/>
              <w:snapToGrid w:val="false"/>
              <w:ind w:left="57" w:right="57" w:hanging="0"/>
              <w:jc w:val="center"/>
              <w:rPr>
                <w:spacing w:val="20"/>
                <w:sz w:val="27"/>
                <w:szCs w:val="27"/>
              </w:rPr>
            </w:pPr>
            <w:r>
              <w:rPr>
                <w:spacing w:val="20"/>
                <w:sz w:val="27"/>
                <w:szCs w:val="27"/>
              </w:rPr>
              <w:t>33</w:t>
            </w:r>
          </w:p>
        </w:tc>
        <w:tc>
          <w:tcPr>
            <w:tcW w:w="2840" w:type="dxa"/>
            <w:tcBorders/>
          </w:tcPr>
          <w:p>
            <w:pPr>
              <w:pStyle w:val="Normal"/>
              <w:widowControl/>
              <w:snapToGrid w:val="false"/>
              <w:ind w:left="57" w:right="57" w:hanging="0"/>
              <w:rPr>
                <w:spacing w:val="20"/>
                <w:sz w:val="27"/>
                <w:szCs w:val="27"/>
              </w:rPr>
            </w:pPr>
            <w:r>
              <w:rPr>
                <w:spacing w:val="20"/>
                <w:sz w:val="27"/>
                <w:szCs w:val="27"/>
              </w:rPr>
              <w:t>中山大學法律系香港同學會有限公司</w:t>
            </w:r>
          </w:p>
        </w:tc>
        <w:tc>
          <w:tcPr>
            <w:tcW w:w="2842" w:type="dxa"/>
            <w:tcBorders/>
          </w:tcPr>
          <w:p>
            <w:pPr>
              <w:pStyle w:val="Normal"/>
              <w:widowControl/>
              <w:snapToGrid w:val="false"/>
              <w:ind w:left="57" w:right="57" w:hanging="0"/>
              <w:rPr>
                <w:spacing w:val="20"/>
                <w:sz w:val="27"/>
                <w:szCs w:val="27"/>
              </w:rPr>
            </w:pPr>
            <w:r>
              <w:rPr>
                <w:spacing w:val="20"/>
                <w:sz w:val="27"/>
                <w:szCs w:val="27"/>
              </w:rPr>
              <w:t>第十三屆《基本法》及國民常識網上問答比賽及推廣活動</w:t>
            </w:r>
          </w:p>
        </w:tc>
        <w:tc>
          <w:tcPr>
            <w:tcW w:w="2840" w:type="dxa"/>
            <w:tcBorders/>
          </w:tcPr>
          <w:p>
            <w:pPr>
              <w:pStyle w:val="Normal"/>
              <w:widowControl/>
              <w:snapToGrid w:val="false"/>
              <w:ind w:left="57" w:right="57" w:hanging="0"/>
              <w:jc w:val="center"/>
              <w:rPr>
                <w:spacing w:val="20"/>
                <w:sz w:val="27"/>
                <w:szCs w:val="27"/>
              </w:rPr>
            </w:pPr>
            <w:r>
              <w:rPr>
                <w:spacing w:val="20"/>
                <w:sz w:val="27"/>
                <w:szCs w:val="27"/>
              </w:rPr>
              <w:t>162,960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34</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屯門區婦女會有限公司 山景服務處</w:t>
            </w:r>
          </w:p>
        </w:tc>
        <w:tc>
          <w:tcPr>
            <w:tcW w:w="2842" w:type="dxa"/>
            <w:tcBorders/>
          </w:tcPr>
          <w:p>
            <w:pPr>
              <w:pStyle w:val="Normal"/>
              <w:widowControl/>
              <w:snapToGrid w:val="false"/>
              <w:spacing w:lineRule="exact" w:line="340"/>
              <w:ind w:left="57" w:right="57" w:hanging="0"/>
              <w:rPr>
                <w:rFonts w:eastAsia="華康細明體-ExtB"/>
                <w:spacing w:val="20"/>
                <w:sz w:val="27"/>
                <w:szCs w:val="27"/>
              </w:rPr>
            </w:pPr>
            <w:r>
              <w:rPr>
                <w:spacing w:val="20"/>
                <w:sz w:val="27"/>
                <w:szCs w:val="27"/>
              </w:rPr>
              <w:t>“</w:t>
            </w:r>
            <w:r>
              <w:rPr>
                <w:spacing w:val="20"/>
                <w:sz w:val="27"/>
                <w:szCs w:val="27"/>
              </w:rPr>
              <w:t>十二五”規劃─我“港”我思</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117,700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35</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匡智張玉瓊晨輝學校</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和諧家園共手建</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138,095</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36</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和富社會企業有限公司</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傑出公民學生獎勵計劃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124,012</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37</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香港青年協進會有限公司</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認識祖國</w:t>
            </w:r>
            <w:r>
              <w:rPr>
                <w:rFonts w:ascii="華康細明體" w:hAnsi="華康細明體"/>
                <w:spacing w:val="20"/>
                <w:sz w:val="27"/>
                <w:szCs w:val="27"/>
              </w:rPr>
              <w:t>•</w:t>
            </w:r>
            <w:r>
              <w:rPr>
                <w:spacing w:val="20"/>
                <w:sz w:val="27"/>
                <w:szCs w:val="27"/>
              </w:rPr>
              <w:t>認識香港”問答比賽</w:t>
            </w:r>
            <w:r>
              <w:rPr>
                <w:spacing w:val="20"/>
                <w:sz w:val="27"/>
                <w:szCs w:val="27"/>
              </w:rPr>
              <w:t>2012</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282,260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38</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香港基本法推介聯席會議</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第九屆《基本法》大使培訓計劃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170,652</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39</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香港基督教協基會有限公司 黃埔綜合青少年服務中心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薈萃中港國情教育</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175,750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40</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香港循理會 循理會屯門青少年綜合服務中心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Four In Love 2012”</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190,548</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41</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蒲窩青少年中心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愛香港</w:t>
            </w:r>
            <w:r>
              <w:rPr>
                <w:rFonts w:ascii="華康細明體" w:hAnsi="華康細明體"/>
                <w:spacing w:val="20"/>
                <w:sz w:val="27"/>
                <w:szCs w:val="27"/>
              </w:rPr>
              <w:t>•</w:t>
            </w:r>
            <w:r>
              <w:rPr>
                <w:spacing w:val="20"/>
                <w:sz w:val="27"/>
                <w:szCs w:val="27"/>
              </w:rPr>
              <w:t>愛文物”計劃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147,936</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42</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學友社 潛能發展中心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明日領航者計劃</w:t>
            </w:r>
            <w:r>
              <w:rPr>
                <w:spacing w:val="20"/>
                <w:sz w:val="27"/>
                <w:szCs w:val="27"/>
              </w:rPr>
              <w:t>2012</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238,196</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43</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學友社</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第二十一屆全港中學生十大新聞選舉</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182,363</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44</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香港各界婦女聯合協進會有限公司</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香港各界婦女慶回歸十五周年 喜迎回歸十五載 社區共融愛香港</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243,940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45</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政府人員協會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家國濃情慶回歸</w:t>
            </w:r>
            <w:r>
              <w:rPr>
                <w:rFonts w:ascii="華康細明體" w:hAnsi="華康細明體"/>
                <w:spacing w:val="20"/>
                <w:sz w:val="27"/>
                <w:szCs w:val="27"/>
              </w:rPr>
              <w:t>•</w:t>
            </w:r>
            <w:r>
              <w:rPr>
                <w:spacing w:val="20"/>
                <w:sz w:val="27"/>
                <w:szCs w:val="27"/>
              </w:rPr>
              <w:t>社區共融愛無限”計劃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126,009</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46</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香港婦聯有限公司</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共慶回歸十五載、中華文化展風彩計劃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194,500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47</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新界社團聯會婦女中心有限公司</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情牽“家國”顯愛心計劃</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135,100</w:t>
            </w:r>
          </w:p>
        </w:tc>
      </w:tr>
      <w:tr>
        <w:trPr/>
        <w:tc>
          <w:tcPr>
            <w:tcW w:w="597"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48</w:t>
            </w:r>
          </w:p>
        </w:tc>
        <w:tc>
          <w:tcPr>
            <w:tcW w:w="2840" w:type="dxa"/>
            <w:tcBorders/>
          </w:tcPr>
          <w:p>
            <w:pPr>
              <w:pStyle w:val="Normal"/>
              <w:widowControl/>
              <w:snapToGrid w:val="false"/>
              <w:spacing w:lineRule="exact" w:line="340"/>
              <w:ind w:left="57" w:right="57" w:hanging="0"/>
              <w:rPr>
                <w:spacing w:val="20"/>
                <w:sz w:val="27"/>
                <w:szCs w:val="27"/>
              </w:rPr>
            </w:pPr>
            <w:r>
              <w:rPr>
                <w:spacing w:val="20"/>
                <w:sz w:val="27"/>
                <w:szCs w:val="27"/>
              </w:rPr>
              <w:t>新界青年聯會</w:t>
            </w:r>
          </w:p>
        </w:tc>
        <w:tc>
          <w:tcPr>
            <w:tcW w:w="2842" w:type="dxa"/>
            <w:tcBorders/>
          </w:tcPr>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樂聚力量</w:t>
            </w:r>
            <w:r>
              <w:rPr>
                <w:spacing w:val="20"/>
                <w:sz w:val="27"/>
                <w:szCs w:val="27"/>
              </w:rPr>
              <w:t>Fun</w:t>
            </w:r>
            <w:r>
              <w:rPr>
                <w:spacing w:val="20"/>
                <w:sz w:val="27"/>
                <w:szCs w:val="27"/>
              </w:rPr>
              <w:t>享愛”公民教育系列活動</w:t>
            </w:r>
          </w:p>
        </w:tc>
        <w:tc>
          <w:tcPr>
            <w:tcW w:w="2840" w:type="dxa"/>
            <w:tcBorders/>
          </w:tcPr>
          <w:p>
            <w:pPr>
              <w:pStyle w:val="Normal"/>
              <w:widowControl/>
              <w:snapToGrid w:val="false"/>
              <w:spacing w:lineRule="exact" w:line="340"/>
              <w:ind w:left="57" w:right="57" w:hanging="0"/>
              <w:jc w:val="center"/>
              <w:rPr>
                <w:spacing w:val="20"/>
                <w:sz w:val="27"/>
                <w:szCs w:val="27"/>
              </w:rPr>
            </w:pPr>
            <w:r>
              <w:rPr>
                <w:spacing w:val="20"/>
                <w:sz w:val="27"/>
                <w:szCs w:val="27"/>
              </w:rPr>
              <w:t>203,111</w:t>
            </w:r>
          </w:p>
        </w:tc>
      </w:tr>
    </w:tbl>
    <w:p>
      <w:pPr>
        <w:pStyle w:val="Normal"/>
        <w:widowControl/>
        <w:snapToGrid w:val="false"/>
        <w:spacing w:lineRule="auto" w:line="240"/>
        <w:rPr>
          <w:spacing w:val="20"/>
          <w:sz w:val="20"/>
          <w:szCs w:val="20"/>
        </w:rPr>
      </w:pPr>
      <w:r>
        <w:rPr>
          <w:spacing w:val="20"/>
          <w:sz w:val="20"/>
          <w:szCs w:val="20"/>
        </w:rPr>
      </w:r>
    </w:p>
    <w:p>
      <w:pPr>
        <w:pStyle w:val="Normal"/>
        <w:widowControl/>
        <w:snapToGrid w:val="false"/>
        <w:spacing w:lineRule="auto" w:line="240"/>
        <w:rPr>
          <w:spacing w:val="20"/>
          <w:sz w:val="20"/>
        </w:rPr>
      </w:pPr>
      <w:r>
        <w:rPr>
          <w:spacing w:val="20"/>
          <w:sz w:val="20"/>
        </w:rPr>
        <w:t>註：</w:t>
      </w:r>
    </w:p>
    <w:p>
      <w:pPr>
        <w:pStyle w:val="Normal"/>
        <w:widowControl/>
        <w:snapToGrid w:val="false"/>
        <w:spacing w:lineRule="auto" w:line="240"/>
        <w:rPr>
          <w:spacing w:val="20"/>
          <w:sz w:val="20"/>
        </w:rPr>
      </w:pPr>
      <w:r>
        <w:rPr>
          <w:spacing w:val="20"/>
          <w:sz w:val="20"/>
        </w:rPr>
      </w:r>
    </w:p>
    <w:p>
      <w:pPr>
        <w:pStyle w:val="Normal"/>
        <w:widowControl/>
        <w:tabs>
          <w:tab w:val="clear" w:pos="720"/>
        </w:tabs>
        <w:snapToGrid w:val="false"/>
        <w:spacing w:lineRule="auto" w:line="240"/>
        <w:rPr>
          <w:spacing w:val="20"/>
          <w:sz w:val="20"/>
        </w:rPr>
      </w:pPr>
      <w:r>
        <w:rPr>
          <w:spacing w:val="20"/>
          <w:sz w:val="20"/>
        </w:rPr>
        <w:t>#</w:t>
        <w:tab/>
      </w:r>
      <w:r>
        <w:rPr>
          <w:spacing w:val="20"/>
          <w:sz w:val="20"/>
        </w:rPr>
        <w:t>部分機構及項目只有英文名稱。</w:t>
      </w:r>
    </w:p>
    <w:p>
      <w:pPr>
        <w:pStyle w:val="Normal"/>
        <w:widowControl/>
        <w:tabs>
          <w:tab w:val="clear" w:pos="720"/>
        </w:tabs>
        <w:spacing w:lineRule="auto" w:line="276" w:before="0" w:after="200"/>
        <w:jc w:val="left"/>
        <w:rPr>
          <w:spacing w:val="20"/>
          <w:sz w:val="27"/>
          <w:szCs w:val="27"/>
        </w:rPr>
      </w:pPr>
      <w:r>
        <w:rPr>
          <w:spacing w:val="20"/>
          <w:sz w:val="27"/>
          <w:szCs w:val="27"/>
        </w:rPr>
      </w:r>
      <w:r>
        <w:br w:type="page"/>
      </w:r>
    </w:p>
    <w:p>
      <w:pPr>
        <w:pStyle w:val="Normal"/>
        <w:widowControl/>
        <w:snapToGrid w:val="false"/>
        <w:spacing w:lineRule="atLeast" w:line="380"/>
        <w:jc w:val="right"/>
        <w:rPr>
          <w:spacing w:val="20"/>
          <w:sz w:val="27"/>
          <w:szCs w:val="27"/>
        </w:rPr>
      </w:pPr>
      <w:r>
        <w:rPr>
          <w:spacing w:val="20"/>
          <w:sz w:val="27"/>
          <w:szCs w:val="27"/>
        </w:rPr>
        <w:t>附件二</w:t>
      </w:r>
    </w:p>
    <w:p>
      <w:pPr>
        <w:pStyle w:val="Normal"/>
        <w:widowControl/>
        <w:snapToGrid w:val="false"/>
        <w:spacing w:lineRule="atLeast" w:line="380"/>
        <w:jc w:val="right"/>
        <w:rPr>
          <w:spacing w:val="20"/>
          <w:sz w:val="27"/>
          <w:szCs w:val="27"/>
        </w:rPr>
      </w:pPr>
      <w:r>
        <w:rPr>
          <w:spacing w:val="20"/>
          <w:sz w:val="27"/>
          <w:szCs w:val="27"/>
        </w:rPr>
      </w:r>
    </w:p>
    <w:p>
      <w:pPr>
        <w:pStyle w:val="Normal"/>
        <w:widowControl/>
        <w:snapToGrid w:val="false"/>
        <w:spacing w:lineRule="atLeast" w:line="380"/>
        <w:jc w:val="center"/>
        <w:rPr>
          <w:spacing w:val="20"/>
          <w:sz w:val="27"/>
          <w:szCs w:val="27"/>
        </w:rPr>
      </w:pPr>
      <w:r>
        <w:rPr>
          <w:spacing w:val="20"/>
          <w:sz w:val="27"/>
          <w:szCs w:val="27"/>
        </w:rPr>
        <w:t>2013-2014</w:t>
      </w:r>
      <w:r>
        <w:rPr>
          <w:spacing w:val="20"/>
          <w:sz w:val="27"/>
          <w:szCs w:val="27"/>
        </w:rPr>
        <w:t>年度在公民教育活動資助計劃下獲批資助的項目</w:t>
      </w:r>
    </w:p>
    <w:p>
      <w:pPr>
        <w:pStyle w:val="Normal"/>
        <w:widowControl/>
        <w:snapToGrid w:val="false"/>
        <w:spacing w:lineRule="atLeast" w:line="380"/>
        <w:jc w:val="center"/>
        <w:rPr>
          <w:spacing w:val="20"/>
          <w:sz w:val="27"/>
          <w:szCs w:val="27"/>
        </w:rPr>
      </w:pPr>
      <w:r>
        <w:rPr>
          <w:spacing w:val="20"/>
          <w:sz w:val="27"/>
          <w:szCs w:val="27"/>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606"/>
        <w:gridCol w:w="2872"/>
        <w:gridCol w:w="2872"/>
        <w:gridCol w:w="2872"/>
      </w:tblGrid>
      <w:tr>
        <w:trPr>
          <w:tblHeader w:val="true"/>
        </w:trPr>
        <w:tc>
          <w:tcPr>
            <w:tcW w:w="606" w:type="dxa"/>
            <w:tcBorders/>
          </w:tcPr>
          <w:p>
            <w:pPr>
              <w:pStyle w:val="Normal"/>
              <w:widowControl/>
              <w:snapToGrid w:val="false"/>
              <w:spacing w:lineRule="atLeast" w:line="380"/>
              <w:rPr>
                <w:spacing w:val="20"/>
                <w:sz w:val="27"/>
                <w:szCs w:val="27"/>
              </w:rPr>
            </w:pPr>
            <w:r>
              <w:rPr>
                <w:spacing w:val="20"/>
                <w:sz w:val="27"/>
                <w:szCs w:val="27"/>
              </w:rPr>
            </w:r>
          </w:p>
        </w:tc>
        <w:tc>
          <w:tcPr>
            <w:tcW w:w="2872" w:type="dxa"/>
            <w:tcBorders/>
          </w:tcPr>
          <w:p>
            <w:pPr>
              <w:pStyle w:val="Normal"/>
              <w:widowControl/>
              <w:snapToGrid w:val="false"/>
              <w:spacing w:lineRule="atLeast" w:line="380"/>
              <w:jc w:val="center"/>
              <w:rPr>
                <w:i/>
                <w:i/>
                <w:spacing w:val="20"/>
                <w:sz w:val="27"/>
                <w:szCs w:val="27"/>
              </w:rPr>
            </w:pPr>
            <w:r>
              <w:rPr>
                <w:i/>
                <w:spacing w:val="20"/>
                <w:sz w:val="27"/>
                <w:szCs w:val="27"/>
              </w:rPr>
              <w:t>機構名稱</w:t>
            </w:r>
            <w:r>
              <w:rPr>
                <w:i/>
                <w:spacing w:val="20"/>
                <w:sz w:val="27"/>
                <w:szCs w:val="27"/>
                <w:vertAlign w:val="superscript"/>
              </w:rPr>
              <w:t>#</w:t>
            </w:r>
          </w:p>
        </w:tc>
        <w:tc>
          <w:tcPr>
            <w:tcW w:w="2872" w:type="dxa"/>
            <w:tcBorders/>
          </w:tcPr>
          <w:p>
            <w:pPr>
              <w:pStyle w:val="Normal"/>
              <w:widowControl/>
              <w:snapToGrid w:val="false"/>
              <w:spacing w:lineRule="atLeast" w:line="380"/>
              <w:jc w:val="center"/>
              <w:rPr>
                <w:i/>
                <w:i/>
                <w:spacing w:val="20"/>
                <w:sz w:val="27"/>
                <w:szCs w:val="27"/>
              </w:rPr>
            </w:pPr>
            <w:r>
              <w:rPr>
                <w:i/>
                <w:spacing w:val="20"/>
                <w:sz w:val="27"/>
                <w:szCs w:val="27"/>
              </w:rPr>
              <w:t>項目名稱</w:t>
            </w:r>
            <w:r>
              <w:rPr>
                <w:i/>
                <w:spacing w:val="20"/>
                <w:sz w:val="27"/>
                <w:szCs w:val="27"/>
                <w:vertAlign w:val="superscript"/>
              </w:rPr>
              <w:t>#</w:t>
            </w:r>
          </w:p>
        </w:tc>
        <w:tc>
          <w:tcPr>
            <w:tcW w:w="2872" w:type="dxa"/>
            <w:tcBorders/>
          </w:tcPr>
          <w:p>
            <w:pPr>
              <w:pStyle w:val="Normal"/>
              <w:widowControl/>
              <w:snapToGrid w:val="false"/>
              <w:spacing w:lineRule="atLeast" w:line="380"/>
              <w:jc w:val="center"/>
              <w:rPr>
                <w:i/>
                <w:i/>
                <w:spacing w:val="20"/>
                <w:sz w:val="27"/>
                <w:szCs w:val="27"/>
              </w:rPr>
            </w:pPr>
            <w:r>
              <w:rPr>
                <w:i/>
                <w:spacing w:val="20"/>
                <w:sz w:val="27"/>
                <w:szCs w:val="27"/>
              </w:rPr>
              <w:t>獲批資助金額</w:t>
            </w:r>
            <w:r>
              <w:rPr>
                <w:i/>
                <w:spacing w:val="20"/>
                <w:sz w:val="27"/>
                <w:szCs w:val="27"/>
              </w:rPr>
              <w:t>(</w:t>
            </w:r>
            <w:r>
              <w:rPr>
                <w:i/>
                <w:spacing w:val="20"/>
                <w:sz w:val="27"/>
                <w:szCs w:val="27"/>
              </w:rPr>
              <w:t>元</w:t>
            </w:r>
            <w:r>
              <w:rPr>
                <w:i/>
                <w:spacing w:val="20"/>
                <w:sz w:val="27"/>
                <w:szCs w:val="27"/>
              </w:rPr>
              <w:t>)</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1</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馬鞍山青年協會</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2013-14 Youth-Children Understanding Social Issues and Policy Summer Program</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260,000</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2</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Roundtable Community Limited uRounders</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暑期青少年培訓計劃</w:t>
            </w:r>
            <w:r>
              <w:rPr>
                <w:spacing w:val="20"/>
                <w:sz w:val="27"/>
                <w:szCs w:val="27"/>
              </w:rPr>
              <w:t>Global Elites 2013</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300,000</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3</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九龍樂善堂 樂善堂李賢義裔群社─少數族裔支援中心</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微笑城市─跨種族多元文化共融體驗</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232,600</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4</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中山大學法律系香港同學會有限公司</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第十四屆《基本法》及國民常識網上問答比賽及推廣活動</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114,385</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5</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中華錫安傳道會有限公司 慈雲山錫安青少年綜合服務中心</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奮力圖強─社區和諧大使計劃</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127,240</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6</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仁愛堂有限公司 仁愛堂社區中心</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w:t>
            </w:r>
            <w:r>
              <w:rPr>
                <w:spacing w:val="20"/>
                <w:sz w:val="27"/>
                <w:szCs w:val="27"/>
              </w:rPr>
              <w:t>家常有‘仁’”</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104,925</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7</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孔教學院 德育及公民教育組</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弘仁愛展關懷嘉年華</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100,100</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8</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屯門婦聯有限公司 身心美服務中心</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w:t>
            </w:r>
            <w:r>
              <w:rPr>
                <w:spacing w:val="20"/>
                <w:sz w:val="27"/>
                <w:szCs w:val="27"/>
              </w:rPr>
              <w:t>童理家友”小富翁計劃</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120,816</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9</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匡智張玉瓊晨輝學校</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We love HK</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106,535</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10</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和富社會企業有限公司</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傑出公民學生獎勵計劃</w:t>
            </w:r>
            <w:r>
              <w:rPr>
                <w:spacing w:val="20"/>
                <w:sz w:val="27"/>
                <w:szCs w:val="27"/>
              </w:rPr>
              <w:t>2013</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126,361</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11</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東華三院 黃竹坑服務綜合大樓</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w:t>
            </w:r>
            <w:r>
              <w:rPr>
                <w:spacing w:val="20"/>
                <w:sz w:val="27"/>
                <w:szCs w:val="27"/>
              </w:rPr>
              <w:t>愛</w:t>
            </w:r>
            <w:r>
              <w:rPr>
                <w:rFonts w:ascii="華康細明體" w:hAnsi="華康細明體"/>
                <w:spacing w:val="20"/>
                <w:sz w:val="27"/>
                <w:szCs w:val="27"/>
              </w:rPr>
              <w:t>•</w:t>
            </w:r>
            <w:r>
              <w:rPr>
                <w:spacing w:val="20"/>
                <w:sz w:val="27"/>
                <w:szCs w:val="27"/>
              </w:rPr>
              <w:t>播</w:t>
            </w:r>
            <w:r>
              <w:rPr>
                <w:rFonts w:ascii="華康細明體" w:hAnsi="華康細明體"/>
                <w:spacing w:val="20"/>
                <w:sz w:val="27"/>
                <w:szCs w:val="27"/>
              </w:rPr>
              <w:t>•</w:t>
            </w:r>
            <w:r>
              <w:rPr>
                <w:spacing w:val="20"/>
                <w:sz w:val="27"/>
                <w:szCs w:val="27"/>
              </w:rPr>
              <w:t>送”精神健康推廣計劃</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102,770</w:t>
            </w:r>
          </w:p>
        </w:tc>
      </w:tr>
      <w:tr>
        <w:trPr/>
        <w:tc>
          <w:tcPr>
            <w:tcW w:w="606" w:type="dxa"/>
            <w:tcBorders/>
          </w:tcPr>
          <w:p>
            <w:pPr>
              <w:pStyle w:val="Normal"/>
              <w:widowControl/>
              <w:snapToGrid w:val="false"/>
              <w:spacing w:lineRule="atLeast" w:line="380"/>
              <w:jc w:val="center"/>
              <w:rPr>
                <w:spacing w:val="20"/>
                <w:sz w:val="27"/>
                <w:szCs w:val="27"/>
              </w:rPr>
            </w:pPr>
            <w:r>
              <w:rPr>
                <w:spacing w:val="20"/>
                <w:sz w:val="27"/>
                <w:szCs w:val="27"/>
              </w:rPr>
              <w:t>12</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長者安居服務協會</w:t>
            </w:r>
          </w:p>
        </w:tc>
        <w:tc>
          <w:tcPr>
            <w:tcW w:w="2872" w:type="dxa"/>
            <w:tcBorders/>
          </w:tcPr>
          <w:p>
            <w:pPr>
              <w:pStyle w:val="Normal"/>
              <w:widowControl/>
              <w:snapToGrid w:val="false"/>
              <w:spacing w:lineRule="atLeast" w:line="380"/>
              <w:ind w:left="28" w:hanging="0"/>
              <w:rPr>
                <w:spacing w:val="20"/>
                <w:sz w:val="27"/>
                <w:szCs w:val="27"/>
              </w:rPr>
            </w:pPr>
            <w:r>
              <w:rPr>
                <w:spacing w:val="20"/>
                <w:sz w:val="27"/>
                <w:szCs w:val="27"/>
              </w:rPr>
              <w:t>第十五屆“秘密天使”關愛長者計劃</w:t>
            </w:r>
          </w:p>
        </w:tc>
        <w:tc>
          <w:tcPr>
            <w:tcW w:w="2872" w:type="dxa"/>
            <w:tcBorders/>
          </w:tcPr>
          <w:p>
            <w:pPr>
              <w:pStyle w:val="Normal"/>
              <w:widowControl/>
              <w:snapToGrid w:val="false"/>
              <w:spacing w:lineRule="atLeast" w:line="380"/>
              <w:jc w:val="center"/>
              <w:rPr>
                <w:spacing w:val="20"/>
                <w:sz w:val="27"/>
                <w:szCs w:val="27"/>
              </w:rPr>
            </w:pPr>
            <w:r>
              <w:rPr>
                <w:spacing w:val="20"/>
                <w:sz w:val="27"/>
                <w:szCs w:val="27"/>
              </w:rPr>
              <w:t>138,963</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13</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保良局何蔭棠中學</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Hand in Hand Serves the Community 2013-</w:t>
              <w:br/>
              <w:t>2014 "Love Our Community" Social Service Scheme</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106,620</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14</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政府人員協會</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w:t>
            </w:r>
            <w:r>
              <w:rPr>
                <w:spacing w:val="20"/>
                <w:sz w:val="27"/>
                <w:szCs w:val="27"/>
              </w:rPr>
              <w:t>愛家愛國愛香港</w:t>
            </w:r>
            <w:r>
              <w:rPr>
                <w:rFonts w:ascii="華康細明體" w:hAnsi="華康細明體"/>
                <w:spacing w:val="20"/>
                <w:sz w:val="27"/>
                <w:szCs w:val="27"/>
              </w:rPr>
              <w:t>•</w:t>
            </w:r>
            <w:r>
              <w:rPr>
                <w:spacing w:val="20"/>
                <w:sz w:val="27"/>
                <w:szCs w:val="27"/>
              </w:rPr>
              <w:t>同根同心共繁榮”計劃</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161,834</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15</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致遠文化服務有限公司 大中華青年在線</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《基本法》的實施與影響─中港兩地專家聯席講座</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219,140</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16</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香港中文大學歷史系校友會</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經世致用─香港歷史青年領袖培訓學院</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182,220</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17</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香港兆基創意書院</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打開戲流平台</w:t>
            </w:r>
            <w:r>
              <w:rPr>
                <w:rFonts w:ascii="華康細明體" w:hAnsi="華康細明體"/>
                <w:spacing w:val="20"/>
                <w:sz w:val="27"/>
                <w:szCs w:val="27"/>
              </w:rPr>
              <w:t>•</w:t>
            </w:r>
            <w:r>
              <w:rPr>
                <w:spacing w:val="20"/>
                <w:sz w:val="27"/>
                <w:szCs w:val="27"/>
              </w:rPr>
              <w:t>“愛自己</w:t>
            </w:r>
            <w:r>
              <w:rPr>
                <w:rFonts w:ascii="華康細明體" w:hAnsi="華康細明體"/>
                <w:spacing w:val="20"/>
                <w:sz w:val="27"/>
                <w:szCs w:val="27"/>
              </w:rPr>
              <w:t>•</w:t>
            </w:r>
            <w:r>
              <w:rPr>
                <w:spacing w:val="20"/>
                <w:sz w:val="27"/>
                <w:szCs w:val="27"/>
              </w:rPr>
              <w:t>愛家人</w:t>
            </w:r>
            <w:r>
              <w:rPr>
                <w:rFonts w:ascii="華康細明體" w:hAnsi="華康細明體"/>
                <w:spacing w:val="20"/>
                <w:sz w:val="27"/>
                <w:szCs w:val="27"/>
              </w:rPr>
              <w:t>•</w:t>
            </w:r>
            <w:r>
              <w:rPr>
                <w:spacing w:val="20"/>
                <w:sz w:val="27"/>
                <w:szCs w:val="27"/>
              </w:rPr>
              <w:t>愛香港</w:t>
            </w:r>
            <w:r>
              <w:rPr>
                <w:rFonts w:ascii="華康細明體" w:hAnsi="華康細明體"/>
                <w:spacing w:val="20"/>
                <w:sz w:val="27"/>
                <w:szCs w:val="27"/>
              </w:rPr>
              <w:t>•</w:t>
            </w:r>
            <w:r>
              <w:rPr>
                <w:spacing w:val="20"/>
                <w:sz w:val="27"/>
                <w:szCs w:val="27"/>
              </w:rPr>
              <w:t>愛國家”青年戲劇比賽</w:t>
            </w:r>
            <w:r>
              <w:rPr>
                <w:spacing w:val="20"/>
                <w:sz w:val="27"/>
                <w:szCs w:val="27"/>
              </w:rPr>
              <w:t>2013-14</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263,108</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18</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香港西區婦女福利會 松鶴老人中心</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情繫“家”、“國”顯關懷</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112,308</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19</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香港青少年領袖發展協會 香港模擬立法會籌委會</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第六屆香港模擬立法會</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275,383</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20</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香港青少年領袖發展協會 社會服務委員會</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第四屆飛躍社會服務領袖計劃</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230,600</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21</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香港青年交流促進聯會</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w:t>
            </w:r>
            <w:r>
              <w:rPr>
                <w:spacing w:val="20"/>
                <w:sz w:val="27"/>
                <w:szCs w:val="27"/>
              </w:rPr>
              <w:t>發放夢想力！”夢想舞台</w:t>
            </w:r>
            <w:r>
              <w:rPr>
                <w:spacing w:val="20"/>
                <w:sz w:val="27"/>
                <w:szCs w:val="27"/>
              </w:rPr>
              <w:t>2013</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300,000</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22</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香港青年協進會有限公司</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w:t>
            </w:r>
            <w:r>
              <w:rPr>
                <w:spacing w:val="20"/>
                <w:sz w:val="27"/>
                <w:szCs w:val="27"/>
              </w:rPr>
              <w:t>認識祖國</w:t>
            </w:r>
            <w:r>
              <w:rPr>
                <w:rFonts w:ascii="華康細明體" w:hAnsi="華康細明體"/>
                <w:spacing w:val="20"/>
                <w:sz w:val="27"/>
                <w:szCs w:val="27"/>
              </w:rPr>
              <w:t>•</w:t>
            </w:r>
            <w:r>
              <w:rPr>
                <w:spacing w:val="20"/>
                <w:sz w:val="27"/>
                <w:szCs w:val="27"/>
              </w:rPr>
              <w:t>認識香港”問答比賽</w:t>
            </w:r>
            <w:r>
              <w:rPr>
                <w:spacing w:val="20"/>
                <w:sz w:val="27"/>
                <w:szCs w:val="27"/>
              </w:rPr>
              <w:t>2013</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292,460</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23</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香港青年協會 青年全健中心</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w:t>
            </w:r>
            <w:r>
              <w:rPr>
                <w:spacing w:val="20"/>
                <w:sz w:val="27"/>
                <w:szCs w:val="27"/>
              </w:rPr>
              <w:t>網絡達人”─網絡青年論壇劇場</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178,933</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24</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香港青年協會 賽馬會筲箕灣青年空間</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w:t>
            </w:r>
            <w:r>
              <w:rPr>
                <w:spacing w:val="20"/>
                <w:sz w:val="27"/>
                <w:szCs w:val="27"/>
              </w:rPr>
              <w:t>家愛睦鄰”關社計劃</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123,346</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25</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香港律師會</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青</w:t>
            </w:r>
            <w:r>
              <w:rPr>
                <w:spacing w:val="20"/>
                <w:sz w:val="27"/>
                <w:szCs w:val="27"/>
              </w:rPr>
              <w:t>Teen</w:t>
            </w:r>
            <w:r>
              <w:rPr>
                <w:spacing w:val="20"/>
                <w:sz w:val="27"/>
                <w:szCs w:val="27"/>
              </w:rPr>
              <w:t>廣場</w:t>
            </w:r>
            <w:r>
              <w:rPr>
                <w:spacing w:val="20"/>
                <w:sz w:val="27"/>
                <w:szCs w:val="27"/>
              </w:rPr>
              <w:t>2013</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300,000</w:t>
            </w:r>
          </w:p>
        </w:tc>
      </w:tr>
      <w:tr>
        <w:trPr/>
        <w:tc>
          <w:tcPr>
            <w:tcW w:w="606" w:type="dxa"/>
            <w:tcBorders/>
          </w:tcPr>
          <w:p>
            <w:pPr>
              <w:pStyle w:val="Normal"/>
              <w:widowControl/>
              <w:snapToGrid w:val="false"/>
              <w:spacing w:lineRule="atLeast" w:line="340"/>
              <w:jc w:val="center"/>
              <w:rPr>
                <w:spacing w:val="20"/>
                <w:sz w:val="27"/>
                <w:szCs w:val="27"/>
              </w:rPr>
            </w:pPr>
            <w:r>
              <w:rPr>
                <w:spacing w:val="20"/>
                <w:sz w:val="27"/>
                <w:szCs w:val="27"/>
              </w:rPr>
              <w:t>26</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香港基本法推介聯席會議</w:t>
            </w:r>
          </w:p>
        </w:tc>
        <w:tc>
          <w:tcPr>
            <w:tcW w:w="2872" w:type="dxa"/>
            <w:tcBorders/>
          </w:tcPr>
          <w:p>
            <w:pPr>
              <w:pStyle w:val="Normal"/>
              <w:widowControl/>
              <w:snapToGrid w:val="false"/>
              <w:spacing w:lineRule="atLeast" w:line="340"/>
              <w:ind w:left="28" w:hanging="0"/>
              <w:rPr>
                <w:spacing w:val="20"/>
                <w:sz w:val="27"/>
                <w:szCs w:val="27"/>
              </w:rPr>
            </w:pPr>
            <w:r>
              <w:rPr>
                <w:spacing w:val="20"/>
                <w:sz w:val="27"/>
                <w:szCs w:val="27"/>
              </w:rPr>
              <w:t>第十屆《基本法》大使培訓計劃─建設共融社會，由認識《基本法》開始</w:t>
            </w:r>
          </w:p>
        </w:tc>
        <w:tc>
          <w:tcPr>
            <w:tcW w:w="2872" w:type="dxa"/>
            <w:tcBorders/>
          </w:tcPr>
          <w:p>
            <w:pPr>
              <w:pStyle w:val="Normal"/>
              <w:widowControl/>
              <w:snapToGrid w:val="false"/>
              <w:spacing w:lineRule="atLeast" w:line="340"/>
              <w:jc w:val="center"/>
              <w:rPr>
                <w:spacing w:val="20"/>
                <w:sz w:val="27"/>
                <w:szCs w:val="27"/>
              </w:rPr>
            </w:pPr>
            <w:r>
              <w:rPr>
                <w:spacing w:val="20"/>
                <w:sz w:val="27"/>
                <w:szCs w:val="27"/>
              </w:rPr>
              <w:t>255,773</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27</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香港基督教女青年會 屯門綜合社會服務處</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快樂人生”之愛家</w:t>
            </w:r>
            <w:r>
              <w:rPr>
                <w:rFonts w:ascii="華康細明體" w:hAnsi="華康細明體"/>
                <w:spacing w:val="20"/>
                <w:sz w:val="27"/>
                <w:szCs w:val="27"/>
              </w:rPr>
              <w:t>•</w:t>
            </w:r>
            <w:r>
              <w:rPr>
                <w:spacing w:val="20"/>
                <w:sz w:val="27"/>
                <w:szCs w:val="27"/>
              </w:rPr>
              <w:t>愛香港社區實踐計劃</w:t>
            </w:r>
            <w:r>
              <w:rPr>
                <w:spacing w:val="20"/>
                <w:sz w:val="27"/>
                <w:szCs w:val="27"/>
              </w:rPr>
              <w:t>2013</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116,007</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28</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香港基督教女青年會 蝴蝶灣綜合社會服務處</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 xml:space="preserve">i Project </w:t>
            </w:r>
            <w:r>
              <w:rPr>
                <w:spacing w:val="20"/>
                <w:sz w:val="27"/>
                <w:szCs w:val="27"/>
              </w:rPr>
              <w:t>愛</w:t>
            </w:r>
            <w:r>
              <w:rPr>
                <w:rFonts w:ascii="華康細明體" w:hAnsi="華康細明體"/>
                <w:spacing w:val="20"/>
                <w:sz w:val="27"/>
                <w:szCs w:val="27"/>
              </w:rPr>
              <w:t>•</w:t>
            </w:r>
            <w:r>
              <w:rPr>
                <w:spacing w:val="20"/>
                <w:sz w:val="27"/>
                <w:szCs w:val="27"/>
              </w:rPr>
              <w:t>行動</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131,209</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29</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香港基督教協基會有限公司 屯門綜合青少年服務中心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愛、分享”社區關懷計劃</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105,230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30</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香港基督教協基會有限公司 黃埔綜合青少年服務中心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磅礡中國─新中國現今未來意象</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151,640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31</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香港婦聯有限公司</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愛我中華</w:t>
            </w:r>
            <w:r>
              <w:rPr>
                <w:rFonts w:ascii="華康細明體" w:hAnsi="華康細明體"/>
                <w:spacing w:val="20"/>
                <w:sz w:val="27"/>
                <w:szCs w:val="27"/>
              </w:rPr>
              <w:t>•</w:t>
            </w:r>
            <w:r>
              <w:rPr>
                <w:spacing w:val="20"/>
                <w:sz w:val="27"/>
                <w:szCs w:val="27"/>
              </w:rPr>
              <w:t>香江“大戲”流</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209,855</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32</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香港教育學院校友會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全港小學生</w:t>
            </w:r>
            <w:r>
              <w:rPr>
                <w:rFonts w:ascii="華康細明體" w:hAnsi="華康細明體"/>
                <w:spacing w:val="20"/>
                <w:sz w:val="27"/>
                <w:szCs w:val="27"/>
              </w:rPr>
              <w:t>•</w:t>
            </w:r>
            <w:r>
              <w:rPr>
                <w:spacing w:val="20"/>
                <w:sz w:val="27"/>
                <w:szCs w:val="27"/>
              </w:rPr>
              <w:t>關心祖國</w:t>
            </w:r>
            <w:r>
              <w:rPr>
                <w:rFonts w:ascii="華康細明體" w:hAnsi="華康細明體"/>
                <w:spacing w:val="20"/>
                <w:sz w:val="27"/>
                <w:szCs w:val="27"/>
              </w:rPr>
              <w:t>•</w:t>
            </w:r>
            <w:r>
              <w:rPr>
                <w:spacing w:val="20"/>
                <w:sz w:val="27"/>
                <w:szCs w:val="27"/>
              </w:rPr>
              <w:t>齊顯愛國情</w:t>
            </w:r>
            <w:r>
              <w:rPr>
                <w:spacing w:val="20"/>
                <w:sz w:val="27"/>
                <w:szCs w:val="27"/>
              </w:rPr>
              <w:t>(</w:t>
            </w:r>
            <w:r>
              <w:rPr>
                <w:spacing w:val="20"/>
                <w:sz w:val="27"/>
                <w:szCs w:val="27"/>
              </w:rPr>
              <w:t>第五屆</w:t>
            </w:r>
            <w:r>
              <w:rPr>
                <w:spacing w:val="20"/>
                <w:sz w:val="27"/>
                <w:szCs w:val="27"/>
              </w:rPr>
              <w:t>)</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199,896</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33</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香港循理會 循理會屯門青少年綜合服務中心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Four In Love 2013”</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216,710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34</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香港傷殘青年協會 賽馬會活動中心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傷健“演”義─成長活動計劃</w:t>
            </w:r>
            <w:r>
              <w:rPr>
                <w:spacing w:val="20"/>
                <w:sz w:val="27"/>
                <w:szCs w:val="27"/>
              </w:rPr>
              <w:t>2013-2014</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130,700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35</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香港聖公會麥理浩夫人中心 林植宣博士老人綜合服務中心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耆愛童話正能量</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108,338</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36</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 xml:space="preserve">香港聾人福利促進會 </w:t>
            </w:r>
            <w:r>
              <w:rPr>
                <w:spacing w:val="20"/>
                <w:sz w:val="27"/>
                <w:szCs w:val="27"/>
              </w:rPr>
              <w:t xml:space="preserve">Tseung Kwan O Multi Service Centre, Social and Recreation Centre </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Deaf Awareness Community Education Campaign</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110,050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37</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家長匯習有限公司</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天使家長訓練班</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220,000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38</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基督教宣道會香港區聯會有限公司 基督教宣道會五旬節堂睦鄰中心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以愛還愛”關愛社區計劃</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111,260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39</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基督教宣道會香港區聯會有限公司 基督教宣道會利福長者鄰舍中心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耆義友善行動</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123,030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40</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新生精神康復會 安泰軒</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愛</w:t>
            </w:r>
            <w:r>
              <w:rPr>
                <w:rFonts w:ascii="華康細明體" w:hAnsi="華康細明體"/>
                <w:spacing w:val="20"/>
                <w:sz w:val="27"/>
                <w:szCs w:val="27"/>
              </w:rPr>
              <w:t>•</w:t>
            </w:r>
            <w:r>
              <w:rPr>
                <w:spacing w:val="20"/>
                <w:sz w:val="27"/>
                <w:szCs w:val="27"/>
              </w:rPr>
              <w:t>融</w:t>
            </w:r>
            <w:r>
              <w:rPr>
                <w:rFonts w:ascii="華康細明體" w:hAnsi="華康細明體"/>
                <w:spacing w:val="20"/>
                <w:sz w:val="27"/>
                <w:szCs w:val="27"/>
              </w:rPr>
              <w:t>•</w:t>
            </w:r>
            <w:r>
              <w:rPr>
                <w:spacing w:val="20"/>
                <w:sz w:val="27"/>
                <w:szCs w:val="27"/>
              </w:rPr>
              <w:t>義”友伴同行在社區</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162,100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41</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新青年論壇有限公司</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第八屆</w:t>
            </w:r>
            <w:r>
              <w:rPr>
                <w:spacing w:val="20"/>
                <w:sz w:val="27"/>
                <w:szCs w:val="27"/>
              </w:rPr>
              <w:t>DV</w:t>
            </w:r>
            <w:r>
              <w:rPr>
                <w:spacing w:val="20"/>
                <w:sz w:val="27"/>
                <w:szCs w:val="27"/>
              </w:rPr>
              <w:t>頭青年社會觀察行動</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186,500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42</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新界青年聯會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團結愛</w:t>
            </w:r>
            <w:r>
              <w:rPr>
                <w:rFonts w:ascii="華康細明體" w:hAnsi="華康細明體"/>
                <w:spacing w:val="20"/>
                <w:sz w:val="27"/>
                <w:szCs w:val="27"/>
              </w:rPr>
              <w:t>•</w:t>
            </w:r>
            <w:r>
              <w:rPr>
                <w:spacing w:val="20"/>
                <w:sz w:val="27"/>
                <w:szCs w:val="27"/>
              </w:rPr>
              <w:t>青年樂滿載”公民教育系列活動</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176,078</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43</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新婦女協進會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人權微影節</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118,073</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44</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演活藝術教育舞台</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生命劇場</w:t>
            </w:r>
            <w:r>
              <w:rPr>
                <w:rFonts w:ascii="華康細明體" w:hAnsi="華康細明體"/>
                <w:spacing w:val="20"/>
                <w:sz w:val="27"/>
                <w:szCs w:val="27"/>
              </w:rPr>
              <w:t>〈</w:t>
            </w:r>
            <w:r>
              <w:rPr>
                <w:spacing w:val="20"/>
                <w:sz w:val="27"/>
                <w:szCs w:val="27"/>
              </w:rPr>
              <w:t>閃亮星星人生</w:t>
            </w:r>
            <w:r>
              <w:rPr>
                <w:rFonts w:ascii="華康細明體" w:hAnsi="華康細明體"/>
                <w:spacing w:val="20"/>
                <w:sz w:val="27"/>
                <w:szCs w:val="27"/>
              </w:rPr>
              <w:t>〉</w:t>
            </w:r>
            <w:r>
              <w:rPr>
                <w:spacing w:val="20"/>
                <w:sz w:val="27"/>
                <w:szCs w:val="27"/>
              </w:rPr>
              <w:t>學校巡迴演出</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168,960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45</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蒲窩青少年中心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愛香港</w:t>
            </w:r>
            <w:r>
              <w:rPr>
                <w:rFonts w:ascii="華康細明體" w:hAnsi="華康細明體"/>
                <w:spacing w:val="20"/>
                <w:sz w:val="27"/>
                <w:szCs w:val="27"/>
              </w:rPr>
              <w:t>•</w:t>
            </w:r>
            <w:r>
              <w:rPr>
                <w:spacing w:val="20"/>
                <w:sz w:val="27"/>
                <w:szCs w:val="27"/>
              </w:rPr>
              <w:t>愛文物”計劃</w:t>
            </w:r>
            <w:r>
              <w:rPr>
                <w:spacing w:val="20"/>
                <w:sz w:val="27"/>
                <w:szCs w:val="27"/>
              </w:rPr>
              <w:t>2013</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192,965</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46</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樂群社會服務處 北角服務中心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傳播愛，由己做起</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139,180</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47</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學友社</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第二十二屆全港中學生十大新聞選舉</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212,403</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48</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學友社 潛能發展中心</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明日領航者計劃</w:t>
            </w:r>
            <w:r>
              <w:rPr>
                <w:spacing w:val="20"/>
                <w:sz w:val="27"/>
                <w:szCs w:val="27"/>
              </w:rPr>
              <w:t>2013</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237,095</w:t>
            </w:r>
          </w:p>
        </w:tc>
      </w:tr>
      <w:tr>
        <w:trPr/>
        <w:tc>
          <w:tcPr>
            <w:tcW w:w="606" w:type="dxa"/>
            <w:tcBorders/>
          </w:tcPr>
          <w:p>
            <w:pPr>
              <w:pStyle w:val="Normal"/>
              <w:widowControl/>
              <w:snapToGrid w:val="false"/>
              <w:spacing w:lineRule="exact" w:line="340"/>
              <w:jc w:val="center"/>
              <w:rPr>
                <w:spacing w:val="20"/>
                <w:sz w:val="27"/>
                <w:szCs w:val="27"/>
              </w:rPr>
            </w:pPr>
            <w:r>
              <w:rPr>
                <w:spacing w:val="20"/>
                <w:sz w:val="27"/>
                <w:szCs w:val="27"/>
              </w:rPr>
              <w:t>49</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觀塘新青年論壇</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青年政治學堂─公民社會體驗計劃</w:t>
            </w:r>
            <w:r>
              <w:rPr>
                <w:spacing w:val="20"/>
                <w:sz w:val="27"/>
                <w:szCs w:val="27"/>
              </w:rPr>
              <w:t>2013</w:t>
            </w:r>
            <w:r>
              <w:rPr>
                <w:spacing w:val="20"/>
                <w:sz w:val="27"/>
                <w:szCs w:val="27"/>
              </w:rPr>
              <w:t>：“中港融合：香港發展與機遇”</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129,676</w:t>
            </w:r>
          </w:p>
        </w:tc>
      </w:tr>
    </w:tbl>
    <w:p>
      <w:pPr>
        <w:pStyle w:val="Normal"/>
        <w:widowControl/>
        <w:snapToGrid w:val="false"/>
        <w:spacing w:lineRule="auto" w:line="240"/>
        <w:rPr>
          <w:spacing w:val="20"/>
          <w:sz w:val="20"/>
          <w:szCs w:val="20"/>
        </w:rPr>
      </w:pPr>
      <w:r>
        <w:rPr>
          <w:spacing w:val="20"/>
          <w:sz w:val="20"/>
          <w:szCs w:val="20"/>
        </w:rPr>
      </w:r>
    </w:p>
    <w:p>
      <w:pPr>
        <w:pStyle w:val="Normal"/>
        <w:widowControl/>
        <w:snapToGrid w:val="false"/>
        <w:spacing w:lineRule="auto" w:line="240"/>
        <w:rPr>
          <w:spacing w:val="20"/>
          <w:sz w:val="20"/>
        </w:rPr>
      </w:pPr>
      <w:r>
        <w:rPr>
          <w:spacing w:val="20"/>
          <w:sz w:val="20"/>
        </w:rPr>
        <w:t>註：</w:t>
      </w:r>
    </w:p>
    <w:p>
      <w:pPr>
        <w:pStyle w:val="Normal"/>
        <w:widowControl/>
        <w:snapToGrid w:val="false"/>
        <w:spacing w:lineRule="auto" w:line="240"/>
        <w:rPr>
          <w:spacing w:val="20"/>
          <w:sz w:val="20"/>
        </w:rPr>
      </w:pPr>
      <w:r>
        <w:rPr>
          <w:spacing w:val="20"/>
          <w:sz w:val="20"/>
        </w:rPr>
      </w:r>
    </w:p>
    <w:p>
      <w:pPr>
        <w:pStyle w:val="Normal"/>
        <w:widowControl/>
        <w:tabs>
          <w:tab w:val="clear" w:pos="720"/>
        </w:tabs>
        <w:snapToGrid w:val="false"/>
        <w:spacing w:lineRule="auto" w:line="240"/>
        <w:rPr>
          <w:spacing w:val="20"/>
          <w:sz w:val="20"/>
        </w:rPr>
      </w:pPr>
      <w:r>
        <w:rPr>
          <w:spacing w:val="20"/>
          <w:sz w:val="20"/>
        </w:rPr>
        <w:t>#</w:t>
        <w:tab/>
      </w:r>
      <w:r>
        <w:rPr>
          <w:spacing w:val="20"/>
          <w:sz w:val="20"/>
        </w:rPr>
        <w:t>部分機構及項目只有英文名稱。</w:t>
      </w:r>
    </w:p>
    <w:p>
      <w:pPr>
        <w:pStyle w:val="Normal"/>
        <w:widowControl/>
        <w:snapToGrid w:val="false"/>
        <w:spacing w:lineRule="atLeast" w:line="300"/>
        <w:rPr>
          <w:spacing w:val="20"/>
          <w:sz w:val="27"/>
          <w:szCs w:val="27"/>
        </w:rPr>
      </w:pPr>
      <w:r>
        <w:rPr>
          <w:spacing w:val="20"/>
          <w:sz w:val="27"/>
          <w:szCs w:val="27"/>
        </w:rPr>
      </w:r>
    </w:p>
    <w:p>
      <w:pPr>
        <w:pStyle w:val="Normal"/>
        <w:widowControl/>
        <w:snapToGrid w:val="false"/>
        <w:spacing w:lineRule="atLeast" w:line="300"/>
        <w:rPr>
          <w:spacing w:val="20"/>
          <w:sz w:val="27"/>
          <w:szCs w:val="27"/>
        </w:rPr>
      </w:pPr>
      <w:r>
        <w:rPr>
          <w:spacing w:val="20"/>
          <w:sz w:val="27"/>
          <w:szCs w:val="27"/>
        </w:rPr>
      </w:r>
    </w:p>
    <w:p>
      <w:pPr>
        <w:pStyle w:val="Normal"/>
        <w:widowControl/>
        <w:snapToGrid w:val="false"/>
        <w:spacing w:lineRule="atLeast" w:line="300"/>
        <w:jc w:val="right"/>
        <w:rPr>
          <w:spacing w:val="20"/>
          <w:sz w:val="27"/>
          <w:szCs w:val="27"/>
        </w:rPr>
      </w:pPr>
      <w:r>
        <w:rPr>
          <w:spacing w:val="20"/>
          <w:sz w:val="27"/>
          <w:szCs w:val="27"/>
        </w:rPr>
        <w:t>附件三</w:t>
      </w:r>
    </w:p>
    <w:p>
      <w:pPr>
        <w:pStyle w:val="Normal"/>
        <w:widowControl/>
        <w:snapToGrid w:val="false"/>
        <w:spacing w:lineRule="atLeast" w:line="300"/>
        <w:jc w:val="right"/>
        <w:rPr>
          <w:spacing w:val="20"/>
          <w:sz w:val="27"/>
          <w:szCs w:val="27"/>
        </w:rPr>
      </w:pPr>
      <w:r>
        <w:rPr>
          <w:spacing w:val="20"/>
          <w:sz w:val="27"/>
          <w:szCs w:val="27"/>
        </w:rPr>
      </w:r>
    </w:p>
    <w:p>
      <w:pPr>
        <w:pStyle w:val="Normal"/>
        <w:widowControl/>
        <w:snapToGrid w:val="false"/>
        <w:spacing w:lineRule="atLeast" w:line="300"/>
        <w:jc w:val="center"/>
        <w:rPr>
          <w:spacing w:val="20"/>
          <w:sz w:val="27"/>
          <w:szCs w:val="27"/>
        </w:rPr>
      </w:pPr>
      <w:r>
        <w:rPr>
          <w:spacing w:val="20"/>
          <w:sz w:val="27"/>
          <w:szCs w:val="27"/>
        </w:rPr>
        <w:t>2014-2015</w:t>
      </w:r>
      <w:r>
        <w:rPr>
          <w:spacing w:val="20"/>
          <w:sz w:val="27"/>
          <w:szCs w:val="27"/>
        </w:rPr>
        <w:t>年度在公民教育活動資助計劃下獲批資助的項目</w:t>
      </w:r>
    </w:p>
    <w:p>
      <w:pPr>
        <w:pStyle w:val="Normal"/>
        <w:widowControl/>
        <w:snapToGrid w:val="false"/>
        <w:spacing w:lineRule="atLeast" w:line="300"/>
        <w:jc w:val="center"/>
        <w:rPr>
          <w:spacing w:val="20"/>
          <w:sz w:val="27"/>
          <w:szCs w:val="27"/>
        </w:rPr>
      </w:pPr>
      <w:r>
        <w:rPr>
          <w:spacing w:val="20"/>
          <w:sz w:val="27"/>
          <w:szCs w:val="27"/>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605"/>
        <w:gridCol w:w="2872"/>
        <w:gridCol w:w="2873"/>
        <w:gridCol w:w="2872"/>
      </w:tblGrid>
      <w:tr>
        <w:trPr>
          <w:tblHeader w:val="true"/>
        </w:trPr>
        <w:tc>
          <w:tcPr>
            <w:tcW w:w="605" w:type="dxa"/>
            <w:tcBorders/>
          </w:tcPr>
          <w:p>
            <w:pPr>
              <w:pStyle w:val="Normal"/>
              <w:widowControl/>
              <w:snapToGrid w:val="false"/>
              <w:spacing w:lineRule="exact" w:line="340"/>
              <w:jc w:val="center"/>
              <w:rPr>
                <w:spacing w:val="20"/>
                <w:sz w:val="27"/>
                <w:szCs w:val="27"/>
              </w:rPr>
            </w:pPr>
            <w:r>
              <w:rPr>
                <w:spacing w:val="20"/>
                <w:sz w:val="27"/>
                <w:szCs w:val="27"/>
              </w:rPr>
            </w:r>
          </w:p>
        </w:tc>
        <w:tc>
          <w:tcPr>
            <w:tcW w:w="2872" w:type="dxa"/>
            <w:tcBorders/>
          </w:tcPr>
          <w:p>
            <w:pPr>
              <w:pStyle w:val="Normal"/>
              <w:widowControl/>
              <w:snapToGrid w:val="false"/>
              <w:spacing w:lineRule="exact" w:line="340"/>
              <w:jc w:val="center"/>
              <w:rPr>
                <w:i/>
                <w:i/>
                <w:spacing w:val="20"/>
                <w:sz w:val="27"/>
                <w:szCs w:val="27"/>
              </w:rPr>
            </w:pPr>
            <w:r>
              <w:rPr>
                <w:i/>
                <w:spacing w:val="20"/>
                <w:sz w:val="27"/>
                <w:szCs w:val="27"/>
              </w:rPr>
              <w:t>機構名稱</w:t>
            </w:r>
            <w:r>
              <w:rPr>
                <w:i/>
                <w:spacing w:val="20"/>
                <w:sz w:val="27"/>
                <w:szCs w:val="27"/>
                <w:vertAlign w:val="superscript"/>
              </w:rPr>
              <w:t>#</w:t>
            </w:r>
          </w:p>
        </w:tc>
        <w:tc>
          <w:tcPr>
            <w:tcW w:w="2873" w:type="dxa"/>
            <w:tcBorders/>
          </w:tcPr>
          <w:p>
            <w:pPr>
              <w:pStyle w:val="Normal"/>
              <w:widowControl/>
              <w:snapToGrid w:val="false"/>
              <w:spacing w:lineRule="exact" w:line="340"/>
              <w:jc w:val="center"/>
              <w:rPr>
                <w:i/>
                <w:i/>
                <w:spacing w:val="20"/>
                <w:sz w:val="27"/>
                <w:szCs w:val="27"/>
              </w:rPr>
            </w:pPr>
            <w:r>
              <w:rPr>
                <w:i/>
                <w:spacing w:val="20"/>
                <w:sz w:val="27"/>
                <w:szCs w:val="27"/>
              </w:rPr>
              <w:t>項目名稱</w:t>
            </w:r>
            <w:r>
              <w:rPr>
                <w:i/>
                <w:spacing w:val="20"/>
                <w:sz w:val="27"/>
                <w:szCs w:val="27"/>
                <w:vertAlign w:val="superscript"/>
              </w:rPr>
              <w:t>#</w:t>
            </w:r>
          </w:p>
        </w:tc>
        <w:tc>
          <w:tcPr>
            <w:tcW w:w="2872" w:type="dxa"/>
            <w:tcBorders/>
          </w:tcPr>
          <w:p>
            <w:pPr>
              <w:pStyle w:val="Normal"/>
              <w:widowControl/>
              <w:snapToGrid w:val="false"/>
              <w:spacing w:lineRule="exact" w:line="340"/>
              <w:jc w:val="center"/>
              <w:rPr>
                <w:i/>
                <w:i/>
                <w:spacing w:val="20"/>
                <w:sz w:val="27"/>
                <w:szCs w:val="27"/>
              </w:rPr>
            </w:pPr>
            <w:r>
              <w:rPr>
                <w:i/>
                <w:spacing w:val="20"/>
                <w:sz w:val="27"/>
                <w:szCs w:val="27"/>
              </w:rPr>
              <w:t>獲批資助金額</w:t>
            </w:r>
            <w:r>
              <w:rPr>
                <w:i/>
                <w:spacing w:val="20"/>
                <w:sz w:val="27"/>
                <w:szCs w:val="27"/>
              </w:rPr>
              <w:t>(</w:t>
            </w:r>
            <w:r>
              <w:rPr>
                <w:i/>
                <w:spacing w:val="20"/>
                <w:sz w:val="27"/>
                <w:szCs w:val="27"/>
              </w:rPr>
              <w:t>元</w:t>
            </w:r>
            <w:r>
              <w:rPr>
                <w:i/>
                <w:spacing w:val="20"/>
                <w:sz w:val="27"/>
                <w:szCs w:val="27"/>
              </w:rPr>
              <w:t>)</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Roundtable Community Limited uRounders</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暑期青少年培訓計劃</w:t>
            </w:r>
            <w:r>
              <w:rPr>
                <w:spacing w:val="20"/>
                <w:sz w:val="27"/>
                <w:szCs w:val="27"/>
              </w:rPr>
              <w:t>Global Elites 2014</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179,162</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2</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九龍社團聯會 婦女事務委員會</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親子樂同行”計劃</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104,682</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3</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九龍社團聯會黃大仙地區委員會</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躍動全城─《基本法》大格鬥活動</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217,722</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4</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九龍婦女聯會有限公司</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愛’穿越”儒學尋蹤</w:t>
            </w:r>
            <w:r>
              <w:rPr>
                <w:rFonts w:ascii="華康細明體" w:hAnsi="華康細明體"/>
                <w:spacing w:val="20"/>
                <w:sz w:val="27"/>
                <w:szCs w:val="27"/>
              </w:rPr>
              <w:t>•</w:t>
            </w:r>
            <w:r>
              <w:rPr>
                <w:spacing w:val="20"/>
                <w:sz w:val="27"/>
                <w:szCs w:val="27"/>
              </w:rPr>
              <w:t>傳統中華文化知識─網上競答比賽</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267,737</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5</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中山大學法律系香港同學會有限公司</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第十五屆《基本法》及國民常識網上問答比賽及推廣活動</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189,715</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6</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屯門婦聯有限公司 身心美服務中心</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童理家友”</w:t>
            </w:r>
            <w:r>
              <w:rPr>
                <w:spacing w:val="20"/>
                <w:sz w:val="27"/>
                <w:szCs w:val="27"/>
              </w:rPr>
              <w:t>E</w:t>
            </w:r>
            <w:r>
              <w:rPr>
                <w:spacing w:val="20"/>
                <w:sz w:val="27"/>
                <w:szCs w:val="27"/>
              </w:rPr>
              <w:t>道篇</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111,738</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7</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匡智張玉瓊晨輝學校</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關愛互享樂社群</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153,170</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8</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和富社會企業有限公司</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傑出公民學生獎勵計劃</w:t>
            </w:r>
            <w:r>
              <w:rPr>
                <w:spacing w:val="20"/>
                <w:sz w:val="27"/>
                <w:szCs w:val="27"/>
              </w:rPr>
              <w:t>2014</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181,666</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9</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明光社</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愛與尊重：真愛同尋”─青少年交流體驗計劃</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140,983</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10</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東華三院 學校社會工作服務</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正向人生”青年大使培訓及社區教育計劃</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112,620</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11</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東華三院 黃竹坑服務綜合大樓</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天堂鳥”精神健康推廣計劃</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144,350</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12</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青年新世界有限公司</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逆流計劃</w:t>
            </w:r>
            <w:r>
              <w:rPr>
                <w:spacing w:val="20"/>
                <w:sz w:val="27"/>
                <w:szCs w:val="27"/>
              </w:rPr>
              <w:t>Project Runway</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237,100</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13</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保良局何蔭棠中學</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Hand in Hand Serves the Community 2014/ 2015 "Beyond the Barrier" Social Service Scheme</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102,370</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14</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致遠文化服務有限公司 大中華青年在線</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中港兩地專家聯席座談《基本法》</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175,100</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15</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香港女童軍總會</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家</w:t>
            </w:r>
            <w:r>
              <w:rPr>
                <w:rFonts w:ascii="華康細明體" w:hAnsi="華康細明體"/>
                <w:spacing w:val="20"/>
                <w:sz w:val="27"/>
                <w:szCs w:val="27"/>
              </w:rPr>
              <w:t>•</w:t>
            </w:r>
            <w:r>
              <w:rPr>
                <w:spacing w:val="20"/>
                <w:sz w:val="27"/>
                <w:szCs w:val="27"/>
              </w:rPr>
              <w:t>伴你行”定向同樂日</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116,928</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16</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香港小童群益會 賽馬會油塘青少年綜合服務中心</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《油塘友好公盟》故事計劃</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117,286</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17</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香港中文大學歷史系校友會</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經世致用─香港歷史青年領袖學院</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213,882</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18</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香港中華文化發展聯合會有限公司</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華夏風情一分鐘</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238,280</w:t>
            </w:r>
          </w:p>
        </w:tc>
      </w:tr>
      <w:tr>
        <w:trPr/>
        <w:tc>
          <w:tcPr>
            <w:tcW w:w="605" w:type="dxa"/>
            <w:tcBorders/>
          </w:tcPr>
          <w:p>
            <w:pPr>
              <w:pStyle w:val="Normal"/>
              <w:widowControl/>
              <w:snapToGrid w:val="false"/>
              <w:spacing w:lineRule="exact" w:line="340"/>
              <w:jc w:val="center"/>
              <w:rPr>
                <w:spacing w:val="20"/>
                <w:sz w:val="27"/>
                <w:szCs w:val="27"/>
              </w:rPr>
            </w:pPr>
            <w:r>
              <w:rPr>
                <w:spacing w:val="20"/>
                <w:sz w:val="27"/>
                <w:szCs w:val="27"/>
              </w:rPr>
              <w:t>19</w:t>
            </w:r>
          </w:p>
        </w:tc>
        <w:tc>
          <w:tcPr>
            <w:tcW w:w="2872" w:type="dxa"/>
            <w:tcBorders/>
          </w:tcPr>
          <w:p>
            <w:pPr>
              <w:pStyle w:val="Normal"/>
              <w:widowControl/>
              <w:snapToGrid w:val="false"/>
              <w:spacing w:lineRule="exact" w:line="340"/>
              <w:ind w:left="28" w:hanging="0"/>
              <w:rPr>
                <w:spacing w:val="20"/>
                <w:sz w:val="27"/>
                <w:szCs w:val="27"/>
              </w:rPr>
            </w:pPr>
            <w:r>
              <w:rPr>
                <w:spacing w:val="20"/>
                <w:sz w:val="27"/>
                <w:szCs w:val="27"/>
              </w:rPr>
              <w:t>香港中華基督教青年會 天水圍天晴會所</w:t>
            </w:r>
          </w:p>
        </w:tc>
        <w:tc>
          <w:tcPr>
            <w:tcW w:w="2873" w:type="dxa"/>
            <w:tcBorders/>
          </w:tcPr>
          <w:p>
            <w:pPr>
              <w:pStyle w:val="Normal"/>
              <w:widowControl/>
              <w:snapToGrid w:val="false"/>
              <w:spacing w:lineRule="exact" w:line="340"/>
              <w:ind w:left="28" w:hanging="0"/>
              <w:rPr>
                <w:spacing w:val="20"/>
                <w:sz w:val="27"/>
                <w:szCs w:val="27"/>
              </w:rPr>
            </w:pPr>
            <w:r>
              <w:rPr>
                <w:spacing w:val="20"/>
                <w:sz w:val="27"/>
                <w:szCs w:val="27"/>
              </w:rPr>
              <w:t>“</w:t>
            </w:r>
            <w:r>
              <w:rPr>
                <w:spacing w:val="20"/>
                <w:sz w:val="27"/>
                <w:szCs w:val="27"/>
              </w:rPr>
              <w:t>暖</w:t>
            </w:r>
            <w:r>
              <w:rPr>
                <w:spacing w:val="20"/>
                <w:sz w:val="27"/>
                <w:szCs w:val="27"/>
              </w:rPr>
              <w:t>LOVE</w:t>
            </w:r>
            <w:r>
              <w:rPr>
                <w:rFonts w:ascii="華康細明體" w:hAnsi="華康細明體"/>
                <w:spacing w:val="20"/>
                <w:sz w:val="27"/>
                <w:szCs w:val="27"/>
              </w:rPr>
              <w:t>•</w:t>
            </w:r>
            <w:r>
              <w:rPr>
                <w:spacing w:val="20"/>
                <w:sz w:val="27"/>
                <w:szCs w:val="27"/>
              </w:rPr>
              <w:t>LOVE”</w:t>
            </w:r>
            <w:r>
              <w:rPr>
                <w:spacing w:val="20"/>
                <w:sz w:val="27"/>
                <w:szCs w:val="27"/>
              </w:rPr>
              <w:t>關愛大行動</w:t>
            </w:r>
          </w:p>
        </w:tc>
        <w:tc>
          <w:tcPr>
            <w:tcW w:w="2872" w:type="dxa"/>
            <w:tcBorders/>
          </w:tcPr>
          <w:p>
            <w:pPr>
              <w:pStyle w:val="Normal"/>
              <w:widowControl/>
              <w:snapToGrid w:val="false"/>
              <w:spacing w:lineRule="exact" w:line="340"/>
              <w:jc w:val="center"/>
              <w:rPr>
                <w:spacing w:val="20"/>
                <w:sz w:val="27"/>
                <w:szCs w:val="27"/>
              </w:rPr>
            </w:pPr>
            <w:r>
              <w:rPr>
                <w:spacing w:val="20"/>
                <w:sz w:val="27"/>
                <w:szCs w:val="27"/>
              </w:rPr>
              <w:t>147,348</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20</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香港中華基督教青年會 顯徑會所</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兒童議員計劃</w:t>
            </w:r>
            <w:r>
              <w:rPr>
                <w:spacing w:val="20"/>
                <w:sz w:val="27"/>
                <w:szCs w:val="27"/>
              </w:rPr>
              <w:t>2014</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143,708</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21</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香港西區婦女福利會 松鶴老人中心</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心繫“家”、“國”顯濃情</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132,324</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22</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香港青少年領袖發展協會 香港模擬立法會籌委會</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第七屆香港模擬立法會</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300,000</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23</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 xml:space="preserve">香港青少年領袖發展協會 </w:t>
            </w:r>
            <w:r>
              <w:rPr>
                <w:spacing w:val="20"/>
                <w:sz w:val="27"/>
                <w:szCs w:val="27"/>
              </w:rPr>
              <w:t xml:space="preserve">Organizing Committee for Global Youth Ministers </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Global Youth Ministers 2014</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200,000</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24</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香港青少年領袖發展協會 社會服務委員會</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第五屆飛躍社會服務領袖計劃</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262,550</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25</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香港青年交流之友有限公司</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w:t>
            </w:r>
            <w:r>
              <w:rPr>
                <w:spacing w:val="20"/>
                <w:sz w:val="27"/>
                <w:szCs w:val="27"/>
              </w:rPr>
              <w:t>發放夢想力</w:t>
            </w:r>
            <w:r>
              <w:rPr>
                <w:spacing w:val="20"/>
                <w:sz w:val="27"/>
                <w:szCs w:val="27"/>
              </w:rPr>
              <w:t>!”</w:t>
            </w:r>
            <w:r>
              <w:rPr>
                <w:spacing w:val="20"/>
                <w:sz w:val="27"/>
                <w:szCs w:val="27"/>
              </w:rPr>
              <w:t>夢想舞台</w:t>
            </w:r>
            <w:r>
              <w:rPr>
                <w:spacing w:val="20"/>
                <w:sz w:val="27"/>
                <w:szCs w:val="27"/>
              </w:rPr>
              <w:t>2014</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300,000</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26</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香港青年協進會有限公司</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w:t>
            </w:r>
            <w:r>
              <w:rPr>
                <w:spacing w:val="20"/>
                <w:sz w:val="27"/>
                <w:szCs w:val="27"/>
              </w:rPr>
              <w:t>認識祖國</w:t>
            </w:r>
            <w:r>
              <w:rPr>
                <w:rFonts w:ascii="華康細明體" w:hAnsi="華康細明體"/>
                <w:spacing w:val="20"/>
                <w:sz w:val="27"/>
                <w:szCs w:val="27"/>
              </w:rPr>
              <w:t>•</w:t>
            </w:r>
            <w:r>
              <w:rPr>
                <w:spacing w:val="20"/>
                <w:sz w:val="27"/>
                <w:szCs w:val="27"/>
              </w:rPr>
              <w:t>認識香港”問答比賽</w:t>
            </w:r>
            <w:r>
              <w:rPr>
                <w:spacing w:val="20"/>
                <w:sz w:val="27"/>
                <w:szCs w:val="27"/>
              </w:rPr>
              <w:t>2014</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217,190</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27</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香港青年協會 賽馬會</w:t>
            </w:r>
            <w:r>
              <w:rPr>
                <w:spacing w:val="20"/>
                <w:sz w:val="27"/>
                <w:szCs w:val="27"/>
              </w:rPr>
              <w:t>Media 21</w:t>
            </w:r>
            <w:r>
              <w:rPr>
                <w:spacing w:val="20"/>
                <w:sz w:val="27"/>
                <w:szCs w:val="27"/>
              </w:rPr>
              <w:t>媒體空間</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M21</w:t>
            </w:r>
            <w:r>
              <w:rPr>
                <w:spacing w:val="20"/>
                <w:sz w:val="27"/>
                <w:szCs w:val="27"/>
              </w:rPr>
              <w:t>香港集作─“愛香港”拍攝</w:t>
            </w:r>
            <w:r>
              <w:rPr>
                <w:spacing w:val="20"/>
                <w:sz w:val="27"/>
                <w:szCs w:val="27"/>
              </w:rPr>
              <w:t>48</w:t>
            </w:r>
            <w:r>
              <w:rPr>
                <w:spacing w:val="20"/>
                <w:sz w:val="27"/>
                <w:szCs w:val="27"/>
              </w:rPr>
              <w:t>小時計劃</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225,760</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28</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香港律師會</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青</w:t>
            </w:r>
            <w:r>
              <w:rPr>
                <w:spacing w:val="20"/>
                <w:sz w:val="27"/>
                <w:szCs w:val="27"/>
              </w:rPr>
              <w:t>Teen</w:t>
            </w:r>
            <w:r>
              <w:rPr>
                <w:spacing w:val="20"/>
                <w:sz w:val="27"/>
                <w:szCs w:val="27"/>
              </w:rPr>
              <w:t>廣場</w:t>
            </w:r>
            <w:r>
              <w:rPr>
                <w:spacing w:val="20"/>
                <w:sz w:val="27"/>
                <w:szCs w:val="27"/>
              </w:rPr>
              <w:t>2014</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300,000</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29</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香港基本法推介聯席會議</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第十一屆《基本法》大使培訓計劃</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263,527</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30</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香港基督教女青年會 蝴蝶灣綜合社會服務處</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一家一義，</w:t>
            </w:r>
            <w:r>
              <w:rPr>
                <w:spacing w:val="20"/>
                <w:sz w:val="27"/>
                <w:szCs w:val="27"/>
              </w:rPr>
              <w:t>V are Family!</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109,904</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31</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香港基督教女青年會 將軍澳綜合社會服務處</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w:t>
            </w:r>
            <w:r>
              <w:rPr>
                <w:spacing w:val="20"/>
                <w:sz w:val="27"/>
                <w:szCs w:val="27"/>
              </w:rPr>
              <w:t>攜手愛、共關懷”─社區和諧共融計劃</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106,020</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32</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香港基督教協基會有限公司 黃埔綜合青少年服務中心</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遼闊中國─國情教育運動</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125,740</w:t>
            </w:r>
          </w:p>
        </w:tc>
      </w:tr>
      <w:tr>
        <w:trPr/>
        <w:tc>
          <w:tcPr>
            <w:tcW w:w="605" w:type="dxa"/>
            <w:tcBorders/>
          </w:tcPr>
          <w:p>
            <w:pPr>
              <w:pStyle w:val="Normal"/>
              <w:widowControl/>
              <w:snapToGrid w:val="false"/>
              <w:spacing w:lineRule="atLeast" w:line="350"/>
              <w:jc w:val="center"/>
              <w:rPr>
                <w:spacing w:val="20"/>
                <w:sz w:val="27"/>
                <w:szCs w:val="27"/>
              </w:rPr>
            </w:pPr>
            <w:r>
              <w:rPr>
                <w:spacing w:val="20"/>
                <w:sz w:val="27"/>
                <w:szCs w:val="27"/>
              </w:rPr>
              <w:t>33</w:t>
            </w:r>
          </w:p>
        </w:tc>
        <w:tc>
          <w:tcPr>
            <w:tcW w:w="2872" w:type="dxa"/>
            <w:tcBorders/>
          </w:tcPr>
          <w:p>
            <w:pPr>
              <w:pStyle w:val="Normal"/>
              <w:widowControl/>
              <w:snapToGrid w:val="false"/>
              <w:spacing w:lineRule="atLeast" w:line="350"/>
              <w:ind w:left="28" w:hanging="0"/>
              <w:rPr>
                <w:spacing w:val="20"/>
                <w:sz w:val="27"/>
                <w:szCs w:val="27"/>
              </w:rPr>
            </w:pPr>
            <w:r>
              <w:rPr>
                <w:spacing w:val="20"/>
                <w:sz w:val="27"/>
                <w:szCs w:val="27"/>
              </w:rPr>
              <w:t>香港基督教協基會有限公司 基督教協基會屯門綜合青少年服務中心</w:t>
            </w:r>
          </w:p>
        </w:tc>
        <w:tc>
          <w:tcPr>
            <w:tcW w:w="2873" w:type="dxa"/>
            <w:tcBorders/>
          </w:tcPr>
          <w:p>
            <w:pPr>
              <w:pStyle w:val="Normal"/>
              <w:widowControl/>
              <w:snapToGrid w:val="false"/>
              <w:spacing w:lineRule="atLeast" w:line="350"/>
              <w:ind w:left="28" w:hanging="0"/>
              <w:rPr>
                <w:spacing w:val="20"/>
                <w:sz w:val="27"/>
                <w:szCs w:val="27"/>
              </w:rPr>
            </w:pPr>
            <w:r>
              <w:rPr>
                <w:spacing w:val="20"/>
                <w:sz w:val="27"/>
                <w:szCs w:val="27"/>
              </w:rPr>
              <w:t>“</w:t>
            </w:r>
            <w:r>
              <w:rPr>
                <w:spacing w:val="20"/>
                <w:sz w:val="27"/>
                <w:szCs w:val="27"/>
              </w:rPr>
              <w:t>傳愛無限”社區關懷計劃</w:t>
            </w:r>
          </w:p>
        </w:tc>
        <w:tc>
          <w:tcPr>
            <w:tcW w:w="2872" w:type="dxa"/>
            <w:tcBorders/>
          </w:tcPr>
          <w:p>
            <w:pPr>
              <w:pStyle w:val="Normal"/>
              <w:widowControl/>
              <w:snapToGrid w:val="false"/>
              <w:spacing w:lineRule="atLeast" w:line="350"/>
              <w:jc w:val="center"/>
              <w:rPr>
                <w:spacing w:val="20"/>
                <w:sz w:val="27"/>
                <w:szCs w:val="27"/>
              </w:rPr>
            </w:pPr>
            <w:r>
              <w:rPr>
                <w:spacing w:val="20"/>
                <w:sz w:val="27"/>
                <w:szCs w:val="27"/>
              </w:rPr>
              <w:t>125,350</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34</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香港婦聯有限公司 香港婦聯─梁潔華綜合服務中心</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體驗愛世界</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114,695</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35</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香港婦聯有限公司</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節慶薈萃在中華計劃</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206,170</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36</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香港傷殘青年協會 賽馬會活動中心</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傷健旅程</w:t>
            </w:r>
            <w:r>
              <w:rPr>
                <w:spacing w:val="20"/>
                <w:sz w:val="27"/>
                <w:szCs w:val="27"/>
              </w:rPr>
              <w:t>2014-2015</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107,666</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37</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香港聖公會麥理浩夫人中心 林植宣博士老人綜合服務中心</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耆樂童話正能量</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114,855</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38</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香港聖公會麥理浩夫人中心 團體及社區工作部</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w:t>
            </w:r>
            <w:r>
              <w:rPr>
                <w:spacing w:val="20"/>
                <w:sz w:val="27"/>
                <w:szCs w:val="27"/>
              </w:rPr>
              <w:t>愛家助鄰在葵涌”社區教育及推廣計劃</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107,647</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39</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香港聾人福利促進會</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Deaf Awareness Community Education Campaign</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165,650</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40</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基督教宣道會香港區聯會有限公司 基督教宣道會五旬節堂睦鄰中心</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家</w:t>
            </w:r>
            <w:r>
              <w:rPr>
                <w:spacing w:val="20"/>
                <w:sz w:val="27"/>
                <w:szCs w:val="27"/>
              </w:rPr>
              <w:t>+</w:t>
            </w:r>
            <w:r>
              <w:rPr>
                <w:spacing w:val="20"/>
                <w:sz w:val="27"/>
                <w:szCs w:val="27"/>
              </w:rPr>
              <w:t>有愛</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113,115</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41</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博愛醫院 吳鴻茂紀念家庭多元智能中心</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w:t>
            </w:r>
            <w:r>
              <w:rPr>
                <w:spacing w:val="20"/>
                <w:sz w:val="27"/>
                <w:szCs w:val="27"/>
              </w:rPr>
              <w:t>親愛一家人─互愛鄰里齊關懷”</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103,210</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42</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循道衛理觀塘社會服務處 牛頭角青少年綜合服務中心</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愛無限</w:t>
            </w:r>
            <w:r>
              <w:rPr>
                <w:rFonts w:ascii="華康細明體" w:hAnsi="華康細明體"/>
                <w:spacing w:val="20"/>
                <w:sz w:val="27"/>
                <w:szCs w:val="27"/>
              </w:rPr>
              <w:t>•</w:t>
            </w:r>
            <w:r>
              <w:rPr>
                <w:spacing w:val="20"/>
                <w:sz w:val="27"/>
                <w:szCs w:val="27"/>
              </w:rPr>
              <w:t>融“義”起動</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120,661</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43</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新青年論壇有限公司</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第九屆</w:t>
            </w:r>
            <w:r>
              <w:rPr>
                <w:spacing w:val="20"/>
                <w:sz w:val="27"/>
                <w:szCs w:val="27"/>
              </w:rPr>
              <w:t>DV</w:t>
            </w:r>
            <w:r>
              <w:rPr>
                <w:spacing w:val="20"/>
                <w:sz w:val="27"/>
                <w:szCs w:val="27"/>
              </w:rPr>
              <w:t>頭青年社會觀察行動</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175,060</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44</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蒲窩青少年中心有限公司</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w:t>
            </w:r>
            <w:r>
              <w:rPr>
                <w:spacing w:val="20"/>
                <w:sz w:val="27"/>
                <w:szCs w:val="27"/>
              </w:rPr>
              <w:t>愛香港</w:t>
            </w:r>
            <w:r>
              <w:rPr>
                <w:rFonts w:ascii="華康細明體" w:hAnsi="華康細明體"/>
                <w:spacing w:val="20"/>
                <w:sz w:val="27"/>
                <w:szCs w:val="27"/>
              </w:rPr>
              <w:t>•</w:t>
            </w:r>
            <w:r>
              <w:rPr>
                <w:spacing w:val="20"/>
                <w:sz w:val="27"/>
                <w:szCs w:val="27"/>
              </w:rPr>
              <w:t>愛文物”計劃</w:t>
            </w:r>
            <w:r>
              <w:rPr>
                <w:spacing w:val="20"/>
                <w:sz w:val="27"/>
                <w:szCs w:val="27"/>
              </w:rPr>
              <w:t>2014</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191,851</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45</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學友社 潛能發展中心</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明日領航者計劃</w:t>
            </w:r>
            <w:r>
              <w:rPr>
                <w:spacing w:val="20"/>
                <w:sz w:val="27"/>
                <w:szCs w:val="27"/>
              </w:rPr>
              <w:t>2014</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265,453</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46</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學友社</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第二十三屆全港中學生十大新聞選舉</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256,583</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 xml:space="preserve">47 </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騁志發展基金有限公司</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國際復康日</w:t>
            </w:r>
            <w:r>
              <w:rPr>
                <w:spacing w:val="20"/>
                <w:sz w:val="27"/>
                <w:szCs w:val="27"/>
              </w:rPr>
              <w:t>2014</w:t>
            </w:r>
            <w:r>
              <w:rPr>
                <w:spacing w:val="20"/>
                <w:sz w:val="27"/>
                <w:szCs w:val="27"/>
              </w:rPr>
              <w:t>：黑夜定向歷奇之旅</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156,125</w:t>
            </w:r>
          </w:p>
        </w:tc>
      </w:tr>
      <w:tr>
        <w:trPr/>
        <w:tc>
          <w:tcPr>
            <w:tcW w:w="605" w:type="dxa"/>
            <w:tcBorders/>
          </w:tcPr>
          <w:p>
            <w:pPr>
              <w:pStyle w:val="Normal"/>
              <w:widowControl/>
              <w:snapToGrid w:val="false"/>
              <w:spacing w:lineRule="exact" w:line="330"/>
              <w:jc w:val="center"/>
              <w:rPr>
                <w:spacing w:val="20"/>
                <w:sz w:val="27"/>
                <w:szCs w:val="27"/>
              </w:rPr>
            </w:pPr>
            <w:r>
              <w:rPr>
                <w:spacing w:val="20"/>
                <w:sz w:val="27"/>
                <w:szCs w:val="27"/>
              </w:rPr>
              <w:t>48</w:t>
            </w:r>
          </w:p>
        </w:tc>
        <w:tc>
          <w:tcPr>
            <w:tcW w:w="2872" w:type="dxa"/>
            <w:tcBorders/>
          </w:tcPr>
          <w:p>
            <w:pPr>
              <w:pStyle w:val="Normal"/>
              <w:widowControl/>
              <w:snapToGrid w:val="false"/>
              <w:spacing w:lineRule="exact" w:line="330"/>
              <w:ind w:left="28" w:hanging="0"/>
              <w:rPr>
                <w:spacing w:val="20"/>
                <w:sz w:val="27"/>
                <w:szCs w:val="27"/>
              </w:rPr>
            </w:pPr>
            <w:r>
              <w:rPr>
                <w:spacing w:val="20"/>
                <w:sz w:val="27"/>
                <w:szCs w:val="27"/>
              </w:rPr>
              <w:t>觀塘新青年論壇</w:t>
            </w:r>
          </w:p>
        </w:tc>
        <w:tc>
          <w:tcPr>
            <w:tcW w:w="2873" w:type="dxa"/>
            <w:tcBorders/>
          </w:tcPr>
          <w:p>
            <w:pPr>
              <w:pStyle w:val="Normal"/>
              <w:widowControl/>
              <w:snapToGrid w:val="false"/>
              <w:spacing w:lineRule="exact" w:line="330"/>
              <w:ind w:left="28" w:hanging="0"/>
              <w:rPr>
                <w:spacing w:val="20"/>
                <w:sz w:val="27"/>
                <w:szCs w:val="27"/>
              </w:rPr>
            </w:pPr>
            <w:r>
              <w:rPr>
                <w:spacing w:val="20"/>
                <w:sz w:val="27"/>
                <w:szCs w:val="27"/>
              </w:rPr>
              <w:t>公民社會體驗計劃</w:t>
            </w:r>
            <w:r>
              <w:rPr>
                <w:spacing w:val="20"/>
                <w:sz w:val="27"/>
                <w:szCs w:val="27"/>
              </w:rPr>
              <w:t>2014</w:t>
            </w:r>
            <w:r>
              <w:rPr>
                <w:spacing w:val="20"/>
                <w:sz w:val="27"/>
                <w:szCs w:val="27"/>
              </w:rPr>
              <w:t>：模擬大學社會體驗計劃</w:t>
            </w:r>
          </w:p>
        </w:tc>
        <w:tc>
          <w:tcPr>
            <w:tcW w:w="2872" w:type="dxa"/>
            <w:tcBorders/>
          </w:tcPr>
          <w:p>
            <w:pPr>
              <w:pStyle w:val="Normal"/>
              <w:widowControl/>
              <w:snapToGrid w:val="false"/>
              <w:spacing w:lineRule="exact" w:line="330"/>
              <w:jc w:val="center"/>
              <w:rPr>
                <w:spacing w:val="20"/>
                <w:sz w:val="27"/>
                <w:szCs w:val="27"/>
              </w:rPr>
            </w:pPr>
            <w:r>
              <w:rPr>
                <w:spacing w:val="20"/>
                <w:sz w:val="27"/>
                <w:szCs w:val="27"/>
              </w:rPr>
              <w:t>118,320</w:t>
            </w:r>
          </w:p>
        </w:tc>
      </w:tr>
    </w:tbl>
    <w:p>
      <w:pPr>
        <w:pStyle w:val="Normal"/>
        <w:widowControl/>
        <w:snapToGrid w:val="false"/>
        <w:spacing w:lineRule="auto" w:line="240"/>
        <w:rPr>
          <w:spacing w:val="20"/>
          <w:sz w:val="20"/>
          <w:szCs w:val="20"/>
        </w:rPr>
      </w:pPr>
      <w:r>
        <w:rPr>
          <w:spacing w:val="20"/>
          <w:sz w:val="20"/>
          <w:szCs w:val="20"/>
        </w:rPr>
      </w:r>
    </w:p>
    <w:p>
      <w:pPr>
        <w:pStyle w:val="Normal"/>
        <w:widowControl/>
        <w:snapToGrid w:val="false"/>
        <w:spacing w:lineRule="auto" w:line="240"/>
        <w:rPr>
          <w:spacing w:val="20"/>
          <w:sz w:val="20"/>
        </w:rPr>
      </w:pPr>
      <w:r>
        <w:rPr>
          <w:spacing w:val="20"/>
          <w:sz w:val="20"/>
        </w:rPr>
        <w:t>註：</w:t>
      </w:r>
    </w:p>
    <w:p>
      <w:pPr>
        <w:pStyle w:val="Normal"/>
        <w:widowControl/>
        <w:snapToGrid w:val="false"/>
        <w:spacing w:lineRule="auto" w:line="240"/>
        <w:rPr>
          <w:spacing w:val="20"/>
          <w:sz w:val="20"/>
        </w:rPr>
      </w:pPr>
      <w:r>
        <w:rPr>
          <w:spacing w:val="20"/>
          <w:sz w:val="20"/>
        </w:rPr>
      </w:r>
    </w:p>
    <w:p>
      <w:pPr>
        <w:pStyle w:val="Normal"/>
        <w:widowControl/>
        <w:tabs>
          <w:tab w:val="clear" w:pos="720"/>
        </w:tabs>
        <w:snapToGrid w:val="false"/>
        <w:spacing w:lineRule="auto" w:line="240"/>
        <w:rPr>
          <w:spacing w:val="20"/>
          <w:sz w:val="20"/>
        </w:rPr>
      </w:pPr>
      <w:r>
        <w:rPr>
          <w:spacing w:val="20"/>
          <w:sz w:val="20"/>
        </w:rPr>
        <w:t>#</w:t>
        <w:tab/>
      </w:r>
      <w:r>
        <w:rPr>
          <w:spacing w:val="20"/>
          <w:sz w:val="20"/>
        </w:rPr>
        <w:t>部分機構及項目只有英文名稱。</w:t>
      </w:r>
      <w:r>
        <w:br w:type="page"/>
      </w:r>
    </w:p>
    <w:p>
      <w:pPr>
        <w:pStyle w:val="Normal"/>
        <w:widowControl/>
        <w:snapToGrid w:val="false"/>
        <w:jc w:val="right"/>
        <w:rPr>
          <w:spacing w:val="20"/>
          <w:sz w:val="27"/>
          <w:szCs w:val="27"/>
        </w:rPr>
      </w:pPr>
      <w:r>
        <w:rPr>
          <w:spacing w:val="20"/>
          <w:sz w:val="27"/>
          <w:szCs w:val="27"/>
        </w:rPr>
        <w:t>附件四</w:t>
      </w:r>
    </w:p>
    <w:p>
      <w:pPr>
        <w:pStyle w:val="Normal"/>
        <w:widowControl/>
        <w:snapToGrid w:val="false"/>
        <w:jc w:val="center"/>
        <w:rPr>
          <w:spacing w:val="20"/>
          <w:sz w:val="27"/>
          <w:szCs w:val="27"/>
        </w:rPr>
      </w:pPr>
      <w:r>
        <w:rPr>
          <w:spacing w:val="20"/>
          <w:sz w:val="27"/>
          <w:szCs w:val="27"/>
        </w:rPr>
      </w:r>
    </w:p>
    <w:p>
      <w:pPr>
        <w:pStyle w:val="Normal"/>
        <w:widowControl/>
        <w:snapToGrid w:val="false"/>
        <w:jc w:val="center"/>
        <w:rPr>
          <w:spacing w:val="20"/>
          <w:sz w:val="27"/>
          <w:szCs w:val="27"/>
        </w:rPr>
      </w:pPr>
      <w:r>
        <w:rPr>
          <w:spacing w:val="20"/>
          <w:sz w:val="27"/>
          <w:szCs w:val="27"/>
        </w:rPr>
        <w:t>審批小組成員名單</w:t>
      </w:r>
      <w:r>
        <w:rPr>
          <w:spacing w:val="20"/>
          <w:sz w:val="27"/>
          <w:szCs w:val="27"/>
          <w:vertAlign w:val="superscript"/>
        </w:rPr>
        <w:t>*</w:t>
      </w:r>
    </w:p>
    <w:p>
      <w:pPr>
        <w:pStyle w:val="Normal"/>
        <w:widowControl/>
        <w:snapToGrid w:val="false"/>
        <w:jc w:val="center"/>
        <w:rPr>
          <w:spacing w:val="20"/>
          <w:sz w:val="27"/>
          <w:szCs w:val="27"/>
        </w:rPr>
      </w:pPr>
      <w:r>
        <w:rPr>
          <w:spacing w:val="20"/>
          <w:sz w:val="27"/>
          <w:szCs w:val="27"/>
        </w:rPr>
      </w:r>
    </w:p>
    <w:tbl>
      <w:tblPr>
        <w:tblStyle w:val="a9"/>
        <w:tblW w:w="5000" w:type="pct"/>
        <w:jc w:val="left"/>
        <w:tblInd w:w="0" w:type="dxa"/>
        <w:tblCellMar>
          <w:top w:w="0" w:type="dxa"/>
          <w:left w:w="108" w:type="dxa"/>
          <w:bottom w:w="0" w:type="dxa"/>
          <w:right w:w="108" w:type="dxa"/>
        </w:tblCellMar>
        <w:tblLook w:val="01e0" w:noHBand="0" w:noVBand="0" w:firstColumn="1" w:lastRow="1" w:lastColumn="1" w:firstRow="1"/>
      </w:tblPr>
      <w:tblGrid>
        <w:gridCol w:w="3071"/>
        <w:gridCol w:w="3071"/>
        <w:gridCol w:w="3071"/>
      </w:tblGrid>
      <w:tr>
        <w:trPr/>
        <w:tc>
          <w:tcPr>
            <w:tcW w:w="3071" w:type="dxa"/>
            <w:tcBorders/>
          </w:tcPr>
          <w:p>
            <w:pPr>
              <w:pStyle w:val="Normal"/>
              <w:widowControl/>
              <w:snapToGrid w:val="false"/>
              <w:ind w:left="57" w:right="57" w:hanging="0"/>
              <w:jc w:val="center"/>
              <w:rPr>
                <w:i/>
                <w:i/>
                <w:spacing w:val="20"/>
                <w:sz w:val="27"/>
                <w:szCs w:val="27"/>
              </w:rPr>
            </w:pPr>
            <w:r>
              <w:rPr>
                <w:i/>
                <w:spacing w:val="20"/>
                <w:sz w:val="27"/>
                <w:szCs w:val="27"/>
              </w:rPr>
              <w:t>2012-2013</w:t>
            </w:r>
            <w:r>
              <w:rPr>
                <w:i/>
                <w:spacing w:val="20"/>
                <w:sz w:val="27"/>
                <w:szCs w:val="27"/>
              </w:rPr>
              <w:t>年度</w:t>
            </w:r>
          </w:p>
        </w:tc>
        <w:tc>
          <w:tcPr>
            <w:tcW w:w="3071" w:type="dxa"/>
            <w:tcBorders/>
          </w:tcPr>
          <w:p>
            <w:pPr>
              <w:pStyle w:val="Normal"/>
              <w:widowControl/>
              <w:snapToGrid w:val="false"/>
              <w:ind w:left="57" w:right="57" w:hanging="0"/>
              <w:jc w:val="center"/>
              <w:rPr>
                <w:i/>
                <w:i/>
                <w:spacing w:val="20"/>
                <w:sz w:val="27"/>
                <w:szCs w:val="27"/>
              </w:rPr>
            </w:pPr>
            <w:r>
              <w:rPr>
                <w:i/>
                <w:spacing w:val="20"/>
                <w:sz w:val="27"/>
                <w:szCs w:val="27"/>
              </w:rPr>
              <w:t>2013-2014</w:t>
            </w:r>
            <w:r>
              <w:rPr>
                <w:i/>
                <w:spacing w:val="20"/>
                <w:sz w:val="27"/>
                <w:szCs w:val="27"/>
              </w:rPr>
              <w:t>年度</w:t>
            </w:r>
          </w:p>
        </w:tc>
        <w:tc>
          <w:tcPr>
            <w:tcW w:w="3071" w:type="dxa"/>
            <w:tcBorders/>
          </w:tcPr>
          <w:p>
            <w:pPr>
              <w:pStyle w:val="Normal"/>
              <w:widowControl/>
              <w:snapToGrid w:val="false"/>
              <w:ind w:left="57" w:right="57" w:hanging="0"/>
              <w:jc w:val="center"/>
              <w:rPr>
                <w:i/>
                <w:i/>
                <w:spacing w:val="20"/>
                <w:sz w:val="27"/>
                <w:szCs w:val="27"/>
              </w:rPr>
            </w:pPr>
            <w:r>
              <w:rPr>
                <w:i/>
                <w:spacing w:val="20"/>
                <w:sz w:val="27"/>
                <w:szCs w:val="27"/>
              </w:rPr>
              <w:t>2014-2015</w:t>
            </w:r>
            <w:r>
              <w:rPr>
                <w:i/>
                <w:spacing w:val="20"/>
                <w:sz w:val="27"/>
                <w:szCs w:val="27"/>
              </w:rPr>
              <w:t>年度</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彭韻僖女士</w:t>
            </w:r>
          </w:p>
          <w:p>
            <w:pPr>
              <w:pStyle w:val="Normal"/>
              <w:widowControl/>
              <w:snapToGrid w:val="false"/>
              <w:ind w:left="454" w:right="57" w:hanging="0"/>
              <w:rPr>
                <w:spacing w:val="20"/>
                <w:sz w:val="27"/>
                <w:szCs w:val="27"/>
              </w:rPr>
            </w:pPr>
            <w:r>
              <w:rPr>
                <w:spacing w:val="20"/>
                <w:sz w:val="27"/>
                <w:szCs w:val="27"/>
              </w:rPr>
              <w:t>(</w:t>
            </w:r>
            <w:r>
              <w:rPr>
                <w:spacing w:val="20"/>
                <w:sz w:val="27"/>
                <w:szCs w:val="27"/>
              </w:rPr>
              <w:t>召集人</w:t>
            </w:r>
            <w:r>
              <w:rPr>
                <w:spacing w:val="20"/>
                <w:sz w:val="27"/>
                <w:szCs w:val="27"/>
              </w:rPr>
              <w:t>)</w:t>
            </w:r>
          </w:p>
        </w:tc>
        <w:tc>
          <w:tcPr>
            <w:tcW w:w="3071" w:type="dxa"/>
            <w:tcBorders/>
          </w:tcPr>
          <w:p>
            <w:pPr>
              <w:pStyle w:val="Normal"/>
              <w:widowControl/>
              <w:snapToGrid w:val="false"/>
              <w:ind w:left="454" w:right="57" w:hanging="0"/>
              <w:rPr>
                <w:spacing w:val="20"/>
                <w:sz w:val="27"/>
                <w:szCs w:val="27"/>
              </w:rPr>
            </w:pPr>
            <w:r>
              <w:rPr>
                <w:spacing w:val="20"/>
                <w:sz w:val="27"/>
                <w:szCs w:val="27"/>
              </w:rPr>
              <w:t>彭韻僖女士</w:t>
            </w:r>
          </w:p>
          <w:p>
            <w:pPr>
              <w:pStyle w:val="Normal"/>
              <w:widowControl/>
              <w:snapToGrid w:val="false"/>
              <w:ind w:left="454" w:right="57" w:hanging="0"/>
              <w:rPr>
                <w:spacing w:val="20"/>
                <w:sz w:val="27"/>
                <w:szCs w:val="27"/>
              </w:rPr>
            </w:pPr>
            <w:r>
              <w:rPr>
                <w:spacing w:val="20"/>
                <w:sz w:val="27"/>
                <w:szCs w:val="27"/>
              </w:rPr>
              <w:t>(</w:t>
            </w:r>
            <w:r>
              <w:rPr>
                <w:spacing w:val="20"/>
                <w:sz w:val="27"/>
                <w:szCs w:val="27"/>
              </w:rPr>
              <w:t>召集人</w:t>
            </w:r>
            <w:r>
              <w:rPr>
                <w:spacing w:val="20"/>
                <w:sz w:val="27"/>
                <w:szCs w:val="27"/>
              </w:rPr>
              <w:t>)</w:t>
            </w:r>
          </w:p>
        </w:tc>
        <w:tc>
          <w:tcPr>
            <w:tcW w:w="3071" w:type="dxa"/>
            <w:tcBorders/>
          </w:tcPr>
          <w:p>
            <w:pPr>
              <w:pStyle w:val="Normal"/>
              <w:widowControl/>
              <w:snapToGrid w:val="false"/>
              <w:ind w:left="454" w:right="57" w:hanging="0"/>
              <w:rPr>
                <w:spacing w:val="20"/>
                <w:sz w:val="27"/>
                <w:szCs w:val="27"/>
              </w:rPr>
            </w:pPr>
            <w:r>
              <w:rPr>
                <w:spacing w:val="20"/>
                <w:sz w:val="27"/>
                <w:szCs w:val="27"/>
              </w:rPr>
              <w:t>彭韻僖女士</w:t>
            </w:r>
          </w:p>
          <w:p>
            <w:pPr>
              <w:pStyle w:val="Normal"/>
              <w:widowControl/>
              <w:snapToGrid w:val="false"/>
              <w:ind w:left="454" w:right="57" w:hanging="0"/>
              <w:rPr>
                <w:spacing w:val="20"/>
                <w:sz w:val="27"/>
                <w:szCs w:val="27"/>
              </w:rPr>
            </w:pPr>
            <w:r>
              <w:rPr>
                <w:spacing w:val="20"/>
                <w:sz w:val="27"/>
                <w:szCs w:val="27"/>
              </w:rPr>
              <w:t>(</w:t>
            </w:r>
            <w:r>
              <w:rPr>
                <w:spacing w:val="20"/>
                <w:sz w:val="27"/>
                <w:szCs w:val="27"/>
              </w:rPr>
              <w:t>召集人</w:t>
            </w:r>
            <w:r>
              <w:rPr>
                <w:spacing w:val="20"/>
                <w:sz w:val="27"/>
                <w:szCs w:val="27"/>
              </w:rPr>
              <w:t>)</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李宗德博士</w:t>
            </w:r>
          </w:p>
        </w:tc>
        <w:tc>
          <w:tcPr>
            <w:tcW w:w="3071" w:type="dxa"/>
            <w:tcBorders/>
          </w:tcPr>
          <w:p>
            <w:pPr>
              <w:pStyle w:val="Normal"/>
              <w:widowControl/>
              <w:snapToGrid w:val="false"/>
              <w:ind w:left="454" w:right="57" w:hanging="0"/>
              <w:rPr>
                <w:spacing w:val="20"/>
                <w:sz w:val="27"/>
                <w:szCs w:val="27"/>
              </w:rPr>
            </w:pPr>
            <w:r>
              <w:rPr>
                <w:spacing w:val="20"/>
                <w:sz w:val="27"/>
                <w:szCs w:val="27"/>
              </w:rPr>
              <w:t>李宗德博士</w:t>
            </w:r>
          </w:p>
        </w:tc>
        <w:tc>
          <w:tcPr>
            <w:tcW w:w="3071" w:type="dxa"/>
            <w:tcBorders/>
          </w:tcPr>
          <w:p>
            <w:pPr>
              <w:pStyle w:val="Normal"/>
              <w:widowControl/>
              <w:snapToGrid w:val="false"/>
              <w:ind w:left="454" w:right="57" w:hanging="0"/>
              <w:rPr>
                <w:spacing w:val="20"/>
                <w:sz w:val="27"/>
                <w:szCs w:val="27"/>
              </w:rPr>
            </w:pPr>
            <w:r>
              <w:rPr>
                <w:spacing w:val="20"/>
                <w:sz w:val="27"/>
                <w:szCs w:val="27"/>
              </w:rPr>
              <w:t>李宗德博士</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楊子熙先生</w:t>
            </w:r>
          </w:p>
        </w:tc>
        <w:tc>
          <w:tcPr>
            <w:tcW w:w="3071" w:type="dxa"/>
            <w:tcBorders/>
          </w:tcPr>
          <w:p>
            <w:pPr>
              <w:pStyle w:val="Normal"/>
              <w:widowControl/>
              <w:snapToGrid w:val="false"/>
              <w:ind w:left="454" w:right="57" w:hanging="0"/>
              <w:rPr>
                <w:spacing w:val="20"/>
                <w:sz w:val="27"/>
                <w:szCs w:val="27"/>
              </w:rPr>
            </w:pPr>
            <w:r>
              <w:rPr>
                <w:spacing w:val="20"/>
                <w:sz w:val="27"/>
                <w:szCs w:val="27"/>
              </w:rPr>
              <w:t>楊子熙先生</w:t>
            </w:r>
          </w:p>
        </w:tc>
        <w:tc>
          <w:tcPr>
            <w:tcW w:w="3071" w:type="dxa"/>
            <w:tcBorders/>
          </w:tcPr>
          <w:p>
            <w:pPr>
              <w:pStyle w:val="Normal"/>
              <w:widowControl/>
              <w:snapToGrid w:val="false"/>
              <w:ind w:left="454" w:right="57" w:hanging="0"/>
              <w:rPr>
                <w:spacing w:val="20"/>
                <w:sz w:val="27"/>
                <w:szCs w:val="27"/>
              </w:rPr>
            </w:pPr>
            <w:r>
              <w:rPr>
                <w:spacing w:val="20"/>
                <w:sz w:val="27"/>
                <w:szCs w:val="27"/>
              </w:rPr>
              <w:t>鍾蔭祥先生</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鍾蔭祥先生</w:t>
            </w:r>
          </w:p>
        </w:tc>
        <w:tc>
          <w:tcPr>
            <w:tcW w:w="3071" w:type="dxa"/>
            <w:tcBorders/>
          </w:tcPr>
          <w:p>
            <w:pPr>
              <w:pStyle w:val="Normal"/>
              <w:widowControl/>
              <w:snapToGrid w:val="false"/>
              <w:ind w:left="454" w:right="57" w:hanging="0"/>
              <w:rPr>
                <w:spacing w:val="20"/>
                <w:sz w:val="27"/>
                <w:szCs w:val="27"/>
              </w:rPr>
            </w:pPr>
            <w:r>
              <w:rPr>
                <w:spacing w:val="20"/>
                <w:sz w:val="27"/>
                <w:szCs w:val="27"/>
              </w:rPr>
              <w:t>鍾蔭祥先生</w:t>
            </w:r>
          </w:p>
        </w:tc>
        <w:tc>
          <w:tcPr>
            <w:tcW w:w="3071" w:type="dxa"/>
            <w:tcBorders/>
          </w:tcPr>
          <w:p>
            <w:pPr>
              <w:pStyle w:val="Normal"/>
              <w:widowControl/>
              <w:snapToGrid w:val="false"/>
              <w:ind w:left="454" w:right="57" w:hanging="0"/>
              <w:rPr>
                <w:spacing w:val="20"/>
                <w:sz w:val="27"/>
                <w:szCs w:val="27"/>
              </w:rPr>
            </w:pPr>
            <w:r>
              <w:rPr>
                <w:spacing w:val="20"/>
                <w:sz w:val="27"/>
                <w:szCs w:val="27"/>
              </w:rPr>
              <w:t>林亨利先生</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陳勇先生</w:t>
            </w:r>
          </w:p>
        </w:tc>
        <w:tc>
          <w:tcPr>
            <w:tcW w:w="3071" w:type="dxa"/>
            <w:tcBorders/>
          </w:tcPr>
          <w:p>
            <w:pPr>
              <w:pStyle w:val="Normal"/>
              <w:widowControl/>
              <w:snapToGrid w:val="false"/>
              <w:ind w:left="454" w:right="57" w:hanging="0"/>
              <w:rPr>
                <w:spacing w:val="20"/>
                <w:sz w:val="27"/>
                <w:szCs w:val="27"/>
              </w:rPr>
            </w:pPr>
            <w:r>
              <w:rPr>
                <w:spacing w:val="20"/>
                <w:sz w:val="27"/>
                <w:szCs w:val="27"/>
              </w:rPr>
              <w:t>陳勇先生</w:t>
            </w:r>
          </w:p>
        </w:tc>
        <w:tc>
          <w:tcPr>
            <w:tcW w:w="3071" w:type="dxa"/>
            <w:tcBorders/>
          </w:tcPr>
          <w:p>
            <w:pPr>
              <w:pStyle w:val="Normal"/>
              <w:widowControl/>
              <w:snapToGrid w:val="false"/>
              <w:ind w:left="454" w:right="57" w:hanging="0"/>
              <w:rPr>
                <w:spacing w:val="20"/>
                <w:sz w:val="27"/>
                <w:szCs w:val="27"/>
              </w:rPr>
            </w:pPr>
            <w:r>
              <w:rPr>
                <w:spacing w:val="20"/>
                <w:sz w:val="27"/>
                <w:szCs w:val="27"/>
              </w:rPr>
              <w:t>黃進輝先生</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林亨利先生</w:t>
            </w:r>
          </w:p>
        </w:tc>
        <w:tc>
          <w:tcPr>
            <w:tcW w:w="3071" w:type="dxa"/>
            <w:tcBorders/>
          </w:tcPr>
          <w:p>
            <w:pPr>
              <w:pStyle w:val="Normal"/>
              <w:widowControl/>
              <w:snapToGrid w:val="false"/>
              <w:ind w:left="454" w:right="57" w:hanging="0"/>
              <w:rPr>
                <w:spacing w:val="20"/>
                <w:sz w:val="27"/>
                <w:szCs w:val="27"/>
              </w:rPr>
            </w:pPr>
            <w:r>
              <w:rPr>
                <w:spacing w:val="20"/>
                <w:sz w:val="27"/>
                <w:szCs w:val="27"/>
              </w:rPr>
              <w:t>林亨利先生</w:t>
            </w:r>
          </w:p>
        </w:tc>
        <w:tc>
          <w:tcPr>
            <w:tcW w:w="3071" w:type="dxa"/>
            <w:tcBorders/>
          </w:tcPr>
          <w:p>
            <w:pPr>
              <w:pStyle w:val="Normal"/>
              <w:widowControl/>
              <w:snapToGrid w:val="false"/>
              <w:ind w:left="454" w:right="57" w:hanging="0"/>
              <w:rPr>
                <w:spacing w:val="20"/>
                <w:sz w:val="27"/>
                <w:szCs w:val="27"/>
              </w:rPr>
            </w:pPr>
            <w:r>
              <w:rPr>
                <w:spacing w:val="20"/>
                <w:sz w:val="27"/>
                <w:szCs w:val="27"/>
              </w:rPr>
              <w:t>林國強先生</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馬學嘉博士</w:t>
            </w:r>
          </w:p>
        </w:tc>
        <w:tc>
          <w:tcPr>
            <w:tcW w:w="3071" w:type="dxa"/>
            <w:tcBorders/>
          </w:tcPr>
          <w:p>
            <w:pPr>
              <w:pStyle w:val="Normal"/>
              <w:widowControl/>
              <w:snapToGrid w:val="false"/>
              <w:ind w:left="454" w:right="57" w:hanging="0"/>
              <w:rPr>
                <w:spacing w:val="20"/>
                <w:sz w:val="27"/>
                <w:szCs w:val="27"/>
              </w:rPr>
            </w:pPr>
            <w:r>
              <w:rPr>
                <w:spacing w:val="20"/>
                <w:sz w:val="27"/>
                <w:szCs w:val="27"/>
              </w:rPr>
              <w:t>林國強先生</w:t>
            </w:r>
          </w:p>
        </w:tc>
        <w:tc>
          <w:tcPr>
            <w:tcW w:w="3071" w:type="dxa"/>
            <w:tcBorders/>
          </w:tcPr>
          <w:p>
            <w:pPr>
              <w:pStyle w:val="Normal"/>
              <w:widowControl/>
              <w:snapToGrid w:val="false"/>
              <w:ind w:left="454" w:right="57" w:hanging="0"/>
              <w:rPr>
                <w:spacing w:val="20"/>
                <w:sz w:val="27"/>
                <w:szCs w:val="27"/>
              </w:rPr>
            </w:pPr>
            <w:r>
              <w:rPr>
                <w:spacing w:val="20"/>
                <w:sz w:val="27"/>
                <w:szCs w:val="27"/>
              </w:rPr>
              <w:t>文嘉麗女士</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黃進輝先生</w:t>
            </w:r>
          </w:p>
        </w:tc>
        <w:tc>
          <w:tcPr>
            <w:tcW w:w="3071" w:type="dxa"/>
            <w:tcBorders/>
          </w:tcPr>
          <w:p>
            <w:pPr>
              <w:pStyle w:val="Normal"/>
              <w:widowControl/>
              <w:snapToGrid w:val="false"/>
              <w:ind w:left="454" w:right="57" w:hanging="0"/>
              <w:rPr>
                <w:spacing w:val="20"/>
                <w:sz w:val="27"/>
                <w:szCs w:val="27"/>
              </w:rPr>
            </w:pPr>
            <w:r>
              <w:rPr>
                <w:spacing w:val="20"/>
                <w:sz w:val="27"/>
                <w:szCs w:val="27"/>
              </w:rPr>
              <w:t>李碧儀女士</w:t>
            </w:r>
          </w:p>
        </w:tc>
        <w:tc>
          <w:tcPr>
            <w:tcW w:w="3071" w:type="dxa"/>
            <w:tcBorders/>
          </w:tcPr>
          <w:p>
            <w:pPr>
              <w:pStyle w:val="Normal"/>
              <w:widowControl/>
              <w:snapToGrid w:val="false"/>
              <w:ind w:left="454" w:right="57" w:hanging="0"/>
              <w:rPr>
                <w:spacing w:val="20"/>
                <w:sz w:val="27"/>
                <w:szCs w:val="27"/>
              </w:rPr>
            </w:pPr>
            <w:r>
              <w:rPr>
                <w:spacing w:val="20"/>
                <w:sz w:val="27"/>
                <w:szCs w:val="27"/>
              </w:rPr>
              <w:t>洪詠慈女士</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陳恒鑌議員</w:t>
            </w:r>
          </w:p>
        </w:tc>
        <w:tc>
          <w:tcPr>
            <w:tcW w:w="3071" w:type="dxa"/>
            <w:tcBorders/>
          </w:tcPr>
          <w:p>
            <w:pPr>
              <w:pStyle w:val="Normal"/>
              <w:widowControl/>
              <w:snapToGrid w:val="false"/>
              <w:ind w:left="454" w:right="57" w:hanging="0"/>
              <w:rPr>
                <w:spacing w:val="20"/>
                <w:sz w:val="27"/>
                <w:szCs w:val="27"/>
              </w:rPr>
            </w:pPr>
            <w:r>
              <w:rPr>
                <w:spacing w:val="20"/>
                <w:sz w:val="27"/>
                <w:szCs w:val="27"/>
              </w:rPr>
              <w:t>黃偉傑先生</w:t>
            </w:r>
          </w:p>
        </w:tc>
        <w:tc>
          <w:tcPr>
            <w:tcW w:w="3071" w:type="dxa"/>
            <w:tcBorders/>
          </w:tcPr>
          <w:p>
            <w:pPr>
              <w:pStyle w:val="Normal"/>
              <w:widowControl/>
              <w:snapToGrid w:val="false"/>
              <w:ind w:left="454" w:right="57" w:hanging="0"/>
              <w:rPr>
                <w:spacing w:val="20"/>
                <w:sz w:val="27"/>
                <w:szCs w:val="27"/>
              </w:rPr>
            </w:pPr>
            <w:r>
              <w:rPr>
                <w:spacing w:val="20"/>
                <w:sz w:val="27"/>
                <w:szCs w:val="27"/>
              </w:rPr>
              <w:t>李碧儀女士</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林國強先生</w:t>
            </w:r>
          </w:p>
        </w:tc>
        <w:tc>
          <w:tcPr>
            <w:tcW w:w="3071" w:type="dxa"/>
            <w:tcBorders/>
          </w:tcPr>
          <w:p>
            <w:pPr>
              <w:pStyle w:val="Normal"/>
              <w:widowControl/>
              <w:snapToGrid w:val="false"/>
              <w:ind w:left="454" w:right="57" w:hanging="0"/>
              <w:rPr>
                <w:spacing w:val="20"/>
                <w:sz w:val="27"/>
                <w:szCs w:val="27"/>
              </w:rPr>
            </w:pPr>
            <w:r>
              <w:rPr>
                <w:spacing w:val="20"/>
                <w:sz w:val="27"/>
                <w:szCs w:val="27"/>
              </w:rPr>
              <w:t>胡健民先生</w:t>
            </w:r>
          </w:p>
        </w:tc>
        <w:tc>
          <w:tcPr>
            <w:tcW w:w="3071" w:type="dxa"/>
            <w:tcBorders/>
          </w:tcPr>
          <w:p>
            <w:pPr>
              <w:pStyle w:val="Normal"/>
              <w:widowControl/>
              <w:snapToGrid w:val="false"/>
              <w:ind w:left="454" w:right="57" w:hanging="0"/>
              <w:rPr>
                <w:spacing w:val="20"/>
                <w:sz w:val="27"/>
                <w:szCs w:val="27"/>
              </w:rPr>
            </w:pPr>
            <w:r>
              <w:rPr>
                <w:spacing w:val="20"/>
                <w:sz w:val="27"/>
                <w:szCs w:val="27"/>
              </w:rPr>
              <w:t>麥耀光博士</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李碧儀女士</w:t>
            </w:r>
          </w:p>
        </w:tc>
        <w:tc>
          <w:tcPr>
            <w:tcW w:w="3071" w:type="dxa"/>
            <w:vMerge w:val="restart"/>
            <w:tcBorders/>
          </w:tcPr>
          <w:p>
            <w:pPr>
              <w:pStyle w:val="Normal"/>
              <w:widowControl/>
              <w:snapToGrid w:val="false"/>
              <w:ind w:left="454" w:right="57" w:hanging="0"/>
              <w:rPr>
                <w:spacing w:val="20"/>
                <w:sz w:val="27"/>
                <w:szCs w:val="27"/>
              </w:rPr>
            </w:pPr>
            <w:r>
              <w:rPr>
                <w:spacing w:val="20"/>
                <w:sz w:val="27"/>
                <w:szCs w:val="27"/>
              </w:rPr>
              <w:t>社會福利署代表</w:t>
            </w:r>
          </w:p>
        </w:tc>
        <w:tc>
          <w:tcPr>
            <w:tcW w:w="3071" w:type="dxa"/>
            <w:tcBorders/>
          </w:tcPr>
          <w:p>
            <w:pPr>
              <w:pStyle w:val="Normal"/>
              <w:widowControl/>
              <w:snapToGrid w:val="false"/>
              <w:ind w:left="454" w:right="57" w:hanging="0"/>
              <w:rPr>
                <w:spacing w:val="20"/>
                <w:sz w:val="27"/>
                <w:szCs w:val="27"/>
              </w:rPr>
            </w:pPr>
            <w:r>
              <w:rPr>
                <w:spacing w:val="20"/>
                <w:sz w:val="27"/>
                <w:szCs w:val="27"/>
              </w:rPr>
              <w:t>李瑩教授</w:t>
            </w:r>
          </w:p>
        </w:tc>
      </w:tr>
      <w:tr>
        <w:trPr/>
        <w:tc>
          <w:tcPr>
            <w:tcW w:w="3071" w:type="dxa"/>
            <w:tcBorders/>
          </w:tcPr>
          <w:p>
            <w:pPr>
              <w:pStyle w:val="Normal"/>
              <w:widowControl/>
              <w:snapToGrid w:val="false"/>
              <w:ind w:left="454" w:right="57" w:hanging="0"/>
              <w:rPr>
                <w:spacing w:val="20"/>
                <w:sz w:val="27"/>
                <w:szCs w:val="27"/>
              </w:rPr>
            </w:pPr>
            <w:r>
              <w:rPr>
                <w:spacing w:val="20"/>
                <w:sz w:val="27"/>
                <w:szCs w:val="27"/>
              </w:rPr>
              <w:t>麥耀光博士</w:t>
            </w:r>
          </w:p>
        </w:tc>
        <w:tc>
          <w:tcPr>
            <w:tcW w:w="3071" w:type="dxa"/>
            <w:vMerge w:val="continue"/>
            <w:tcBorders/>
            <w:vAlign w:val="center"/>
          </w:tcPr>
          <w:p>
            <w:pPr>
              <w:pStyle w:val="Normal"/>
              <w:widowControl/>
              <w:spacing w:lineRule="auto" w:line="240"/>
              <w:jc w:val="left"/>
              <w:rPr>
                <w:spacing w:val="20"/>
                <w:sz w:val="27"/>
                <w:szCs w:val="27"/>
              </w:rPr>
            </w:pPr>
            <w:r>
              <w:rPr>
                <w:spacing w:val="20"/>
                <w:sz w:val="27"/>
                <w:szCs w:val="27"/>
              </w:rPr>
            </w:r>
          </w:p>
        </w:tc>
        <w:tc>
          <w:tcPr>
            <w:tcW w:w="3071" w:type="dxa"/>
            <w:tcBorders/>
          </w:tcPr>
          <w:p>
            <w:pPr>
              <w:pStyle w:val="Normal"/>
              <w:widowControl/>
              <w:snapToGrid w:val="false"/>
              <w:ind w:left="454" w:right="57" w:hanging="0"/>
              <w:rPr>
                <w:spacing w:val="20"/>
                <w:sz w:val="27"/>
                <w:szCs w:val="27"/>
              </w:rPr>
            </w:pPr>
            <w:r>
              <w:rPr>
                <w:spacing w:val="20"/>
                <w:sz w:val="27"/>
                <w:szCs w:val="27"/>
              </w:rPr>
              <w:t>黃偉傑先生</w:t>
            </w:r>
          </w:p>
        </w:tc>
      </w:tr>
      <w:tr>
        <w:trPr/>
        <w:tc>
          <w:tcPr>
            <w:tcW w:w="3071" w:type="dxa"/>
            <w:vMerge w:val="restart"/>
            <w:tcBorders/>
          </w:tcPr>
          <w:p>
            <w:pPr>
              <w:pStyle w:val="Normal"/>
              <w:widowControl/>
              <w:snapToGrid w:val="false"/>
              <w:ind w:left="454" w:right="57" w:hanging="0"/>
              <w:rPr>
                <w:spacing w:val="20"/>
                <w:sz w:val="27"/>
                <w:szCs w:val="27"/>
              </w:rPr>
            </w:pPr>
            <w:r>
              <w:rPr>
                <w:spacing w:val="20"/>
                <w:sz w:val="27"/>
                <w:szCs w:val="27"/>
              </w:rPr>
              <w:t>社會福利署代表</w:t>
            </w:r>
          </w:p>
        </w:tc>
        <w:tc>
          <w:tcPr>
            <w:tcW w:w="3071" w:type="dxa"/>
            <w:vMerge w:val="continue"/>
            <w:tcBorders/>
            <w:vAlign w:val="center"/>
          </w:tcPr>
          <w:p>
            <w:pPr>
              <w:pStyle w:val="Normal"/>
              <w:widowControl/>
              <w:spacing w:lineRule="auto" w:line="240"/>
              <w:jc w:val="left"/>
              <w:rPr>
                <w:spacing w:val="20"/>
                <w:sz w:val="27"/>
                <w:szCs w:val="27"/>
              </w:rPr>
            </w:pPr>
            <w:r>
              <w:rPr>
                <w:spacing w:val="20"/>
                <w:sz w:val="27"/>
                <w:szCs w:val="27"/>
              </w:rPr>
            </w:r>
          </w:p>
        </w:tc>
        <w:tc>
          <w:tcPr>
            <w:tcW w:w="3071" w:type="dxa"/>
            <w:tcBorders/>
          </w:tcPr>
          <w:p>
            <w:pPr>
              <w:pStyle w:val="Normal"/>
              <w:widowControl/>
              <w:snapToGrid w:val="false"/>
              <w:ind w:left="454" w:right="57" w:hanging="0"/>
              <w:rPr>
                <w:spacing w:val="20"/>
                <w:sz w:val="27"/>
                <w:szCs w:val="27"/>
              </w:rPr>
            </w:pPr>
            <w:r>
              <w:rPr>
                <w:spacing w:val="20"/>
                <w:sz w:val="27"/>
                <w:szCs w:val="27"/>
              </w:rPr>
              <w:t>陳卓禧博士</w:t>
            </w:r>
          </w:p>
        </w:tc>
      </w:tr>
      <w:tr>
        <w:trPr/>
        <w:tc>
          <w:tcPr>
            <w:tcW w:w="3071" w:type="dxa"/>
            <w:vMerge w:val="continue"/>
            <w:tcBorders/>
            <w:vAlign w:val="center"/>
          </w:tcPr>
          <w:p>
            <w:pPr>
              <w:pStyle w:val="Normal"/>
              <w:widowControl/>
              <w:spacing w:lineRule="auto" w:line="240"/>
              <w:jc w:val="left"/>
              <w:rPr>
                <w:spacing w:val="20"/>
                <w:sz w:val="27"/>
                <w:szCs w:val="27"/>
              </w:rPr>
            </w:pPr>
            <w:r>
              <w:rPr>
                <w:spacing w:val="20"/>
                <w:sz w:val="27"/>
                <w:szCs w:val="27"/>
              </w:rPr>
            </w:r>
          </w:p>
        </w:tc>
        <w:tc>
          <w:tcPr>
            <w:tcW w:w="3071" w:type="dxa"/>
            <w:vMerge w:val="continue"/>
            <w:tcBorders/>
            <w:vAlign w:val="center"/>
          </w:tcPr>
          <w:p>
            <w:pPr>
              <w:pStyle w:val="Normal"/>
              <w:widowControl/>
              <w:spacing w:lineRule="auto" w:line="240"/>
              <w:jc w:val="left"/>
              <w:rPr>
                <w:spacing w:val="20"/>
                <w:sz w:val="27"/>
                <w:szCs w:val="27"/>
              </w:rPr>
            </w:pPr>
            <w:r>
              <w:rPr>
                <w:spacing w:val="20"/>
                <w:sz w:val="27"/>
                <w:szCs w:val="27"/>
              </w:rPr>
            </w:r>
          </w:p>
        </w:tc>
        <w:tc>
          <w:tcPr>
            <w:tcW w:w="3071" w:type="dxa"/>
            <w:tcBorders/>
          </w:tcPr>
          <w:p>
            <w:pPr>
              <w:pStyle w:val="Normal"/>
              <w:widowControl/>
              <w:snapToGrid w:val="false"/>
              <w:ind w:left="454" w:right="57" w:hanging="0"/>
              <w:rPr>
                <w:spacing w:val="20"/>
                <w:sz w:val="27"/>
                <w:szCs w:val="27"/>
              </w:rPr>
            </w:pPr>
            <w:r>
              <w:rPr>
                <w:spacing w:val="20"/>
                <w:sz w:val="27"/>
                <w:szCs w:val="27"/>
              </w:rPr>
              <w:t>樓家強先生</w:t>
            </w:r>
          </w:p>
        </w:tc>
      </w:tr>
      <w:tr>
        <w:trPr/>
        <w:tc>
          <w:tcPr>
            <w:tcW w:w="3071" w:type="dxa"/>
            <w:vMerge w:val="continue"/>
            <w:tcBorders/>
            <w:vAlign w:val="center"/>
          </w:tcPr>
          <w:p>
            <w:pPr>
              <w:pStyle w:val="Normal"/>
              <w:widowControl/>
              <w:spacing w:lineRule="auto" w:line="240"/>
              <w:jc w:val="left"/>
              <w:rPr>
                <w:spacing w:val="20"/>
                <w:sz w:val="27"/>
                <w:szCs w:val="27"/>
              </w:rPr>
            </w:pPr>
            <w:r>
              <w:rPr>
                <w:spacing w:val="20"/>
                <w:sz w:val="27"/>
                <w:szCs w:val="27"/>
              </w:rPr>
            </w:r>
          </w:p>
        </w:tc>
        <w:tc>
          <w:tcPr>
            <w:tcW w:w="3071" w:type="dxa"/>
            <w:vMerge w:val="continue"/>
            <w:tcBorders/>
            <w:vAlign w:val="center"/>
          </w:tcPr>
          <w:p>
            <w:pPr>
              <w:pStyle w:val="Normal"/>
              <w:widowControl/>
              <w:spacing w:lineRule="auto" w:line="240"/>
              <w:jc w:val="left"/>
              <w:rPr>
                <w:spacing w:val="20"/>
                <w:sz w:val="27"/>
                <w:szCs w:val="27"/>
              </w:rPr>
            </w:pPr>
            <w:r>
              <w:rPr>
                <w:spacing w:val="20"/>
                <w:sz w:val="27"/>
                <w:szCs w:val="27"/>
              </w:rPr>
            </w:r>
          </w:p>
        </w:tc>
        <w:tc>
          <w:tcPr>
            <w:tcW w:w="3071" w:type="dxa"/>
            <w:tcBorders/>
          </w:tcPr>
          <w:p>
            <w:pPr>
              <w:pStyle w:val="Normal"/>
              <w:widowControl/>
              <w:snapToGrid w:val="false"/>
              <w:ind w:left="454" w:right="57" w:hanging="0"/>
              <w:rPr>
                <w:spacing w:val="20"/>
                <w:sz w:val="27"/>
                <w:szCs w:val="27"/>
              </w:rPr>
            </w:pPr>
            <w:r>
              <w:rPr>
                <w:spacing w:val="20"/>
                <w:sz w:val="27"/>
                <w:szCs w:val="27"/>
              </w:rPr>
              <w:t>李騰駿先生</w:t>
            </w:r>
          </w:p>
        </w:tc>
      </w:tr>
      <w:tr>
        <w:trPr/>
        <w:tc>
          <w:tcPr>
            <w:tcW w:w="3071" w:type="dxa"/>
            <w:vMerge w:val="continue"/>
            <w:tcBorders/>
            <w:vAlign w:val="center"/>
          </w:tcPr>
          <w:p>
            <w:pPr>
              <w:pStyle w:val="Normal"/>
              <w:widowControl/>
              <w:spacing w:lineRule="auto" w:line="240"/>
              <w:jc w:val="left"/>
              <w:rPr>
                <w:spacing w:val="20"/>
                <w:sz w:val="27"/>
                <w:szCs w:val="27"/>
              </w:rPr>
            </w:pPr>
            <w:r>
              <w:rPr>
                <w:spacing w:val="20"/>
                <w:sz w:val="27"/>
                <w:szCs w:val="27"/>
              </w:rPr>
            </w:r>
          </w:p>
        </w:tc>
        <w:tc>
          <w:tcPr>
            <w:tcW w:w="3071" w:type="dxa"/>
            <w:vMerge w:val="continue"/>
            <w:tcBorders/>
            <w:vAlign w:val="center"/>
          </w:tcPr>
          <w:p>
            <w:pPr>
              <w:pStyle w:val="Normal"/>
              <w:widowControl/>
              <w:spacing w:lineRule="auto" w:line="240"/>
              <w:jc w:val="left"/>
              <w:rPr>
                <w:spacing w:val="20"/>
                <w:sz w:val="27"/>
                <w:szCs w:val="27"/>
              </w:rPr>
            </w:pPr>
            <w:r>
              <w:rPr>
                <w:spacing w:val="20"/>
                <w:sz w:val="27"/>
                <w:szCs w:val="27"/>
              </w:rPr>
            </w:r>
          </w:p>
        </w:tc>
        <w:tc>
          <w:tcPr>
            <w:tcW w:w="3071" w:type="dxa"/>
            <w:tcBorders/>
          </w:tcPr>
          <w:p>
            <w:pPr>
              <w:pStyle w:val="Normal"/>
              <w:widowControl/>
              <w:snapToGrid w:val="false"/>
              <w:ind w:left="454" w:right="57" w:hanging="0"/>
              <w:rPr>
                <w:spacing w:val="20"/>
                <w:sz w:val="27"/>
                <w:szCs w:val="27"/>
              </w:rPr>
            </w:pPr>
            <w:r>
              <w:rPr>
                <w:spacing w:val="20"/>
                <w:sz w:val="27"/>
                <w:szCs w:val="27"/>
              </w:rPr>
              <w:t>社會福利署代表</w:t>
            </w:r>
          </w:p>
        </w:tc>
      </w:tr>
    </w:tbl>
    <w:p>
      <w:pPr>
        <w:pStyle w:val="Normal"/>
        <w:widowControl/>
        <w:snapToGrid w:val="false"/>
        <w:spacing w:lineRule="auto" w:line="240"/>
        <w:rPr>
          <w:spacing w:val="20"/>
          <w:sz w:val="20"/>
          <w:szCs w:val="20"/>
        </w:rPr>
      </w:pPr>
      <w:r>
        <w:rPr>
          <w:spacing w:val="20"/>
          <w:sz w:val="20"/>
          <w:szCs w:val="20"/>
        </w:rPr>
      </w:r>
    </w:p>
    <w:p>
      <w:pPr>
        <w:pStyle w:val="Normal"/>
        <w:widowControl/>
        <w:snapToGrid w:val="false"/>
        <w:spacing w:lineRule="auto" w:line="240"/>
        <w:rPr>
          <w:spacing w:val="20"/>
          <w:sz w:val="20"/>
        </w:rPr>
      </w:pPr>
      <w:r>
        <w:rPr>
          <w:spacing w:val="20"/>
          <w:sz w:val="20"/>
        </w:rPr>
        <w:t>註：</w:t>
      </w:r>
    </w:p>
    <w:p>
      <w:pPr>
        <w:pStyle w:val="Normal"/>
        <w:widowControl/>
        <w:snapToGrid w:val="false"/>
        <w:spacing w:lineRule="auto" w:line="240"/>
        <w:rPr>
          <w:spacing w:val="20"/>
          <w:sz w:val="20"/>
        </w:rPr>
      </w:pPr>
      <w:r>
        <w:rPr>
          <w:spacing w:val="20"/>
          <w:sz w:val="20"/>
        </w:rPr>
      </w:r>
    </w:p>
    <w:p>
      <w:pPr>
        <w:pStyle w:val="Normal"/>
        <w:widowControl/>
        <w:tabs>
          <w:tab w:val="clear" w:pos="720"/>
        </w:tabs>
        <w:snapToGrid w:val="false"/>
        <w:spacing w:lineRule="auto" w:line="240"/>
        <w:rPr>
          <w:spacing w:val="20"/>
          <w:sz w:val="20"/>
        </w:rPr>
      </w:pPr>
      <w:r>
        <w:rPr>
          <w:spacing w:val="20"/>
          <w:sz w:val="20"/>
        </w:rPr>
        <w:t>*</w:t>
        <w:tab/>
      </w:r>
      <w:r>
        <w:rPr>
          <w:spacing w:val="20"/>
          <w:sz w:val="20"/>
        </w:rPr>
        <w:t>於</w:t>
      </w:r>
      <w:r>
        <w:rPr>
          <w:spacing w:val="20"/>
          <w:sz w:val="20"/>
        </w:rPr>
        <w:t>2012-2013</w:t>
      </w:r>
      <w:r>
        <w:rPr>
          <w:spacing w:val="20"/>
          <w:sz w:val="20"/>
        </w:rPr>
        <w:t>年度及</w:t>
      </w:r>
      <w:r>
        <w:rPr>
          <w:spacing w:val="20"/>
          <w:sz w:val="20"/>
        </w:rPr>
        <w:t>2013-2014</w:t>
      </w:r>
      <w:r>
        <w:rPr>
          <w:spacing w:val="20"/>
          <w:sz w:val="20"/>
        </w:rPr>
        <w:t>年度，小組原名為研發及社區參與小組</w:t>
      </w:r>
    </w:p>
    <w:p>
      <w:pPr>
        <w:pStyle w:val="F21"/>
        <w:spacing w:lineRule="atLeast" w:line="350"/>
        <w:rPr>
          <w:rFonts w:cs="Times New Roman"/>
          <w:lang w:val="en-GB"/>
        </w:rPr>
      </w:pPr>
      <w:r>
        <w:rPr>
          <w:rFonts w:cs="Times New Roman"/>
          <w:lang w:val="en-GB"/>
        </w:rPr>
      </w:r>
    </w:p>
    <w:p>
      <w:pPr>
        <w:pStyle w:val="F21"/>
        <w:spacing w:lineRule="atLeast" w:line="350"/>
        <w:rPr>
          <w:rFonts w:cs="Times New Roman"/>
        </w:rPr>
      </w:pPr>
      <w:r>
        <w:rPr>
          <w:rFonts w:cs="Times New Roman"/>
        </w:rPr>
      </w:r>
    </w:p>
    <w:p>
      <w:pPr>
        <w:pStyle w:val="F21"/>
        <w:spacing w:lineRule="atLeast" w:line="350"/>
        <w:rPr>
          <w:rFonts w:eastAsia="華康中黑體" w:cs="Times New Roman"/>
          <w:b/>
          <w:b/>
        </w:rPr>
      </w:pPr>
      <w:bookmarkStart w:id="48" w:name="wrq18"/>
      <w:r>
        <w:rPr>
          <w:rFonts w:cs="Times New Roman" w:eastAsia="華康中黑體"/>
          <w:b/>
        </w:rPr>
        <w:t>醫院管理局的普通科門診電話預約服務</w:t>
      </w:r>
    </w:p>
    <w:p>
      <w:pPr>
        <w:pStyle w:val="Normal"/>
        <w:spacing w:lineRule="atLeast" w:line="350"/>
        <w:rPr>
          <w:b/>
          <w:b/>
        </w:rPr>
      </w:pPr>
      <w:bookmarkStart w:id="49" w:name="wrq18"/>
      <w:r>
        <w:rPr>
          <w:b/>
        </w:rPr>
        <w:t>General Out-patient Clinics Telephone Appointment Service of Hospital Authority</w:t>
      </w:r>
      <w:bookmarkEnd w:id="49"/>
    </w:p>
    <w:p>
      <w:pPr>
        <w:pStyle w:val="F21"/>
        <w:spacing w:lineRule="atLeast" w:line="350"/>
        <w:rPr>
          <w:rFonts w:cs="Times New Roman"/>
        </w:rPr>
      </w:pPr>
      <w:r>
        <w:rPr>
          <w:rFonts w:cs="Times New Roman"/>
        </w:rPr>
      </w:r>
    </w:p>
    <w:p>
      <w:pPr>
        <w:pStyle w:val="F21"/>
        <w:spacing w:lineRule="atLeast" w:line="350"/>
        <w:rPr>
          <w:i/>
          <w:i/>
          <w:szCs w:val="27"/>
        </w:rPr>
      </w:pPr>
      <w:r>
        <w:rPr>
          <w:rFonts w:eastAsia="華康中黑體"/>
          <w:b/>
          <w:szCs w:val="27"/>
        </w:rPr>
        <w:t>18.</w:t>
        <w:tab/>
      </w:r>
      <w:r>
        <w:rPr>
          <w:rFonts w:eastAsia="華康中黑體"/>
          <w:b/>
          <w:szCs w:val="27"/>
        </w:rPr>
        <w:t>葛珮帆議員</w:t>
      </w:r>
      <w:r>
        <w:rPr>
          <w:szCs w:val="27"/>
        </w:rPr>
        <w:t>：</w:t>
      </w:r>
      <w:r>
        <w:rPr>
          <w:i/>
          <w:szCs w:val="27"/>
        </w:rPr>
        <w:t>主席，有不少醫院管理局</w:t>
      </w:r>
      <w:r>
        <w:rPr>
          <w:i/>
          <w:szCs w:val="27"/>
        </w:rPr>
        <w:t>(“</w:t>
      </w:r>
      <w:r>
        <w:rPr>
          <w:i/>
          <w:szCs w:val="27"/>
        </w:rPr>
        <w:t>醫管局”</w:t>
      </w:r>
      <w:r>
        <w:rPr>
          <w:i/>
          <w:szCs w:val="27"/>
        </w:rPr>
        <w:t>)</w:t>
      </w:r>
      <w:r>
        <w:rPr>
          <w:i/>
          <w:szCs w:val="27"/>
        </w:rPr>
        <w:t>普通科門診電話預約服務</w:t>
      </w:r>
      <w:r>
        <w:rPr>
          <w:i/>
          <w:szCs w:val="27"/>
        </w:rPr>
        <w:t>(“</w:t>
      </w:r>
      <w:r>
        <w:rPr>
          <w:i/>
          <w:szCs w:val="27"/>
        </w:rPr>
        <w:t>電話預約服務”</w:t>
      </w:r>
      <w:r>
        <w:rPr>
          <w:i/>
          <w:szCs w:val="27"/>
        </w:rPr>
        <w:t>)</w:t>
      </w:r>
      <w:r>
        <w:rPr>
          <w:i/>
          <w:szCs w:val="27"/>
        </w:rPr>
        <w:t>的使用者向本人反映，希望醫管局改善電話預約服務。就此，政府可否告知本會是否知悉：</w:t>
      </w:r>
    </w:p>
    <w:p>
      <w:pPr>
        <w:pStyle w:val="F21"/>
        <w:spacing w:lineRule="atLeast" w:line="350"/>
        <w:rPr>
          <w:i/>
          <w:i/>
          <w:szCs w:val="27"/>
        </w:rPr>
      </w:pPr>
      <w:r>
        <w:rPr>
          <w:i/>
          <w:szCs w:val="27"/>
        </w:rPr>
      </w:r>
    </w:p>
    <w:p>
      <w:pPr>
        <w:pStyle w:val="Style13"/>
        <w:spacing w:lineRule="atLeast" w:line="350"/>
        <w:rPr>
          <w:szCs w:val="27"/>
        </w:rPr>
      </w:pPr>
      <w:r>
        <w:rPr>
          <w:szCs w:val="27"/>
        </w:rPr>
        <w:t>(</w:t>
      </w:r>
      <w:r>
        <w:rPr>
          <w:szCs w:val="27"/>
        </w:rPr>
        <w:t>一</w:t>
      </w:r>
      <w:r>
        <w:rPr>
          <w:szCs w:val="27"/>
        </w:rPr>
        <w:t>)</w:t>
        <w:tab/>
      </w:r>
      <w:r>
        <w:rPr>
          <w:szCs w:val="27"/>
        </w:rPr>
        <w:t>鑒於有使用電話預約服務的長者表示，電話預約的程序過於繁複，醫管局會否簡化預約程序；如會，詳情為何；如否，原因為何；</w:t>
      </w:r>
      <w:r>
        <w:br w:type="page"/>
      </w:r>
    </w:p>
    <w:p>
      <w:pPr>
        <w:pStyle w:val="Style13"/>
        <w:spacing w:lineRule="atLeast" w:line="390"/>
        <w:rPr>
          <w:szCs w:val="27"/>
        </w:rPr>
      </w:pPr>
      <w:r>
        <w:rPr>
          <w:szCs w:val="27"/>
        </w:rPr>
        <w:t>(</w:t>
      </w:r>
      <w:r>
        <w:rPr>
          <w:szCs w:val="27"/>
        </w:rPr>
        <w:t>二</w:t>
      </w:r>
      <w:r>
        <w:rPr>
          <w:szCs w:val="27"/>
        </w:rPr>
        <w:t>)</w:t>
        <w:tab/>
      </w:r>
      <w:r>
        <w:rPr>
          <w:szCs w:val="27"/>
        </w:rPr>
        <w:t>鑒於有不少長者表示，不懂得如何使用電話預約服務，醫管局會否增撥資源，教導長者如何使用電話預約服務；如會，請詳為何；如否，原因為何；</w:t>
      </w:r>
    </w:p>
    <w:p>
      <w:pPr>
        <w:pStyle w:val="Style13"/>
        <w:spacing w:lineRule="atLeast" w:line="390"/>
        <w:rPr>
          <w:szCs w:val="27"/>
        </w:rPr>
      </w:pPr>
      <w:r>
        <w:rPr>
          <w:szCs w:val="27"/>
        </w:rPr>
      </w:r>
    </w:p>
    <w:p>
      <w:pPr>
        <w:pStyle w:val="Style13"/>
        <w:spacing w:lineRule="atLeast" w:line="390"/>
        <w:rPr>
          <w:szCs w:val="27"/>
        </w:rPr>
      </w:pPr>
      <w:r>
        <w:rPr>
          <w:szCs w:val="27"/>
        </w:rPr>
        <w:t>(</w:t>
      </w:r>
      <w:r>
        <w:rPr>
          <w:szCs w:val="27"/>
        </w:rPr>
        <w:t>三</w:t>
      </w:r>
      <w:r>
        <w:rPr>
          <w:szCs w:val="27"/>
        </w:rPr>
        <w:t>)</w:t>
        <w:tab/>
      </w:r>
      <w:r>
        <w:rPr>
          <w:szCs w:val="27"/>
        </w:rPr>
        <w:t>鑒於有使用者反映，電話預約服務欠缺真人接聽的選項，以致他們難以查詢門診服務的詳情，醫管局會否再次考慮在該服務中增設該選項；如會，詳情為何；如否，原因為何；及</w:t>
      </w:r>
    </w:p>
    <w:p>
      <w:pPr>
        <w:pStyle w:val="Style13"/>
        <w:spacing w:lineRule="atLeast" w:line="390"/>
        <w:rPr>
          <w:szCs w:val="27"/>
        </w:rPr>
      </w:pPr>
      <w:r>
        <w:rPr>
          <w:szCs w:val="27"/>
        </w:rPr>
      </w:r>
    </w:p>
    <w:p>
      <w:pPr>
        <w:pStyle w:val="Style13"/>
        <w:spacing w:lineRule="atLeast" w:line="390"/>
        <w:rPr>
          <w:szCs w:val="27"/>
        </w:rPr>
      </w:pPr>
      <w:r>
        <w:rPr>
          <w:szCs w:val="27"/>
        </w:rPr>
        <w:t>(</w:t>
      </w:r>
      <w:r>
        <w:rPr>
          <w:szCs w:val="27"/>
        </w:rPr>
        <w:t>四</w:t>
      </w:r>
      <w:r>
        <w:rPr>
          <w:szCs w:val="27"/>
        </w:rPr>
        <w:t>)</w:t>
        <w:tab/>
      </w:r>
      <w:r>
        <w:rPr>
          <w:szCs w:val="27"/>
        </w:rPr>
        <w:t>鑒於有使用者反映，現時電話預約服務沒有提供各診所的剩餘籌額的資訊，醫管局會否考慮在該服務中提供有關資訊；如會，詳情為何；如否，原因為何？</w:t>
      </w:r>
    </w:p>
    <w:p>
      <w:pPr>
        <w:pStyle w:val="Style13"/>
        <w:spacing w:lineRule="atLeast" w:line="390"/>
        <w:ind w:left="0" w:hanging="0"/>
        <w:rPr>
          <w:szCs w:val="27"/>
        </w:rPr>
      </w:pPr>
      <w:r>
        <w:rPr>
          <w:szCs w:val="27"/>
        </w:rPr>
      </w:r>
    </w:p>
    <w:p>
      <w:pPr>
        <w:pStyle w:val="Style13"/>
        <w:spacing w:lineRule="atLeast" w:line="390"/>
        <w:ind w:left="0" w:hanging="0"/>
        <w:rPr>
          <w:szCs w:val="27"/>
        </w:rPr>
      </w:pPr>
      <w:r>
        <w:rPr>
          <w:szCs w:val="27"/>
        </w:rPr>
      </w:r>
    </w:p>
    <w:p>
      <w:pPr>
        <w:pStyle w:val="Style13"/>
        <w:spacing w:lineRule="atLeast" w:line="390"/>
        <w:ind w:left="0" w:hanging="0"/>
        <w:rPr>
          <w:i w:val="false"/>
          <w:i w:val="false"/>
          <w:szCs w:val="27"/>
        </w:rPr>
      </w:pPr>
      <w:r>
        <w:rPr>
          <w:rFonts w:eastAsia="華康中黑體"/>
          <w:b/>
          <w:i w:val="false"/>
          <w:szCs w:val="27"/>
        </w:rPr>
        <w:t>食物及衞生局局長</w:t>
      </w:r>
      <w:r>
        <w:rPr>
          <w:i w:val="false"/>
          <w:szCs w:val="27"/>
        </w:rPr>
        <w:t>：主席，就葛珮帆議員的質詢，我答覆如下：</w:t>
      </w:r>
    </w:p>
    <w:p>
      <w:pPr>
        <w:pStyle w:val="Style13"/>
        <w:spacing w:lineRule="atLeast" w:line="390"/>
        <w:ind w:left="0" w:hanging="0"/>
        <w:rPr>
          <w:i w:val="false"/>
          <w:i w:val="false"/>
          <w:szCs w:val="27"/>
        </w:rPr>
      </w:pPr>
      <w:r>
        <w:rPr>
          <w:i w:val="false"/>
          <w:szCs w:val="27"/>
        </w:rPr>
      </w:r>
    </w:p>
    <w:p>
      <w:pPr>
        <w:pStyle w:val="Style13"/>
        <w:spacing w:lineRule="atLeast" w:line="390"/>
        <w:rPr>
          <w:i w:val="false"/>
          <w:i w:val="false"/>
        </w:rPr>
      </w:pPr>
      <w:r>
        <w:rPr>
          <w:i w:val="false"/>
        </w:rPr>
        <w:t>(</w:t>
      </w:r>
      <w:r>
        <w:rPr>
          <w:i w:val="false"/>
        </w:rPr>
        <w:t>一</w:t>
      </w:r>
      <w:r>
        <w:rPr>
          <w:i w:val="false"/>
        </w:rPr>
        <w:t>)</w:t>
        <w:tab/>
      </w:r>
      <w:r>
        <w:rPr>
          <w:i w:val="false"/>
        </w:rPr>
        <w:t>醫院管理局</w:t>
      </w:r>
      <w:r>
        <w:rPr>
          <w:i w:val="false"/>
        </w:rPr>
        <w:t>(</w:t>
      </w:r>
      <w:r>
        <w:rPr>
          <w:i w:val="false"/>
          <w:szCs w:val="27"/>
        </w:rPr>
        <w:t>“</w:t>
      </w:r>
      <w:r>
        <w:rPr>
          <w:i w:val="false"/>
        </w:rPr>
        <w:t>醫管局</w:t>
      </w:r>
      <w:r>
        <w:rPr>
          <w:i w:val="false"/>
          <w:szCs w:val="27"/>
        </w:rPr>
        <w:t>”</w:t>
      </w:r>
      <w:r>
        <w:rPr>
          <w:i w:val="false"/>
          <w:szCs w:val="27"/>
        </w:rPr>
        <w:t>)</w:t>
      </w:r>
      <w:r>
        <w:rPr>
          <w:i w:val="false"/>
        </w:rPr>
        <w:t>普通科門診服務以長者、低收入人士和長期病患者為主要服務對象。普通科門診照顧的病人主要分為兩大類，包括病情穩定的長期病患者，例如糖尿病、高血壓病人；以及症狀相對較輕的偶發性疾病患者，例如患有感冒、傷風、腸胃炎的病人。偶發性疾病病人可透過醫管局的電話預約系統，預約普通科門診診所未來</w:t>
      </w:r>
      <w:r>
        <w:rPr>
          <w:i w:val="false"/>
        </w:rPr>
        <w:t>24</w:t>
      </w:r>
      <w:r>
        <w:rPr>
          <w:i w:val="false"/>
        </w:rPr>
        <w:t>小時的診症時段。至於有需要覆診的長期病患者，他們每次應診後均會獲預先安排下次覆診時間，無須另行致電預約。</w:t>
      </w:r>
    </w:p>
    <w:p>
      <w:pPr>
        <w:pStyle w:val="Style13"/>
        <w:spacing w:lineRule="atLeast" w:line="390"/>
        <w:rPr>
          <w:i w:val="false"/>
          <w:i w:val="false"/>
        </w:rPr>
      </w:pPr>
      <w:r>
        <w:rPr>
          <w:i w:val="false"/>
        </w:rPr>
      </w:r>
    </w:p>
    <w:p>
      <w:pPr>
        <w:pStyle w:val="Style13"/>
        <w:spacing w:lineRule="atLeast" w:line="390"/>
        <w:rPr>
          <w:i w:val="false"/>
          <w:i w:val="false"/>
        </w:rPr>
      </w:pPr>
      <w:r>
        <w:rPr>
          <w:i w:val="false"/>
        </w:rPr>
        <w:tab/>
      </w:r>
      <w:r>
        <w:rPr>
          <w:i w:val="false"/>
        </w:rPr>
        <w:t>醫管局的普通科門診電話預約系統</w:t>
      </w:r>
      <w:r>
        <w:rPr>
          <w:i w:val="false"/>
        </w:rPr>
        <w:t>24</w:t>
      </w:r>
      <w:r>
        <w:rPr>
          <w:i w:val="false"/>
        </w:rPr>
        <w:t>小時運作，讓偶發性疾病病人可透過電話預約未來</w:t>
      </w:r>
      <w:r>
        <w:rPr>
          <w:i w:val="false"/>
        </w:rPr>
        <w:t>24</w:t>
      </w:r>
      <w:r>
        <w:rPr>
          <w:i w:val="false"/>
        </w:rPr>
        <w:t>小時內的普通科門診診症時段。電話預約系統把就近普通科門診診所結連，形成一個籌額互通的網絡。倘若某診所已額滿，系統會自動轉駁至就近其他診所，搜索餘下的預約診症籌額。此外，為確保長者能獲得適時的醫療服務，醫管局設立</w:t>
      </w:r>
      <w:r>
        <w:rPr>
          <w:i w:val="false"/>
          <w:szCs w:val="27"/>
        </w:rPr>
        <w:t>“</w:t>
      </w:r>
      <w:r>
        <w:rPr>
          <w:i w:val="false"/>
        </w:rPr>
        <w:t>長者預約專籌</w:t>
      </w:r>
      <w:r>
        <w:rPr>
          <w:i w:val="false"/>
          <w:szCs w:val="27"/>
        </w:rPr>
        <w:t>”</w:t>
      </w:r>
      <w:r>
        <w:rPr>
          <w:i w:val="false"/>
        </w:rPr>
        <w:t>，調撥部分預約籌額予</w:t>
      </w:r>
      <w:r>
        <w:rPr>
          <w:i w:val="false"/>
        </w:rPr>
        <w:t>65</w:t>
      </w:r>
      <w:r>
        <w:rPr>
          <w:i w:val="false"/>
        </w:rPr>
        <w:t>歲或以上的病人。</w:t>
      </w:r>
    </w:p>
    <w:p>
      <w:pPr>
        <w:pStyle w:val="Style13"/>
        <w:spacing w:lineRule="atLeast" w:line="390"/>
        <w:rPr>
          <w:i w:val="false"/>
          <w:i w:val="false"/>
        </w:rPr>
      </w:pPr>
      <w:r>
        <w:rPr>
          <w:i w:val="false"/>
        </w:rPr>
      </w:r>
    </w:p>
    <w:p>
      <w:pPr>
        <w:pStyle w:val="Style13"/>
        <w:spacing w:lineRule="atLeast" w:line="380"/>
        <w:rPr>
          <w:i w:val="false"/>
          <w:i w:val="false"/>
        </w:rPr>
      </w:pPr>
      <w:r>
        <w:rPr>
          <w:i w:val="false"/>
        </w:rPr>
        <w:tab/>
      </w:r>
      <w:r>
        <w:rPr>
          <w:i w:val="false"/>
        </w:rPr>
        <w:t>醫管局已因應市民意見，採取多項措施改善電話預約系統的操作，包括將電話線由</w:t>
      </w:r>
      <w:r>
        <w:rPr>
          <w:i w:val="false"/>
        </w:rPr>
        <w:t>350</w:t>
      </w:r>
      <w:r>
        <w:rPr>
          <w:i w:val="false"/>
        </w:rPr>
        <w:t>條增加至</w:t>
      </w:r>
      <w:r>
        <w:rPr>
          <w:i w:val="false"/>
        </w:rPr>
        <w:t>600</w:t>
      </w:r>
      <w:r>
        <w:rPr>
          <w:i w:val="false"/>
        </w:rPr>
        <w:t>多條；延長等候回應時間，讓使用者</w:t>
      </w:r>
      <w:r>
        <w:rPr>
          <w:i w:val="false"/>
        </w:rPr>
        <w:t>(</w:t>
      </w:r>
      <w:r>
        <w:rPr>
          <w:i w:val="false"/>
        </w:rPr>
        <w:t>特別是長者</w:t>
      </w:r>
      <w:r>
        <w:rPr>
          <w:i w:val="false"/>
        </w:rPr>
        <w:t>)</w:t>
      </w:r>
      <w:r>
        <w:rPr>
          <w:i w:val="false"/>
        </w:rPr>
        <w:t>有更充裕時間輸入所需資料；以真人發聲代替電腦話音，讓使用者聽得更清晰；簡化輸入資料程序方便長者使用預約系統；以及為聽障人士提供手機短訊預約服務。醫管局於</w:t>
      </w:r>
      <w:r>
        <w:rPr>
          <w:i w:val="false"/>
        </w:rPr>
        <w:t>2013</w:t>
      </w:r>
      <w:r>
        <w:rPr>
          <w:i w:val="false"/>
        </w:rPr>
        <w:t>年年初起，進一步簡化電話預約程序。現時，求診人士接通普通科門診電話預約系統後，系統會先搜尋未來</w:t>
      </w:r>
      <w:r>
        <w:rPr>
          <w:i w:val="false"/>
        </w:rPr>
        <w:t>24</w:t>
      </w:r>
      <w:r>
        <w:rPr>
          <w:i w:val="false"/>
        </w:rPr>
        <w:t>小時內的診症時段，若該診所及其他就近診所皆額滿時，系統會即時告知籌額已滿，而無須致電者輸入個人資料。此措施避免了市民在輸入個人資料後方獲告知沒有預約名額的情況。</w:t>
      </w:r>
    </w:p>
    <w:p>
      <w:pPr>
        <w:pStyle w:val="Style13"/>
        <w:spacing w:lineRule="atLeast" w:line="380"/>
        <w:rPr>
          <w:i w:val="false"/>
          <w:i w:val="false"/>
        </w:rPr>
      </w:pPr>
      <w:r>
        <w:rPr>
          <w:i w:val="false"/>
        </w:rPr>
      </w:r>
    </w:p>
    <w:p>
      <w:pPr>
        <w:pStyle w:val="Style13"/>
        <w:spacing w:lineRule="atLeast" w:line="380"/>
        <w:rPr>
          <w:i w:val="false"/>
          <w:i w:val="false"/>
        </w:rPr>
      </w:pPr>
      <w:r>
        <w:rPr>
          <w:i w:val="false"/>
        </w:rPr>
        <w:t>(</w:t>
      </w:r>
      <w:r>
        <w:rPr>
          <w:i w:val="false"/>
        </w:rPr>
        <w:t>二</w:t>
      </w:r>
      <w:r>
        <w:rPr>
          <w:i w:val="false"/>
        </w:rPr>
        <w:t>)</w:t>
      </w:r>
      <w:r>
        <w:rPr>
          <w:i w:val="false"/>
        </w:rPr>
        <w:t>及</w:t>
      </w:r>
      <w:r>
        <w:rPr>
          <w:i w:val="false"/>
        </w:rPr>
        <w:t>(</w:t>
      </w:r>
      <w:r>
        <w:rPr>
          <w:i w:val="false"/>
        </w:rPr>
        <w:t>三</w:t>
      </w:r>
      <w:r>
        <w:rPr>
          <w:i w:val="false"/>
        </w:rPr>
        <w:t>)</w:t>
      </w:r>
    </w:p>
    <w:p>
      <w:pPr>
        <w:pStyle w:val="Style13"/>
        <w:spacing w:lineRule="atLeast" w:line="380"/>
        <w:rPr>
          <w:i w:val="false"/>
          <w:i w:val="false"/>
        </w:rPr>
      </w:pPr>
      <w:r>
        <w:rPr>
          <w:i w:val="false"/>
        </w:rPr>
      </w:r>
    </w:p>
    <w:p>
      <w:pPr>
        <w:pStyle w:val="Style13"/>
        <w:spacing w:lineRule="atLeast" w:line="380"/>
        <w:rPr>
          <w:i w:val="false"/>
          <w:i w:val="false"/>
        </w:rPr>
      </w:pPr>
      <w:r>
        <w:rPr>
          <w:i w:val="false"/>
        </w:rPr>
        <w:tab/>
      </w:r>
      <w:r>
        <w:rPr>
          <w:i w:val="false"/>
        </w:rPr>
        <w:t>為了讓病人</w:t>
      </w:r>
      <w:r>
        <w:rPr>
          <w:i w:val="false"/>
        </w:rPr>
        <w:t>(</w:t>
      </w:r>
      <w:r>
        <w:rPr>
          <w:i w:val="false"/>
        </w:rPr>
        <w:t>尤其是長者等主要服務對象</w:t>
      </w:r>
      <w:r>
        <w:rPr>
          <w:i w:val="false"/>
        </w:rPr>
        <w:t>)</w:t>
      </w:r>
      <w:r>
        <w:rPr>
          <w:i w:val="false"/>
        </w:rPr>
        <w:t>更加了解普通科門診電話預約系統的操作，醫管局製作了教育短片及宣傳單張，在普通科門診診所播放及派發，並上載至醫管局的網頁。同時，普通科門診診所亦設有輔助處，為使用電話預約服務遇到困難的人士，提供協助。</w:t>
      </w:r>
    </w:p>
    <w:p>
      <w:pPr>
        <w:pStyle w:val="Style13"/>
        <w:spacing w:lineRule="atLeast" w:line="380"/>
        <w:rPr>
          <w:i w:val="false"/>
          <w:i w:val="false"/>
        </w:rPr>
      </w:pPr>
      <w:r>
        <w:rPr>
          <w:i w:val="false"/>
        </w:rPr>
      </w:r>
    </w:p>
    <w:p>
      <w:pPr>
        <w:pStyle w:val="Style13"/>
        <w:spacing w:lineRule="atLeast" w:line="380"/>
        <w:rPr>
          <w:i w:val="false"/>
          <w:i w:val="false"/>
        </w:rPr>
      </w:pPr>
      <w:r>
        <w:rPr>
          <w:i w:val="false"/>
        </w:rPr>
        <w:tab/>
      </w:r>
      <w:r>
        <w:rPr>
          <w:i w:val="false"/>
        </w:rPr>
        <w:t>自動化電話預約系統的籌額互通網絡協助我們在最短時間內為病人搜尋籌額及分配診症時段，應付門診服務的龐大流量，達致有效運用資源，亦可免卻病人到不同診所輪候剩餘籌額的不便。如要加設真人接聽電話預約服務，將涉及額外經常性開支，對資源及人手構成壓力。</w:t>
      </w:r>
    </w:p>
    <w:p>
      <w:pPr>
        <w:pStyle w:val="Style13"/>
        <w:spacing w:lineRule="atLeast" w:line="380"/>
        <w:rPr>
          <w:i w:val="false"/>
          <w:i w:val="false"/>
        </w:rPr>
      </w:pPr>
      <w:r>
        <w:rPr>
          <w:i w:val="false"/>
        </w:rPr>
      </w:r>
    </w:p>
    <w:p>
      <w:pPr>
        <w:pStyle w:val="Style13"/>
        <w:spacing w:lineRule="atLeast" w:line="380"/>
        <w:rPr>
          <w:i w:val="false"/>
          <w:i w:val="false"/>
        </w:rPr>
      </w:pPr>
      <w:r>
        <w:rPr>
          <w:i w:val="false"/>
        </w:rPr>
        <w:t>(</w:t>
      </w:r>
      <w:r>
        <w:rPr>
          <w:i w:val="false"/>
        </w:rPr>
        <w:t>四</w:t>
      </w:r>
      <w:r>
        <w:rPr>
          <w:i w:val="false"/>
        </w:rPr>
        <w:t>)</w:t>
        <w:tab/>
      </w:r>
      <w:r>
        <w:rPr>
          <w:i w:val="false"/>
        </w:rPr>
        <w:t>現時，電話預約系統會先為來電者安排最早可供預約的診症時段，並以順序方式編配診症時間，務求盡量善用資源，避免籌額被浪費及縮短預約過程的佔線時間。若來電者不接受系統提供的時間，電話預約系統會為病人搜尋未來</w:t>
      </w:r>
      <w:r>
        <w:rPr>
          <w:i w:val="false"/>
        </w:rPr>
        <w:t>24</w:t>
      </w:r>
      <w:r>
        <w:rPr>
          <w:i w:val="false"/>
        </w:rPr>
        <w:t>小時內其他有剩餘診症名額的時段，例如上午、下午及晚上，以供選擇。同時，醫管局亦透過網站提供</w:t>
      </w:r>
      <w:r>
        <w:rPr>
          <w:i w:val="false"/>
          <w:szCs w:val="27"/>
        </w:rPr>
        <w:t>“</w:t>
      </w:r>
      <w:r>
        <w:rPr>
          <w:i w:val="false"/>
        </w:rPr>
        <w:t>普通科門診診所在最近</w:t>
      </w:r>
      <w:r>
        <w:rPr>
          <w:i w:val="false"/>
        </w:rPr>
        <w:t>4</w:t>
      </w:r>
      <w:r>
        <w:rPr>
          <w:i w:val="false"/>
        </w:rPr>
        <w:t>星期平均剩餘籌數概覽</w:t>
      </w:r>
      <w:r>
        <w:rPr>
          <w:i w:val="false"/>
          <w:szCs w:val="27"/>
        </w:rPr>
        <w:t>”</w:t>
      </w:r>
      <w:r>
        <w:rPr>
          <w:i w:val="false"/>
        </w:rPr>
        <w:t>，讓市民了解過去</w:t>
      </w:r>
      <w:r>
        <w:rPr>
          <w:i w:val="false"/>
        </w:rPr>
        <w:t>4</w:t>
      </w:r>
      <w:r>
        <w:rPr>
          <w:i w:val="false"/>
        </w:rPr>
        <w:t>星期各區籌額使用概況，方便他們選擇合適的時段。</w:t>
      </w:r>
    </w:p>
    <w:p>
      <w:pPr>
        <w:pStyle w:val="Style13"/>
        <w:spacing w:lineRule="atLeast" w:line="380"/>
        <w:rPr>
          <w:i w:val="false"/>
          <w:i w:val="false"/>
        </w:rPr>
      </w:pPr>
      <w:r>
        <w:rPr>
          <w:i w:val="false"/>
        </w:rPr>
      </w:r>
    </w:p>
    <w:p>
      <w:pPr>
        <w:pStyle w:val="Style13"/>
        <w:spacing w:lineRule="atLeast" w:line="380"/>
        <w:rPr>
          <w:i w:val="false"/>
          <w:i w:val="false"/>
        </w:rPr>
      </w:pPr>
      <w:r>
        <w:rPr>
          <w:i w:val="false"/>
        </w:rPr>
        <w:tab/>
      </w:r>
      <w:r>
        <w:rPr>
          <w:i w:val="false"/>
        </w:rPr>
        <w:t>醫管局會密切監察就提升普通科門診服務所推行措施的成效，並會繼續聆聽市民及各界團體的訴求和意見，以及持續探討各類型可行方案以改善措施。</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spacing w:lineRule="atLeast" w:line="390"/>
        <w:rPr>
          <w:rFonts w:eastAsia="華康中黑體" w:cs="Times New Roman"/>
          <w:b/>
          <w:b/>
        </w:rPr>
      </w:pPr>
      <w:bookmarkStart w:id="50" w:name="wrq19"/>
      <w:r>
        <w:rPr>
          <w:rFonts w:cs="Times New Roman" w:eastAsia="華康中黑體"/>
          <w:b/>
        </w:rPr>
        <w:t>出入境管制站的運作</w:t>
      </w:r>
    </w:p>
    <w:p>
      <w:pPr>
        <w:pStyle w:val="Normal"/>
        <w:spacing w:lineRule="atLeast" w:line="390"/>
        <w:rPr>
          <w:b/>
          <w:b/>
        </w:rPr>
      </w:pPr>
      <w:bookmarkStart w:id="51" w:name="wrq19"/>
      <w:r>
        <w:rPr>
          <w:b/>
        </w:rPr>
        <w:t>Operation of Immigration Control Points</w:t>
      </w:r>
      <w:bookmarkEnd w:id="51"/>
    </w:p>
    <w:p>
      <w:pPr>
        <w:pStyle w:val="F21"/>
        <w:spacing w:lineRule="atLeast" w:line="390"/>
        <w:rPr>
          <w:rFonts w:cs="Times New Roman"/>
        </w:rPr>
      </w:pPr>
      <w:r>
        <w:rPr>
          <w:rFonts w:cs="Times New Roman"/>
        </w:rPr>
      </w:r>
    </w:p>
    <w:p>
      <w:pPr>
        <w:pStyle w:val="F21"/>
        <w:widowControl/>
        <w:spacing w:lineRule="atLeast" w:line="390"/>
        <w:rPr>
          <w:i/>
          <w:i/>
          <w:szCs w:val="27"/>
        </w:rPr>
      </w:pPr>
      <w:r>
        <w:rPr>
          <w:rFonts w:eastAsia="華康中黑體"/>
          <w:b/>
          <w:szCs w:val="27"/>
        </w:rPr>
        <w:t>19.</w:t>
        <w:tab/>
      </w:r>
      <w:r>
        <w:rPr>
          <w:rFonts w:eastAsia="華康中黑體"/>
          <w:b/>
          <w:szCs w:val="27"/>
        </w:rPr>
        <w:t>梁繼昌議員</w:t>
      </w:r>
      <w:r>
        <w:rPr>
          <w:szCs w:val="27"/>
        </w:rPr>
        <w:t>：</w:t>
      </w:r>
      <w:r>
        <w:rPr>
          <w:i/>
          <w:szCs w:val="27"/>
        </w:rPr>
        <w:t>主席，關於現時各出入境管制站</w:t>
      </w:r>
      <w:r>
        <w:rPr>
          <w:i/>
          <w:szCs w:val="27"/>
        </w:rPr>
        <w:t>(“</w:t>
      </w:r>
      <w:r>
        <w:rPr>
          <w:i/>
          <w:szCs w:val="27"/>
        </w:rPr>
        <w:t>管制站”</w:t>
      </w:r>
      <w:r>
        <w:rPr>
          <w:i/>
          <w:szCs w:val="27"/>
        </w:rPr>
        <w:t>)</w:t>
      </w:r>
      <w:r>
        <w:rPr>
          <w:i/>
          <w:szCs w:val="27"/>
        </w:rPr>
        <w:t>的運作情況，政府可否告知本會：</w:t>
      </w:r>
    </w:p>
    <w:p>
      <w:pPr>
        <w:pStyle w:val="F21"/>
        <w:widowControl/>
        <w:spacing w:lineRule="atLeast" w:line="390"/>
        <w:rPr>
          <w:i/>
          <w:i/>
          <w:szCs w:val="27"/>
        </w:rPr>
      </w:pPr>
      <w:r>
        <w:rPr>
          <w:i/>
          <w:szCs w:val="27"/>
        </w:rPr>
      </w:r>
    </w:p>
    <w:p>
      <w:pPr>
        <w:pStyle w:val="Style13"/>
        <w:widowControl/>
        <w:spacing w:lineRule="atLeast" w:line="390"/>
        <w:rPr>
          <w:szCs w:val="27"/>
        </w:rPr>
      </w:pPr>
      <w:r>
        <w:rPr>
          <w:szCs w:val="27"/>
        </w:rPr>
        <w:t>(</w:t>
      </w:r>
      <w:r>
        <w:rPr>
          <w:szCs w:val="27"/>
        </w:rPr>
        <w:t>一</w:t>
      </w:r>
      <w:r>
        <w:rPr>
          <w:szCs w:val="27"/>
        </w:rPr>
        <w:t>)</w:t>
        <w:tab/>
      </w:r>
      <w:r>
        <w:rPr>
          <w:szCs w:val="27"/>
        </w:rPr>
        <w:t>過去</w:t>
      </w:r>
      <w:r>
        <w:rPr>
          <w:szCs w:val="27"/>
        </w:rPr>
        <w:t>3</w:t>
      </w:r>
      <w:r>
        <w:rPr>
          <w:szCs w:val="27"/>
        </w:rPr>
        <w:t>年，各管制站每年的總運作開支及各主要的開支類別</w:t>
      </w:r>
      <w:r>
        <w:rPr>
          <w:szCs w:val="27"/>
        </w:rPr>
        <w:t>(</w:t>
      </w:r>
      <w:r>
        <w:rPr>
          <w:szCs w:val="27"/>
        </w:rPr>
        <w:t>按管制站列出分項數字</w:t>
      </w:r>
      <w:r>
        <w:rPr>
          <w:szCs w:val="27"/>
        </w:rPr>
        <w:t>)</w:t>
      </w:r>
      <w:r>
        <w:rPr>
          <w:szCs w:val="27"/>
        </w:rPr>
        <w:t>；</w:t>
      </w:r>
    </w:p>
    <w:p>
      <w:pPr>
        <w:pStyle w:val="Style13"/>
        <w:widowControl/>
        <w:spacing w:lineRule="atLeast" w:line="390"/>
        <w:rPr>
          <w:szCs w:val="27"/>
        </w:rPr>
      </w:pPr>
      <w:r>
        <w:rPr>
          <w:szCs w:val="27"/>
        </w:rPr>
      </w:r>
    </w:p>
    <w:p>
      <w:pPr>
        <w:pStyle w:val="Style13"/>
        <w:widowControl/>
        <w:spacing w:lineRule="atLeast" w:line="390"/>
        <w:rPr>
          <w:szCs w:val="27"/>
        </w:rPr>
      </w:pPr>
      <w:r>
        <w:rPr>
          <w:szCs w:val="27"/>
        </w:rPr>
        <w:t>(</w:t>
      </w:r>
      <w:r>
        <w:rPr>
          <w:szCs w:val="27"/>
        </w:rPr>
        <w:t>二</w:t>
      </w:r>
      <w:r>
        <w:rPr>
          <w:szCs w:val="27"/>
        </w:rPr>
        <w:t>)</w:t>
        <w:tab/>
      </w:r>
      <w:r>
        <w:rPr>
          <w:szCs w:val="27"/>
        </w:rPr>
        <w:t>過去</w:t>
      </w:r>
      <w:r>
        <w:rPr>
          <w:szCs w:val="27"/>
        </w:rPr>
        <w:t>3</w:t>
      </w:r>
      <w:r>
        <w:rPr>
          <w:szCs w:val="27"/>
        </w:rPr>
        <w:t>年，各政府部門每年在各管制站的人手編制</w:t>
      </w:r>
      <w:r>
        <w:rPr>
          <w:szCs w:val="27"/>
        </w:rPr>
        <w:t>(</w:t>
      </w:r>
      <w:r>
        <w:rPr>
          <w:szCs w:val="27"/>
        </w:rPr>
        <w:t>按管制站及部門列出分項數字</w:t>
      </w:r>
      <w:r>
        <w:rPr>
          <w:szCs w:val="27"/>
        </w:rPr>
        <w:t>)</w:t>
      </w:r>
      <w:r>
        <w:rPr>
          <w:szCs w:val="27"/>
        </w:rPr>
        <w:t>；</w:t>
      </w:r>
    </w:p>
    <w:p>
      <w:pPr>
        <w:pStyle w:val="Style13"/>
        <w:widowControl/>
        <w:spacing w:lineRule="atLeast" w:line="390"/>
        <w:rPr>
          <w:szCs w:val="27"/>
        </w:rPr>
      </w:pPr>
      <w:r>
        <w:rPr>
          <w:szCs w:val="27"/>
        </w:rPr>
      </w:r>
    </w:p>
    <w:p>
      <w:pPr>
        <w:pStyle w:val="Style13"/>
        <w:widowControl/>
        <w:spacing w:lineRule="atLeast" w:line="390"/>
        <w:rPr>
          <w:szCs w:val="27"/>
        </w:rPr>
      </w:pPr>
      <w:r>
        <w:rPr>
          <w:szCs w:val="27"/>
        </w:rPr>
        <w:t>(</w:t>
      </w:r>
      <w:r>
        <w:rPr>
          <w:szCs w:val="27"/>
        </w:rPr>
        <w:t>三</w:t>
      </w:r>
      <w:r>
        <w:rPr>
          <w:szCs w:val="27"/>
        </w:rPr>
        <w:t>)</w:t>
        <w:tab/>
      </w:r>
      <w:r>
        <w:rPr>
          <w:szCs w:val="27"/>
        </w:rPr>
        <w:t>過去</w:t>
      </w:r>
      <w:r>
        <w:rPr>
          <w:szCs w:val="27"/>
        </w:rPr>
        <w:t>3</w:t>
      </w:r>
      <w:r>
        <w:rPr>
          <w:szCs w:val="27"/>
        </w:rPr>
        <w:t>年，各管制站每年的訪港旅客、香港居民，以及客運和貨運車輛的出入境次數分別為何</w:t>
      </w:r>
      <w:r>
        <w:rPr>
          <w:szCs w:val="27"/>
        </w:rPr>
        <w:t>(</w:t>
      </w:r>
      <w:r>
        <w:rPr>
          <w:szCs w:val="27"/>
        </w:rPr>
        <w:t>按管制站列出分項數字</w:t>
      </w:r>
      <w:r>
        <w:rPr>
          <w:szCs w:val="27"/>
        </w:rPr>
        <w:t>)</w:t>
      </w:r>
      <w:r>
        <w:rPr>
          <w:szCs w:val="27"/>
        </w:rPr>
        <w:t>；</w:t>
      </w:r>
    </w:p>
    <w:p>
      <w:pPr>
        <w:pStyle w:val="Style13"/>
        <w:widowControl/>
        <w:spacing w:lineRule="atLeast" w:line="390"/>
        <w:rPr>
          <w:szCs w:val="27"/>
        </w:rPr>
      </w:pPr>
      <w:r>
        <w:rPr>
          <w:szCs w:val="27"/>
        </w:rPr>
      </w:r>
    </w:p>
    <w:p>
      <w:pPr>
        <w:pStyle w:val="Style13"/>
        <w:widowControl/>
        <w:spacing w:lineRule="atLeast" w:line="390"/>
        <w:rPr>
          <w:szCs w:val="27"/>
        </w:rPr>
      </w:pPr>
      <w:r>
        <w:rPr>
          <w:szCs w:val="27"/>
        </w:rPr>
        <w:t>(</w:t>
      </w:r>
      <w:r>
        <w:rPr>
          <w:szCs w:val="27"/>
        </w:rPr>
        <w:t>四</w:t>
      </w:r>
      <w:r>
        <w:rPr>
          <w:szCs w:val="27"/>
        </w:rPr>
        <w:t>)</w:t>
        <w:tab/>
      </w:r>
      <w:r>
        <w:rPr>
          <w:szCs w:val="27"/>
        </w:rPr>
        <w:t>各管制站有否任何收入</w:t>
      </w:r>
      <w:r>
        <w:rPr>
          <w:szCs w:val="27"/>
        </w:rPr>
        <w:t>(</w:t>
      </w:r>
      <w:r>
        <w:rPr>
          <w:szCs w:val="27"/>
        </w:rPr>
        <w:t>例如旅客過境徵稅及商戶租金等</w:t>
      </w:r>
      <w:r>
        <w:rPr>
          <w:szCs w:val="27"/>
        </w:rPr>
        <w:t>)</w:t>
      </w:r>
      <w:r>
        <w:rPr>
          <w:szCs w:val="27"/>
        </w:rPr>
        <w:t>；如有，過去</w:t>
      </w:r>
      <w:r>
        <w:rPr>
          <w:szCs w:val="27"/>
        </w:rPr>
        <w:t>3</w:t>
      </w:r>
      <w:r>
        <w:rPr>
          <w:szCs w:val="27"/>
        </w:rPr>
        <w:t>年，各管制站每年的收入</w:t>
      </w:r>
      <w:r>
        <w:rPr>
          <w:szCs w:val="27"/>
        </w:rPr>
        <w:t>(</w:t>
      </w:r>
      <w:r>
        <w:rPr>
          <w:szCs w:val="27"/>
        </w:rPr>
        <w:t>按管制站及收入來源列出有關資料</w:t>
      </w:r>
      <w:r>
        <w:rPr>
          <w:szCs w:val="27"/>
        </w:rPr>
        <w:t>)</w:t>
      </w:r>
      <w:r>
        <w:rPr>
          <w:szCs w:val="27"/>
        </w:rPr>
        <w:t>及其用途；</w:t>
      </w:r>
    </w:p>
    <w:p>
      <w:pPr>
        <w:pStyle w:val="Style13"/>
        <w:widowControl/>
        <w:spacing w:lineRule="atLeast" w:line="390"/>
        <w:rPr>
          <w:szCs w:val="27"/>
        </w:rPr>
      </w:pPr>
      <w:r>
        <w:rPr>
          <w:szCs w:val="27"/>
        </w:rPr>
      </w:r>
    </w:p>
    <w:p>
      <w:pPr>
        <w:pStyle w:val="Style13"/>
        <w:widowControl/>
        <w:spacing w:lineRule="atLeast" w:line="390"/>
        <w:rPr>
          <w:szCs w:val="27"/>
        </w:rPr>
      </w:pPr>
      <w:r>
        <w:rPr>
          <w:szCs w:val="27"/>
        </w:rPr>
        <w:t>(</w:t>
      </w:r>
      <w:r>
        <w:rPr>
          <w:szCs w:val="27"/>
        </w:rPr>
        <w:t>五</w:t>
      </w:r>
      <w:r>
        <w:rPr>
          <w:szCs w:val="27"/>
        </w:rPr>
        <w:t>)</w:t>
        <w:tab/>
      </w:r>
      <w:r>
        <w:rPr>
          <w:szCs w:val="27"/>
        </w:rPr>
        <w:t>各管制站有否進行中或將會進行的擴建／設施改善工程；如有，工程的詳情及所涉預算開支為何；及</w:t>
      </w:r>
    </w:p>
    <w:p>
      <w:pPr>
        <w:pStyle w:val="Style13"/>
        <w:widowControl/>
        <w:spacing w:lineRule="atLeast" w:line="390"/>
        <w:rPr>
          <w:szCs w:val="27"/>
        </w:rPr>
      </w:pPr>
      <w:r>
        <w:rPr>
          <w:szCs w:val="27"/>
        </w:rPr>
      </w:r>
    </w:p>
    <w:p>
      <w:pPr>
        <w:pStyle w:val="Style13"/>
        <w:widowControl/>
        <w:spacing w:lineRule="atLeast" w:line="390"/>
        <w:rPr>
          <w:szCs w:val="27"/>
        </w:rPr>
      </w:pPr>
      <w:r>
        <w:rPr>
          <w:szCs w:val="27"/>
        </w:rPr>
        <w:t>(</w:t>
      </w:r>
      <w:r>
        <w:rPr>
          <w:szCs w:val="27"/>
        </w:rPr>
        <w:t>六</w:t>
      </w:r>
      <w:r>
        <w:rPr>
          <w:szCs w:val="27"/>
        </w:rPr>
        <w:t>)</w:t>
        <w:tab/>
      </w:r>
      <w:r>
        <w:rPr>
          <w:szCs w:val="27"/>
        </w:rPr>
        <w:t>有否計劃調整管制站的收費或開徵旅客入境稅，以增加各管制站的收入，補貼運作開支；如有，詳情為何；如否，原因為何？</w:t>
      </w:r>
    </w:p>
    <w:p>
      <w:pPr>
        <w:pStyle w:val="Style13"/>
        <w:widowControl/>
        <w:spacing w:lineRule="atLeast" w:line="390"/>
        <w:ind w:left="0" w:hanging="0"/>
        <w:rPr>
          <w:szCs w:val="27"/>
        </w:rPr>
      </w:pPr>
      <w:r>
        <w:rPr>
          <w:szCs w:val="27"/>
        </w:rPr>
      </w:r>
    </w:p>
    <w:p>
      <w:pPr>
        <w:pStyle w:val="Style13"/>
        <w:widowControl/>
        <w:spacing w:lineRule="atLeast" w:line="390"/>
        <w:ind w:left="0" w:hanging="0"/>
        <w:rPr>
          <w:szCs w:val="27"/>
        </w:rPr>
      </w:pPr>
      <w:r>
        <w:rPr>
          <w:szCs w:val="27"/>
        </w:rPr>
      </w:r>
    </w:p>
    <w:p>
      <w:pPr>
        <w:pStyle w:val="Style13"/>
        <w:widowControl/>
        <w:spacing w:lineRule="atLeast" w:line="390"/>
        <w:ind w:left="0" w:hanging="0"/>
        <w:rPr>
          <w:i w:val="false"/>
          <w:i w:val="false"/>
          <w:szCs w:val="27"/>
        </w:rPr>
      </w:pPr>
      <w:r>
        <w:rPr>
          <w:rFonts w:eastAsia="華康中黑體"/>
          <w:b/>
          <w:i w:val="false"/>
        </w:rPr>
        <w:t>保安局局長</w:t>
      </w:r>
      <w:r>
        <w:rPr>
          <w:i w:val="false"/>
        </w:rPr>
        <w:t>：主席，梁議員質詢的各部分，涉及保安局和其他政策局及部門的工作範疇，</w:t>
      </w:r>
      <w:r>
        <w:rPr>
          <w:i w:val="false"/>
          <w:szCs w:val="27"/>
        </w:rPr>
        <w:t>以下是政府的綜合答覆：</w:t>
      </w:r>
    </w:p>
    <w:p>
      <w:pPr>
        <w:pStyle w:val="Style13"/>
        <w:widowControl/>
        <w:spacing w:lineRule="atLeast" w:line="390"/>
        <w:ind w:left="0" w:hanging="0"/>
        <w:rPr>
          <w:szCs w:val="27"/>
        </w:rPr>
      </w:pPr>
      <w:r>
        <w:rPr>
          <w:szCs w:val="27"/>
        </w:rPr>
      </w:r>
    </w:p>
    <w:p>
      <w:pPr>
        <w:pStyle w:val="Style13"/>
        <w:widowControl/>
        <w:spacing w:lineRule="atLeast" w:line="390"/>
        <w:rPr>
          <w:i w:val="false"/>
          <w:i w:val="false"/>
        </w:rPr>
      </w:pPr>
      <w:r>
        <w:rPr>
          <w:i w:val="false"/>
        </w:rPr>
        <w:t>(</w:t>
      </w:r>
      <w:r>
        <w:rPr>
          <w:i w:val="false"/>
        </w:rPr>
        <w:t>一</w:t>
      </w:r>
      <w:r>
        <w:rPr>
          <w:i w:val="false"/>
        </w:rPr>
        <w:t>)</w:t>
      </w:r>
      <w:r>
        <w:rPr>
          <w:i w:val="false"/>
        </w:rPr>
        <w:t>及</w:t>
      </w:r>
      <w:r>
        <w:rPr>
          <w:i w:val="false"/>
        </w:rPr>
        <w:t>(</w:t>
      </w:r>
      <w:r>
        <w:rPr>
          <w:i w:val="false"/>
        </w:rPr>
        <w:t>二</w:t>
      </w:r>
      <w:r>
        <w:rPr>
          <w:i w:val="false"/>
        </w:rPr>
        <w:t>)</w:t>
      </w:r>
    </w:p>
    <w:p>
      <w:pPr>
        <w:pStyle w:val="Style13"/>
        <w:widowControl/>
        <w:spacing w:lineRule="atLeast" w:line="390"/>
        <w:rPr>
          <w:i w:val="false"/>
          <w:i w:val="false"/>
        </w:rPr>
      </w:pPr>
      <w:r>
        <w:rPr>
          <w:i w:val="false"/>
        </w:rPr>
      </w:r>
    </w:p>
    <w:p>
      <w:pPr>
        <w:pStyle w:val="Style13"/>
        <w:widowControl/>
        <w:spacing w:lineRule="atLeast" w:line="390"/>
        <w:rPr>
          <w:i w:val="false"/>
          <w:i w:val="false"/>
        </w:rPr>
      </w:pPr>
      <w:r>
        <w:rPr>
          <w:i w:val="false"/>
        </w:rPr>
        <w:tab/>
      </w:r>
      <w:r>
        <w:rPr>
          <w:i w:val="false"/>
        </w:rPr>
        <w:t>於管制站執行出入境管制、清關及檢疫措施等工作，主要由入境事務處、海關、警務處及衞生署等部門負責。過去</w:t>
      </w:r>
      <w:r>
        <w:rPr>
          <w:i w:val="false"/>
        </w:rPr>
        <w:t>3</w:t>
      </w:r>
      <w:r>
        <w:rPr>
          <w:i w:val="false"/>
        </w:rPr>
        <w:t>年，上述部門在各管制站的人手編制，以及相關人手總開支，載於附表一。</w:t>
      </w:r>
    </w:p>
    <w:p>
      <w:pPr>
        <w:pStyle w:val="Style13"/>
        <w:widowControl/>
        <w:spacing w:lineRule="atLeast" w:line="376"/>
        <w:rPr>
          <w:i w:val="false"/>
          <w:i w:val="false"/>
        </w:rPr>
      </w:pPr>
      <w:r>
        <w:rPr>
          <w:i w:val="false"/>
        </w:rPr>
      </w:r>
    </w:p>
    <w:p>
      <w:pPr>
        <w:pStyle w:val="Style13"/>
        <w:widowControl/>
        <w:spacing w:lineRule="atLeast" w:line="376"/>
        <w:rPr>
          <w:i w:val="false"/>
          <w:i w:val="false"/>
        </w:rPr>
      </w:pPr>
      <w:r>
        <w:rPr>
          <w:i w:val="false"/>
        </w:rPr>
        <w:tab/>
      </w:r>
      <w:r>
        <w:rPr>
          <w:i w:val="false"/>
        </w:rPr>
        <w:t>至於其他與管制站運作有關的開支，涉及多個不同政府部門的工作範疇，政府沒有備存分項數字。</w:t>
      </w:r>
    </w:p>
    <w:p>
      <w:pPr>
        <w:pStyle w:val="Style13"/>
        <w:widowControl/>
        <w:spacing w:lineRule="atLeast" w:line="376"/>
        <w:rPr>
          <w:i w:val="false"/>
          <w:i w:val="false"/>
        </w:rPr>
      </w:pPr>
      <w:r>
        <w:rPr>
          <w:i w:val="false"/>
        </w:rPr>
      </w:r>
    </w:p>
    <w:p>
      <w:pPr>
        <w:pStyle w:val="Style13"/>
        <w:widowControl/>
        <w:spacing w:lineRule="atLeast" w:line="376"/>
        <w:rPr>
          <w:i w:val="false"/>
          <w:i w:val="false"/>
        </w:rPr>
      </w:pPr>
      <w:r>
        <w:rPr>
          <w:i w:val="false"/>
        </w:rPr>
        <w:t>(</w:t>
      </w:r>
      <w:r>
        <w:rPr>
          <w:i w:val="false"/>
        </w:rPr>
        <w:t>三</w:t>
      </w:r>
      <w:r>
        <w:rPr>
          <w:i w:val="false"/>
        </w:rPr>
        <w:t>)</w:t>
        <w:tab/>
      </w:r>
      <w:r>
        <w:rPr>
          <w:i w:val="false"/>
        </w:rPr>
        <w:t>過去</w:t>
      </w:r>
      <w:r>
        <w:rPr>
          <w:i w:val="false"/>
        </w:rPr>
        <w:t>3</w:t>
      </w:r>
      <w:r>
        <w:rPr>
          <w:i w:val="false"/>
        </w:rPr>
        <w:t>年，經各管制站出入境的旅客量及車量，分別載於附表二及附表三。</w:t>
      </w:r>
    </w:p>
    <w:p>
      <w:pPr>
        <w:pStyle w:val="Style13"/>
        <w:widowControl/>
        <w:spacing w:lineRule="atLeast" w:line="376"/>
        <w:rPr>
          <w:i w:val="false"/>
          <w:i w:val="false"/>
        </w:rPr>
      </w:pPr>
      <w:r>
        <w:rPr>
          <w:i w:val="false"/>
        </w:rPr>
      </w:r>
    </w:p>
    <w:p>
      <w:pPr>
        <w:pStyle w:val="Style13"/>
        <w:widowControl/>
        <w:spacing w:lineRule="atLeast" w:line="376"/>
        <w:rPr>
          <w:i w:val="false"/>
          <w:i w:val="false"/>
        </w:rPr>
      </w:pPr>
      <w:r>
        <w:rPr>
          <w:i w:val="false"/>
        </w:rPr>
        <w:t>(</w:t>
      </w:r>
      <w:r>
        <w:rPr>
          <w:i w:val="false"/>
        </w:rPr>
        <w:t>四</w:t>
      </w:r>
      <w:r>
        <w:rPr>
          <w:i w:val="false"/>
        </w:rPr>
        <w:t>)</w:t>
        <w:tab/>
      </w:r>
      <w:r>
        <w:rPr>
          <w:i w:val="false"/>
        </w:rPr>
        <w:t>目前，特區政府沒有向經陸路或海路管制站出入境的人士收取離境稅。</w:t>
      </w:r>
      <w:r>
        <w:rPr>
          <w:i w:val="false"/>
        </w:rPr>
        <w:t>(</w:t>
      </w:r>
      <w:r>
        <w:rPr>
          <w:i w:val="false"/>
        </w:rPr>
        <w:t>海事處按乘客人數向境外線渡輪營辦商徵收上船費，每名乘客</w:t>
      </w:r>
      <w:r>
        <w:rPr>
          <w:i w:val="false"/>
        </w:rPr>
        <w:t>11</w:t>
      </w:r>
      <w:r>
        <w:rPr>
          <w:i w:val="false"/>
        </w:rPr>
        <w:t>元，以收回政府提供碼頭設施及相關服務成本的費用。有關費用並非稅項。</w:t>
      </w:r>
      <w:r>
        <w:rPr>
          <w:i w:val="false"/>
        </w:rPr>
        <w:t>)</w:t>
      </w:r>
      <w:r>
        <w:rPr>
          <w:i w:val="false"/>
        </w:rPr>
        <w:t>至於乘客從香港國際機場及港澳碼頭直升機場離開香港時，根據《飛機乘客離境稅條例》</w:t>
      </w:r>
      <w:r>
        <w:rPr>
          <w:i w:val="false"/>
        </w:rPr>
        <w:t>(</w:t>
      </w:r>
      <w:r>
        <w:rPr>
          <w:i w:val="false"/>
        </w:rPr>
        <w:t>第</w:t>
      </w:r>
      <w:r>
        <w:rPr>
          <w:i w:val="false"/>
        </w:rPr>
        <w:t>140</w:t>
      </w:r>
      <w:r>
        <w:rPr>
          <w:i w:val="false"/>
        </w:rPr>
        <w:t>章</w:t>
      </w:r>
      <w:r>
        <w:rPr>
          <w:i w:val="false"/>
        </w:rPr>
        <w:t>)</w:t>
      </w:r>
      <w:r>
        <w:rPr>
          <w:i w:val="false"/>
        </w:rPr>
        <w:t>，除非獲得豁免，否則須繳交港幣</w:t>
      </w:r>
      <w:r>
        <w:rPr>
          <w:i w:val="false"/>
        </w:rPr>
        <w:t>120</w:t>
      </w:r>
      <w:r>
        <w:rPr>
          <w:i w:val="false"/>
        </w:rPr>
        <w:t>元的飛機乘客離境稅。過去</w:t>
      </w:r>
      <w:r>
        <w:rPr>
          <w:i w:val="false"/>
        </w:rPr>
        <w:t>3</w:t>
      </w:r>
      <w:r>
        <w:rPr>
          <w:i w:val="false"/>
        </w:rPr>
        <w:t>年收取的飛機乘客離境稅詳情如下：</w:t>
      </w:r>
    </w:p>
    <w:p>
      <w:pPr>
        <w:pStyle w:val="Style13"/>
        <w:widowControl/>
        <w:spacing w:lineRule="atLeast" w:line="376"/>
        <w:rPr>
          <w:i w:val="false"/>
          <w:i w:val="false"/>
        </w:rPr>
      </w:pPr>
      <w:r>
        <w:rPr>
          <w:i w:val="false"/>
        </w:rPr>
      </w:r>
    </w:p>
    <w:tbl>
      <w:tblPr>
        <w:tblStyle w:val="a9"/>
        <w:tblW w:w="7805" w:type="dxa"/>
        <w:jc w:val="left"/>
        <w:tblInd w:w="1418" w:type="dxa"/>
        <w:tblCellMar>
          <w:top w:w="0" w:type="dxa"/>
          <w:left w:w="108" w:type="dxa"/>
          <w:bottom w:w="0" w:type="dxa"/>
          <w:right w:w="108" w:type="dxa"/>
        </w:tblCellMar>
        <w:tblLook w:val="01e0" w:noHBand="0" w:noVBand="0" w:firstColumn="1" w:lastRow="1" w:lastColumn="1" w:firstRow="1"/>
      </w:tblPr>
      <w:tblGrid>
        <w:gridCol w:w="3548"/>
        <w:gridCol w:w="4256"/>
      </w:tblGrid>
      <w:tr>
        <w:trPr/>
        <w:tc>
          <w:tcPr>
            <w:tcW w:w="3548" w:type="dxa"/>
            <w:tcBorders/>
            <w:vAlign w:val="center"/>
          </w:tcPr>
          <w:p>
            <w:pPr>
              <w:pStyle w:val="Style13"/>
              <w:widowControl/>
              <w:tabs>
                <w:tab w:val="left" w:pos="480" w:leader="none"/>
                <w:tab w:val="left" w:pos="567" w:leader="none"/>
              </w:tabs>
              <w:spacing w:lineRule="atLeast" w:line="376"/>
              <w:ind w:left="57" w:right="57" w:hanging="0"/>
              <w:jc w:val="center"/>
              <w:rPr/>
            </w:pPr>
            <w:r>
              <w:rPr/>
              <w:t>財政年度</w:t>
            </w:r>
          </w:p>
        </w:tc>
        <w:tc>
          <w:tcPr>
            <w:tcW w:w="4256" w:type="dxa"/>
            <w:tcBorders/>
            <w:vAlign w:val="center"/>
          </w:tcPr>
          <w:p>
            <w:pPr>
              <w:pStyle w:val="Style13"/>
              <w:widowControl/>
              <w:tabs>
                <w:tab w:val="left" w:pos="480" w:leader="none"/>
                <w:tab w:val="left" w:pos="567" w:leader="none"/>
              </w:tabs>
              <w:spacing w:lineRule="atLeast" w:line="376"/>
              <w:ind w:left="57" w:right="57" w:hanging="0"/>
              <w:jc w:val="center"/>
              <w:rPr/>
            </w:pPr>
            <w:r>
              <w:rPr/>
              <w:t>收取的飛機乘客離境稅總金額</w:t>
            </w:r>
            <w:r>
              <w:rPr/>
              <w:t>(</w:t>
            </w:r>
            <w:r>
              <w:rPr/>
              <w:t>千元</w:t>
            </w:r>
            <w:r>
              <w:rPr/>
              <w:t>)</w:t>
            </w:r>
          </w:p>
        </w:tc>
      </w:tr>
      <w:tr>
        <w:trPr/>
        <w:tc>
          <w:tcPr>
            <w:tcW w:w="3548" w:type="dxa"/>
            <w:tcBorders/>
            <w:vAlign w:val="center"/>
          </w:tcPr>
          <w:p>
            <w:pPr>
              <w:pStyle w:val="Style13"/>
              <w:widowControl/>
              <w:tabs>
                <w:tab w:val="left" w:pos="480" w:leader="none"/>
                <w:tab w:val="left" w:pos="567" w:leader="none"/>
              </w:tabs>
              <w:spacing w:lineRule="atLeast" w:line="376"/>
              <w:ind w:left="57" w:right="57" w:hanging="0"/>
              <w:jc w:val="center"/>
              <w:rPr>
                <w:i w:val="false"/>
                <w:i w:val="false"/>
              </w:rPr>
            </w:pPr>
            <w:r>
              <w:rPr>
                <w:i w:val="false"/>
              </w:rPr>
              <w:t>2012-2013(</w:t>
            </w:r>
            <w:r>
              <w:rPr>
                <w:i w:val="false"/>
              </w:rPr>
              <w:t>實際收入</w:t>
            </w:r>
            <w:r>
              <w:rPr>
                <w:i w:val="false"/>
              </w:rPr>
              <w:t>)</w:t>
            </w:r>
          </w:p>
        </w:tc>
        <w:tc>
          <w:tcPr>
            <w:tcW w:w="4256" w:type="dxa"/>
            <w:tcBorders/>
            <w:vAlign w:val="center"/>
          </w:tcPr>
          <w:p>
            <w:pPr>
              <w:pStyle w:val="Style13"/>
              <w:widowControl/>
              <w:tabs>
                <w:tab w:val="left" w:pos="480" w:leader="none"/>
                <w:tab w:val="left" w:pos="567" w:leader="none"/>
              </w:tabs>
              <w:spacing w:lineRule="atLeast" w:line="376"/>
              <w:ind w:left="57" w:right="57" w:hanging="0"/>
              <w:jc w:val="center"/>
              <w:rPr>
                <w:i w:val="false"/>
                <w:i w:val="false"/>
              </w:rPr>
            </w:pPr>
            <w:r>
              <w:rPr>
                <w:i w:val="false"/>
              </w:rPr>
              <w:t>2,029,188</w:t>
            </w:r>
          </w:p>
        </w:tc>
      </w:tr>
      <w:tr>
        <w:trPr/>
        <w:tc>
          <w:tcPr>
            <w:tcW w:w="3548" w:type="dxa"/>
            <w:tcBorders/>
            <w:vAlign w:val="center"/>
          </w:tcPr>
          <w:p>
            <w:pPr>
              <w:pStyle w:val="Style13"/>
              <w:widowControl/>
              <w:tabs>
                <w:tab w:val="left" w:pos="480" w:leader="none"/>
                <w:tab w:val="left" w:pos="567" w:leader="none"/>
              </w:tabs>
              <w:spacing w:lineRule="atLeast" w:line="376"/>
              <w:ind w:left="57" w:right="57" w:hanging="0"/>
              <w:jc w:val="center"/>
              <w:rPr>
                <w:i w:val="false"/>
                <w:i w:val="false"/>
              </w:rPr>
            </w:pPr>
            <w:r>
              <w:rPr>
                <w:i w:val="false"/>
              </w:rPr>
              <w:t>2013-2014(</w:t>
            </w:r>
            <w:r>
              <w:rPr>
                <w:i w:val="false"/>
              </w:rPr>
              <w:t>實際收入</w:t>
            </w:r>
            <w:r>
              <w:rPr>
                <w:i w:val="false"/>
              </w:rPr>
              <w:t>)</w:t>
            </w:r>
          </w:p>
        </w:tc>
        <w:tc>
          <w:tcPr>
            <w:tcW w:w="4256" w:type="dxa"/>
            <w:tcBorders/>
            <w:vAlign w:val="center"/>
          </w:tcPr>
          <w:p>
            <w:pPr>
              <w:pStyle w:val="Style13"/>
              <w:widowControl/>
              <w:tabs>
                <w:tab w:val="left" w:pos="480" w:leader="none"/>
                <w:tab w:val="left" w:pos="567" w:leader="none"/>
              </w:tabs>
              <w:spacing w:lineRule="atLeast" w:line="376"/>
              <w:ind w:left="57" w:right="57" w:hanging="0"/>
              <w:jc w:val="center"/>
              <w:rPr>
                <w:i w:val="false"/>
                <w:i w:val="false"/>
              </w:rPr>
            </w:pPr>
            <w:r>
              <w:rPr>
                <w:i w:val="false"/>
              </w:rPr>
              <w:t>2,244,034</w:t>
            </w:r>
          </w:p>
        </w:tc>
      </w:tr>
      <w:tr>
        <w:trPr/>
        <w:tc>
          <w:tcPr>
            <w:tcW w:w="3548" w:type="dxa"/>
            <w:tcBorders/>
            <w:vAlign w:val="center"/>
          </w:tcPr>
          <w:p>
            <w:pPr>
              <w:pStyle w:val="Style13"/>
              <w:widowControl/>
              <w:tabs>
                <w:tab w:val="left" w:pos="480" w:leader="none"/>
                <w:tab w:val="left" w:pos="567" w:leader="none"/>
              </w:tabs>
              <w:spacing w:lineRule="atLeast" w:line="376"/>
              <w:ind w:left="57" w:right="57" w:hanging="0"/>
              <w:jc w:val="center"/>
              <w:rPr>
                <w:i w:val="false"/>
                <w:i w:val="false"/>
              </w:rPr>
            </w:pPr>
            <w:r>
              <w:rPr>
                <w:i w:val="false"/>
              </w:rPr>
              <w:t>2014-2015(</w:t>
            </w:r>
            <w:r>
              <w:rPr>
                <w:i w:val="false"/>
              </w:rPr>
              <w:t>修訂預算</w:t>
            </w:r>
            <w:r>
              <w:rPr>
                <w:i w:val="false"/>
              </w:rPr>
              <w:t>)</w:t>
            </w:r>
          </w:p>
        </w:tc>
        <w:tc>
          <w:tcPr>
            <w:tcW w:w="4256" w:type="dxa"/>
            <w:tcBorders/>
            <w:vAlign w:val="center"/>
          </w:tcPr>
          <w:p>
            <w:pPr>
              <w:pStyle w:val="Style13"/>
              <w:widowControl/>
              <w:tabs>
                <w:tab w:val="left" w:pos="480" w:leader="none"/>
                <w:tab w:val="left" w:pos="567" w:leader="none"/>
              </w:tabs>
              <w:spacing w:lineRule="atLeast" w:line="376"/>
              <w:ind w:left="57" w:right="57" w:hanging="0"/>
              <w:jc w:val="center"/>
              <w:rPr>
                <w:i w:val="false"/>
                <w:i w:val="false"/>
              </w:rPr>
            </w:pPr>
            <w:r>
              <w:rPr>
                <w:i w:val="false"/>
              </w:rPr>
              <w:t>2,313,535</w:t>
            </w:r>
          </w:p>
        </w:tc>
      </w:tr>
    </w:tbl>
    <w:p>
      <w:pPr>
        <w:pStyle w:val="Style13"/>
        <w:widowControl/>
        <w:spacing w:lineRule="atLeast" w:line="376"/>
        <w:rPr>
          <w:rFonts w:cs="Times New Roman"/>
          <w:i w:val="false"/>
          <w:i w:val="false"/>
        </w:rPr>
      </w:pPr>
      <w:r>
        <w:rPr>
          <w:rFonts w:cs="Times New Roman"/>
          <w:i w:val="false"/>
        </w:rPr>
      </w:r>
    </w:p>
    <w:p>
      <w:pPr>
        <w:pStyle w:val="Style13"/>
        <w:widowControl/>
        <w:spacing w:lineRule="atLeast" w:line="376"/>
        <w:rPr>
          <w:i w:val="false"/>
          <w:i w:val="false"/>
        </w:rPr>
      </w:pPr>
      <w:r>
        <w:rPr>
          <w:i w:val="false"/>
        </w:rPr>
        <w:tab/>
      </w:r>
      <w:r>
        <w:rPr>
          <w:i w:val="false"/>
        </w:rPr>
        <w:t>政府沒有就其他與管制站有關的收入備存分項數字。根據政府一貫的公共理財原則，政府各項稅收及各部門的收入，會撥歸政府一般收入，有關資源會按照當前的優先次序分配至政府的各項工作和服務，以確保這些工作和服務切合社會各方面的需要。</w:t>
      </w:r>
    </w:p>
    <w:p>
      <w:pPr>
        <w:pStyle w:val="Style13"/>
        <w:widowControl/>
        <w:spacing w:lineRule="atLeast" w:line="376"/>
        <w:rPr>
          <w:i w:val="false"/>
          <w:i w:val="false"/>
        </w:rPr>
      </w:pPr>
      <w:r>
        <w:rPr>
          <w:i w:val="false"/>
        </w:rPr>
      </w:r>
    </w:p>
    <w:p>
      <w:pPr>
        <w:pStyle w:val="Style13"/>
        <w:widowControl/>
        <w:spacing w:lineRule="atLeast" w:line="376"/>
        <w:rPr>
          <w:i w:val="false"/>
          <w:i w:val="false"/>
        </w:rPr>
      </w:pPr>
      <w:r>
        <w:rPr>
          <w:i w:val="false"/>
        </w:rPr>
        <w:t>(</w:t>
      </w:r>
      <w:r>
        <w:rPr>
          <w:i w:val="false"/>
        </w:rPr>
        <w:t>五</w:t>
      </w:r>
      <w:r>
        <w:rPr>
          <w:i w:val="false"/>
        </w:rPr>
        <w:t>)</w:t>
        <w:tab/>
      </w:r>
      <w:r>
        <w:rPr>
          <w:i w:val="false"/>
        </w:rPr>
        <w:t>正在進行的管制站擴建或設施改善工程，載於附表四。</w:t>
      </w:r>
    </w:p>
    <w:p>
      <w:pPr>
        <w:pStyle w:val="Style13"/>
        <w:widowControl/>
        <w:spacing w:lineRule="atLeast" w:line="376"/>
        <w:rPr>
          <w:i w:val="false"/>
          <w:i w:val="false"/>
        </w:rPr>
      </w:pPr>
      <w:r>
        <w:rPr>
          <w:i w:val="false"/>
        </w:rPr>
      </w:r>
    </w:p>
    <w:p>
      <w:pPr>
        <w:pStyle w:val="Style13"/>
        <w:widowControl/>
        <w:spacing w:lineRule="atLeast" w:line="376"/>
        <w:rPr>
          <w:i w:val="false"/>
          <w:i w:val="false"/>
        </w:rPr>
      </w:pPr>
      <w:r>
        <w:rPr>
          <w:i w:val="false"/>
        </w:rPr>
        <w:t>(</w:t>
      </w:r>
      <w:r>
        <w:rPr>
          <w:i w:val="false"/>
        </w:rPr>
        <w:t>六</w:t>
      </w:r>
      <w:r>
        <w:rPr>
          <w:i w:val="false"/>
        </w:rPr>
        <w:t>)</w:t>
        <w:tab/>
      </w:r>
      <w:r>
        <w:rPr>
          <w:i w:val="false"/>
        </w:rPr>
        <w:t>根據政府一般的財務安排，各部門的運作開支，均由政府財政預算案相關部門開支總目下的撥款支付，並非由部門本身運作所得的收入作出補貼。這安排亦適用於管制站的運作開支。特區政府沒有開徵旅客入境稅的計劃。</w:t>
      </w:r>
      <w:r>
        <w:br w:type="page"/>
      </w:r>
    </w:p>
    <w:p>
      <w:pPr>
        <w:pStyle w:val="Normal"/>
        <w:widowControl/>
        <w:spacing w:lineRule="atLeast" w:line="420"/>
        <w:jc w:val="center"/>
        <w:rPr>
          <w:spacing w:val="20"/>
          <w:sz w:val="27"/>
          <w:szCs w:val="27"/>
        </w:rPr>
      </w:pPr>
      <w:r>
        <w:rPr>
          <w:spacing w:val="20"/>
          <w:sz w:val="27"/>
          <w:szCs w:val="27"/>
        </w:rPr>
        <w:t>附表一：入境事務處、海關、警務處及衞生署</w:t>
      </w:r>
    </w:p>
    <w:p>
      <w:pPr>
        <w:pStyle w:val="Normal"/>
        <w:widowControl/>
        <w:spacing w:lineRule="atLeast" w:line="420"/>
        <w:jc w:val="center"/>
        <w:rPr>
          <w:spacing w:val="20"/>
          <w:sz w:val="27"/>
          <w:szCs w:val="27"/>
        </w:rPr>
      </w:pPr>
      <w:r>
        <w:rPr>
          <w:spacing w:val="20"/>
          <w:sz w:val="27"/>
          <w:szCs w:val="27"/>
        </w:rPr>
        <w:t>於各管制站的人手編制</w:t>
      </w:r>
    </w:p>
    <w:p>
      <w:pPr>
        <w:pStyle w:val="Normal"/>
        <w:widowControl/>
        <w:spacing w:lineRule="atLeast" w:line="420"/>
        <w:jc w:val="center"/>
        <w:rPr>
          <w:spacing w:val="20"/>
          <w:sz w:val="27"/>
          <w:szCs w:val="27"/>
        </w:rPr>
      </w:pPr>
      <w:r>
        <w:rPr>
          <w:spacing w:val="20"/>
          <w:sz w:val="27"/>
          <w:szCs w:val="27"/>
        </w:rPr>
      </w:r>
    </w:p>
    <w:p>
      <w:pPr>
        <w:pStyle w:val="Normal"/>
        <w:widowControl/>
        <w:tabs>
          <w:tab w:val="clear" w:pos="720"/>
        </w:tabs>
        <w:spacing w:lineRule="atLeast" w:line="420"/>
        <w:rPr>
          <w:spacing w:val="20"/>
          <w:sz w:val="27"/>
          <w:szCs w:val="27"/>
        </w:rPr>
      </w:pPr>
      <w:r>
        <w:rPr>
          <w:spacing w:val="20"/>
          <w:sz w:val="27"/>
          <w:szCs w:val="27"/>
        </w:rPr>
        <w:t>(1)</w:t>
        <w:tab/>
      </w:r>
      <w:r>
        <w:rPr>
          <w:spacing w:val="20"/>
          <w:sz w:val="27"/>
          <w:szCs w:val="27"/>
        </w:rPr>
        <w:t>入境事務處</w:t>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2525"/>
        <w:gridCol w:w="2232"/>
        <w:gridCol w:w="2233"/>
        <w:gridCol w:w="2232"/>
      </w:tblGrid>
      <w:tr>
        <w:trPr/>
        <w:tc>
          <w:tcPr>
            <w:tcW w:w="2525" w:type="dxa"/>
            <w:tcBorders/>
            <w:vAlign w:val="center"/>
          </w:tcPr>
          <w:p>
            <w:pPr>
              <w:pStyle w:val="Normal"/>
              <w:widowControl/>
              <w:snapToGrid w:val="false"/>
              <w:spacing w:lineRule="atLeast" w:line="420"/>
              <w:ind w:left="57" w:right="57" w:hanging="0"/>
              <w:jc w:val="center"/>
              <w:rPr>
                <w:i/>
                <w:i/>
                <w:spacing w:val="20"/>
                <w:sz w:val="27"/>
                <w:szCs w:val="27"/>
              </w:rPr>
            </w:pPr>
            <w:r>
              <w:rPr>
                <w:i/>
                <w:spacing w:val="20"/>
                <w:sz w:val="27"/>
                <w:szCs w:val="27"/>
              </w:rPr>
            </w:r>
          </w:p>
        </w:tc>
        <w:tc>
          <w:tcPr>
            <w:tcW w:w="2232" w:type="dxa"/>
            <w:tcBorders/>
            <w:vAlign w:val="center"/>
          </w:tcPr>
          <w:p>
            <w:pPr>
              <w:pStyle w:val="Normal"/>
              <w:widowControl/>
              <w:snapToGrid w:val="false"/>
              <w:spacing w:lineRule="atLeast" w:line="420"/>
              <w:ind w:left="57" w:right="57" w:hanging="0"/>
              <w:jc w:val="center"/>
              <w:rPr>
                <w:i/>
                <w:i/>
                <w:spacing w:val="20"/>
                <w:sz w:val="27"/>
                <w:szCs w:val="27"/>
              </w:rPr>
            </w:pPr>
            <w:r>
              <w:rPr>
                <w:i/>
                <w:spacing w:val="20"/>
                <w:sz w:val="27"/>
                <w:szCs w:val="27"/>
              </w:rPr>
              <w:t>2012-2013</w:t>
            </w:r>
            <w:r>
              <w:rPr>
                <w:i/>
                <w:spacing w:val="20"/>
                <w:sz w:val="27"/>
                <w:szCs w:val="27"/>
              </w:rPr>
              <w:t>年度</w:t>
            </w:r>
          </w:p>
        </w:tc>
        <w:tc>
          <w:tcPr>
            <w:tcW w:w="2233" w:type="dxa"/>
            <w:tcBorders/>
            <w:vAlign w:val="center"/>
          </w:tcPr>
          <w:p>
            <w:pPr>
              <w:pStyle w:val="Normal"/>
              <w:widowControl/>
              <w:snapToGrid w:val="false"/>
              <w:spacing w:lineRule="atLeast" w:line="420"/>
              <w:ind w:left="57" w:right="57" w:hanging="0"/>
              <w:jc w:val="center"/>
              <w:rPr>
                <w:i/>
                <w:i/>
                <w:spacing w:val="20"/>
                <w:sz w:val="27"/>
                <w:szCs w:val="27"/>
              </w:rPr>
            </w:pPr>
            <w:r>
              <w:rPr>
                <w:i/>
                <w:spacing w:val="20"/>
                <w:sz w:val="27"/>
                <w:szCs w:val="27"/>
              </w:rPr>
              <w:t>2013-2014</w:t>
            </w:r>
            <w:r>
              <w:rPr>
                <w:i/>
                <w:spacing w:val="20"/>
                <w:sz w:val="27"/>
                <w:szCs w:val="27"/>
              </w:rPr>
              <w:t>年度</w:t>
            </w:r>
          </w:p>
        </w:tc>
        <w:tc>
          <w:tcPr>
            <w:tcW w:w="2232" w:type="dxa"/>
            <w:tcBorders/>
            <w:vAlign w:val="center"/>
          </w:tcPr>
          <w:p>
            <w:pPr>
              <w:pStyle w:val="Normal"/>
              <w:widowControl/>
              <w:snapToGrid w:val="false"/>
              <w:spacing w:lineRule="atLeast" w:line="420"/>
              <w:ind w:left="57" w:hanging="0"/>
              <w:jc w:val="center"/>
              <w:rPr>
                <w:i/>
                <w:i/>
                <w:spacing w:val="20"/>
                <w:sz w:val="27"/>
                <w:szCs w:val="27"/>
              </w:rPr>
            </w:pPr>
            <w:r>
              <w:rPr>
                <w:i/>
                <w:spacing w:val="20"/>
                <w:sz w:val="27"/>
                <w:szCs w:val="27"/>
              </w:rPr>
              <w:t>2014-2015</w:t>
            </w:r>
            <w:r>
              <w:rPr>
                <w:i/>
                <w:spacing w:val="20"/>
                <w:sz w:val="27"/>
                <w:szCs w:val="27"/>
              </w:rPr>
              <w:t>年度</w:t>
            </w:r>
          </w:p>
          <w:p>
            <w:pPr>
              <w:pStyle w:val="Normal"/>
              <w:widowControl/>
              <w:snapToGrid w:val="false"/>
              <w:spacing w:lineRule="atLeast" w:line="420"/>
              <w:ind w:left="57" w:hanging="0"/>
              <w:jc w:val="center"/>
              <w:rPr>
                <w:i/>
                <w:i/>
                <w:spacing w:val="14"/>
                <w:sz w:val="27"/>
                <w:szCs w:val="27"/>
              </w:rPr>
            </w:pPr>
            <w:r>
              <w:rPr>
                <w:i/>
                <w:spacing w:val="14"/>
                <w:sz w:val="27"/>
                <w:szCs w:val="27"/>
              </w:rPr>
              <w:t>(</w:t>
            </w:r>
            <w:r>
              <w:rPr>
                <w:i/>
                <w:spacing w:val="14"/>
                <w:sz w:val="27"/>
                <w:szCs w:val="27"/>
              </w:rPr>
              <w:t>截至</w:t>
            </w:r>
            <w:r>
              <w:rPr>
                <w:i/>
                <w:spacing w:val="14"/>
                <w:sz w:val="27"/>
                <w:szCs w:val="27"/>
              </w:rPr>
              <w:t>2015</w:t>
            </w:r>
            <w:r>
              <w:rPr>
                <w:i/>
                <w:spacing w:val="14"/>
                <w:sz w:val="27"/>
                <w:szCs w:val="27"/>
              </w:rPr>
              <w:t>年</w:t>
            </w:r>
            <w:r>
              <w:rPr>
                <w:i/>
                <w:spacing w:val="14"/>
                <w:sz w:val="27"/>
                <w:szCs w:val="27"/>
              </w:rPr>
              <w:t>2</w:t>
            </w:r>
            <w:r>
              <w:rPr>
                <w:i/>
                <w:spacing w:val="14"/>
                <w:sz w:val="27"/>
                <w:szCs w:val="27"/>
              </w:rPr>
              <w:t>月</w:t>
            </w:r>
            <w:r>
              <w:rPr>
                <w:i/>
                <w:spacing w:val="14"/>
                <w:sz w:val="27"/>
                <w:szCs w:val="27"/>
              </w:rPr>
              <w:t>)</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機場</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855</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876</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877</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羅湖</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741</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738</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738</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紅磡</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93</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93</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93</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落馬洲支線</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194</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224</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250</w:t>
            </w:r>
          </w:p>
        </w:tc>
      </w:tr>
      <w:tr>
        <w:trPr>
          <w:trHeight w:val="263" w:hRule="atLeast"/>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落馬洲</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377</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377</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377</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文錦渡</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82</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81</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87</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沙頭角</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53</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53</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53</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深圳灣</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337</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366</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387</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港澳客輪碼頭</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189</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189</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189</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中國客運碼頭</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168</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168</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168</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港口管制</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109</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109</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109</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屯門客運碼頭</w:t>
            </w:r>
            <w:r>
              <w:rPr>
                <w:spacing w:val="20"/>
                <w:sz w:val="27"/>
                <w:szCs w:val="27"/>
                <w:vertAlign w:val="superscript"/>
              </w:rPr>
              <w:t>(1)</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30</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30</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30</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內河碼頭</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40</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40</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40</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啟德郵輪碼頭</w:t>
            </w:r>
            <w:r>
              <w:rPr>
                <w:spacing w:val="20"/>
                <w:sz w:val="27"/>
                <w:szCs w:val="27"/>
                <w:vertAlign w:val="superscript"/>
              </w:rPr>
              <w:t>(2)(3)</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35</w:t>
            </w:r>
          </w:p>
        </w:tc>
        <w:tc>
          <w:tcPr>
            <w:tcW w:w="2233"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66</w:t>
            </w:r>
          </w:p>
        </w:tc>
        <w:tc>
          <w:tcPr>
            <w:tcW w:w="2232" w:type="dxa"/>
            <w:tcBorders/>
          </w:tcPr>
          <w:p>
            <w:pPr>
              <w:pStyle w:val="Normal"/>
              <w:widowControl/>
              <w:snapToGrid w:val="false"/>
              <w:spacing w:lineRule="atLeast" w:line="420"/>
              <w:ind w:left="57" w:right="57" w:hanging="0"/>
              <w:jc w:val="center"/>
              <w:rPr>
                <w:spacing w:val="20"/>
                <w:sz w:val="27"/>
                <w:szCs w:val="27"/>
              </w:rPr>
            </w:pPr>
            <w:r>
              <w:rPr>
                <w:spacing w:val="20"/>
                <w:sz w:val="27"/>
                <w:szCs w:val="27"/>
              </w:rPr>
              <w:t>94</w:t>
            </w:r>
          </w:p>
        </w:tc>
      </w:tr>
      <w:tr>
        <w:trPr/>
        <w:tc>
          <w:tcPr>
            <w:tcW w:w="2525" w:type="dxa"/>
            <w:tcBorders/>
          </w:tcPr>
          <w:p>
            <w:pPr>
              <w:pStyle w:val="Normal"/>
              <w:widowControl/>
              <w:snapToGrid w:val="false"/>
              <w:spacing w:lineRule="atLeast" w:line="420"/>
              <w:ind w:left="57" w:right="57" w:hanging="0"/>
              <w:rPr>
                <w:spacing w:val="20"/>
                <w:sz w:val="27"/>
                <w:szCs w:val="27"/>
              </w:rPr>
            </w:pPr>
            <w:r>
              <w:rPr>
                <w:spacing w:val="20"/>
                <w:sz w:val="27"/>
                <w:szCs w:val="27"/>
              </w:rPr>
              <w:t>相關人手總開支</w:t>
            </w:r>
          </w:p>
          <w:p>
            <w:pPr>
              <w:pStyle w:val="Normal"/>
              <w:widowControl/>
              <w:snapToGrid w:val="false"/>
              <w:spacing w:lineRule="atLeast" w:line="420"/>
              <w:ind w:left="57" w:right="57" w:hanging="0"/>
              <w:rPr>
                <w:spacing w:val="20"/>
                <w:sz w:val="27"/>
                <w:szCs w:val="27"/>
              </w:rPr>
            </w:pPr>
            <w:r>
              <w:rPr>
                <w:spacing w:val="20"/>
                <w:sz w:val="27"/>
                <w:szCs w:val="27"/>
              </w:rPr>
              <w:t>(</w:t>
            </w:r>
            <w:r>
              <w:rPr>
                <w:spacing w:val="20"/>
                <w:sz w:val="27"/>
                <w:szCs w:val="27"/>
              </w:rPr>
              <w:t>以按薪級中點估計的年薪值計</w:t>
            </w:r>
            <w:r>
              <w:rPr>
                <w:spacing w:val="20"/>
                <w:sz w:val="27"/>
                <w:szCs w:val="27"/>
              </w:rPr>
              <w:t>)</w:t>
            </w:r>
          </w:p>
          <w:p>
            <w:pPr>
              <w:pStyle w:val="Normal"/>
              <w:widowControl/>
              <w:snapToGrid w:val="false"/>
              <w:spacing w:lineRule="atLeast" w:line="420"/>
              <w:ind w:left="57" w:right="57" w:hanging="0"/>
              <w:rPr>
                <w:spacing w:val="20"/>
                <w:sz w:val="27"/>
                <w:szCs w:val="27"/>
              </w:rPr>
            </w:pPr>
            <w:r>
              <w:rPr>
                <w:spacing w:val="20"/>
                <w:sz w:val="27"/>
                <w:szCs w:val="27"/>
              </w:rPr>
              <w:t>(</w:t>
            </w:r>
            <w:r>
              <w:rPr>
                <w:spacing w:val="20"/>
                <w:sz w:val="27"/>
                <w:szCs w:val="27"/>
              </w:rPr>
              <w:t>億港元</w:t>
            </w:r>
            <w:r>
              <w:rPr>
                <w:spacing w:val="20"/>
                <w:sz w:val="27"/>
                <w:szCs w:val="27"/>
              </w:rPr>
              <w:t>)</w:t>
            </w:r>
          </w:p>
        </w:tc>
        <w:tc>
          <w:tcPr>
            <w:tcW w:w="2232" w:type="dxa"/>
            <w:tcBorders/>
            <w:vAlign w:val="center"/>
          </w:tcPr>
          <w:p>
            <w:pPr>
              <w:pStyle w:val="Normal"/>
              <w:widowControl/>
              <w:snapToGrid w:val="false"/>
              <w:spacing w:lineRule="atLeast" w:line="420"/>
              <w:ind w:left="57" w:right="57" w:hanging="0"/>
              <w:jc w:val="center"/>
              <w:rPr>
                <w:spacing w:val="20"/>
                <w:sz w:val="27"/>
                <w:szCs w:val="27"/>
              </w:rPr>
            </w:pPr>
            <w:r>
              <w:rPr>
                <w:spacing w:val="20"/>
                <w:sz w:val="27"/>
                <w:szCs w:val="27"/>
              </w:rPr>
              <w:t>11.65</w:t>
            </w:r>
          </w:p>
        </w:tc>
        <w:tc>
          <w:tcPr>
            <w:tcW w:w="2233" w:type="dxa"/>
            <w:tcBorders/>
            <w:vAlign w:val="center"/>
          </w:tcPr>
          <w:p>
            <w:pPr>
              <w:pStyle w:val="Normal"/>
              <w:widowControl/>
              <w:snapToGrid w:val="false"/>
              <w:spacing w:lineRule="atLeast" w:line="420"/>
              <w:ind w:left="57" w:right="57" w:hanging="0"/>
              <w:jc w:val="center"/>
              <w:rPr>
                <w:spacing w:val="20"/>
                <w:sz w:val="27"/>
                <w:szCs w:val="27"/>
              </w:rPr>
            </w:pPr>
            <w:r>
              <w:rPr>
                <w:spacing w:val="20"/>
                <w:sz w:val="27"/>
                <w:szCs w:val="27"/>
              </w:rPr>
              <w:t>12.45</w:t>
            </w:r>
          </w:p>
        </w:tc>
        <w:tc>
          <w:tcPr>
            <w:tcW w:w="2232" w:type="dxa"/>
            <w:tcBorders/>
            <w:vAlign w:val="center"/>
          </w:tcPr>
          <w:p>
            <w:pPr>
              <w:pStyle w:val="Normal"/>
              <w:widowControl/>
              <w:snapToGrid w:val="false"/>
              <w:spacing w:lineRule="atLeast" w:line="420"/>
              <w:ind w:left="57" w:right="57" w:hanging="0"/>
              <w:jc w:val="center"/>
              <w:rPr>
                <w:spacing w:val="20"/>
                <w:sz w:val="27"/>
                <w:szCs w:val="27"/>
              </w:rPr>
            </w:pPr>
            <w:r>
              <w:rPr>
                <w:spacing w:val="20"/>
                <w:sz w:val="27"/>
                <w:szCs w:val="27"/>
              </w:rPr>
              <w:t>13.35</w:t>
            </w:r>
          </w:p>
        </w:tc>
      </w:tr>
    </w:tbl>
    <w:p>
      <w:pPr>
        <w:pStyle w:val="Normal"/>
        <w:widowControl/>
        <w:spacing w:lineRule="atLeast" w:line="420"/>
        <w:rPr>
          <w:spacing w:val="20"/>
          <w:sz w:val="27"/>
          <w:szCs w:val="27"/>
        </w:rPr>
      </w:pPr>
      <w:r>
        <w:rPr>
          <w:spacing w:val="20"/>
          <w:sz w:val="27"/>
          <w:szCs w:val="27"/>
        </w:rPr>
      </w:r>
    </w:p>
    <w:p>
      <w:pPr>
        <w:pStyle w:val="Normal"/>
        <w:widowControl/>
        <w:spacing w:lineRule="atLeast" w:line="420"/>
        <w:rPr>
          <w:spacing w:val="20"/>
          <w:sz w:val="27"/>
          <w:szCs w:val="27"/>
        </w:rPr>
      </w:pPr>
      <w:r>
        <w:rPr>
          <w:spacing w:val="20"/>
          <w:sz w:val="27"/>
          <w:szCs w:val="27"/>
        </w:rPr>
        <w:t>(2)</w:t>
        <w:tab/>
      </w:r>
      <w:r>
        <w:rPr>
          <w:spacing w:val="20"/>
          <w:sz w:val="27"/>
          <w:szCs w:val="27"/>
        </w:rPr>
        <w:t>海關</w:t>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2525"/>
        <w:gridCol w:w="2232"/>
        <w:gridCol w:w="2233"/>
        <w:gridCol w:w="2232"/>
      </w:tblGrid>
      <w:tr>
        <w:trPr>
          <w:tblHeader w:val="true"/>
        </w:trPr>
        <w:tc>
          <w:tcPr>
            <w:tcW w:w="2525" w:type="dxa"/>
            <w:tcBorders/>
            <w:vAlign w:val="center"/>
          </w:tcPr>
          <w:p>
            <w:pPr>
              <w:pStyle w:val="Normal"/>
              <w:widowControl/>
              <w:spacing w:lineRule="atLeast" w:line="420"/>
              <w:jc w:val="center"/>
              <w:rPr>
                <w:i/>
                <w:i/>
                <w:spacing w:val="20"/>
                <w:sz w:val="27"/>
                <w:szCs w:val="27"/>
              </w:rPr>
            </w:pPr>
            <w:r>
              <w:rPr>
                <w:i/>
                <w:spacing w:val="20"/>
                <w:sz w:val="27"/>
                <w:szCs w:val="27"/>
              </w:rPr>
            </w:r>
          </w:p>
        </w:tc>
        <w:tc>
          <w:tcPr>
            <w:tcW w:w="2232" w:type="dxa"/>
            <w:tcBorders/>
            <w:vAlign w:val="center"/>
          </w:tcPr>
          <w:p>
            <w:pPr>
              <w:pStyle w:val="Normal"/>
              <w:widowControl/>
              <w:spacing w:lineRule="atLeast" w:line="420"/>
              <w:jc w:val="center"/>
              <w:rPr>
                <w:i/>
                <w:i/>
                <w:spacing w:val="20"/>
                <w:sz w:val="27"/>
                <w:szCs w:val="27"/>
              </w:rPr>
            </w:pPr>
            <w:r>
              <w:rPr>
                <w:i/>
                <w:spacing w:val="20"/>
                <w:sz w:val="27"/>
                <w:szCs w:val="27"/>
              </w:rPr>
              <w:t>2012-2013</w:t>
            </w:r>
            <w:r>
              <w:rPr>
                <w:i/>
                <w:spacing w:val="20"/>
                <w:sz w:val="27"/>
                <w:szCs w:val="27"/>
              </w:rPr>
              <w:t>年度</w:t>
            </w:r>
          </w:p>
        </w:tc>
        <w:tc>
          <w:tcPr>
            <w:tcW w:w="2233" w:type="dxa"/>
            <w:tcBorders/>
            <w:vAlign w:val="center"/>
          </w:tcPr>
          <w:p>
            <w:pPr>
              <w:pStyle w:val="Normal"/>
              <w:widowControl/>
              <w:spacing w:lineRule="atLeast" w:line="420"/>
              <w:jc w:val="center"/>
              <w:rPr>
                <w:i/>
                <w:i/>
                <w:spacing w:val="20"/>
                <w:sz w:val="27"/>
                <w:szCs w:val="27"/>
              </w:rPr>
            </w:pPr>
            <w:r>
              <w:rPr>
                <w:i/>
                <w:spacing w:val="20"/>
                <w:sz w:val="27"/>
                <w:szCs w:val="27"/>
              </w:rPr>
              <w:t>2013-2014</w:t>
            </w:r>
            <w:r>
              <w:rPr>
                <w:i/>
                <w:spacing w:val="20"/>
                <w:sz w:val="27"/>
                <w:szCs w:val="27"/>
              </w:rPr>
              <w:t>年度</w:t>
            </w:r>
          </w:p>
        </w:tc>
        <w:tc>
          <w:tcPr>
            <w:tcW w:w="2232" w:type="dxa"/>
            <w:tcBorders/>
            <w:vAlign w:val="center"/>
          </w:tcPr>
          <w:p>
            <w:pPr>
              <w:pStyle w:val="Normal"/>
              <w:widowControl/>
              <w:spacing w:lineRule="atLeast" w:line="420"/>
              <w:jc w:val="center"/>
              <w:rPr>
                <w:i/>
                <w:i/>
                <w:spacing w:val="20"/>
                <w:sz w:val="27"/>
                <w:szCs w:val="27"/>
              </w:rPr>
            </w:pPr>
            <w:r>
              <w:rPr>
                <w:i/>
                <w:spacing w:val="20"/>
                <w:sz w:val="27"/>
                <w:szCs w:val="27"/>
              </w:rPr>
              <w:t>2014-2015</w:t>
            </w:r>
            <w:r>
              <w:rPr>
                <w:i/>
                <w:spacing w:val="20"/>
                <w:sz w:val="27"/>
                <w:szCs w:val="27"/>
              </w:rPr>
              <w:t>年度</w:t>
            </w:r>
          </w:p>
          <w:p>
            <w:pPr>
              <w:pStyle w:val="Normal"/>
              <w:widowControl/>
              <w:spacing w:lineRule="atLeast" w:line="420"/>
              <w:jc w:val="center"/>
              <w:rPr>
                <w:i/>
                <w:i/>
                <w:spacing w:val="18"/>
                <w:sz w:val="27"/>
                <w:szCs w:val="27"/>
              </w:rPr>
            </w:pPr>
            <w:r>
              <w:rPr>
                <w:i/>
                <w:spacing w:val="18"/>
                <w:sz w:val="27"/>
                <w:szCs w:val="27"/>
              </w:rPr>
              <w:t>(</w:t>
            </w:r>
            <w:r>
              <w:rPr>
                <w:i/>
                <w:spacing w:val="18"/>
                <w:sz w:val="27"/>
                <w:szCs w:val="27"/>
              </w:rPr>
              <w:t>截至</w:t>
            </w:r>
            <w:r>
              <w:rPr>
                <w:i/>
                <w:spacing w:val="18"/>
                <w:sz w:val="27"/>
                <w:szCs w:val="27"/>
              </w:rPr>
              <w:t>2015</w:t>
            </w:r>
            <w:r>
              <w:rPr>
                <w:i/>
                <w:spacing w:val="18"/>
                <w:sz w:val="27"/>
                <w:szCs w:val="27"/>
              </w:rPr>
              <w:t>年</w:t>
            </w:r>
            <w:r>
              <w:rPr>
                <w:i/>
                <w:spacing w:val="18"/>
                <w:sz w:val="27"/>
                <w:szCs w:val="27"/>
              </w:rPr>
              <w:t>2</w:t>
            </w:r>
            <w:r>
              <w:rPr>
                <w:i/>
                <w:spacing w:val="18"/>
                <w:sz w:val="27"/>
                <w:szCs w:val="27"/>
              </w:rPr>
              <w:t>月</w:t>
            </w:r>
            <w:r>
              <w:rPr>
                <w:i/>
                <w:spacing w:val="18"/>
                <w:sz w:val="27"/>
                <w:szCs w:val="27"/>
              </w:rPr>
              <w:t>)</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機場</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946</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987</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987</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羅湖</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193</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193</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193</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紅磡</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56</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56</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56</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落馬洲支線</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97</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102</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102</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落馬洲</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441</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446</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442</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文錦渡</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141</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159</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159</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沙頭角</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118</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119</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122</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深圳灣</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382</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382</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392</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港澳客輪碼頭</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75</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75</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75</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中國客運碼頭</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68</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68</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68</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港口管制</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364</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358</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358</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屯門客運碼頭</w:t>
            </w:r>
            <w:r>
              <w:rPr>
                <w:spacing w:val="20"/>
                <w:sz w:val="27"/>
                <w:szCs w:val="27"/>
                <w:vertAlign w:val="superscript"/>
              </w:rPr>
              <w:t>(1)</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23</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23</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23</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內河碼頭</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53</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63</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63</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啟德郵輪碼頭</w:t>
            </w:r>
            <w:r>
              <w:rPr>
                <w:spacing w:val="20"/>
                <w:sz w:val="27"/>
                <w:szCs w:val="27"/>
                <w:vertAlign w:val="superscript"/>
              </w:rPr>
              <w:t>(2)</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0</w:t>
            </w:r>
          </w:p>
        </w:tc>
        <w:tc>
          <w:tcPr>
            <w:tcW w:w="2233" w:type="dxa"/>
            <w:tcBorders/>
          </w:tcPr>
          <w:p>
            <w:pPr>
              <w:pStyle w:val="Normal"/>
              <w:widowControl/>
              <w:spacing w:lineRule="atLeast" w:line="420"/>
              <w:ind w:left="57" w:right="57" w:hanging="0"/>
              <w:jc w:val="center"/>
              <w:rPr>
                <w:spacing w:val="20"/>
                <w:sz w:val="27"/>
                <w:szCs w:val="27"/>
              </w:rPr>
            </w:pPr>
            <w:r>
              <w:rPr>
                <w:spacing w:val="20"/>
                <w:sz w:val="27"/>
                <w:szCs w:val="27"/>
              </w:rPr>
              <w:t>15</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15</w:t>
            </w:r>
          </w:p>
        </w:tc>
      </w:tr>
      <w:tr>
        <w:trPr/>
        <w:tc>
          <w:tcPr>
            <w:tcW w:w="2525" w:type="dxa"/>
            <w:tcBorders/>
          </w:tcPr>
          <w:p>
            <w:pPr>
              <w:pStyle w:val="Normal"/>
              <w:widowControl/>
              <w:spacing w:lineRule="atLeast" w:line="420"/>
              <w:ind w:left="57" w:right="57" w:hanging="0"/>
              <w:rPr>
                <w:spacing w:val="20"/>
                <w:sz w:val="27"/>
                <w:szCs w:val="27"/>
              </w:rPr>
            </w:pPr>
            <w:r>
              <w:rPr>
                <w:spacing w:val="20"/>
                <w:sz w:val="27"/>
                <w:szCs w:val="27"/>
              </w:rPr>
              <w:t>相關人手總開支</w:t>
            </w:r>
            <w:r>
              <w:rPr>
                <w:spacing w:val="20"/>
                <w:sz w:val="27"/>
                <w:szCs w:val="27"/>
              </w:rPr>
              <w:t>(</w:t>
            </w:r>
            <w:r>
              <w:rPr>
                <w:spacing w:val="20"/>
                <w:sz w:val="27"/>
                <w:szCs w:val="27"/>
              </w:rPr>
              <w:t>以按薪級中點估計的年薪值計</w:t>
            </w:r>
            <w:r>
              <w:rPr>
                <w:spacing w:val="20"/>
                <w:sz w:val="27"/>
                <w:szCs w:val="27"/>
              </w:rPr>
              <w:t>)</w:t>
            </w:r>
          </w:p>
          <w:p>
            <w:pPr>
              <w:pStyle w:val="Normal"/>
              <w:widowControl/>
              <w:spacing w:lineRule="atLeast" w:line="420"/>
              <w:ind w:left="57" w:right="57" w:hanging="0"/>
              <w:rPr>
                <w:spacing w:val="20"/>
                <w:sz w:val="27"/>
                <w:szCs w:val="27"/>
              </w:rPr>
            </w:pPr>
            <w:r>
              <w:rPr>
                <w:spacing w:val="20"/>
                <w:sz w:val="27"/>
                <w:szCs w:val="27"/>
              </w:rPr>
              <w:t>(</w:t>
            </w:r>
            <w:r>
              <w:rPr>
                <w:spacing w:val="20"/>
                <w:sz w:val="27"/>
                <w:szCs w:val="27"/>
              </w:rPr>
              <w:t>億港元</w:t>
            </w:r>
            <w:r>
              <w:rPr>
                <w:spacing w:val="20"/>
                <w:sz w:val="27"/>
                <w:szCs w:val="27"/>
              </w:rPr>
              <w:t>)</w:t>
            </w:r>
          </w:p>
        </w:tc>
        <w:tc>
          <w:tcPr>
            <w:tcW w:w="2232" w:type="dxa"/>
            <w:tcBorders/>
            <w:vAlign w:val="center"/>
          </w:tcPr>
          <w:p>
            <w:pPr>
              <w:pStyle w:val="Normal"/>
              <w:widowControl/>
              <w:spacing w:lineRule="atLeast" w:line="420"/>
              <w:ind w:left="57" w:right="57" w:hanging="0"/>
              <w:jc w:val="center"/>
              <w:rPr>
                <w:spacing w:val="20"/>
                <w:sz w:val="27"/>
                <w:szCs w:val="27"/>
              </w:rPr>
            </w:pPr>
            <w:r>
              <w:rPr>
                <w:spacing w:val="20"/>
                <w:sz w:val="27"/>
                <w:szCs w:val="27"/>
              </w:rPr>
              <w:t>9.29</w:t>
            </w:r>
          </w:p>
        </w:tc>
        <w:tc>
          <w:tcPr>
            <w:tcW w:w="2233" w:type="dxa"/>
            <w:tcBorders/>
            <w:vAlign w:val="center"/>
          </w:tcPr>
          <w:p>
            <w:pPr>
              <w:pStyle w:val="Normal"/>
              <w:widowControl/>
              <w:spacing w:lineRule="atLeast" w:line="420"/>
              <w:ind w:left="57" w:right="57" w:hanging="0"/>
              <w:jc w:val="center"/>
              <w:rPr>
                <w:spacing w:val="20"/>
                <w:sz w:val="27"/>
                <w:szCs w:val="27"/>
              </w:rPr>
            </w:pPr>
            <w:r>
              <w:rPr>
                <w:spacing w:val="20"/>
                <w:sz w:val="27"/>
                <w:szCs w:val="27"/>
              </w:rPr>
              <w:t>9.91</w:t>
            </w:r>
          </w:p>
        </w:tc>
        <w:tc>
          <w:tcPr>
            <w:tcW w:w="2232" w:type="dxa"/>
            <w:tcBorders/>
            <w:vAlign w:val="center"/>
          </w:tcPr>
          <w:p>
            <w:pPr>
              <w:pStyle w:val="Normal"/>
              <w:widowControl/>
              <w:spacing w:lineRule="atLeast" w:line="420"/>
              <w:ind w:left="57" w:right="57" w:hanging="0"/>
              <w:jc w:val="center"/>
              <w:rPr>
                <w:spacing w:val="20"/>
                <w:sz w:val="27"/>
                <w:szCs w:val="27"/>
              </w:rPr>
            </w:pPr>
            <w:r>
              <w:rPr>
                <w:spacing w:val="20"/>
                <w:sz w:val="27"/>
                <w:szCs w:val="27"/>
              </w:rPr>
              <w:t>10.45</w:t>
            </w:r>
          </w:p>
        </w:tc>
      </w:tr>
    </w:tbl>
    <w:p>
      <w:pPr>
        <w:pStyle w:val="Normal"/>
        <w:widowControl/>
        <w:spacing w:lineRule="atLeast" w:line="420"/>
        <w:rPr>
          <w:spacing w:val="20"/>
          <w:sz w:val="27"/>
          <w:szCs w:val="27"/>
        </w:rPr>
      </w:pPr>
      <w:r>
        <w:rPr>
          <w:spacing w:val="20"/>
          <w:sz w:val="27"/>
          <w:szCs w:val="27"/>
        </w:rPr>
      </w:r>
    </w:p>
    <w:p>
      <w:pPr>
        <w:pStyle w:val="Normal"/>
        <w:widowControl/>
        <w:spacing w:lineRule="atLeast" w:line="420"/>
        <w:rPr>
          <w:spacing w:val="20"/>
          <w:sz w:val="27"/>
          <w:szCs w:val="27"/>
        </w:rPr>
      </w:pPr>
      <w:r>
        <w:rPr>
          <w:spacing w:val="20"/>
          <w:sz w:val="27"/>
          <w:szCs w:val="27"/>
        </w:rPr>
        <w:t>(3)</w:t>
        <w:tab/>
      </w:r>
      <w:r>
        <w:rPr>
          <w:spacing w:val="20"/>
          <w:sz w:val="27"/>
          <w:szCs w:val="27"/>
        </w:rPr>
        <w:t>警務處</w:t>
      </w:r>
    </w:p>
    <w:tbl>
      <w:tblPr>
        <w:tblStyle w:val="a9"/>
        <w:tblW w:w="5000" w:type="pct"/>
        <w:jc w:val="left"/>
        <w:tblInd w:w="0" w:type="dxa"/>
        <w:tblCellMar>
          <w:top w:w="0" w:type="dxa"/>
          <w:left w:w="108" w:type="dxa"/>
          <w:bottom w:w="0" w:type="dxa"/>
          <w:right w:w="108" w:type="dxa"/>
        </w:tblCellMar>
        <w:tblLook w:val="01e0" w:noHBand="0" w:noVBand="0" w:firstColumn="1" w:lastRow="1" w:lastColumn="1" w:firstRow="1"/>
      </w:tblPr>
      <w:tblGrid>
        <w:gridCol w:w="2522"/>
        <w:gridCol w:w="2229"/>
        <w:gridCol w:w="2232"/>
        <w:gridCol w:w="2229"/>
      </w:tblGrid>
      <w:tr>
        <w:trPr>
          <w:tblHeader w:val="true"/>
        </w:trPr>
        <w:tc>
          <w:tcPr>
            <w:tcW w:w="2522" w:type="dxa"/>
            <w:tcBorders/>
            <w:vAlign w:val="center"/>
          </w:tcPr>
          <w:p>
            <w:pPr>
              <w:pStyle w:val="Normal"/>
              <w:widowControl/>
              <w:spacing w:lineRule="atLeast" w:line="420"/>
              <w:ind w:left="57" w:right="57" w:hanging="0"/>
              <w:jc w:val="center"/>
              <w:rPr>
                <w:i/>
                <w:i/>
                <w:spacing w:val="20"/>
                <w:sz w:val="27"/>
                <w:szCs w:val="27"/>
              </w:rPr>
            </w:pPr>
            <w:r>
              <w:rPr>
                <w:i/>
                <w:spacing w:val="20"/>
                <w:sz w:val="27"/>
                <w:szCs w:val="27"/>
              </w:rPr>
            </w:r>
          </w:p>
        </w:tc>
        <w:tc>
          <w:tcPr>
            <w:tcW w:w="2229" w:type="dxa"/>
            <w:tcBorders/>
            <w:vAlign w:val="center"/>
          </w:tcPr>
          <w:p>
            <w:pPr>
              <w:pStyle w:val="Normal"/>
              <w:widowControl/>
              <w:spacing w:lineRule="atLeast" w:line="420"/>
              <w:ind w:left="57" w:right="57" w:hanging="0"/>
              <w:jc w:val="center"/>
              <w:rPr>
                <w:i/>
                <w:i/>
                <w:spacing w:val="20"/>
                <w:sz w:val="27"/>
                <w:szCs w:val="27"/>
              </w:rPr>
            </w:pPr>
            <w:r>
              <w:rPr>
                <w:i/>
                <w:spacing w:val="20"/>
                <w:sz w:val="27"/>
                <w:szCs w:val="27"/>
              </w:rPr>
              <w:t>2012-2013</w:t>
            </w:r>
            <w:r>
              <w:rPr>
                <w:i/>
                <w:spacing w:val="20"/>
                <w:sz w:val="27"/>
                <w:szCs w:val="27"/>
              </w:rPr>
              <w:t>年度</w:t>
            </w:r>
          </w:p>
        </w:tc>
        <w:tc>
          <w:tcPr>
            <w:tcW w:w="2232" w:type="dxa"/>
            <w:tcBorders/>
            <w:vAlign w:val="center"/>
          </w:tcPr>
          <w:p>
            <w:pPr>
              <w:pStyle w:val="Normal"/>
              <w:widowControl/>
              <w:spacing w:lineRule="atLeast" w:line="420"/>
              <w:ind w:left="57" w:right="57" w:hanging="0"/>
              <w:jc w:val="center"/>
              <w:rPr>
                <w:i/>
                <w:i/>
                <w:spacing w:val="20"/>
                <w:sz w:val="27"/>
                <w:szCs w:val="27"/>
              </w:rPr>
            </w:pPr>
            <w:r>
              <w:rPr>
                <w:i/>
                <w:spacing w:val="20"/>
                <w:sz w:val="27"/>
                <w:szCs w:val="27"/>
              </w:rPr>
              <w:t>2013-2014</w:t>
            </w:r>
            <w:r>
              <w:rPr>
                <w:i/>
                <w:spacing w:val="20"/>
                <w:sz w:val="27"/>
                <w:szCs w:val="27"/>
              </w:rPr>
              <w:t>年度</w:t>
            </w:r>
          </w:p>
        </w:tc>
        <w:tc>
          <w:tcPr>
            <w:tcW w:w="2229" w:type="dxa"/>
            <w:tcBorders/>
            <w:vAlign w:val="center"/>
          </w:tcPr>
          <w:p>
            <w:pPr>
              <w:pStyle w:val="Normal"/>
              <w:widowControl/>
              <w:spacing w:lineRule="atLeast" w:line="420"/>
              <w:ind w:left="57" w:right="57" w:hanging="0"/>
              <w:jc w:val="center"/>
              <w:rPr>
                <w:i/>
                <w:i/>
                <w:spacing w:val="18"/>
                <w:sz w:val="27"/>
                <w:szCs w:val="27"/>
              </w:rPr>
            </w:pPr>
            <w:r>
              <w:rPr>
                <w:i/>
                <w:spacing w:val="18"/>
                <w:sz w:val="27"/>
                <w:szCs w:val="27"/>
              </w:rPr>
              <w:t>2014-2015</w:t>
            </w:r>
            <w:r>
              <w:rPr>
                <w:i/>
                <w:spacing w:val="20"/>
                <w:sz w:val="27"/>
                <w:szCs w:val="27"/>
              </w:rPr>
              <w:t>年度</w:t>
            </w:r>
          </w:p>
          <w:p>
            <w:pPr>
              <w:pStyle w:val="Normal"/>
              <w:widowControl/>
              <w:spacing w:lineRule="atLeast" w:line="420"/>
              <w:ind w:left="57" w:hanging="0"/>
              <w:jc w:val="center"/>
              <w:rPr>
                <w:i/>
                <w:i/>
                <w:spacing w:val="14"/>
                <w:sz w:val="27"/>
                <w:szCs w:val="27"/>
              </w:rPr>
            </w:pPr>
            <w:r>
              <w:rPr>
                <w:i/>
                <w:spacing w:val="14"/>
                <w:sz w:val="27"/>
                <w:szCs w:val="27"/>
              </w:rPr>
              <w:t>(</w:t>
            </w:r>
            <w:r>
              <w:rPr>
                <w:i/>
                <w:spacing w:val="14"/>
                <w:sz w:val="27"/>
                <w:szCs w:val="27"/>
              </w:rPr>
              <w:t>截至</w:t>
            </w:r>
            <w:r>
              <w:rPr>
                <w:i/>
                <w:spacing w:val="14"/>
                <w:sz w:val="27"/>
                <w:szCs w:val="27"/>
              </w:rPr>
              <w:t>2015</w:t>
            </w:r>
            <w:r>
              <w:rPr>
                <w:i/>
                <w:spacing w:val="14"/>
                <w:sz w:val="27"/>
                <w:szCs w:val="27"/>
              </w:rPr>
              <w:t>年</w:t>
            </w:r>
            <w:r>
              <w:rPr>
                <w:i/>
                <w:spacing w:val="14"/>
                <w:sz w:val="27"/>
                <w:szCs w:val="27"/>
              </w:rPr>
              <w:t>2</w:t>
            </w:r>
            <w:r>
              <w:rPr>
                <w:i/>
                <w:spacing w:val="14"/>
                <w:sz w:val="27"/>
                <w:szCs w:val="27"/>
              </w:rPr>
              <w:t>月</w:t>
            </w:r>
            <w:r>
              <w:rPr>
                <w:i/>
                <w:spacing w:val="14"/>
                <w:sz w:val="27"/>
                <w:szCs w:val="27"/>
              </w:rPr>
              <w:t>)</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機場</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430</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429</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429</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羅湖</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49</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49</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49</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紅磡</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21</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21</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21</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落馬洲支線</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39</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39</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39</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落馬洲</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30</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30</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30</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文錦渡</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16</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16</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16</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沙頭角</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10</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10</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10</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深圳灣</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86</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86</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86</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港澳客輪碼頭</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中國客運碼頭</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港口管制</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屯門客運碼頭</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內河碼頭</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啟德郵輪碼頭</w:t>
            </w:r>
            <w:r>
              <w:rPr>
                <w:spacing w:val="20"/>
                <w:sz w:val="27"/>
                <w:szCs w:val="27"/>
                <w:vertAlign w:val="superscript"/>
              </w:rPr>
              <w:t>(2)</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w:t>
            </w:r>
          </w:p>
        </w:tc>
        <w:tc>
          <w:tcPr>
            <w:tcW w:w="2232" w:type="dxa"/>
            <w:tcBorders/>
          </w:tcPr>
          <w:p>
            <w:pPr>
              <w:pStyle w:val="Normal"/>
              <w:widowControl/>
              <w:spacing w:lineRule="atLeast" w:line="420"/>
              <w:ind w:left="57" w:right="57" w:hanging="0"/>
              <w:jc w:val="center"/>
              <w:rPr>
                <w:spacing w:val="20"/>
                <w:sz w:val="27"/>
                <w:szCs w:val="27"/>
              </w:rPr>
            </w:pPr>
            <w:r>
              <w:rPr>
                <w:spacing w:val="20"/>
                <w:sz w:val="27"/>
                <w:szCs w:val="27"/>
              </w:rPr>
              <w:t>7</w:t>
            </w:r>
          </w:p>
        </w:tc>
        <w:tc>
          <w:tcPr>
            <w:tcW w:w="2229" w:type="dxa"/>
            <w:tcBorders/>
          </w:tcPr>
          <w:p>
            <w:pPr>
              <w:pStyle w:val="Normal"/>
              <w:widowControl/>
              <w:spacing w:lineRule="atLeast" w:line="420"/>
              <w:ind w:left="57" w:right="57" w:hanging="0"/>
              <w:jc w:val="center"/>
              <w:rPr>
                <w:spacing w:val="20"/>
                <w:sz w:val="27"/>
                <w:szCs w:val="27"/>
              </w:rPr>
            </w:pPr>
            <w:r>
              <w:rPr>
                <w:spacing w:val="20"/>
                <w:sz w:val="27"/>
                <w:szCs w:val="27"/>
              </w:rPr>
              <w:t>7</w:t>
            </w:r>
          </w:p>
        </w:tc>
      </w:tr>
      <w:tr>
        <w:trPr/>
        <w:tc>
          <w:tcPr>
            <w:tcW w:w="2522" w:type="dxa"/>
            <w:tcBorders/>
          </w:tcPr>
          <w:p>
            <w:pPr>
              <w:pStyle w:val="Normal"/>
              <w:widowControl/>
              <w:spacing w:lineRule="atLeast" w:line="420"/>
              <w:ind w:left="57" w:right="57" w:hanging="0"/>
              <w:rPr>
                <w:spacing w:val="20"/>
                <w:sz w:val="27"/>
                <w:szCs w:val="27"/>
              </w:rPr>
            </w:pPr>
            <w:r>
              <w:rPr>
                <w:spacing w:val="20"/>
                <w:sz w:val="27"/>
                <w:szCs w:val="27"/>
              </w:rPr>
              <w:t>相關人手總開支</w:t>
            </w:r>
            <w:r>
              <w:rPr>
                <w:spacing w:val="20"/>
                <w:sz w:val="27"/>
                <w:szCs w:val="27"/>
              </w:rPr>
              <w:t>(</w:t>
            </w:r>
            <w:r>
              <w:rPr>
                <w:spacing w:val="20"/>
                <w:sz w:val="27"/>
                <w:szCs w:val="27"/>
              </w:rPr>
              <w:t>以按薪級中點估計的年薪值計</w:t>
            </w:r>
            <w:r>
              <w:rPr>
                <w:spacing w:val="20"/>
                <w:sz w:val="27"/>
                <w:szCs w:val="27"/>
              </w:rPr>
              <w:t>)</w:t>
            </w:r>
          </w:p>
          <w:p>
            <w:pPr>
              <w:pStyle w:val="Normal"/>
              <w:widowControl/>
              <w:spacing w:lineRule="atLeast" w:line="420"/>
              <w:ind w:left="57" w:right="57" w:hanging="0"/>
              <w:rPr>
                <w:spacing w:val="20"/>
                <w:sz w:val="27"/>
                <w:szCs w:val="27"/>
              </w:rPr>
            </w:pPr>
            <w:r>
              <w:rPr>
                <w:spacing w:val="20"/>
                <w:sz w:val="27"/>
                <w:szCs w:val="27"/>
              </w:rPr>
              <w:t>(</w:t>
            </w:r>
            <w:r>
              <w:rPr>
                <w:spacing w:val="20"/>
                <w:sz w:val="27"/>
                <w:szCs w:val="27"/>
              </w:rPr>
              <w:t>億港元</w:t>
            </w:r>
            <w:r>
              <w:rPr>
                <w:spacing w:val="20"/>
                <w:sz w:val="27"/>
                <w:szCs w:val="27"/>
              </w:rPr>
              <w:t>)</w:t>
            </w:r>
          </w:p>
        </w:tc>
        <w:tc>
          <w:tcPr>
            <w:tcW w:w="2229" w:type="dxa"/>
            <w:tcBorders/>
            <w:vAlign w:val="center"/>
          </w:tcPr>
          <w:p>
            <w:pPr>
              <w:pStyle w:val="Normal"/>
              <w:widowControl/>
              <w:spacing w:lineRule="atLeast" w:line="420"/>
              <w:ind w:left="57" w:right="57" w:hanging="0"/>
              <w:jc w:val="center"/>
              <w:rPr>
                <w:spacing w:val="20"/>
                <w:sz w:val="27"/>
                <w:szCs w:val="27"/>
              </w:rPr>
            </w:pPr>
            <w:r>
              <w:rPr>
                <w:spacing w:val="20"/>
                <w:sz w:val="27"/>
                <w:szCs w:val="27"/>
              </w:rPr>
              <w:t>2.13</w:t>
            </w:r>
          </w:p>
        </w:tc>
        <w:tc>
          <w:tcPr>
            <w:tcW w:w="2232" w:type="dxa"/>
            <w:tcBorders/>
            <w:vAlign w:val="center"/>
          </w:tcPr>
          <w:p>
            <w:pPr>
              <w:pStyle w:val="Normal"/>
              <w:widowControl/>
              <w:spacing w:lineRule="atLeast" w:line="420"/>
              <w:ind w:left="57" w:right="57" w:hanging="0"/>
              <w:jc w:val="center"/>
              <w:rPr>
                <w:spacing w:val="20"/>
                <w:sz w:val="27"/>
                <w:szCs w:val="27"/>
              </w:rPr>
            </w:pPr>
            <w:r>
              <w:rPr>
                <w:spacing w:val="20"/>
                <w:sz w:val="27"/>
                <w:szCs w:val="27"/>
              </w:rPr>
              <w:t>2.14</w:t>
            </w:r>
          </w:p>
        </w:tc>
        <w:tc>
          <w:tcPr>
            <w:tcW w:w="2229" w:type="dxa"/>
            <w:tcBorders/>
            <w:vAlign w:val="center"/>
          </w:tcPr>
          <w:p>
            <w:pPr>
              <w:pStyle w:val="Normal"/>
              <w:widowControl/>
              <w:spacing w:lineRule="atLeast" w:line="420"/>
              <w:ind w:left="57" w:right="57" w:hanging="0"/>
              <w:jc w:val="center"/>
              <w:rPr>
                <w:spacing w:val="20"/>
                <w:sz w:val="27"/>
                <w:szCs w:val="27"/>
              </w:rPr>
            </w:pPr>
            <w:r>
              <w:rPr>
                <w:spacing w:val="20"/>
                <w:sz w:val="27"/>
                <w:szCs w:val="27"/>
              </w:rPr>
              <w:t>2.34</w:t>
            </w:r>
          </w:p>
        </w:tc>
      </w:tr>
    </w:tbl>
    <w:p>
      <w:pPr>
        <w:pStyle w:val="Normal"/>
        <w:widowControl/>
        <w:tabs>
          <w:tab w:val="clear" w:pos="720"/>
        </w:tabs>
        <w:spacing w:lineRule="atLeast" w:line="320"/>
        <w:jc w:val="left"/>
        <w:rPr>
          <w:spacing w:val="20"/>
          <w:sz w:val="27"/>
          <w:szCs w:val="27"/>
        </w:rPr>
      </w:pPr>
      <w:r>
        <w:rPr>
          <w:spacing w:val="20"/>
          <w:sz w:val="27"/>
          <w:szCs w:val="27"/>
        </w:rPr>
      </w:r>
    </w:p>
    <w:p>
      <w:pPr>
        <w:pStyle w:val="Normal"/>
        <w:widowControl/>
        <w:spacing w:lineRule="atLeast" w:line="320"/>
        <w:rPr>
          <w:spacing w:val="20"/>
          <w:sz w:val="27"/>
          <w:szCs w:val="27"/>
        </w:rPr>
      </w:pPr>
      <w:r>
        <w:rPr>
          <w:spacing w:val="20"/>
          <w:sz w:val="27"/>
          <w:szCs w:val="27"/>
        </w:rPr>
        <w:t>(4)</w:t>
        <w:tab/>
      </w:r>
      <w:r>
        <w:rPr>
          <w:spacing w:val="20"/>
          <w:sz w:val="27"/>
          <w:szCs w:val="27"/>
        </w:rPr>
        <w:t>衞生署</w:t>
      </w:r>
    </w:p>
    <w:tbl>
      <w:tblPr>
        <w:tblStyle w:val="a9"/>
        <w:tblW w:w="5000" w:type="pct"/>
        <w:jc w:val="left"/>
        <w:tblInd w:w="0" w:type="dxa"/>
        <w:tblCellMar>
          <w:top w:w="0" w:type="dxa"/>
          <w:left w:w="108" w:type="dxa"/>
          <w:bottom w:w="0" w:type="dxa"/>
          <w:right w:w="108" w:type="dxa"/>
        </w:tblCellMar>
        <w:tblLook w:val="01e0" w:noHBand="0" w:noVBand="0" w:firstColumn="1" w:lastRow="1" w:lastColumn="1" w:firstRow="1"/>
      </w:tblPr>
      <w:tblGrid>
        <w:gridCol w:w="2522"/>
        <w:gridCol w:w="2229"/>
        <w:gridCol w:w="2232"/>
        <w:gridCol w:w="2229"/>
      </w:tblGrid>
      <w:tr>
        <w:trPr/>
        <w:tc>
          <w:tcPr>
            <w:tcW w:w="2522" w:type="dxa"/>
            <w:tcBorders/>
            <w:vAlign w:val="center"/>
          </w:tcPr>
          <w:p>
            <w:pPr>
              <w:pStyle w:val="Normal"/>
              <w:widowControl/>
              <w:spacing w:lineRule="atLeast" w:line="320"/>
              <w:ind w:left="57" w:right="57" w:hanging="0"/>
              <w:jc w:val="center"/>
              <w:rPr>
                <w:i/>
                <w:i/>
                <w:spacing w:val="20"/>
                <w:sz w:val="27"/>
                <w:szCs w:val="27"/>
              </w:rPr>
            </w:pPr>
            <w:r>
              <w:rPr>
                <w:i/>
                <w:spacing w:val="20"/>
                <w:sz w:val="27"/>
                <w:szCs w:val="27"/>
              </w:rPr>
            </w:r>
          </w:p>
        </w:tc>
        <w:tc>
          <w:tcPr>
            <w:tcW w:w="2229" w:type="dxa"/>
            <w:tcBorders/>
            <w:vAlign w:val="center"/>
          </w:tcPr>
          <w:p>
            <w:pPr>
              <w:pStyle w:val="Normal"/>
              <w:widowControl/>
              <w:spacing w:lineRule="atLeast" w:line="320"/>
              <w:ind w:left="57" w:right="57" w:hanging="0"/>
              <w:jc w:val="center"/>
              <w:rPr>
                <w:i/>
                <w:i/>
                <w:spacing w:val="20"/>
                <w:sz w:val="27"/>
                <w:szCs w:val="27"/>
              </w:rPr>
            </w:pPr>
            <w:r>
              <w:rPr>
                <w:i/>
                <w:spacing w:val="20"/>
                <w:sz w:val="27"/>
                <w:szCs w:val="27"/>
              </w:rPr>
              <w:t>2012-2013</w:t>
            </w:r>
            <w:r>
              <w:rPr>
                <w:i/>
                <w:spacing w:val="20"/>
                <w:sz w:val="27"/>
                <w:szCs w:val="27"/>
              </w:rPr>
              <w:t>年度</w:t>
            </w:r>
          </w:p>
        </w:tc>
        <w:tc>
          <w:tcPr>
            <w:tcW w:w="2232" w:type="dxa"/>
            <w:tcBorders/>
            <w:vAlign w:val="center"/>
          </w:tcPr>
          <w:p>
            <w:pPr>
              <w:pStyle w:val="Normal"/>
              <w:widowControl/>
              <w:spacing w:lineRule="atLeast" w:line="320"/>
              <w:ind w:left="57" w:right="57" w:hanging="0"/>
              <w:jc w:val="center"/>
              <w:rPr>
                <w:i/>
                <w:i/>
                <w:spacing w:val="20"/>
                <w:sz w:val="27"/>
                <w:szCs w:val="27"/>
              </w:rPr>
            </w:pPr>
            <w:r>
              <w:rPr>
                <w:i/>
                <w:spacing w:val="20"/>
                <w:sz w:val="27"/>
                <w:szCs w:val="27"/>
              </w:rPr>
              <w:t>2013-2014</w:t>
            </w:r>
            <w:r>
              <w:rPr>
                <w:i/>
                <w:spacing w:val="20"/>
                <w:sz w:val="27"/>
                <w:szCs w:val="27"/>
              </w:rPr>
              <w:t>年度</w:t>
            </w:r>
          </w:p>
        </w:tc>
        <w:tc>
          <w:tcPr>
            <w:tcW w:w="2229" w:type="dxa"/>
            <w:tcBorders/>
            <w:vAlign w:val="center"/>
          </w:tcPr>
          <w:p>
            <w:pPr>
              <w:pStyle w:val="Normal"/>
              <w:widowControl/>
              <w:spacing w:lineRule="atLeast" w:line="320"/>
              <w:ind w:left="57" w:right="57" w:hanging="0"/>
              <w:jc w:val="center"/>
              <w:rPr>
                <w:i/>
                <w:i/>
                <w:spacing w:val="20"/>
                <w:sz w:val="27"/>
                <w:szCs w:val="27"/>
              </w:rPr>
            </w:pPr>
            <w:r>
              <w:rPr>
                <w:i/>
                <w:spacing w:val="20"/>
                <w:sz w:val="27"/>
                <w:szCs w:val="27"/>
              </w:rPr>
              <w:t>2014-2015</w:t>
            </w:r>
            <w:r>
              <w:rPr>
                <w:i/>
                <w:spacing w:val="20"/>
                <w:sz w:val="27"/>
                <w:szCs w:val="27"/>
              </w:rPr>
              <w:t>年度</w:t>
            </w:r>
          </w:p>
          <w:p>
            <w:pPr>
              <w:pStyle w:val="Normal"/>
              <w:widowControl/>
              <w:spacing w:lineRule="atLeast" w:line="320"/>
              <w:ind w:left="57" w:hanging="0"/>
              <w:jc w:val="center"/>
              <w:rPr>
                <w:i/>
                <w:i/>
                <w:spacing w:val="14"/>
                <w:sz w:val="27"/>
                <w:szCs w:val="27"/>
              </w:rPr>
            </w:pPr>
            <w:r>
              <w:rPr>
                <w:i/>
                <w:spacing w:val="14"/>
                <w:sz w:val="27"/>
                <w:szCs w:val="27"/>
              </w:rPr>
              <w:t>(</w:t>
            </w:r>
            <w:r>
              <w:rPr>
                <w:i/>
                <w:spacing w:val="14"/>
                <w:sz w:val="27"/>
                <w:szCs w:val="27"/>
              </w:rPr>
              <w:t>截至</w:t>
            </w:r>
            <w:r>
              <w:rPr>
                <w:i/>
                <w:spacing w:val="14"/>
                <w:sz w:val="27"/>
                <w:szCs w:val="27"/>
              </w:rPr>
              <w:t>2015</w:t>
            </w:r>
            <w:r>
              <w:rPr>
                <w:i/>
                <w:spacing w:val="14"/>
                <w:sz w:val="27"/>
                <w:szCs w:val="27"/>
              </w:rPr>
              <w:t>年</w:t>
            </w:r>
            <w:r>
              <w:rPr>
                <w:i/>
                <w:spacing w:val="14"/>
                <w:sz w:val="27"/>
                <w:szCs w:val="27"/>
              </w:rPr>
              <w:t>2</w:t>
            </w:r>
            <w:r>
              <w:rPr>
                <w:i/>
                <w:spacing w:val="14"/>
                <w:sz w:val="27"/>
                <w:szCs w:val="27"/>
              </w:rPr>
              <w:t>月</w:t>
            </w:r>
            <w:r>
              <w:rPr>
                <w:i/>
                <w:spacing w:val="14"/>
                <w:sz w:val="27"/>
                <w:szCs w:val="27"/>
              </w:rPr>
              <w:t>)</w:t>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機場</w:t>
            </w:r>
          </w:p>
        </w:tc>
        <w:tc>
          <w:tcPr>
            <w:tcW w:w="2229" w:type="dxa"/>
            <w:tcBorders/>
          </w:tcPr>
          <w:p>
            <w:pPr>
              <w:pStyle w:val="Normal"/>
              <w:widowControl/>
              <w:spacing w:lineRule="exact" w:line="340"/>
              <w:ind w:left="57" w:right="57" w:hanging="0"/>
              <w:jc w:val="center"/>
              <w:rPr>
                <w:spacing w:val="20"/>
                <w:sz w:val="27"/>
                <w:szCs w:val="27"/>
              </w:rPr>
            </w:pPr>
            <w:r>
              <w:rPr>
                <w:spacing w:val="20"/>
                <w:sz w:val="27"/>
                <w:szCs w:val="27"/>
              </w:rPr>
              <w:t>20</w:t>
            </w:r>
          </w:p>
        </w:tc>
        <w:tc>
          <w:tcPr>
            <w:tcW w:w="2232" w:type="dxa"/>
            <w:tcBorders/>
          </w:tcPr>
          <w:p>
            <w:pPr>
              <w:pStyle w:val="Normal"/>
              <w:widowControl/>
              <w:spacing w:lineRule="exact" w:line="340"/>
              <w:ind w:left="57" w:right="57" w:hanging="0"/>
              <w:jc w:val="center"/>
              <w:rPr>
                <w:spacing w:val="20"/>
                <w:sz w:val="27"/>
                <w:szCs w:val="27"/>
              </w:rPr>
            </w:pPr>
            <w:r>
              <w:rPr>
                <w:spacing w:val="20"/>
                <w:sz w:val="27"/>
                <w:szCs w:val="27"/>
              </w:rPr>
              <w:t>20</w:t>
            </w:r>
          </w:p>
        </w:tc>
        <w:tc>
          <w:tcPr>
            <w:tcW w:w="2229" w:type="dxa"/>
            <w:tcBorders/>
          </w:tcPr>
          <w:p>
            <w:pPr>
              <w:pStyle w:val="Normal"/>
              <w:widowControl/>
              <w:spacing w:lineRule="exact" w:line="340"/>
              <w:ind w:left="57" w:right="57" w:hanging="0"/>
              <w:jc w:val="center"/>
              <w:rPr>
                <w:spacing w:val="20"/>
                <w:sz w:val="27"/>
                <w:szCs w:val="27"/>
              </w:rPr>
            </w:pPr>
            <w:r>
              <w:rPr>
                <w:spacing w:val="20"/>
                <w:sz w:val="27"/>
                <w:szCs w:val="27"/>
              </w:rPr>
              <w:t>20</w:t>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羅湖</w:t>
            </w:r>
          </w:p>
        </w:tc>
        <w:tc>
          <w:tcPr>
            <w:tcW w:w="2229" w:type="dxa"/>
            <w:tcBorders>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32" w:type="dxa"/>
            <w:tcBorders>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29" w:type="dxa"/>
            <w:tcBorders>
              <w:bottom w:val="nil"/>
            </w:tcBorders>
          </w:tcPr>
          <w:p>
            <w:pPr>
              <w:pStyle w:val="Normal"/>
              <w:widowControl/>
              <w:spacing w:lineRule="exact" w:line="340"/>
              <w:ind w:left="57" w:right="57" w:hanging="0"/>
              <w:jc w:val="center"/>
              <w:rPr>
                <w:spacing w:val="20"/>
                <w:sz w:val="27"/>
                <w:szCs w:val="27"/>
              </w:rPr>
            </w:pPr>
            <w:r>
              <w:rPr>
                <w:spacing w:val="20"/>
                <w:sz w:val="27"/>
                <w:szCs w:val="27"/>
              </w:rPr>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紅磡</w:t>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32"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落馬洲支線</w:t>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32"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落馬洲</w:t>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t>36</w:t>
            </w:r>
          </w:p>
        </w:tc>
        <w:tc>
          <w:tcPr>
            <w:tcW w:w="2232"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t>36</w:t>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t>36</w:t>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文錦渡</w:t>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32"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沙頭角</w:t>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32"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深圳灣</w:t>
            </w:r>
          </w:p>
        </w:tc>
        <w:tc>
          <w:tcPr>
            <w:tcW w:w="2229" w:type="dxa"/>
            <w:tcBorders>
              <w:top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32" w:type="dxa"/>
            <w:tcBorders>
              <w:top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29" w:type="dxa"/>
            <w:tcBorders>
              <w:top w:val="nil"/>
            </w:tcBorders>
          </w:tcPr>
          <w:p>
            <w:pPr>
              <w:pStyle w:val="Normal"/>
              <w:widowControl/>
              <w:spacing w:lineRule="exact" w:line="340"/>
              <w:ind w:left="57" w:right="57" w:hanging="0"/>
              <w:jc w:val="center"/>
              <w:rPr>
                <w:spacing w:val="20"/>
                <w:sz w:val="27"/>
                <w:szCs w:val="27"/>
              </w:rPr>
            </w:pPr>
            <w:r>
              <w:rPr>
                <w:spacing w:val="20"/>
                <w:sz w:val="27"/>
                <w:szCs w:val="27"/>
              </w:rPr>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港澳客輪碼頭</w:t>
            </w:r>
          </w:p>
        </w:tc>
        <w:tc>
          <w:tcPr>
            <w:tcW w:w="2229" w:type="dxa"/>
            <w:tcBorders>
              <w:bottom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32" w:type="dxa"/>
            <w:vMerge w:val="restart"/>
            <w:tcBorders/>
            <w:vAlign w:val="center"/>
          </w:tcPr>
          <w:p>
            <w:pPr>
              <w:pStyle w:val="Normal"/>
              <w:widowControl/>
              <w:spacing w:lineRule="exact" w:line="340"/>
              <w:ind w:left="57" w:right="57" w:hanging="0"/>
              <w:jc w:val="center"/>
              <w:rPr>
                <w:spacing w:val="20"/>
                <w:sz w:val="27"/>
                <w:szCs w:val="27"/>
              </w:rPr>
            </w:pPr>
            <w:r>
              <w:rPr>
                <w:spacing w:val="20"/>
                <w:sz w:val="27"/>
                <w:szCs w:val="27"/>
              </w:rPr>
              <w:t>30</w:t>
            </w:r>
          </w:p>
        </w:tc>
        <w:tc>
          <w:tcPr>
            <w:tcW w:w="2229" w:type="dxa"/>
            <w:vMerge w:val="restart"/>
            <w:tcBorders/>
            <w:vAlign w:val="center"/>
          </w:tcPr>
          <w:p>
            <w:pPr>
              <w:pStyle w:val="Normal"/>
              <w:widowControl/>
              <w:spacing w:lineRule="exact" w:line="340"/>
              <w:ind w:left="57" w:right="57" w:hanging="0"/>
              <w:jc w:val="center"/>
              <w:rPr>
                <w:spacing w:val="20"/>
                <w:sz w:val="27"/>
                <w:szCs w:val="27"/>
              </w:rPr>
            </w:pPr>
            <w:r>
              <w:rPr>
                <w:spacing w:val="20"/>
                <w:sz w:val="27"/>
                <w:szCs w:val="27"/>
              </w:rPr>
              <w:t>30</w:t>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中國客運碼頭</w:t>
            </w:r>
          </w:p>
        </w:tc>
        <w:tc>
          <w:tcPr>
            <w:tcW w:w="2229" w:type="dxa"/>
            <w:tcBorders>
              <w:top w:val="nil"/>
              <w:bottom w:val="nil"/>
            </w:tcBorders>
          </w:tcPr>
          <w:p>
            <w:pPr>
              <w:pStyle w:val="Normal"/>
              <w:widowControl/>
              <w:spacing w:lineRule="exact" w:line="340"/>
              <w:ind w:left="57" w:right="57" w:hanging="0"/>
              <w:jc w:val="center"/>
              <w:rPr>
                <w:spacing w:val="20"/>
                <w:sz w:val="27"/>
                <w:szCs w:val="27"/>
              </w:rPr>
            </w:pPr>
            <w:r>
              <w:rPr>
                <w:spacing w:val="20"/>
                <w:sz w:val="27"/>
                <w:szCs w:val="27"/>
              </w:rPr>
              <w:t>29</w:t>
            </w:r>
          </w:p>
        </w:tc>
        <w:tc>
          <w:tcPr>
            <w:tcW w:w="2232" w:type="dxa"/>
            <w:vMerge w:val="continue"/>
            <w:tcBorders/>
            <w:vAlign w:val="center"/>
          </w:tcPr>
          <w:p>
            <w:pPr>
              <w:pStyle w:val="Normal"/>
              <w:widowControl/>
              <w:spacing w:lineRule="exact" w:line="340"/>
              <w:jc w:val="left"/>
              <w:rPr>
                <w:spacing w:val="20"/>
                <w:sz w:val="27"/>
                <w:szCs w:val="27"/>
              </w:rPr>
            </w:pPr>
            <w:r>
              <w:rPr>
                <w:spacing w:val="20"/>
                <w:sz w:val="27"/>
                <w:szCs w:val="27"/>
              </w:rPr>
            </w:r>
          </w:p>
        </w:tc>
        <w:tc>
          <w:tcPr>
            <w:tcW w:w="2229" w:type="dxa"/>
            <w:vMerge w:val="continue"/>
            <w:tcBorders/>
            <w:vAlign w:val="center"/>
          </w:tcPr>
          <w:p>
            <w:pPr>
              <w:pStyle w:val="Normal"/>
              <w:widowControl/>
              <w:spacing w:lineRule="exact" w:line="340"/>
              <w:jc w:val="left"/>
              <w:rPr>
                <w:spacing w:val="20"/>
                <w:sz w:val="27"/>
                <w:szCs w:val="27"/>
              </w:rPr>
            </w:pPr>
            <w:r>
              <w:rPr>
                <w:spacing w:val="20"/>
                <w:sz w:val="27"/>
                <w:szCs w:val="27"/>
              </w:rPr>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屯門客運碼頭</w:t>
            </w:r>
            <w:r>
              <w:rPr>
                <w:spacing w:val="20"/>
                <w:sz w:val="27"/>
                <w:szCs w:val="27"/>
                <w:vertAlign w:val="superscript"/>
              </w:rPr>
              <w:t>(1)</w:t>
            </w:r>
          </w:p>
        </w:tc>
        <w:tc>
          <w:tcPr>
            <w:tcW w:w="2229" w:type="dxa"/>
            <w:tcBorders>
              <w:top w:val="nil"/>
            </w:tcBorders>
          </w:tcPr>
          <w:p>
            <w:pPr>
              <w:pStyle w:val="Normal"/>
              <w:widowControl/>
              <w:spacing w:lineRule="exact" w:line="340"/>
              <w:ind w:left="57" w:right="57" w:hanging="0"/>
              <w:jc w:val="center"/>
              <w:rPr>
                <w:spacing w:val="20"/>
                <w:sz w:val="27"/>
                <w:szCs w:val="27"/>
              </w:rPr>
            </w:pPr>
            <w:r>
              <w:rPr>
                <w:spacing w:val="20"/>
                <w:sz w:val="27"/>
                <w:szCs w:val="27"/>
              </w:rPr>
            </w:r>
          </w:p>
        </w:tc>
        <w:tc>
          <w:tcPr>
            <w:tcW w:w="2232" w:type="dxa"/>
            <w:vMerge w:val="continue"/>
            <w:tcBorders/>
            <w:vAlign w:val="center"/>
          </w:tcPr>
          <w:p>
            <w:pPr>
              <w:pStyle w:val="Normal"/>
              <w:widowControl/>
              <w:spacing w:lineRule="exact" w:line="340"/>
              <w:jc w:val="left"/>
              <w:rPr>
                <w:spacing w:val="20"/>
                <w:sz w:val="27"/>
                <w:szCs w:val="27"/>
              </w:rPr>
            </w:pPr>
            <w:r>
              <w:rPr>
                <w:spacing w:val="20"/>
                <w:sz w:val="27"/>
                <w:szCs w:val="27"/>
              </w:rPr>
            </w:r>
          </w:p>
        </w:tc>
        <w:tc>
          <w:tcPr>
            <w:tcW w:w="2229" w:type="dxa"/>
            <w:vMerge w:val="continue"/>
            <w:tcBorders/>
            <w:vAlign w:val="center"/>
          </w:tcPr>
          <w:p>
            <w:pPr>
              <w:pStyle w:val="Normal"/>
              <w:widowControl/>
              <w:spacing w:lineRule="exact" w:line="340"/>
              <w:jc w:val="left"/>
              <w:rPr>
                <w:spacing w:val="20"/>
                <w:sz w:val="27"/>
                <w:szCs w:val="27"/>
              </w:rPr>
            </w:pPr>
            <w:r>
              <w:rPr>
                <w:spacing w:val="20"/>
                <w:sz w:val="27"/>
                <w:szCs w:val="27"/>
              </w:rPr>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啟德郵輪碼頭</w:t>
            </w:r>
            <w:r>
              <w:rPr>
                <w:spacing w:val="20"/>
                <w:sz w:val="27"/>
                <w:szCs w:val="27"/>
                <w:vertAlign w:val="superscript"/>
              </w:rPr>
              <w:t>(2)</w:t>
            </w:r>
          </w:p>
        </w:tc>
        <w:tc>
          <w:tcPr>
            <w:tcW w:w="2229" w:type="dxa"/>
            <w:tcBorders/>
          </w:tcPr>
          <w:p>
            <w:pPr>
              <w:pStyle w:val="Normal"/>
              <w:widowControl/>
              <w:spacing w:lineRule="exact" w:line="340"/>
              <w:ind w:left="57" w:right="57" w:hanging="0"/>
              <w:jc w:val="center"/>
              <w:rPr>
                <w:spacing w:val="20"/>
                <w:sz w:val="27"/>
                <w:szCs w:val="27"/>
              </w:rPr>
            </w:pPr>
            <w:r>
              <w:rPr>
                <w:spacing w:val="20"/>
                <w:sz w:val="27"/>
                <w:szCs w:val="27"/>
              </w:rPr>
              <w:t>-</w:t>
            </w:r>
          </w:p>
        </w:tc>
        <w:tc>
          <w:tcPr>
            <w:tcW w:w="2232" w:type="dxa"/>
            <w:vMerge w:val="continue"/>
            <w:tcBorders/>
            <w:vAlign w:val="center"/>
          </w:tcPr>
          <w:p>
            <w:pPr>
              <w:pStyle w:val="Normal"/>
              <w:widowControl/>
              <w:spacing w:lineRule="exact" w:line="340"/>
              <w:jc w:val="left"/>
              <w:rPr>
                <w:spacing w:val="20"/>
                <w:sz w:val="27"/>
                <w:szCs w:val="27"/>
              </w:rPr>
            </w:pPr>
            <w:r>
              <w:rPr>
                <w:spacing w:val="20"/>
                <w:sz w:val="27"/>
                <w:szCs w:val="27"/>
              </w:rPr>
            </w:r>
          </w:p>
        </w:tc>
        <w:tc>
          <w:tcPr>
            <w:tcW w:w="2229" w:type="dxa"/>
            <w:vMerge w:val="continue"/>
            <w:tcBorders/>
            <w:vAlign w:val="center"/>
          </w:tcPr>
          <w:p>
            <w:pPr>
              <w:pStyle w:val="Normal"/>
              <w:widowControl/>
              <w:spacing w:lineRule="exact" w:line="340"/>
              <w:jc w:val="left"/>
              <w:rPr>
                <w:spacing w:val="20"/>
                <w:sz w:val="27"/>
                <w:szCs w:val="27"/>
              </w:rPr>
            </w:pPr>
            <w:r>
              <w:rPr>
                <w:spacing w:val="20"/>
                <w:sz w:val="27"/>
                <w:szCs w:val="27"/>
              </w:rPr>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港口管制</w:t>
            </w:r>
          </w:p>
        </w:tc>
        <w:tc>
          <w:tcPr>
            <w:tcW w:w="2229" w:type="dxa"/>
            <w:tcBorders/>
          </w:tcPr>
          <w:p>
            <w:pPr>
              <w:pStyle w:val="Normal"/>
              <w:widowControl/>
              <w:spacing w:lineRule="exact" w:line="340"/>
              <w:ind w:left="57" w:right="57" w:hanging="0"/>
              <w:jc w:val="center"/>
              <w:rPr>
                <w:spacing w:val="20"/>
                <w:sz w:val="27"/>
                <w:szCs w:val="27"/>
              </w:rPr>
            </w:pPr>
            <w:r>
              <w:rPr>
                <w:spacing w:val="20"/>
                <w:sz w:val="27"/>
                <w:szCs w:val="27"/>
              </w:rPr>
              <w:t>-</w:t>
            </w:r>
          </w:p>
        </w:tc>
        <w:tc>
          <w:tcPr>
            <w:tcW w:w="2232" w:type="dxa"/>
            <w:tcBorders/>
            <w:vAlign w:val="center"/>
          </w:tcPr>
          <w:p>
            <w:pPr>
              <w:pStyle w:val="Normal"/>
              <w:widowControl/>
              <w:spacing w:lineRule="exact" w:line="340"/>
              <w:ind w:left="57" w:right="57" w:hanging="0"/>
              <w:jc w:val="center"/>
              <w:rPr>
                <w:spacing w:val="20"/>
                <w:sz w:val="27"/>
                <w:szCs w:val="27"/>
              </w:rPr>
            </w:pPr>
            <w:r>
              <w:rPr>
                <w:spacing w:val="20"/>
                <w:sz w:val="27"/>
                <w:szCs w:val="27"/>
              </w:rPr>
              <w:t>-</w:t>
            </w:r>
          </w:p>
        </w:tc>
        <w:tc>
          <w:tcPr>
            <w:tcW w:w="2229" w:type="dxa"/>
            <w:tcBorders/>
            <w:vAlign w:val="center"/>
          </w:tcPr>
          <w:p>
            <w:pPr>
              <w:pStyle w:val="Normal"/>
              <w:widowControl/>
              <w:spacing w:lineRule="exact" w:line="340"/>
              <w:ind w:left="57" w:right="57" w:hanging="0"/>
              <w:jc w:val="center"/>
              <w:rPr>
                <w:spacing w:val="20"/>
                <w:sz w:val="27"/>
                <w:szCs w:val="27"/>
              </w:rPr>
            </w:pPr>
            <w:r>
              <w:rPr>
                <w:spacing w:val="20"/>
                <w:sz w:val="27"/>
                <w:szCs w:val="27"/>
              </w:rPr>
              <w:t>-</w:t>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內河碼頭</w:t>
            </w:r>
          </w:p>
        </w:tc>
        <w:tc>
          <w:tcPr>
            <w:tcW w:w="2229" w:type="dxa"/>
            <w:tcBorders/>
          </w:tcPr>
          <w:p>
            <w:pPr>
              <w:pStyle w:val="Normal"/>
              <w:widowControl/>
              <w:spacing w:lineRule="exact" w:line="340"/>
              <w:ind w:left="57" w:right="57" w:hanging="0"/>
              <w:jc w:val="center"/>
              <w:rPr>
                <w:spacing w:val="20"/>
                <w:sz w:val="27"/>
                <w:szCs w:val="27"/>
              </w:rPr>
            </w:pPr>
            <w:r>
              <w:rPr>
                <w:spacing w:val="20"/>
                <w:sz w:val="27"/>
                <w:szCs w:val="27"/>
              </w:rPr>
              <w:t>-</w:t>
            </w:r>
          </w:p>
        </w:tc>
        <w:tc>
          <w:tcPr>
            <w:tcW w:w="2232" w:type="dxa"/>
            <w:tcBorders/>
            <w:vAlign w:val="center"/>
          </w:tcPr>
          <w:p>
            <w:pPr>
              <w:pStyle w:val="Normal"/>
              <w:widowControl/>
              <w:spacing w:lineRule="exact" w:line="340"/>
              <w:ind w:left="57" w:right="57" w:hanging="0"/>
              <w:jc w:val="center"/>
              <w:rPr>
                <w:spacing w:val="20"/>
                <w:sz w:val="27"/>
                <w:szCs w:val="27"/>
              </w:rPr>
            </w:pPr>
            <w:r>
              <w:rPr>
                <w:spacing w:val="20"/>
                <w:sz w:val="27"/>
                <w:szCs w:val="27"/>
              </w:rPr>
              <w:t>-</w:t>
            </w:r>
          </w:p>
        </w:tc>
        <w:tc>
          <w:tcPr>
            <w:tcW w:w="2229" w:type="dxa"/>
            <w:tcBorders/>
            <w:vAlign w:val="center"/>
          </w:tcPr>
          <w:p>
            <w:pPr>
              <w:pStyle w:val="Normal"/>
              <w:widowControl/>
              <w:spacing w:lineRule="exact" w:line="340"/>
              <w:ind w:left="57" w:right="57" w:hanging="0"/>
              <w:jc w:val="center"/>
              <w:rPr>
                <w:spacing w:val="20"/>
                <w:sz w:val="27"/>
                <w:szCs w:val="27"/>
              </w:rPr>
            </w:pPr>
            <w:r>
              <w:rPr>
                <w:spacing w:val="20"/>
                <w:sz w:val="27"/>
                <w:szCs w:val="27"/>
              </w:rPr>
              <w:t>-</w:t>
            </w:r>
          </w:p>
        </w:tc>
      </w:tr>
      <w:tr>
        <w:trPr/>
        <w:tc>
          <w:tcPr>
            <w:tcW w:w="2522" w:type="dxa"/>
            <w:tcBorders/>
          </w:tcPr>
          <w:p>
            <w:pPr>
              <w:pStyle w:val="Normal"/>
              <w:widowControl/>
              <w:spacing w:lineRule="exact" w:line="340"/>
              <w:ind w:left="57" w:right="57" w:hanging="0"/>
              <w:rPr>
                <w:spacing w:val="20"/>
                <w:sz w:val="27"/>
                <w:szCs w:val="27"/>
              </w:rPr>
            </w:pPr>
            <w:r>
              <w:rPr>
                <w:spacing w:val="20"/>
                <w:sz w:val="27"/>
                <w:szCs w:val="27"/>
              </w:rPr>
              <w:t>相關人手總開支</w:t>
            </w:r>
            <w:r>
              <w:rPr>
                <w:spacing w:val="20"/>
                <w:sz w:val="27"/>
                <w:szCs w:val="27"/>
              </w:rPr>
              <w:t>(</w:t>
            </w:r>
            <w:r>
              <w:rPr>
                <w:spacing w:val="20"/>
                <w:sz w:val="27"/>
                <w:szCs w:val="27"/>
              </w:rPr>
              <w:t>以按薪級中點估計的年薪值計</w:t>
            </w:r>
            <w:r>
              <w:rPr>
                <w:spacing w:val="20"/>
                <w:sz w:val="27"/>
                <w:szCs w:val="27"/>
              </w:rPr>
              <w:t>)</w:t>
            </w:r>
          </w:p>
          <w:p>
            <w:pPr>
              <w:pStyle w:val="Normal"/>
              <w:widowControl/>
              <w:spacing w:lineRule="exact" w:line="340"/>
              <w:ind w:left="57" w:right="57" w:hanging="0"/>
              <w:rPr>
                <w:spacing w:val="20"/>
                <w:sz w:val="27"/>
                <w:szCs w:val="27"/>
              </w:rPr>
            </w:pPr>
            <w:r>
              <w:rPr>
                <w:spacing w:val="20"/>
                <w:sz w:val="27"/>
                <w:szCs w:val="27"/>
              </w:rPr>
              <w:t>(</w:t>
            </w:r>
            <w:r>
              <w:rPr>
                <w:spacing w:val="20"/>
                <w:sz w:val="27"/>
                <w:szCs w:val="27"/>
              </w:rPr>
              <w:t>億港元</w:t>
            </w:r>
            <w:r>
              <w:rPr>
                <w:spacing w:val="20"/>
                <w:sz w:val="27"/>
                <w:szCs w:val="27"/>
              </w:rPr>
              <w:t>)</w:t>
            </w:r>
          </w:p>
        </w:tc>
        <w:tc>
          <w:tcPr>
            <w:tcW w:w="2229" w:type="dxa"/>
            <w:tcBorders/>
            <w:vAlign w:val="center"/>
          </w:tcPr>
          <w:p>
            <w:pPr>
              <w:pStyle w:val="Normal"/>
              <w:widowControl/>
              <w:spacing w:lineRule="exact" w:line="340"/>
              <w:ind w:left="57" w:right="57" w:hanging="0"/>
              <w:jc w:val="center"/>
              <w:rPr>
                <w:spacing w:val="20"/>
                <w:sz w:val="27"/>
                <w:szCs w:val="27"/>
              </w:rPr>
            </w:pPr>
            <w:r>
              <w:rPr>
                <w:spacing w:val="20"/>
                <w:sz w:val="27"/>
                <w:szCs w:val="27"/>
              </w:rPr>
              <w:t>0.32</w:t>
            </w:r>
          </w:p>
        </w:tc>
        <w:tc>
          <w:tcPr>
            <w:tcW w:w="2232" w:type="dxa"/>
            <w:tcBorders/>
            <w:vAlign w:val="center"/>
          </w:tcPr>
          <w:p>
            <w:pPr>
              <w:pStyle w:val="Normal"/>
              <w:widowControl/>
              <w:spacing w:lineRule="exact" w:line="340"/>
              <w:ind w:left="57" w:right="57" w:hanging="0"/>
              <w:jc w:val="center"/>
              <w:rPr>
                <w:spacing w:val="20"/>
                <w:sz w:val="27"/>
                <w:szCs w:val="27"/>
              </w:rPr>
            </w:pPr>
            <w:r>
              <w:rPr>
                <w:spacing w:val="20"/>
                <w:sz w:val="27"/>
                <w:szCs w:val="27"/>
              </w:rPr>
              <w:t>0.34</w:t>
            </w:r>
          </w:p>
        </w:tc>
        <w:tc>
          <w:tcPr>
            <w:tcW w:w="2229" w:type="dxa"/>
            <w:tcBorders/>
            <w:vAlign w:val="center"/>
          </w:tcPr>
          <w:p>
            <w:pPr>
              <w:pStyle w:val="Normal"/>
              <w:widowControl/>
              <w:spacing w:lineRule="exact" w:line="340"/>
              <w:ind w:left="57" w:right="57" w:hanging="0"/>
              <w:jc w:val="center"/>
              <w:rPr>
                <w:spacing w:val="20"/>
                <w:sz w:val="27"/>
                <w:szCs w:val="27"/>
              </w:rPr>
            </w:pPr>
            <w:r>
              <w:rPr>
                <w:spacing w:val="20"/>
                <w:sz w:val="27"/>
                <w:szCs w:val="27"/>
              </w:rPr>
              <w:t>0.36</w:t>
            </w:r>
          </w:p>
        </w:tc>
      </w:tr>
    </w:tbl>
    <w:p>
      <w:pPr>
        <w:pStyle w:val="Normal"/>
        <w:widowControl/>
        <w:snapToGrid w:val="false"/>
        <w:spacing w:lineRule="auto" w:line="240"/>
        <w:ind w:left="567" w:hanging="567"/>
        <w:rPr>
          <w:spacing w:val="20"/>
          <w:sz w:val="20"/>
          <w:szCs w:val="20"/>
        </w:rPr>
      </w:pPr>
      <w:r>
        <w:rPr>
          <w:spacing w:val="20"/>
          <w:sz w:val="20"/>
          <w:szCs w:val="20"/>
        </w:rPr>
      </w:r>
    </w:p>
    <w:p>
      <w:pPr>
        <w:pStyle w:val="Normal"/>
        <w:widowControl/>
        <w:snapToGrid w:val="false"/>
        <w:spacing w:lineRule="auto" w:line="240"/>
        <w:ind w:left="567" w:hanging="567"/>
        <w:rPr>
          <w:spacing w:val="20"/>
          <w:sz w:val="20"/>
        </w:rPr>
      </w:pPr>
      <w:r>
        <w:rPr>
          <w:spacing w:val="20"/>
          <w:sz w:val="20"/>
        </w:rPr>
        <w:t>註：</w:t>
      </w:r>
    </w:p>
    <w:p>
      <w:pPr>
        <w:pStyle w:val="Normal"/>
        <w:widowControl/>
        <w:snapToGrid w:val="false"/>
        <w:spacing w:lineRule="auto" w:line="240"/>
        <w:ind w:left="567" w:hanging="567"/>
        <w:rPr>
          <w:spacing w:val="20"/>
          <w:sz w:val="20"/>
        </w:rPr>
      </w:pPr>
      <w:r>
        <w:rPr>
          <w:spacing w:val="20"/>
          <w:sz w:val="20"/>
        </w:rPr>
      </w:r>
    </w:p>
    <w:p>
      <w:pPr>
        <w:pStyle w:val="Normal"/>
        <w:widowControl/>
        <w:snapToGrid w:val="false"/>
        <w:spacing w:lineRule="auto" w:line="240"/>
        <w:ind w:left="567" w:hanging="567"/>
        <w:rPr>
          <w:spacing w:val="20"/>
          <w:sz w:val="20"/>
        </w:rPr>
      </w:pPr>
      <w:r>
        <w:rPr>
          <w:spacing w:val="20"/>
          <w:sz w:val="20"/>
        </w:rPr>
        <w:t>(1)</w:t>
        <w:tab/>
      </w:r>
      <w:r>
        <w:rPr>
          <w:spacing w:val="20"/>
          <w:sz w:val="20"/>
        </w:rPr>
        <w:t>屯門客運碼頭管制站自</w:t>
      </w:r>
      <w:r>
        <w:rPr>
          <w:spacing w:val="20"/>
          <w:sz w:val="20"/>
        </w:rPr>
        <w:t>2012</w:t>
      </w:r>
      <w:r>
        <w:rPr>
          <w:spacing w:val="20"/>
          <w:sz w:val="20"/>
        </w:rPr>
        <w:t>年</w:t>
      </w:r>
      <w:r>
        <w:rPr>
          <w:spacing w:val="20"/>
          <w:sz w:val="20"/>
        </w:rPr>
        <w:t>7</w:t>
      </w:r>
      <w:r>
        <w:rPr>
          <w:spacing w:val="20"/>
          <w:sz w:val="20"/>
        </w:rPr>
        <w:t>月</w:t>
      </w:r>
      <w:r>
        <w:rPr>
          <w:spacing w:val="20"/>
          <w:sz w:val="20"/>
        </w:rPr>
        <w:t>1</w:t>
      </w:r>
      <w:r>
        <w:rPr>
          <w:spacing w:val="20"/>
          <w:sz w:val="20"/>
        </w:rPr>
        <w:t>日起暫時停止服務。相關部門已靈活調配其人手支援及應付其他較繁忙的管制站。</w:t>
      </w:r>
    </w:p>
    <w:p>
      <w:pPr>
        <w:pStyle w:val="Normal"/>
        <w:widowControl/>
        <w:snapToGrid w:val="false"/>
        <w:spacing w:lineRule="auto" w:line="240"/>
        <w:ind w:left="567" w:hanging="567"/>
        <w:rPr>
          <w:spacing w:val="20"/>
          <w:sz w:val="20"/>
        </w:rPr>
      </w:pPr>
      <w:r>
        <w:rPr>
          <w:spacing w:val="20"/>
          <w:sz w:val="20"/>
        </w:rPr>
      </w:r>
    </w:p>
    <w:p>
      <w:pPr>
        <w:pStyle w:val="Normal"/>
        <w:widowControl/>
        <w:snapToGrid w:val="false"/>
        <w:spacing w:lineRule="auto" w:line="240"/>
        <w:ind w:left="567" w:hanging="567"/>
        <w:rPr>
          <w:spacing w:val="20"/>
          <w:sz w:val="20"/>
        </w:rPr>
      </w:pPr>
      <w:r>
        <w:rPr>
          <w:spacing w:val="20"/>
          <w:sz w:val="20"/>
        </w:rPr>
        <w:t>(2)</w:t>
        <w:tab/>
      </w:r>
      <w:r>
        <w:rPr>
          <w:spacing w:val="20"/>
          <w:sz w:val="20"/>
        </w:rPr>
        <w:t>啟德郵輪碼頭首個泊位在</w:t>
      </w:r>
      <w:r>
        <w:rPr>
          <w:spacing w:val="20"/>
          <w:sz w:val="20"/>
        </w:rPr>
        <w:t>2013</w:t>
      </w:r>
      <w:r>
        <w:rPr>
          <w:spacing w:val="20"/>
          <w:sz w:val="20"/>
        </w:rPr>
        <w:t>年</w:t>
      </w:r>
      <w:r>
        <w:rPr>
          <w:spacing w:val="20"/>
          <w:sz w:val="20"/>
        </w:rPr>
        <w:t>6</w:t>
      </w:r>
      <w:r>
        <w:rPr>
          <w:spacing w:val="20"/>
          <w:sz w:val="20"/>
        </w:rPr>
        <w:t>月落成啟用，第二個泊位在</w:t>
      </w:r>
      <w:r>
        <w:rPr>
          <w:spacing w:val="20"/>
          <w:sz w:val="20"/>
        </w:rPr>
        <w:t>2014</w:t>
      </w:r>
      <w:r>
        <w:rPr>
          <w:spacing w:val="20"/>
          <w:sz w:val="20"/>
        </w:rPr>
        <w:t>年</w:t>
      </w:r>
      <w:r>
        <w:rPr>
          <w:spacing w:val="20"/>
          <w:sz w:val="20"/>
        </w:rPr>
        <w:t>9</w:t>
      </w:r>
      <w:r>
        <w:rPr>
          <w:spacing w:val="20"/>
          <w:sz w:val="20"/>
        </w:rPr>
        <w:t>月投入服務。</w:t>
      </w:r>
    </w:p>
    <w:p>
      <w:pPr>
        <w:pStyle w:val="Normal"/>
        <w:widowControl/>
        <w:snapToGrid w:val="false"/>
        <w:spacing w:lineRule="auto" w:line="240"/>
        <w:ind w:left="567" w:hanging="567"/>
        <w:rPr>
          <w:spacing w:val="20"/>
          <w:sz w:val="20"/>
        </w:rPr>
      </w:pPr>
      <w:r>
        <w:rPr>
          <w:spacing w:val="20"/>
          <w:sz w:val="20"/>
        </w:rPr>
      </w:r>
    </w:p>
    <w:p>
      <w:pPr>
        <w:pStyle w:val="Normal"/>
        <w:widowControl/>
        <w:snapToGrid w:val="false"/>
        <w:spacing w:lineRule="auto" w:line="240"/>
        <w:ind w:left="567" w:hanging="567"/>
        <w:rPr>
          <w:spacing w:val="20"/>
          <w:sz w:val="20"/>
        </w:rPr>
      </w:pPr>
      <w:r>
        <w:rPr>
          <w:spacing w:val="20"/>
          <w:sz w:val="20"/>
        </w:rPr>
        <w:t>(3)</w:t>
        <w:tab/>
      </w:r>
      <w:r>
        <w:rPr>
          <w:spacing w:val="20"/>
          <w:sz w:val="20"/>
        </w:rPr>
        <w:t>除處理停泊在啟德郵輪碼頭的海外郵輪，有關人手亦負責處理停泊在其他碇泊處的郵輪，以及每天定時進出公海並以香港為母港的郵輪。</w:t>
      </w:r>
    </w:p>
    <w:p>
      <w:pPr>
        <w:pStyle w:val="Normal"/>
        <w:widowControl/>
        <w:jc w:val="center"/>
        <w:rPr>
          <w:spacing w:val="20"/>
          <w:sz w:val="27"/>
          <w:szCs w:val="27"/>
        </w:rPr>
      </w:pPr>
      <w:r>
        <w:rPr>
          <w:spacing w:val="20"/>
          <w:sz w:val="27"/>
          <w:szCs w:val="27"/>
        </w:rPr>
        <w:t>附表二：經各管制站出入境的旅客量</w:t>
      </w:r>
    </w:p>
    <w:p>
      <w:pPr>
        <w:pStyle w:val="Normal"/>
        <w:widowControl/>
        <w:jc w:val="center"/>
        <w:rPr>
          <w:spacing w:val="20"/>
          <w:sz w:val="27"/>
          <w:szCs w:val="27"/>
        </w:rPr>
      </w:pPr>
      <w:r>
        <w:rPr>
          <w:spacing w:val="20"/>
          <w:sz w:val="27"/>
          <w:szCs w:val="27"/>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1204"/>
        <w:gridCol w:w="1336"/>
        <w:gridCol w:w="1337"/>
        <w:gridCol w:w="1336"/>
        <w:gridCol w:w="1337"/>
        <w:gridCol w:w="1336"/>
        <w:gridCol w:w="1336"/>
      </w:tblGrid>
      <w:tr>
        <w:trPr>
          <w:tblHeader w:val="true"/>
        </w:trPr>
        <w:tc>
          <w:tcPr>
            <w:tcW w:w="1204" w:type="dxa"/>
            <w:vMerge w:val="restart"/>
            <w:tcBorders/>
            <w:vAlign w:val="center"/>
          </w:tcPr>
          <w:p>
            <w:pPr>
              <w:pStyle w:val="Normal"/>
              <w:widowControl/>
              <w:ind w:left="57" w:right="57" w:hanging="0"/>
              <w:jc w:val="center"/>
              <w:rPr>
                <w:i/>
                <w:i/>
                <w:spacing w:val="20"/>
                <w:sz w:val="27"/>
                <w:szCs w:val="27"/>
              </w:rPr>
            </w:pPr>
            <w:r>
              <w:rPr>
                <w:i/>
                <w:spacing w:val="20"/>
                <w:sz w:val="27"/>
                <w:szCs w:val="27"/>
              </w:rPr>
              <w:t>管制站</w:t>
            </w:r>
          </w:p>
        </w:tc>
        <w:tc>
          <w:tcPr>
            <w:tcW w:w="2673" w:type="dxa"/>
            <w:gridSpan w:val="2"/>
            <w:tcBorders/>
            <w:vAlign w:val="center"/>
          </w:tcPr>
          <w:p>
            <w:pPr>
              <w:pStyle w:val="Normal"/>
              <w:widowControl/>
              <w:ind w:left="57" w:right="57" w:hanging="0"/>
              <w:jc w:val="center"/>
              <w:rPr>
                <w:i/>
                <w:i/>
                <w:spacing w:val="20"/>
                <w:sz w:val="27"/>
                <w:szCs w:val="27"/>
              </w:rPr>
            </w:pPr>
            <w:r>
              <w:rPr>
                <w:i/>
                <w:spacing w:val="20"/>
                <w:sz w:val="27"/>
                <w:szCs w:val="27"/>
              </w:rPr>
              <w:t>2012-2013</w:t>
            </w:r>
            <w:r>
              <w:rPr>
                <w:i/>
                <w:spacing w:val="20"/>
                <w:sz w:val="27"/>
                <w:szCs w:val="27"/>
              </w:rPr>
              <w:t>年度</w:t>
            </w:r>
          </w:p>
          <w:p>
            <w:pPr>
              <w:pStyle w:val="Normal"/>
              <w:widowControl/>
              <w:ind w:left="57" w:right="57" w:hanging="0"/>
              <w:jc w:val="center"/>
              <w:rPr>
                <w:i/>
                <w:i/>
                <w:spacing w:val="20"/>
                <w:sz w:val="27"/>
                <w:szCs w:val="27"/>
              </w:rPr>
            </w:pPr>
            <w:r>
              <w:rPr>
                <w:i/>
                <w:spacing w:val="20"/>
                <w:sz w:val="27"/>
                <w:szCs w:val="27"/>
              </w:rPr>
              <w:t>(</w:t>
            </w:r>
            <w:r>
              <w:rPr>
                <w:i/>
                <w:spacing w:val="20"/>
                <w:sz w:val="27"/>
                <w:szCs w:val="27"/>
              </w:rPr>
              <w:t>出入境人次</w:t>
            </w:r>
            <w:r>
              <w:rPr>
                <w:i/>
                <w:spacing w:val="20"/>
                <w:sz w:val="27"/>
                <w:szCs w:val="27"/>
              </w:rPr>
              <w:t>)</w:t>
            </w:r>
          </w:p>
        </w:tc>
        <w:tc>
          <w:tcPr>
            <w:tcW w:w="2673" w:type="dxa"/>
            <w:gridSpan w:val="2"/>
            <w:tcBorders/>
            <w:vAlign w:val="center"/>
          </w:tcPr>
          <w:p>
            <w:pPr>
              <w:pStyle w:val="Normal"/>
              <w:widowControl/>
              <w:ind w:left="57" w:right="57" w:hanging="0"/>
              <w:jc w:val="center"/>
              <w:rPr>
                <w:i/>
                <w:i/>
                <w:spacing w:val="20"/>
                <w:sz w:val="27"/>
                <w:szCs w:val="27"/>
              </w:rPr>
            </w:pPr>
            <w:r>
              <w:rPr>
                <w:i/>
                <w:spacing w:val="20"/>
                <w:sz w:val="27"/>
                <w:szCs w:val="27"/>
              </w:rPr>
              <w:t>2013-2014</w:t>
            </w:r>
            <w:r>
              <w:rPr>
                <w:i/>
                <w:spacing w:val="20"/>
                <w:sz w:val="27"/>
                <w:szCs w:val="27"/>
              </w:rPr>
              <w:t>年度</w:t>
            </w:r>
            <w:r>
              <w:rPr>
                <w:i/>
                <w:spacing w:val="20"/>
                <w:sz w:val="27"/>
                <w:szCs w:val="27"/>
              </w:rPr>
              <w:br/>
              <w:t>(</w:t>
            </w:r>
            <w:r>
              <w:rPr>
                <w:i/>
                <w:spacing w:val="20"/>
                <w:sz w:val="27"/>
                <w:szCs w:val="27"/>
              </w:rPr>
              <w:t>出入境人次</w:t>
            </w:r>
            <w:r>
              <w:rPr>
                <w:i/>
                <w:spacing w:val="20"/>
                <w:sz w:val="27"/>
                <w:szCs w:val="27"/>
              </w:rPr>
              <w:t>)</w:t>
            </w:r>
          </w:p>
        </w:tc>
        <w:tc>
          <w:tcPr>
            <w:tcW w:w="2672" w:type="dxa"/>
            <w:gridSpan w:val="2"/>
            <w:tcBorders/>
            <w:vAlign w:val="center"/>
          </w:tcPr>
          <w:p>
            <w:pPr>
              <w:pStyle w:val="Normal"/>
              <w:widowControl/>
              <w:ind w:left="57" w:right="57" w:hanging="0"/>
              <w:jc w:val="center"/>
              <w:rPr>
                <w:i/>
                <w:i/>
                <w:spacing w:val="20"/>
                <w:sz w:val="27"/>
                <w:szCs w:val="27"/>
              </w:rPr>
            </w:pPr>
            <w:r>
              <w:rPr>
                <w:i/>
                <w:spacing w:val="20"/>
                <w:sz w:val="27"/>
                <w:szCs w:val="27"/>
              </w:rPr>
              <w:t>2014-2015</w:t>
            </w:r>
            <w:r>
              <w:rPr>
                <w:i/>
                <w:spacing w:val="20"/>
                <w:sz w:val="27"/>
                <w:szCs w:val="27"/>
              </w:rPr>
              <w:t>年度</w:t>
            </w:r>
          </w:p>
          <w:p>
            <w:pPr>
              <w:pStyle w:val="Normal"/>
              <w:widowControl/>
              <w:ind w:left="57" w:right="57" w:hanging="0"/>
              <w:jc w:val="center"/>
              <w:rPr>
                <w:i/>
                <w:i/>
                <w:spacing w:val="20"/>
                <w:sz w:val="27"/>
                <w:szCs w:val="27"/>
              </w:rPr>
            </w:pPr>
            <w:r>
              <w:rPr>
                <w:i/>
                <w:spacing w:val="20"/>
                <w:sz w:val="27"/>
                <w:szCs w:val="27"/>
              </w:rPr>
              <w:t>(</w:t>
            </w:r>
            <w:r>
              <w:rPr>
                <w:i/>
                <w:spacing w:val="20"/>
                <w:sz w:val="27"/>
                <w:szCs w:val="27"/>
              </w:rPr>
              <w:t>截至</w:t>
            </w:r>
            <w:r>
              <w:rPr>
                <w:i/>
                <w:spacing w:val="20"/>
                <w:sz w:val="27"/>
                <w:szCs w:val="27"/>
              </w:rPr>
              <w:t>2015</w:t>
            </w:r>
            <w:r>
              <w:rPr>
                <w:i/>
                <w:spacing w:val="20"/>
                <w:sz w:val="27"/>
                <w:szCs w:val="27"/>
              </w:rPr>
              <w:t>年</w:t>
            </w:r>
            <w:r>
              <w:rPr>
                <w:i/>
                <w:spacing w:val="20"/>
                <w:sz w:val="27"/>
                <w:szCs w:val="27"/>
              </w:rPr>
              <w:t>2</w:t>
            </w:r>
            <w:r>
              <w:rPr>
                <w:i/>
                <w:spacing w:val="20"/>
                <w:sz w:val="27"/>
                <w:szCs w:val="27"/>
              </w:rPr>
              <w:t>月</w:t>
            </w:r>
            <w:r>
              <w:rPr>
                <w:i/>
                <w:spacing w:val="20"/>
                <w:sz w:val="27"/>
                <w:szCs w:val="27"/>
              </w:rPr>
              <w:t>)</w:t>
            </w:r>
          </w:p>
          <w:p>
            <w:pPr>
              <w:pStyle w:val="Normal"/>
              <w:widowControl/>
              <w:ind w:left="57" w:right="57" w:hanging="0"/>
              <w:jc w:val="center"/>
              <w:rPr>
                <w:i/>
                <w:i/>
                <w:spacing w:val="20"/>
                <w:sz w:val="27"/>
                <w:szCs w:val="27"/>
              </w:rPr>
            </w:pPr>
            <w:r>
              <w:rPr>
                <w:i/>
                <w:spacing w:val="20"/>
                <w:sz w:val="27"/>
                <w:szCs w:val="27"/>
              </w:rPr>
              <w:t>(</w:t>
            </w:r>
            <w:r>
              <w:rPr>
                <w:i/>
                <w:spacing w:val="20"/>
                <w:sz w:val="27"/>
                <w:szCs w:val="27"/>
              </w:rPr>
              <w:t>出入境人次</w:t>
            </w:r>
            <w:r>
              <w:rPr>
                <w:i/>
                <w:spacing w:val="20"/>
                <w:sz w:val="27"/>
                <w:szCs w:val="27"/>
              </w:rPr>
              <w:t>)</w:t>
            </w:r>
          </w:p>
        </w:tc>
      </w:tr>
      <w:tr>
        <w:trPr>
          <w:tblHeader w:val="true"/>
        </w:trPr>
        <w:tc>
          <w:tcPr>
            <w:tcW w:w="1204" w:type="dxa"/>
            <w:vMerge w:val="continue"/>
            <w:tcBorders/>
            <w:vAlign w:val="center"/>
          </w:tcPr>
          <w:p>
            <w:pPr>
              <w:pStyle w:val="Normal"/>
              <w:widowControl/>
              <w:spacing w:lineRule="auto" w:line="240"/>
              <w:jc w:val="left"/>
              <w:rPr>
                <w:i/>
                <w:i/>
                <w:spacing w:val="20"/>
                <w:sz w:val="27"/>
                <w:szCs w:val="27"/>
              </w:rPr>
            </w:pPr>
            <w:r>
              <w:rPr>
                <w:i/>
                <w:spacing w:val="20"/>
                <w:sz w:val="27"/>
                <w:szCs w:val="27"/>
              </w:rPr>
            </w:r>
          </w:p>
        </w:tc>
        <w:tc>
          <w:tcPr>
            <w:tcW w:w="1336" w:type="dxa"/>
            <w:tcBorders/>
          </w:tcPr>
          <w:p>
            <w:pPr>
              <w:pStyle w:val="Normal"/>
              <w:widowControl/>
              <w:ind w:left="57" w:hanging="0"/>
              <w:rPr>
                <w:i/>
                <w:i/>
                <w:spacing w:val="20"/>
                <w:sz w:val="27"/>
                <w:szCs w:val="27"/>
              </w:rPr>
            </w:pPr>
            <w:r>
              <w:rPr>
                <w:i/>
                <w:spacing w:val="20"/>
                <w:sz w:val="27"/>
                <w:szCs w:val="27"/>
              </w:rPr>
              <w:t>香港居民</w:t>
            </w:r>
          </w:p>
        </w:tc>
        <w:tc>
          <w:tcPr>
            <w:tcW w:w="1337" w:type="dxa"/>
            <w:tcBorders/>
          </w:tcPr>
          <w:p>
            <w:pPr>
              <w:pStyle w:val="Normal"/>
              <w:widowControl/>
              <w:ind w:left="57" w:hanging="0"/>
              <w:rPr>
                <w:i/>
                <w:i/>
                <w:spacing w:val="20"/>
                <w:sz w:val="27"/>
                <w:szCs w:val="27"/>
              </w:rPr>
            </w:pPr>
            <w:r>
              <w:rPr>
                <w:i/>
                <w:spacing w:val="20"/>
                <w:sz w:val="27"/>
                <w:szCs w:val="27"/>
              </w:rPr>
              <w:t>訪港旅客</w:t>
            </w:r>
          </w:p>
        </w:tc>
        <w:tc>
          <w:tcPr>
            <w:tcW w:w="1336" w:type="dxa"/>
            <w:tcBorders/>
          </w:tcPr>
          <w:p>
            <w:pPr>
              <w:pStyle w:val="Normal"/>
              <w:widowControl/>
              <w:ind w:left="57" w:hanging="0"/>
              <w:rPr>
                <w:i/>
                <w:i/>
                <w:spacing w:val="20"/>
                <w:sz w:val="27"/>
                <w:szCs w:val="27"/>
              </w:rPr>
            </w:pPr>
            <w:r>
              <w:rPr>
                <w:i/>
                <w:spacing w:val="20"/>
                <w:sz w:val="27"/>
                <w:szCs w:val="27"/>
              </w:rPr>
              <w:t>香港居民</w:t>
            </w:r>
          </w:p>
        </w:tc>
        <w:tc>
          <w:tcPr>
            <w:tcW w:w="1337" w:type="dxa"/>
            <w:tcBorders/>
          </w:tcPr>
          <w:p>
            <w:pPr>
              <w:pStyle w:val="Normal"/>
              <w:widowControl/>
              <w:ind w:left="57" w:hanging="0"/>
              <w:rPr>
                <w:i/>
                <w:i/>
                <w:spacing w:val="20"/>
                <w:sz w:val="27"/>
                <w:szCs w:val="27"/>
              </w:rPr>
            </w:pPr>
            <w:r>
              <w:rPr>
                <w:i/>
                <w:spacing w:val="20"/>
                <w:sz w:val="27"/>
                <w:szCs w:val="27"/>
              </w:rPr>
              <w:t>訪港旅客</w:t>
            </w:r>
          </w:p>
        </w:tc>
        <w:tc>
          <w:tcPr>
            <w:tcW w:w="1336" w:type="dxa"/>
            <w:tcBorders/>
          </w:tcPr>
          <w:p>
            <w:pPr>
              <w:pStyle w:val="Normal"/>
              <w:widowControl/>
              <w:ind w:left="57" w:hanging="0"/>
              <w:rPr>
                <w:i/>
                <w:i/>
                <w:spacing w:val="20"/>
                <w:sz w:val="27"/>
                <w:szCs w:val="27"/>
              </w:rPr>
            </w:pPr>
            <w:r>
              <w:rPr>
                <w:i/>
                <w:spacing w:val="20"/>
                <w:sz w:val="27"/>
                <w:szCs w:val="27"/>
              </w:rPr>
              <w:t>香港居民</w:t>
            </w:r>
          </w:p>
        </w:tc>
        <w:tc>
          <w:tcPr>
            <w:tcW w:w="1336" w:type="dxa"/>
            <w:tcBorders/>
          </w:tcPr>
          <w:p>
            <w:pPr>
              <w:pStyle w:val="Normal"/>
              <w:widowControl/>
              <w:ind w:left="57" w:hanging="0"/>
              <w:rPr>
                <w:i/>
                <w:i/>
                <w:spacing w:val="20"/>
                <w:sz w:val="27"/>
                <w:szCs w:val="27"/>
              </w:rPr>
            </w:pPr>
            <w:r>
              <w:rPr>
                <w:i/>
                <w:spacing w:val="20"/>
                <w:sz w:val="27"/>
                <w:szCs w:val="27"/>
              </w:rPr>
              <w:t>訪港旅客</w:t>
            </w:r>
          </w:p>
        </w:tc>
      </w:tr>
      <w:tr>
        <w:trPr/>
        <w:tc>
          <w:tcPr>
            <w:tcW w:w="1204" w:type="dxa"/>
            <w:tcBorders/>
          </w:tcPr>
          <w:p>
            <w:pPr>
              <w:pStyle w:val="Normal"/>
              <w:widowControl/>
              <w:ind w:left="57" w:right="57" w:hanging="0"/>
              <w:rPr>
                <w:spacing w:val="20"/>
                <w:sz w:val="27"/>
                <w:szCs w:val="27"/>
              </w:rPr>
            </w:pPr>
            <w:r>
              <w:rPr>
                <w:spacing w:val="20"/>
                <w:sz w:val="27"/>
                <w:szCs w:val="27"/>
              </w:rPr>
              <w:t>機場</w:t>
            </w:r>
          </w:p>
        </w:tc>
        <w:tc>
          <w:tcPr>
            <w:tcW w:w="1336" w:type="dxa"/>
            <w:tcBorders/>
            <w:vAlign w:val="center"/>
          </w:tcPr>
          <w:p>
            <w:pPr>
              <w:pStyle w:val="Normal"/>
              <w:widowControl/>
              <w:ind w:left="28" w:hanging="0"/>
              <w:jc w:val="right"/>
              <w:rPr>
                <w:spacing w:val="8"/>
                <w:sz w:val="27"/>
                <w:szCs w:val="27"/>
              </w:rPr>
            </w:pPr>
            <w:r>
              <w:rPr>
                <w:spacing w:val="8"/>
                <w:sz w:val="27"/>
                <w:szCs w:val="27"/>
              </w:rPr>
              <w:t>15 994 978</w:t>
            </w:r>
          </w:p>
        </w:tc>
        <w:tc>
          <w:tcPr>
            <w:tcW w:w="1337" w:type="dxa"/>
            <w:tcBorders/>
            <w:vAlign w:val="center"/>
          </w:tcPr>
          <w:p>
            <w:pPr>
              <w:pStyle w:val="Normal"/>
              <w:widowControl/>
              <w:ind w:left="28" w:hanging="0"/>
              <w:jc w:val="right"/>
              <w:rPr>
                <w:spacing w:val="8"/>
                <w:sz w:val="27"/>
                <w:szCs w:val="27"/>
              </w:rPr>
            </w:pPr>
            <w:r>
              <w:rPr>
                <w:spacing w:val="8"/>
                <w:sz w:val="27"/>
                <w:szCs w:val="27"/>
              </w:rPr>
              <w:t>22 478 508</w:t>
            </w:r>
          </w:p>
        </w:tc>
        <w:tc>
          <w:tcPr>
            <w:tcW w:w="1336" w:type="dxa"/>
            <w:tcBorders/>
            <w:vAlign w:val="center"/>
          </w:tcPr>
          <w:p>
            <w:pPr>
              <w:pStyle w:val="Normal"/>
              <w:widowControl/>
              <w:ind w:left="28" w:hanging="0"/>
              <w:jc w:val="right"/>
              <w:rPr>
                <w:spacing w:val="8"/>
                <w:sz w:val="27"/>
                <w:szCs w:val="27"/>
              </w:rPr>
            </w:pPr>
            <w:r>
              <w:rPr>
                <w:spacing w:val="8"/>
                <w:sz w:val="27"/>
                <w:szCs w:val="27"/>
              </w:rPr>
              <w:t>17 230 860</w:t>
            </w:r>
          </w:p>
        </w:tc>
        <w:tc>
          <w:tcPr>
            <w:tcW w:w="1337" w:type="dxa"/>
            <w:tcBorders/>
            <w:vAlign w:val="center"/>
          </w:tcPr>
          <w:p>
            <w:pPr>
              <w:pStyle w:val="Normal"/>
              <w:widowControl/>
              <w:ind w:left="28" w:hanging="0"/>
              <w:jc w:val="right"/>
              <w:rPr>
                <w:spacing w:val="8"/>
                <w:sz w:val="27"/>
                <w:szCs w:val="27"/>
              </w:rPr>
            </w:pPr>
            <w:r>
              <w:rPr>
                <w:spacing w:val="8"/>
                <w:sz w:val="27"/>
                <w:szCs w:val="27"/>
              </w:rPr>
              <w:t>24 305 913</w:t>
            </w:r>
          </w:p>
        </w:tc>
        <w:tc>
          <w:tcPr>
            <w:tcW w:w="1336" w:type="dxa"/>
            <w:tcBorders/>
            <w:vAlign w:val="center"/>
          </w:tcPr>
          <w:p>
            <w:pPr>
              <w:pStyle w:val="Normal"/>
              <w:widowControl/>
              <w:ind w:left="28" w:hanging="0"/>
              <w:jc w:val="right"/>
              <w:rPr>
                <w:spacing w:val="8"/>
                <w:sz w:val="27"/>
                <w:szCs w:val="27"/>
              </w:rPr>
            </w:pPr>
            <w:r>
              <w:rPr>
                <w:spacing w:val="8"/>
                <w:sz w:val="27"/>
                <w:szCs w:val="27"/>
              </w:rPr>
              <w:t>17 346 747</w:t>
            </w:r>
          </w:p>
        </w:tc>
        <w:tc>
          <w:tcPr>
            <w:tcW w:w="1336" w:type="dxa"/>
            <w:tcBorders/>
            <w:vAlign w:val="center"/>
          </w:tcPr>
          <w:p>
            <w:pPr>
              <w:pStyle w:val="Normal"/>
              <w:widowControl/>
              <w:ind w:left="28" w:hanging="0"/>
              <w:jc w:val="right"/>
              <w:rPr>
                <w:spacing w:val="8"/>
                <w:sz w:val="27"/>
                <w:szCs w:val="27"/>
              </w:rPr>
            </w:pPr>
            <w:r>
              <w:rPr>
                <w:spacing w:val="8"/>
                <w:sz w:val="27"/>
                <w:szCs w:val="27"/>
              </w:rPr>
              <w:t>22 706 933</w:t>
            </w:r>
          </w:p>
        </w:tc>
      </w:tr>
      <w:tr>
        <w:trPr/>
        <w:tc>
          <w:tcPr>
            <w:tcW w:w="1204" w:type="dxa"/>
            <w:tcBorders/>
          </w:tcPr>
          <w:p>
            <w:pPr>
              <w:pStyle w:val="Normal"/>
              <w:widowControl/>
              <w:ind w:left="57" w:right="57" w:hanging="0"/>
              <w:rPr>
                <w:spacing w:val="20"/>
                <w:sz w:val="27"/>
                <w:szCs w:val="27"/>
              </w:rPr>
            </w:pPr>
            <w:r>
              <w:rPr>
                <w:spacing w:val="20"/>
                <w:sz w:val="27"/>
                <w:szCs w:val="27"/>
              </w:rPr>
              <w:t>羅湖</w:t>
            </w:r>
          </w:p>
        </w:tc>
        <w:tc>
          <w:tcPr>
            <w:tcW w:w="1336" w:type="dxa"/>
            <w:tcBorders/>
            <w:vAlign w:val="center"/>
          </w:tcPr>
          <w:p>
            <w:pPr>
              <w:pStyle w:val="Normal"/>
              <w:widowControl/>
              <w:ind w:left="28" w:hanging="0"/>
              <w:jc w:val="right"/>
              <w:rPr>
                <w:spacing w:val="8"/>
                <w:sz w:val="27"/>
                <w:szCs w:val="27"/>
              </w:rPr>
            </w:pPr>
            <w:r>
              <w:rPr>
                <w:spacing w:val="8"/>
                <w:sz w:val="27"/>
                <w:szCs w:val="27"/>
              </w:rPr>
              <w:t>70 494 317</w:t>
            </w:r>
          </w:p>
        </w:tc>
        <w:tc>
          <w:tcPr>
            <w:tcW w:w="1337" w:type="dxa"/>
            <w:tcBorders/>
            <w:vAlign w:val="center"/>
          </w:tcPr>
          <w:p>
            <w:pPr>
              <w:pStyle w:val="Normal"/>
              <w:widowControl/>
              <w:ind w:left="28" w:hanging="0"/>
              <w:jc w:val="right"/>
              <w:rPr>
                <w:spacing w:val="8"/>
                <w:sz w:val="27"/>
                <w:szCs w:val="27"/>
              </w:rPr>
            </w:pPr>
            <w:r>
              <w:rPr>
                <w:spacing w:val="8"/>
                <w:sz w:val="27"/>
                <w:szCs w:val="27"/>
              </w:rPr>
              <w:t>25 623 917</w:t>
            </w:r>
          </w:p>
        </w:tc>
        <w:tc>
          <w:tcPr>
            <w:tcW w:w="1336" w:type="dxa"/>
            <w:tcBorders/>
            <w:vAlign w:val="center"/>
          </w:tcPr>
          <w:p>
            <w:pPr>
              <w:pStyle w:val="Normal"/>
              <w:widowControl/>
              <w:ind w:left="28" w:hanging="0"/>
              <w:jc w:val="right"/>
              <w:rPr>
                <w:spacing w:val="8"/>
                <w:sz w:val="27"/>
                <w:szCs w:val="27"/>
              </w:rPr>
            </w:pPr>
            <w:r>
              <w:rPr>
                <w:spacing w:val="8"/>
                <w:sz w:val="27"/>
                <w:szCs w:val="27"/>
              </w:rPr>
              <w:t>64 203 527</w:t>
            </w:r>
          </w:p>
        </w:tc>
        <w:tc>
          <w:tcPr>
            <w:tcW w:w="1337" w:type="dxa"/>
            <w:tcBorders/>
            <w:vAlign w:val="center"/>
          </w:tcPr>
          <w:p>
            <w:pPr>
              <w:pStyle w:val="Normal"/>
              <w:widowControl/>
              <w:ind w:left="28" w:hanging="0"/>
              <w:jc w:val="right"/>
              <w:rPr>
                <w:spacing w:val="8"/>
                <w:sz w:val="27"/>
                <w:szCs w:val="27"/>
              </w:rPr>
            </w:pPr>
            <w:r>
              <w:rPr>
                <w:spacing w:val="8"/>
                <w:sz w:val="27"/>
                <w:szCs w:val="27"/>
              </w:rPr>
              <w:t>26 111 826</w:t>
            </w:r>
          </w:p>
        </w:tc>
        <w:tc>
          <w:tcPr>
            <w:tcW w:w="1336" w:type="dxa"/>
            <w:tcBorders/>
            <w:vAlign w:val="center"/>
          </w:tcPr>
          <w:p>
            <w:pPr>
              <w:pStyle w:val="Normal"/>
              <w:widowControl/>
              <w:ind w:left="28" w:hanging="0"/>
              <w:jc w:val="right"/>
              <w:rPr>
                <w:spacing w:val="8"/>
                <w:sz w:val="27"/>
                <w:szCs w:val="27"/>
              </w:rPr>
            </w:pPr>
            <w:r>
              <w:rPr>
                <w:spacing w:val="8"/>
                <w:sz w:val="27"/>
                <w:szCs w:val="27"/>
              </w:rPr>
              <w:t>55 937 356</w:t>
            </w:r>
          </w:p>
        </w:tc>
        <w:tc>
          <w:tcPr>
            <w:tcW w:w="1336" w:type="dxa"/>
            <w:tcBorders/>
            <w:vAlign w:val="center"/>
          </w:tcPr>
          <w:p>
            <w:pPr>
              <w:pStyle w:val="Normal"/>
              <w:widowControl/>
              <w:ind w:left="28" w:hanging="0"/>
              <w:jc w:val="right"/>
              <w:rPr>
                <w:spacing w:val="8"/>
                <w:sz w:val="27"/>
                <w:szCs w:val="27"/>
              </w:rPr>
            </w:pPr>
            <w:r>
              <w:rPr>
                <w:spacing w:val="8"/>
                <w:sz w:val="27"/>
                <w:szCs w:val="27"/>
              </w:rPr>
              <w:t>23 890 931</w:t>
            </w:r>
          </w:p>
        </w:tc>
      </w:tr>
      <w:tr>
        <w:trPr/>
        <w:tc>
          <w:tcPr>
            <w:tcW w:w="1204" w:type="dxa"/>
            <w:tcBorders/>
          </w:tcPr>
          <w:p>
            <w:pPr>
              <w:pStyle w:val="Normal"/>
              <w:widowControl/>
              <w:ind w:left="57" w:right="57" w:hanging="0"/>
              <w:rPr>
                <w:spacing w:val="20"/>
                <w:sz w:val="27"/>
                <w:szCs w:val="27"/>
              </w:rPr>
            </w:pPr>
            <w:r>
              <w:rPr>
                <w:spacing w:val="20"/>
                <w:sz w:val="27"/>
                <w:szCs w:val="27"/>
              </w:rPr>
              <w:t>紅磡</w:t>
            </w:r>
          </w:p>
        </w:tc>
        <w:tc>
          <w:tcPr>
            <w:tcW w:w="1336" w:type="dxa"/>
            <w:tcBorders/>
            <w:vAlign w:val="center"/>
          </w:tcPr>
          <w:p>
            <w:pPr>
              <w:pStyle w:val="Normal"/>
              <w:widowControl/>
              <w:ind w:left="57" w:hanging="0"/>
              <w:jc w:val="right"/>
              <w:rPr>
                <w:spacing w:val="8"/>
                <w:sz w:val="27"/>
                <w:szCs w:val="27"/>
              </w:rPr>
            </w:pPr>
            <w:r>
              <w:rPr>
                <w:spacing w:val="8"/>
                <w:sz w:val="27"/>
                <w:szCs w:val="27"/>
              </w:rPr>
              <w:t>1 730 258</w:t>
            </w:r>
          </w:p>
        </w:tc>
        <w:tc>
          <w:tcPr>
            <w:tcW w:w="1337" w:type="dxa"/>
            <w:tcBorders/>
            <w:vAlign w:val="center"/>
          </w:tcPr>
          <w:p>
            <w:pPr>
              <w:pStyle w:val="Normal"/>
              <w:widowControl/>
              <w:ind w:left="57" w:hanging="0"/>
              <w:jc w:val="right"/>
              <w:rPr>
                <w:spacing w:val="8"/>
                <w:sz w:val="27"/>
                <w:szCs w:val="27"/>
              </w:rPr>
            </w:pPr>
            <w:r>
              <w:rPr>
                <w:spacing w:val="8"/>
                <w:sz w:val="27"/>
                <w:szCs w:val="27"/>
              </w:rPr>
              <w:t>2 517 160</w:t>
            </w:r>
          </w:p>
        </w:tc>
        <w:tc>
          <w:tcPr>
            <w:tcW w:w="1336" w:type="dxa"/>
            <w:tcBorders/>
            <w:vAlign w:val="center"/>
          </w:tcPr>
          <w:p>
            <w:pPr>
              <w:pStyle w:val="Normal"/>
              <w:widowControl/>
              <w:ind w:left="57" w:hanging="0"/>
              <w:jc w:val="right"/>
              <w:rPr>
                <w:spacing w:val="8"/>
                <w:sz w:val="27"/>
                <w:szCs w:val="27"/>
              </w:rPr>
            </w:pPr>
            <w:r>
              <w:rPr>
                <w:spacing w:val="8"/>
                <w:sz w:val="27"/>
                <w:szCs w:val="27"/>
              </w:rPr>
              <w:t>1 690 876</w:t>
            </w:r>
          </w:p>
        </w:tc>
        <w:tc>
          <w:tcPr>
            <w:tcW w:w="1337" w:type="dxa"/>
            <w:tcBorders/>
            <w:vAlign w:val="center"/>
          </w:tcPr>
          <w:p>
            <w:pPr>
              <w:pStyle w:val="Normal"/>
              <w:widowControl/>
              <w:ind w:left="57" w:hanging="0"/>
              <w:jc w:val="right"/>
              <w:rPr>
                <w:spacing w:val="8"/>
                <w:sz w:val="27"/>
                <w:szCs w:val="27"/>
              </w:rPr>
            </w:pPr>
            <w:r>
              <w:rPr>
                <w:spacing w:val="8"/>
                <w:sz w:val="27"/>
                <w:szCs w:val="27"/>
              </w:rPr>
              <w:t>2 797 943</w:t>
            </w:r>
          </w:p>
        </w:tc>
        <w:tc>
          <w:tcPr>
            <w:tcW w:w="1336" w:type="dxa"/>
            <w:tcBorders/>
            <w:vAlign w:val="center"/>
          </w:tcPr>
          <w:p>
            <w:pPr>
              <w:pStyle w:val="Normal"/>
              <w:widowControl/>
              <w:ind w:left="57" w:hanging="0"/>
              <w:jc w:val="right"/>
              <w:rPr>
                <w:spacing w:val="8"/>
                <w:sz w:val="27"/>
                <w:szCs w:val="27"/>
              </w:rPr>
            </w:pPr>
            <w:r>
              <w:rPr>
                <w:spacing w:val="8"/>
                <w:sz w:val="27"/>
                <w:szCs w:val="27"/>
              </w:rPr>
              <w:t>1 544 860</w:t>
            </w:r>
          </w:p>
        </w:tc>
        <w:tc>
          <w:tcPr>
            <w:tcW w:w="1336" w:type="dxa"/>
            <w:tcBorders/>
            <w:vAlign w:val="center"/>
          </w:tcPr>
          <w:p>
            <w:pPr>
              <w:pStyle w:val="Normal"/>
              <w:widowControl/>
              <w:ind w:left="57" w:hanging="0"/>
              <w:jc w:val="right"/>
              <w:rPr>
                <w:spacing w:val="8"/>
                <w:sz w:val="27"/>
                <w:szCs w:val="27"/>
              </w:rPr>
            </w:pPr>
            <w:r>
              <w:rPr>
                <w:spacing w:val="8"/>
                <w:sz w:val="27"/>
                <w:szCs w:val="27"/>
              </w:rPr>
              <w:t>2 564 287</w:t>
            </w:r>
          </w:p>
        </w:tc>
      </w:tr>
      <w:tr>
        <w:trPr/>
        <w:tc>
          <w:tcPr>
            <w:tcW w:w="1204" w:type="dxa"/>
            <w:tcBorders/>
          </w:tcPr>
          <w:p>
            <w:pPr>
              <w:pStyle w:val="Normal"/>
              <w:widowControl/>
              <w:ind w:left="57" w:right="57" w:hanging="0"/>
              <w:rPr>
                <w:spacing w:val="20"/>
                <w:sz w:val="27"/>
                <w:szCs w:val="27"/>
              </w:rPr>
            </w:pPr>
            <w:r>
              <w:rPr>
                <w:spacing w:val="20"/>
                <w:sz w:val="27"/>
                <w:szCs w:val="27"/>
              </w:rPr>
              <w:t>落馬洲支線</w:t>
            </w:r>
          </w:p>
        </w:tc>
        <w:tc>
          <w:tcPr>
            <w:tcW w:w="1336" w:type="dxa"/>
            <w:tcBorders/>
            <w:vAlign w:val="center"/>
          </w:tcPr>
          <w:p>
            <w:pPr>
              <w:pStyle w:val="Normal"/>
              <w:widowControl/>
              <w:ind w:left="28" w:hanging="0"/>
              <w:jc w:val="right"/>
              <w:rPr>
                <w:spacing w:val="8"/>
                <w:sz w:val="27"/>
                <w:szCs w:val="27"/>
              </w:rPr>
            </w:pPr>
            <w:r>
              <w:rPr>
                <w:spacing w:val="8"/>
                <w:sz w:val="27"/>
                <w:szCs w:val="27"/>
              </w:rPr>
              <w:t>30 016 532</w:t>
            </w:r>
          </w:p>
        </w:tc>
        <w:tc>
          <w:tcPr>
            <w:tcW w:w="1337" w:type="dxa"/>
            <w:tcBorders/>
            <w:vAlign w:val="center"/>
          </w:tcPr>
          <w:p>
            <w:pPr>
              <w:pStyle w:val="Normal"/>
              <w:widowControl/>
              <w:ind w:left="28" w:hanging="0"/>
              <w:jc w:val="right"/>
              <w:rPr>
                <w:spacing w:val="8"/>
                <w:sz w:val="27"/>
                <w:szCs w:val="27"/>
              </w:rPr>
            </w:pPr>
            <w:r>
              <w:rPr>
                <w:spacing w:val="8"/>
                <w:sz w:val="27"/>
                <w:szCs w:val="27"/>
              </w:rPr>
              <w:t>13 247 753</w:t>
            </w:r>
          </w:p>
        </w:tc>
        <w:tc>
          <w:tcPr>
            <w:tcW w:w="1336" w:type="dxa"/>
            <w:tcBorders/>
            <w:vAlign w:val="center"/>
          </w:tcPr>
          <w:p>
            <w:pPr>
              <w:pStyle w:val="Normal"/>
              <w:widowControl/>
              <w:ind w:left="28" w:hanging="0"/>
              <w:jc w:val="right"/>
              <w:rPr>
                <w:spacing w:val="8"/>
                <w:sz w:val="27"/>
                <w:szCs w:val="27"/>
              </w:rPr>
            </w:pPr>
            <w:r>
              <w:rPr>
                <w:spacing w:val="8"/>
                <w:sz w:val="27"/>
                <w:szCs w:val="27"/>
              </w:rPr>
              <w:t>30 691 783</w:t>
            </w:r>
          </w:p>
        </w:tc>
        <w:tc>
          <w:tcPr>
            <w:tcW w:w="1337" w:type="dxa"/>
            <w:tcBorders/>
            <w:vAlign w:val="center"/>
          </w:tcPr>
          <w:p>
            <w:pPr>
              <w:pStyle w:val="Normal"/>
              <w:widowControl/>
              <w:ind w:left="28" w:hanging="0"/>
              <w:jc w:val="right"/>
              <w:rPr>
                <w:spacing w:val="8"/>
                <w:sz w:val="27"/>
                <w:szCs w:val="27"/>
              </w:rPr>
            </w:pPr>
            <w:r>
              <w:rPr>
                <w:spacing w:val="8"/>
                <w:sz w:val="27"/>
                <w:szCs w:val="27"/>
              </w:rPr>
              <w:t>16 998 979</w:t>
            </w:r>
          </w:p>
        </w:tc>
        <w:tc>
          <w:tcPr>
            <w:tcW w:w="1336" w:type="dxa"/>
            <w:tcBorders/>
            <w:vAlign w:val="center"/>
          </w:tcPr>
          <w:p>
            <w:pPr>
              <w:pStyle w:val="Normal"/>
              <w:widowControl/>
              <w:ind w:left="28" w:hanging="0"/>
              <w:jc w:val="right"/>
              <w:rPr>
                <w:spacing w:val="8"/>
                <w:sz w:val="27"/>
                <w:szCs w:val="27"/>
              </w:rPr>
            </w:pPr>
            <w:r>
              <w:rPr>
                <w:spacing w:val="8"/>
                <w:sz w:val="27"/>
                <w:szCs w:val="27"/>
              </w:rPr>
              <w:t>31 534 946</w:t>
            </w:r>
          </w:p>
        </w:tc>
        <w:tc>
          <w:tcPr>
            <w:tcW w:w="1336" w:type="dxa"/>
            <w:tcBorders/>
            <w:vAlign w:val="center"/>
          </w:tcPr>
          <w:p>
            <w:pPr>
              <w:pStyle w:val="Normal"/>
              <w:widowControl/>
              <w:ind w:left="28" w:hanging="0"/>
              <w:jc w:val="right"/>
              <w:rPr>
                <w:spacing w:val="8"/>
                <w:sz w:val="27"/>
                <w:szCs w:val="27"/>
              </w:rPr>
            </w:pPr>
            <w:r>
              <w:rPr>
                <w:spacing w:val="8"/>
                <w:sz w:val="27"/>
                <w:szCs w:val="27"/>
              </w:rPr>
              <w:t>20 896 497</w:t>
            </w:r>
          </w:p>
        </w:tc>
      </w:tr>
      <w:tr>
        <w:trPr/>
        <w:tc>
          <w:tcPr>
            <w:tcW w:w="1204" w:type="dxa"/>
            <w:tcBorders/>
          </w:tcPr>
          <w:p>
            <w:pPr>
              <w:pStyle w:val="Normal"/>
              <w:widowControl/>
              <w:ind w:left="57" w:right="57" w:hanging="0"/>
              <w:rPr>
                <w:spacing w:val="20"/>
                <w:sz w:val="27"/>
                <w:szCs w:val="27"/>
              </w:rPr>
            </w:pPr>
            <w:r>
              <w:rPr>
                <w:spacing w:val="20"/>
                <w:sz w:val="27"/>
                <w:szCs w:val="27"/>
              </w:rPr>
              <w:t>落馬洲</w:t>
            </w:r>
          </w:p>
        </w:tc>
        <w:tc>
          <w:tcPr>
            <w:tcW w:w="1336" w:type="dxa"/>
            <w:tcBorders/>
            <w:vAlign w:val="center"/>
          </w:tcPr>
          <w:p>
            <w:pPr>
              <w:pStyle w:val="Normal"/>
              <w:widowControl/>
              <w:ind w:left="28" w:hanging="0"/>
              <w:jc w:val="right"/>
              <w:rPr>
                <w:spacing w:val="8"/>
                <w:sz w:val="27"/>
                <w:szCs w:val="27"/>
              </w:rPr>
            </w:pPr>
            <w:r>
              <w:rPr>
                <w:spacing w:val="8"/>
                <w:sz w:val="27"/>
                <w:szCs w:val="27"/>
              </w:rPr>
              <w:t>20 323 053</w:t>
            </w:r>
          </w:p>
        </w:tc>
        <w:tc>
          <w:tcPr>
            <w:tcW w:w="1337" w:type="dxa"/>
            <w:tcBorders/>
            <w:vAlign w:val="center"/>
          </w:tcPr>
          <w:p>
            <w:pPr>
              <w:pStyle w:val="Normal"/>
              <w:widowControl/>
              <w:ind w:left="28" w:hanging="0"/>
              <w:jc w:val="right"/>
              <w:rPr>
                <w:spacing w:val="8"/>
                <w:sz w:val="27"/>
                <w:szCs w:val="27"/>
              </w:rPr>
            </w:pPr>
            <w:r>
              <w:rPr>
                <w:spacing w:val="8"/>
                <w:sz w:val="27"/>
                <w:szCs w:val="27"/>
              </w:rPr>
              <w:t>9 041 990</w:t>
            </w:r>
          </w:p>
        </w:tc>
        <w:tc>
          <w:tcPr>
            <w:tcW w:w="1336" w:type="dxa"/>
            <w:tcBorders/>
            <w:vAlign w:val="center"/>
          </w:tcPr>
          <w:p>
            <w:pPr>
              <w:pStyle w:val="Normal"/>
              <w:widowControl/>
              <w:ind w:left="28" w:hanging="0"/>
              <w:jc w:val="right"/>
              <w:rPr>
                <w:spacing w:val="8"/>
                <w:sz w:val="27"/>
                <w:szCs w:val="27"/>
              </w:rPr>
            </w:pPr>
            <w:r>
              <w:rPr>
                <w:spacing w:val="8"/>
                <w:sz w:val="27"/>
                <w:szCs w:val="27"/>
              </w:rPr>
              <w:t>18 773 087</w:t>
            </w:r>
          </w:p>
        </w:tc>
        <w:tc>
          <w:tcPr>
            <w:tcW w:w="1337" w:type="dxa"/>
            <w:tcBorders/>
            <w:vAlign w:val="center"/>
          </w:tcPr>
          <w:p>
            <w:pPr>
              <w:pStyle w:val="Normal"/>
              <w:widowControl/>
              <w:ind w:left="28" w:hanging="0"/>
              <w:jc w:val="right"/>
              <w:rPr>
                <w:spacing w:val="8"/>
                <w:sz w:val="27"/>
                <w:szCs w:val="27"/>
              </w:rPr>
            </w:pPr>
            <w:r>
              <w:rPr>
                <w:spacing w:val="8"/>
                <w:sz w:val="27"/>
                <w:szCs w:val="27"/>
              </w:rPr>
              <w:t>9 439 736</w:t>
            </w:r>
          </w:p>
        </w:tc>
        <w:tc>
          <w:tcPr>
            <w:tcW w:w="1336" w:type="dxa"/>
            <w:tcBorders/>
            <w:vAlign w:val="center"/>
          </w:tcPr>
          <w:p>
            <w:pPr>
              <w:pStyle w:val="Normal"/>
              <w:widowControl/>
              <w:ind w:left="28" w:hanging="0"/>
              <w:jc w:val="right"/>
              <w:rPr>
                <w:spacing w:val="8"/>
                <w:sz w:val="27"/>
                <w:szCs w:val="27"/>
              </w:rPr>
            </w:pPr>
            <w:r>
              <w:rPr>
                <w:spacing w:val="8"/>
                <w:sz w:val="27"/>
                <w:szCs w:val="27"/>
              </w:rPr>
              <w:t>16 725 328</w:t>
            </w:r>
          </w:p>
        </w:tc>
        <w:tc>
          <w:tcPr>
            <w:tcW w:w="1336" w:type="dxa"/>
            <w:tcBorders/>
            <w:vAlign w:val="center"/>
          </w:tcPr>
          <w:p>
            <w:pPr>
              <w:pStyle w:val="Normal"/>
              <w:widowControl/>
              <w:ind w:left="57" w:hanging="0"/>
              <w:jc w:val="right"/>
              <w:rPr>
                <w:spacing w:val="8"/>
                <w:sz w:val="27"/>
                <w:szCs w:val="27"/>
              </w:rPr>
            </w:pPr>
            <w:r>
              <w:rPr>
                <w:spacing w:val="8"/>
                <w:sz w:val="27"/>
                <w:szCs w:val="27"/>
              </w:rPr>
              <w:t>9 694 202</w:t>
            </w:r>
          </w:p>
        </w:tc>
      </w:tr>
      <w:tr>
        <w:trPr/>
        <w:tc>
          <w:tcPr>
            <w:tcW w:w="1204" w:type="dxa"/>
            <w:tcBorders/>
          </w:tcPr>
          <w:p>
            <w:pPr>
              <w:pStyle w:val="Normal"/>
              <w:widowControl/>
              <w:ind w:left="57" w:hanging="0"/>
              <w:rPr>
                <w:spacing w:val="12"/>
                <w:sz w:val="27"/>
                <w:szCs w:val="27"/>
              </w:rPr>
            </w:pPr>
            <w:r>
              <w:rPr>
                <w:spacing w:val="12"/>
                <w:sz w:val="27"/>
                <w:szCs w:val="27"/>
              </w:rPr>
              <w:t>文錦渡</w:t>
            </w:r>
            <w:r>
              <w:rPr>
                <w:spacing w:val="12"/>
                <w:sz w:val="27"/>
                <w:szCs w:val="27"/>
                <w:vertAlign w:val="superscript"/>
              </w:rPr>
              <w:t>(1)</w:t>
            </w:r>
          </w:p>
        </w:tc>
        <w:tc>
          <w:tcPr>
            <w:tcW w:w="1336" w:type="dxa"/>
            <w:tcBorders/>
            <w:vAlign w:val="center"/>
          </w:tcPr>
          <w:p>
            <w:pPr>
              <w:pStyle w:val="Normal"/>
              <w:widowControl/>
              <w:ind w:left="57" w:hanging="0"/>
              <w:jc w:val="right"/>
              <w:rPr>
                <w:spacing w:val="8"/>
                <w:sz w:val="27"/>
                <w:szCs w:val="27"/>
              </w:rPr>
            </w:pPr>
            <w:r>
              <w:rPr>
                <w:spacing w:val="8"/>
                <w:sz w:val="27"/>
                <w:szCs w:val="27"/>
              </w:rPr>
              <w:t>226 049</w:t>
            </w:r>
          </w:p>
        </w:tc>
        <w:tc>
          <w:tcPr>
            <w:tcW w:w="1337" w:type="dxa"/>
            <w:tcBorders/>
            <w:vAlign w:val="center"/>
          </w:tcPr>
          <w:p>
            <w:pPr>
              <w:pStyle w:val="Normal"/>
              <w:widowControl/>
              <w:ind w:left="57" w:hanging="0"/>
              <w:jc w:val="right"/>
              <w:rPr>
                <w:spacing w:val="8"/>
                <w:sz w:val="27"/>
                <w:szCs w:val="27"/>
              </w:rPr>
            </w:pPr>
            <w:r>
              <w:rPr>
                <w:spacing w:val="8"/>
                <w:sz w:val="27"/>
                <w:szCs w:val="27"/>
              </w:rPr>
              <w:t>17 171</w:t>
            </w:r>
          </w:p>
        </w:tc>
        <w:tc>
          <w:tcPr>
            <w:tcW w:w="1336" w:type="dxa"/>
            <w:tcBorders/>
            <w:vAlign w:val="center"/>
          </w:tcPr>
          <w:p>
            <w:pPr>
              <w:pStyle w:val="Normal"/>
              <w:widowControl/>
              <w:ind w:left="57" w:hanging="0"/>
              <w:jc w:val="right"/>
              <w:rPr>
                <w:spacing w:val="8"/>
                <w:sz w:val="27"/>
                <w:szCs w:val="27"/>
              </w:rPr>
            </w:pPr>
            <w:r>
              <w:rPr>
                <w:spacing w:val="8"/>
                <w:sz w:val="27"/>
                <w:szCs w:val="27"/>
              </w:rPr>
              <w:t>849 756</w:t>
            </w:r>
          </w:p>
        </w:tc>
        <w:tc>
          <w:tcPr>
            <w:tcW w:w="1337" w:type="dxa"/>
            <w:tcBorders/>
            <w:vAlign w:val="center"/>
          </w:tcPr>
          <w:p>
            <w:pPr>
              <w:pStyle w:val="Normal"/>
              <w:widowControl/>
              <w:ind w:left="57" w:hanging="0"/>
              <w:jc w:val="right"/>
              <w:rPr>
                <w:spacing w:val="8"/>
                <w:sz w:val="27"/>
                <w:szCs w:val="27"/>
              </w:rPr>
            </w:pPr>
            <w:r>
              <w:rPr>
                <w:spacing w:val="8"/>
                <w:sz w:val="27"/>
                <w:szCs w:val="27"/>
              </w:rPr>
              <w:t>1 050 260</w:t>
            </w:r>
          </w:p>
        </w:tc>
        <w:tc>
          <w:tcPr>
            <w:tcW w:w="1336" w:type="dxa"/>
            <w:tcBorders/>
            <w:vAlign w:val="center"/>
          </w:tcPr>
          <w:p>
            <w:pPr>
              <w:pStyle w:val="Normal"/>
              <w:widowControl/>
              <w:ind w:left="57" w:hanging="0"/>
              <w:jc w:val="right"/>
              <w:rPr>
                <w:spacing w:val="8"/>
                <w:sz w:val="27"/>
                <w:szCs w:val="27"/>
              </w:rPr>
            </w:pPr>
            <w:r>
              <w:rPr>
                <w:spacing w:val="8"/>
                <w:sz w:val="27"/>
                <w:szCs w:val="27"/>
              </w:rPr>
              <w:t>1 480 842</w:t>
            </w:r>
          </w:p>
        </w:tc>
        <w:tc>
          <w:tcPr>
            <w:tcW w:w="1336" w:type="dxa"/>
            <w:tcBorders/>
            <w:vAlign w:val="center"/>
          </w:tcPr>
          <w:p>
            <w:pPr>
              <w:pStyle w:val="Normal"/>
              <w:widowControl/>
              <w:ind w:left="57" w:hanging="0"/>
              <w:jc w:val="right"/>
              <w:rPr>
                <w:spacing w:val="8"/>
                <w:sz w:val="27"/>
                <w:szCs w:val="27"/>
              </w:rPr>
            </w:pPr>
            <w:r>
              <w:rPr>
                <w:spacing w:val="8"/>
                <w:sz w:val="27"/>
                <w:szCs w:val="27"/>
              </w:rPr>
              <w:t>2 202 321</w:t>
            </w:r>
          </w:p>
        </w:tc>
      </w:tr>
      <w:tr>
        <w:trPr/>
        <w:tc>
          <w:tcPr>
            <w:tcW w:w="1204" w:type="dxa"/>
            <w:tcBorders/>
          </w:tcPr>
          <w:p>
            <w:pPr>
              <w:pStyle w:val="Normal"/>
              <w:widowControl/>
              <w:ind w:left="57" w:right="57" w:hanging="0"/>
              <w:rPr>
                <w:spacing w:val="20"/>
                <w:sz w:val="27"/>
                <w:szCs w:val="27"/>
              </w:rPr>
            </w:pPr>
            <w:r>
              <w:rPr>
                <w:spacing w:val="20"/>
                <w:sz w:val="27"/>
                <w:szCs w:val="27"/>
              </w:rPr>
              <w:t>沙頭角</w:t>
            </w:r>
          </w:p>
        </w:tc>
        <w:tc>
          <w:tcPr>
            <w:tcW w:w="1336" w:type="dxa"/>
            <w:tcBorders/>
            <w:vAlign w:val="center"/>
          </w:tcPr>
          <w:p>
            <w:pPr>
              <w:pStyle w:val="Normal"/>
              <w:widowControl/>
              <w:ind w:left="57" w:hanging="0"/>
              <w:jc w:val="right"/>
              <w:rPr>
                <w:spacing w:val="8"/>
                <w:sz w:val="27"/>
                <w:szCs w:val="27"/>
              </w:rPr>
            </w:pPr>
            <w:r>
              <w:rPr>
                <w:spacing w:val="8"/>
                <w:sz w:val="27"/>
                <w:szCs w:val="27"/>
              </w:rPr>
              <w:t>2 195 793</w:t>
            </w:r>
          </w:p>
        </w:tc>
        <w:tc>
          <w:tcPr>
            <w:tcW w:w="1337" w:type="dxa"/>
            <w:tcBorders/>
            <w:vAlign w:val="center"/>
          </w:tcPr>
          <w:p>
            <w:pPr>
              <w:pStyle w:val="Normal"/>
              <w:widowControl/>
              <w:ind w:left="57" w:hanging="0"/>
              <w:jc w:val="right"/>
              <w:rPr>
                <w:spacing w:val="8"/>
                <w:sz w:val="27"/>
                <w:szCs w:val="27"/>
              </w:rPr>
            </w:pPr>
            <w:r>
              <w:rPr>
                <w:spacing w:val="8"/>
                <w:sz w:val="27"/>
                <w:szCs w:val="27"/>
              </w:rPr>
              <w:t>1 121 696</w:t>
            </w:r>
          </w:p>
        </w:tc>
        <w:tc>
          <w:tcPr>
            <w:tcW w:w="1336" w:type="dxa"/>
            <w:tcBorders/>
            <w:vAlign w:val="center"/>
          </w:tcPr>
          <w:p>
            <w:pPr>
              <w:pStyle w:val="Normal"/>
              <w:widowControl/>
              <w:ind w:left="57" w:hanging="0"/>
              <w:jc w:val="right"/>
              <w:rPr>
                <w:spacing w:val="8"/>
                <w:sz w:val="27"/>
                <w:szCs w:val="27"/>
              </w:rPr>
            </w:pPr>
            <w:r>
              <w:rPr>
                <w:spacing w:val="8"/>
                <w:sz w:val="27"/>
                <w:szCs w:val="27"/>
              </w:rPr>
              <w:t>2 113 027</w:t>
            </w:r>
          </w:p>
        </w:tc>
        <w:tc>
          <w:tcPr>
            <w:tcW w:w="1337" w:type="dxa"/>
            <w:tcBorders/>
            <w:vAlign w:val="center"/>
          </w:tcPr>
          <w:p>
            <w:pPr>
              <w:pStyle w:val="Normal"/>
              <w:widowControl/>
              <w:ind w:left="57" w:hanging="0"/>
              <w:jc w:val="right"/>
              <w:rPr>
                <w:spacing w:val="8"/>
                <w:sz w:val="27"/>
                <w:szCs w:val="27"/>
              </w:rPr>
            </w:pPr>
            <w:r>
              <w:rPr>
                <w:spacing w:val="8"/>
                <w:sz w:val="27"/>
                <w:szCs w:val="27"/>
              </w:rPr>
              <w:t>1 197 672</w:t>
            </w:r>
          </w:p>
        </w:tc>
        <w:tc>
          <w:tcPr>
            <w:tcW w:w="1336" w:type="dxa"/>
            <w:tcBorders/>
            <w:vAlign w:val="center"/>
          </w:tcPr>
          <w:p>
            <w:pPr>
              <w:pStyle w:val="Normal"/>
              <w:widowControl/>
              <w:ind w:left="57" w:hanging="0"/>
              <w:jc w:val="right"/>
              <w:rPr>
                <w:spacing w:val="8"/>
                <w:sz w:val="27"/>
                <w:szCs w:val="27"/>
              </w:rPr>
            </w:pPr>
            <w:r>
              <w:rPr>
                <w:spacing w:val="8"/>
                <w:sz w:val="27"/>
                <w:szCs w:val="27"/>
              </w:rPr>
              <w:t>1 884 221</w:t>
            </w:r>
          </w:p>
        </w:tc>
        <w:tc>
          <w:tcPr>
            <w:tcW w:w="1336" w:type="dxa"/>
            <w:tcBorders/>
            <w:vAlign w:val="center"/>
          </w:tcPr>
          <w:p>
            <w:pPr>
              <w:pStyle w:val="Normal"/>
              <w:widowControl/>
              <w:ind w:left="57" w:hanging="0"/>
              <w:jc w:val="right"/>
              <w:rPr>
                <w:spacing w:val="8"/>
                <w:sz w:val="27"/>
                <w:szCs w:val="27"/>
              </w:rPr>
            </w:pPr>
            <w:r>
              <w:rPr>
                <w:spacing w:val="8"/>
                <w:sz w:val="27"/>
                <w:szCs w:val="27"/>
              </w:rPr>
              <w:t>1 094 366</w:t>
            </w:r>
          </w:p>
        </w:tc>
      </w:tr>
      <w:tr>
        <w:trPr/>
        <w:tc>
          <w:tcPr>
            <w:tcW w:w="1204" w:type="dxa"/>
            <w:tcBorders/>
          </w:tcPr>
          <w:p>
            <w:pPr>
              <w:pStyle w:val="Normal"/>
              <w:widowControl/>
              <w:ind w:left="57" w:right="57" w:hanging="0"/>
              <w:rPr>
                <w:spacing w:val="20"/>
                <w:sz w:val="27"/>
                <w:szCs w:val="27"/>
              </w:rPr>
            </w:pPr>
            <w:r>
              <w:rPr>
                <w:spacing w:val="20"/>
                <w:sz w:val="27"/>
                <w:szCs w:val="27"/>
              </w:rPr>
              <w:t>深圳灣</w:t>
            </w:r>
          </w:p>
        </w:tc>
        <w:tc>
          <w:tcPr>
            <w:tcW w:w="1336" w:type="dxa"/>
            <w:tcBorders/>
            <w:vAlign w:val="center"/>
          </w:tcPr>
          <w:p>
            <w:pPr>
              <w:pStyle w:val="Normal"/>
              <w:widowControl/>
              <w:ind w:left="28" w:hanging="0"/>
              <w:jc w:val="right"/>
              <w:rPr>
                <w:spacing w:val="8"/>
                <w:sz w:val="27"/>
                <w:szCs w:val="27"/>
              </w:rPr>
            </w:pPr>
            <w:r>
              <w:rPr>
                <w:spacing w:val="8"/>
                <w:sz w:val="27"/>
                <w:szCs w:val="27"/>
              </w:rPr>
              <w:t>15 084 458</w:t>
            </w:r>
          </w:p>
        </w:tc>
        <w:tc>
          <w:tcPr>
            <w:tcW w:w="1337" w:type="dxa"/>
            <w:tcBorders/>
            <w:vAlign w:val="center"/>
          </w:tcPr>
          <w:p>
            <w:pPr>
              <w:pStyle w:val="Normal"/>
              <w:widowControl/>
              <w:ind w:left="28" w:hanging="0"/>
              <w:jc w:val="right"/>
              <w:rPr>
                <w:spacing w:val="8"/>
                <w:sz w:val="27"/>
                <w:szCs w:val="27"/>
              </w:rPr>
            </w:pPr>
            <w:r>
              <w:rPr>
                <w:spacing w:val="8"/>
                <w:sz w:val="27"/>
                <w:szCs w:val="27"/>
              </w:rPr>
              <w:t>14 477 203</w:t>
            </w:r>
          </w:p>
        </w:tc>
        <w:tc>
          <w:tcPr>
            <w:tcW w:w="1336" w:type="dxa"/>
            <w:tcBorders/>
            <w:vAlign w:val="center"/>
          </w:tcPr>
          <w:p>
            <w:pPr>
              <w:pStyle w:val="Normal"/>
              <w:widowControl/>
              <w:ind w:left="28" w:hanging="0"/>
              <w:jc w:val="right"/>
              <w:rPr>
                <w:spacing w:val="8"/>
                <w:sz w:val="27"/>
                <w:szCs w:val="27"/>
              </w:rPr>
            </w:pPr>
            <w:r>
              <w:rPr>
                <w:spacing w:val="8"/>
                <w:sz w:val="27"/>
                <w:szCs w:val="27"/>
              </w:rPr>
              <w:t>15 695 879</w:t>
            </w:r>
          </w:p>
        </w:tc>
        <w:tc>
          <w:tcPr>
            <w:tcW w:w="1337" w:type="dxa"/>
            <w:tcBorders/>
            <w:vAlign w:val="center"/>
          </w:tcPr>
          <w:p>
            <w:pPr>
              <w:pStyle w:val="Normal"/>
              <w:widowControl/>
              <w:ind w:left="28" w:hanging="0"/>
              <w:jc w:val="right"/>
              <w:rPr>
                <w:spacing w:val="8"/>
                <w:sz w:val="27"/>
                <w:szCs w:val="27"/>
              </w:rPr>
            </w:pPr>
            <w:r>
              <w:rPr>
                <w:spacing w:val="8"/>
                <w:sz w:val="27"/>
                <w:szCs w:val="27"/>
              </w:rPr>
              <w:t>17 820 591</w:t>
            </w:r>
          </w:p>
        </w:tc>
        <w:tc>
          <w:tcPr>
            <w:tcW w:w="1336" w:type="dxa"/>
            <w:tcBorders/>
            <w:vAlign w:val="center"/>
          </w:tcPr>
          <w:p>
            <w:pPr>
              <w:pStyle w:val="Normal"/>
              <w:widowControl/>
              <w:ind w:left="28" w:hanging="0"/>
              <w:jc w:val="right"/>
              <w:rPr>
                <w:spacing w:val="8"/>
                <w:sz w:val="27"/>
                <w:szCs w:val="27"/>
              </w:rPr>
            </w:pPr>
            <w:r>
              <w:rPr>
                <w:spacing w:val="8"/>
                <w:sz w:val="27"/>
                <w:szCs w:val="27"/>
              </w:rPr>
              <w:t>16 112 562</w:t>
            </w:r>
          </w:p>
        </w:tc>
        <w:tc>
          <w:tcPr>
            <w:tcW w:w="1336" w:type="dxa"/>
            <w:tcBorders/>
            <w:vAlign w:val="center"/>
          </w:tcPr>
          <w:p>
            <w:pPr>
              <w:pStyle w:val="Normal"/>
              <w:widowControl/>
              <w:ind w:left="28" w:hanging="0"/>
              <w:jc w:val="right"/>
              <w:rPr>
                <w:spacing w:val="8"/>
                <w:sz w:val="27"/>
                <w:szCs w:val="27"/>
              </w:rPr>
            </w:pPr>
            <w:r>
              <w:rPr>
                <w:spacing w:val="8"/>
                <w:sz w:val="27"/>
                <w:szCs w:val="27"/>
              </w:rPr>
              <w:t>18 988 962</w:t>
            </w:r>
          </w:p>
        </w:tc>
      </w:tr>
      <w:tr>
        <w:trPr/>
        <w:tc>
          <w:tcPr>
            <w:tcW w:w="1204" w:type="dxa"/>
            <w:tcBorders/>
          </w:tcPr>
          <w:p>
            <w:pPr>
              <w:pStyle w:val="Normal"/>
              <w:widowControl/>
              <w:ind w:left="57" w:right="57" w:hanging="0"/>
              <w:rPr>
                <w:spacing w:val="20"/>
                <w:sz w:val="27"/>
                <w:szCs w:val="27"/>
              </w:rPr>
            </w:pPr>
            <w:r>
              <w:rPr>
                <w:spacing w:val="20"/>
                <w:sz w:val="27"/>
                <w:szCs w:val="27"/>
              </w:rPr>
              <w:t>港澳客輪碼頭</w:t>
            </w:r>
          </w:p>
        </w:tc>
        <w:tc>
          <w:tcPr>
            <w:tcW w:w="1336" w:type="dxa"/>
            <w:tcBorders/>
            <w:vAlign w:val="center"/>
          </w:tcPr>
          <w:p>
            <w:pPr>
              <w:pStyle w:val="Normal"/>
              <w:widowControl/>
              <w:ind w:left="28" w:hanging="0"/>
              <w:jc w:val="right"/>
              <w:rPr>
                <w:spacing w:val="8"/>
                <w:sz w:val="27"/>
                <w:szCs w:val="27"/>
              </w:rPr>
            </w:pPr>
            <w:r>
              <w:rPr>
                <w:spacing w:val="8"/>
                <w:sz w:val="27"/>
                <w:szCs w:val="27"/>
              </w:rPr>
              <w:t>11 160 143</w:t>
            </w:r>
          </w:p>
        </w:tc>
        <w:tc>
          <w:tcPr>
            <w:tcW w:w="1337" w:type="dxa"/>
            <w:tcBorders/>
            <w:vAlign w:val="center"/>
          </w:tcPr>
          <w:p>
            <w:pPr>
              <w:pStyle w:val="Normal"/>
              <w:widowControl/>
              <w:ind w:left="57" w:hanging="0"/>
              <w:jc w:val="right"/>
              <w:rPr>
                <w:spacing w:val="8"/>
                <w:sz w:val="27"/>
                <w:szCs w:val="27"/>
              </w:rPr>
            </w:pPr>
            <w:r>
              <w:rPr>
                <w:spacing w:val="8"/>
                <w:sz w:val="27"/>
                <w:szCs w:val="27"/>
              </w:rPr>
              <w:t>6 762 706</w:t>
            </w:r>
          </w:p>
        </w:tc>
        <w:tc>
          <w:tcPr>
            <w:tcW w:w="1336" w:type="dxa"/>
            <w:tcBorders/>
            <w:vAlign w:val="center"/>
          </w:tcPr>
          <w:p>
            <w:pPr>
              <w:pStyle w:val="Normal"/>
              <w:widowControl/>
              <w:ind w:left="28" w:hanging="0"/>
              <w:jc w:val="right"/>
              <w:rPr>
                <w:spacing w:val="8"/>
                <w:sz w:val="27"/>
                <w:szCs w:val="27"/>
              </w:rPr>
            </w:pPr>
            <w:r>
              <w:rPr>
                <w:spacing w:val="8"/>
                <w:sz w:val="27"/>
                <w:szCs w:val="27"/>
              </w:rPr>
              <w:t>10 580 265</w:t>
            </w:r>
          </w:p>
        </w:tc>
        <w:tc>
          <w:tcPr>
            <w:tcW w:w="1337" w:type="dxa"/>
            <w:tcBorders/>
            <w:vAlign w:val="center"/>
          </w:tcPr>
          <w:p>
            <w:pPr>
              <w:pStyle w:val="Normal"/>
              <w:widowControl/>
              <w:ind w:left="57" w:hanging="0"/>
              <w:jc w:val="right"/>
              <w:rPr>
                <w:spacing w:val="8"/>
                <w:sz w:val="27"/>
                <w:szCs w:val="27"/>
              </w:rPr>
            </w:pPr>
            <w:r>
              <w:rPr>
                <w:spacing w:val="8"/>
                <w:sz w:val="27"/>
                <w:szCs w:val="27"/>
              </w:rPr>
              <w:t>7 087 755</w:t>
            </w:r>
          </w:p>
        </w:tc>
        <w:tc>
          <w:tcPr>
            <w:tcW w:w="1336" w:type="dxa"/>
            <w:tcBorders/>
            <w:vAlign w:val="center"/>
          </w:tcPr>
          <w:p>
            <w:pPr>
              <w:pStyle w:val="Normal"/>
              <w:widowControl/>
              <w:ind w:left="57" w:hanging="0"/>
              <w:jc w:val="right"/>
              <w:rPr>
                <w:spacing w:val="8"/>
                <w:sz w:val="27"/>
                <w:szCs w:val="27"/>
              </w:rPr>
            </w:pPr>
            <w:r>
              <w:rPr>
                <w:spacing w:val="8"/>
                <w:sz w:val="27"/>
                <w:szCs w:val="27"/>
              </w:rPr>
              <w:t>9 510 213</w:t>
            </w:r>
          </w:p>
        </w:tc>
        <w:tc>
          <w:tcPr>
            <w:tcW w:w="1336" w:type="dxa"/>
            <w:tcBorders/>
            <w:vAlign w:val="center"/>
          </w:tcPr>
          <w:p>
            <w:pPr>
              <w:pStyle w:val="Normal"/>
              <w:widowControl/>
              <w:ind w:left="57" w:hanging="0"/>
              <w:jc w:val="right"/>
              <w:rPr>
                <w:spacing w:val="8"/>
                <w:sz w:val="27"/>
                <w:szCs w:val="27"/>
              </w:rPr>
            </w:pPr>
            <w:r>
              <w:rPr>
                <w:spacing w:val="8"/>
                <w:sz w:val="27"/>
                <w:szCs w:val="27"/>
              </w:rPr>
              <w:t>6 659 740</w:t>
            </w:r>
          </w:p>
        </w:tc>
      </w:tr>
      <w:tr>
        <w:trPr/>
        <w:tc>
          <w:tcPr>
            <w:tcW w:w="1204" w:type="dxa"/>
            <w:tcBorders/>
          </w:tcPr>
          <w:p>
            <w:pPr>
              <w:pStyle w:val="Normal"/>
              <w:widowControl/>
              <w:ind w:left="57" w:right="57" w:hanging="0"/>
              <w:rPr>
                <w:spacing w:val="20"/>
                <w:sz w:val="27"/>
                <w:szCs w:val="27"/>
              </w:rPr>
            </w:pPr>
            <w:r>
              <w:rPr>
                <w:spacing w:val="20"/>
                <w:sz w:val="27"/>
                <w:szCs w:val="27"/>
              </w:rPr>
              <w:t>中國客運碼頭</w:t>
            </w:r>
          </w:p>
        </w:tc>
        <w:tc>
          <w:tcPr>
            <w:tcW w:w="1336" w:type="dxa"/>
            <w:tcBorders/>
            <w:vAlign w:val="center"/>
          </w:tcPr>
          <w:p>
            <w:pPr>
              <w:pStyle w:val="Normal"/>
              <w:widowControl/>
              <w:ind w:left="57" w:hanging="0"/>
              <w:jc w:val="right"/>
              <w:rPr>
                <w:spacing w:val="8"/>
                <w:sz w:val="27"/>
                <w:szCs w:val="27"/>
              </w:rPr>
            </w:pPr>
            <w:r>
              <w:rPr>
                <w:spacing w:val="8"/>
                <w:sz w:val="27"/>
                <w:szCs w:val="27"/>
              </w:rPr>
              <w:t>4 434 621</w:t>
            </w:r>
          </w:p>
        </w:tc>
        <w:tc>
          <w:tcPr>
            <w:tcW w:w="1337" w:type="dxa"/>
            <w:tcBorders/>
            <w:vAlign w:val="center"/>
          </w:tcPr>
          <w:p>
            <w:pPr>
              <w:pStyle w:val="Normal"/>
              <w:widowControl/>
              <w:ind w:left="57" w:hanging="0"/>
              <w:jc w:val="right"/>
              <w:rPr>
                <w:spacing w:val="8"/>
                <w:sz w:val="27"/>
                <w:szCs w:val="27"/>
              </w:rPr>
            </w:pPr>
            <w:r>
              <w:rPr>
                <w:spacing w:val="8"/>
                <w:sz w:val="27"/>
                <w:szCs w:val="27"/>
              </w:rPr>
              <w:t>4 439 196</w:t>
            </w:r>
          </w:p>
        </w:tc>
        <w:tc>
          <w:tcPr>
            <w:tcW w:w="1336" w:type="dxa"/>
            <w:tcBorders/>
            <w:vAlign w:val="center"/>
          </w:tcPr>
          <w:p>
            <w:pPr>
              <w:pStyle w:val="Normal"/>
              <w:widowControl/>
              <w:ind w:left="57" w:hanging="0"/>
              <w:jc w:val="right"/>
              <w:rPr>
                <w:spacing w:val="8"/>
                <w:sz w:val="27"/>
                <w:szCs w:val="27"/>
              </w:rPr>
            </w:pPr>
            <w:r>
              <w:rPr>
                <w:spacing w:val="8"/>
                <w:sz w:val="27"/>
                <w:szCs w:val="27"/>
              </w:rPr>
              <w:t>4 228 985</w:t>
            </w:r>
          </w:p>
        </w:tc>
        <w:tc>
          <w:tcPr>
            <w:tcW w:w="1337" w:type="dxa"/>
            <w:tcBorders/>
            <w:vAlign w:val="center"/>
          </w:tcPr>
          <w:p>
            <w:pPr>
              <w:pStyle w:val="Normal"/>
              <w:widowControl/>
              <w:ind w:left="57" w:hanging="0"/>
              <w:jc w:val="right"/>
              <w:rPr>
                <w:spacing w:val="8"/>
                <w:sz w:val="27"/>
                <w:szCs w:val="27"/>
              </w:rPr>
            </w:pPr>
            <w:r>
              <w:rPr>
                <w:spacing w:val="8"/>
                <w:sz w:val="27"/>
                <w:szCs w:val="27"/>
              </w:rPr>
              <w:t>5 036 351</w:t>
            </w:r>
          </w:p>
        </w:tc>
        <w:tc>
          <w:tcPr>
            <w:tcW w:w="1336" w:type="dxa"/>
            <w:tcBorders/>
            <w:vAlign w:val="center"/>
          </w:tcPr>
          <w:p>
            <w:pPr>
              <w:pStyle w:val="Normal"/>
              <w:widowControl/>
              <w:ind w:left="57" w:hanging="0"/>
              <w:jc w:val="right"/>
              <w:rPr>
                <w:spacing w:val="8"/>
                <w:sz w:val="27"/>
                <w:szCs w:val="27"/>
              </w:rPr>
            </w:pPr>
            <w:r>
              <w:rPr>
                <w:spacing w:val="8"/>
                <w:sz w:val="27"/>
                <w:szCs w:val="27"/>
              </w:rPr>
              <w:t>3 528 864</w:t>
            </w:r>
          </w:p>
        </w:tc>
        <w:tc>
          <w:tcPr>
            <w:tcW w:w="1336" w:type="dxa"/>
            <w:tcBorders/>
            <w:vAlign w:val="center"/>
          </w:tcPr>
          <w:p>
            <w:pPr>
              <w:pStyle w:val="Normal"/>
              <w:widowControl/>
              <w:ind w:left="57" w:hanging="0"/>
              <w:jc w:val="right"/>
              <w:rPr>
                <w:spacing w:val="8"/>
                <w:sz w:val="27"/>
                <w:szCs w:val="27"/>
              </w:rPr>
            </w:pPr>
            <w:r>
              <w:rPr>
                <w:spacing w:val="8"/>
                <w:sz w:val="27"/>
                <w:szCs w:val="27"/>
              </w:rPr>
              <w:t>4 818 606</w:t>
            </w:r>
          </w:p>
        </w:tc>
      </w:tr>
      <w:tr>
        <w:trPr/>
        <w:tc>
          <w:tcPr>
            <w:tcW w:w="1204" w:type="dxa"/>
            <w:tcBorders/>
          </w:tcPr>
          <w:p>
            <w:pPr>
              <w:pStyle w:val="Normal"/>
              <w:widowControl/>
              <w:ind w:left="57" w:right="57" w:hanging="0"/>
              <w:rPr>
                <w:spacing w:val="20"/>
                <w:sz w:val="27"/>
                <w:szCs w:val="27"/>
              </w:rPr>
            </w:pPr>
            <w:r>
              <w:rPr>
                <w:spacing w:val="20"/>
                <w:sz w:val="27"/>
                <w:szCs w:val="27"/>
              </w:rPr>
              <w:t>港口管制</w:t>
            </w:r>
            <w:r>
              <w:rPr>
                <w:spacing w:val="20"/>
                <w:sz w:val="27"/>
                <w:szCs w:val="27"/>
                <w:vertAlign w:val="superscript"/>
              </w:rPr>
              <w:t>(2)</w:t>
            </w:r>
          </w:p>
        </w:tc>
        <w:tc>
          <w:tcPr>
            <w:tcW w:w="1336" w:type="dxa"/>
            <w:tcBorders/>
            <w:vAlign w:val="center"/>
          </w:tcPr>
          <w:p>
            <w:pPr>
              <w:pStyle w:val="Normal"/>
              <w:widowControl/>
              <w:ind w:left="57" w:hanging="0"/>
              <w:jc w:val="right"/>
              <w:rPr>
                <w:spacing w:val="8"/>
                <w:sz w:val="27"/>
                <w:szCs w:val="27"/>
              </w:rPr>
            </w:pPr>
            <w:r>
              <w:rPr>
                <w:spacing w:val="8"/>
                <w:sz w:val="27"/>
                <w:szCs w:val="27"/>
              </w:rPr>
              <w:t>281 748</w:t>
            </w:r>
          </w:p>
        </w:tc>
        <w:tc>
          <w:tcPr>
            <w:tcW w:w="1337" w:type="dxa"/>
            <w:tcBorders/>
            <w:vAlign w:val="center"/>
          </w:tcPr>
          <w:p>
            <w:pPr>
              <w:pStyle w:val="Normal"/>
              <w:widowControl/>
              <w:ind w:left="57" w:hanging="0"/>
              <w:jc w:val="right"/>
              <w:rPr>
                <w:spacing w:val="8"/>
                <w:sz w:val="27"/>
                <w:szCs w:val="27"/>
              </w:rPr>
            </w:pPr>
            <w:r>
              <w:rPr>
                <w:spacing w:val="8"/>
                <w:sz w:val="27"/>
                <w:szCs w:val="27"/>
              </w:rPr>
              <w:t>478 189</w:t>
            </w:r>
          </w:p>
        </w:tc>
        <w:tc>
          <w:tcPr>
            <w:tcW w:w="1336" w:type="dxa"/>
            <w:tcBorders/>
            <w:vAlign w:val="center"/>
          </w:tcPr>
          <w:p>
            <w:pPr>
              <w:pStyle w:val="Normal"/>
              <w:widowControl/>
              <w:ind w:left="57" w:hanging="0"/>
              <w:jc w:val="right"/>
              <w:rPr>
                <w:spacing w:val="8"/>
                <w:sz w:val="27"/>
                <w:szCs w:val="27"/>
              </w:rPr>
            </w:pPr>
            <w:r>
              <w:rPr>
                <w:spacing w:val="8"/>
                <w:sz w:val="27"/>
                <w:szCs w:val="27"/>
              </w:rPr>
              <w:t>166 115</w:t>
            </w:r>
          </w:p>
        </w:tc>
        <w:tc>
          <w:tcPr>
            <w:tcW w:w="1337" w:type="dxa"/>
            <w:tcBorders/>
            <w:vAlign w:val="center"/>
          </w:tcPr>
          <w:p>
            <w:pPr>
              <w:pStyle w:val="Normal"/>
              <w:widowControl/>
              <w:ind w:left="57" w:hanging="0"/>
              <w:jc w:val="right"/>
              <w:rPr>
                <w:spacing w:val="8"/>
                <w:sz w:val="27"/>
                <w:szCs w:val="27"/>
              </w:rPr>
            </w:pPr>
            <w:r>
              <w:rPr>
                <w:spacing w:val="8"/>
                <w:sz w:val="27"/>
                <w:szCs w:val="27"/>
              </w:rPr>
              <w:t>241 261</w:t>
            </w:r>
          </w:p>
        </w:tc>
        <w:tc>
          <w:tcPr>
            <w:tcW w:w="1336" w:type="dxa"/>
            <w:tcBorders/>
            <w:vAlign w:val="center"/>
          </w:tcPr>
          <w:p>
            <w:pPr>
              <w:pStyle w:val="Normal"/>
              <w:widowControl/>
              <w:ind w:left="57" w:hanging="0"/>
              <w:jc w:val="right"/>
              <w:rPr>
                <w:spacing w:val="8"/>
                <w:sz w:val="27"/>
                <w:szCs w:val="27"/>
              </w:rPr>
            </w:pPr>
            <w:r>
              <w:rPr>
                <w:spacing w:val="8"/>
                <w:sz w:val="27"/>
                <w:szCs w:val="27"/>
              </w:rPr>
              <w:t>5 578</w:t>
            </w:r>
          </w:p>
        </w:tc>
        <w:tc>
          <w:tcPr>
            <w:tcW w:w="1336" w:type="dxa"/>
            <w:tcBorders/>
            <w:vAlign w:val="center"/>
          </w:tcPr>
          <w:p>
            <w:pPr>
              <w:pStyle w:val="Normal"/>
              <w:widowControl/>
              <w:ind w:left="57" w:hanging="0"/>
              <w:jc w:val="right"/>
              <w:rPr>
                <w:spacing w:val="8"/>
                <w:sz w:val="27"/>
                <w:szCs w:val="27"/>
              </w:rPr>
            </w:pPr>
            <w:r>
              <w:rPr>
                <w:spacing w:val="8"/>
                <w:sz w:val="27"/>
                <w:szCs w:val="27"/>
              </w:rPr>
              <w:t>48 373</w:t>
            </w:r>
          </w:p>
        </w:tc>
      </w:tr>
      <w:tr>
        <w:trPr/>
        <w:tc>
          <w:tcPr>
            <w:tcW w:w="1204" w:type="dxa"/>
            <w:tcBorders/>
          </w:tcPr>
          <w:p>
            <w:pPr>
              <w:pStyle w:val="Normal"/>
              <w:widowControl/>
              <w:ind w:left="57" w:hanging="0"/>
              <w:rPr>
                <w:spacing w:val="12"/>
                <w:sz w:val="27"/>
                <w:szCs w:val="27"/>
              </w:rPr>
            </w:pPr>
            <w:r>
              <w:rPr>
                <w:spacing w:val="12"/>
                <w:sz w:val="27"/>
                <w:szCs w:val="27"/>
              </w:rPr>
              <w:t>屯門客運碼頭</w:t>
            </w:r>
            <w:r>
              <w:rPr>
                <w:spacing w:val="12"/>
                <w:sz w:val="27"/>
                <w:szCs w:val="27"/>
                <w:vertAlign w:val="superscript"/>
              </w:rPr>
              <w:t>(3)</w:t>
            </w:r>
          </w:p>
        </w:tc>
        <w:tc>
          <w:tcPr>
            <w:tcW w:w="1336" w:type="dxa"/>
            <w:tcBorders/>
            <w:vAlign w:val="center"/>
          </w:tcPr>
          <w:p>
            <w:pPr>
              <w:pStyle w:val="Normal"/>
              <w:widowControl/>
              <w:ind w:left="57" w:hanging="0"/>
              <w:jc w:val="right"/>
              <w:rPr>
                <w:spacing w:val="8"/>
                <w:sz w:val="27"/>
                <w:szCs w:val="27"/>
              </w:rPr>
            </w:pPr>
            <w:r>
              <w:rPr>
                <w:spacing w:val="8"/>
                <w:sz w:val="27"/>
                <w:szCs w:val="27"/>
              </w:rPr>
              <w:t>105 251</w:t>
            </w:r>
          </w:p>
        </w:tc>
        <w:tc>
          <w:tcPr>
            <w:tcW w:w="1337" w:type="dxa"/>
            <w:tcBorders/>
            <w:vAlign w:val="center"/>
          </w:tcPr>
          <w:p>
            <w:pPr>
              <w:pStyle w:val="Normal"/>
              <w:widowControl/>
              <w:ind w:left="57" w:hanging="0"/>
              <w:jc w:val="right"/>
              <w:rPr>
                <w:spacing w:val="8"/>
                <w:sz w:val="27"/>
                <w:szCs w:val="27"/>
              </w:rPr>
            </w:pPr>
            <w:r>
              <w:rPr>
                <w:spacing w:val="8"/>
                <w:sz w:val="27"/>
                <w:szCs w:val="27"/>
              </w:rPr>
              <w:t>5 886</w:t>
            </w:r>
          </w:p>
        </w:tc>
        <w:tc>
          <w:tcPr>
            <w:tcW w:w="1336" w:type="dxa"/>
            <w:tcBorders/>
            <w:vAlign w:val="center"/>
          </w:tcPr>
          <w:p>
            <w:pPr>
              <w:pStyle w:val="Normal"/>
              <w:widowControl/>
              <w:ind w:left="57" w:hanging="0"/>
              <w:jc w:val="right"/>
              <w:rPr>
                <w:spacing w:val="8"/>
                <w:sz w:val="27"/>
                <w:szCs w:val="27"/>
              </w:rPr>
            </w:pPr>
            <w:r>
              <w:rPr>
                <w:spacing w:val="8"/>
                <w:sz w:val="27"/>
                <w:szCs w:val="27"/>
              </w:rPr>
              <w:t>0</w:t>
            </w:r>
          </w:p>
        </w:tc>
        <w:tc>
          <w:tcPr>
            <w:tcW w:w="1337" w:type="dxa"/>
            <w:tcBorders/>
            <w:vAlign w:val="center"/>
          </w:tcPr>
          <w:p>
            <w:pPr>
              <w:pStyle w:val="Normal"/>
              <w:widowControl/>
              <w:ind w:left="57" w:hanging="0"/>
              <w:jc w:val="right"/>
              <w:rPr>
                <w:spacing w:val="8"/>
                <w:sz w:val="27"/>
                <w:szCs w:val="27"/>
              </w:rPr>
            </w:pPr>
            <w:r>
              <w:rPr>
                <w:spacing w:val="8"/>
                <w:sz w:val="27"/>
                <w:szCs w:val="27"/>
              </w:rPr>
              <w:t>0</w:t>
            </w:r>
          </w:p>
        </w:tc>
        <w:tc>
          <w:tcPr>
            <w:tcW w:w="1336" w:type="dxa"/>
            <w:tcBorders/>
            <w:vAlign w:val="center"/>
          </w:tcPr>
          <w:p>
            <w:pPr>
              <w:pStyle w:val="Normal"/>
              <w:widowControl/>
              <w:ind w:left="57" w:hanging="0"/>
              <w:jc w:val="right"/>
              <w:rPr>
                <w:spacing w:val="8"/>
                <w:sz w:val="27"/>
                <w:szCs w:val="27"/>
              </w:rPr>
            </w:pPr>
            <w:r>
              <w:rPr>
                <w:spacing w:val="8"/>
                <w:sz w:val="27"/>
                <w:szCs w:val="27"/>
              </w:rPr>
              <w:t>0</w:t>
            </w:r>
          </w:p>
        </w:tc>
        <w:tc>
          <w:tcPr>
            <w:tcW w:w="1336" w:type="dxa"/>
            <w:tcBorders/>
            <w:vAlign w:val="center"/>
          </w:tcPr>
          <w:p>
            <w:pPr>
              <w:pStyle w:val="Normal"/>
              <w:widowControl/>
              <w:ind w:left="57" w:hanging="0"/>
              <w:jc w:val="right"/>
              <w:rPr>
                <w:spacing w:val="8"/>
                <w:sz w:val="27"/>
                <w:szCs w:val="27"/>
              </w:rPr>
            </w:pPr>
            <w:r>
              <w:rPr>
                <w:spacing w:val="8"/>
                <w:sz w:val="27"/>
                <w:szCs w:val="27"/>
              </w:rPr>
              <w:t>0</w:t>
            </w:r>
          </w:p>
        </w:tc>
      </w:tr>
      <w:tr>
        <w:trPr/>
        <w:tc>
          <w:tcPr>
            <w:tcW w:w="1204" w:type="dxa"/>
            <w:tcBorders/>
          </w:tcPr>
          <w:p>
            <w:pPr>
              <w:pStyle w:val="Normal"/>
              <w:widowControl/>
              <w:ind w:left="57" w:right="57" w:hanging="0"/>
              <w:rPr>
                <w:spacing w:val="20"/>
                <w:sz w:val="27"/>
                <w:szCs w:val="27"/>
              </w:rPr>
            </w:pPr>
            <w:r>
              <w:rPr>
                <w:spacing w:val="20"/>
                <w:sz w:val="27"/>
                <w:szCs w:val="27"/>
              </w:rPr>
              <w:t>內河碼頭</w:t>
            </w:r>
          </w:p>
        </w:tc>
        <w:tc>
          <w:tcPr>
            <w:tcW w:w="1336" w:type="dxa"/>
            <w:tcBorders/>
            <w:vAlign w:val="center"/>
          </w:tcPr>
          <w:p>
            <w:pPr>
              <w:pStyle w:val="Normal"/>
              <w:widowControl/>
              <w:ind w:left="57" w:hanging="0"/>
              <w:jc w:val="right"/>
              <w:rPr>
                <w:spacing w:val="8"/>
                <w:sz w:val="27"/>
                <w:szCs w:val="27"/>
              </w:rPr>
            </w:pPr>
            <w:r>
              <w:rPr>
                <w:spacing w:val="8"/>
                <w:sz w:val="27"/>
                <w:szCs w:val="27"/>
              </w:rPr>
              <w:t>19</w:t>
            </w:r>
          </w:p>
        </w:tc>
        <w:tc>
          <w:tcPr>
            <w:tcW w:w="1337" w:type="dxa"/>
            <w:tcBorders/>
            <w:vAlign w:val="center"/>
          </w:tcPr>
          <w:p>
            <w:pPr>
              <w:pStyle w:val="Normal"/>
              <w:widowControl/>
              <w:ind w:left="57" w:hanging="0"/>
              <w:jc w:val="right"/>
              <w:rPr>
                <w:spacing w:val="8"/>
                <w:sz w:val="27"/>
                <w:szCs w:val="27"/>
              </w:rPr>
            </w:pPr>
            <w:r>
              <w:rPr>
                <w:spacing w:val="8"/>
                <w:sz w:val="27"/>
                <w:szCs w:val="27"/>
              </w:rPr>
              <w:t>114</w:t>
            </w:r>
          </w:p>
        </w:tc>
        <w:tc>
          <w:tcPr>
            <w:tcW w:w="1336" w:type="dxa"/>
            <w:tcBorders/>
            <w:vAlign w:val="center"/>
          </w:tcPr>
          <w:p>
            <w:pPr>
              <w:pStyle w:val="Normal"/>
              <w:widowControl/>
              <w:ind w:left="57" w:hanging="0"/>
              <w:jc w:val="right"/>
              <w:rPr>
                <w:spacing w:val="8"/>
                <w:sz w:val="27"/>
                <w:szCs w:val="27"/>
              </w:rPr>
            </w:pPr>
            <w:r>
              <w:rPr>
                <w:spacing w:val="8"/>
                <w:sz w:val="27"/>
                <w:szCs w:val="27"/>
              </w:rPr>
              <w:t>13</w:t>
            </w:r>
          </w:p>
        </w:tc>
        <w:tc>
          <w:tcPr>
            <w:tcW w:w="1337" w:type="dxa"/>
            <w:tcBorders/>
            <w:vAlign w:val="center"/>
          </w:tcPr>
          <w:p>
            <w:pPr>
              <w:pStyle w:val="Normal"/>
              <w:widowControl/>
              <w:ind w:left="57" w:hanging="0"/>
              <w:jc w:val="right"/>
              <w:rPr>
                <w:spacing w:val="8"/>
                <w:sz w:val="27"/>
                <w:szCs w:val="27"/>
              </w:rPr>
            </w:pPr>
            <w:r>
              <w:rPr>
                <w:spacing w:val="8"/>
                <w:sz w:val="27"/>
                <w:szCs w:val="27"/>
              </w:rPr>
              <w:t>76</w:t>
            </w:r>
          </w:p>
        </w:tc>
        <w:tc>
          <w:tcPr>
            <w:tcW w:w="1336" w:type="dxa"/>
            <w:tcBorders/>
            <w:vAlign w:val="center"/>
          </w:tcPr>
          <w:p>
            <w:pPr>
              <w:pStyle w:val="Normal"/>
              <w:widowControl/>
              <w:ind w:left="57" w:hanging="0"/>
              <w:jc w:val="right"/>
              <w:rPr>
                <w:spacing w:val="8"/>
                <w:sz w:val="27"/>
                <w:szCs w:val="27"/>
              </w:rPr>
            </w:pPr>
            <w:r>
              <w:rPr>
                <w:spacing w:val="8"/>
                <w:sz w:val="27"/>
                <w:szCs w:val="27"/>
              </w:rPr>
              <w:t>21</w:t>
            </w:r>
          </w:p>
        </w:tc>
        <w:tc>
          <w:tcPr>
            <w:tcW w:w="1336" w:type="dxa"/>
            <w:tcBorders/>
            <w:vAlign w:val="center"/>
          </w:tcPr>
          <w:p>
            <w:pPr>
              <w:pStyle w:val="Normal"/>
              <w:widowControl/>
              <w:ind w:left="57" w:hanging="0"/>
              <w:jc w:val="right"/>
              <w:rPr>
                <w:spacing w:val="8"/>
                <w:sz w:val="27"/>
                <w:szCs w:val="27"/>
              </w:rPr>
            </w:pPr>
            <w:r>
              <w:rPr>
                <w:spacing w:val="8"/>
                <w:sz w:val="27"/>
                <w:szCs w:val="27"/>
              </w:rPr>
              <w:t>151</w:t>
            </w:r>
          </w:p>
        </w:tc>
      </w:tr>
      <w:tr>
        <w:trPr/>
        <w:tc>
          <w:tcPr>
            <w:tcW w:w="1204" w:type="dxa"/>
            <w:tcBorders/>
          </w:tcPr>
          <w:p>
            <w:pPr>
              <w:pStyle w:val="Normal"/>
              <w:widowControl/>
              <w:ind w:left="57" w:hanging="0"/>
              <w:rPr>
                <w:spacing w:val="12"/>
                <w:sz w:val="27"/>
                <w:szCs w:val="27"/>
              </w:rPr>
            </w:pPr>
            <w:r>
              <w:rPr>
                <w:spacing w:val="12"/>
                <w:sz w:val="27"/>
                <w:szCs w:val="27"/>
              </w:rPr>
              <w:t>啟德郵輪碼頭</w:t>
            </w:r>
            <w:r>
              <w:rPr>
                <w:spacing w:val="12"/>
                <w:sz w:val="27"/>
                <w:szCs w:val="27"/>
                <w:vertAlign w:val="superscript"/>
              </w:rPr>
              <w:t>(4)</w:t>
            </w:r>
          </w:p>
        </w:tc>
        <w:tc>
          <w:tcPr>
            <w:tcW w:w="1336" w:type="dxa"/>
            <w:tcBorders/>
            <w:vAlign w:val="center"/>
          </w:tcPr>
          <w:p>
            <w:pPr>
              <w:pStyle w:val="Normal"/>
              <w:widowControl/>
              <w:ind w:left="57" w:hanging="0"/>
              <w:jc w:val="right"/>
              <w:rPr>
                <w:spacing w:val="8"/>
                <w:sz w:val="27"/>
                <w:szCs w:val="27"/>
              </w:rPr>
            </w:pPr>
            <w:r>
              <w:rPr>
                <w:spacing w:val="8"/>
                <w:sz w:val="27"/>
                <w:szCs w:val="27"/>
              </w:rPr>
              <w:t>0</w:t>
            </w:r>
          </w:p>
        </w:tc>
        <w:tc>
          <w:tcPr>
            <w:tcW w:w="1337" w:type="dxa"/>
            <w:tcBorders/>
            <w:vAlign w:val="center"/>
          </w:tcPr>
          <w:p>
            <w:pPr>
              <w:pStyle w:val="Normal"/>
              <w:widowControl/>
              <w:ind w:left="57" w:hanging="0"/>
              <w:jc w:val="right"/>
              <w:rPr>
                <w:spacing w:val="8"/>
                <w:sz w:val="27"/>
                <w:szCs w:val="27"/>
              </w:rPr>
            </w:pPr>
            <w:r>
              <w:rPr>
                <w:spacing w:val="8"/>
                <w:sz w:val="27"/>
                <w:szCs w:val="27"/>
              </w:rPr>
              <w:t>0</w:t>
            </w:r>
          </w:p>
        </w:tc>
        <w:tc>
          <w:tcPr>
            <w:tcW w:w="1336" w:type="dxa"/>
            <w:tcBorders/>
            <w:vAlign w:val="center"/>
          </w:tcPr>
          <w:p>
            <w:pPr>
              <w:pStyle w:val="Normal"/>
              <w:widowControl/>
              <w:ind w:left="57" w:hanging="0"/>
              <w:jc w:val="right"/>
              <w:rPr>
                <w:spacing w:val="8"/>
                <w:sz w:val="27"/>
                <w:szCs w:val="27"/>
              </w:rPr>
            </w:pPr>
            <w:r>
              <w:rPr>
                <w:spacing w:val="8"/>
                <w:sz w:val="27"/>
                <w:szCs w:val="27"/>
              </w:rPr>
              <w:t>185 128</w:t>
            </w:r>
          </w:p>
        </w:tc>
        <w:tc>
          <w:tcPr>
            <w:tcW w:w="1337" w:type="dxa"/>
            <w:tcBorders/>
            <w:vAlign w:val="center"/>
          </w:tcPr>
          <w:p>
            <w:pPr>
              <w:pStyle w:val="Normal"/>
              <w:widowControl/>
              <w:ind w:left="57" w:hanging="0"/>
              <w:jc w:val="right"/>
              <w:rPr>
                <w:spacing w:val="8"/>
                <w:sz w:val="27"/>
                <w:szCs w:val="27"/>
              </w:rPr>
            </w:pPr>
            <w:r>
              <w:rPr>
                <w:spacing w:val="8"/>
                <w:sz w:val="27"/>
                <w:szCs w:val="27"/>
              </w:rPr>
              <w:t>319 516</w:t>
            </w:r>
          </w:p>
        </w:tc>
        <w:tc>
          <w:tcPr>
            <w:tcW w:w="1336" w:type="dxa"/>
            <w:tcBorders/>
            <w:vAlign w:val="center"/>
          </w:tcPr>
          <w:p>
            <w:pPr>
              <w:pStyle w:val="Normal"/>
              <w:widowControl/>
              <w:ind w:left="57" w:hanging="0"/>
              <w:jc w:val="right"/>
              <w:rPr>
                <w:spacing w:val="8"/>
                <w:sz w:val="27"/>
                <w:szCs w:val="27"/>
              </w:rPr>
            </w:pPr>
            <w:r>
              <w:rPr>
                <w:spacing w:val="8"/>
                <w:sz w:val="27"/>
                <w:szCs w:val="27"/>
              </w:rPr>
              <w:t>702 319</w:t>
            </w:r>
          </w:p>
        </w:tc>
        <w:tc>
          <w:tcPr>
            <w:tcW w:w="1336" w:type="dxa"/>
            <w:tcBorders/>
            <w:vAlign w:val="center"/>
          </w:tcPr>
          <w:p>
            <w:pPr>
              <w:pStyle w:val="Normal"/>
              <w:widowControl/>
              <w:ind w:left="57" w:hanging="0"/>
              <w:jc w:val="right"/>
              <w:rPr>
                <w:spacing w:val="8"/>
                <w:sz w:val="27"/>
                <w:szCs w:val="27"/>
              </w:rPr>
            </w:pPr>
            <w:r>
              <w:rPr>
                <w:spacing w:val="8"/>
                <w:sz w:val="27"/>
                <w:szCs w:val="27"/>
              </w:rPr>
              <w:t>692 804</w:t>
            </w:r>
          </w:p>
        </w:tc>
      </w:tr>
    </w:tbl>
    <w:p>
      <w:pPr>
        <w:pStyle w:val="Normal"/>
        <w:widowControl/>
        <w:snapToGrid w:val="false"/>
        <w:spacing w:lineRule="auto" w:line="240"/>
        <w:ind w:left="567" w:hanging="567"/>
        <w:rPr>
          <w:spacing w:val="20"/>
          <w:sz w:val="20"/>
          <w:szCs w:val="20"/>
        </w:rPr>
      </w:pPr>
      <w:r>
        <w:rPr>
          <w:spacing w:val="20"/>
          <w:sz w:val="20"/>
          <w:szCs w:val="20"/>
        </w:rPr>
      </w:r>
    </w:p>
    <w:p>
      <w:pPr>
        <w:pStyle w:val="Normal"/>
        <w:widowControl/>
        <w:snapToGrid w:val="false"/>
        <w:spacing w:lineRule="auto" w:line="240"/>
        <w:ind w:left="567" w:hanging="567"/>
        <w:rPr>
          <w:spacing w:val="20"/>
          <w:sz w:val="20"/>
        </w:rPr>
      </w:pPr>
      <w:r>
        <w:rPr>
          <w:spacing w:val="20"/>
          <w:sz w:val="20"/>
        </w:rPr>
        <w:t>註：</w:t>
      </w:r>
    </w:p>
    <w:p>
      <w:pPr>
        <w:pStyle w:val="Normal"/>
        <w:widowControl/>
        <w:snapToGrid w:val="false"/>
        <w:spacing w:lineRule="auto" w:line="240"/>
        <w:ind w:left="567" w:hanging="567"/>
        <w:rPr>
          <w:spacing w:val="20"/>
          <w:sz w:val="20"/>
        </w:rPr>
      </w:pPr>
      <w:r>
        <w:rPr>
          <w:spacing w:val="20"/>
          <w:sz w:val="20"/>
        </w:rPr>
      </w:r>
    </w:p>
    <w:p>
      <w:pPr>
        <w:pStyle w:val="Normal"/>
        <w:widowControl/>
        <w:snapToGrid w:val="false"/>
        <w:spacing w:lineRule="auto" w:line="240"/>
        <w:ind w:left="567" w:hanging="567"/>
        <w:rPr>
          <w:spacing w:val="20"/>
          <w:sz w:val="20"/>
        </w:rPr>
      </w:pPr>
      <w:r>
        <w:rPr>
          <w:spacing w:val="20"/>
          <w:sz w:val="20"/>
        </w:rPr>
        <w:t>(1)</w:t>
        <w:tab/>
      </w:r>
      <w:r>
        <w:rPr>
          <w:spacing w:val="20"/>
          <w:sz w:val="20"/>
        </w:rPr>
        <w:t>因應深圳文錦渡口岸旅檢區域的改建工程，文錦渡管制站由</w:t>
      </w:r>
      <w:r>
        <w:rPr>
          <w:spacing w:val="20"/>
          <w:sz w:val="20"/>
        </w:rPr>
        <w:t>2010</w:t>
      </w:r>
      <w:r>
        <w:rPr>
          <w:spacing w:val="20"/>
          <w:sz w:val="20"/>
        </w:rPr>
        <w:t>年</w:t>
      </w:r>
      <w:r>
        <w:rPr>
          <w:spacing w:val="20"/>
          <w:sz w:val="20"/>
        </w:rPr>
        <w:t>2</w:t>
      </w:r>
      <w:r>
        <w:rPr>
          <w:spacing w:val="20"/>
          <w:sz w:val="20"/>
        </w:rPr>
        <w:t>月</w:t>
      </w:r>
      <w:r>
        <w:rPr>
          <w:spacing w:val="20"/>
          <w:sz w:val="20"/>
        </w:rPr>
        <w:t>22</w:t>
      </w:r>
      <w:r>
        <w:rPr>
          <w:spacing w:val="20"/>
          <w:sz w:val="20"/>
        </w:rPr>
        <w:t>日起只容許貨車、跨境學童及有限度服務過境巴士用。隨着工程完成，文錦渡管制站在</w:t>
      </w:r>
      <w:r>
        <w:rPr>
          <w:spacing w:val="20"/>
          <w:sz w:val="20"/>
        </w:rPr>
        <w:t>2013</w:t>
      </w:r>
      <w:r>
        <w:rPr>
          <w:spacing w:val="20"/>
          <w:sz w:val="20"/>
        </w:rPr>
        <w:t>年</w:t>
      </w:r>
      <w:r>
        <w:rPr>
          <w:spacing w:val="20"/>
          <w:sz w:val="20"/>
        </w:rPr>
        <w:t>8</w:t>
      </w:r>
      <w:r>
        <w:rPr>
          <w:spacing w:val="20"/>
          <w:sz w:val="20"/>
        </w:rPr>
        <w:t>月</w:t>
      </w:r>
      <w:r>
        <w:rPr>
          <w:spacing w:val="20"/>
          <w:sz w:val="20"/>
        </w:rPr>
        <w:t>26</w:t>
      </w:r>
      <w:r>
        <w:rPr>
          <w:spacing w:val="20"/>
          <w:sz w:val="20"/>
        </w:rPr>
        <w:t>日重新全面啟用。</w:t>
      </w:r>
    </w:p>
    <w:p>
      <w:pPr>
        <w:pStyle w:val="Normal"/>
        <w:widowControl/>
        <w:snapToGrid w:val="false"/>
        <w:spacing w:lineRule="auto" w:line="240"/>
        <w:ind w:left="567" w:hanging="567"/>
        <w:rPr>
          <w:spacing w:val="20"/>
          <w:sz w:val="20"/>
        </w:rPr>
      </w:pPr>
      <w:r>
        <w:rPr>
          <w:spacing w:val="20"/>
          <w:sz w:val="20"/>
        </w:rPr>
      </w:r>
    </w:p>
    <w:p>
      <w:pPr>
        <w:pStyle w:val="Normal"/>
        <w:widowControl/>
        <w:snapToGrid w:val="false"/>
        <w:spacing w:lineRule="auto" w:line="240"/>
        <w:ind w:left="567" w:hanging="567"/>
        <w:rPr>
          <w:spacing w:val="20"/>
          <w:sz w:val="20"/>
        </w:rPr>
      </w:pPr>
      <w:r>
        <w:rPr>
          <w:spacing w:val="20"/>
          <w:sz w:val="20"/>
        </w:rPr>
        <w:t>(2)</w:t>
        <w:tab/>
        <w:t>2013</w:t>
      </w:r>
      <w:r>
        <w:rPr>
          <w:spacing w:val="20"/>
          <w:sz w:val="20"/>
        </w:rPr>
        <w:t>年</w:t>
      </w:r>
      <w:r>
        <w:rPr>
          <w:spacing w:val="20"/>
          <w:sz w:val="20"/>
        </w:rPr>
        <w:t>9</w:t>
      </w:r>
      <w:r>
        <w:rPr>
          <w:spacing w:val="20"/>
          <w:sz w:val="20"/>
        </w:rPr>
        <w:t>月</w:t>
      </w:r>
      <w:r>
        <w:rPr>
          <w:spacing w:val="20"/>
          <w:sz w:val="20"/>
        </w:rPr>
        <w:t>30</w:t>
      </w:r>
      <w:r>
        <w:rPr>
          <w:spacing w:val="20"/>
          <w:sz w:val="20"/>
        </w:rPr>
        <w:t>日前的數字包括乘坐郵輪的旅客。而由</w:t>
      </w:r>
      <w:r>
        <w:rPr>
          <w:spacing w:val="20"/>
          <w:sz w:val="20"/>
        </w:rPr>
        <w:t>2013</w:t>
      </w:r>
      <w:r>
        <w:rPr>
          <w:spacing w:val="20"/>
          <w:sz w:val="20"/>
        </w:rPr>
        <w:t>年</w:t>
      </w:r>
      <w:r>
        <w:rPr>
          <w:spacing w:val="20"/>
          <w:sz w:val="20"/>
        </w:rPr>
        <w:t>9</w:t>
      </w:r>
      <w:r>
        <w:rPr>
          <w:spacing w:val="20"/>
          <w:sz w:val="20"/>
        </w:rPr>
        <w:t>月</w:t>
      </w:r>
      <w:r>
        <w:rPr>
          <w:spacing w:val="20"/>
          <w:sz w:val="20"/>
        </w:rPr>
        <w:t>30</w:t>
      </w:r>
      <w:r>
        <w:rPr>
          <w:spacing w:val="20"/>
          <w:sz w:val="20"/>
        </w:rPr>
        <w:t>日開始，這些旅客的數字包括在啟德郵輪碼頭旅客數字內。</w:t>
      </w:r>
    </w:p>
    <w:p>
      <w:pPr>
        <w:pStyle w:val="Normal"/>
        <w:widowControl/>
        <w:snapToGrid w:val="false"/>
        <w:spacing w:lineRule="auto" w:line="240"/>
        <w:ind w:left="567" w:hanging="567"/>
        <w:rPr>
          <w:spacing w:val="20"/>
          <w:sz w:val="20"/>
        </w:rPr>
      </w:pPr>
      <w:r>
        <w:rPr>
          <w:spacing w:val="20"/>
          <w:sz w:val="20"/>
        </w:rPr>
      </w:r>
    </w:p>
    <w:p>
      <w:pPr>
        <w:pStyle w:val="Normal"/>
        <w:widowControl/>
        <w:snapToGrid w:val="false"/>
        <w:spacing w:lineRule="auto" w:line="240"/>
        <w:ind w:left="567" w:hanging="567"/>
        <w:rPr>
          <w:spacing w:val="20"/>
          <w:sz w:val="20"/>
        </w:rPr>
      </w:pPr>
      <w:r>
        <w:rPr>
          <w:spacing w:val="20"/>
          <w:sz w:val="20"/>
        </w:rPr>
        <w:t>(3)</w:t>
        <w:tab/>
      </w:r>
      <w:r>
        <w:rPr>
          <w:spacing w:val="20"/>
          <w:sz w:val="20"/>
        </w:rPr>
        <w:t>屯門客運碼頭自</w:t>
      </w:r>
      <w:r>
        <w:rPr>
          <w:spacing w:val="20"/>
          <w:sz w:val="20"/>
        </w:rPr>
        <w:t>2012</w:t>
      </w:r>
      <w:r>
        <w:rPr>
          <w:spacing w:val="20"/>
          <w:sz w:val="20"/>
        </w:rPr>
        <w:t>年</w:t>
      </w:r>
      <w:r>
        <w:rPr>
          <w:spacing w:val="20"/>
          <w:sz w:val="20"/>
        </w:rPr>
        <w:t>7</w:t>
      </w:r>
      <w:r>
        <w:rPr>
          <w:spacing w:val="20"/>
          <w:sz w:val="20"/>
        </w:rPr>
        <w:t>月</w:t>
      </w:r>
      <w:r>
        <w:rPr>
          <w:spacing w:val="20"/>
          <w:sz w:val="20"/>
        </w:rPr>
        <w:t>1</w:t>
      </w:r>
      <w:r>
        <w:rPr>
          <w:spacing w:val="20"/>
          <w:sz w:val="20"/>
        </w:rPr>
        <w:t>日起暫時停止服務。</w:t>
      </w:r>
    </w:p>
    <w:p>
      <w:pPr>
        <w:pStyle w:val="Normal"/>
        <w:widowControl/>
        <w:snapToGrid w:val="false"/>
        <w:spacing w:lineRule="auto" w:line="240"/>
        <w:ind w:left="567" w:hanging="567"/>
        <w:rPr>
          <w:spacing w:val="20"/>
          <w:sz w:val="20"/>
        </w:rPr>
      </w:pPr>
      <w:r>
        <w:rPr>
          <w:spacing w:val="20"/>
          <w:sz w:val="20"/>
        </w:rPr>
      </w:r>
    </w:p>
    <w:p>
      <w:pPr>
        <w:pStyle w:val="Normal"/>
        <w:widowControl/>
        <w:snapToGrid w:val="false"/>
        <w:spacing w:lineRule="auto" w:line="240"/>
        <w:ind w:left="567" w:hanging="567"/>
        <w:rPr>
          <w:spacing w:val="20"/>
          <w:sz w:val="20"/>
        </w:rPr>
      </w:pPr>
      <w:r>
        <w:rPr>
          <w:spacing w:val="20"/>
          <w:sz w:val="20"/>
        </w:rPr>
        <w:t>(4)</w:t>
        <w:tab/>
      </w:r>
      <w:r>
        <w:rPr>
          <w:spacing w:val="20"/>
          <w:sz w:val="20"/>
        </w:rPr>
        <w:t>啟德郵輪碼頭首個泊位在</w:t>
      </w:r>
      <w:r>
        <w:rPr>
          <w:spacing w:val="20"/>
          <w:sz w:val="20"/>
        </w:rPr>
        <w:t>2013</w:t>
      </w:r>
      <w:r>
        <w:rPr>
          <w:spacing w:val="20"/>
          <w:sz w:val="20"/>
        </w:rPr>
        <w:t>年</w:t>
      </w:r>
      <w:r>
        <w:rPr>
          <w:spacing w:val="20"/>
          <w:sz w:val="20"/>
        </w:rPr>
        <w:t>6</w:t>
      </w:r>
      <w:r>
        <w:rPr>
          <w:spacing w:val="20"/>
          <w:sz w:val="20"/>
        </w:rPr>
        <w:t>月落成啟用，第二個泊位在</w:t>
      </w:r>
      <w:r>
        <w:rPr>
          <w:spacing w:val="20"/>
          <w:sz w:val="20"/>
        </w:rPr>
        <w:t>2014</w:t>
      </w:r>
      <w:r>
        <w:rPr>
          <w:spacing w:val="20"/>
          <w:sz w:val="20"/>
        </w:rPr>
        <w:t>年</w:t>
      </w:r>
      <w:r>
        <w:rPr>
          <w:spacing w:val="20"/>
          <w:sz w:val="20"/>
        </w:rPr>
        <w:t>9</w:t>
      </w:r>
      <w:r>
        <w:rPr>
          <w:spacing w:val="20"/>
          <w:sz w:val="20"/>
        </w:rPr>
        <w:t>月投入服務。有關數字亦包括停泊在其他碇泊處的郵輪，以及每天定時進出公海並以香港為母港的郵輪上的出入境旅客。</w:t>
      </w:r>
      <w:r>
        <w:br w:type="page"/>
      </w:r>
    </w:p>
    <w:p>
      <w:pPr>
        <w:pStyle w:val="Normal"/>
        <w:widowControl/>
        <w:jc w:val="center"/>
        <w:rPr>
          <w:spacing w:val="20"/>
          <w:sz w:val="27"/>
          <w:szCs w:val="27"/>
        </w:rPr>
      </w:pPr>
      <w:r>
        <w:rPr>
          <w:spacing w:val="20"/>
          <w:sz w:val="27"/>
          <w:szCs w:val="27"/>
        </w:rPr>
        <w:t>附表三：經各管制站出入境的車量</w:t>
      </w:r>
    </w:p>
    <w:p>
      <w:pPr>
        <w:pStyle w:val="Normal"/>
        <w:widowControl/>
        <w:rPr>
          <w:spacing w:val="20"/>
          <w:sz w:val="27"/>
          <w:szCs w:val="27"/>
        </w:rPr>
      </w:pPr>
      <w:r>
        <w:rPr>
          <w:spacing w:val="20"/>
          <w:sz w:val="27"/>
          <w:szCs w:val="27"/>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368"/>
        <w:gridCol w:w="771"/>
        <w:gridCol w:w="657"/>
        <w:gridCol w:w="672"/>
        <w:gridCol w:w="812"/>
        <w:gridCol w:w="799"/>
        <w:gridCol w:w="671"/>
        <w:gridCol w:w="672"/>
        <w:gridCol w:w="797"/>
        <w:gridCol w:w="840"/>
        <w:gridCol w:w="658"/>
        <w:gridCol w:w="686"/>
        <w:gridCol w:w="819"/>
      </w:tblGrid>
      <w:tr>
        <w:trPr/>
        <w:tc>
          <w:tcPr>
            <w:tcW w:w="368" w:type="dxa"/>
            <w:vMerge w:val="restart"/>
            <w:tcBorders/>
            <w:vAlign w:val="center"/>
          </w:tcPr>
          <w:p>
            <w:pPr>
              <w:pStyle w:val="Normal"/>
              <w:widowControl/>
              <w:ind w:left="28" w:right="57" w:hanging="0"/>
              <w:jc w:val="center"/>
              <w:rPr>
                <w:i/>
                <w:i/>
                <w:sz w:val="22"/>
                <w:szCs w:val="22"/>
              </w:rPr>
            </w:pPr>
            <w:r>
              <w:rPr>
                <w:i/>
                <w:sz w:val="22"/>
                <w:szCs w:val="22"/>
              </w:rPr>
              <w:t>管制站</w:t>
            </w:r>
          </w:p>
        </w:tc>
        <w:tc>
          <w:tcPr>
            <w:tcW w:w="2912" w:type="dxa"/>
            <w:gridSpan w:val="4"/>
            <w:tcBorders/>
            <w:vAlign w:val="center"/>
          </w:tcPr>
          <w:p>
            <w:pPr>
              <w:pStyle w:val="Normal"/>
              <w:widowControl/>
              <w:ind w:left="28" w:hanging="0"/>
              <w:jc w:val="center"/>
              <w:rPr>
                <w:i/>
                <w:i/>
                <w:sz w:val="22"/>
                <w:szCs w:val="22"/>
              </w:rPr>
            </w:pPr>
            <w:r>
              <w:rPr>
                <w:i/>
                <w:sz w:val="22"/>
                <w:szCs w:val="22"/>
              </w:rPr>
              <w:t>2012-2013</w:t>
            </w:r>
            <w:r>
              <w:rPr>
                <w:i/>
                <w:sz w:val="22"/>
                <w:szCs w:val="22"/>
              </w:rPr>
              <w:t>年度</w:t>
            </w:r>
          </w:p>
          <w:p>
            <w:pPr>
              <w:pStyle w:val="Normal"/>
              <w:widowControl/>
              <w:ind w:left="28" w:hanging="0"/>
              <w:jc w:val="center"/>
              <w:rPr>
                <w:i/>
                <w:i/>
                <w:sz w:val="22"/>
                <w:szCs w:val="22"/>
              </w:rPr>
            </w:pPr>
            <w:r>
              <w:rPr>
                <w:i/>
                <w:sz w:val="22"/>
                <w:szCs w:val="22"/>
              </w:rPr>
              <w:t>(</w:t>
            </w:r>
            <w:r>
              <w:rPr>
                <w:i/>
                <w:sz w:val="22"/>
                <w:szCs w:val="22"/>
              </w:rPr>
              <w:t>出入境架次</w:t>
            </w:r>
            <w:r>
              <w:rPr>
                <w:i/>
                <w:sz w:val="22"/>
                <w:szCs w:val="22"/>
              </w:rPr>
              <w:t>)</w:t>
            </w:r>
          </w:p>
        </w:tc>
        <w:tc>
          <w:tcPr>
            <w:tcW w:w="2939" w:type="dxa"/>
            <w:gridSpan w:val="4"/>
            <w:tcBorders/>
            <w:vAlign w:val="center"/>
          </w:tcPr>
          <w:p>
            <w:pPr>
              <w:pStyle w:val="Normal"/>
              <w:widowControl/>
              <w:ind w:left="28" w:hanging="0"/>
              <w:jc w:val="center"/>
              <w:rPr>
                <w:i/>
                <w:i/>
                <w:sz w:val="22"/>
                <w:szCs w:val="22"/>
              </w:rPr>
            </w:pPr>
            <w:r>
              <w:rPr>
                <w:i/>
                <w:sz w:val="22"/>
                <w:szCs w:val="22"/>
              </w:rPr>
              <w:t>2013-2014</w:t>
            </w:r>
            <w:r>
              <w:rPr>
                <w:i/>
                <w:sz w:val="22"/>
                <w:szCs w:val="22"/>
              </w:rPr>
              <w:t>年度</w:t>
            </w:r>
          </w:p>
          <w:p>
            <w:pPr>
              <w:pStyle w:val="Normal"/>
              <w:widowControl/>
              <w:ind w:left="28" w:hanging="0"/>
              <w:jc w:val="center"/>
              <w:rPr>
                <w:i/>
                <w:i/>
                <w:sz w:val="22"/>
                <w:szCs w:val="22"/>
              </w:rPr>
            </w:pPr>
            <w:r>
              <w:rPr>
                <w:i/>
                <w:sz w:val="22"/>
                <w:szCs w:val="22"/>
              </w:rPr>
              <w:t>(</w:t>
            </w:r>
            <w:r>
              <w:rPr>
                <w:i/>
                <w:sz w:val="22"/>
                <w:szCs w:val="22"/>
              </w:rPr>
              <w:t>出入境架次</w:t>
            </w:r>
            <w:r>
              <w:rPr>
                <w:i/>
                <w:sz w:val="22"/>
                <w:szCs w:val="22"/>
              </w:rPr>
              <w:t>)</w:t>
            </w:r>
          </w:p>
        </w:tc>
        <w:tc>
          <w:tcPr>
            <w:tcW w:w="3003" w:type="dxa"/>
            <w:gridSpan w:val="4"/>
            <w:tcBorders/>
            <w:vAlign w:val="center"/>
          </w:tcPr>
          <w:p>
            <w:pPr>
              <w:pStyle w:val="Normal"/>
              <w:widowControl/>
              <w:ind w:left="28" w:hanging="0"/>
              <w:jc w:val="center"/>
              <w:rPr>
                <w:i/>
                <w:i/>
                <w:sz w:val="22"/>
                <w:szCs w:val="22"/>
              </w:rPr>
            </w:pPr>
            <w:r>
              <w:rPr>
                <w:i/>
                <w:sz w:val="22"/>
                <w:szCs w:val="22"/>
              </w:rPr>
              <w:t>2014-2015</w:t>
            </w:r>
            <w:r>
              <w:rPr>
                <w:i/>
                <w:sz w:val="22"/>
                <w:szCs w:val="22"/>
              </w:rPr>
              <w:t>年度</w:t>
            </w:r>
          </w:p>
          <w:p>
            <w:pPr>
              <w:pStyle w:val="Normal"/>
              <w:widowControl/>
              <w:ind w:left="28" w:hanging="0"/>
              <w:jc w:val="center"/>
              <w:rPr>
                <w:i/>
                <w:i/>
                <w:sz w:val="22"/>
                <w:szCs w:val="22"/>
              </w:rPr>
            </w:pPr>
            <w:r>
              <w:rPr>
                <w:i/>
                <w:sz w:val="22"/>
                <w:szCs w:val="22"/>
              </w:rPr>
              <w:t>(</w:t>
            </w:r>
            <w:r>
              <w:rPr>
                <w:i/>
                <w:sz w:val="22"/>
                <w:szCs w:val="22"/>
              </w:rPr>
              <w:t>截至</w:t>
            </w:r>
            <w:r>
              <w:rPr>
                <w:i/>
                <w:sz w:val="22"/>
                <w:szCs w:val="22"/>
              </w:rPr>
              <w:t>2015</w:t>
            </w:r>
            <w:r>
              <w:rPr>
                <w:i/>
                <w:sz w:val="22"/>
                <w:szCs w:val="22"/>
              </w:rPr>
              <w:t>年</w:t>
            </w:r>
            <w:r>
              <w:rPr>
                <w:i/>
                <w:sz w:val="22"/>
                <w:szCs w:val="22"/>
              </w:rPr>
              <w:t>2</w:t>
            </w:r>
            <w:r>
              <w:rPr>
                <w:i/>
                <w:sz w:val="22"/>
                <w:szCs w:val="22"/>
              </w:rPr>
              <w:t>月</w:t>
            </w:r>
            <w:r>
              <w:rPr>
                <w:i/>
                <w:sz w:val="22"/>
                <w:szCs w:val="22"/>
              </w:rPr>
              <w:t>)</w:t>
            </w:r>
          </w:p>
          <w:p>
            <w:pPr>
              <w:pStyle w:val="Normal"/>
              <w:widowControl/>
              <w:ind w:left="28" w:hanging="0"/>
              <w:jc w:val="center"/>
              <w:rPr>
                <w:i/>
                <w:i/>
                <w:sz w:val="22"/>
                <w:szCs w:val="22"/>
              </w:rPr>
            </w:pPr>
            <w:r>
              <w:rPr>
                <w:i/>
                <w:sz w:val="22"/>
                <w:szCs w:val="22"/>
              </w:rPr>
              <w:t>(</w:t>
            </w:r>
            <w:r>
              <w:rPr>
                <w:i/>
                <w:sz w:val="22"/>
                <w:szCs w:val="22"/>
              </w:rPr>
              <w:t>出入境架次</w:t>
            </w:r>
            <w:r>
              <w:rPr>
                <w:i/>
                <w:sz w:val="22"/>
                <w:szCs w:val="22"/>
              </w:rPr>
              <w:t>)</w:t>
            </w:r>
          </w:p>
        </w:tc>
      </w:tr>
      <w:tr>
        <w:trPr/>
        <w:tc>
          <w:tcPr>
            <w:tcW w:w="368" w:type="dxa"/>
            <w:vMerge w:val="continue"/>
            <w:tcBorders/>
            <w:vAlign w:val="center"/>
          </w:tcPr>
          <w:p>
            <w:pPr>
              <w:pStyle w:val="Normal"/>
              <w:widowControl/>
              <w:spacing w:lineRule="auto" w:line="240"/>
              <w:jc w:val="left"/>
              <w:rPr>
                <w:i/>
                <w:i/>
                <w:spacing w:val="20"/>
                <w:sz w:val="22"/>
                <w:szCs w:val="22"/>
              </w:rPr>
            </w:pPr>
            <w:r>
              <w:rPr>
                <w:i/>
                <w:spacing w:val="20"/>
                <w:sz w:val="22"/>
                <w:szCs w:val="22"/>
              </w:rPr>
            </w:r>
          </w:p>
        </w:tc>
        <w:tc>
          <w:tcPr>
            <w:tcW w:w="771" w:type="dxa"/>
            <w:tcBorders/>
            <w:vAlign w:val="center"/>
          </w:tcPr>
          <w:p>
            <w:pPr>
              <w:pStyle w:val="Normal"/>
              <w:widowControl/>
              <w:ind w:left="57" w:right="57" w:hanging="0"/>
              <w:jc w:val="center"/>
              <w:rPr>
                <w:i/>
                <w:i/>
                <w:spacing w:val="-4"/>
                <w:sz w:val="22"/>
                <w:szCs w:val="22"/>
              </w:rPr>
            </w:pPr>
            <w:r>
              <w:rPr>
                <w:i/>
                <w:spacing w:val="-4"/>
                <w:sz w:val="22"/>
                <w:szCs w:val="22"/>
              </w:rPr>
              <w:t>私家車</w:t>
            </w:r>
          </w:p>
        </w:tc>
        <w:tc>
          <w:tcPr>
            <w:tcW w:w="657" w:type="dxa"/>
            <w:tcBorders/>
            <w:vAlign w:val="center"/>
          </w:tcPr>
          <w:p>
            <w:pPr>
              <w:pStyle w:val="Normal"/>
              <w:widowControl/>
              <w:ind w:left="57" w:right="57" w:hanging="0"/>
              <w:jc w:val="center"/>
              <w:rPr>
                <w:i/>
                <w:i/>
                <w:sz w:val="22"/>
                <w:szCs w:val="22"/>
              </w:rPr>
            </w:pPr>
            <w:r>
              <w:rPr>
                <w:i/>
                <w:sz w:val="22"/>
                <w:szCs w:val="22"/>
              </w:rPr>
              <w:t>旅遊巴士</w:t>
            </w:r>
          </w:p>
        </w:tc>
        <w:tc>
          <w:tcPr>
            <w:tcW w:w="672" w:type="dxa"/>
            <w:tcBorders/>
            <w:vAlign w:val="center"/>
          </w:tcPr>
          <w:p>
            <w:pPr>
              <w:pStyle w:val="Normal"/>
              <w:widowControl/>
              <w:ind w:left="57" w:right="57" w:hanging="0"/>
              <w:jc w:val="center"/>
              <w:rPr>
                <w:i/>
                <w:i/>
                <w:sz w:val="22"/>
                <w:szCs w:val="22"/>
              </w:rPr>
            </w:pPr>
            <w:r>
              <w:rPr>
                <w:i/>
                <w:sz w:val="22"/>
                <w:szCs w:val="22"/>
              </w:rPr>
              <w:t>穿梭巴士</w:t>
            </w:r>
          </w:p>
        </w:tc>
        <w:tc>
          <w:tcPr>
            <w:tcW w:w="812" w:type="dxa"/>
            <w:tcBorders/>
            <w:vAlign w:val="center"/>
          </w:tcPr>
          <w:p>
            <w:pPr>
              <w:pStyle w:val="Normal"/>
              <w:widowControl/>
              <w:ind w:left="57" w:right="57" w:hanging="0"/>
              <w:jc w:val="center"/>
              <w:rPr>
                <w:i/>
                <w:i/>
                <w:sz w:val="22"/>
                <w:szCs w:val="22"/>
              </w:rPr>
            </w:pPr>
            <w:r>
              <w:rPr>
                <w:i/>
                <w:sz w:val="22"/>
                <w:szCs w:val="22"/>
              </w:rPr>
              <w:t>貨車及貨櫃車</w:t>
            </w:r>
          </w:p>
        </w:tc>
        <w:tc>
          <w:tcPr>
            <w:tcW w:w="799" w:type="dxa"/>
            <w:tcBorders/>
            <w:vAlign w:val="center"/>
          </w:tcPr>
          <w:p>
            <w:pPr>
              <w:pStyle w:val="Normal"/>
              <w:widowControl/>
              <w:ind w:left="57" w:right="57" w:hanging="0"/>
              <w:jc w:val="center"/>
              <w:rPr>
                <w:i/>
                <w:i/>
                <w:sz w:val="22"/>
                <w:szCs w:val="22"/>
              </w:rPr>
            </w:pPr>
            <w:r>
              <w:rPr>
                <w:i/>
                <w:sz w:val="22"/>
                <w:szCs w:val="22"/>
              </w:rPr>
              <w:t>私家車</w:t>
            </w:r>
          </w:p>
        </w:tc>
        <w:tc>
          <w:tcPr>
            <w:tcW w:w="671" w:type="dxa"/>
            <w:tcBorders/>
            <w:vAlign w:val="center"/>
          </w:tcPr>
          <w:p>
            <w:pPr>
              <w:pStyle w:val="Normal"/>
              <w:widowControl/>
              <w:ind w:left="57" w:right="57" w:hanging="0"/>
              <w:jc w:val="center"/>
              <w:rPr>
                <w:i/>
                <w:i/>
                <w:sz w:val="22"/>
                <w:szCs w:val="22"/>
              </w:rPr>
            </w:pPr>
            <w:r>
              <w:rPr>
                <w:i/>
                <w:sz w:val="22"/>
                <w:szCs w:val="22"/>
              </w:rPr>
              <w:t>旅遊巴士</w:t>
            </w:r>
          </w:p>
        </w:tc>
        <w:tc>
          <w:tcPr>
            <w:tcW w:w="672" w:type="dxa"/>
            <w:tcBorders/>
            <w:vAlign w:val="center"/>
          </w:tcPr>
          <w:p>
            <w:pPr>
              <w:pStyle w:val="Normal"/>
              <w:widowControl/>
              <w:ind w:left="57" w:right="57" w:hanging="0"/>
              <w:jc w:val="center"/>
              <w:rPr>
                <w:i/>
                <w:i/>
                <w:sz w:val="22"/>
                <w:szCs w:val="22"/>
              </w:rPr>
            </w:pPr>
            <w:r>
              <w:rPr>
                <w:i/>
                <w:sz w:val="22"/>
                <w:szCs w:val="22"/>
              </w:rPr>
              <w:t>穿梭巴士</w:t>
            </w:r>
          </w:p>
        </w:tc>
        <w:tc>
          <w:tcPr>
            <w:tcW w:w="797" w:type="dxa"/>
            <w:tcBorders/>
            <w:vAlign w:val="center"/>
          </w:tcPr>
          <w:p>
            <w:pPr>
              <w:pStyle w:val="Normal"/>
              <w:widowControl/>
              <w:ind w:left="57" w:right="57" w:hanging="0"/>
              <w:jc w:val="center"/>
              <w:rPr>
                <w:i/>
                <w:i/>
                <w:sz w:val="22"/>
                <w:szCs w:val="22"/>
              </w:rPr>
            </w:pPr>
            <w:r>
              <w:rPr>
                <w:i/>
                <w:sz w:val="22"/>
                <w:szCs w:val="22"/>
              </w:rPr>
              <w:t>貨車及貨櫃車</w:t>
            </w:r>
          </w:p>
        </w:tc>
        <w:tc>
          <w:tcPr>
            <w:tcW w:w="840" w:type="dxa"/>
            <w:tcBorders/>
            <w:vAlign w:val="center"/>
          </w:tcPr>
          <w:p>
            <w:pPr>
              <w:pStyle w:val="Normal"/>
              <w:widowControl/>
              <w:ind w:left="57" w:right="57" w:hanging="0"/>
              <w:jc w:val="center"/>
              <w:rPr>
                <w:i/>
                <w:i/>
                <w:sz w:val="22"/>
                <w:szCs w:val="22"/>
              </w:rPr>
            </w:pPr>
            <w:r>
              <w:rPr>
                <w:i/>
                <w:sz w:val="22"/>
                <w:szCs w:val="22"/>
              </w:rPr>
              <w:t>私家車</w:t>
            </w:r>
          </w:p>
        </w:tc>
        <w:tc>
          <w:tcPr>
            <w:tcW w:w="658" w:type="dxa"/>
            <w:tcBorders/>
            <w:vAlign w:val="center"/>
          </w:tcPr>
          <w:p>
            <w:pPr>
              <w:pStyle w:val="Normal"/>
              <w:widowControl/>
              <w:ind w:left="57" w:right="57" w:hanging="0"/>
              <w:jc w:val="center"/>
              <w:rPr>
                <w:i/>
                <w:i/>
                <w:sz w:val="22"/>
                <w:szCs w:val="22"/>
              </w:rPr>
            </w:pPr>
            <w:r>
              <w:rPr>
                <w:i/>
                <w:sz w:val="22"/>
                <w:szCs w:val="22"/>
              </w:rPr>
              <w:t>旅遊巴士</w:t>
            </w:r>
          </w:p>
        </w:tc>
        <w:tc>
          <w:tcPr>
            <w:tcW w:w="686" w:type="dxa"/>
            <w:tcBorders/>
            <w:vAlign w:val="center"/>
          </w:tcPr>
          <w:p>
            <w:pPr>
              <w:pStyle w:val="Normal"/>
              <w:widowControl/>
              <w:ind w:left="57" w:right="57" w:hanging="0"/>
              <w:jc w:val="center"/>
              <w:rPr>
                <w:i/>
                <w:i/>
                <w:sz w:val="22"/>
                <w:szCs w:val="22"/>
              </w:rPr>
            </w:pPr>
            <w:r>
              <w:rPr>
                <w:i/>
                <w:sz w:val="22"/>
                <w:szCs w:val="22"/>
              </w:rPr>
              <w:t>穿梭巴士</w:t>
            </w:r>
          </w:p>
        </w:tc>
        <w:tc>
          <w:tcPr>
            <w:tcW w:w="819" w:type="dxa"/>
            <w:tcBorders/>
            <w:vAlign w:val="center"/>
          </w:tcPr>
          <w:p>
            <w:pPr>
              <w:pStyle w:val="Normal"/>
              <w:widowControl/>
              <w:ind w:left="57" w:right="57" w:hanging="0"/>
              <w:jc w:val="center"/>
              <w:rPr>
                <w:i/>
                <w:i/>
                <w:sz w:val="22"/>
                <w:szCs w:val="22"/>
              </w:rPr>
            </w:pPr>
            <w:r>
              <w:rPr>
                <w:i/>
                <w:sz w:val="22"/>
                <w:szCs w:val="22"/>
              </w:rPr>
              <w:t>貨車及貨櫃車</w:t>
            </w:r>
          </w:p>
        </w:tc>
      </w:tr>
      <w:tr>
        <w:trPr/>
        <w:tc>
          <w:tcPr>
            <w:tcW w:w="368" w:type="dxa"/>
            <w:tcBorders/>
          </w:tcPr>
          <w:p>
            <w:pPr>
              <w:pStyle w:val="Normal"/>
              <w:widowControl/>
              <w:ind w:left="28" w:hanging="0"/>
              <w:jc w:val="center"/>
              <w:rPr>
                <w:sz w:val="22"/>
                <w:szCs w:val="22"/>
              </w:rPr>
            </w:pPr>
            <w:r>
              <w:rPr>
                <w:sz w:val="22"/>
                <w:szCs w:val="22"/>
              </w:rPr>
              <w:t>落馬洲</w:t>
            </w:r>
          </w:p>
        </w:tc>
        <w:tc>
          <w:tcPr>
            <w:tcW w:w="771" w:type="dxa"/>
            <w:tcBorders/>
          </w:tcPr>
          <w:p>
            <w:pPr>
              <w:pStyle w:val="Normal"/>
              <w:widowControl/>
              <w:ind w:left="28" w:hanging="0"/>
              <w:jc w:val="center"/>
              <w:rPr>
                <w:spacing w:val="-18"/>
                <w:sz w:val="22"/>
                <w:szCs w:val="22"/>
              </w:rPr>
            </w:pPr>
            <w:r>
              <w:rPr>
                <w:spacing w:val="-18"/>
                <w:sz w:val="22"/>
                <w:szCs w:val="22"/>
              </w:rPr>
              <w:t>3 537 494</w:t>
            </w:r>
          </w:p>
        </w:tc>
        <w:tc>
          <w:tcPr>
            <w:tcW w:w="657" w:type="dxa"/>
            <w:tcBorders/>
          </w:tcPr>
          <w:p>
            <w:pPr>
              <w:pStyle w:val="Normal"/>
              <w:widowControl/>
              <w:ind w:left="28" w:hanging="0"/>
              <w:jc w:val="center"/>
              <w:rPr>
                <w:spacing w:val="-14"/>
                <w:sz w:val="22"/>
                <w:szCs w:val="22"/>
              </w:rPr>
            </w:pPr>
            <w:r>
              <w:rPr>
                <w:spacing w:val="-14"/>
                <w:sz w:val="22"/>
                <w:szCs w:val="22"/>
              </w:rPr>
              <w:t>526 726</w:t>
            </w:r>
          </w:p>
        </w:tc>
        <w:tc>
          <w:tcPr>
            <w:tcW w:w="672" w:type="dxa"/>
            <w:tcBorders/>
          </w:tcPr>
          <w:p>
            <w:pPr>
              <w:pStyle w:val="Normal"/>
              <w:widowControl/>
              <w:ind w:left="28" w:hanging="0"/>
              <w:jc w:val="center"/>
              <w:rPr>
                <w:spacing w:val="-14"/>
                <w:sz w:val="22"/>
                <w:szCs w:val="22"/>
              </w:rPr>
            </w:pPr>
            <w:r>
              <w:rPr>
                <w:spacing w:val="-14"/>
                <w:sz w:val="22"/>
                <w:szCs w:val="22"/>
              </w:rPr>
              <w:t>295 747</w:t>
            </w:r>
          </w:p>
        </w:tc>
        <w:tc>
          <w:tcPr>
            <w:tcW w:w="812" w:type="dxa"/>
            <w:tcBorders/>
          </w:tcPr>
          <w:p>
            <w:pPr>
              <w:pStyle w:val="Normal"/>
              <w:widowControl/>
              <w:ind w:left="28" w:hanging="0"/>
              <w:jc w:val="center"/>
              <w:rPr>
                <w:spacing w:val="-14"/>
                <w:sz w:val="22"/>
                <w:szCs w:val="22"/>
              </w:rPr>
            </w:pPr>
            <w:r>
              <w:rPr>
                <w:spacing w:val="-14"/>
                <w:sz w:val="22"/>
                <w:szCs w:val="22"/>
              </w:rPr>
              <w:t>5 028 217</w:t>
            </w:r>
          </w:p>
        </w:tc>
        <w:tc>
          <w:tcPr>
            <w:tcW w:w="799" w:type="dxa"/>
            <w:tcBorders/>
          </w:tcPr>
          <w:p>
            <w:pPr>
              <w:pStyle w:val="Normal"/>
              <w:widowControl/>
              <w:ind w:left="28" w:hanging="0"/>
              <w:jc w:val="center"/>
              <w:rPr>
                <w:spacing w:val="-14"/>
                <w:sz w:val="22"/>
                <w:szCs w:val="22"/>
              </w:rPr>
            </w:pPr>
            <w:r>
              <w:rPr>
                <w:spacing w:val="-14"/>
                <w:sz w:val="22"/>
                <w:szCs w:val="22"/>
              </w:rPr>
              <w:t>3 432 037</w:t>
            </w:r>
          </w:p>
        </w:tc>
        <w:tc>
          <w:tcPr>
            <w:tcW w:w="671" w:type="dxa"/>
            <w:tcBorders/>
          </w:tcPr>
          <w:p>
            <w:pPr>
              <w:pStyle w:val="Normal"/>
              <w:widowControl/>
              <w:ind w:left="28" w:hanging="0"/>
              <w:jc w:val="center"/>
              <w:rPr>
                <w:spacing w:val="-14"/>
                <w:sz w:val="22"/>
                <w:szCs w:val="22"/>
              </w:rPr>
            </w:pPr>
            <w:r>
              <w:rPr>
                <w:spacing w:val="-14"/>
                <w:sz w:val="22"/>
                <w:szCs w:val="22"/>
              </w:rPr>
              <w:t>562 497</w:t>
            </w:r>
          </w:p>
        </w:tc>
        <w:tc>
          <w:tcPr>
            <w:tcW w:w="672" w:type="dxa"/>
            <w:tcBorders/>
          </w:tcPr>
          <w:p>
            <w:pPr>
              <w:pStyle w:val="Normal"/>
              <w:widowControl/>
              <w:ind w:left="28" w:hanging="0"/>
              <w:jc w:val="center"/>
              <w:rPr>
                <w:spacing w:val="-14"/>
                <w:sz w:val="22"/>
                <w:szCs w:val="22"/>
              </w:rPr>
            </w:pPr>
            <w:r>
              <w:rPr>
                <w:spacing w:val="-14"/>
                <w:sz w:val="22"/>
                <w:szCs w:val="22"/>
              </w:rPr>
              <w:t>259 489</w:t>
            </w:r>
          </w:p>
        </w:tc>
        <w:tc>
          <w:tcPr>
            <w:tcW w:w="797" w:type="dxa"/>
            <w:tcBorders/>
          </w:tcPr>
          <w:p>
            <w:pPr>
              <w:pStyle w:val="Normal"/>
              <w:widowControl/>
              <w:ind w:left="28" w:hanging="0"/>
              <w:jc w:val="center"/>
              <w:rPr>
                <w:spacing w:val="-14"/>
                <w:sz w:val="22"/>
                <w:szCs w:val="22"/>
              </w:rPr>
            </w:pPr>
            <w:r>
              <w:rPr>
                <w:spacing w:val="-14"/>
                <w:sz w:val="22"/>
                <w:szCs w:val="22"/>
              </w:rPr>
              <w:t>4 992 188</w:t>
            </w:r>
          </w:p>
        </w:tc>
        <w:tc>
          <w:tcPr>
            <w:tcW w:w="840" w:type="dxa"/>
            <w:tcBorders/>
          </w:tcPr>
          <w:p>
            <w:pPr>
              <w:pStyle w:val="Normal"/>
              <w:widowControl/>
              <w:ind w:left="28" w:hanging="0"/>
              <w:jc w:val="center"/>
              <w:rPr>
                <w:spacing w:val="-14"/>
                <w:sz w:val="22"/>
                <w:szCs w:val="22"/>
              </w:rPr>
            </w:pPr>
            <w:r>
              <w:rPr>
                <w:spacing w:val="-14"/>
                <w:sz w:val="22"/>
                <w:szCs w:val="22"/>
              </w:rPr>
              <w:t>3 185 283</w:t>
            </w:r>
          </w:p>
        </w:tc>
        <w:tc>
          <w:tcPr>
            <w:tcW w:w="658" w:type="dxa"/>
            <w:tcBorders/>
          </w:tcPr>
          <w:p>
            <w:pPr>
              <w:pStyle w:val="Normal"/>
              <w:widowControl/>
              <w:ind w:left="28" w:hanging="0"/>
              <w:jc w:val="center"/>
              <w:rPr>
                <w:spacing w:val="-14"/>
                <w:sz w:val="22"/>
                <w:szCs w:val="22"/>
              </w:rPr>
            </w:pPr>
            <w:r>
              <w:rPr>
                <w:spacing w:val="-14"/>
                <w:sz w:val="22"/>
                <w:szCs w:val="22"/>
              </w:rPr>
              <w:t>527 120</w:t>
            </w:r>
          </w:p>
        </w:tc>
        <w:tc>
          <w:tcPr>
            <w:tcW w:w="686" w:type="dxa"/>
            <w:tcBorders/>
          </w:tcPr>
          <w:p>
            <w:pPr>
              <w:pStyle w:val="Normal"/>
              <w:widowControl/>
              <w:ind w:left="28" w:hanging="0"/>
              <w:jc w:val="center"/>
              <w:rPr>
                <w:spacing w:val="-14"/>
                <w:sz w:val="22"/>
                <w:szCs w:val="22"/>
              </w:rPr>
            </w:pPr>
            <w:r>
              <w:rPr>
                <w:spacing w:val="-14"/>
                <w:sz w:val="22"/>
                <w:szCs w:val="22"/>
              </w:rPr>
              <w:t>228 561</w:t>
            </w:r>
          </w:p>
        </w:tc>
        <w:tc>
          <w:tcPr>
            <w:tcW w:w="819" w:type="dxa"/>
            <w:tcBorders/>
          </w:tcPr>
          <w:p>
            <w:pPr>
              <w:pStyle w:val="Normal"/>
              <w:widowControl/>
              <w:ind w:left="28" w:hanging="0"/>
              <w:jc w:val="center"/>
              <w:rPr>
                <w:spacing w:val="-14"/>
                <w:sz w:val="22"/>
                <w:szCs w:val="22"/>
              </w:rPr>
            </w:pPr>
            <w:r>
              <w:rPr>
                <w:spacing w:val="-14"/>
                <w:sz w:val="22"/>
                <w:szCs w:val="22"/>
              </w:rPr>
              <w:t>4 356 624</w:t>
            </w:r>
          </w:p>
        </w:tc>
      </w:tr>
      <w:tr>
        <w:trPr/>
        <w:tc>
          <w:tcPr>
            <w:tcW w:w="368" w:type="dxa"/>
            <w:tcBorders/>
          </w:tcPr>
          <w:p>
            <w:pPr>
              <w:pStyle w:val="Normal"/>
              <w:widowControl/>
              <w:ind w:left="-11" w:hanging="0"/>
              <w:jc w:val="center"/>
              <w:rPr>
                <w:spacing w:val="-12"/>
                <w:sz w:val="22"/>
                <w:szCs w:val="22"/>
              </w:rPr>
            </w:pPr>
            <w:r>
              <w:rPr>
                <w:spacing w:val="-12"/>
                <w:sz w:val="22"/>
                <w:szCs w:val="22"/>
              </w:rPr>
              <w:t>文錦渡</w:t>
            </w:r>
            <w:r>
              <w:rPr>
                <w:spacing w:val="-12"/>
                <w:sz w:val="22"/>
                <w:szCs w:val="22"/>
                <w:vertAlign w:val="superscript"/>
              </w:rPr>
              <w:t>(1)</w:t>
            </w:r>
          </w:p>
        </w:tc>
        <w:tc>
          <w:tcPr>
            <w:tcW w:w="771" w:type="dxa"/>
            <w:tcBorders/>
          </w:tcPr>
          <w:p>
            <w:pPr>
              <w:pStyle w:val="Normal"/>
              <w:widowControl/>
              <w:ind w:left="28" w:hanging="0"/>
              <w:jc w:val="center"/>
              <w:rPr>
                <w:spacing w:val="-14"/>
                <w:sz w:val="22"/>
                <w:szCs w:val="22"/>
              </w:rPr>
            </w:pPr>
            <w:r>
              <w:rPr>
                <w:spacing w:val="-14"/>
                <w:sz w:val="22"/>
                <w:szCs w:val="22"/>
              </w:rPr>
              <w:t>0</w:t>
            </w:r>
          </w:p>
        </w:tc>
        <w:tc>
          <w:tcPr>
            <w:tcW w:w="657" w:type="dxa"/>
            <w:tcBorders/>
          </w:tcPr>
          <w:p>
            <w:pPr>
              <w:pStyle w:val="Normal"/>
              <w:widowControl/>
              <w:ind w:left="28" w:hanging="0"/>
              <w:jc w:val="center"/>
              <w:rPr>
                <w:spacing w:val="-14"/>
                <w:sz w:val="22"/>
                <w:szCs w:val="22"/>
              </w:rPr>
            </w:pPr>
            <w:r>
              <w:rPr>
                <w:spacing w:val="-14"/>
                <w:sz w:val="22"/>
                <w:szCs w:val="22"/>
              </w:rPr>
              <w:t>8 610</w:t>
            </w:r>
          </w:p>
        </w:tc>
        <w:tc>
          <w:tcPr>
            <w:tcW w:w="672" w:type="dxa"/>
            <w:tcBorders/>
          </w:tcPr>
          <w:p>
            <w:pPr>
              <w:pStyle w:val="Normal"/>
              <w:widowControl/>
              <w:ind w:left="28" w:hanging="0"/>
              <w:jc w:val="center"/>
              <w:rPr>
                <w:spacing w:val="-14"/>
                <w:sz w:val="22"/>
                <w:szCs w:val="22"/>
              </w:rPr>
            </w:pPr>
            <w:r>
              <w:rPr>
                <w:spacing w:val="-14"/>
                <w:sz w:val="22"/>
                <w:szCs w:val="22"/>
              </w:rPr>
              <w:t>-</w:t>
            </w:r>
          </w:p>
        </w:tc>
        <w:tc>
          <w:tcPr>
            <w:tcW w:w="812" w:type="dxa"/>
            <w:tcBorders/>
          </w:tcPr>
          <w:p>
            <w:pPr>
              <w:pStyle w:val="Normal"/>
              <w:widowControl/>
              <w:ind w:left="28" w:hanging="0"/>
              <w:jc w:val="center"/>
              <w:rPr>
                <w:spacing w:val="-14"/>
                <w:sz w:val="22"/>
                <w:szCs w:val="22"/>
              </w:rPr>
            </w:pPr>
            <w:r>
              <w:rPr>
                <w:spacing w:val="-14"/>
                <w:sz w:val="22"/>
                <w:szCs w:val="22"/>
              </w:rPr>
              <w:t>1 518 264</w:t>
            </w:r>
          </w:p>
        </w:tc>
        <w:tc>
          <w:tcPr>
            <w:tcW w:w="799" w:type="dxa"/>
            <w:tcBorders/>
          </w:tcPr>
          <w:p>
            <w:pPr>
              <w:pStyle w:val="Normal"/>
              <w:widowControl/>
              <w:ind w:left="28" w:hanging="0"/>
              <w:jc w:val="center"/>
              <w:rPr>
                <w:spacing w:val="-14"/>
                <w:sz w:val="22"/>
                <w:szCs w:val="22"/>
              </w:rPr>
            </w:pPr>
            <w:r>
              <w:rPr>
                <w:spacing w:val="-14"/>
                <w:sz w:val="22"/>
                <w:szCs w:val="22"/>
              </w:rPr>
              <w:t>83 917</w:t>
            </w:r>
          </w:p>
        </w:tc>
        <w:tc>
          <w:tcPr>
            <w:tcW w:w="671" w:type="dxa"/>
            <w:tcBorders/>
          </w:tcPr>
          <w:p>
            <w:pPr>
              <w:pStyle w:val="Normal"/>
              <w:widowControl/>
              <w:ind w:left="28" w:hanging="0"/>
              <w:jc w:val="center"/>
              <w:rPr>
                <w:spacing w:val="-14"/>
                <w:sz w:val="22"/>
                <w:szCs w:val="22"/>
              </w:rPr>
            </w:pPr>
            <w:r>
              <w:rPr>
                <w:spacing w:val="-14"/>
                <w:sz w:val="22"/>
                <w:szCs w:val="22"/>
              </w:rPr>
              <w:t>55 337</w:t>
            </w:r>
          </w:p>
        </w:tc>
        <w:tc>
          <w:tcPr>
            <w:tcW w:w="672" w:type="dxa"/>
            <w:tcBorders/>
          </w:tcPr>
          <w:p>
            <w:pPr>
              <w:pStyle w:val="Normal"/>
              <w:widowControl w:val="false"/>
              <w:jc w:val="center"/>
              <w:rPr>
                <w:rFonts w:ascii="CG Times" w:hAnsi="CG Times"/>
                <w:kern w:val="2"/>
              </w:rPr>
            </w:pPr>
            <w:r>
              <w:rPr>
                <w:spacing w:val="-14"/>
                <w:sz w:val="22"/>
                <w:szCs w:val="22"/>
              </w:rPr>
              <w:t>-</w:t>
            </w:r>
          </w:p>
        </w:tc>
        <w:tc>
          <w:tcPr>
            <w:tcW w:w="797" w:type="dxa"/>
            <w:tcBorders/>
          </w:tcPr>
          <w:p>
            <w:pPr>
              <w:pStyle w:val="Normal"/>
              <w:widowControl/>
              <w:ind w:left="28" w:hanging="0"/>
              <w:jc w:val="center"/>
              <w:rPr>
                <w:spacing w:val="-14"/>
                <w:sz w:val="22"/>
                <w:szCs w:val="22"/>
              </w:rPr>
            </w:pPr>
            <w:r>
              <w:rPr>
                <w:spacing w:val="-14"/>
                <w:sz w:val="22"/>
                <w:szCs w:val="22"/>
              </w:rPr>
              <w:t>1 506 293</w:t>
            </w:r>
          </w:p>
        </w:tc>
        <w:tc>
          <w:tcPr>
            <w:tcW w:w="840" w:type="dxa"/>
            <w:tcBorders/>
          </w:tcPr>
          <w:p>
            <w:pPr>
              <w:pStyle w:val="Normal"/>
              <w:widowControl/>
              <w:ind w:left="28" w:hanging="0"/>
              <w:jc w:val="center"/>
              <w:rPr>
                <w:spacing w:val="-14"/>
                <w:sz w:val="22"/>
                <w:szCs w:val="22"/>
              </w:rPr>
            </w:pPr>
            <w:r>
              <w:rPr>
                <w:spacing w:val="-14"/>
                <w:sz w:val="22"/>
                <w:szCs w:val="22"/>
              </w:rPr>
              <w:t>168 425</w:t>
            </w:r>
          </w:p>
        </w:tc>
        <w:tc>
          <w:tcPr>
            <w:tcW w:w="658" w:type="dxa"/>
            <w:tcBorders/>
          </w:tcPr>
          <w:p>
            <w:pPr>
              <w:pStyle w:val="Normal"/>
              <w:widowControl/>
              <w:ind w:left="28" w:hanging="0"/>
              <w:jc w:val="center"/>
              <w:rPr>
                <w:spacing w:val="-14"/>
                <w:sz w:val="22"/>
                <w:szCs w:val="22"/>
              </w:rPr>
            </w:pPr>
            <w:r>
              <w:rPr>
                <w:spacing w:val="-14"/>
                <w:sz w:val="22"/>
                <w:szCs w:val="22"/>
              </w:rPr>
              <w:t>97 360</w:t>
            </w:r>
          </w:p>
        </w:tc>
        <w:tc>
          <w:tcPr>
            <w:tcW w:w="686" w:type="dxa"/>
            <w:tcBorders/>
          </w:tcPr>
          <w:p>
            <w:pPr>
              <w:pStyle w:val="Normal"/>
              <w:widowControl w:val="false"/>
              <w:jc w:val="center"/>
              <w:rPr>
                <w:rFonts w:ascii="CG Times" w:hAnsi="CG Times"/>
                <w:kern w:val="2"/>
              </w:rPr>
            </w:pPr>
            <w:r>
              <w:rPr>
                <w:spacing w:val="-14"/>
                <w:sz w:val="22"/>
                <w:szCs w:val="22"/>
              </w:rPr>
              <w:t>-</w:t>
            </w:r>
          </w:p>
        </w:tc>
        <w:tc>
          <w:tcPr>
            <w:tcW w:w="819" w:type="dxa"/>
            <w:tcBorders/>
          </w:tcPr>
          <w:p>
            <w:pPr>
              <w:pStyle w:val="Normal"/>
              <w:widowControl/>
              <w:ind w:left="28" w:hanging="0"/>
              <w:jc w:val="center"/>
              <w:rPr>
                <w:spacing w:val="-14"/>
                <w:sz w:val="22"/>
                <w:szCs w:val="22"/>
              </w:rPr>
            </w:pPr>
            <w:r>
              <w:rPr>
                <w:spacing w:val="-14"/>
                <w:sz w:val="22"/>
                <w:szCs w:val="22"/>
              </w:rPr>
              <w:t>1 344 304</w:t>
            </w:r>
          </w:p>
        </w:tc>
      </w:tr>
      <w:tr>
        <w:trPr/>
        <w:tc>
          <w:tcPr>
            <w:tcW w:w="368" w:type="dxa"/>
            <w:tcBorders/>
          </w:tcPr>
          <w:p>
            <w:pPr>
              <w:pStyle w:val="Normal"/>
              <w:widowControl/>
              <w:ind w:left="28" w:hanging="0"/>
              <w:jc w:val="center"/>
              <w:rPr>
                <w:sz w:val="22"/>
                <w:szCs w:val="22"/>
              </w:rPr>
            </w:pPr>
            <w:r>
              <w:rPr>
                <w:sz w:val="22"/>
                <w:szCs w:val="22"/>
              </w:rPr>
              <w:t>沙頭角</w:t>
            </w:r>
          </w:p>
        </w:tc>
        <w:tc>
          <w:tcPr>
            <w:tcW w:w="771" w:type="dxa"/>
            <w:tcBorders/>
          </w:tcPr>
          <w:p>
            <w:pPr>
              <w:pStyle w:val="Normal"/>
              <w:widowControl/>
              <w:ind w:left="28" w:hanging="0"/>
              <w:jc w:val="center"/>
              <w:rPr>
                <w:spacing w:val="-14"/>
                <w:sz w:val="22"/>
                <w:szCs w:val="22"/>
              </w:rPr>
            </w:pPr>
            <w:r>
              <w:rPr>
                <w:spacing w:val="-14"/>
                <w:sz w:val="22"/>
                <w:szCs w:val="22"/>
              </w:rPr>
              <w:t>466 850</w:t>
            </w:r>
          </w:p>
        </w:tc>
        <w:tc>
          <w:tcPr>
            <w:tcW w:w="657" w:type="dxa"/>
            <w:tcBorders/>
          </w:tcPr>
          <w:p>
            <w:pPr>
              <w:pStyle w:val="Normal"/>
              <w:widowControl/>
              <w:ind w:left="28" w:hanging="0"/>
              <w:jc w:val="center"/>
              <w:rPr>
                <w:spacing w:val="-14"/>
                <w:sz w:val="22"/>
                <w:szCs w:val="22"/>
              </w:rPr>
            </w:pPr>
            <w:r>
              <w:rPr>
                <w:spacing w:val="-14"/>
                <w:sz w:val="22"/>
                <w:szCs w:val="22"/>
              </w:rPr>
              <w:t>120 676</w:t>
            </w:r>
          </w:p>
        </w:tc>
        <w:tc>
          <w:tcPr>
            <w:tcW w:w="672" w:type="dxa"/>
            <w:tcBorders/>
          </w:tcPr>
          <w:p>
            <w:pPr>
              <w:pStyle w:val="Normal"/>
              <w:widowControl w:val="false"/>
              <w:jc w:val="center"/>
              <w:rPr>
                <w:rFonts w:ascii="CG Times" w:hAnsi="CG Times"/>
                <w:kern w:val="2"/>
              </w:rPr>
            </w:pPr>
            <w:r>
              <w:rPr>
                <w:spacing w:val="-14"/>
                <w:sz w:val="22"/>
                <w:szCs w:val="22"/>
              </w:rPr>
              <w:t>-</w:t>
            </w:r>
          </w:p>
        </w:tc>
        <w:tc>
          <w:tcPr>
            <w:tcW w:w="812" w:type="dxa"/>
            <w:tcBorders/>
          </w:tcPr>
          <w:p>
            <w:pPr>
              <w:pStyle w:val="Normal"/>
              <w:widowControl/>
              <w:ind w:left="28" w:hanging="0"/>
              <w:jc w:val="center"/>
              <w:rPr>
                <w:spacing w:val="-14"/>
                <w:sz w:val="22"/>
                <w:szCs w:val="22"/>
              </w:rPr>
            </w:pPr>
            <w:r>
              <w:rPr>
                <w:spacing w:val="-14"/>
                <w:sz w:val="22"/>
                <w:szCs w:val="22"/>
              </w:rPr>
              <w:t>320 616</w:t>
            </w:r>
          </w:p>
        </w:tc>
        <w:tc>
          <w:tcPr>
            <w:tcW w:w="799" w:type="dxa"/>
            <w:tcBorders/>
          </w:tcPr>
          <w:p>
            <w:pPr>
              <w:pStyle w:val="Normal"/>
              <w:widowControl/>
              <w:ind w:left="28" w:hanging="0"/>
              <w:jc w:val="center"/>
              <w:rPr>
                <w:spacing w:val="-14"/>
                <w:sz w:val="22"/>
                <w:szCs w:val="22"/>
              </w:rPr>
            </w:pPr>
            <w:r>
              <w:rPr>
                <w:spacing w:val="-14"/>
                <w:sz w:val="22"/>
                <w:szCs w:val="22"/>
              </w:rPr>
              <w:t>503 720</w:t>
            </w:r>
          </w:p>
        </w:tc>
        <w:tc>
          <w:tcPr>
            <w:tcW w:w="671" w:type="dxa"/>
            <w:tcBorders/>
          </w:tcPr>
          <w:p>
            <w:pPr>
              <w:pStyle w:val="Normal"/>
              <w:widowControl/>
              <w:ind w:left="28" w:hanging="0"/>
              <w:jc w:val="center"/>
              <w:rPr>
                <w:spacing w:val="-14"/>
                <w:sz w:val="22"/>
                <w:szCs w:val="22"/>
              </w:rPr>
            </w:pPr>
            <w:r>
              <w:rPr>
                <w:spacing w:val="-14"/>
                <w:sz w:val="22"/>
                <w:szCs w:val="22"/>
              </w:rPr>
              <w:t>112 863</w:t>
            </w:r>
          </w:p>
        </w:tc>
        <w:tc>
          <w:tcPr>
            <w:tcW w:w="672" w:type="dxa"/>
            <w:tcBorders/>
          </w:tcPr>
          <w:p>
            <w:pPr>
              <w:pStyle w:val="Normal"/>
              <w:widowControl w:val="false"/>
              <w:jc w:val="center"/>
              <w:rPr>
                <w:rFonts w:ascii="CG Times" w:hAnsi="CG Times"/>
                <w:kern w:val="2"/>
              </w:rPr>
            </w:pPr>
            <w:r>
              <w:rPr>
                <w:spacing w:val="-14"/>
                <w:sz w:val="22"/>
                <w:szCs w:val="22"/>
              </w:rPr>
              <w:t>-</w:t>
            </w:r>
          </w:p>
        </w:tc>
        <w:tc>
          <w:tcPr>
            <w:tcW w:w="797" w:type="dxa"/>
            <w:tcBorders/>
          </w:tcPr>
          <w:p>
            <w:pPr>
              <w:pStyle w:val="Normal"/>
              <w:widowControl/>
              <w:ind w:left="28" w:hanging="0"/>
              <w:jc w:val="center"/>
              <w:rPr>
                <w:spacing w:val="-14"/>
                <w:sz w:val="22"/>
                <w:szCs w:val="22"/>
              </w:rPr>
            </w:pPr>
            <w:r>
              <w:rPr>
                <w:spacing w:val="-14"/>
                <w:sz w:val="22"/>
                <w:szCs w:val="22"/>
              </w:rPr>
              <w:t>311 923</w:t>
            </w:r>
          </w:p>
        </w:tc>
        <w:tc>
          <w:tcPr>
            <w:tcW w:w="840" w:type="dxa"/>
            <w:tcBorders/>
          </w:tcPr>
          <w:p>
            <w:pPr>
              <w:pStyle w:val="Normal"/>
              <w:widowControl/>
              <w:ind w:left="28" w:hanging="0"/>
              <w:jc w:val="center"/>
              <w:rPr>
                <w:spacing w:val="-14"/>
                <w:sz w:val="22"/>
                <w:szCs w:val="22"/>
              </w:rPr>
            </w:pPr>
            <w:r>
              <w:rPr>
                <w:spacing w:val="-14"/>
                <w:sz w:val="22"/>
                <w:szCs w:val="22"/>
              </w:rPr>
              <w:t>379 156</w:t>
            </w:r>
          </w:p>
        </w:tc>
        <w:tc>
          <w:tcPr>
            <w:tcW w:w="658" w:type="dxa"/>
            <w:tcBorders/>
          </w:tcPr>
          <w:p>
            <w:pPr>
              <w:pStyle w:val="Normal"/>
              <w:widowControl/>
              <w:ind w:left="28" w:hanging="0"/>
              <w:jc w:val="center"/>
              <w:rPr>
                <w:spacing w:val="-14"/>
                <w:sz w:val="22"/>
                <w:szCs w:val="22"/>
              </w:rPr>
            </w:pPr>
            <w:r>
              <w:rPr>
                <w:spacing w:val="-14"/>
                <w:sz w:val="22"/>
                <w:szCs w:val="22"/>
              </w:rPr>
              <w:t>98 383</w:t>
            </w:r>
          </w:p>
        </w:tc>
        <w:tc>
          <w:tcPr>
            <w:tcW w:w="686" w:type="dxa"/>
            <w:tcBorders/>
          </w:tcPr>
          <w:p>
            <w:pPr>
              <w:pStyle w:val="Normal"/>
              <w:widowControl w:val="false"/>
              <w:jc w:val="center"/>
              <w:rPr>
                <w:rFonts w:ascii="CG Times" w:hAnsi="CG Times"/>
                <w:kern w:val="2"/>
              </w:rPr>
            </w:pPr>
            <w:r>
              <w:rPr>
                <w:spacing w:val="-14"/>
                <w:sz w:val="22"/>
                <w:szCs w:val="22"/>
              </w:rPr>
              <w:t>-</w:t>
            </w:r>
          </w:p>
        </w:tc>
        <w:tc>
          <w:tcPr>
            <w:tcW w:w="819" w:type="dxa"/>
            <w:tcBorders/>
          </w:tcPr>
          <w:p>
            <w:pPr>
              <w:pStyle w:val="Normal"/>
              <w:widowControl/>
              <w:ind w:left="28" w:hanging="0"/>
              <w:jc w:val="center"/>
              <w:rPr>
                <w:spacing w:val="-14"/>
                <w:sz w:val="22"/>
                <w:szCs w:val="22"/>
              </w:rPr>
            </w:pPr>
            <w:r>
              <w:rPr>
                <w:spacing w:val="-14"/>
                <w:sz w:val="22"/>
                <w:szCs w:val="22"/>
              </w:rPr>
              <w:t>258 540</w:t>
            </w:r>
          </w:p>
        </w:tc>
      </w:tr>
      <w:tr>
        <w:trPr/>
        <w:tc>
          <w:tcPr>
            <w:tcW w:w="368" w:type="dxa"/>
            <w:tcBorders/>
          </w:tcPr>
          <w:p>
            <w:pPr>
              <w:pStyle w:val="Normal"/>
              <w:widowControl/>
              <w:ind w:left="28" w:hanging="0"/>
              <w:jc w:val="center"/>
              <w:rPr>
                <w:sz w:val="22"/>
                <w:szCs w:val="22"/>
              </w:rPr>
            </w:pPr>
            <w:r>
              <w:rPr>
                <w:sz w:val="22"/>
                <w:szCs w:val="22"/>
              </w:rPr>
              <w:t>深圳灣</w:t>
            </w:r>
          </w:p>
        </w:tc>
        <w:tc>
          <w:tcPr>
            <w:tcW w:w="771" w:type="dxa"/>
            <w:tcBorders/>
          </w:tcPr>
          <w:p>
            <w:pPr>
              <w:pStyle w:val="Normal"/>
              <w:widowControl/>
              <w:ind w:left="28" w:hanging="0"/>
              <w:jc w:val="center"/>
              <w:rPr>
                <w:spacing w:val="-18"/>
                <w:sz w:val="22"/>
                <w:szCs w:val="22"/>
              </w:rPr>
            </w:pPr>
            <w:r>
              <w:rPr>
                <w:spacing w:val="-18"/>
                <w:sz w:val="22"/>
                <w:szCs w:val="22"/>
              </w:rPr>
              <w:t>2 550 256</w:t>
            </w:r>
          </w:p>
        </w:tc>
        <w:tc>
          <w:tcPr>
            <w:tcW w:w="657" w:type="dxa"/>
            <w:tcBorders/>
          </w:tcPr>
          <w:p>
            <w:pPr>
              <w:pStyle w:val="Normal"/>
              <w:widowControl/>
              <w:ind w:left="28" w:hanging="0"/>
              <w:jc w:val="center"/>
              <w:rPr>
                <w:spacing w:val="-14"/>
                <w:sz w:val="22"/>
                <w:szCs w:val="22"/>
              </w:rPr>
            </w:pPr>
            <w:r>
              <w:rPr>
                <w:spacing w:val="-14"/>
                <w:sz w:val="22"/>
                <w:szCs w:val="22"/>
              </w:rPr>
              <w:t>329 270</w:t>
            </w:r>
          </w:p>
        </w:tc>
        <w:tc>
          <w:tcPr>
            <w:tcW w:w="672" w:type="dxa"/>
            <w:tcBorders/>
          </w:tcPr>
          <w:p>
            <w:pPr>
              <w:pStyle w:val="Normal"/>
              <w:widowControl w:val="false"/>
              <w:jc w:val="center"/>
              <w:rPr>
                <w:rFonts w:ascii="CG Times" w:hAnsi="CG Times"/>
                <w:kern w:val="2"/>
              </w:rPr>
            </w:pPr>
            <w:r>
              <w:rPr>
                <w:spacing w:val="-14"/>
                <w:sz w:val="22"/>
                <w:szCs w:val="22"/>
              </w:rPr>
              <w:t>-</w:t>
            </w:r>
          </w:p>
        </w:tc>
        <w:tc>
          <w:tcPr>
            <w:tcW w:w="812" w:type="dxa"/>
            <w:tcBorders/>
          </w:tcPr>
          <w:p>
            <w:pPr>
              <w:pStyle w:val="Normal"/>
              <w:widowControl/>
              <w:ind w:left="28" w:hanging="0"/>
              <w:jc w:val="center"/>
              <w:rPr>
                <w:spacing w:val="-14"/>
                <w:sz w:val="22"/>
                <w:szCs w:val="22"/>
              </w:rPr>
            </w:pPr>
            <w:r>
              <w:rPr>
                <w:spacing w:val="-14"/>
                <w:sz w:val="22"/>
                <w:szCs w:val="22"/>
              </w:rPr>
              <w:t>774 637</w:t>
            </w:r>
          </w:p>
        </w:tc>
        <w:tc>
          <w:tcPr>
            <w:tcW w:w="799" w:type="dxa"/>
            <w:tcBorders/>
          </w:tcPr>
          <w:p>
            <w:pPr>
              <w:pStyle w:val="Normal"/>
              <w:widowControl/>
              <w:ind w:left="28" w:hanging="0"/>
              <w:jc w:val="center"/>
              <w:rPr>
                <w:spacing w:val="-14"/>
                <w:sz w:val="22"/>
                <w:szCs w:val="22"/>
              </w:rPr>
            </w:pPr>
            <w:r>
              <w:rPr>
                <w:spacing w:val="-14"/>
                <w:sz w:val="22"/>
                <w:szCs w:val="22"/>
              </w:rPr>
              <w:t>2 641 093</w:t>
            </w:r>
          </w:p>
        </w:tc>
        <w:tc>
          <w:tcPr>
            <w:tcW w:w="671" w:type="dxa"/>
            <w:tcBorders/>
          </w:tcPr>
          <w:p>
            <w:pPr>
              <w:pStyle w:val="Normal"/>
              <w:widowControl/>
              <w:ind w:left="28" w:hanging="0"/>
              <w:jc w:val="center"/>
              <w:rPr>
                <w:spacing w:val="-14"/>
                <w:sz w:val="22"/>
                <w:szCs w:val="22"/>
              </w:rPr>
            </w:pPr>
            <w:r>
              <w:rPr>
                <w:spacing w:val="-14"/>
                <w:sz w:val="22"/>
                <w:szCs w:val="22"/>
              </w:rPr>
              <w:t>370 316</w:t>
            </w:r>
          </w:p>
        </w:tc>
        <w:tc>
          <w:tcPr>
            <w:tcW w:w="672" w:type="dxa"/>
            <w:tcBorders/>
          </w:tcPr>
          <w:p>
            <w:pPr>
              <w:pStyle w:val="Normal"/>
              <w:widowControl w:val="false"/>
              <w:jc w:val="center"/>
              <w:rPr>
                <w:rFonts w:ascii="CG Times" w:hAnsi="CG Times"/>
                <w:kern w:val="2"/>
              </w:rPr>
            </w:pPr>
            <w:r>
              <w:rPr>
                <w:spacing w:val="-14"/>
                <w:sz w:val="22"/>
                <w:szCs w:val="22"/>
              </w:rPr>
              <w:t>-</w:t>
            </w:r>
          </w:p>
        </w:tc>
        <w:tc>
          <w:tcPr>
            <w:tcW w:w="797" w:type="dxa"/>
            <w:tcBorders/>
          </w:tcPr>
          <w:p>
            <w:pPr>
              <w:pStyle w:val="Normal"/>
              <w:widowControl/>
              <w:ind w:left="28" w:hanging="0"/>
              <w:jc w:val="center"/>
              <w:rPr>
                <w:spacing w:val="-14"/>
                <w:sz w:val="22"/>
                <w:szCs w:val="22"/>
              </w:rPr>
            </w:pPr>
            <w:r>
              <w:rPr>
                <w:spacing w:val="-14"/>
                <w:sz w:val="22"/>
                <w:szCs w:val="22"/>
              </w:rPr>
              <w:t>682 604</w:t>
            </w:r>
          </w:p>
        </w:tc>
        <w:tc>
          <w:tcPr>
            <w:tcW w:w="840" w:type="dxa"/>
            <w:tcBorders/>
          </w:tcPr>
          <w:p>
            <w:pPr>
              <w:pStyle w:val="Normal"/>
              <w:widowControl/>
              <w:ind w:left="28" w:hanging="0"/>
              <w:jc w:val="center"/>
              <w:rPr>
                <w:spacing w:val="-14"/>
                <w:sz w:val="22"/>
                <w:szCs w:val="22"/>
              </w:rPr>
            </w:pPr>
            <w:r>
              <w:rPr>
                <w:spacing w:val="-14"/>
                <w:sz w:val="22"/>
                <w:szCs w:val="22"/>
              </w:rPr>
              <w:t>2 325 091</w:t>
            </w:r>
          </w:p>
        </w:tc>
        <w:tc>
          <w:tcPr>
            <w:tcW w:w="658" w:type="dxa"/>
            <w:tcBorders/>
          </w:tcPr>
          <w:p>
            <w:pPr>
              <w:pStyle w:val="Normal"/>
              <w:widowControl/>
              <w:ind w:left="28" w:hanging="0"/>
              <w:jc w:val="center"/>
              <w:rPr>
                <w:spacing w:val="-14"/>
                <w:sz w:val="22"/>
                <w:szCs w:val="22"/>
              </w:rPr>
            </w:pPr>
            <w:r>
              <w:rPr>
                <w:spacing w:val="-14"/>
                <w:sz w:val="22"/>
                <w:szCs w:val="22"/>
              </w:rPr>
              <w:t>341 000</w:t>
            </w:r>
          </w:p>
        </w:tc>
        <w:tc>
          <w:tcPr>
            <w:tcW w:w="686" w:type="dxa"/>
            <w:tcBorders/>
          </w:tcPr>
          <w:p>
            <w:pPr>
              <w:pStyle w:val="Normal"/>
              <w:widowControl w:val="false"/>
              <w:jc w:val="center"/>
              <w:rPr>
                <w:rFonts w:ascii="CG Times" w:hAnsi="CG Times"/>
                <w:kern w:val="2"/>
              </w:rPr>
            </w:pPr>
            <w:r>
              <w:rPr>
                <w:spacing w:val="-14"/>
                <w:sz w:val="22"/>
                <w:szCs w:val="22"/>
              </w:rPr>
              <w:t>-</w:t>
            </w:r>
          </w:p>
        </w:tc>
        <w:tc>
          <w:tcPr>
            <w:tcW w:w="819" w:type="dxa"/>
            <w:tcBorders/>
          </w:tcPr>
          <w:p>
            <w:pPr>
              <w:pStyle w:val="Normal"/>
              <w:widowControl/>
              <w:ind w:left="28" w:hanging="0"/>
              <w:jc w:val="center"/>
              <w:rPr>
                <w:spacing w:val="-14"/>
                <w:sz w:val="22"/>
                <w:szCs w:val="22"/>
              </w:rPr>
            </w:pPr>
            <w:r>
              <w:rPr>
                <w:spacing w:val="-14"/>
                <w:sz w:val="22"/>
                <w:szCs w:val="22"/>
              </w:rPr>
              <w:t>614 840</w:t>
            </w:r>
          </w:p>
        </w:tc>
      </w:tr>
    </w:tbl>
    <w:p>
      <w:pPr>
        <w:pStyle w:val="Normal"/>
        <w:widowControl/>
        <w:snapToGrid w:val="false"/>
        <w:spacing w:lineRule="auto" w:line="240"/>
        <w:ind w:left="567" w:hanging="567"/>
        <w:rPr>
          <w:spacing w:val="20"/>
          <w:sz w:val="20"/>
          <w:szCs w:val="20"/>
        </w:rPr>
      </w:pPr>
      <w:r>
        <w:rPr>
          <w:spacing w:val="20"/>
          <w:sz w:val="20"/>
          <w:szCs w:val="20"/>
        </w:rPr>
      </w:r>
    </w:p>
    <w:p>
      <w:pPr>
        <w:pStyle w:val="Normal"/>
        <w:widowControl/>
        <w:snapToGrid w:val="false"/>
        <w:spacing w:lineRule="auto" w:line="240"/>
        <w:ind w:left="567" w:hanging="567"/>
        <w:rPr>
          <w:spacing w:val="20"/>
          <w:sz w:val="20"/>
        </w:rPr>
      </w:pPr>
      <w:r>
        <w:rPr>
          <w:spacing w:val="20"/>
          <w:sz w:val="20"/>
        </w:rPr>
        <w:t>註：</w:t>
      </w:r>
    </w:p>
    <w:p>
      <w:pPr>
        <w:pStyle w:val="Normal"/>
        <w:widowControl/>
        <w:snapToGrid w:val="false"/>
        <w:spacing w:lineRule="auto" w:line="240"/>
        <w:ind w:left="567" w:hanging="567"/>
        <w:rPr>
          <w:spacing w:val="20"/>
          <w:sz w:val="20"/>
        </w:rPr>
      </w:pPr>
      <w:r>
        <w:rPr>
          <w:spacing w:val="20"/>
          <w:sz w:val="20"/>
        </w:rPr>
      </w:r>
    </w:p>
    <w:p>
      <w:pPr>
        <w:pStyle w:val="Normal"/>
        <w:widowControl/>
        <w:snapToGrid w:val="false"/>
        <w:spacing w:lineRule="auto" w:line="240"/>
        <w:ind w:left="567" w:hanging="567"/>
        <w:rPr>
          <w:spacing w:val="20"/>
          <w:sz w:val="20"/>
        </w:rPr>
      </w:pPr>
      <w:r>
        <w:rPr>
          <w:spacing w:val="20"/>
          <w:sz w:val="20"/>
        </w:rPr>
        <w:t>(1)</w:t>
        <w:tab/>
      </w:r>
      <w:r>
        <w:rPr>
          <w:spacing w:val="20"/>
          <w:sz w:val="20"/>
        </w:rPr>
        <w:t>因應深圳文錦渡口岸旅檢區域的改建工程，文錦渡管制站由</w:t>
      </w:r>
      <w:r>
        <w:rPr>
          <w:spacing w:val="20"/>
          <w:sz w:val="20"/>
        </w:rPr>
        <w:t>2010</w:t>
      </w:r>
      <w:r>
        <w:rPr>
          <w:spacing w:val="20"/>
          <w:sz w:val="20"/>
        </w:rPr>
        <w:t>年</w:t>
      </w:r>
      <w:r>
        <w:rPr>
          <w:spacing w:val="20"/>
          <w:sz w:val="20"/>
        </w:rPr>
        <w:t>2</w:t>
      </w:r>
      <w:r>
        <w:rPr>
          <w:spacing w:val="20"/>
          <w:sz w:val="20"/>
        </w:rPr>
        <w:t>月</w:t>
      </w:r>
      <w:r>
        <w:rPr>
          <w:spacing w:val="20"/>
          <w:sz w:val="20"/>
        </w:rPr>
        <w:t>22</w:t>
      </w:r>
      <w:r>
        <w:rPr>
          <w:spacing w:val="20"/>
          <w:sz w:val="20"/>
        </w:rPr>
        <w:t>日起只容許貨車、跨境學童及有限度服務過境巴士用。隨着工程完成，文錦渡管制站在</w:t>
      </w:r>
      <w:r>
        <w:rPr>
          <w:spacing w:val="20"/>
          <w:sz w:val="20"/>
        </w:rPr>
        <w:t>2013</w:t>
      </w:r>
      <w:r>
        <w:rPr>
          <w:spacing w:val="20"/>
          <w:sz w:val="20"/>
        </w:rPr>
        <w:t>年</w:t>
      </w:r>
      <w:r>
        <w:rPr>
          <w:spacing w:val="20"/>
          <w:sz w:val="20"/>
        </w:rPr>
        <w:t>8</w:t>
      </w:r>
      <w:r>
        <w:rPr>
          <w:spacing w:val="20"/>
          <w:sz w:val="20"/>
        </w:rPr>
        <w:t>月</w:t>
      </w:r>
      <w:r>
        <w:rPr>
          <w:spacing w:val="20"/>
          <w:sz w:val="20"/>
        </w:rPr>
        <w:t>26</w:t>
      </w:r>
      <w:r>
        <w:rPr>
          <w:spacing w:val="20"/>
          <w:sz w:val="20"/>
        </w:rPr>
        <w:t>日重新全面啟用。</w:t>
      </w:r>
    </w:p>
    <w:p>
      <w:pPr>
        <w:pStyle w:val="Normal"/>
        <w:widowControl/>
        <w:spacing w:lineRule="atLeast" w:line="350"/>
        <w:rPr>
          <w:spacing w:val="20"/>
          <w:sz w:val="27"/>
          <w:szCs w:val="27"/>
        </w:rPr>
      </w:pPr>
      <w:r>
        <w:rPr>
          <w:spacing w:val="20"/>
          <w:sz w:val="27"/>
          <w:szCs w:val="27"/>
        </w:rPr>
      </w:r>
    </w:p>
    <w:p>
      <w:pPr>
        <w:pStyle w:val="Normal"/>
        <w:widowControl/>
        <w:spacing w:lineRule="atLeast" w:line="350"/>
        <w:rPr>
          <w:spacing w:val="20"/>
          <w:sz w:val="27"/>
          <w:szCs w:val="27"/>
        </w:rPr>
      </w:pPr>
      <w:r>
        <w:rPr>
          <w:spacing w:val="20"/>
          <w:sz w:val="27"/>
          <w:szCs w:val="27"/>
        </w:rPr>
      </w:r>
    </w:p>
    <w:p>
      <w:pPr>
        <w:pStyle w:val="Normal"/>
        <w:widowControl/>
        <w:spacing w:lineRule="atLeast" w:line="350"/>
        <w:jc w:val="center"/>
        <w:rPr>
          <w:spacing w:val="20"/>
          <w:sz w:val="27"/>
          <w:szCs w:val="27"/>
        </w:rPr>
      </w:pPr>
      <w:r>
        <w:rPr>
          <w:spacing w:val="20"/>
          <w:sz w:val="27"/>
          <w:szCs w:val="27"/>
        </w:rPr>
        <w:t>附表四：管制站擴建／設施改善工程</w:t>
      </w:r>
    </w:p>
    <w:p>
      <w:pPr>
        <w:pStyle w:val="Normal"/>
        <w:widowControl/>
        <w:spacing w:lineRule="atLeast" w:line="350"/>
        <w:jc w:val="center"/>
        <w:rPr>
          <w:spacing w:val="20"/>
          <w:sz w:val="27"/>
          <w:szCs w:val="27"/>
        </w:rPr>
      </w:pPr>
      <w:r>
        <w:rPr>
          <w:spacing w:val="20"/>
          <w:sz w:val="27"/>
          <w:szCs w:val="27"/>
        </w:rPr>
      </w:r>
    </w:p>
    <w:tbl>
      <w:tblPr>
        <w:tblStyle w:val="a9"/>
        <w:tblW w:w="9216" w:type="dxa"/>
        <w:jc w:val="left"/>
        <w:tblInd w:w="0" w:type="dxa"/>
        <w:tblCellMar>
          <w:top w:w="0" w:type="dxa"/>
          <w:left w:w="108" w:type="dxa"/>
          <w:bottom w:w="0" w:type="dxa"/>
          <w:right w:w="108" w:type="dxa"/>
        </w:tblCellMar>
        <w:tblLook w:val="01e0" w:noHBand="0" w:noVBand="0" w:firstColumn="1" w:lastRow="1" w:lastColumn="1" w:firstRow="1"/>
      </w:tblPr>
      <w:tblGrid>
        <w:gridCol w:w="2764"/>
        <w:gridCol w:w="3001"/>
        <w:gridCol w:w="3451"/>
      </w:tblGrid>
      <w:tr>
        <w:trPr>
          <w:tblHeader w:val="true"/>
        </w:trPr>
        <w:tc>
          <w:tcPr>
            <w:tcW w:w="2764" w:type="dxa"/>
            <w:tcBorders/>
            <w:vAlign w:val="center"/>
          </w:tcPr>
          <w:p>
            <w:pPr>
              <w:pStyle w:val="Normal"/>
              <w:widowControl/>
              <w:spacing w:lineRule="atLeast" w:line="350"/>
              <w:ind w:left="57" w:right="57" w:hanging="0"/>
              <w:jc w:val="center"/>
              <w:rPr>
                <w:i/>
                <w:i/>
                <w:spacing w:val="20"/>
                <w:sz w:val="27"/>
                <w:szCs w:val="27"/>
              </w:rPr>
            </w:pPr>
            <w:r>
              <w:rPr>
                <w:i/>
                <w:spacing w:val="20"/>
                <w:sz w:val="27"/>
                <w:szCs w:val="27"/>
              </w:rPr>
              <w:t>管制站進行中或</w:t>
            </w:r>
          </w:p>
          <w:p>
            <w:pPr>
              <w:pStyle w:val="Normal"/>
              <w:widowControl/>
              <w:spacing w:lineRule="atLeast" w:line="350"/>
              <w:ind w:left="57" w:right="57" w:hanging="0"/>
              <w:jc w:val="center"/>
              <w:rPr>
                <w:i/>
                <w:i/>
                <w:spacing w:val="20"/>
                <w:sz w:val="27"/>
                <w:szCs w:val="27"/>
              </w:rPr>
            </w:pPr>
            <w:r>
              <w:rPr>
                <w:i/>
                <w:spacing w:val="20"/>
                <w:sz w:val="27"/>
                <w:szCs w:val="27"/>
              </w:rPr>
              <w:t>將會進行的擴建／設施改善工程</w:t>
            </w:r>
          </w:p>
        </w:tc>
        <w:tc>
          <w:tcPr>
            <w:tcW w:w="3001" w:type="dxa"/>
            <w:tcBorders/>
            <w:vAlign w:val="center"/>
          </w:tcPr>
          <w:p>
            <w:pPr>
              <w:pStyle w:val="Normal"/>
              <w:widowControl/>
              <w:spacing w:lineRule="atLeast" w:line="350"/>
              <w:ind w:left="57" w:right="57" w:hanging="0"/>
              <w:jc w:val="center"/>
              <w:rPr>
                <w:i/>
                <w:i/>
                <w:spacing w:val="20"/>
                <w:sz w:val="27"/>
                <w:szCs w:val="27"/>
              </w:rPr>
            </w:pPr>
            <w:r>
              <w:rPr>
                <w:i/>
                <w:spacing w:val="20"/>
                <w:sz w:val="27"/>
                <w:szCs w:val="27"/>
              </w:rPr>
              <w:t>牽涉開支／預算開支</w:t>
            </w:r>
          </w:p>
          <w:p>
            <w:pPr>
              <w:pStyle w:val="Normal"/>
              <w:widowControl/>
              <w:spacing w:lineRule="atLeast" w:line="350"/>
              <w:ind w:left="57" w:right="57" w:hanging="0"/>
              <w:jc w:val="center"/>
              <w:rPr>
                <w:i/>
                <w:i/>
                <w:spacing w:val="20"/>
                <w:sz w:val="27"/>
                <w:szCs w:val="27"/>
              </w:rPr>
            </w:pPr>
            <w:r>
              <w:rPr>
                <w:i/>
                <w:spacing w:val="20"/>
                <w:sz w:val="27"/>
                <w:szCs w:val="27"/>
              </w:rPr>
              <w:t>(</w:t>
            </w:r>
            <w:r>
              <w:rPr>
                <w:i/>
                <w:spacing w:val="20"/>
                <w:sz w:val="27"/>
                <w:szCs w:val="27"/>
              </w:rPr>
              <w:t>元</w:t>
            </w:r>
            <w:r>
              <w:rPr>
                <w:i/>
                <w:spacing w:val="20"/>
                <w:sz w:val="27"/>
                <w:szCs w:val="27"/>
              </w:rPr>
              <w:t>)</w:t>
            </w:r>
          </w:p>
        </w:tc>
        <w:tc>
          <w:tcPr>
            <w:tcW w:w="3451" w:type="dxa"/>
            <w:tcBorders/>
            <w:vAlign w:val="center"/>
          </w:tcPr>
          <w:p>
            <w:pPr>
              <w:pStyle w:val="Normal"/>
              <w:widowControl/>
              <w:spacing w:lineRule="atLeast" w:line="350"/>
              <w:ind w:left="57" w:right="57" w:hanging="0"/>
              <w:jc w:val="center"/>
              <w:rPr>
                <w:i/>
                <w:i/>
                <w:spacing w:val="20"/>
                <w:sz w:val="27"/>
                <w:szCs w:val="27"/>
              </w:rPr>
            </w:pPr>
            <w:r>
              <w:rPr>
                <w:i/>
                <w:spacing w:val="20"/>
                <w:sz w:val="27"/>
                <w:szCs w:val="27"/>
              </w:rPr>
              <w:t>工程的詳情</w:t>
            </w:r>
          </w:p>
        </w:tc>
      </w:tr>
      <w:tr>
        <w:trPr/>
        <w:tc>
          <w:tcPr>
            <w:tcW w:w="2764" w:type="dxa"/>
            <w:tcBorders/>
          </w:tcPr>
          <w:p>
            <w:pPr>
              <w:pStyle w:val="Normal"/>
              <w:widowControl/>
              <w:spacing w:lineRule="atLeast" w:line="350"/>
              <w:ind w:left="57" w:right="57" w:hanging="0"/>
              <w:rPr>
                <w:spacing w:val="20"/>
                <w:sz w:val="27"/>
                <w:szCs w:val="27"/>
              </w:rPr>
            </w:pPr>
            <w:r>
              <w:rPr>
                <w:spacing w:val="20"/>
                <w:sz w:val="27"/>
                <w:szCs w:val="27"/>
              </w:rPr>
              <w:t>落馬洲管制站改造工程</w:t>
            </w:r>
          </w:p>
        </w:tc>
        <w:tc>
          <w:tcPr>
            <w:tcW w:w="3001" w:type="dxa"/>
            <w:tcBorders/>
          </w:tcPr>
          <w:p>
            <w:pPr>
              <w:pStyle w:val="Normal"/>
              <w:widowControl/>
              <w:spacing w:lineRule="atLeast" w:line="350"/>
              <w:ind w:left="57" w:right="57" w:hanging="0"/>
              <w:jc w:val="center"/>
              <w:rPr>
                <w:spacing w:val="20"/>
                <w:sz w:val="27"/>
                <w:szCs w:val="27"/>
              </w:rPr>
            </w:pPr>
            <w:r>
              <w:rPr>
                <w:spacing w:val="20"/>
                <w:sz w:val="27"/>
                <w:szCs w:val="27"/>
              </w:rPr>
              <w:t>1,900</w:t>
            </w:r>
            <w:r>
              <w:rPr>
                <w:spacing w:val="20"/>
                <w:sz w:val="27"/>
                <w:szCs w:val="27"/>
              </w:rPr>
              <w:t>萬</w:t>
            </w:r>
          </w:p>
        </w:tc>
        <w:tc>
          <w:tcPr>
            <w:tcW w:w="3451" w:type="dxa"/>
            <w:tcBorders/>
          </w:tcPr>
          <w:p>
            <w:pPr>
              <w:pStyle w:val="Normal"/>
              <w:widowControl/>
              <w:spacing w:lineRule="atLeast" w:line="350"/>
              <w:ind w:left="57" w:right="57" w:hanging="0"/>
              <w:rPr>
                <w:spacing w:val="20"/>
                <w:sz w:val="27"/>
                <w:szCs w:val="27"/>
              </w:rPr>
            </w:pPr>
            <w:r>
              <w:rPr>
                <w:spacing w:val="20"/>
                <w:sz w:val="27"/>
                <w:szCs w:val="27"/>
              </w:rPr>
              <w:t>第一階段工程包括擴建大樓南行</w:t>
            </w:r>
            <w:r>
              <w:rPr>
                <w:spacing w:val="20"/>
                <w:sz w:val="27"/>
                <w:szCs w:val="27"/>
              </w:rPr>
              <w:t>(</w:t>
            </w:r>
            <w:r>
              <w:rPr>
                <w:spacing w:val="20"/>
                <w:sz w:val="27"/>
                <w:szCs w:val="27"/>
              </w:rPr>
              <w:t>入境</w:t>
            </w:r>
            <w:r>
              <w:rPr>
                <w:spacing w:val="20"/>
                <w:sz w:val="27"/>
                <w:szCs w:val="27"/>
              </w:rPr>
              <w:t>)</w:t>
            </w:r>
            <w:r>
              <w:rPr>
                <w:spacing w:val="20"/>
                <w:sz w:val="27"/>
                <w:szCs w:val="27"/>
              </w:rPr>
              <w:t>入境事務處</w:t>
            </w:r>
            <w:r>
              <w:rPr>
                <w:spacing w:val="20"/>
                <w:sz w:val="27"/>
                <w:szCs w:val="27"/>
              </w:rPr>
              <w:t>e-</w:t>
            </w:r>
            <w:r>
              <w:rPr>
                <w:spacing w:val="20"/>
                <w:sz w:val="27"/>
                <w:szCs w:val="27"/>
              </w:rPr>
              <w:t>道部分，已於</w:t>
            </w:r>
            <w:r>
              <w:rPr>
                <w:spacing w:val="20"/>
                <w:sz w:val="27"/>
                <w:szCs w:val="27"/>
              </w:rPr>
              <w:t>2013</w:t>
            </w:r>
            <w:r>
              <w:rPr>
                <w:spacing w:val="20"/>
                <w:sz w:val="27"/>
                <w:szCs w:val="27"/>
              </w:rPr>
              <w:t>年完成；第二階段工程亦於</w:t>
            </w:r>
            <w:r>
              <w:rPr>
                <w:spacing w:val="20"/>
                <w:sz w:val="27"/>
                <w:szCs w:val="27"/>
              </w:rPr>
              <w:t>2013</w:t>
            </w:r>
            <w:r>
              <w:rPr>
                <w:spacing w:val="20"/>
                <w:sz w:val="27"/>
                <w:szCs w:val="27"/>
              </w:rPr>
              <w:t>年第二季展開，包括擴建大樓北行</w:t>
            </w:r>
            <w:r>
              <w:rPr>
                <w:spacing w:val="20"/>
                <w:sz w:val="27"/>
                <w:szCs w:val="27"/>
              </w:rPr>
              <w:t>(</w:t>
            </w:r>
            <w:r>
              <w:rPr>
                <w:spacing w:val="20"/>
                <w:sz w:val="27"/>
                <w:szCs w:val="27"/>
              </w:rPr>
              <w:t>出境</w:t>
            </w:r>
            <w:r>
              <w:rPr>
                <w:spacing w:val="20"/>
                <w:sz w:val="27"/>
                <w:szCs w:val="27"/>
              </w:rPr>
              <w:t>)</w:t>
            </w:r>
            <w:r>
              <w:rPr>
                <w:spacing w:val="20"/>
                <w:sz w:val="27"/>
                <w:szCs w:val="27"/>
              </w:rPr>
              <w:t>部分以增加</w:t>
            </w:r>
            <w:r>
              <w:rPr>
                <w:spacing w:val="20"/>
                <w:sz w:val="27"/>
                <w:szCs w:val="27"/>
              </w:rPr>
              <w:t>e-</w:t>
            </w:r>
            <w:r>
              <w:rPr>
                <w:spacing w:val="20"/>
                <w:sz w:val="27"/>
                <w:szCs w:val="27"/>
              </w:rPr>
              <w:t>道至</w:t>
            </w:r>
            <w:r>
              <w:rPr>
                <w:spacing w:val="20"/>
                <w:sz w:val="27"/>
                <w:szCs w:val="27"/>
              </w:rPr>
              <w:t>16</w:t>
            </w:r>
            <w:r>
              <w:rPr>
                <w:spacing w:val="20"/>
                <w:sz w:val="27"/>
                <w:szCs w:val="27"/>
              </w:rPr>
              <w:t>條，已剛於</w:t>
            </w:r>
            <w:r>
              <w:rPr>
                <w:spacing w:val="20"/>
                <w:sz w:val="27"/>
                <w:szCs w:val="27"/>
              </w:rPr>
              <w:t>2015</w:t>
            </w:r>
            <w:r>
              <w:rPr>
                <w:spacing w:val="20"/>
                <w:sz w:val="27"/>
                <w:szCs w:val="27"/>
              </w:rPr>
              <w:t>年首季竣工。</w:t>
            </w:r>
          </w:p>
        </w:tc>
      </w:tr>
      <w:tr>
        <w:trPr/>
        <w:tc>
          <w:tcPr>
            <w:tcW w:w="2764" w:type="dxa"/>
            <w:tcBorders/>
          </w:tcPr>
          <w:p>
            <w:pPr>
              <w:pStyle w:val="Normal"/>
              <w:widowControl/>
              <w:ind w:left="57" w:right="57" w:hanging="0"/>
              <w:rPr>
                <w:spacing w:val="20"/>
                <w:sz w:val="27"/>
                <w:szCs w:val="27"/>
              </w:rPr>
            </w:pPr>
            <w:r>
              <w:rPr>
                <w:spacing w:val="20"/>
                <w:sz w:val="27"/>
                <w:szCs w:val="27"/>
              </w:rPr>
              <w:t>落馬洲管制站私家車清關亭加建工程</w:t>
            </w:r>
          </w:p>
        </w:tc>
        <w:tc>
          <w:tcPr>
            <w:tcW w:w="3001" w:type="dxa"/>
            <w:tcBorders/>
          </w:tcPr>
          <w:p>
            <w:pPr>
              <w:pStyle w:val="Normal"/>
              <w:widowControl/>
              <w:ind w:left="57" w:right="57" w:hanging="0"/>
              <w:jc w:val="center"/>
              <w:rPr>
                <w:spacing w:val="20"/>
                <w:sz w:val="27"/>
                <w:szCs w:val="27"/>
              </w:rPr>
            </w:pPr>
            <w:r>
              <w:rPr>
                <w:spacing w:val="20"/>
                <w:sz w:val="27"/>
                <w:szCs w:val="27"/>
              </w:rPr>
              <w:t>1,814</w:t>
            </w:r>
            <w:r>
              <w:rPr>
                <w:spacing w:val="20"/>
                <w:sz w:val="27"/>
                <w:szCs w:val="27"/>
              </w:rPr>
              <w:t>萬</w:t>
            </w:r>
          </w:p>
        </w:tc>
        <w:tc>
          <w:tcPr>
            <w:tcW w:w="3451" w:type="dxa"/>
            <w:tcBorders/>
          </w:tcPr>
          <w:p>
            <w:pPr>
              <w:pStyle w:val="Normal"/>
              <w:widowControl/>
              <w:ind w:left="57" w:right="57" w:hanging="0"/>
              <w:rPr>
                <w:spacing w:val="20"/>
                <w:sz w:val="27"/>
                <w:szCs w:val="27"/>
              </w:rPr>
            </w:pPr>
            <w:r>
              <w:rPr>
                <w:spacing w:val="20"/>
                <w:sz w:val="27"/>
                <w:szCs w:val="27"/>
              </w:rPr>
              <w:t>計劃加建“一站式”私家車清關亭的數目，包括</w:t>
            </w:r>
            <w:r>
              <w:rPr>
                <w:spacing w:val="20"/>
                <w:sz w:val="27"/>
                <w:szCs w:val="27"/>
              </w:rPr>
              <w:t>1</w:t>
            </w:r>
            <w:r>
              <w:rPr>
                <w:spacing w:val="20"/>
                <w:sz w:val="27"/>
                <w:szCs w:val="27"/>
              </w:rPr>
              <w:t>個入境及</w:t>
            </w:r>
            <w:r>
              <w:rPr>
                <w:spacing w:val="20"/>
                <w:sz w:val="27"/>
                <w:szCs w:val="27"/>
              </w:rPr>
              <w:t>1</w:t>
            </w:r>
            <w:r>
              <w:rPr>
                <w:spacing w:val="20"/>
                <w:sz w:val="27"/>
                <w:szCs w:val="27"/>
              </w:rPr>
              <w:t>個出境清關亭。</w:t>
            </w:r>
          </w:p>
          <w:p>
            <w:pPr>
              <w:pStyle w:val="Normal"/>
              <w:widowControl/>
              <w:ind w:left="57" w:right="57" w:hanging="0"/>
              <w:rPr>
                <w:spacing w:val="20"/>
                <w:sz w:val="27"/>
                <w:szCs w:val="27"/>
              </w:rPr>
            </w:pPr>
            <w:r>
              <w:rPr>
                <w:spacing w:val="20"/>
                <w:sz w:val="27"/>
                <w:szCs w:val="27"/>
              </w:rPr>
              <w:t>工程於</w:t>
            </w:r>
            <w:r>
              <w:rPr>
                <w:spacing w:val="20"/>
                <w:sz w:val="27"/>
                <w:szCs w:val="27"/>
              </w:rPr>
              <w:t>2014</w:t>
            </w:r>
            <w:r>
              <w:rPr>
                <w:spacing w:val="20"/>
                <w:sz w:val="27"/>
                <w:szCs w:val="27"/>
              </w:rPr>
              <w:t>年第二季展開，預計於</w:t>
            </w:r>
            <w:r>
              <w:rPr>
                <w:spacing w:val="20"/>
                <w:sz w:val="27"/>
                <w:szCs w:val="27"/>
              </w:rPr>
              <w:t>2015</w:t>
            </w:r>
            <w:r>
              <w:rPr>
                <w:spacing w:val="20"/>
                <w:sz w:val="27"/>
                <w:szCs w:val="27"/>
              </w:rPr>
              <w:t>年第三季完成。</w:t>
            </w:r>
          </w:p>
        </w:tc>
      </w:tr>
      <w:tr>
        <w:trPr/>
        <w:tc>
          <w:tcPr>
            <w:tcW w:w="2764" w:type="dxa"/>
            <w:tcBorders/>
          </w:tcPr>
          <w:p>
            <w:pPr>
              <w:pStyle w:val="Normal"/>
              <w:widowControl/>
              <w:ind w:left="57" w:right="57" w:hanging="0"/>
              <w:rPr>
                <w:spacing w:val="20"/>
                <w:sz w:val="27"/>
                <w:szCs w:val="27"/>
              </w:rPr>
            </w:pPr>
            <w:r>
              <w:rPr>
                <w:spacing w:val="20"/>
                <w:sz w:val="27"/>
                <w:szCs w:val="27"/>
              </w:rPr>
              <w:t>推出新的“出入境管制系統”</w:t>
            </w:r>
          </w:p>
        </w:tc>
        <w:tc>
          <w:tcPr>
            <w:tcW w:w="3001" w:type="dxa"/>
            <w:tcBorders/>
          </w:tcPr>
          <w:p>
            <w:pPr>
              <w:pStyle w:val="Normal"/>
              <w:widowControl/>
              <w:ind w:left="57" w:right="57" w:hanging="0"/>
              <w:jc w:val="center"/>
              <w:rPr>
                <w:spacing w:val="20"/>
                <w:sz w:val="27"/>
                <w:szCs w:val="27"/>
              </w:rPr>
            </w:pPr>
            <w:r>
              <w:rPr>
                <w:spacing w:val="20"/>
                <w:sz w:val="27"/>
                <w:szCs w:val="27"/>
              </w:rPr>
              <w:t>9</w:t>
            </w:r>
            <w:r>
              <w:rPr>
                <w:spacing w:val="20"/>
                <w:sz w:val="27"/>
                <w:szCs w:val="27"/>
              </w:rPr>
              <w:t>億</w:t>
            </w:r>
            <w:r>
              <w:rPr>
                <w:spacing w:val="20"/>
                <w:sz w:val="27"/>
                <w:szCs w:val="27"/>
              </w:rPr>
              <w:t>1,000</w:t>
            </w:r>
            <w:r>
              <w:rPr>
                <w:spacing w:val="20"/>
                <w:sz w:val="27"/>
                <w:szCs w:val="27"/>
              </w:rPr>
              <w:t>萬</w:t>
            </w:r>
          </w:p>
        </w:tc>
        <w:tc>
          <w:tcPr>
            <w:tcW w:w="3451" w:type="dxa"/>
            <w:tcBorders/>
          </w:tcPr>
          <w:p>
            <w:pPr>
              <w:pStyle w:val="Normal"/>
              <w:widowControl/>
              <w:ind w:left="57" w:right="57" w:hanging="0"/>
              <w:rPr>
                <w:spacing w:val="20"/>
                <w:sz w:val="27"/>
                <w:szCs w:val="27"/>
              </w:rPr>
            </w:pPr>
            <w:r>
              <w:rPr>
                <w:spacing w:val="20"/>
                <w:sz w:val="27"/>
                <w:szCs w:val="27"/>
              </w:rPr>
              <w:t>入境事務處於</w:t>
            </w:r>
            <w:r>
              <w:rPr>
                <w:spacing w:val="20"/>
                <w:sz w:val="27"/>
                <w:szCs w:val="27"/>
              </w:rPr>
              <w:t>2013</w:t>
            </w:r>
            <w:r>
              <w:rPr>
                <w:spacing w:val="20"/>
                <w:sz w:val="27"/>
                <w:szCs w:val="27"/>
              </w:rPr>
              <w:t>年年初獲立法會財務委員會批准撥款，用以發展及推行新出入境管制系統以配合業務需要。當中包括提升現有的</w:t>
            </w:r>
            <w:r>
              <w:rPr>
                <w:spacing w:val="20"/>
                <w:sz w:val="27"/>
                <w:szCs w:val="27"/>
              </w:rPr>
              <w:t>e-</w:t>
            </w:r>
            <w:r>
              <w:rPr>
                <w:spacing w:val="20"/>
                <w:sz w:val="27"/>
                <w:szCs w:val="27"/>
              </w:rPr>
              <w:t>道為多功能</w:t>
            </w:r>
            <w:r>
              <w:rPr>
                <w:spacing w:val="20"/>
                <w:sz w:val="27"/>
                <w:szCs w:val="27"/>
              </w:rPr>
              <w:t>e-</w:t>
            </w:r>
            <w:r>
              <w:rPr>
                <w:spacing w:val="20"/>
                <w:sz w:val="27"/>
                <w:szCs w:val="27"/>
              </w:rPr>
              <w:t>道，並新增超過</w:t>
            </w:r>
            <w:r>
              <w:rPr>
                <w:spacing w:val="20"/>
                <w:sz w:val="27"/>
                <w:szCs w:val="27"/>
              </w:rPr>
              <w:t>100</w:t>
            </w:r>
            <w:r>
              <w:rPr>
                <w:spacing w:val="20"/>
                <w:sz w:val="27"/>
                <w:szCs w:val="27"/>
              </w:rPr>
              <w:t>條多功能</w:t>
            </w:r>
            <w:r>
              <w:rPr>
                <w:spacing w:val="20"/>
                <w:sz w:val="27"/>
                <w:szCs w:val="27"/>
              </w:rPr>
              <w:t>e-</w:t>
            </w:r>
            <w:r>
              <w:rPr>
                <w:spacing w:val="20"/>
                <w:sz w:val="27"/>
                <w:szCs w:val="27"/>
              </w:rPr>
              <w:t>道，使</w:t>
            </w:r>
            <w:r>
              <w:rPr>
                <w:spacing w:val="20"/>
                <w:sz w:val="27"/>
                <w:szCs w:val="27"/>
              </w:rPr>
              <w:t>e-</w:t>
            </w:r>
            <w:r>
              <w:rPr>
                <w:spacing w:val="20"/>
                <w:sz w:val="27"/>
                <w:szCs w:val="27"/>
              </w:rPr>
              <w:t>道服務可因應旅客流量靈活調配。有關系統將於</w:t>
            </w:r>
            <w:r>
              <w:rPr>
                <w:spacing w:val="20"/>
                <w:sz w:val="27"/>
                <w:szCs w:val="27"/>
              </w:rPr>
              <w:t>2016</w:t>
            </w:r>
            <w:r>
              <w:rPr>
                <w:spacing w:val="20"/>
                <w:sz w:val="27"/>
                <w:szCs w:val="27"/>
              </w:rPr>
              <w:t>年年初至</w:t>
            </w:r>
            <w:r>
              <w:rPr>
                <w:spacing w:val="20"/>
                <w:sz w:val="27"/>
                <w:szCs w:val="27"/>
              </w:rPr>
              <w:t>2017</w:t>
            </w:r>
            <w:r>
              <w:rPr>
                <w:spacing w:val="20"/>
                <w:sz w:val="27"/>
                <w:szCs w:val="27"/>
              </w:rPr>
              <w:t>年年初分階段推出。</w:t>
            </w:r>
          </w:p>
        </w:tc>
      </w:tr>
    </w:tbl>
    <w:p>
      <w:pPr>
        <w:pStyle w:val="F21"/>
        <w:spacing w:lineRule="atLeast" w:line="390"/>
        <w:rPr>
          <w:rFonts w:cs="Times New Roman"/>
        </w:rPr>
      </w:pPr>
      <w:r>
        <w:rPr>
          <w:rFonts w:cs="Times New Roman"/>
        </w:rPr>
      </w:r>
    </w:p>
    <w:p>
      <w:pPr>
        <w:pStyle w:val="F21"/>
        <w:spacing w:lineRule="atLeast" w:line="390"/>
        <w:rPr>
          <w:rFonts w:cs="Times New Roman"/>
        </w:rPr>
      </w:pPr>
      <w:r>
        <w:rPr>
          <w:rFonts w:cs="Times New Roman"/>
        </w:rPr>
      </w:r>
    </w:p>
    <w:p>
      <w:pPr>
        <w:pStyle w:val="F21"/>
        <w:spacing w:lineRule="atLeast" w:line="390"/>
        <w:rPr>
          <w:rFonts w:eastAsia="華康中黑體" w:cs="Times New Roman"/>
          <w:b/>
          <w:b/>
        </w:rPr>
      </w:pPr>
      <w:bookmarkStart w:id="52" w:name="wrq20"/>
      <w:r>
        <w:rPr>
          <w:rFonts w:cs="Times New Roman" w:eastAsia="華康中黑體"/>
          <w:b/>
        </w:rPr>
        <w:t>區議會與政府部門首長之間的溝通</w:t>
      </w:r>
    </w:p>
    <w:p>
      <w:pPr>
        <w:pStyle w:val="Normal"/>
        <w:spacing w:lineRule="atLeast" w:line="390"/>
        <w:rPr>
          <w:b/>
          <w:b/>
        </w:rPr>
      </w:pPr>
      <w:bookmarkStart w:id="53" w:name="wrq20"/>
      <w:r>
        <w:rPr>
          <w:b/>
        </w:rPr>
        <w:t>Communication Between District Councils and Heads of Government Departments</w:t>
      </w:r>
      <w:bookmarkEnd w:id="53"/>
    </w:p>
    <w:p>
      <w:pPr>
        <w:pStyle w:val="F21"/>
        <w:spacing w:lineRule="atLeast" w:line="390"/>
        <w:rPr>
          <w:rFonts w:cs="Times New Roman"/>
        </w:rPr>
      </w:pPr>
      <w:r>
        <w:rPr>
          <w:rFonts w:cs="Times New Roman"/>
        </w:rPr>
      </w:r>
    </w:p>
    <w:p>
      <w:pPr>
        <w:pStyle w:val="F21"/>
        <w:spacing w:lineRule="atLeast" w:line="390"/>
        <w:rPr>
          <w:i/>
          <w:i/>
          <w:szCs w:val="27"/>
        </w:rPr>
      </w:pPr>
      <w:r>
        <w:rPr>
          <w:rFonts w:eastAsia="華康中黑體"/>
          <w:b/>
          <w:szCs w:val="27"/>
        </w:rPr>
        <w:t>20.</w:t>
        <w:tab/>
      </w:r>
      <w:r>
        <w:rPr>
          <w:rFonts w:eastAsia="華康中黑體"/>
          <w:b/>
          <w:szCs w:val="27"/>
        </w:rPr>
        <w:t>何俊仁議員</w:t>
      </w:r>
      <w:r>
        <w:rPr>
          <w:szCs w:val="27"/>
        </w:rPr>
        <w:t>：</w:t>
      </w:r>
      <w:r>
        <w:rPr>
          <w:i/>
          <w:szCs w:val="27"/>
        </w:rPr>
        <w:t>主席，政府自</w:t>
      </w:r>
      <w:r>
        <w:rPr>
          <w:i/>
          <w:szCs w:val="27"/>
        </w:rPr>
        <w:t>2008</w:t>
      </w:r>
      <w:r>
        <w:rPr>
          <w:i/>
          <w:szCs w:val="27"/>
        </w:rPr>
        <w:t>年起推行強化區議會角色和職能的措施，包括安排為公眾提供直接服務的部門的首長列席區議會會議，以加強政府與區議會之間的溝通。政府曾就此發出內部通告，指示</w:t>
      </w:r>
      <w:r>
        <w:rPr>
          <w:i/>
          <w:szCs w:val="27"/>
        </w:rPr>
        <w:t>22</w:t>
      </w:r>
      <w:r>
        <w:rPr>
          <w:i/>
          <w:szCs w:val="27"/>
        </w:rPr>
        <w:t>個部門的首長須在本屆區議會的任期</w:t>
      </w:r>
      <w:r>
        <w:rPr>
          <w:i/>
          <w:szCs w:val="27"/>
        </w:rPr>
        <w:t>(</w:t>
      </w:r>
      <w:r>
        <w:rPr>
          <w:i/>
          <w:szCs w:val="27"/>
        </w:rPr>
        <w:t>即</w:t>
      </w:r>
      <w:r>
        <w:rPr>
          <w:i/>
          <w:szCs w:val="27"/>
        </w:rPr>
        <w:t>2012</w:t>
      </w:r>
      <w:r>
        <w:rPr>
          <w:i/>
          <w:szCs w:val="27"/>
        </w:rPr>
        <w:t>年</w:t>
      </w:r>
      <w:r>
        <w:rPr>
          <w:i/>
          <w:szCs w:val="27"/>
        </w:rPr>
        <w:t>1</w:t>
      </w:r>
      <w:r>
        <w:rPr>
          <w:i/>
          <w:szCs w:val="27"/>
        </w:rPr>
        <w:t>月</w:t>
      </w:r>
      <w:r>
        <w:rPr>
          <w:i/>
          <w:szCs w:val="27"/>
        </w:rPr>
        <w:t>1</w:t>
      </w:r>
      <w:r>
        <w:rPr>
          <w:i/>
          <w:szCs w:val="27"/>
        </w:rPr>
        <w:t>日至</w:t>
      </w:r>
      <w:r>
        <w:rPr>
          <w:i/>
          <w:szCs w:val="27"/>
        </w:rPr>
        <w:t>2015</w:t>
      </w:r>
      <w:r>
        <w:rPr>
          <w:i/>
          <w:szCs w:val="27"/>
        </w:rPr>
        <w:t>年</w:t>
      </w:r>
      <w:r>
        <w:rPr>
          <w:i/>
          <w:szCs w:val="27"/>
        </w:rPr>
        <w:t>12</w:t>
      </w:r>
      <w:r>
        <w:rPr>
          <w:i/>
          <w:szCs w:val="27"/>
        </w:rPr>
        <w:t>月</w:t>
      </w:r>
      <w:r>
        <w:rPr>
          <w:i/>
          <w:szCs w:val="27"/>
        </w:rPr>
        <w:t>31</w:t>
      </w:r>
      <w:r>
        <w:rPr>
          <w:i/>
          <w:szCs w:val="27"/>
        </w:rPr>
        <w:t>日</w:t>
      </w:r>
      <w:r>
        <w:rPr>
          <w:i/>
          <w:szCs w:val="27"/>
        </w:rPr>
        <w:t>)</w:t>
      </w:r>
      <w:r>
        <w:rPr>
          <w:i/>
          <w:szCs w:val="27"/>
        </w:rPr>
        <w:t>內，列席每個區議會的會議至少一次。另外，核心部門的代表須經常列席區議會會議，並在每個曆年／財政年度開始時，向地區管理委員會</w:t>
      </w:r>
      <w:r>
        <w:rPr>
          <w:i/>
          <w:szCs w:val="27"/>
        </w:rPr>
        <w:t>(“</w:t>
      </w:r>
      <w:r>
        <w:rPr>
          <w:i/>
          <w:szCs w:val="27"/>
        </w:rPr>
        <w:t>區管會”</w:t>
      </w:r>
      <w:r>
        <w:rPr>
          <w:i/>
          <w:szCs w:val="27"/>
        </w:rPr>
        <w:t>)</w:t>
      </w:r>
      <w:r>
        <w:rPr>
          <w:i/>
          <w:szCs w:val="27"/>
        </w:rPr>
        <w:t>和區議會提交該年度的地區工作計劃。就此，政府可否告知本會：</w:t>
      </w:r>
    </w:p>
    <w:p>
      <w:pPr>
        <w:pStyle w:val="Normal"/>
        <w:widowControl/>
        <w:tabs>
          <w:tab w:val="clear" w:pos="720"/>
        </w:tabs>
        <w:spacing w:lineRule="auto" w:line="276" w:before="0" w:after="200"/>
        <w:jc w:val="left"/>
        <w:rPr>
          <w:rFonts w:cs="" w:cstheme="minorBidi"/>
          <w:i/>
          <w:i/>
          <w:spacing w:val="20"/>
          <w:sz w:val="27"/>
          <w:szCs w:val="27"/>
          <w:lang w:val="en-US"/>
        </w:rPr>
      </w:pPr>
      <w:r>
        <w:rPr>
          <w:rFonts w:cs="" w:cstheme="minorBidi"/>
          <w:i/>
          <w:spacing w:val="20"/>
          <w:sz w:val="27"/>
          <w:szCs w:val="27"/>
          <w:lang w:val="en-US"/>
        </w:rPr>
      </w:r>
      <w:r>
        <w:br w:type="page"/>
      </w:r>
    </w:p>
    <w:p>
      <w:pPr>
        <w:pStyle w:val="Style13"/>
        <w:rPr>
          <w:szCs w:val="27"/>
        </w:rPr>
      </w:pPr>
      <w:r>
        <w:rPr>
          <w:szCs w:val="27"/>
        </w:rPr>
        <w:t>(</w:t>
      </w:r>
      <w:r>
        <w:rPr>
          <w:szCs w:val="27"/>
        </w:rPr>
        <w:t>一</w:t>
      </w:r>
      <w:r>
        <w:rPr>
          <w:szCs w:val="27"/>
        </w:rPr>
        <w:t>)</w:t>
        <w:tab/>
      </w:r>
      <w:r>
        <w:rPr>
          <w:szCs w:val="27"/>
        </w:rPr>
        <w:t>截至本年</w:t>
      </w:r>
      <w:r>
        <w:rPr>
          <w:szCs w:val="27"/>
        </w:rPr>
        <w:t>2</w:t>
      </w:r>
      <w:r>
        <w:rPr>
          <w:szCs w:val="27"/>
        </w:rPr>
        <w:t>月，已按上述通告列席和尚未列席現屆區議會會議的部門首長分別為何</w:t>
      </w:r>
      <w:r>
        <w:rPr>
          <w:szCs w:val="27"/>
        </w:rPr>
        <w:t>(</w:t>
      </w:r>
      <w:r>
        <w:rPr>
          <w:szCs w:val="27"/>
        </w:rPr>
        <w:t>按區議會分區逐一列出</w:t>
      </w:r>
      <w:r>
        <w:rPr>
          <w:szCs w:val="27"/>
        </w:rPr>
        <w:t>)</w:t>
      </w:r>
      <w:r>
        <w:rPr>
          <w:szCs w:val="27"/>
        </w:rPr>
        <w:t>；部門首長未按指示列席區議會會議的原因為何，以及他們是否已作出安排，於本屆區議會任期結束前列席有關區議會的會議；若否，原因為何；</w:t>
      </w:r>
    </w:p>
    <w:p>
      <w:pPr>
        <w:pStyle w:val="Style13"/>
        <w:rPr>
          <w:szCs w:val="27"/>
        </w:rPr>
      </w:pPr>
      <w:r>
        <w:rPr>
          <w:szCs w:val="27"/>
        </w:rPr>
      </w:r>
    </w:p>
    <w:p>
      <w:pPr>
        <w:pStyle w:val="Style13"/>
        <w:rPr>
          <w:szCs w:val="27"/>
        </w:rPr>
      </w:pPr>
      <w:r>
        <w:rPr>
          <w:szCs w:val="27"/>
        </w:rPr>
        <w:t>(</w:t>
      </w:r>
      <w:r>
        <w:rPr>
          <w:szCs w:val="27"/>
        </w:rPr>
        <w:t>二</w:t>
      </w:r>
      <w:r>
        <w:rPr>
          <w:szCs w:val="27"/>
        </w:rPr>
        <w:t>)</w:t>
        <w:tab/>
      </w:r>
      <w:r>
        <w:rPr>
          <w:szCs w:val="27"/>
        </w:rPr>
        <w:t>鑒於本人得悉，政府部門沒有派出官員列席區議會或其委員會會議的情況越來越普遍，當局有否評估有關的原因，以及“有關部門不夠重視與區議會的溝通”是否原因之一；若這是原因之一，當局有何改善措施；及</w:t>
      </w:r>
    </w:p>
    <w:p>
      <w:pPr>
        <w:pStyle w:val="Style13"/>
        <w:rPr>
          <w:szCs w:val="27"/>
        </w:rPr>
      </w:pPr>
      <w:r>
        <w:rPr>
          <w:szCs w:val="27"/>
        </w:rPr>
      </w:r>
    </w:p>
    <w:p>
      <w:pPr>
        <w:pStyle w:val="Style13"/>
        <w:rPr>
          <w:szCs w:val="27"/>
        </w:rPr>
      </w:pPr>
      <w:r>
        <w:rPr>
          <w:szCs w:val="27"/>
        </w:rPr>
        <w:t>(</w:t>
      </w:r>
      <w:r>
        <w:rPr>
          <w:szCs w:val="27"/>
        </w:rPr>
        <w:t>三</w:t>
      </w:r>
      <w:r>
        <w:rPr>
          <w:szCs w:val="27"/>
        </w:rPr>
        <w:t>)</w:t>
        <w:tab/>
      </w:r>
      <w:r>
        <w:rPr>
          <w:szCs w:val="27"/>
        </w:rPr>
        <w:t>本屆區議會任期開始至今，沒有按照上述通告的要求向區管會和區議會提交年度地區工作計劃的核心部門及其原因為何，以及該等部門會否盡快向有關的區管會及區議會提交該等文件？</w:t>
      </w:r>
    </w:p>
    <w:p>
      <w:pPr>
        <w:pStyle w:val="Style13"/>
        <w:ind w:left="0" w:hanging="0"/>
        <w:rPr>
          <w:szCs w:val="27"/>
        </w:rPr>
      </w:pPr>
      <w:r>
        <w:rPr>
          <w:szCs w:val="27"/>
        </w:rPr>
      </w:r>
    </w:p>
    <w:p>
      <w:pPr>
        <w:pStyle w:val="Style13"/>
        <w:ind w:left="0" w:hanging="0"/>
        <w:rPr>
          <w:szCs w:val="27"/>
        </w:rPr>
      </w:pPr>
      <w:r>
        <w:rPr>
          <w:szCs w:val="27"/>
        </w:rPr>
      </w:r>
    </w:p>
    <w:p>
      <w:pPr>
        <w:pStyle w:val="Style13"/>
        <w:ind w:left="0" w:hanging="0"/>
        <w:rPr>
          <w:i w:val="false"/>
          <w:i w:val="false"/>
        </w:rPr>
      </w:pPr>
      <w:r>
        <w:rPr>
          <w:rFonts w:eastAsia="華康中黑體"/>
          <w:b/>
          <w:i w:val="false"/>
        </w:rPr>
        <w:t>民政事務局局長</w:t>
      </w:r>
      <w:r>
        <w:rPr>
          <w:i w:val="false"/>
        </w:rPr>
        <w:t>：主席，區議會是政府推動地區行政的重要夥伴，政府一直十分重視與區議會及區議員的溝通和交流。就質詢的</w:t>
      </w:r>
      <w:r>
        <w:rPr>
          <w:i w:val="false"/>
        </w:rPr>
        <w:t>3</w:t>
      </w:r>
      <w:r>
        <w:rPr>
          <w:i w:val="false"/>
        </w:rPr>
        <w:t>個部分，我的答覆分別如下：</w:t>
      </w:r>
    </w:p>
    <w:p>
      <w:pPr>
        <w:pStyle w:val="Normal"/>
        <w:rPr>
          <w:spacing w:val="20"/>
          <w:sz w:val="27"/>
          <w:szCs w:val="27"/>
        </w:rPr>
      </w:pPr>
      <w:r>
        <w:rPr>
          <w:spacing w:val="20"/>
          <w:sz w:val="27"/>
          <w:szCs w:val="27"/>
        </w:rPr>
      </w:r>
    </w:p>
    <w:p>
      <w:pPr>
        <w:pStyle w:val="Style13"/>
        <w:rPr>
          <w:i w:val="false"/>
          <w:i w:val="false"/>
        </w:rPr>
      </w:pPr>
      <w:r>
        <w:rPr>
          <w:i w:val="false"/>
        </w:rPr>
        <w:t>(</w:t>
      </w:r>
      <w:r>
        <w:rPr>
          <w:i w:val="false"/>
        </w:rPr>
        <w:t>一</w:t>
      </w:r>
      <w:r>
        <w:rPr>
          <w:i w:val="false"/>
        </w:rPr>
        <w:t>)</w:t>
        <w:tab/>
      </w:r>
      <w:r>
        <w:rPr>
          <w:i w:val="false"/>
        </w:rPr>
        <w:t>為公眾提供直接服務的部門的首長會因應區議會會議議程和時間，盡量在每屆區議會會期內探訪</w:t>
      </w:r>
      <w:r>
        <w:rPr>
          <w:i w:val="false"/>
        </w:rPr>
        <w:t>18</w:t>
      </w:r>
      <w:r>
        <w:rPr>
          <w:i w:val="false"/>
        </w:rPr>
        <w:t>區區議會，親身聽取議員的意見。截至</w:t>
      </w:r>
      <w:r>
        <w:rPr>
          <w:i w:val="false"/>
        </w:rPr>
        <w:t>2015</w:t>
      </w:r>
      <w:r>
        <w:rPr>
          <w:i w:val="false"/>
        </w:rPr>
        <w:t>年</w:t>
      </w:r>
      <w:r>
        <w:rPr>
          <w:i w:val="false"/>
        </w:rPr>
        <w:t>2</w:t>
      </w:r>
      <w:r>
        <w:rPr>
          <w:i w:val="false"/>
        </w:rPr>
        <w:t>月，部門首長共列席</w:t>
      </w:r>
      <w:r>
        <w:rPr>
          <w:i w:val="false"/>
        </w:rPr>
        <w:t>312</w:t>
      </w:r>
      <w:r>
        <w:rPr>
          <w:i w:val="false"/>
        </w:rPr>
        <w:t>次區議會會議。我們會盡量安排部門首長在餘下會期內列席其餘的區議會會議。有關資料見附件。</w:t>
      </w:r>
    </w:p>
    <w:p>
      <w:pPr>
        <w:pStyle w:val="Style13"/>
        <w:rPr>
          <w:i w:val="false"/>
          <w:i w:val="false"/>
        </w:rPr>
      </w:pPr>
      <w:r>
        <w:rPr>
          <w:i w:val="false"/>
        </w:rPr>
      </w:r>
    </w:p>
    <w:p>
      <w:pPr>
        <w:pStyle w:val="Style13"/>
        <w:rPr>
          <w:i w:val="false"/>
          <w:i w:val="false"/>
        </w:rPr>
      </w:pPr>
      <w:r>
        <w:rPr>
          <w:i w:val="false"/>
        </w:rPr>
        <w:t>(</w:t>
      </w:r>
      <w:r>
        <w:rPr>
          <w:i w:val="false"/>
        </w:rPr>
        <w:t>二</w:t>
      </w:r>
      <w:r>
        <w:rPr>
          <w:i w:val="false"/>
        </w:rPr>
        <w:t>)</w:t>
        <w:tab/>
      </w:r>
      <w:r>
        <w:rPr>
          <w:i w:val="false"/>
        </w:rPr>
        <w:t>核心部門代表定期出席區議會及其轄下委員會會議匯報工作進度及回應議員的提問。</w:t>
      </w:r>
    </w:p>
    <w:p>
      <w:pPr>
        <w:pStyle w:val="Style13"/>
        <w:rPr>
          <w:i w:val="false"/>
          <w:i w:val="false"/>
        </w:rPr>
      </w:pPr>
      <w:r>
        <w:rPr>
          <w:i w:val="false"/>
        </w:rPr>
      </w:r>
    </w:p>
    <w:p>
      <w:pPr>
        <w:pStyle w:val="Style13"/>
        <w:rPr>
          <w:i w:val="false"/>
          <w:i w:val="false"/>
        </w:rPr>
      </w:pPr>
      <w:r>
        <w:rPr>
          <w:i w:val="false"/>
        </w:rPr>
        <w:tab/>
      </w:r>
      <w:r>
        <w:rPr>
          <w:i w:val="false"/>
        </w:rPr>
        <w:t>除了安排上述部門首長出席區議會會議外，政策局和部門不時就影響地區或全港的建議和計劃諮詢區議會，蒐集他們的意見。就此，相關政策局及部門會安排代表出席區議會會議。</w:t>
      </w:r>
    </w:p>
    <w:p>
      <w:pPr>
        <w:pStyle w:val="Style13"/>
        <w:rPr>
          <w:i w:val="false"/>
          <w:i w:val="false"/>
        </w:rPr>
      </w:pPr>
      <w:r>
        <w:rPr>
          <w:i w:val="false"/>
        </w:rPr>
      </w:r>
    </w:p>
    <w:p>
      <w:pPr>
        <w:pStyle w:val="Style13"/>
        <w:rPr>
          <w:i w:val="false"/>
          <w:i w:val="false"/>
        </w:rPr>
      </w:pPr>
      <w:r>
        <w:rPr>
          <w:i w:val="false"/>
        </w:rPr>
        <w:tab/>
      </w:r>
      <w:r>
        <w:rPr>
          <w:i w:val="false"/>
        </w:rPr>
        <w:t>除了核心部門，區議會及其轄下委員會可邀請其他政策局及部門出席會議。因應會議議程和時間，相關政策局和部門會盡量安排合適代表出席會議。假如相關政策局或部門的代表未能出席區議會或其轄下委員會的會議，他們會向相關區議會或其轄下的委員會就問題提供書面回覆，或作出其他適當跟進。</w:t>
      </w:r>
    </w:p>
    <w:p>
      <w:pPr>
        <w:pStyle w:val="Style13"/>
        <w:spacing w:lineRule="atLeast" w:line="380"/>
        <w:rPr>
          <w:i w:val="false"/>
          <w:i w:val="false"/>
        </w:rPr>
      </w:pPr>
      <w:r>
        <w:rPr>
          <w:i w:val="false"/>
        </w:rPr>
      </w:r>
    </w:p>
    <w:p>
      <w:pPr>
        <w:pStyle w:val="Style13"/>
        <w:spacing w:lineRule="atLeast" w:line="380"/>
        <w:rPr>
          <w:i w:val="false"/>
          <w:i w:val="false"/>
        </w:rPr>
      </w:pPr>
      <w:r>
        <w:rPr>
          <w:i w:val="false"/>
        </w:rPr>
        <w:t>(</w:t>
      </w:r>
      <w:r>
        <w:rPr>
          <w:i w:val="false"/>
        </w:rPr>
        <w:t>三</w:t>
      </w:r>
      <w:r>
        <w:rPr>
          <w:i w:val="false"/>
        </w:rPr>
        <w:t>)</w:t>
        <w:tab/>
      </w:r>
      <w:r>
        <w:rPr>
          <w:i w:val="false"/>
        </w:rPr>
        <w:t>所有核心部門定期向地區管理委員會</w:t>
      </w:r>
      <w:r>
        <w:rPr>
          <w:i w:val="false"/>
        </w:rPr>
        <w:t>(</w:t>
      </w:r>
      <w:r>
        <w:rPr>
          <w:i w:val="false"/>
          <w:szCs w:val="27"/>
        </w:rPr>
        <w:t>“</w:t>
      </w:r>
      <w:r>
        <w:rPr>
          <w:i w:val="false"/>
        </w:rPr>
        <w:t>區管會</w:t>
      </w:r>
      <w:r>
        <w:rPr>
          <w:i w:val="false"/>
          <w:szCs w:val="27"/>
        </w:rPr>
        <w:t>”</w:t>
      </w:r>
      <w:r>
        <w:rPr>
          <w:i w:val="false"/>
          <w:szCs w:val="27"/>
        </w:rPr>
        <w:t>)</w:t>
      </w:r>
      <w:r>
        <w:rPr>
          <w:i w:val="false"/>
        </w:rPr>
        <w:t>報告地區工作。區管會整理其會議上討論過的事項、相關工作計劃和進度後會向區議會匯報，並會將意見予以整合。</w:t>
      </w:r>
    </w:p>
    <w:p>
      <w:pPr>
        <w:pStyle w:val="Normal"/>
        <w:spacing w:lineRule="atLeast" w:line="380"/>
        <w:rPr>
          <w:spacing w:val="20"/>
          <w:sz w:val="27"/>
          <w:szCs w:val="27"/>
        </w:rPr>
      </w:pPr>
      <w:r>
        <w:rPr>
          <w:spacing w:val="20"/>
          <w:sz w:val="27"/>
          <w:szCs w:val="27"/>
        </w:rPr>
      </w:r>
    </w:p>
    <w:p>
      <w:pPr>
        <w:pStyle w:val="Normal"/>
        <w:spacing w:lineRule="atLeast" w:line="380"/>
        <w:rPr>
          <w:spacing w:val="20"/>
          <w:sz w:val="27"/>
          <w:szCs w:val="27"/>
        </w:rPr>
      </w:pPr>
      <w:r>
        <w:rPr>
          <w:spacing w:val="20"/>
          <w:sz w:val="27"/>
          <w:szCs w:val="27"/>
        </w:rPr>
      </w:r>
    </w:p>
    <w:p>
      <w:pPr>
        <w:pStyle w:val="Normal"/>
        <w:spacing w:lineRule="atLeast" w:line="380"/>
        <w:jc w:val="right"/>
        <w:rPr>
          <w:spacing w:val="20"/>
          <w:sz w:val="27"/>
          <w:szCs w:val="27"/>
        </w:rPr>
      </w:pPr>
      <w:r>
        <w:rPr>
          <w:spacing w:val="20"/>
          <w:sz w:val="27"/>
          <w:szCs w:val="27"/>
        </w:rPr>
        <w:t>附件</w:t>
      </w:r>
    </w:p>
    <w:p>
      <w:pPr>
        <w:pStyle w:val="Normal"/>
        <w:spacing w:lineRule="atLeast" w:line="380"/>
        <w:rPr>
          <w:spacing w:val="20"/>
          <w:sz w:val="27"/>
          <w:szCs w:val="27"/>
        </w:rPr>
      </w:pPr>
      <w:r>
        <w:rPr>
          <w:spacing w:val="20"/>
          <w:sz w:val="27"/>
          <w:szCs w:val="27"/>
        </w:rPr>
      </w:r>
    </w:p>
    <w:p>
      <w:pPr>
        <w:pStyle w:val="Normal"/>
        <w:tabs>
          <w:tab w:val="clear" w:pos="720"/>
        </w:tabs>
        <w:spacing w:lineRule="atLeast" w:line="380"/>
        <w:jc w:val="center"/>
        <w:rPr>
          <w:spacing w:val="20"/>
          <w:sz w:val="27"/>
          <w:szCs w:val="27"/>
        </w:rPr>
      </w:pPr>
      <w:r>
        <w:rPr>
          <w:spacing w:val="20"/>
          <w:sz w:val="27"/>
          <w:szCs w:val="27"/>
        </w:rPr>
        <w:t>為公眾提供直接服務的部門首長列席</w:t>
      </w:r>
      <w:r>
        <w:rPr>
          <w:spacing w:val="20"/>
          <w:sz w:val="27"/>
          <w:szCs w:val="27"/>
        </w:rPr>
        <w:t>18</w:t>
      </w:r>
      <w:r>
        <w:rPr>
          <w:spacing w:val="20"/>
          <w:sz w:val="27"/>
          <w:szCs w:val="27"/>
        </w:rPr>
        <w:t>區區議會會議的情況</w:t>
      </w:r>
    </w:p>
    <w:p>
      <w:pPr>
        <w:pStyle w:val="Normal"/>
        <w:spacing w:lineRule="atLeast" w:line="380"/>
        <w:jc w:val="center"/>
        <w:rPr>
          <w:spacing w:val="20"/>
          <w:sz w:val="27"/>
          <w:szCs w:val="27"/>
        </w:rPr>
      </w:pPr>
      <w:r>
        <w:rPr>
          <w:spacing w:val="20"/>
          <w:sz w:val="27"/>
          <w:szCs w:val="27"/>
        </w:rPr>
        <w:t>(</w:t>
      </w:r>
      <w:r>
        <w:rPr>
          <w:spacing w:val="20"/>
          <w:sz w:val="27"/>
          <w:szCs w:val="27"/>
        </w:rPr>
        <w:t>截至</w:t>
      </w:r>
      <w:r>
        <w:rPr>
          <w:spacing w:val="20"/>
          <w:sz w:val="27"/>
          <w:szCs w:val="27"/>
        </w:rPr>
        <w:t>2015</w:t>
      </w:r>
      <w:r>
        <w:rPr>
          <w:spacing w:val="20"/>
          <w:sz w:val="27"/>
          <w:szCs w:val="27"/>
        </w:rPr>
        <w:t>年</w:t>
      </w:r>
      <w:r>
        <w:rPr>
          <w:spacing w:val="20"/>
          <w:sz w:val="27"/>
          <w:szCs w:val="27"/>
        </w:rPr>
        <w:t>2</w:t>
      </w:r>
      <w:r>
        <w:rPr>
          <w:spacing w:val="20"/>
          <w:sz w:val="27"/>
          <w:szCs w:val="27"/>
        </w:rPr>
        <w:t>月</w:t>
      </w:r>
      <w:r>
        <w:rPr>
          <w:spacing w:val="20"/>
          <w:sz w:val="27"/>
          <w:szCs w:val="27"/>
        </w:rPr>
        <w:t>)</w:t>
      </w:r>
    </w:p>
    <w:p>
      <w:pPr>
        <w:pStyle w:val="Normal"/>
        <w:spacing w:lineRule="atLeast" w:line="380"/>
        <w:jc w:val="center"/>
        <w:rPr>
          <w:spacing w:val="20"/>
          <w:sz w:val="27"/>
          <w:szCs w:val="27"/>
        </w:rPr>
      </w:pPr>
      <w:r>
        <w:rPr>
          <w:spacing w:val="20"/>
          <w:sz w:val="27"/>
          <w:szCs w:val="27"/>
        </w:rPr>
      </w:r>
    </w:p>
    <w:tbl>
      <w:tblPr>
        <w:tblStyle w:val="a9"/>
        <w:tblW w:w="9174" w:type="dxa"/>
        <w:jc w:val="left"/>
        <w:tblInd w:w="0" w:type="dxa"/>
        <w:tblCellMar>
          <w:top w:w="0" w:type="dxa"/>
          <w:left w:w="108" w:type="dxa"/>
          <w:bottom w:w="0" w:type="dxa"/>
          <w:right w:w="108" w:type="dxa"/>
        </w:tblCellMar>
        <w:tblLook w:val="01e0" w:noHBand="0" w:noVBand="0" w:firstColumn="1" w:lastRow="1" w:lastColumn="1" w:firstRow="1"/>
      </w:tblPr>
      <w:tblGrid>
        <w:gridCol w:w="1600"/>
        <w:gridCol w:w="3781"/>
        <w:gridCol w:w="3793"/>
      </w:tblGrid>
      <w:tr>
        <w:trPr/>
        <w:tc>
          <w:tcPr>
            <w:tcW w:w="1600" w:type="dxa"/>
            <w:tcBorders/>
          </w:tcPr>
          <w:p>
            <w:pPr>
              <w:pStyle w:val="Normal"/>
              <w:widowControl/>
              <w:spacing w:lineRule="atLeast" w:line="380"/>
              <w:ind w:left="57" w:hanging="0"/>
              <w:rPr>
                <w:spacing w:val="20"/>
                <w:sz w:val="27"/>
                <w:szCs w:val="27"/>
              </w:rPr>
            </w:pPr>
            <w:r>
              <w:rPr>
                <w:spacing w:val="20"/>
                <w:sz w:val="27"/>
                <w:szCs w:val="27"/>
              </w:rPr>
            </w:r>
          </w:p>
        </w:tc>
        <w:tc>
          <w:tcPr>
            <w:tcW w:w="3781" w:type="dxa"/>
            <w:tcBorders/>
          </w:tcPr>
          <w:p>
            <w:pPr>
              <w:pStyle w:val="Normal"/>
              <w:widowControl/>
              <w:spacing w:lineRule="atLeast" w:line="380"/>
              <w:ind w:left="57" w:hanging="0"/>
              <w:jc w:val="center"/>
              <w:rPr>
                <w:i/>
                <w:i/>
                <w:spacing w:val="20"/>
                <w:sz w:val="27"/>
                <w:szCs w:val="27"/>
              </w:rPr>
            </w:pPr>
            <w:r>
              <w:rPr>
                <w:i/>
                <w:spacing w:val="20"/>
                <w:sz w:val="27"/>
                <w:szCs w:val="27"/>
              </w:rPr>
              <w:t>部門首長</w:t>
            </w:r>
            <w:r>
              <w:rPr>
                <w:i/>
                <w:spacing w:val="20"/>
                <w:sz w:val="27"/>
                <w:szCs w:val="27"/>
              </w:rPr>
              <w:br/>
            </w:r>
            <w:r>
              <w:rPr>
                <w:i/>
                <w:spacing w:val="20"/>
                <w:sz w:val="27"/>
                <w:szCs w:val="27"/>
              </w:rPr>
              <w:t>列席區議會會議的次數</w:t>
            </w:r>
          </w:p>
        </w:tc>
        <w:tc>
          <w:tcPr>
            <w:tcW w:w="3793" w:type="dxa"/>
            <w:tcBorders/>
          </w:tcPr>
          <w:p>
            <w:pPr>
              <w:pStyle w:val="Normal"/>
              <w:widowControl/>
              <w:spacing w:lineRule="atLeast" w:line="380"/>
              <w:ind w:left="57" w:hanging="0"/>
              <w:jc w:val="center"/>
              <w:rPr>
                <w:i/>
                <w:i/>
                <w:spacing w:val="20"/>
                <w:sz w:val="27"/>
                <w:szCs w:val="27"/>
              </w:rPr>
            </w:pPr>
            <w:r>
              <w:rPr>
                <w:i/>
                <w:spacing w:val="20"/>
                <w:sz w:val="27"/>
                <w:szCs w:val="27"/>
              </w:rPr>
              <w:t>部門首長</w:t>
            </w:r>
            <w:r>
              <w:rPr>
                <w:i/>
                <w:spacing w:val="20"/>
                <w:sz w:val="27"/>
                <w:szCs w:val="27"/>
              </w:rPr>
              <w:br/>
            </w:r>
            <w:r>
              <w:rPr>
                <w:i/>
                <w:spacing w:val="20"/>
                <w:sz w:val="27"/>
                <w:szCs w:val="27"/>
              </w:rPr>
              <w:t>尚未列席區議會會議的次數</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中西區</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18</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4</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東區</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16</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6</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南區</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19</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3</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灣仔</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16</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6</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九龍城</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19</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3</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觀塘</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16</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6</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深水埗</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17</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5</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黃大仙</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16</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6</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油尖旺</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20</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2</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離島</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17</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5</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葵青</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17</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5</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北區</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18</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4</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西貢</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14</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8</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沙田</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18</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4</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大埔</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20</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2</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荃灣</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19</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3</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屯門</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16</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6</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元朗</w:t>
            </w:r>
          </w:p>
        </w:tc>
        <w:tc>
          <w:tcPr>
            <w:tcW w:w="3781" w:type="dxa"/>
            <w:tcBorders/>
          </w:tcPr>
          <w:p>
            <w:pPr>
              <w:pStyle w:val="Normal"/>
              <w:widowControl/>
              <w:spacing w:lineRule="atLeast" w:line="380"/>
              <w:ind w:left="57" w:hanging="0"/>
              <w:jc w:val="center"/>
              <w:rPr>
                <w:spacing w:val="20"/>
                <w:sz w:val="27"/>
                <w:szCs w:val="27"/>
              </w:rPr>
            </w:pPr>
            <w:r>
              <w:rPr>
                <w:spacing w:val="20"/>
                <w:sz w:val="27"/>
                <w:szCs w:val="27"/>
              </w:rPr>
              <w:t>16</w:t>
            </w:r>
          </w:p>
        </w:tc>
        <w:tc>
          <w:tcPr>
            <w:tcW w:w="3793" w:type="dxa"/>
            <w:tcBorders/>
          </w:tcPr>
          <w:p>
            <w:pPr>
              <w:pStyle w:val="Normal"/>
              <w:widowControl/>
              <w:spacing w:lineRule="atLeast" w:line="380"/>
              <w:ind w:left="57" w:hanging="0"/>
              <w:jc w:val="center"/>
              <w:rPr>
                <w:spacing w:val="20"/>
                <w:sz w:val="27"/>
                <w:szCs w:val="27"/>
              </w:rPr>
            </w:pPr>
            <w:r>
              <w:rPr>
                <w:spacing w:val="20"/>
                <w:sz w:val="27"/>
                <w:szCs w:val="27"/>
              </w:rPr>
              <w:t>6</w:t>
            </w:r>
          </w:p>
        </w:tc>
      </w:tr>
      <w:tr>
        <w:trPr/>
        <w:tc>
          <w:tcPr>
            <w:tcW w:w="1600" w:type="dxa"/>
            <w:tcBorders/>
          </w:tcPr>
          <w:p>
            <w:pPr>
              <w:pStyle w:val="Normal"/>
              <w:widowControl/>
              <w:spacing w:lineRule="atLeast" w:line="380"/>
              <w:ind w:left="57" w:hanging="0"/>
              <w:rPr>
                <w:spacing w:val="20"/>
                <w:sz w:val="27"/>
                <w:szCs w:val="27"/>
              </w:rPr>
            </w:pPr>
            <w:r>
              <w:rPr>
                <w:spacing w:val="20"/>
                <w:sz w:val="27"/>
                <w:szCs w:val="27"/>
              </w:rPr>
              <w:t>總數</w:t>
            </w:r>
          </w:p>
        </w:tc>
        <w:tc>
          <w:tcPr>
            <w:tcW w:w="3781" w:type="dxa"/>
            <w:tcBorders/>
          </w:tcPr>
          <w:p>
            <w:pPr>
              <w:pStyle w:val="Normal"/>
              <w:widowControl/>
              <w:spacing w:lineRule="atLeast" w:line="380"/>
              <w:ind w:left="57" w:right="1694" w:hanging="0"/>
              <w:jc w:val="right"/>
              <w:rPr>
                <w:spacing w:val="20"/>
                <w:sz w:val="27"/>
                <w:szCs w:val="27"/>
              </w:rPr>
            </w:pPr>
            <w:r>
              <w:rPr>
                <w:spacing w:val="20"/>
                <w:sz w:val="27"/>
                <w:szCs w:val="27"/>
              </w:rPr>
              <w:t>312</w:t>
            </w:r>
          </w:p>
        </w:tc>
        <w:tc>
          <w:tcPr>
            <w:tcW w:w="3793" w:type="dxa"/>
            <w:tcBorders/>
          </w:tcPr>
          <w:p>
            <w:pPr>
              <w:pStyle w:val="Normal"/>
              <w:widowControl/>
              <w:spacing w:lineRule="atLeast" w:line="380"/>
              <w:ind w:left="57" w:right="1813" w:hanging="0"/>
              <w:jc w:val="right"/>
              <w:rPr>
                <w:spacing w:val="20"/>
                <w:sz w:val="27"/>
                <w:szCs w:val="27"/>
              </w:rPr>
            </w:pPr>
            <w:r>
              <w:rPr>
                <w:spacing w:val="20"/>
                <w:sz w:val="27"/>
                <w:szCs w:val="27"/>
              </w:rPr>
              <w:t>84</w:t>
            </w:r>
          </w:p>
        </w:tc>
      </w:tr>
    </w:tbl>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spacing w:lineRule="atLeast" w:line="345"/>
        <w:rPr>
          <w:rFonts w:eastAsia="華康中黑體" w:cs="Times New Roman"/>
          <w:b/>
          <w:b/>
        </w:rPr>
      </w:pPr>
      <w:bookmarkStart w:id="54" w:name="wrq21"/>
      <w:r>
        <w:rPr>
          <w:rFonts w:cs="Times New Roman" w:eastAsia="華康中黑體"/>
          <w:b/>
        </w:rPr>
        <w:t>減少車輛廢氣排放及車輛維修人員的培訓和短缺問題</w:t>
      </w:r>
    </w:p>
    <w:p>
      <w:pPr>
        <w:pStyle w:val="F21"/>
        <w:spacing w:lineRule="atLeast" w:line="345"/>
        <w:rPr>
          <w:rFonts w:cs="Times New Roman"/>
          <w:b/>
          <w:b/>
          <w:spacing w:val="0"/>
          <w:sz w:val="28"/>
          <w:szCs w:val="26"/>
          <w:lang w:val="en-GB"/>
        </w:rPr>
      </w:pPr>
      <w:bookmarkStart w:id="55" w:name="wrq21"/>
      <w:r>
        <w:rPr>
          <w:rFonts w:cs="Times New Roman"/>
          <w:b/>
          <w:spacing w:val="0"/>
          <w:sz w:val="28"/>
          <w:szCs w:val="26"/>
          <w:lang w:val="en-GB"/>
        </w:rPr>
        <w:t>Reduction of Vehicle Emissions as well as Training for and Shortage of Vehicle Mechanics</w:t>
      </w:r>
      <w:bookmarkEnd w:id="55"/>
    </w:p>
    <w:p>
      <w:pPr>
        <w:pStyle w:val="F21"/>
        <w:spacing w:lineRule="atLeast" w:line="345"/>
        <w:rPr>
          <w:rFonts w:cs="Times New Roman"/>
        </w:rPr>
      </w:pPr>
      <w:r>
        <w:rPr>
          <w:rFonts w:cs="Times New Roman"/>
        </w:rPr>
      </w:r>
    </w:p>
    <w:p>
      <w:pPr>
        <w:pStyle w:val="F21"/>
        <w:spacing w:lineRule="atLeast" w:line="345"/>
        <w:rPr>
          <w:i/>
          <w:i/>
          <w:szCs w:val="27"/>
        </w:rPr>
      </w:pPr>
      <w:r>
        <w:rPr>
          <w:rFonts w:eastAsia="華康中黑體"/>
          <w:b/>
          <w:szCs w:val="27"/>
        </w:rPr>
        <w:t>21.</w:t>
        <w:tab/>
      </w:r>
      <w:r>
        <w:rPr>
          <w:rFonts w:eastAsia="華康中黑體"/>
          <w:b/>
          <w:szCs w:val="27"/>
        </w:rPr>
        <w:t>陳克勤議員</w:t>
      </w:r>
      <w:r>
        <w:rPr>
          <w:szCs w:val="27"/>
        </w:rPr>
        <w:t>：</w:t>
      </w:r>
      <w:r>
        <w:rPr>
          <w:i/>
          <w:szCs w:val="27"/>
        </w:rPr>
        <w:t>主席，據悉，車輛欠缺妥善維修會增加廢氣排放。關於減少本港車輛的廢氣排放及車輛維修人員的培訓和短缺問題，政府可否告知本會：</w:t>
      </w:r>
    </w:p>
    <w:p>
      <w:pPr>
        <w:pStyle w:val="F21"/>
        <w:spacing w:lineRule="atLeast" w:line="345"/>
        <w:rPr>
          <w:i/>
          <w:i/>
          <w:szCs w:val="27"/>
        </w:rPr>
      </w:pPr>
      <w:r>
        <w:rPr>
          <w:i/>
          <w:szCs w:val="27"/>
        </w:rPr>
      </w:r>
    </w:p>
    <w:p>
      <w:pPr>
        <w:pStyle w:val="Style13"/>
        <w:spacing w:lineRule="atLeast" w:line="345"/>
        <w:rPr>
          <w:szCs w:val="27"/>
        </w:rPr>
      </w:pPr>
      <w:r>
        <w:rPr>
          <w:szCs w:val="27"/>
        </w:rPr>
        <w:t>(</w:t>
      </w:r>
      <w:r>
        <w:rPr>
          <w:szCs w:val="27"/>
        </w:rPr>
        <w:t>一</w:t>
      </w:r>
      <w:r>
        <w:rPr>
          <w:szCs w:val="27"/>
        </w:rPr>
        <w:t>)</w:t>
        <w:tab/>
      </w:r>
      <w:r>
        <w:rPr>
          <w:szCs w:val="27"/>
        </w:rPr>
        <w:t>鑒於政府在</w:t>
      </w:r>
      <w:r>
        <w:rPr>
          <w:szCs w:val="27"/>
        </w:rPr>
        <w:t>2014</w:t>
      </w:r>
      <w:r>
        <w:rPr>
          <w:szCs w:val="27"/>
        </w:rPr>
        <w:t>年</w:t>
      </w:r>
      <w:r>
        <w:rPr>
          <w:szCs w:val="27"/>
        </w:rPr>
        <w:t>3</w:t>
      </w:r>
      <w:r>
        <w:rPr>
          <w:szCs w:val="27"/>
        </w:rPr>
        <w:t>月推行特惠資助計劃，逐步淘汰全港超過</w:t>
      </w:r>
      <w:r>
        <w:rPr>
          <w:szCs w:val="27"/>
        </w:rPr>
        <w:t>8</w:t>
      </w:r>
      <w:r>
        <w:rPr>
          <w:szCs w:val="27"/>
        </w:rPr>
        <w:t>萬部歐盟</w:t>
      </w:r>
      <w:r>
        <w:rPr>
          <w:szCs w:val="27"/>
        </w:rPr>
        <w:t>IV</w:t>
      </w:r>
      <w:r>
        <w:rPr>
          <w:szCs w:val="27"/>
        </w:rPr>
        <w:t>期以前的柴油商業車輛</w:t>
      </w:r>
      <w:r>
        <w:rPr>
          <w:szCs w:val="27"/>
        </w:rPr>
        <w:t>(</w:t>
      </w:r>
      <w:r>
        <w:rPr>
          <w:szCs w:val="27"/>
        </w:rPr>
        <w:t>包括小型巴士和非專利巴士</w:t>
      </w:r>
      <w:r>
        <w:rPr>
          <w:szCs w:val="27"/>
        </w:rPr>
        <w:t>)</w:t>
      </w:r>
      <w:r>
        <w:rPr>
          <w:szCs w:val="27"/>
        </w:rPr>
        <w:t>，目標是在</w:t>
      </w:r>
      <w:r>
        <w:rPr>
          <w:szCs w:val="27"/>
        </w:rPr>
        <w:t>2020</w:t>
      </w:r>
      <w:r>
        <w:rPr>
          <w:szCs w:val="27"/>
        </w:rPr>
        <w:t>年完全淘汰高污染的柴油商業車輛，當局有否評估該計劃推行至今的成效，包括能否達至目標；若有評估，結果為何；</w:t>
      </w:r>
    </w:p>
    <w:p>
      <w:pPr>
        <w:pStyle w:val="Style13"/>
        <w:spacing w:lineRule="atLeast" w:line="345"/>
        <w:rPr>
          <w:szCs w:val="27"/>
        </w:rPr>
      </w:pPr>
      <w:r>
        <w:rPr>
          <w:szCs w:val="27"/>
        </w:rPr>
      </w:r>
    </w:p>
    <w:p>
      <w:pPr>
        <w:pStyle w:val="Style13"/>
        <w:spacing w:lineRule="atLeast" w:line="345"/>
        <w:rPr>
          <w:szCs w:val="27"/>
        </w:rPr>
      </w:pPr>
      <w:r>
        <w:rPr>
          <w:szCs w:val="27"/>
        </w:rPr>
        <w:t>(</w:t>
      </w:r>
      <w:r>
        <w:rPr>
          <w:szCs w:val="27"/>
        </w:rPr>
        <w:t>二</w:t>
      </w:r>
      <w:r>
        <w:rPr>
          <w:szCs w:val="27"/>
        </w:rPr>
        <w:t>)</w:t>
        <w:tab/>
      </w:r>
      <w:r>
        <w:rPr>
          <w:szCs w:val="27"/>
        </w:rPr>
        <w:t>鑒於有評論指出，現時柴油商業車輛每年的檢驗所採用的“怠速測試”方法，未能有效檢測氮氧化物及可吸入懸浮粒子的排放量，政府有何措施改善；</w:t>
      </w:r>
    </w:p>
    <w:p>
      <w:pPr>
        <w:pStyle w:val="Style13"/>
        <w:spacing w:lineRule="atLeast" w:line="345"/>
        <w:rPr>
          <w:szCs w:val="27"/>
        </w:rPr>
      </w:pPr>
      <w:r>
        <w:rPr>
          <w:szCs w:val="27"/>
        </w:rPr>
      </w:r>
    </w:p>
    <w:p>
      <w:pPr>
        <w:pStyle w:val="Style13"/>
        <w:spacing w:lineRule="atLeast" w:line="345"/>
        <w:rPr>
          <w:szCs w:val="27"/>
        </w:rPr>
      </w:pPr>
      <w:r>
        <w:rPr>
          <w:szCs w:val="27"/>
        </w:rPr>
        <w:t>(</w:t>
      </w:r>
      <w:r>
        <w:rPr>
          <w:szCs w:val="27"/>
        </w:rPr>
        <w:t>三</w:t>
      </w:r>
      <w:r>
        <w:rPr>
          <w:szCs w:val="27"/>
        </w:rPr>
        <w:t>)</w:t>
        <w:tab/>
      </w:r>
      <w:r>
        <w:rPr>
          <w:szCs w:val="27"/>
        </w:rPr>
        <w:t>鑒於當局推出環保商用車輛稅務寬減計劃，以鼓勵車主購買廢氣排放量少的環保商用車輛，有否評估該計劃的成效為何；若有評估，結果為何；</w:t>
      </w:r>
    </w:p>
    <w:p>
      <w:pPr>
        <w:pStyle w:val="Style13"/>
        <w:spacing w:lineRule="atLeast" w:line="345"/>
        <w:rPr>
          <w:szCs w:val="27"/>
        </w:rPr>
      </w:pPr>
      <w:r>
        <w:rPr>
          <w:szCs w:val="27"/>
        </w:rPr>
      </w:r>
    </w:p>
    <w:p>
      <w:pPr>
        <w:pStyle w:val="Style13"/>
        <w:spacing w:lineRule="atLeast" w:line="345"/>
        <w:rPr>
          <w:szCs w:val="27"/>
        </w:rPr>
      </w:pPr>
      <w:r>
        <w:rPr>
          <w:szCs w:val="27"/>
        </w:rPr>
        <w:t>(</w:t>
      </w:r>
      <w:r>
        <w:rPr>
          <w:szCs w:val="27"/>
        </w:rPr>
        <w:t>四</w:t>
      </w:r>
      <w:r>
        <w:rPr>
          <w:szCs w:val="27"/>
        </w:rPr>
        <w:t>)</w:t>
        <w:tab/>
      </w:r>
      <w:r>
        <w:rPr>
          <w:szCs w:val="27"/>
        </w:rPr>
        <w:t>鑒於政府推行的車輛維修技工自願註冊計劃對車輛維修技工的技能及資格作出分類及規範，現時該計劃下各類註冊技工的數目分別為何；是否知悉，該等數目佔車輛維修從業員總人數的百分比分別為何；</w:t>
      </w:r>
    </w:p>
    <w:p>
      <w:pPr>
        <w:pStyle w:val="Style13"/>
        <w:spacing w:lineRule="atLeast" w:line="345"/>
        <w:rPr>
          <w:szCs w:val="27"/>
        </w:rPr>
      </w:pPr>
      <w:r>
        <w:rPr>
          <w:szCs w:val="27"/>
        </w:rPr>
      </w:r>
    </w:p>
    <w:p>
      <w:pPr>
        <w:pStyle w:val="Style13"/>
        <w:spacing w:lineRule="atLeast" w:line="345"/>
        <w:rPr>
          <w:szCs w:val="27"/>
        </w:rPr>
      </w:pPr>
      <w:r>
        <w:rPr>
          <w:szCs w:val="27"/>
        </w:rPr>
        <w:t>(</w:t>
      </w:r>
      <w:r>
        <w:rPr>
          <w:szCs w:val="27"/>
        </w:rPr>
        <w:t>五</w:t>
      </w:r>
      <w:r>
        <w:rPr>
          <w:szCs w:val="27"/>
        </w:rPr>
        <w:t>)</w:t>
        <w:tab/>
      </w:r>
      <w:r>
        <w:rPr>
          <w:szCs w:val="27"/>
        </w:rPr>
        <w:t>是否知悉現時本地有關汽車維修培訓課程的數目為何；政府會否向職業訓練局提供更多資源，以加強車輛維修技工的技術培訓；及</w:t>
      </w:r>
    </w:p>
    <w:p>
      <w:pPr>
        <w:pStyle w:val="Style13"/>
        <w:spacing w:lineRule="atLeast" w:line="345"/>
        <w:rPr>
          <w:szCs w:val="27"/>
        </w:rPr>
      </w:pPr>
      <w:r>
        <w:rPr>
          <w:szCs w:val="27"/>
        </w:rPr>
      </w:r>
    </w:p>
    <w:p>
      <w:pPr>
        <w:pStyle w:val="Style13"/>
        <w:spacing w:lineRule="atLeast" w:line="345"/>
        <w:rPr>
          <w:szCs w:val="27"/>
        </w:rPr>
      </w:pPr>
      <w:r>
        <w:rPr>
          <w:szCs w:val="27"/>
        </w:rPr>
        <w:t>(</w:t>
      </w:r>
      <w:r>
        <w:rPr>
          <w:szCs w:val="27"/>
        </w:rPr>
        <w:t>六</w:t>
      </w:r>
      <w:r>
        <w:rPr>
          <w:szCs w:val="27"/>
        </w:rPr>
        <w:t>)</w:t>
        <w:tab/>
      </w:r>
      <w:r>
        <w:rPr>
          <w:szCs w:val="27"/>
        </w:rPr>
        <w:t>鑒於本人得悉近年車輛維修技工出現人手短缺情況，政府有何措施緩解該問題？</w:t>
      </w:r>
    </w:p>
    <w:p>
      <w:pPr>
        <w:pStyle w:val="Style13"/>
        <w:spacing w:lineRule="atLeast" w:line="345"/>
        <w:ind w:left="0" w:hanging="0"/>
        <w:rPr>
          <w:szCs w:val="27"/>
        </w:rPr>
      </w:pPr>
      <w:r>
        <w:rPr>
          <w:szCs w:val="27"/>
        </w:rPr>
      </w:r>
    </w:p>
    <w:p>
      <w:pPr>
        <w:pStyle w:val="Style13"/>
        <w:spacing w:lineRule="atLeast" w:line="345"/>
        <w:ind w:left="0" w:hanging="0"/>
        <w:rPr>
          <w:szCs w:val="27"/>
        </w:rPr>
      </w:pPr>
      <w:r>
        <w:rPr>
          <w:szCs w:val="27"/>
        </w:rPr>
      </w:r>
    </w:p>
    <w:p>
      <w:pPr>
        <w:pStyle w:val="F21"/>
        <w:spacing w:lineRule="atLeast" w:line="345"/>
        <w:rPr>
          <w:szCs w:val="26"/>
        </w:rPr>
      </w:pPr>
      <w:r>
        <w:rPr>
          <w:rFonts w:ascii="華康中黑體" w:hAnsi="華康中黑體" w:eastAsia="華康中黑體"/>
          <w:b/>
        </w:rPr>
        <w:t>環境局局長</w:t>
      </w:r>
      <w:r>
        <w:rPr/>
        <w:t>：主席，</w:t>
      </w:r>
    </w:p>
    <w:p>
      <w:pPr>
        <w:pStyle w:val="F21"/>
        <w:spacing w:lineRule="atLeast" w:line="345"/>
        <w:rPr/>
      </w:pPr>
      <w:r>
        <w:rPr/>
      </w:r>
    </w:p>
    <w:p>
      <w:pPr>
        <w:pStyle w:val="Style13"/>
        <w:spacing w:lineRule="atLeast" w:line="345"/>
        <w:rPr>
          <w:i w:val="false"/>
          <w:i w:val="false"/>
          <w:szCs w:val="27"/>
        </w:rPr>
      </w:pPr>
      <w:r>
        <w:rPr>
          <w:i w:val="false"/>
          <w:szCs w:val="27"/>
        </w:rPr>
        <w:t>(</w:t>
      </w:r>
      <w:r>
        <w:rPr>
          <w:i w:val="false"/>
          <w:szCs w:val="27"/>
        </w:rPr>
        <w:t>一</w:t>
      </w:r>
      <w:r>
        <w:rPr>
          <w:i w:val="false"/>
          <w:szCs w:val="27"/>
        </w:rPr>
        <w:t>)</w:t>
        <w:tab/>
      </w:r>
      <w:r>
        <w:rPr>
          <w:i w:val="false"/>
          <w:szCs w:val="27"/>
        </w:rPr>
        <w:t>柴油商業車是香港路邊空氣污染的主要源頭之一。為改善路邊空氣質素和保障市民健康，環境保護署</w:t>
      </w:r>
      <w:r>
        <w:rPr>
          <w:i w:val="false"/>
          <w:szCs w:val="27"/>
        </w:rPr>
        <w:t>(“</w:t>
      </w:r>
      <w:r>
        <w:rPr>
          <w:i w:val="false"/>
          <w:szCs w:val="27"/>
        </w:rPr>
        <w:t>環保署”</w:t>
      </w:r>
      <w:r>
        <w:rPr>
          <w:i w:val="false"/>
          <w:szCs w:val="27"/>
        </w:rPr>
        <w:t>)</w:t>
      </w:r>
      <w:r>
        <w:rPr>
          <w:i w:val="false"/>
          <w:szCs w:val="27"/>
        </w:rPr>
        <w:t>於</w:t>
      </w:r>
      <w:r>
        <w:rPr>
          <w:i w:val="false"/>
          <w:szCs w:val="27"/>
        </w:rPr>
        <w:t>2014</w:t>
      </w:r>
      <w:r>
        <w:rPr>
          <w:i w:val="false"/>
          <w:szCs w:val="27"/>
        </w:rPr>
        <w:t>年</w:t>
      </w:r>
      <w:r>
        <w:rPr>
          <w:i w:val="false"/>
          <w:szCs w:val="27"/>
        </w:rPr>
        <w:t>3</w:t>
      </w:r>
      <w:r>
        <w:rPr>
          <w:i w:val="false"/>
          <w:szCs w:val="27"/>
        </w:rPr>
        <w:t>月推行鼓勵與管制並行計劃，目標是在</w:t>
      </w:r>
      <w:r>
        <w:rPr>
          <w:i w:val="false"/>
          <w:szCs w:val="27"/>
        </w:rPr>
        <w:t>2019</w:t>
      </w:r>
      <w:r>
        <w:rPr>
          <w:i w:val="false"/>
          <w:szCs w:val="27"/>
        </w:rPr>
        <w:t>年年底前逐步淘汰約</w:t>
      </w:r>
      <w:r>
        <w:rPr>
          <w:i w:val="false"/>
          <w:szCs w:val="27"/>
        </w:rPr>
        <w:t>82 000</w:t>
      </w:r>
      <w:r>
        <w:rPr>
          <w:i w:val="false"/>
          <w:szCs w:val="27"/>
        </w:rPr>
        <w:t>輛歐盟</w:t>
      </w:r>
      <w:r>
        <w:rPr>
          <w:i w:val="false"/>
          <w:szCs w:val="27"/>
        </w:rPr>
        <w:t>IV</w:t>
      </w:r>
      <w:r>
        <w:rPr>
          <w:i w:val="false"/>
          <w:szCs w:val="27"/>
        </w:rPr>
        <w:t>期以前的柴油商業車，並撥出</w:t>
      </w:r>
      <w:r>
        <w:rPr>
          <w:i w:val="false"/>
          <w:szCs w:val="27"/>
        </w:rPr>
        <w:t>114</w:t>
      </w:r>
      <w:r>
        <w:rPr>
          <w:i w:val="false"/>
          <w:szCs w:val="27"/>
        </w:rPr>
        <w:t>億元作特惠資助以幫助受影響車主。</w:t>
      </w:r>
    </w:p>
    <w:p>
      <w:pPr>
        <w:pStyle w:val="Style13"/>
        <w:rPr>
          <w:i w:val="false"/>
          <w:i w:val="false"/>
          <w:szCs w:val="27"/>
        </w:rPr>
      </w:pPr>
      <w:r>
        <w:rPr>
          <w:i w:val="false"/>
          <w:szCs w:val="27"/>
        </w:rPr>
      </w:r>
    </w:p>
    <w:p>
      <w:pPr>
        <w:pStyle w:val="Style13"/>
        <w:rPr>
          <w:i w:val="false"/>
          <w:i w:val="false"/>
          <w:szCs w:val="27"/>
        </w:rPr>
      </w:pPr>
      <w:r>
        <w:rPr>
          <w:i w:val="false"/>
          <w:szCs w:val="27"/>
        </w:rPr>
        <w:tab/>
      </w:r>
      <w:r>
        <w:rPr>
          <w:i w:val="false"/>
          <w:szCs w:val="27"/>
        </w:rPr>
        <w:t>計劃自推出至今進展良好。截至本年</w:t>
      </w:r>
      <w:r>
        <w:rPr>
          <w:i w:val="false"/>
          <w:szCs w:val="27"/>
        </w:rPr>
        <w:t>2</w:t>
      </w:r>
      <w:r>
        <w:rPr>
          <w:i w:val="false"/>
          <w:szCs w:val="27"/>
        </w:rPr>
        <w:t>月底，已有約</w:t>
      </w:r>
      <w:r>
        <w:rPr>
          <w:i w:val="false"/>
          <w:szCs w:val="27"/>
        </w:rPr>
        <w:t>23 600</w:t>
      </w:r>
      <w:r>
        <w:rPr>
          <w:i w:val="false"/>
          <w:szCs w:val="27"/>
        </w:rPr>
        <w:t>輛歐盟</w:t>
      </w:r>
      <w:r>
        <w:rPr>
          <w:i w:val="false"/>
          <w:szCs w:val="27"/>
        </w:rPr>
        <w:t>IV</w:t>
      </w:r>
      <w:r>
        <w:rPr>
          <w:i w:val="false"/>
          <w:szCs w:val="27"/>
        </w:rPr>
        <w:t>期以前柴油商業車在特惠資助計劃下退役，約佔合資格車輛</w:t>
      </w:r>
      <w:r>
        <w:rPr>
          <w:i w:val="false"/>
          <w:szCs w:val="27"/>
        </w:rPr>
        <w:t>29%</w:t>
      </w:r>
      <w:r>
        <w:rPr>
          <w:i w:val="false"/>
          <w:szCs w:val="27"/>
        </w:rPr>
        <w:t>。為確保所有歐盟</w:t>
      </w:r>
      <w:r>
        <w:rPr>
          <w:i w:val="false"/>
          <w:szCs w:val="27"/>
        </w:rPr>
        <w:t>IV</w:t>
      </w:r>
      <w:r>
        <w:rPr>
          <w:i w:val="false"/>
          <w:szCs w:val="27"/>
        </w:rPr>
        <w:t>期以前的柴油商業車在</w:t>
      </w:r>
      <w:r>
        <w:rPr>
          <w:i w:val="false"/>
          <w:szCs w:val="27"/>
        </w:rPr>
        <w:t>2020</w:t>
      </w:r>
      <w:r>
        <w:rPr>
          <w:i w:val="false"/>
          <w:szCs w:val="27"/>
        </w:rPr>
        <w:t>年前如期淘汰，在</w:t>
      </w:r>
      <w:r>
        <w:rPr>
          <w:i w:val="false"/>
          <w:szCs w:val="27"/>
        </w:rPr>
        <w:t>2013</w:t>
      </w:r>
      <w:r>
        <w:rPr>
          <w:i w:val="false"/>
          <w:szCs w:val="27"/>
        </w:rPr>
        <w:t>年</w:t>
      </w:r>
      <w:r>
        <w:rPr>
          <w:i w:val="false"/>
          <w:szCs w:val="27"/>
        </w:rPr>
        <w:t>12</w:t>
      </w:r>
      <w:r>
        <w:rPr>
          <w:i w:val="false"/>
          <w:szCs w:val="27"/>
        </w:rPr>
        <w:t>月</w:t>
      </w:r>
      <w:r>
        <w:rPr>
          <w:i w:val="false"/>
          <w:szCs w:val="27"/>
        </w:rPr>
        <w:t>18</w:t>
      </w:r>
      <w:r>
        <w:rPr>
          <w:i w:val="false"/>
          <w:szCs w:val="27"/>
        </w:rPr>
        <w:t>日獲立法會通過的《空氣污染管制</w:t>
      </w:r>
      <w:r>
        <w:rPr>
          <w:i w:val="false"/>
          <w:szCs w:val="27"/>
        </w:rPr>
        <w:t>(</w:t>
      </w:r>
      <w:r>
        <w:rPr>
          <w:i w:val="false"/>
          <w:szCs w:val="27"/>
        </w:rPr>
        <w:t>空氣污染物排放</w:t>
      </w:r>
      <w:r>
        <w:rPr>
          <w:i w:val="false"/>
          <w:szCs w:val="27"/>
        </w:rPr>
        <w:t>)(</w:t>
      </w:r>
      <w:r>
        <w:rPr>
          <w:i w:val="false"/>
          <w:szCs w:val="27"/>
        </w:rPr>
        <w:t>受管制車輛</w:t>
      </w:r>
      <w:r>
        <w:rPr>
          <w:i w:val="false"/>
          <w:szCs w:val="27"/>
        </w:rPr>
        <w:t>)</w:t>
      </w:r>
      <w:r>
        <w:rPr>
          <w:i w:val="false"/>
          <w:szCs w:val="27"/>
        </w:rPr>
        <w:t>規例》，我們已訂明不為這些車續牌的時間表。</w:t>
      </w:r>
    </w:p>
    <w:p>
      <w:pPr>
        <w:pStyle w:val="Style13"/>
        <w:rPr>
          <w:i w:val="false"/>
          <w:i w:val="false"/>
          <w:szCs w:val="27"/>
        </w:rPr>
      </w:pPr>
      <w:r>
        <w:rPr>
          <w:i w:val="false"/>
          <w:szCs w:val="27"/>
        </w:rPr>
      </w:r>
    </w:p>
    <w:p>
      <w:pPr>
        <w:pStyle w:val="Style13"/>
        <w:rPr>
          <w:i w:val="false"/>
          <w:i w:val="false"/>
          <w:szCs w:val="27"/>
        </w:rPr>
      </w:pPr>
      <w:r>
        <w:rPr>
          <w:i w:val="false"/>
          <w:szCs w:val="27"/>
        </w:rPr>
        <w:t>(</w:t>
      </w:r>
      <w:r>
        <w:rPr>
          <w:i w:val="false"/>
          <w:szCs w:val="27"/>
        </w:rPr>
        <w:t>二</w:t>
      </w:r>
      <w:r>
        <w:rPr>
          <w:i w:val="false"/>
          <w:szCs w:val="27"/>
        </w:rPr>
        <w:t>)</w:t>
        <w:tab/>
      </w:r>
      <w:r>
        <w:rPr>
          <w:i w:val="false"/>
          <w:szCs w:val="27"/>
        </w:rPr>
        <w:t>由於受現時柴油車的測試技術所限，世界先進地區如北美及歐洲都是以黑煙排放濃度作為柴油商業車是否妥善維修的指標。為確保測試能反映車輛在行駛時的黑煙排放，環保署由</w:t>
      </w:r>
      <w:r>
        <w:rPr>
          <w:i w:val="false"/>
          <w:szCs w:val="27"/>
        </w:rPr>
        <w:t>2002</w:t>
      </w:r>
      <w:r>
        <w:rPr>
          <w:i w:val="false"/>
          <w:szCs w:val="27"/>
        </w:rPr>
        <w:t>年起在黑煙車輛管制計劃下全面引入以功率機輔助進行的柴油車黑煙測試；運輸署也在車輛年檢時，透過隨機抽樣以功率機輔助進行的黑煙測試檢查部分柴油車。經強化的黑煙車輛管制計劃成功地提升了車主妥善保養維修車輛的意識和社會上對這問題的關注，令黑煙車數目大幅減少，被舉報而需測試的黑煙車的數字已由</w:t>
      </w:r>
      <w:r>
        <w:rPr>
          <w:i w:val="false"/>
          <w:szCs w:val="27"/>
        </w:rPr>
        <w:t>2000</w:t>
      </w:r>
      <w:r>
        <w:rPr>
          <w:i w:val="false"/>
          <w:szCs w:val="27"/>
        </w:rPr>
        <w:t>年的</w:t>
      </w:r>
      <w:r>
        <w:rPr>
          <w:i w:val="false"/>
          <w:szCs w:val="27"/>
        </w:rPr>
        <w:t>46 263</w:t>
      </w:r>
      <w:r>
        <w:rPr>
          <w:i w:val="false"/>
          <w:szCs w:val="27"/>
        </w:rPr>
        <w:t>輛減少至</w:t>
      </w:r>
      <w:r>
        <w:rPr>
          <w:i w:val="false"/>
          <w:szCs w:val="27"/>
        </w:rPr>
        <w:t>2014</w:t>
      </w:r>
      <w:r>
        <w:rPr>
          <w:i w:val="false"/>
          <w:szCs w:val="27"/>
        </w:rPr>
        <w:t>年的</w:t>
      </w:r>
      <w:r>
        <w:rPr>
          <w:i w:val="false"/>
          <w:szCs w:val="27"/>
        </w:rPr>
        <w:t>5 491</w:t>
      </w:r>
      <w:r>
        <w:rPr>
          <w:i w:val="false"/>
          <w:szCs w:val="27"/>
        </w:rPr>
        <w:t>輛，減幅近九成。至於測試黑煙以外的排放</w:t>
      </w:r>
      <w:r>
        <w:rPr>
          <w:i w:val="false"/>
          <w:szCs w:val="27"/>
        </w:rPr>
        <w:t>(</w:t>
      </w:r>
      <w:r>
        <w:rPr>
          <w:i w:val="false"/>
          <w:szCs w:val="27"/>
        </w:rPr>
        <w:t>如氮氧化物及可吸入懸浮粒子</w:t>
      </w:r>
      <w:r>
        <w:rPr>
          <w:i w:val="false"/>
          <w:szCs w:val="27"/>
        </w:rPr>
        <w:t>)</w:t>
      </w:r>
      <w:r>
        <w:rPr>
          <w:i w:val="false"/>
          <w:szCs w:val="27"/>
        </w:rPr>
        <w:t>，我們會繼續密切留意相關測試技術的發展，並在適當時候便會研究引入相關測試的可行性。</w:t>
      </w:r>
    </w:p>
    <w:p>
      <w:pPr>
        <w:pStyle w:val="Style13"/>
        <w:rPr>
          <w:i w:val="false"/>
          <w:i w:val="false"/>
          <w:szCs w:val="27"/>
        </w:rPr>
      </w:pPr>
      <w:r>
        <w:rPr>
          <w:i w:val="false"/>
          <w:szCs w:val="27"/>
        </w:rPr>
      </w:r>
    </w:p>
    <w:p>
      <w:pPr>
        <w:pStyle w:val="Style13"/>
        <w:rPr>
          <w:i w:val="false"/>
          <w:i w:val="false"/>
          <w:szCs w:val="27"/>
        </w:rPr>
      </w:pPr>
      <w:r>
        <w:rPr>
          <w:i w:val="false"/>
          <w:szCs w:val="27"/>
        </w:rPr>
        <w:t>(</w:t>
      </w:r>
      <w:r>
        <w:rPr>
          <w:i w:val="false"/>
          <w:szCs w:val="27"/>
        </w:rPr>
        <w:t>三</w:t>
      </w:r>
      <w:r>
        <w:rPr>
          <w:i w:val="false"/>
          <w:szCs w:val="27"/>
        </w:rPr>
        <w:t>)</w:t>
        <w:tab/>
      </w:r>
      <w:r>
        <w:rPr>
          <w:i w:val="false"/>
          <w:szCs w:val="27"/>
        </w:rPr>
        <w:t>環保署於</w:t>
      </w:r>
      <w:r>
        <w:rPr>
          <w:i w:val="false"/>
          <w:szCs w:val="27"/>
        </w:rPr>
        <w:t>2008</w:t>
      </w:r>
      <w:r>
        <w:rPr>
          <w:i w:val="false"/>
          <w:szCs w:val="27"/>
        </w:rPr>
        <w:t>年</w:t>
      </w:r>
      <w:r>
        <w:rPr>
          <w:i w:val="false"/>
          <w:szCs w:val="27"/>
        </w:rPr>
        <w:t>4</w:t>
      </w:r>
      <w:r>
        <w:rPr>
          <w:i w:val="false"/>
          <w:szCs w:val="27"/>
        </w:rPr>
        <w:t>月</w:t>
      </w:r>
      <w:r>
        <w:rPr>
          <w:i w:val="false"/>
          <w:szCs w:val="27"/>
        </w:rPr>
        <w:t>1</w:t>
      </w:r>
      <w:r>
        <w:rPr>
          <w:i w:val="false"/>
          <w:szCs w:val="27"/>
        </w:rPr>
        <w:t>日推出環保商用車輛稅務寬減計劃，透過寬減首次登記稅以鼓勵購車人士選用排放表現更佳的商用車，以改善路邊空氣質素。為確保稅務寬減只提供予有卓越排放表現的商用車輛，環保署每年會按汽車科技發展情況及當時新登記車輛廢氣排放的法定標準檢討認可標準，有關結果會在接着的</w:t>
      </w:r>
      <w:r>
        <w:rPr>
          <w:i w:val="false"/>
          <w:szCs w:val="27"/>
        </w:rPr>
        <w:t>4</w:t>
      </w:r>
      <w:r>
        <w:rPr>
          <w:i w:val="false"/>
          <w:szCs w:val="27"/>
        </w:rPr>
        <w:t>月實施。</w:t>
      </w:r>
    </w:p>
    <w:p>
      <w:pPr>
        <w:pStyle w:val="Style13"/>
        <w:rPr>
          <w:i w:val="false"/>
          <w:i w:val="false"/>
          <w:szCs w:val="27"/>
        </w:rPr>
      </w:pPr>
      <w:r>
        <w:rPr>
          <w:i w:val="false"/>
          <w:szCs w:val="27"/>
        </w:rPr>
      </w:r>
    </w:p>
    <w:p>
      <w:pPr>
        <w:pStyle w:val="Style13"/>
        <w:rPr>
          <w:i w:val="false"/>
          <w:i w:val="false"/>
          <w:szCs w:val="27"/>
        </w:rPr>
      </w:pPr>
      <w:r>
        <w:rPr>
          <w:i w:val="false"/>
          <w:szCs w:val="27"/>
        </w:rPr>
        <w:tab/>
      </w:r>
      <w:r>
        <w:rPr>
          <w:i w:val="false"/>
          <w:szCs w:val="27"/>
        </w:rPr>
        <w:t>由於歐盟</w:t>
      </w:r>
      <w:r>
        <w:rPr>
          <w:i w:val="false"/>
          <w:szCs w:val="27"/>
        </w:rPr>
        <w:t>VI</w:t>
      </w:r>
      <w:r>
        <w:rPr>
          <w:i w:val="false"/>
          <w:szCs w:val="27"/>
        </w:rPr>
        <w:t>期重型商用車</w:t>
      </w:r>
      <w:r>
        <w:rPr>
          <w:i w:val="false"/>
          <w:szCs w:val="27"/>
        </w:rPr>
        <w:t>(</w:t>
      </w:r>
      <w:r>
        <w:rPr>
          <w:i w:val="false"/>
          <w:szCs w:val="27"/>
        </w:rPr>
        <w:t>車重超逾</w:t>
      </w:r>
      <w:r>
        <w:rPr>
          <w:i w:val="false"/>
          <w:szCs w:val="27"/>
        </w:rPr>
        <w:t>3.5</w:t>
      </w:r>
      <w:r>
        <w:rPr>
          <w:i w:val="false"/>
          <w:szCs w:val="27"/>
        </w:rPr>
        <w:t>公噸</w:t>
      </w:r>
      <w:r>
        <w:rPr>
          <w:i w:val="false"/>
          <w:szCs w:val="27"/>
        </w:rPr>
        <w:t>)</w:t>
      </w:r>
      <w:r>
        <w:rPr>
          <w:i w:val="false"/>
          <w:szCs w:val="27"/>
        </w:rPr>
        <w:t>的型號在本地的供應日漸增加，環保署將由本年</w:t>
      </w:r>
      <w:r>
        <w:rPr>
          <w:i w:val="false"/>
          <w:szCs w:val="27"/>
        </w:rPr>
        <w:t>4</w:t>
      </w:r>
      <w:r>
        <w:rPr>
          <w:i w:val="false"/>
          <w:szCs w:val="27"/>
        </w:rPr>
        <w:t>月</w:t>
      </w:r>
      <w:r>
        <w:rPr>
          <w:i w:val="false"/>
          <w:szCs w:val="27"/>
        </w:rPr>
        <w:t>1</w:t>
      </w:r>
      <w:r>
        <w:rPr>
          <w:i w:val="false"/>
          <w:szCs w:val="27"/>
        </w:rPr>
        <w:t>日起收緊環保重型商用車的認可標準至歐盟</w:t>
      </w:r>
      <w:r>
        <w:rPr>
          <w:i w:val="false"/>
          <w:szCs w:val="27"/>
        </w:rPr>
        <w:t>VI</w:t>
      </w:r>
      <w:r>
        <w:rPr>
          <w:i w:val="false"/>
          <w:szCs w:val="27"/>
        </w:rPr>
        <w:t>期，以鼓勵車主選購更低排放的歐盟</w:t>
      </w:r>
      <w:r>
        <w:rPr>
          <w:i w:val="false"/>
          <w:szCs w:val="27"/>
        </w:rPr>
        <w:t>VI</w:t>
      </w:r>
      <w:r>
        <w:rPr>
          <w:i w:val="false"/>
          <w:szCs w:val="27"/>
        </w:rPr>
        <w:t>期重型商用車和車輛製造商將更多歐盟</w:t>
      </w:r>
      <w:r>
        <w:rPr>
          <w:i w:val="false"/>
          <w:szCs w:val="27"/>
        </w:rPr>
        <w:t>VI</w:t>
      </w:r>
      <w:r>
        <w:rPr>
          <w:i w:val="false"/>
          <w:szCs w:val="27"/>
        </w:rPr>
        <w:t>期重型商用車的型號引入香港。這有助我們早日把歐盟</w:t>
      </w:r>
      <w:r>
        <w:rPr>
          <w:i w:val="false"/>
          <w:szCs w:val="27"/>
        </w:rPr>
        <w:t>VI</w:t>
      </w:r>
      <w:r>
        <w:rPr>
          <w:i w:val="false"/>
          <w:szCs w:val="27"/>
        </w:rPr>
        <w:t>期訂定為新登記重型商用車的廢氣排放法定標準。</w:t>
      </w:r>
      <w:r>
        <w:br w:type="page"/>
      </w:r>
    </w:p>
    <w:p>
      <w:pPr>
        <w:pStyle w:val="Style13"/>
        <w:rPr>
          <w:i w:val="false"/>
          <w:i w:val="false"/>
          <w:szCs w:val="27"/>
        </w:rPr>
      </w:pPr>
      <w:r>
        <w:rPr>
          <w:i w:val="false"/>
          <w:szCs w:val="27"/>
        </w:rPr>
        <w:tab/>
      </w:r>
      <w:r>
        <w:rPr>
          <w:i w:val="false"/>
          <w:szCs w:val="27"/>
        </w:rPr>
        <w:t>自計劃開始至</w:t>
      </w:r>
      <w:r>
        <w:rPr>
          <w:i w:val="false"/>
          <w:szCs w:val="27"/>
        </w:rPr>
        <w:t>2015</w:t>
      </w:r>
      <w:r>
        <w:rPr>
          <w:i w:val="false"/>
          <w:szCs w:val="27"/>
        </w:rPr>
        <w:t>年</w:t>
      </w:r>
      <w:r>
        <w:rPr>
          <w:i w:val="false"/>
          <w:szCs w:val="27"/>
        </w:rPr>
        <w:t>2</w:t>
      </w:r>
      <w:r>
        <w:rPr>
          <w:i w:val="false"/>
          <w:szCs w:val="27"/>
        </w:rPr>
        <w:t>月底，我們共批出約</w:t>
      </w:r>
      <w:r>
        <w:rPr>
          <w:i w:val="false"/>
          <w:szCs w:val="27"/>
        </w:rPr>
        <w:t>32 800</w:t>
      </w:r>
      <w:r>
        <w:rPr>
          <w:i w:val="false"/>
          <w:szCs w:val="27"/>
        </w:rPr>
        <w:t>宗環保商用車稅務寬減申請，佔同期首次登記商用車約一半。</w:t>
      </w:r>
    </w:p>
    <w:p>
      <w:pPr>
        <w:pStyle w:val="Style13"/>
        <w:rPr>
          <w:i w:val="false"/>
          <w:i w:val="false"/>
          <w:szCs w:val="27"/>
        </w:rPr>
      </w:pPr>
      <w:r>
        <w:rPr>
          <w:i w:val="false"/>
          <w:szCs w:val="27"/>
        </w:rPr>
      </w:r>
    </w:p>
    <w:p>
      <w:pPr>
        <w:pStyle w:val="Style13"/>
        <w:rPr>
          <w:i w:val="false"/>
          <w:i w:val="false"/>
        </w:rPr>
      </w:pPr>
      <w:r>
        <w:rPr>
          <w:i w:val="false"/>
        </w:rPr>
        <w:t>(</w:t>
      </w:r>
      <w:r>
        <w:rPr>
          <w:i w:val="false"/>
        </w:rPr>
        <w:t>四</w:t>
      </w:r>
      <w:r>
        <w:rPr>
          <w:i w:val="false"/>
        </w:rPr>
        <w:t>)</w:t>
        <w:tab/>
      </w:r>
      <w:r>
        <w:rPr>
          <w:i w:val="false"/>
        </w:rPr>
        <w:t>根據機電工程署截至</w:t>
      </w:r>
      <w:r>
        <w:rPr>
          <w:i w:val="false"/>
        </w:rPr>
        <w:t>2015</w:t>
      </w:r>
      <w:r>
        <w:rPr>
          <w:i w:val="false"/>
        </w:rPr>
        <w:t>年</w:t>
      </w:r>
      <w:r>
        <w:rPr>
          <w:i w:val="false"/>
        </w:rPr>
        <w:t>3</w:t>
      </w:r>
      <w:r>
        <w:rPr>
          <w:i w:val="false"/>
        </w:rPr>
        <w:t>月</w:t>
      </w:r>
      <w:r>
        <w:rPr>
          <w:i w:val="false"/>
        </w:rPr>
        <w:t>1</w:t>
      </w:r>
      <w:r>
        <w:rPr>
          <w:i w:val="false"/>
        </w:rPr>
        <w:t>日的資料，全港有</w:t>
      </w:r>
      <w:r>
        <w:rPr>
          <w:i w:val="false"/>
        </w:rPr>
        <w:t>6 511</w:t>
      </w:r>
      <w:r>
        <w:rPr>
          <w:i w:val="false"/>
        </w:rPr>
        <w:t>名車輛維修技工在車輛維修技工自願註冊計劃下註冊。參考</w:t>
      </w:r>
      <w:r>
        <w:rPr>
          <w:i w:val="false"/>
        </w:rPr>
        <w:t>2014</w:t>
      </w:r>
      <w:r>
        <w:rPr>
          <w:i w:val="false"/>
        </w:rPr>
        <w:t>年有關車輛維修業的調查結果，已註冊技工人數約佔全港車輛維修技工</w:t>
      </w:r>
      <w:r>
        <w:rPr>
          <w:i w:val="false"/>
        </w:rPr>
        <w:t>72%</w:t>
      </w:r>
      <w:r>
        <w:rPr>
          <w:i w:val="false"/>
        </w:rPr>
        <w:t>。在自願註冊計劃下註冊為機械及電工服務類別的技工，分別有</w:t>
      </w:r>
      <w:r>
        <w:rPr>
          <w:i w:val="false"/>
        </w:rPr>
        <w:t>4 629</w:t>
      </w:r>
      <w:r>
        <w:rPr>
          <w:i w:val="false"/>
        </w:rPr>
        <w:t>名及</w:t>
      </w:r>
      <w:r>
        <w:rPr>
          <w:i w:val="false"/>
        </w:rPr>
        <w:t>1 007</w:t>
      </w:r>
      <w:r>
        <w:rPr>
          <w:i w:val="false"/>
        </w:rPr>
        <w:t>名，而其他類別的註冊包括車身修理、車身噴漆、電單車維修、輪胎工作、電池工作、更換機油工作、車輛配件工作、空調工作及車身裝嵌工作。各分類註冊的技工人數表列如下：</w:t>
      </w:r>
    </w:p>
    <w:p>
      <w:pPr>
        <w:pStyle w:val="F21"/>
        <w:rPr/>
      </w:pPr>
      <w:r>
        <w:rPr/>
      </w:r>
    </w:p>
    <w:tbl>
      <w:tblPr>
        <w:tblStyle w:val="a9"/>
        <w:tblW w:w="7805" w:type="dxa"/>
        <w:jc w:val="left"/>
        <w:tblInd w:w="1418" w:type="dxa"/>
        <w:tblCellMar>
          <w:top w:w="0" w:type="dxa"/>
          <w:left w:w="108" w:type="dxa"/>
          <w:bottom w:w="0" w:type="dxa"/>
          <w:right w:w="108" w:type="dxa"/>
        </w:tblCellMar>
        <w:tblLook w:val="01e0" w:noHBand="0" w:noVBand="0" w:firstColumn="1" w:lastRow="1" w:lastColumn="1" w:firstRow="1"/>
      </w:tblPr>
      <w:tblGrid>
        <w:gridCol w:w="3902"/>
        <w:gridCol w:w="3902"/>
      </w:tblGrid>
      <w:tr>
        <w:trPr/>
        <w:tc>
          <w:tcPr>
            <w:tcW w:w="3902" w:type="dxa"/>
            <w:tcBorders/>
          </w:tcPr>
          <w:p>
            <w:pPr>
              <w:pStyle w:val="F21"/>
              <w:tabs>
                <w:tab w:val="left" w:pos="480" w:leader="none"/>
                <w:tab w:val="left" w:pos="567" w:leader="none"/>
              </w:tabs>
              <w:ind w:left="57" w:right="57" w:hanging="0"/>
              <w:jc w:val="center"/>
              <w:rPr>
                <w:i/>
                <w:i/>
              </w:rPr>
            </w:pPr>
            <w:r>
              <w:rPr>
                <w:i/>
              </w:rPr>
              <w:t>技工註冊分類</w:t>
            </w:r>
          </w:p>
        </w:tc>
        <w:tc>
          <w:tcPr>
            <w:tcW w:w="3902" w:type="dxa"/>
            <w:tcBorders/>
          </w:tcPr>
          <w:p>
            <w:pPr>
              <w:pStyle w:val="F21"/>
              <w:tabs>
                <w:tab w:val="left" w:pos="480" w:leader="none"/>
                <w:tab w:val="left" w:pos="567" w:leader="none"/>
              </w:tabs>
              <w:ind w:left="57" w:right="57" w:hanging="0"/>
              <w:jc w:val="center"/>
              <w:rPr>
                <w:i/>
                <w:i/>
              </w:rPr>
            </w:pPr>
            <w:r>
              <w:rPr>
                <w:i/>
              </w:rPr>
              <w:t>各註冊分類的技工人數</w:t>
            </w:r>
            <w:r>
              <w:rPr>
                <w:i/>
                <w:vertAlign w:val="superscript"/>
              </w:rPr>
              <w:t>(1)</w:t>
            </w:r>
          </w:p>
        </w:tc>
      </w:tr>
      <w:tr>
        <w:trPr/>
        <w:tc>
          <w:tcPr>
            <w:tcW w:w="3902" w:type="dxa"/>
            <w:tcBorders/>
          </w:tcPr>
          <w:p>
            <w:pPr>
              <w:pStyle w:val="F21"/>
              <w:tabs>
                <w:tab w:val="left" w:pos="480" w:leader="none"/>
                <w:tab w:val="left" w:pos="567" w:leader="none"/>
              </w:tabs>
              <w:ind w:left="113" w:right="57" w:hanging="0"/>
              <w:rPr/>
            </w:pPr>
            <w:r>
              <w:rPr/>
              <w:t>M</w:t>
              <w:tab/>
              <w:t>(</w:t>
            </w:r>
            <w:r>
              <w:rPr/>
              <w:t>機械服務</w:t>
            </w:r>
            <w:r>
              <w:rPr/>
              <w:t>)</w:t>
            </w:r>
          </w:p>
        </w:tc>
        <w:tc>
          <w:tcPr>
            <w:tcW w:w="3902" w:type="dxa"/>
            <w:tcBorders/>
          </w:tcPr>
          <w:p>
            <w:pPr>
              <w:pStyle w:val="F21"/>
              <w:tabs>
                <w:tab w:val="left" w:pos="480" w:leader="none"/>
                <w:tab w:val="left" w:pos="567" w:leader="none"/>
              </w:tabs>
              <w:ind w:left="57" w:right="1701" w:hanging="0"/>
              <w:jc w:val="right"/>
              <w:rPr/>
            </w:pPr>
            <w:r>
              <w:rPr/>
              <w:t>4 629</w:t>
            </w:r>
          </w:p>
        </w:tc>
      </w:tr>
      <w:tr>
        <w:trPr/>
        <w:tc>
          <w:tcPr>
            <w:tcW w:w="3902" w:type="dxa"/>
            <w:tcBorders/>
          </w:tcPr>
          <w:p>
            <w:pPr>
              <w:pStyle w:val="F21"/>
              <w:tabs>
                <w:tab w:val="left" w:pos="480" w:leader="none"/>
                <w:tab w:val="left" w:pos="567" w:leader="none"/>
              </w:tabs>
              <w:ind w:left="113" w:right="57" w:hanging="0"/>
              <w:rPr/>
            </w:pPr>
            <w:r>
              <w:rPr/>
              <w:t>E</w:t>
              <w:tab/>
              <w:t>(</w:t>
            </w:r>
            <w:r>
              <w:rPr/>
              <w:t>電工服務</w:t>
            </w:r>
            <w:r>
              <w:rPr/>
              <w:t>)</w:t>
            </w:r>
          </w:p>
        </w:tc>
        <w:tc>
          <w:tcPr>
            <w:tcW w:w="3902" w:type="dxa"/>
            <w:tcBorders/>
          </w:tcPr>
          <w:p>
            <w:pPr>
              <w:pStyle w:val="F21"/>
              <w:tabs>
                <w:tab w:val="left" w:pos="480" w:leader="none"/>
                <w:tab w:val="left" w:pos="567" w:leader="none"/>
              </w:tabs>
              <w:ind w:left="57" w:right="1701" w:hanging="0"/>
              <w:jc w:val="right"/>
              <w:rPr/>
            </w:pPr>
            <w:r>
              <w:rPr/>
              <w:t>1 007</w:t>
            </w:r>
          </w:p>
        </w:tc>
      </w:tr>
      <w:tr>
        <w:trPr/>
        <w:tc>
          <w:tcPr>
            <w:tcW w:w="3902" w:type="dxa"/>
            <w:tcBorders/>
          </w:tcPr>
          <w:p>
            <w:pPr>
              <w:pStyle w:val="F21"/>
              <w:tabs>
                <w:tab w:val="left" w:pos="480" w:leader="none"/>
                <w:tab w:val="left" w:pos="567" w:leader="none"/>
              </w:tabs>
              <w:ind w:left="113" w:right="57" w:hanging="0"/>
              <w:rPr/>
            </w:pPr>
            <w:r>
              <w:rPr/>
              <w:t>B1</w:t>
              <w:tab/>
              <w:t>(</w:t>
            </w:r>
            <w:r>
              <w:rPr/>
              <w:t>車身修理</w:t>
            </w:r>
            <w:r>
              <w:rPr/>
              <w:t>)</w:t>
            </w:r>
          </w:p>
        </w:tc>
        <w:tc>
          <w:tcPr>
            <w:tcW w:w="3902" w:type="dxa"/>
            <w:tcBorders/>
          </w:tcPr>
          <w:p>
            <w:pPr>
              <w:pStyle w:val="F21"/>
              <w:tabs>
                <w:tab w:val="left" w:pos="480" w:leader="none"/>
                <w:tab w:val="left" w:pos="567" w:leader="none"/>
              </w:tabs>
              <w:ind w:left="57" w:right="1701" w:hanging="0"/>
              <w:jc w:val="right"/>
              <w:rPr/>
            </w:pPr>
            <w:r>
              <w:rPr/>
              <w:t>644</w:t>
            </w:r>
          </w:p>
        </w:tc>
      </w:tr>
      <w:tr>
        <w:trPr/>
        <w:tc>
          <w:tcPr>
            <w:tcW w:w="3902" w:type="dxa"/>
            <w:tcBorders/>
          </w:tcPr>
          <w:p>
            <w:pPr>
              <w:pStyle w:val="F21"/>
              <w:tabs>
                <w:tab w:val="left" w:pos="480" w:leader="none"/>
                <w:tab w:val="left" w:pos="567" w:leader="none"/>
              </w:tabs>
              <w:ind w:left="113" w:right="57" w:hanging="0"/>
              <w:rPr/>
            </w:pPr>
            <w:r>
              <w:rPr/>
              <w:t>B2</w:t>
              <w:tab/>
              <w:t>(</w:t>
            </w:r>
            <w:r>
              <w:rPr/>
              <w:t>車身噴漆</w:t>
            </w:r>
            <w:r>
              <w:rPr/>
              <w:t>)</w:t>
            </w:r>
          </w:p>
        </w:tc>
        <w:tc>
          <w:tcPr>
            <w:tcW w:w="3902" w:type="dxa"/>
            <w:tcBorders/>
          </w:tcPr>
          <w:p>
            <w:pPr>
              <w:pStyle w:val="F21"/>
              <w:tabs>
                <w:tab w:val="left" w:pos="480" w:leader="none"/>
                <w:tab w:val="left" w:pos="567" w:leader="none"/>
              </w:tabs>
              <w:ind w:left="57" w:right="1701" w:hanging="0"/>
              <w:jc w:val="right"/>
              <w:rPr/>
            </w:pPr>
            <w:r>
              <w:rPr/>
              <w:t>306</w:t>
            </w:r>
          </w:p>
        </w:tc>
      </w:tr>
      <w:tr>
        <w:trPr/>
        <w:tc>
          <w:tcPr>
            <w:tcW w:w="3902" w:type="dxa"/>
            <w:tcBorders/>
          </w:tcPr>
          <w:p>
            <w:pPr>
              <w:pStyle w:val="F21"/>
              <w:tabs>
                <w:tab w:val="left" w:pos="480" w:leader="none"/>
                <w:tab w:val="left" w:pos="567" w:leader="none"/>
              </w:tabs>
              <w:ind w:left="113" w:right="57" w:hanging="0"/>
              <w:rPr/>
            </w:pPr>
            <w:r>
              <w:rPr/>
              <w:t>S1</w:t>
              <w:tab/>
              <w:t>(</w:t>
            </w:r>
            <w:r>
              <w:rPr/>
              <w:t>電單車維修</w:t>
            </w:r>
            <w:r>
              <w:rPr/>
              <w:t>)</w:t>
            </w:r>
          </w:p>
        </w:tc>
        <w:tc>
          <w:tcPr>
            <w:tcW w:w="3902" w:type="dxa"/>
            <w:tcBorders/>
          </w:tcPr>
          <w:p>
            <w:pPr>
              <w:pStyle w:val="F21"/>
              <w:tabs>
                <w:tab w:val="left" w:pos="480" w:leader="none"/>
                <w:tab w:val="left" w:pos="567" w:leader="none"/>
              </w:tabs>
              <w:ind w:left="57" w:right="1701" w:hanging="0"/>
              <w:jc w:val="right"/>
              <w:rPr/>
            </w:pPr>
            <w:r>
              <w:rPr/>
              <w:t>111</w:t>
            </w:r>
          </w:p>
        </w:tc>
      </w:tr>
      <w:tr>
        <w:trPr/>
        <w:tc>
          <w:tcPr>
            <w:tcW w:w="3902" w:type="dxa"/>
            <w:tcBorders/>
          </w:tcPr>
          <w:p>
            <w:pPr>
              <w:pStyle w:val="F21"/>
              <w:tabs>
                <w:tab w:val="left" w:pos="480" w:leader="none"/>
                <w:tab w:val="left" w:pos="567" w:leader="none"/>
              </w:tabs>
              <w:ind w:left="113" w:right="57" w:hanging="0"/>
              <w:rPr/>
            </w:pPr>
            <w:r>
              <w:rPr/>
              <w:t>S2</w:t>
              <w:tab/>
              <w:t>(</w:t>
            </w:r>
            <w:r>
              <w:rPr/>
              <w:t>輪胎工作</w:t>
            </w:r>
            <w:r>
              <w:rPr/>
              <w:t>)</w:t>
            </w:r>
          </w:p>
        </w:tc>
        <w:tc>
          <w:tcPr>
            <w:tcW w:w="3902" w:type="dxa"/>
            <w:tcBorders/>
          </w:tcPr>
          <w:p>
            <w:pPr>
              <w:pStyle w:val="F21"/>
              <w:tabs>
                <w:tab w:val="left" w:pos="480" w:leader="none"/>
                <w:tab w:val="left" w:pos="567" w:leader="none"/>
              </w:tabs>
              <w:ind w:left="57" w:right="1701" w:hanging="0"/>
              <w:jc w:val="right"/>
              <w:rPr/>
            </w:pPr>
            <w:r>
              <w:rPr/>
              <w:t>84</w:t>
            </w:r>
          </w:p>
        </w:tc>
      </w:tr>
      <w:tr>
        <w:trPr/>
        <w:tc>
          <w:tcPr>
            <w:tcW w:w="3902" w:type="dxa"/>
            <w:tcBorders/>
          </w:tcPr>
          <w:p>
            <w:pPr>
              <w:pStyle w:val="F21"/>
              <w:tabs>
                <w:tab w:val="left" w:pos="480" w:leader="none"/>
                <w:tab w:val="left" w:pos="567" w:leader="none"/>
              </w:tabs>
              <w:ind w:left="113" w:right="57" w:hanging="0"/>
              <w:rPr/>
            </w:pPr>
            <w:r>
              <w:rPr/>
              <w:t>S3</w:t>
              <w:tab/>
              <w:t>(</w:t>
            </w:r>
            <w:r>
              <w:rPr/>
              <w:t>電池工作</w:t>
            </w:r>
            <w:r>
              <w:rPr/>
              <w:t>)</w:t>
            </w:r>
          </w:p>
        </w:tc>
        <w:tc>
          <w:tcPr>
            <w:tcW w:w="3902" w:type="dxa"/>
            <w:tcBorders/>
          </w:tcPr>
          <w:p>
            <w:pPr>
              <w:pStyle w:val="F21"/>
              <w:tabs>
                <w:tab w:val="left" w:pos="480" w:leader="none"/>
                <w:tab w:val="left" w:pos="567" w:leader="none"/>
              </w:tabs>
              <w:ind w:left="57" w:right="1701" w:hanging="0"/>
              <w:jc w:val="right"/>
              <w:rPr/>
            </w:pPr>
            <w:r>
              <w:rPr/>
              <w:t>54</w:t>
            </w:r>
          </w:p>
        </w:tc>
      </w:tr>
      <w:tr>
        <w:trPr/>
        <w:tc>
          <w:tcPr>
            <w:tcW w:w="3902" w:type="dxa"/>
            <w:tcBorders/>
          </w:tcPr>
          <w:p>
            <w:pPr>
              <w:pStyle w:val="F21"/>
              <w:tabs>
                <w:tab w:val="left" w:pos="480" w:leader="none"/>
                <w:tab w:val="left" w:pos="567" w:leader="none"/>
              </w:tabs>
              <w:ind w:left="113" w:right="57" w:hanging="0"/>
              <w:rPr/>
            </w:pPr>
            <w:r>
              <w:rPr/>
              <w:t>S4</w:t>
              <w:tab/>
              <w:t>(</w:t>
            </w:r>
            <w:r>
              <w:rPr/>
              <w:t>更換機油工作</w:t>
            </w:r>
            <w:r>
              <w:rPr/>
              <w:t>)</w:t>
            </w:r>
          </w:p>
        </w:tc>
        <w:tc>
          <w:tcPr>
            <w:tcW w:w="3902" w:type="dxa"/>
            <w:tcBorders/>
          </w:tcPr>
          <w:p>
            <w:pPr>
              <w:pStyle w:val="F21"/>
              <w:tabs>
                <w:tab w:val="left" w:pos="480" w:leader="none"/>
                <w:tab w:val="left" w:pos="567" w:leader="none"/>
              </w:tabs>
              <w:ind w:left="57" w:right="1701" w:hanging="0"/>
              <w:jc w:val="right"/>
              <w:rPr/>
            </w:pPr>
            <w:r>
              <w:rPr/>
              <w:t>50</w:t>
            </w:r>
          </w:p>
        </w:tc>
      </w:tr>
      <w:tr>
        <w:trPr/>
        <w:tc>
          <w:tcPr>
            <w:tcW w:w="3902" w:type="dxa"/>
            <w:tcBorders/>
          </w:tcPr>
          <w:p>
            <w:pPr>
              <w:pStyle w:val="F21"/>
              <w:tabs>
                <w:tab w:val="left" w:pos="480" w:leader="none"/>
                <w:tab w:val="left" w:pos="567" w:leader="none"/>
              </w:tabs>
              <w:ind w:left="113" w:right="57" w:hanging="0"/>
              <w:rPr/>
            </w:pPr>
            <w:r>
              <w:rPr/>
              <w:t>S5</w:t>
              <w:tab/>
              <w:t>(</w:t>
            </w:r>
            <w:r>
              <w:rPr/>
              <w:t>車輛配件工作</w:t>
            </w:r>
            <w:r>
              <w:rPr/>
              <w:t>)</w:t>
            </w:r>
          </w:p>
        </w:tc>
        <w:tc>
          <w:tcPr>
            <w:tcW w:w="3902" w:type="dxa"/>
            <w:tcBorders/>
          </w:tcPr>
          <w:p>
            <w:pPr>
              <w:pStyle w:val="F21"/>
              <w:tabs>
                <w:tab w:val="left" w:pos="480" w:leader="none"/>
                <w:tab w:val="left" w:pos="567" w:leader="none"/>
              </w:tabs>
              <w:ind w:left="57" w:right="1701" w:hanging="0"/>
              <w:jc w:val="right"/>
              <w:rPr/>
            </w:pPr>
            <w:r>
              <w:rPr/>
              <w:t>51</w:t>
            </w:r>
          </w:p>
        </w:tc>
      </w:tr>
      <w:tr>
        <w:trPr/>
        <w:tc>
          <w:tcPr>
            <w:tcW w:w="3902" w:type="dxa"/>
            <w:tcBorders/>
          </w:tcPr>
          <w:p>
            <w:pPr>
              <w:pStyle w:val="F21"/>
              <w:tabs>
                <w:tab w:val="left" w:pos="480" w:leader="none"/>
                <w:tab w:val="left" w:pos="567" w:leader="none"/>
              </w:tabs>
              <w:ind w:left="113" w:right="57" w:hanging="0"/>
              <w:rPr/>
            </w:pPr>
            <w:r>
              <w:rPr/>
              <w:t>S6</w:t>
              <w:tab/>
              <w:t>(</w:t>
            </w:r>
            <w:r>
              <w:rPr/>
              <w:t>空調工作</w:t>
            </w:r>
            <w:r>
              <w:rPr/>
              <w:t>)</w:t>
            </w:r>
          </w:p>
        </w:tc>
        <w:tc>
          <w:tcPr>
            <w:tcW w:w="3902" w:type="dxa"/>
            <w:tcBorders/>
          </w:tcPr>
          <w:p>
            <w:pPr>
              <w:pStyle w:val="F21"/>
              <w:tabs>
                <w:tab w:val="left" w:pos="480" w:leader="none"/>
                <w:tab w:val="left" w:pos="567" w:leader="none"/>
              </w:tabs>
              <w:ind w:left="57" w:right="1701" w:hanging="0"/>
              <w:jc w:val="right"/>
              <w:rPr/>
            </w:pPr>
            <w:r>
              <w:rPr/>
              <w:t>47</w:t>
            </w:r>
          </w:p>
        </w:tc>
      </w:tr>
      <w:tr>
        <w:trPr/>
        <w:tc>
          <w:tcPr>
            <w:tcW w:w="3902" w:type="dxa"/>
            <w:tcBorders/>
          </w:tcPr>
          <w:p>
            <w:pPr>
              <w:pStyle w:val="F21"/>
              <w:tabs>
                <w:tab w:val="left" w:pos="480" w:leader="none"/>
                <w:tab w:val="left" w:pos="567" w:leader="none"/>
              </w:tabs>
              <w:ind w:left="113" w:right="57" w:hanging="0"/>
              <w:rPr/>
            </w:pPr>
            <w:r>
              <w:rPr/>
              <w:t>S7</w:t>
              <w:tab/>
              <w:t>(</w:t>
            </w:r>
            <w:r>
              <w:rPr/>
              <w:t>車身裝嵌工作</w:t>
            </w:r>
            <w:r>
              <w:rPr/>
              <w:t>)</w:t>
            </w:r>
          </w:p>
        </w:tc>
        <w:tc>
          <w:tcPr>
            <w:tcW w:w="3902" w:type="dxa"/>
            <w:tcBorders/>
          </w:tcPr>
          <w:p>
            <w:pPr>
              <w:pStyle w:val="F21"/>
              <w:tabs>
                <w:tab w:val="left" w:pos="480" w:leader="none"/>
                <w:tab w:val="left" w:pos="567" w:leader="none"/>
              </w:tabs>
              <w:ind w:left="57" w:right="1701" w:hanging="0"/>
              <w:jc w:val="right"/>
              <w:rPr/>
            </w:pPr>
            <w:r>
              <w:rPr/>
              <w:t>15</w:t>
            </w:r>
          </w:p>
        </w:tc>
      </w:tr>
    </w:tbl>
    <w:p>
      <w:pPr>
        <w:pStyle w:val="F21"/>
        <w:spacing w:lineRule="auto" w:line="240"/>
        <w:rPr>
          <w:rFonts w:cs="Times New Roman"/>
          <w:szCs w:val="26"/>
        </w:rPr>
      </w:pPr>
      <w:r>
        <w:rPr>
          <w:rFonts w:cs="Times New Roman"/>
          <w:szCs w:val="26"/>
        </w:rPr>
      </w:r>
    </w:p>
    <w:p>
      <w:pPr>
        <w:pStyle w:val="Style13"/>
        <w:spacing w:lineRule="auto" w:line="240"/>
        <w:ind w:left="2269" w:hanging="851"/>
        <w:rPr>
          <w:i w:val="false"/>
          <w:i w:val="false"/>
          <w:sz w:val="20"/>
          <w:szCs w:val="20"/>
        </w:rPr>
      </w:pPr>
      <w:r>
        <w:rPr>
          <w:i w:val="false"/>
          <w:sz w:val="20"/>
          <w:szCs w:val="20"/>
        </w:rPr>
        <w:t>註：</w:t>
      </w:r>
    </w:p>
    <w:p>
      <w:pPr>
        <w:pStyle w:val="Style13"/>
        <w:spacing w:lineRule="auto" w:line="240"/>
        <w:ind w:left="2269" w:hanging="851"/>
        <w:rPr>
          <w:i w:val="false"/>
          <w:i w:val="false"/>
          <w:sz w:val="20"/>
          <w:szCs w:val="20"/>
        </w:rPr>
      </w:pPr>
      <w:r>
        <w:rPr>
          <w:i w:val="false"/>
          <w:sz w:val="20"/>
          <w:szCs w:val="20"/>
        </w:rPr>
      </w:r>
    </w:p>
    <w:p>
      <w:pPr>
        <w:pStyle w:val="Style13"/>
        <w:spacing w:lineRule="auto" w:line="240"/>
        <w:ind w:left="1985" w:hanging="567"/>
        <w:rPr>
          <w:i w:val="false"/>
          <w:i w:val="false"/>
          <w:sz w:val="20"/>
          <w:szCs w:val="20"/>
        </w:rPr>
      </w:pPr>
      <w:r>
        <w:rPr>
          <w:i w:val="false"/>
          <w:sz w:val="20"/>
          <w:szCs w:val="20"/>
        </w:rPr>
        <w:t>(1)</w:t>
        <w:tab/>
      </w:r>
      <w:r>
        <w:rPr>
          <w:i w:val="false"/>
          <w:sz w:val="20"/>
          <w:szCs w:val="20"/>
        </w:rPr>
        <w:t>每名技工可註冊多於</w:t>
      </w:r>
      <w:r>
        <w:rPr>
          <w:i w:val="false"/>
          <w:sz w:val="20"/>
          <w:szCs w:val="20"/>
        </w:rPr>
        <w:t>1</w:t>
      </w:r>
      <w:r>
        <w:rPr>
          <w:i w:val="false"/>
          <w:sz w:val="20"/>
          <w:szCs w:val="20"/>
        </w:rPr>
        <w:t>項服務類別。</w:t>
      </w:r>
    </w:p>
    <w:p>
      <w:pPr>
        <w:pStyle w:val="Style13"/>
        <w:spacing w:lineRule="atLeast" w:line="380"/>
        <w:rPr>
          <w:i w:val="false"/>
          <w:i w:val="false"/>
          <w:szCs w:val="27"/>
        </w:rPr>
      </w:pPr>
      <w:r>
        <w:rPr>
          <w:i w:val="false"/>
          <w:szCs w:val="27"/>
        </w:rPr>
      </w:r>
    </w:p>
    <w:p>
      <w:pPr>
        <w:pStyle w:val="Style13"/>
        <w:spacing w:lineRule="atLeast" w:line="380"/>
        <w:rPr>
          <w:i w:val="false"/>
          <w:i w:val="false"/>
          <w:szCs w:val="27"/>
        </w:rPr>
      </w:pPr>
      <w:r>
        <w:rPr>
          <w:i w:val="false"/>
          <w:szCs w:val="27"/>
        </w:rPr>
        <w:t>(</w:t>
      </w:r>
      <w:r>
        <w:rPr>
          <w:i w:val="false"/>
          <w:szCs w:val="27"/>
        </w:rPr>
        <w:t>五</w:t>
      </w:r>
      <w:r>
        <w:rPr>
          <w:i w:val="false"/>
          <w:szCs w:val="27"/>
        </w:rPr>
        <w:t>)</w:t>
        <w:tab/>
      </w:r>
      <w:r>
        <w:rPr>
          <w:i w:val="false"/>
          <w:spacing w:val="22"/>
          <w:szCs w:val="27"/>
        </w:rPr>
        <w:t>職業訓練局轄下的卓越培訓發展中心</w:t>
      </w:r>
      <w:r>
        <w:rPr>
          <w:i w:val="false"/>
          <w:spacing w:val="22"/>
          <w:szCs w:val="27"/>
        </w:rPr>
        <w:t>(</w:t>
      </w:r>
      <w:r>
        <w:rPr>
          <w:i w:val="false"/>
          <w:spacing w:val="22"/>
          <w:szCs w:val="27"/>
        </w:rPr>
        <w:t>汽車業</w:t>
      </w:r>
      <w:r>
        <w:rPr>
          <w:i w:val="false"/>
          <w:spacing w:val="22"/>
          <w:szCs w:val="27"/>
        </w:rPr>
        <w:t>)(“</w:t>
      </w:r>
      <w:r>
        <w:rPr>
          <w:i w:val="false"/>
          <w:spacing w:val="22"/>
          <w:szCs w:val="27"/>
        </w:rPr>
        <w:t>汽車業中心”</w:t>
      </w:r>
      <w:r>
        <w:rPr>
          <w:i w:val="false"/>
          <w:spacing w:val="22"/>
          <w:szCs w:val="27"/>
        </w:rPr>
        <w:t>)</w:t>
      </w:r>
      <w:r>
        <w:rPr>
          <w:i w:val="false"/>
          <w:szCs w:val="27"/>
        </w:rPr>
        <w:t>於</w:t>
      </w:r>
      <w:r>
        <w:rPr>
          <w:i w:val="false"/>
          <w:szCs w:val="27"/>
        </w:rPr>
        <w:t>2014-2015</w:t>
      </w:r>
      <w:r>
        <w:rPr>
          <w:i w:val="false"/>
          <w:szCs w:val="27"/>
        </w:rPr>
        <w:t>學年舉辦</w:t>
      </w:r>
      <w:r>
        <w:rPr>
          <w:i w:val="false"/>
          <w:szCs w:val="27"/>
        </w:rPr>
        <w:t>19</w:t>
      </w:r>
      <w:r>
        <w:rPr>
          <w:i w:val="false"/>
          <w:szCs w:val="27"/>
        </w:rPr>
        <w:t>個有關汽車維修培訓課程，共招收約</w:t>
      </w:r>
      <w:r>
        <w:rPr>
          <w:i w:val="false"/>
          <w:szCs w:val="27"/>
        </w:rPr>
        <w:t>500</w:t>
      </w:r>
      <w:r>
        <w:rPr>
          <w:i w:val="false"/>
          <w:szCs w:val="27"/>
        </w:rPr>
        <w:t>名學員，預計下一學年開班數目及學生人數會相若。如報讀人數超過預期，汽車業中心會加開班組，以滿足有關行業的要求。</w:t>
      </w:r>
    </w:p>
    <w:p>
      <w:pPr>
        <w:pStyle w:val="Style13"/>
        <w:spacing w:lineRule="atLeast" w:line="380"/>
        <w:rPr>
          <w:i w:val="false"/>
          <w:i w:val="false"/>
          <w:szCs w:val="27"/>
        </w:rPr>
      </w:pPr>
      <w:r>
        <w:rPr>
          <w:i w:val="false"/>
          <w:szCs w:val="27"/>
        </w:rPr>
      </w:r>
    </w:p>
    <w:p>
      <w:pPr>
        <w:pStyle w:val="Style13"/>
        <w:spacing w:lineRule="atLeast" w:line="380"/>
        <w:rPr>
          <w:i w:val="false"/>
          <w:i w:val="false"/>
          <w:szCs w:val="27"/>
        </w:rPr>
      </w:pPr>
      <w:r>
        <w:rPr>
          <w:i w:val="false"/>
          <w:szCs w:val="27"/>
        </w:rPr>
        <w:tab/>
      </w:r>
      <w:r>
        <w:rPr>
          <w:i w:val="false"/>
          <w:szCs w:val="27"/>
        </w:rPr>
        <w:t>此外，僱員再培訓局在</w:t>
      </w:r>
      <w:r>
        <w:rPr>
          <w:i w:val="false"/>
          <w:szCs w:val="27"/>
        </w:rPr>
        <w:t>2014-2015</w:t>
      </w:r>
      <w:r>
        <w:rPr>
          <w:i w:val="false"/>
          <w:szCs w:val="27"/>
        </w:rPr>
        <w:t>年度亦提供</w:t>
      </w:r>
      <w:r>
        <w:rPr>
          <w:i w:val="false"/>
          <w:szCs w:val="27"/>
        </w:rPr>
        <w:t>3</w:t>
      </w:r>
      <w:r>
        <w:rPr>
          <w:i w:val="false"/>
          <w:szCs w:val="27"/>
        </w:rPr>
        <w:t xml:space="preserve">項涉及汽車及電單車維修技能的課程，分別為“汽車維修及美容清潔基礎證書”、“汽車及電單車維修基礎證書 </w:t>
      </w:r>
      <w:r>
        <w:rPr/>
        <w:t>─</w:t>
      </w:r>
      <w:r>
        <w:rPr>
          <w:i w:val="false"/>
          <w:szCs w:val="27"/>
        </w:rPr>
        <w:t xml:space="preserve"> 青年培育計劃</w:t>
      </w:r>
      <w:r>
        <w:rPr>
          <w:i w:val="false"/>
          <w:szCs w:val="27"/>
        </w:rPr>
        <w:t>(Teen</w:t>
      </w:r>
      <w:r>
        <w:rPr>
          <w:i w:val="false"/>
          <w:szCs w:val="27"/>
        </w:rPr>
        <w:t>才再現</w:t>
      </w:r>
      <w:r>
        <w:rPr>
          <w:i w:val="false"/>
          <w:szCs w:val="27"/>
        </w:rPr>
        <w:t>)”</w:t>
      </w:r>
      <w:r>
        <w:rPr>
          <w:i w:val="false"/>
          <w:szCs w:val="27"/>
        </w:rPr>
        <w:t xml:space="preserve">及“汽車及電單車維修基礎證書 </w:t>
      </w:r>
      <w:r>
        <w:rPr/>
        <w:t>─</w:t>
      </w:r>
      <w:r>
        <w:rPr>
          <w:i w:val="false"/>
          <w:szCs w:val="27"/>
        </w:rPr>
        <w:t xml:space="preserve"> 青年培育計劃</w:t>
      </w:r>
      <w:r>
        <w:rPr>
          <w:i w:val="false"/>
          <w:szCs w:val="27"/>
        </w:rPr>
        <w:t>(</w:t>
      </w:r>
      <w:r>
        <w:rPr>
          <w:i w:val="false"/>
          <w:szCs w:val="27"/>
        </w:rPr>
        <w:t>青出於‘南’</w:t>
      </w:r>
      <w:r>
        <w:rPr>
          <w:i w:val="false"/>
          <w:szCs w:val="27"/>
        </w:rPr>
        <w:t>)”</w:t>
      </w:r>
      <w:r>
        <w:rPr>
          <w:i w:val="false"/>
          <w:szCs w:val="27"/>
        </w:rPr>
        <w:t>。僱員再培訓局會因應實際需要繼續舉辦這些課程及訂定課程的名額。在</w:t>
      </w:r>
      <w:r>
        <w:rPr>
          <w:i w:val="false"/>
          <w:szCs w:val="27"/>
        </w:rPr>
        <w:t>2013-2014</w:t>
      </w:r>
      <w:r>
        <w:rPr>
          <w:i w:val="false"/>
          <w:szCs w:val="27"/>
        </w:rPr>
        <w:t>年度，政府向僱員再培訓局注資</w:t>
      </w:r>
      <w:r>
        <w:rPr>
          <w:i w:val="false"/>
          <w:szCs w:val="27"/>
        </w:rPr>
        <w:t>150</w:t>
      </w:r>
      <w:r>
        <w:rPr>
          <w:i w:val="false"/>
          <w:szCs w:val="27"/>
        </w:rPr>
        <w:t>億元，為該局提供持久而穩定的財政支持。該局可按社會上的人力需要，適切靈活地提供不同的課程及訂定課程的名額。</w:t>
      </w:r>
    </w:p>
    <w:p>
      <w:pPr>
        <w:pStyle w:val="Style13"/>
        <w:spacing w:lineRule="atLeast" w:line="368"/>
        <w:rPr>
          <w:i w:val="false"/>
          <w:i w:val="false"/>
          <w:szCs w:val="27"/>
        </w:rPr>
      </w:pPr>
      <w:r>
        <w:rPr>
          <w:i w:val="false"/>
          <w:szCs w:val="27"/>
        </w:rPr>
      </w:r>
    </w:p>
    <w:p>
      <w:pPr>
        <w:pStyle w:val="Style13"/>
        <w:spacing w:lineRule="atLeast" w:line="368"/>
        <w:rPr>
          <w:i w:val="false"/>
          <w:i w:val="false"/>
          <w:szCs w:val="27"/>
        </w:rPr>
      </w:pPr>
      <w:r>
        <w:rPr>
          <w:i w:val="false"/>
          <w:szCs w:val="27"/>
        </w:rPr>
        <w:t>(</w:t>
      </w:r>
      <w:r>
        <w:rPr>
          <w:i w:val="false"/>
          <w:szCs w:val="27"/>
        </w:rPr>
        <w:t>六</w:t>
      </w:r>
      <w:r>
        <w:rPr>
          <w:i w:val="false"/>
          <w:szCs w:val="27"/>
        </w:rPr>
        <w:t>)</w:t>
        <w:tab/>
      </w:r>
      <w:r>
        <w:rPr>
          <w:i w:val="false"/>
          <w:szCs w:val="27"/>
        </w:rPr>
        <w:t>立法會財務委員會於</w:t>
      </w:r>
      <w:r>
        <w:rPr>
          <w:i w:val="false"/>
          <w:szCs w:val="27"/>
        </w:rPr>
        <w:t>2014</w:t>
      </w:r>
      <w:r>
        <w:rPr>
          <w:i w:val="false"/>
          <w:szCs w:val="27"/>
        </w:rPr>
        <w:t>年</w:t>
      </w:r>
      <w:r>
        <w:rPr>
          <w:i w:val="false"/>
          <w:szCs w:val="27"/>
        </w:rPr>
        <w:t>7</w:t>
      </w:r>
      <w:r>
        <w:rPr>
          <w:i w:val="false"/>
          <w:szCs w:val="27"/>
        </w:rPr>
        <w:t>月批出撥款後，職業訓練局在</w:t>
      </w:r>
      <w:r>
        <w:rPr>
          <w:i w:val="false"/>
          <w:szCs w:val="27"/>
        </w:rPr>
        <w:t>2014-2015</w:t>
      </w:r>
      <w:r>
        <w:rPr>
          <w:i w:val="false"/>
          <w:szCs w:val="27"/>
        </w:rPr>
        <w:t>學年開始推行“職業教育和就業支援先導計劃”</w:t>
      </w:r>
      <w:r>
        <w:rPr>
          <w:i w:val="false"/>
          <w:szCs w:val="27"/>
        </w:rPr>
        <w:t>(“</w:t>
      </w:r>
      <w:r>
        <w:rPr>
          <w:i w:val="false"/>
          <w:szCs w:val="27"/>
        </w:rPr>
        <w:t>先導計劃”</w:t>
      </w:r>
      <w:r>
        <w:rPr>
          <w:i w:val="false"/>
          <w:szCs w:val="27"/>
        </w:rPr>
        <w:t>)</w:t>
      </w:r>
      <w:r>
        <w:rPr>
          <w:i w:val="false"/>
          <w:szCs w:val="27"/>
        </w:rPr>
        <w:t>。先導計劃旨在結合有系統的學徒培訓及清晰的進階路徑，為人力需求殷切的行業</w:t>
      </w:r>
      <w:r>
        <w:rPr>
          <w:i w:val="false"/>
          <w:szCs w:val="27"/>
        </w:rPr>
        <w:t>(</w:t>
      </w:r>
      <w:r>
        <w:rPr>
          <w:i w:val="false"/>
          <w:szCs w:val="27"/>
        </w:rPr>
        <w:t>包括汽車業</w:t>
      </w:r>
      <w:r>
        <w:rPr>
          <w:i w:val="false"/>
          <w:szCs w:val="27"/>
        </w:rPr>
        <w:t>)</w:t>
      </w:r>
      <w:r>
        <w:rPr>
          <w:i w:val="false"/>
          <w:szCs w:val="27"/>
        </w:rPr>
        <w:t>吸引和挽留人才。在先導計劃下，學員接受特選行業的學徒培訓，並獲發行業和政府提供的津貼，以及行業承諾的工資水平。培訓一般為期</w:t>
      </w:r>
      <w:r>
        <w:rPr>
          <w:i w:val="false"/>
          <w:szCs w:val="27"/>
        </w:rPr>
        <w:t>4</w:t>
      </w:r>
      <w:r>
        <w:rPr>
          <w:i w:val="false"/>
          <w:szCs w:val="27"/>
        </w:rPr>
        <w:t>年。先導計劃的對象為中三至中六離校生或合資格的成年學員，將可惠及共</w:t>
      </w:r>
      <w:r>
        <w:rPr>
          <w:i w:val="false"/>
          <w:szCs w:val="27"/>
        </w:rPr>
        <w:t>2 000</w:t>
      </w:r>
      <w:r>
        <w:rPr>
          <w:i w:val="false"/>
          <w:szCs w:val="27"/>
        </w:rPr>
        <w:t>名學員。</w:t>
      </w:r>
    </w:p>
    <w:p>
      <w:pPr>
        <w:pStyle w:val="F21"/>
        <w:spacing w:lineRule="atLeast" w:line="368"/>
        <w:rPr>
          <w:rFonts w:cs="Times New Roman"/>
        </w:rPr>
      </w:pPr>
      <w:r>
        <w:rPr>
          <w:rFonts w:cs="Times New Roman"/>
        </w:rPr>
      </w:r>
    </w:p>
    <w:p>
      <w:pPr>
        <w:pStyle w:val="F21"/>
        <w:spacing w:lineRule="atLeast" w:line="368"/>
        <w:rPr>
          <w:rFonts w:cs="Times New Roman"/>
        </w:rPr>
      </w:pPr>
      <w:r>
        <w:rPr>
          <w:rFonts w:cs="Times New Roman"/>
        </w:rPr>
      </w:r>
    </w:p>
    <w:p>
      <w:pPr>
        <w:pStyle w:val="F21"/>
        <w:spacing w:lineRule="atLeast" w:line="368"/>
        <w:rPr>
          <w:rFonts w:eastAsia="華康中黑體" w:cs="Times New Roman"/>
          <w:b/>
          <w:b/>
        </w:rPr>
      </w:pPr>
      <w:bookmarkStart w:id="56" w:name="wrq22"/>
      <w:r>
        <w:rPr>
          <w:rFonts w:cs="Times New Roman" w:eastAsia="華康中黑體"/>
          <w:b/>
        </w:rPr>
        <w:t>往返將軍澳的交通</w:t>
      </w:r>
    </w:p>
    <w:p>
      <w:pPr>
        <w:pStyle w:val="F21"/>
        <w:spacing w:lineRule="atLeast" w:line="368"/>
        <w:rPr>
          <w:rFonts w:cs="Times New Roman"/>
          <w:b/>
          <w:b/>
          <w:spacing w:val="0"/>
          <w:sz w:val="28"/>
          <w:szCs w:val="26"/>
          <w:lang w:val="en-GB"/>
        </w:rPr>
      </w:pPr>
      <w:bookmarkStart w:id="57" w:name="wrq22"/>
      <w:r>
        <w:rPr>
          <w:rFonts w:cs="Times New Roman"/>
          <w:b/>
          <w:spacing w:val="0"/>
          <w:sz w:val="28"/>
          <w:szCs w:val="26"/>
          <w:lang w:val="en-GB"/>
        </w:rPr>
        <w:t>Transport to and from Tseung Kwan O</w:t>
      </w:r>
      <w:bookmarkEnd w:id="57"/>
    </w:p>
    <w:p>
      <w:pPr>
        <w:pStyle w:val="F21"/>
        <w:spacing w:lineRule="atLeast" w:line="368"/>
        <w:rPr>
          <w:rFonts w:cs="Times New Roman"/>
        </w:rPr>
      </w:pPr>
      <w:r>
        <w:rPr>
          <w:rFonts w:cs="Times New Roman"/>
        </w:rPr>
      </w:r>
    </w:p>
    <w:p>
      <w:pPr>
        <w:pStyle w:val="F21"/>
        <w:spacing w:lineRule="atLeast" w:line="368"/>
        <w:rPr>
          <w:i/>
          <w:i/>
          <w:szCs w:val="27"/>
        </w:rPr>
      </w:pPr>
      <w:r>
        <w:rPr>
          <w:rFonts w:eastAsia="華康中黑體"/>
          <w:b/>
          <w:szCs w:val="27"/>
        </w:rPr>
        <w:t>22.</w:t>
        <w:tab/>
      </w:r>
      <w:r>
        <w:rPr>
          <w:rFonts w:eastAsia="華康中黑體"/>
          <w:b/>
          <w:szCs w:val="27"/>
        </w:rPr>
        <w:t>葛珮帆議員</w:t>
      </w:r>
      <w:r>
        <w:rPr>
          <w:szCs w:val="27"/>
        </w:rPr>
        <w:t>：</w:t>
      </w:r>
      <w:r>
        <w:rPr>
          <w:i/>
          <w:szCs w:val="27"/>
        </w:rPr>
        <w:t>主席，有將軍澳居民向本人反映，他們現時主要乘搭港鐵、專營巴士及小巴往返將軍澳。由於港鐵將軍澳線的載客量和將軍澳隧道的車流量在上下班繁忙時段均已飽和，該等居民每天需輪候多班港鐵列車才能上車，而路面擠塞亦令乘車時間大增。就此，政府可否告知本會：</w:t>
      </w:r>
    </w:p>
    <w:p>
      <w:pPr>
        <w:pStyle w:val="F21"/>
        <w:spacing w:lineRule="atLeast" w:line="368"/>
        <w:rPr>
          <w:i/>
          <w:i/>
          <w:szCs w:val="27"/>
        </w:rPr>
      </w:pPr>
      <w:r>
        <w:rPr>
          <w:i/>
          <w:szCs w:val="27"/>
        </w:rPr>
      </w:r>
    </w:p>
    <w:p>
      <w:pPr>
        <w:pStyle w:val="Style13"/>
        <w:spacing w:lineRule="atLeast" w:line="368"/>
        <w:rPr>
          <w:szCs w:val="27"/>
        </w:rPr>
      </w:pPr>
      <w:r>
        <w:rPr>
          <w:szCs w:val="27"/>
        </w:rPr>
        <w:t>(</w:t>
      </w:r>
      <w:r>
        <w:rPr>
          <w:szCs w:val="27"/>
        </w:rPr>
        <w:t>一</w:t>
      </w:r>
      <w:r>
        <w:rPr>
          <w:szCs w:val="27"/>
        </w:rPr>
        <w:t>)</w:t>
        <w:tab/>
      </w:r>
      <w:r>
        <w:rPr>
          <w:szCs w:val="27"/>
        </w:rPr>
        <w:t>有否制訂計劃，紓緩將軍澳隧道在將軍澳</w:t>
      </w:r>
      <w:r>
        <w:rPr>
          <w:rFonts w:ascii="華康細明體" w:hAnsi="華康細明體"/>
        </w:rPr>
        <w:t>─</w:t>
      </w:r>
      <w:r>
        <w:rPr>
          <w:szCs w:val="27"/>
        </w:rPr>
        <w:t>藍田隧道開通前的塞車情況；如有，詳情為何；如否，原因為何；</w:t>
      </w:r>
    </w:p>
    <w:p>
      <w:pPr>
        <w:pStyle w:val="Style13"/>
        <w:spacing w:lineRule="atLeast" w:line="368"/>
        <w:rPr>
          <w:szCs w:val="27"/>
        </w:rPr>
      </w:pPr>
      <w:r>
        <w:rPr>
          <w:szCs w:val="27"/>
        </w:rPr>
      </w:r>
    </w:p>
    <w:p>
      <w:pPr>
        <w:pStyle w:val="Style13"/>
        <w:spacing w:lineRule="atLeast" w:line="368"/>
        <w:rPr>
          <w:szCs w:val="27"/>
        </w:rPr>
      </w:pPr>
      <w:r>
        <w:rPr>
          <w:szCs w:val="27"/>
        </w:rPr>
        <w:t>(</w:t>
      </w:r>
      <w:r>
        <w:rPr>
          <w:szCs w:val="27"/>
        </w:rPr>
        <w:t>二</w:t>
      </w:r>
      <w:r>
        <w:rPr>
          <w:szCs w:val="27"/>
        </w:rPr>
        <w:t>)</w:t>
        <w:tab/>
      </w:r>
      <w:r>
        <w:rPr>
          <w:szCs w:val="27"/>
        </w:rPr>
        <w:t>有否評估按現時的進度，將軍澳</w:t>
      </w:r>
      <w:r>
        <w:rPr>
          <w:rFonts w:ascii="華康細明體" w:hAnsi="華康細明體"/>
        </w:rPr>
        <w:t>─</w:t>
      </w:r>
      <w:r>
        <w:rPr>
          <w:szCs w:val="27"/>
        </w:rPr>
        <w:t>藍田隧道及將軍澳跨灣連接路可否如期於</w:t>
      </w:r>
      <w:r>
        <w:rPr>
          <w:szCs w:val="27"/>
        </w:rPr>
        <w:t>2020</w:t>
      </w:r>
      <w:r>
        <w:rPr>
          <w:szCs w:val="27"/>
        </w:rPr>
        <w:t>年落成；如不能如期落成，原因為何；及</w:t>
      </w:r>
    </w:p>
    <w:p>
      <w:pPr>
        <w:pStyle w:val="Style13"/>
        <w:spacing w:lineRule="atLeast" w:line="368"/>
        <w:rPr>
          <w:szCs w:val="27"/>
        </w:rPr>
      </w:pPr>
      <w:r>
        <w:rPr>
          <w:szCs w:val="27"/>
        </w:rPr>
      </w:r>
    </w:p>
    <w:p>
      <w:pPr>
        <w:pStyle w:val="Style13"/>
        <w:spacing w:lineRule="atLeast" w:line="368"/>
        <w:rPr>
          <w:szCs w:val="27"/>
        </w:rPr>
      </w:pPr>
      <w:r>
        <w:rPr>
          <w:szCs w:val="27"/>
        </w:rPr>
        <w:t>(</w:t>
      </w:r>
      <w:r>
        <w:rPr>
          <w:szCs w:val="27"/>
        </w:rPr>
        <w:t>三</w:t>
      </w:r>
      <w:r>
        <w:rPr>
          <w:szCs w:val="27"/>
        </w:rPr>
        <w:t>)</w:t>
        <w:tab/>
      </w:r>
      <w:r>
        <w:rPr>
          <w:szCs w:val="27"/>
        </w:rPr>
        <w:t>鑒於日出康城的人口近年不斷增加，政府會否要求香港鐡路有限公司研究興建直接連接康城站和觀塘線的鐵路支線，以取消“</w:t>
      </w:r>
      <w:r>
        <w:rPr>
          <w:szCs w:val="27"/>
        </w:rPr>
        <w:t>2+1”</w:t>
      </w:r>
      <w:r>
        <w:rPr>
          <w:szCs w:val="27"/>
        </w:rPr>
        <w:t>列車服務安排；如會，詳情為何；如否，原因為何？</w:t>
      </w:r>
    </w:p>
    <w:p>
      <w:pPr>
        <w:pStyle w:val="Style13"/>
        <w:spacing w:lineRule="exact" w:line="20"/>
        <w:ind w:left="0" w:hanging="0"/>
        <w:rPr>
          <w:szCs w:val="27"/>
        </w:rPr>
      </w:pPr>
      <w:r>
        <w:rPr>
          <w:szCs w:val="27"/>
        </w:rPr>
      </w:r>
    </w:p>
    <w:p>
      <w:pPr>
        <w:pStyle w:val="Normal"/>
        <w:widowControl/>
        <w:tabs>
          <w:tab w:val="clear" w:pos="720"/>
        </w:tabs>
        <w:spacing w:lineRule="exact" w:line="20"/>
        <w:jc w:val="left"/>
        <w:rPr>
          <w:rFonts w:cs="華康細明體"/>
          <w:i/>
          <w:i/>
          <w:spacing w:val="20"/>
          <w:sz w:val="27"/>
          <w:szCs w:val="27"/>
          <w:lang w:val="en-US"/>
        </w:rPr>
      </w:pPr>
      <w:r>
        <w:rPr>
          <w:rFonts w:cs="華康細明體"/>
          <w:i/>
          <w:spacing w:val="20"/>
          <w:sz w:val="27"/>
          <w:szCs w:val="27"/>
          <w:lang w:val="en-US"/>
        </w:rPr>
      </w:r>
      <w:r>
        <w:br w:type="page"/>
      </w:r>
    </w:p>
    <w:p>
      <w:pPr>
        <w:pStyle w:val="Style13"/>
        <w:ind w:left="0" w:hanging="0"/>
        <w:rPr>
          <w:i w:val="false"/>
          <w:i w:val="false"/>
          <w:szCs w:val="27"/>
        </w:rPr>
      </w:pPr>
      <w:r>
        <w:rPr>
          <w:rFonts w:eastAsia="華康中黑體"/>
          <w:b/>
          <w:i w:val="false"/>
          <w:szCs w:val="27"/>
        </w:rPr>
        <w:t>運輸及房屋局局長</w:t>
      </w:r>
      <w:r>
        <w:rPr>
          <w:i w:val="false"/>
          <w:szCs w:val="27"/>
        </w:rPr>
        <w:t>：主席，就葛珮帆議員質詢的各個部分，現答覆如下：</w:t>
      </w:r>
    </w:p>
    <w:p>
      <w:pPr>
        <w:pStyle w:val="Style13"/>
        <w:ind w:left="0" w:hanging="0"/>
        <w:rPr>
          <w:i w:val="false"/>
          <w:i w:val="false"/>
          <w:szCs w:val="27"/>
        </w:rPr>
      </w:pPr>
      <w:r>
        <w:rPr>
          <w:i w:val="false"/>
          <w:szCs w:val="27"/>
        </w:rPr>
      </w:r>
    </w:p>
    <w:p>
      <w:pPr>
        <w:pStyle w:val="Style13"/>
        <w:rPr>
          <w:i w:val="false"/>
          <w:i w:val="false"/>
        </w:rPr>
      </w:pPr>
      <w:r>
        <w:rPr>
          <w:i w:val="false"/>
        </w:rPr>
        <w:t>(</w:t>
      </w:r>
      <w:r>
        <w:rPr>
          <w:i w:val="false"/>
        </w:rPr>
        <w:t>一</w:t>
      </w:r>
      <w:r>
        <w:rPr>
          <w:i w:val="false"/>
        </w:rPr>
        <w:t>)</w:t>
        <w:tab/>
      </w:r>
      <w:r>
        <w:rPr>
          <w:i w:val="false"/>
        </w:rPr>
        <w:t>政府一直密切留意各區的道路交通情況。將軍澳隧道是將軍澳新市鎮通往九龍的幹道。將軍澳隧道現時繁忙時段的行車量／容車量比率約為</w:t>
      </w:r>
      <w:r>
        <w:rPr>
          <w:i w:val="false"/>
        </w:rPr>
        <w:t>1.13</w:t>
      </w:r>
      <w:r>
        <w:rPr>
          <w:i w:val="false"/>
        </w:rPr>
        <w:t>，表示在該時段內的交通會稍為擠塞，行車較緩慢，但情況尚可接受。</w:t>
      </w:r>
    </w:p>
    <w:p>
      <w:pPr>
        <w:pStyle w:val="Style13"/>
        <w:rPr>
          <w:i w:val="false"/>
          <w:i w:val="false"/>
        </w:rPr>
      </w:pPr>
      <w:r>
        <w:rPr>
          <w:i w:val="false"/>
        </w:rPr>
      </w:r>
    </w:p>
    <w:p>
      <w:pPr>
        <w:pStyle w:val="Style13"/>
        <w:rPr>
          <w:i w:val="false"/>
          <w:i w:val="false"/>
        </w:rPr>
      </w:pPr>
      <w:r>
        <w:rPr>
          <w:i w:val="false"/>
        </w:rPr>
        <w:tab/>
      </w:r>
      <w:r>
        <w:rPr>
          <w:i w:val="false"/>
        </w:rPr>
        <w:t>我們期望當將軍澳</w:t>
      </w:r>
      <w:r>
        <w:rPr>
          <w:rFonts w:ascii="華康細明體" w:hAnsi="華康細明體"/>
          <w:i w:val="false"/>
        </w:rPr>
        <w:t>─</w:t>
      </w:r>
      <w:r>
        <w:rPr>
          <w:i w:val="false"/>
        </w:rPr>
        <w:t>藍田隧道落成後，將軍澳隧道的交通情況將會進一步改善。短期而言，由於連接將軍澳及九龍的其他道路的路線非常迂迴，難以對現時使用將軍澳隧道的車流量起顯著的分流作用。因此，有關情況仍須待將軍澳</w:t>
      </w:r>
      <w:r>
        <w:rPr>
          <w:rFonts w:ascii="華康細明體" w:hAnsi="華康細明體"/>
          <w:i w:val="false"/>
        </w:rPr>
        <w:t>─</w:t>
      </w:r>
      <w:r>
        <w:rPr>
          <w:i w:val="false"/>
        </w:rPr>
        <w:t>藍田隧道落成後才可得到改善。無論如何，運輸署會繼續留意將軍澳隧道的交通情況。</w:t>
      </w:r>
    </w:p>
    <w:p>
      <w:pPr>
        <w:pStyle w:val="Style13"/>
        <w:rPr>
          <w:i w:val="false"/>
          <w:i w:val="false"/>
        </w:rPr>
      </w:pPr>
      <w:r>
        <w:rPr>
          <w:i w:val="false"/>
        </w:rPr>
      </w:r>
    </w:p>
    <w:p>
      <w:pPr>
        <w:pStyle w:val="Style13"/>
        <w:rPr>
          <w:i w:val="false"/>
          <w:i w:val="false"/>
        </w:rPr>
      </w:pPr>
      <w:r>
        <w:rPr>
          <w:i w:val="false"/>
        </w:rPr>
        <w:t>(</w:t>
      </w:r>
      <w:r>
        <w:rPr>
          <w:i w:val="false"/>
        </w:rPr>
        <w:t>二</w:t>
      </w:r>
      <w:r>
        <w:rPr>
          <w:i w:val="false"/>
        </w:rPr>
        <w:t>)</w:t>
        <w:tab/>
      </w:r>
      <w:r>
        <w:rPr>
          <w:i w:val="false"/>
        </w:rPr>
        <w:t>將軍澳</w:t>
      </w:r>
      <w:r>
        <w:rPr>
          <w:rFonts w:ascii="華康細明體" w:hAnsi="華康細明體"/>
          <w:i w:val="false"/>
        </w:rPr>
        <w:t>─</w:t>
      </w:r>
      <w:r>
        <w:rPr>
          <w:i w:val="false"/>
        </w:rPr>
        <w:t>藍田隧道及將軍澳跨灣連接路的詳細設計工作已經展開，現正按計劃推展。目前評估，如各項工作進展順利，並得到立法會就建造工程批出撥款，擬建的將軍澳</w:t>
      </w:r>
      <w:r>
        <w:rPr>
          <w:rFonts w:ascii="華康細明體" w:hAnsi="華康細明體"/>
          <w:i w:val="false"/>
        </w:rPr>
        <w:t>─</w:t>
      </w:r>
      <w:r>
        <w:rPr>
          <w:i w:val="false"/>
        </w:rPr>
        <w:t>藍田隧道預計最早可在</w:t>
      </w:r>
      <w:r>
        <w:rPr>
          <w:i w:val="false"/>
        </w:rPr>
        <w:t>2020</w:t>
      </w:r>
      <w:r>
        <w:rPr>
          <w:i w:val="false"/>
        </w:rPr>
        <w:t>年通車。我們期望將軍澳跨灣連接路的落成時間可與將軍澳</w:t>
      </w:r>
      <w:r>
        <w:rPr>
          <w:rFonts w:ascii="華康細明體" w:hAnsi="華康細明體"/>
          <w:i w:val="false"/>
        </w:rPr>
        <w:t>─</w:t>
      </w:r>
      <w:r>
        <w:rPr>
          <w:i w:val="false"/>
        </w:rPr>
        <w:t>藍田隧道的通車時間銜接。</w:t>
      </w:r>
    </w:p>
    <w:p>
      <w:pPr>
        <w:pStyle w:val="Style13"/>
        <w:rPr>
          <w:i w:val="false"/>
          <w:i w:val="false"/>
        </w:rPr>
      </w:pPr>
      <w:r>
        <w:rPr>
          <w:i w:val="false"/>
        </w:rPr>
      </w:r>
    </w:p>
    <w:p>
      <w:pPr>
        <w:pStyle w:val="Style13"/>
        <w:rPr>
          <w:i w:val="false"/>
          <w:i w:val="false"/>
        </w:rPr>
      </w:pPr>
      <w:r>
        <w:rPr>
          <w:i w:val="false"/>
        </w:rPr>
        <w:t>(</w:t>
      </w:r>
      <w:r>
        <w:rPr>
          <w:i w:val="false"/>
        </w:rPr>
        <w:t>三</w:t>
      </w:r>
      <w:r>
        <w:rPr>
          <w:i w:val="false"/>
        </w:rPr>
        <w:t>)</w:t>
        <w:tab/>
      </w:r>
      <w:r>
        <w:rPr>
          <w:i w:val="false"/>
        </w:rPr>
        <w:t>為了及早規劃未來的鐵路發展，政府於</w:t>
      </w:r>
      <w:r>
        <w:rPr>
          <w:i w:val="false"/>
        </w:rPr>
        <w:t>2011</w:t>
      </w:r>
      <w:r>
        <w:rPr>
          <w:i w:val="false"/>
        </w:rPr>
        <w:t>年委託顧問進行《鐵路發展策略</w:t>
      </w:r>
      <w:r>
        <w:rPr>
          <w:i w:val="false"/>
        </w:rPr>
        <w:t>2000</w:t>
      </w:r>
      <w:r>
        <w:rPr>
          <w:i w:val="false"/>
        </w:rPr>
        <w:t>》之檢討及修訂研究。經參考在</w:t>
      </w:r>
      <w:r>
        <w:rPr>
          <w:i w:val="false"/>
        </w:rPr>
        <w:t>2012</w:t>
      </w:r>
      <w:r>
        <w:rPr>
          <w:i w:val="false"/>
        </w:rPr>
        <w:t>年及</w:t>
      </w:r>
      <w:r>
        <w:rPr>
          <w:i w:val="false"/>
        </w:rPr>
        <w:t>2013</w:t>
      </w:r>
      <w:r>
        <w:rPr>
          <w:i w:val="false"/>
        </w:rPr>
        <w:t>年兩個階段的公眾參與活動收集的意見及顧問其後作出的總體建議後，運輸及房屋局在</w:t>
      </w:r>
      <w:r>
        <w:rPr>
          <w:i w:val="false"/>
        </w:rPr>
        <w:t>2014</w:t>
      </w:r>
      <w:r>
        <w:rPr>
          <w:i w:val="false"/>
        </w:rPr>
        <w:t>年</w:t>
      </w:r>
      <w:r>
        <w:rPr>
          <w:i w:val="false"/>
        </w:rPr>
        <w:t>9</w:t>
      </w:r>
      <w:r>
        <w:rPr>
          <w:i w:val="false"/>
        </w:rPr>
        <w:t>月公布《鐵路發展策略</w:t>
      </w:r>
      <w:r>
        <w:rPr>
          <w:i w:val="false"/>
        </w:rPr>
        <w:t>2014</w:t>
      </w:r>
      <w:r>
        <w:rPr>
          <w:i w:val="false"/>
        </w:rPr>
        <w:t>》，在回應運輸需求、合乎經濟效益、並配合新發展區和其他新發展項目的發展需要等三大前提下，建議在直至</w:t>
      </w:r>
      <w:r>
        <w:rPr>
          <w:i w:val="false"/>
        </w:rPr>
        <w:t>2031</w:t>
      </w:r>
      <w:r>
        <w:rPr>
          <w:i w:val="false"/>
        </w:rPr>
        <w:t>年的規劃期內完成</w:t>
      </w:r>
      <w:r>
        <w:rPr>
          <w:i w:val="false"/>
        </w:rPr>
        <w:t>7</w:t>
      </w:r>
      <w:r>
        <w:rPr>
          <w:i w:val="false"/>
        </w:rPr>
        <w:t>個鐵路項目，分別是北環線及古洞站、屯門南延線、東九龍線、東涌西延線、洪水橋站、南港島線</w:t>
      </w:r>
      <w:r>
        <w:rPr>
          <w:i w:val="false"/>
        </w:rPr>
        <w:t>(</w:t>
      </w:r>
      <w:r>
        <w:rPr>
          <w:i w:val="false"/>
        </w:rPr>
        <w:t>西段</w:t>
      </w:r>
      <w:r>
        <w:rPr>
          <w:i w:val="false"/>
        </w:rPr>
        <w:t>)</w:t>
      </w:r>
      <w:r>
        <w:rPr>
          <w:i w:val="false"/>
        </w:rPr>
        <w:t>，以及北港島線。政府現時沒有計劃研究興建直接連接康城站和觀塘線的鐵路支線。</w:t>
      </w:r>
    </w:p>
    <w:p>
      <w:pPr>
        <w:pStyle w:val="Style13"/>
        <w:rPr>
          <w:i w:val="false"/>
          <w:i w:val="false"/>
        </w:rPr>
      </w:pPr>
      <w:r>
        <w:rPr>
          <w:i w:val="false"/>
        </w:rPr>
      </w:r>
    </w:p>
    <w:p>
      <w:pPr>
        <w:pStyle w:val="Style13"/>
        <w:rPr>
          <w:i w:val="false"/>
          <w:i w:val="false"/>
        </w:rPr>
      </w:pPr>
      <w:r>
        <w:rPr>
          <w:i w:val="false"/>
        </w:rPr>
        <w:tab/>
      </w:r>
      <w:r>
        <w:rPr>
          <w:i w:val="false"/>
        </w:rPr>
        <w:t>為了提升將軍澳線繁忙時間的整體載客量，香港鐵路有限公司</w:t>
      </w:r>
      <w:r>
        <w:rPr>
          <w:i w:val="false"/>
        </w:rPr>
        <w:t>(“</w:t>
      </w:r>
      <w:r>
        <w:rPr>
          <w:i w:val="false"/>
        </w:rPr>
        <w:t>港鐵公司”</w:t>
      </w:r>
      <w:r>
        <w:rPr>
          <w:i w:val="false"/>
        </w:rPr>
        <w:t>)</w:t>
      </w:r>
      <w:r>
        <w:rPr>
          <w:i w:val="false"/>
        </w:rPr>
        <w:t>自</w:t>
      </w:r>
      <w:r>
        <w:rPr>
          <w:i w:val="false"/>
        </w:rPr>
        <w:t>2014</w:t>
      </w:r>
      <w:r>
        <w:rPr>
          <w:i w:val="false"/>
        </w:rPr>
        <w:t>年</w:t>
      </w:r>
      <w:r>
        <w:rPr>
          <w:i w:val="false"/>
        </w:rPr>
        <w:t>12</w:t>
      </w:r>
      <w:r>
        <w:rPr>
          <w:i w:val="false"/>
        </w:rPr>
        <w:t>月起實施新的將軍澳線“</w:t>
      </w:r>
      <w:r>
        <w:rPr>
          <w:i w:val="false"/>
        </w:rPr>
        <w:t>2+1”</w:t>
      </w:r>
      <w:r>
        <w:rPr>
          <w:i w:val="false"/>
        </w:rPr>
        <w:t>列車服務安排</w:t>
      </w:r>
      <w:r>
        <w:rPr>
          <w:i w:val="false"/>
        </w:rPr>
        <w:t>(</w:t>
      </w:r>
      <w:r>
        <w:rPr>
          <w:i w:val="false"/>
        </w:rPr>
        <w:t>即每</w:t>
      </w:r>
      <w:r>
        <w:rPr>
          <w:i w:val="false"/>
        </w:rPr>
        <w:t>3</w:t>
      </w:r>
      <w:r>
        <w:rPr>
          <w:i w:val="false"/>
        </w:rPr>
        <w:t>班往北角方向的列車，首兩班由寶琳站開出，第三班則由康城站開出</w:t>
      </w:r>
      <w:r>
        <w:rPr>
          <w:i w:val="false"/>
        </w:rPr>
        <w:t>)</w:t>
      </w:r>
      <w:r>
        <w:rPr>
          <w:i w:val="false"/>
        </w:rPr>
        <w:t>，這一方面有助紓緩將軍澳線油塘站至鰂魚涌站最繁忙路段早上繁忙時段的擠迫情況，同時康城站至北角站的列車班次亦由原來每</w:t>
      </w:r>
      <w:r>
        <w:rPr>
          <w:i w:val="false"/>
        </w:rPr>
        <w:t>10</w:t>
      </w:r>
      <w:r>
        <w:rPr>
          <w:i w:val="false"/>
        </w:rPr>
        <w:t>分鐘</w:t>
      </w:r>
      <w:r>
        <w:rPr>
          <w:i w:val="false"/>
        </w:rPr>
        <w:t>1</w:t>
      </w:r>
      <w:r>
        <w:rPr>
          <w:i w:val="false"/>
        </w:rPr>
        <w:t>班縮減至每</w:t>
      </w:r>
      <w:r>
        <w:rPr>
          <w:i w:val="false"/>
        </w:rPr>
        <w:t>7</w:t>
      </w:r>
      <w:r>
        <w:rPr>
          <w:i w:val="false"/>
        </w:rPr>
        <w:t>分鐘</w:t>
      </w:r>
      <w:r>
        <w:rPr>
          <w:i w:val="false"/>
        </w:rPr>
        <w:t>1</w:t>
      </w:r>
      <w:r>
        <w:rPr>
          <w:i w:val="false"/>
        </w:rPr>
        <w:t>班。將軍澳線“</w:t>
      </w:r>
      <w:r>
        <w:rPr>
          <w:i w:val="false"/>
        </w:rPr>
        <w:t>2+1”</w:t>
      </w:r>
      <w:r>
        <w:rPr>
          <w:i w:val="false"/>
        </w:rPr>
        <w:t>列車服務安排實施至今，普遍受乘客歡迎。港鐵公司會繼續密切留意乘客對將軍澳線的服務需求，並因應實際車務運作不時檢討列車服務安排。</w:t>
      </w:r>
    </w:p>
    <w:p>
      <w:pPr>
        <w:pStyle w:val="F21"/>
        <w:rPr>
          <w:rFonts w:cs="Times New Roman"/>
        </w:rPr>
      </w:pPr>
      <w:r>
        <w:rPr>
          <w:rFonts w:cs="Times New Roman"/>
        </w:rPr>
      </w:r>
    </w:p>
    <w:p>
      <w:pPr>
        <w:pStyle w:val="F21"/>
        <w:rPr>
          <w:rFonts w:cs="Times New Roman"/>
        </w:rPr>
      </w:pPr>
      <w:r>
        <w:rPr>
          <w:rFonts w:cs="Times New Roman"/>
        </w:rPr>
      </w:r>
    </w:p>
    <w:p>
      <w:pPr>
        <w:pStyle w:val="F21"/>
        <w:rPr>
          <w:rFonts w:eastAsia="華康中黑體" w:cs="Times New Roman"/>
          <w:b/>
          <w:b/>
          <w:sz w:val="28"/>
          <w:szCs w:val="28"/>
        </w:rPr>
      </w:pPr>
      <w:bookmarkStart w:id="58" w:name="bil"/>
      <w:r>
        <w:rPr>
          <w:rFonts w:cs="Times New Roman" w:eastAsia="華康中黑體"/>
          <w:b/>
          <w:sz w:val="28"/>
          <w:szCs w:val="28"/>
        </w:rPr>
        <w:t>法案</w:t>
      </w:r>
    </w:p>
    <w:p>
      <w:pPr>
        <w:pStyle w:val="Normal"/>
        <w:rPr>
          <w:rFonts w:eastAsia="華康中黑體"/>
          <w:b/>
          <w:b/>
          <w:color w:val="FF0000"/>
          <w:spacing w:val="20"/>
          <w:sz w:val="27"/>
          <w:szCs w:val="22"/>
          <w:lang w:val="en-US"/>
        </w:rPr>
      </w:pPr>
      <w:bookmarkStart w:id="59" w:name="bil"/>
      <w:r>
        <w:rPr>
          <w:b/>
        </w:rPr>
        <w:t>BILLS</w:t>
      </w:r>
      <w:bookmarkEnd w:id="59"/>
    </w:p>
    <w:p>
      <w:pPr>
        <w:pStyle w:val="F21"/>
        <w:rPr>
          <w:rFonts w:cs="Times New Roman"/>
        </w:rPr>
      </w:pPr>
      <w:r>
        <w:rPr>
          <w:rFonts w:cs="Times New Roman"/>
        </w:rPr>
      </w:r>
    </w:p>
    <w:p>
      <w:pPr>
        <w:pStyle w:val="F21"/>
        <w:rPr>
          <w:rFonts w:eastAsia="華康中黑體" w:cs="Times New Roman"/>
          <w:b/>
          <w:b/>
        </w:rPr>
      </w:pPr>
      <w:bookmarkStart w:id="60" w:name="b1r"/>
      <w:r>
        <w:rPr>
          <w:rFonts w:cs="Times New Roman" w:eastAsia="華康中黑體"/>
          <w:b/>
        </w:rPr>
        <w:t>法案首讀</w:t>
      </w:r>
    </w:p>
    <w:p>
      <w:pPr>
        <w:pStyle w:val="Normal"/>
        <w:rPr>
          <w:b/>
          <w:b/>
        </w:rPr>
      </w:pPr>
      <w:bookmarkStart w:id="61" w:name="b1r"/>
      <w:r>
        <w:rPr>
          <w:b/>
        </w:rPr>
        <w:t>First Reading of Bills</w:t>
      </w:r>
      <w:bookmarkEnd w:id="61"/>
    </w:p>
    <w:p>
      <w:pPr>
        <w:pStyle w:val="F21"/>
        <w:rPr>
          <w:rFonts w:cs="Times New Roman"/>
        </w:rPr>
      </w:pPr>
      <w:r>
        <w:rPr>
          <w:rFonts w:cs="Times New Roman"/>
        </w:rPr>
      </w:r>
    </w:p>
    <w:p>
      <w:pPr>
        <w:pStyle w:val="F21"/>
        <w:rPr>
          <w:rFonts w:cs="Times New Roman"/>
        </w:rPr>
      </w:pPr>
      <w:r>
        <w:rPr>
          <w:rFonts w:cs="Times New Roman" w:eastAsia="華康中黑體"/>
          <w:b/>
        </w:rPr>
        <w:t>主席</w:t>
      </w:r>
      <w:r>
        <w:rPr>
          <w:rFonts w:cs="Times New Roman"/>
        </w:rPr>
        <w:t>：法案：首讀。</w:t>
      </w:r>
    </w:p>
    <w:p>
      <w:pPr>
        <w:pStyle w:val="F21"/>
        <w:rPr>
          <w:rFonts w:cs="Times New Roman"/>
        </w:rPr>
      </w:pPr>
      <w:r>
        <w:rPr>
          <w:rFonts w:cs="Times New Roman"/>
        </w:rPr>
      </w:r>
    </w:p>
    <w:p>
      <w:pPr>
        <w:pStyle w:val="F21"/>
        <w:rPr>
          <w:rFonts w:cs="Times New Roman"/>
        </w:rPr>
      </w:pPr>
      <w:r>
        <w:rPr>
          <w:rFonts w:cs="Times New Roman"/>
        </w:rPr>
      </w:r>
    </w:p>
    <w:p>
      <w:pPr>
        <w:pStyle w:val="F21"/>
        <w:rPr>
          <w:rFonts w:eastAsia="華康中黑體" w:cs="Times New Roman"/>
          <w:b/>
          <w:b/>
        </w:rPr>
      </w:pPr>
      <w:bookmarkStart w:id="62" w:name="b1r01"/>
      <w:r>
        <w:rPr>
          <w:rFonts w:cs="Times New Roman" w:eastAsia="華康中黑體"/>
          <w:b/>
        </w:rPr>
        <w:t>《</w:t>
      </w:r>
      <w:r>
        <w:rPr>
          <w:rFonts w:eastAsia="華康中黑體" w:cs="Times New Roman"/>
          <w:b/>
        </w:rPr>
        <w:t>2015</w:t>
      </w:r>
      <w:r>
        <w:rPr>
          <w:rFonts w:cs="Times New Roman" w:eastAsia="華康中黑體"/>
          <w:b/>
        </w:rPr>
        <w:t>年稅務</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rPr>
          <w:rFonts w:eastAsia="華康中黑體"/>
          <w:b/>
          <w:b/>
          <w:caps/>
          <w:color w:val="FF0000"/>
          <w:spacing w:val="20"/>
          <w:sz w:val="27"/>
          <w:szCs w:val="22"/>
          <w:lang w:val="en-US"/>
        </w:rPr>
      </w:pPr>
      <w:bookmarkStart w:id="63" w:name="b1r01"/>
      <w:r>
        <w:rPr>
          <w:b/>
          <w:caps/>
        </w:rPr>
        <w:t>Inland Revenue (Amendment) Bill 2015</w:t>
      </w:r>
      <w:bookmarkEnd w:id="63"/>
    </w:p>
    <w:p>
      <w:pPr>
        <w:pStyle w:val="F21"/>
        <w:rPr>
          <w:rFonts w:cs="Times New Roman"/>
        </w:rPr>
      </w:pPr>
      <w:r>
        <w:rPr>
          <w:rFonts w:cs="Times New Roman"/>
        </w:rPr>
      </w:r>
    </w:p>
    <w:p>
      <w:pPr>
        <w:pStyle w:val="F21"/>
        <w:rPr>
          <w:rFonts w:cs="Times New Roman"/>
        </w:rPr>
      </w:pPr>
      <w:r>
        <w:rPr>
          <w:rFonts w:cs="Times New Roman" w:eastAsia="華康中黑體"/>
          <w:b/>
        </w:rPr>
        <w:t>秘書</w:t>
      </w:r>
      <w:r>
        <w:rPr>
          <w:rFonts w:cs="Times New Roman"/>
        </w:rPr>
        <w:t>：《</w:t>
      </w:r>
      <w:r>
        <w:rPr>
          <w:rFonts w:cs="Times New Roman"/>
        </w:rPr>
        <w:t>2015</w:t>
      </w:r>
      <w:r>
        <w:rPr>
          <w:rFonts w:cs="Times New Roman"/>
        </w:rPr>
        <w:t>年稅務</w:t>
      </w:r>
      <w:r>
        <w:rPr>
          <w:rFonts w:cs="Times New Roman"/>
        </w:rPr>
        <w:t>(</w:t>
      </w:r>
      <w:r>
        <w:rPr>
          <w:rFonts w:cs="Times New Roman"/>
        </w:rPr>
        <w:t>修訂</w:t>
      </w:r>
      <w:r>
        <w:rPr>
          <w:rFonts w:cs="Times New Roman"/>
        </w:rPr>
        <w:t>)</w:t>
      </w:r>
      <w:r>
        <w:rPr>
          <w:rFonts w:cs="Times New Roman"/>
        </w:rPr>
        <w:t>條例草案》。</w:t>
      </w:r>
    </w:p>
    <w:p>
      <w:pPr>
        <w:pStyle w:val="F21"/>
        <w:rPr>
          <w:rFonts w:cs="Times New Roman"/>
        </w:rPr>
      </w:pPr>
      <w:r>
        <w:rPr>
          <w:rFonts w:cs="Times New Roman"/>
        </w:rPr>
      </w:r>
    </w:p>
    <w:p>
      <w:pPr>
        <w:pStyle w:val="F21"/>
        <w:rPr>
          <w:rFonts w:cs="Times New Roman"/>
          <w:i/>
          <w:i/>
        </w:rPr>
      </w:pPr>
      <w:r>
        <w:rPr>
          <w:rFonts w:cs="Times New Roman"/>
          <w:i/>
        </w:rPr>
        <w:t>條例草案經過首讀，並依據《議事規則》第</w:t>
      </w:r>
      <w:r>
        <w:rPr>
          <w:rFonts w:cs="Times New Roman"/>
          <w:i/>
        </w:rPr>
        <w:t>53(3)</w:t>
      </w:r>
      <w:r>
        <w:rPr>
          <w:rFonts w:cs="Times New Roman"/>
          <w:i/>
        </w:rPr>
        <w:t>條的規定，受命安排二讀。</w:t>
      </w:r>
    </w:p>
    <w:p>
      <w:pPr>
        <w:pStyle w:val="Normal"/>
        <w:rPr>
          <w:i/>
          <w:i/>
        </w:rPr>
      </w:pPr>
      <w:r>
        <w:rPr>
          <w:i/>
        </w:rPr>
        <w:t>Bill read the First time and ordered to be set down for Second Reading pursuant to Rule 53(3) of the Rules of Procedure.</w:t>
      </w:r>
    </w:p>
    <w:p>
      <w:pPr>
        <w:pStyle w:val="F21"/>
        <w:rPr>
          <w:rFonts w:cs="Times New Roman"/>
        </w:rPr>
      </w:pPr>
      <w:r>
        <w:rPr>
          <w:rFonts w:cs="Times New Roman"/>
        </w:rPr>
      </w:r>
    </w:p>
    <w:p>
      <w:pPr>
        <w:pStyle w:val="F21"/>
        <w:rPr>
          <w:rFonts w:cs="Times New Roman"/>
        </w:rPr>
      </w:pPr>
      <w:r>
        <w:rPr>
          <w:rFonts w:cs="Times New Roman"/>
        </w:rPr>
      </w:r>
    </w:p>
    <w:p>
      <w:pPr>
        <w:pStyle w:val="F21"/>
        <w:rPr>
          <w:rFonts w:eastAsia="華康中黑體" w:cs="Times New Roman"/>
          <w:b/>
          <w:b/>
        </w:rPr>
      </w:pPr>
      <w:bookmarkStart w:id="64" w:name="b2r"/>
      <w:r>
        <w:rPr>
          <w:rFonts w:cs="Times New Roman" w:eastAsia="華康中黑體"/>
          <w:b/>
        </w:rPr>
        <w:t>法案二讀</w:t>
      </w:r>
    </w:p>
    <w:p>
      <w:pPr>
        <w:pStyle w:val="Normal"/>
        <w:rPr>
          <w:b/>
          <w:b/>
        </w:rPr>
      </w:pPr>
      <w:bookmarkStart w:id="65" w:name="b2r"/>
      <w:r>
        <w:rPr>
          <w:b/>
        </w:rPr>
        <w:t>Second Reading of Bills</w:t>
      </w:r>
      <w:bookmarkEnd w:id="65"/>
    </w:p>
    <w:p>
      <w:pPr>
        <w:pStyle w:val="F21"/>
        <w:rPr>
          <w:rFonts w:cs="Times New Roman"/>
        </w:rPr>
      </w:pPr>
      <w:r>
        <w:rPr>
          <w:rFonts w:cs="Times New Roman"/>
        </w:rPr>
      </w:r>
    </w:p>
    <w:p>
      <w:pPr>
        <w:pStyle w:val="F21"/>
        <w:rPr>
          <w:rFonts w:cs="Times New Roman"/>
        </w:rPr>
      </w:pPr>
      <w:r>
        <w:rPr>
          <w:rFonts w:cs="Times New Roman" w:eastAsia="華康中黑體"/>
          <w:b/>
        </w:rPr>
        <w:t>主席</w:t>
      </w:r>
      <w:r>
        <w:rPr>
          <w:rFonts w:cs="Times New Roman"/>
        </w:rPr>
        <w:t>：法案：二讀。</w:t>
      </w:r>
    </w:p>
    <w:p>
      <w:pPr>
        <w:pStyle w:val="F21"/>
        <w:rPr>
          <w:rFonts w:cs="Times New Roman"/>
        </w:rPr>
      </w:pPr>
      <w:r>
        <w:rPr>
          <w:rFonts w:cs="Times New Roman"/>
        </w:rPr>
      </w:r>
    </w:p>
    <w:p>
      <w:pPr>
        <w:pStyle w:val="F21"/>
        <w:rPr>
          <w:rFonts w:cs="Times New Roman"/>
        </w:rPr>
      </w:pPr>
      <w:r>
        <w:rPr>
          <w:rFonts w:cs="Times New Roman"/>
        </w:rPr>
      </w:r>
    </w:p>
    <w:p>
      <w:pPr>
        <w:pStyle w:val="F21"/>
        <w:rPr>
          <w:rFonts w:eastAsia="華康中黑體" w:cs="Times New Roman"/>
          <w:b/>
          <w:b/>
        </w:rPr>
      </w:pPr>
      <w:bookmarkStart w:id="66" w:name="b2r01"/>
      <w:r>
        <w:rPr>
          <w:rFonts w:cs="Times New Roman" w:eastAsia="華康中黑體"/>
          <w:b/>
        </w:rPr>
        <w:t>《</w:t>
      </w:r>
      <w:r>
        <w:rPr>
          <w:rFonts w:eastAsia="華康中黑體" w:cs="Times New Roman"/>
          <w:b/>
        </w:rPr>
        <w:t>2015</w:t>
      </w:r>
      <w:r>
        <w:rPr>
          <w:rFonts w:cs="Times New Roman" w:eastAsia="華康中黑體"/>
          <w:b/>
        </w:rPr>
        <w:t>年稅務</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rPr>
          <w:b/>
          <w:b/>
        </w:rPr>
      </w:pPr>
      <w:bookmarkStart w:id="67" w:name="b2r01"/>
      <w:r>
        <w:rPr>
          <w:b/>
        </w:rPr>
        <w:t>INLAND REVENUE (AMENDMENT) BILL 2015</w:t>
      </w:r>
      <w:bookmarkEnd w:id="67"/>
    </w:p>
    <w:p>
      <w:pPr>
        <w:pStyle w:val="F21"/>
        <w:rPr/>
      </w:pPr>
      <w:r>
        <w:rPr/>
      </w:r>
    </w:p>
    <w:p>
      <w:pPr>
        <w:pStyle w:val="F21"/>
        <w:rPr>
          <w:szCs w:val="27"/>
        </w:rPr>
      </w:pPr>
      <w:r>
        <w:rPr>
          <w:rFonts w:eastAsia="華康中黑體"/>
          <w:b/>
          <w:szCs w:val="27"/>
        </w:rPr>
        <w:t>財經事務及庫務局局長</w:t>
      </w:r>
      <w:r>
        <w:rPr>
          <w:szCs w:val="27"/>
        </w:rPr>
        <w:t>：主席，我謹動議二讀《</w:t>
      </w:r>
      <w:r>
        <w:rPr>
          <w:szCs w:val="27"/>
        </w:rPr>
        <w:t>2015</w:t>
      </w:r>
      <w:r>
        <w:rPr>
          <w:szCs w:val="27"/>
        </w:rPr>
        <w:t>年稅務</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w:t>
      </w:r>
      <w:r>
        <w:br w:type="page"/>
      </w:r>
    </w:p>
    <w:p>
      <w:pPr>
        <w:pStyle w:val="F21"/>
        <w:spacing w:lineRule="atLeast" w:line="370"/>
        <w:rPr>
          <w:szCs w:val="27"/>
        </w:rPr>
      </w:pPr>
      <w:r>
        <w:rPr>
          <w:szCs w:val="27"/>
        </w:rPr>
        <w:tab/>
      </w:r>
      <w:r>
        <w:rPr>
          <w:szCs w:val="27"/>
        </w:rPr>
        <w:t>條例草案的目的是要把現時適用於離岸基金的利得稅豁免延伸至私募基金，讓離岸私募基金可以獲得稅項豁免。</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我們在</w:t>
      </w:r>
      <w:r>
        <w:rPr>
          <w:szCs w:val="27"/>
        </w:rPr>
        <w:t>2006</w:t>
      </w:r>
      <w:r>
        <w:rPr>
          <w:szCs w:val="27"/>
        </w:rPr>
        <w:t>年修訂了《稅務條例》，訂立適用於離岸基金的利得稅豁免制度，使香港與其他主要金融中心看齊。不過，目前的稅項豁免並不適用於私募基金，主要因為根據現行的豁免條文，要符合免稅資格，離岸基金必須從事“指明交易”，當中包括證券交易。有關“指明交易”則必須由“指明人士”進行或安排進行，而“指明人士”包括根據《證券及期貨條例》獲發牌進行這些交易的法團，但現時“證券”的定義一般不包括私人公司的證券，而私募基金亦不一定由持牌法團所管理；因此，離岸私募基金從私人公司的證券交易取得利潤，或須被香港徵收利得稅。</w:t>
      </w:r>
    </w:p>
    <w:p>
      <w:pPr>
        <w:pStyle w:val="F21"/>
        <w:spacing w:lineRule="atLeast" w:line="370"/>
        <w:rPr>
          <w:szCs w:val="27"/>
        </w:rPr>
      </w:pPr>
      <w:r>
        <w:rPr>
          <w:szCs w:val="27"/>
        </w:rPr>
      </w:r>
    </w:p>
    <w:p>
      <w:pPr>
        <w:pStyle w:val="F21"/>
        <w:spacing w:lineRule="atLeast" w:line="370"/>
        <w:rPr>
          <w:szCs w:val="27"/>
        </w:rPr>
      </w:pPr>
      <w:r>
        <w:rPr>
          <w:szCs w:val="27"/>
        </w:rPr>
        <w:tab/>
      </w:r>
      <w:r>
        <w:rPr>
          <w:szCs w:val="27"/>
        </w:rPr>
        <w:t>為使離岸私募基金可同樣獲得稅項豁免，條例草案內的立法建議主要包括</w:t>
      </w:r>
      <w:r>
        <w:rPr>
          <w:szCs w:val="27"/>
        </w:rPr>
        <w:t>3</w:t>
      </w:r>
      <w:r>
        <w:rPr>
          <w:szCs w:val="27"/>
        </w:rPr>
        <w:t>方面。</w:t>
      </w:r>
    </w:p>
    <w:p>
      <w:pPr>
        <w:pStyle w:val="F21"/>
        <w:spacing w:lineRule="atLeast" w:line="370"/>
        <w:rPr>
          <w:szCs w:val="27"/>
        </w:rPr>
      </w:pPr>
      <w:r>
        <w:rPr>
          <w:szCs w:val="27"/>
        </w:rPr>
      </w:r>
    </w:p>
    <w:p>
      <w:pPr>
        <w:pStyle w:val="F21"/>
        <w:spacing w:lineRule="atLeast" w:line="370"/>
        <w:rPr>
          <w:szCs w:val="27"/>
        </w:rPr>
      </w:pPr>
      <w:r>
        <w:rPr>
          <w:szCs w:val="27"/>
        </w:rPr>
        <w:tab/>
      </w:r>
      <w:r>
        <w:rPr>
          <w:szCs w:val="27"/>
        </w:rPr>
        <w:t>第一，把稅項豁免的範圍延伸至離岸私募基金。我們建議透過修訂“證券”的定義，把離岸私募基金持有的合資格項目公司的證券交易納入“指明交易”的定義範圍之內，從而讓離岸私募基金享有利得稅豁免。條例草案亦訂明了項目公司須符合的條件以獲得稅項豁免，包括必須是在香港境外成立為法團的私人公司，或在最低額豁免規定的規限下，不得在本港經營業務和持有不動產。</w:t>
      </w:r>
    </w:p>
    <w:p>
      <w:pPr>
        <w:pStyle w:val="F21"/>
        <w:spacing w:lineRule="atLeast" w:line="370"/>
        <w:rPr>
          <w:szCs w:val="27"/>
        </w:rPr>
      </w:pPr>
      <w:r>
        <w:rPr>
          <w:szCs w:val="27"/>
        </w:rPr>
      </w:r>
    </w:p>
    <w:p>
      <w:pPr>
        <w:pStyle w:val="F21"/>
        <w:spacing w:lineRule="atLeast" w:line="370"/>
        <w:rPr>
          <w:szCs w:val="27"/>
        </w:rPr>
      </w:pPr>
      <w:r>
        <w:rPr>
          <w:szCs w:val="27"/>
        </w:rPr>
        <w:tab/>
      </w:r>
      <w:r>
        <w:rPr>
          <w:szCs w:val="27"/>
        </w:rPr>
        <w:t>第二，讓符合資格的離岸私募基金可享有稅項豁免。我們建議修訂現行的豁免條文，訂明若進行“指明交易”的離岸私募基金是“符合資格的基金”，則無須透過持牌法團進行項目公司的證券交易亦可享有稅項豁免。條例草案亦訂明了“符合資格的基金”須符合指定的條件，以確保只有真正的私募基金才有資格獲得稅項豁免。</w:t>
      </w:r>
    </w:p>
    <w:p>
      <w:pPr>
        <w:pStyle w:val="F21"/>
        <w:spacing w:lineRule="atLeast" w:line="370"/>
        <w:rPr>
          <w:szCs w:val="27"/>
        </w:rPr>
      </w:pPr>
      <w:r>
        <w:rPr>
          <w:szCs w:val="27"/>
        </w:rPr>
      </w:r>
    </w:p>
    <w:p>
      <w:pPr>
        <w:pStyle w:val="F21"/>
        <w:spacing w:lineRule="atLeast" w:line="370"/>
        <w:rPr>
          <w:szCs w:val="27"/>
        </w:rPr>
      </w:pPr>
      <w:r>
        <w:rPr>
          <w:szCs w:val="27"/>
        </w:rPr>
        <w:tab/>
      </w:r>
      <w:r>
        <w:rPr>
          <w:szCs w:val="27"/>
        </w:rPr>
        <w:t>第三，豁免特定目的工具繳付利得稅。鑒於私募基金通常透過設立單層或多層特定目的工具持有項目公司，條例草案容許離岸私募基金透過出售在香港或海外設立的特定目的工具的證券而獲得合資格項目公司證券交易的利潤，或者得自中間特定目的工具或合資格離岸項目公司證券交易的利潤，均可獲豁免繳稅。</w:t>
      </w:r>
    </w:p>
    <w:p>
      <w:pPr>
        <w:pStyle w:val="F21"/>
        <w:spacing w:lineRule="atLeast" w:line="370"/>
        <w:rPr>
          <w:szCs w:val="27"/>
        </w:rPr>
      </w:pPr>
      <w:r>
        <w:rPr>
          <w:szCs w:val="27"/>
        </w:rPr>
      </w:r>
    </w:p>
    <w:p>
      <w:pPr>
        <w:pStyle w:val="F21"/>
        <w:spacing w:lineRule="atLeast" w:line="370"/>
        <w:rPr>
          <w:szCs w:val="27"/>
        </w:rPr>
      </w:pPr>
      <w:r>
        <w:rPr>
          <w:szCs w:val="27"/>
        </w:rPr>
      </w:r>
    </w:p>
    <w:p>
      <w:pPr>
        <w:pStyle w:val="Normal"/>
        <w:widowControl/>
        <w:spacing w:lineRule="atLeast" w:line="370"/>
        <w:jc w:val="left"/>
        <w:rPr>
          <w:rFonts w:cs="" w:cstheme="minorBidi"/>
          <w:spacing w:val="20"/>
          <w:sz w:val="27"/>
          <w:szCs w:val="27"/>
          <w:lang w:val="en-US"/>
        </w:rPr>
      </w:pPr>
      <w:r>
        <w:rPr>
          <w:spacing w:val="20"/>
          <w:sz w:val="27"/>
          <w:szCs w:val="27"/>
        </w:rPr>
        <w:t>(</w:t>
      </w:r>
      <w:r>
        <w:rPr>
          <w:spacing w:val="20"/>
          <w:sz w:val="27"/>
          <w:szCs w:val="27"/>
        </w:rPr>
        <w:t>代理主席梁君彥議員代為主持會議</w:t>
      </w:r>
      <w:r>
        <w:rPr>
          <w:spacing w:val="20"/>
          <w:sz w:val="27"/>
          <w:szCs w:val="27"/>
        </w:rPr>
        <w:t>)</w:t>
      </w:r>
      <w:r>
        <w:br w:type="page"/>
      </w:r>
    </w:p>
    <w:p>
      <w:pPr>
        <w:pStyle w:val="F21"/>
        <w:spacing w:lineRule="exact" w:line="332"/>
        <w:rPr>
          <w:szCs w:val="27"/>
        </w:rPr>
      </w:pPr>
      <w:r>
        <w:rPr>
          <w:szCs w:val="27"/>
        </w:rPr>
        <w:tab/>
      </w:r>
      <w:r>
        <w:rPr>
          <w:szCs w:val="27"/>
        </w:rPr>
        <w:t>為防止濫用的情況，現行的“推定條文”同樣會適用於離岸私募基金，即居港者如持有已獲豁免稅項的私募基金</w:t>
      </w:r>
      <w:r>
        <w:rPr>
          <w:szCs w:val="27"/>
        </w:rPr>
        <w:t>30%</w:t>
      </w:r>
      <w:r>
        <w:rPr>
          <w:szCs w:val="27"/>
        </w:rPr>
        <w:t>或以上的實益權益，來自該基金所賺取的利潤會被視為應評稅利潤。條例草案亦為特定目的工具訂立了相若的推定條文。</w:t>
      </w:r>
    </w:p>
    <w:p>
      <w:pPr>
        <w:pStyle w:val="F21"/>
        <w:spacing w:lineRule="exact" w:line="332"/>
        <w:rPr>
          <w:szCs w:val="27"/>
        </w:rPr>
      </w:pPr>
      <w:r>
        <w:rPr>
          <w:szCs w:val="27"/>
        </w:rPr>
      </w:r>
    </w:p>
    <w:p>
      <w:pPr>
        <w:pStyle w:val="F21"/>
        <w:spacing w:lineRule="exact" w:line="332"/>
        <w:rPr>
          <w:szCs w:val="27"/>
        </w:rPr>
      </w:pPr>
      <w:r>
        <w:rPr>
          <w:szCs w:val="27"/>
        </w:rPr>
        <w:tab/>
      </w:r>
      <w:r>
        <w:rPr>
          <w:szCs w:val="27"/>
        </w:rPr>
        <w:t>代理主席，我們建議把離岸私募基金買賣合資格海外項目公司的交易所涉稅項豁免釐清，希望吸引更多私募基金管理公司在香港拓展業務，並聘用本地的資產管理、投資及顧問服務。這既可促進本港資產管理業進一步發展，加強香港作為亞洲領先的私募基金中心的地位，又可以帶動對其他相關專業服務的需求。</w:t>
      </w:r>
    </w:p>
    <w:p>
      <w:pPr>
        <w:pStyle w:val="F21"/>
        <w:spacing w:lineRule="exact" w:line="332"/>
        <w:rPr>
          <w:szCs w:val="27"/>
        </w:rPr>
      </w:pPr>
      <w:r>
        <w:rPr>
          <w:szCs w:val="27"/>
        </w:rPr>
      </w:r>
    </w:p>
    <w:p>
      <w:pPr>
        <w:pStyle w:val="F21"/>
        <w:spacing w:lineRule="exact" w:line="332"/>
        <w:rPr>
          <w:szCs w:val="27"/>
        </w:rPr>
      </w:pPr>
      <w:r>
        <w:rPr>
          <w:szCs w:val="27"/>
        </w:rPr>
        <w:tab/>
      </w:r>
      <w:r>
        <w:rPr>
          <w:szCs w:val="27"/>
        </w:rPr>
        <w:t>我們已就立法建議諮詢業界。業界普遍歡迎有關建議，並促請政府早日予以實施。我希望各位議員能夠支持條例草案，以便早日落實建議，這對鞏固香港國際資產管理中心的地位，促進整體金融服務業進一步發展，都有裨益。</w:t>
      </w:r>
    </w:p>
    <w:p>
      <w:pPr>
        <w:pStyle w:val="F21"/>
        <w:spacing w:lineRule="exact" w:line="332"/>
        <w:rPr>
          <w:szCs w:val="27"/>
        </w:rPr>
      </w:pPr>
      <w:r>
        <w:rPr>
          <w:szCs w:val="27"/>
        </w:rPr>
      </w:r>
    </w:p>
    <w:p>
      <w:pPr>
        <w:pStyle w:val="F21"/>
        <w:spacing w:lineRule="exact" w:line="332"/>
        <w:rPr>
          <w:szCs w:val="27"/>
        </w:rPr>
      </w:pPr>
      <w:r>
        <w:rPr>
          <w:szCs w:val="27"/>
        </w:rPr>
        <w:tab/>
      </w:r>
      <w:r>
        <w:rPr>
          <w:szCs w:val="27"/>
        </w:rPr>
        <w:t>代理主席，我謹此陳辭。</w:t>
      </w:r>
    </w:p>
    <w:p>
      <w:pPr>
        <w:pStyle w:val="F21"/>
        <w:spacing w:lineRule="exact" w:line="332"/>
        <w:rPr>
          <w:rFonts w:cs="Times New Roman"/>
        </w:rPr>
      </w:pPr>
      <w:r>
        <w:rPr>
          <w:rFonts w:cs="Times New Roman"/>
        </w:rPr>
      </w:r>
    </w:p>
    <w:p>
      <w:pPr>
        <w:pStyle w:val="F21"/>
        <w:spacing w:lineRule="exact" w:line="332"/>
        <w:rPr>
          <w:rFonts w:cs="Times New Roman"/>
        </w:rPr>
      </w:pPr>
      <w:r>
        <w:rPr>
          <w:rFonts w:cs="Times New Roman"/>
        </w:rPr>
      </w:r>
    </w:p>
    <w:p>
      <w:pPr>
        <w:pStyle w:val="F21"/>
        <w:spacing w:lineRule="exact" w:line="332"/>
        <w:rPr>
          <w:rFonts w:cs="Times New Roman"/>
        </w:rPr>
      </w:pPr>
      <w:r>
        <w:rPr>
          <w:rFonts w:cs="Times New Roman" w:eastAsia="華康中黑體"/>
          <w:b/>
        </w:rPr>
        <w:t>代理主席</w:t>
      </w:r>
      <w:r>
        <w:rPr>
          <w:rFonts w:cs="Times New Roman"/>
        </w:rPr>
        <w:t>：我現在向各位提出的待議議題是：《</w:t>
      </w:r>
      <w:r>
        <w:rPr>
          <w:rFonts w:cs="Times New Roman"/>
        </w:rPr>
        <w:t>2015</w:t>
      </w:r>
      <w:r>
        <w:rPr>
          <w:rFonts w:cs="Times New Roman"/>
        </w:rPr>
        <w:t>年稅務</w:t>
      </w:r>
      <w:r>
        <w:rPr>
          <w:rFonts w:cs="Times New Roman"/>
        </w:rPr>
        <w:t>(</w:t>
      </w:r>
      <w:r>
        <w:rPr>
          <w:rFonts w:cs="Times New Roman"/>
        </w:rPr>
        <w:t>修訂</w:t>
      </w:r>
      <w:r>
        <w:rPr>
          <w:rFonts w:cs="Times New Roman"/>
        </w:rPr>
        <w:t>)</w:t>
      </w:r>
      <w:r>
        <w:rPr>
          <w:rFonts w:cs="Times New Roman"/>
        </w:rPr>
        <w:t>條例草案》予以二讀。</w:t>
      </w:r>
    </w:p>
    <w:p>
      <w:pPr>
        <w:pStyle w:val="F21"/>
        <w:spacing w:lineRule="exact" w:line="332"/>
        <w:rPr>
          <w:rFonts w:cs="Times New Roman"/>
        </w:rPr>
      </w:pPr>
      <w:r>
        <w:rPr>
          <w:rFonts w:cs="Times New Roman"/>
        </w:rPr>
      </w:r>
    </w:p>
    <w:p>
      <w:pPr>
        <w:pStyle w:val="F21"/>
        <w:spacing w:lineRule="exact" w:line="332"/>
        <w:rPr>
          <w:rFonts w:cs="Times New Roman"/>
        </w:rPr>
      </w:pPr>
      <w:r>
        <w:rPr>
          <w:rFonts w:cs="Times New Roman"/>
        </w:rPr>
        <w:tab/>
      </w:r>
      <w:r>
        <w:rPr>
          <w:rFonts w:cs="Times New Roman"/>
        </w:rPr>
        <w:t>按照《議事規則》，這辯論現在中止待續，條例草案則交由內務委員會處理。</w:t>
      </w:r>
    </w:p>
    <w:p>
      <w:pPr>
        <w:pStyle w:val="F21"/>
        <w:spacing w:lineRule="exact" w:line="332"/>
        <w:rPr>
          <w:rFonts w:cs="Times New Roman"/>
        </w:rPr>
      </w:pPr>
      <w:r>
        <w:rPr>
          <w:rFonts w:cs="Times New Roman"/>
        </w:rPr>
      </w:r>
    </w:p>
    <w:p>
      <w:pPr>
        <w:pStyle w:val="F21"/>
        <w:spacing w:lineRule="exact" w:line="332"/>
        <w:rPr>
          <w:rFonts w:cs="Times New Roman"/>
        </w:rPr>
      </w:pPr>
      <w:r>
        <w:rPr>
          <w:rFonts w:cs="Times New Roman"/>
        </w:rPr>
      </w:r>
    </w:p>
    <w:p>
      <w:pPr>
        <w:pStyle w:val="F21"/>
        <w:spacing w:lineRule="exact" w:line="332"/>
        <w:rPr>
          <w:rFonts w:eastAsia="華康中黑體" w:cs="Times New Roman"/>
          <w:b/>
          <w:b/>
        </w:rPr>
      </w:pPr>
      <w:bookmarkStart w:id="68" w:name="b2d01"/>
      <w:r>
        <w:rPr>
          <w:rFonts w:cs="Times New Roman" w:eastAsia="華康中黑體"/>
          <w:b/>
        </w:rPr>
        <w:t>恢復法案二讀辯論</w:t>
      </w:r>
    </w:p>
    <w:p>
      <w:pPr>
        <w:pStyle w:val="Normal"/>
        <w:spacing w:lineRule="exact" w:line="332"/>
        <w:rPr>
          <w:rFonts w:eastAsia="華康中黑體"/>
          <w:b/>
          <w:b/>
          <w:color w:val="FF0000"/>
          <w:spacing w:val="20"/>
          <w:sz w:val="27"/>
          <w:szCs w:val="22"/>
          <w:lang w:val="en-US"/>
        </w:rPr>
      </w:pPr>
      <w:bookmarkStart w:id="69" w:name="b2d01"/>
      <w:r>
        <w:rPr>
          <w:b/>
        </w:rPr>
        <w:t>Resumption of Second Reading Debate on Bills</w:t>
      </w:r>
      <w:bookmarkEnd w:id="69"/>
    </w:p>
    <w:p>
      <w:pPr>
        <w:pStyle w:val="F21"/>
        <w:spacing w:lineRule="exact" w:line="332"/>
        <w:rPr>
          <w:rFonts w:cs="Times New Roman"/>
        </w:rPr>
      </w:pPr>
      <w:r>
        <w:rPr>
          <w:rFonts w:cs="Times New Roman"/>
        </w:rPr>
      </w:r>
    </w:p>
    <w:p>
      <w:pPr>
        <w:pStyle w:val="F21"/>
        <w:spacing w:lineRule="exact" w:line="332"/>
        <w:rPr>
          <w:rFonts w:cs="Times New Roman"/>
        </w:rPr>
      </w:pPr>
      <w:r>
        <w:rPr>
          <w:rFonts w:cs="Times New Roman" w:eastAsia="華康中黑體"/>
          <w:b/>
        </w:rPr>
        <w:t>代理主席</w:t>
      </w:r>
      <w:r>
        <w:rPr>
          <w:rFonts w:cs="Times New Roman"/>
        </w:rPr>
        <w:t>：本會現在恢復《區域供冷服務條例草案》的二讀辯論。</w:t>
      </w:r>
    </w:p>
    <w:p>
      <w:pPr>
        <w:pStyle w:val="F21"/>
        <w:spacing w:lineRule="exact" w:line="332"/>
        <w:rPr>
          <w:rFonts w:cs="Times New Roman"/>
        </w:rPr>
      </w:pPr>
      <w:r>
        <w:rPr>
          <w:rFonts w:cs="Times New Roman"/>
        </w:rPr>
      </w:r>
    </w:p>
    <w:p>
      <w:pPr>
        <w:pStyle w:val="F21"/>
        <w:spacing w:lineRule="exact" w:line="332"/>
        <w:rPr>
          <w:rFonts w:cs="Times New Roman"/>
        </w:rPr>
      </w:pPr>
      <w:r>
        <w:rPr>
          <w:rFonts w:cs="Times New Roman"/>
        </w:rPr>
      </w:r>
    </w:p>
    <w:p>
      <w:pPr>
        <w:pStyle w:val="F21"/>
        <w:spacing w:lineRule="exact" w:line="332"/>
        <w:rPr>
          <w:rFonts w:eastAsia="華康中黑體" w:cs="Times New Roman"/>
          <w:b/>
          <w:b/>
        </w:rPr>
      </w:pPr>
      <w:bookmarkStart w:id="70" w:name="b2d01a"/>
      <w:r>
        <w:rPr>
          <w:rFonts w:cs="Times New Roman" w:eastAsia="華康中黑體"/>
          <w:b/>
        </w:rPr>
        <w:t>《區域供冷服務條例草案》</w:t>
      </w:r>
    </w:p>
    <w:p>
      <w:pPr>
        <w:pStyle w:val="Normal"/>
        <w:spacing w:lineRule="exact" w:line="332"/>
        <w:rPr>
          <w:b/>
          <w:b/>
          <w:caps/>
        </w:rPr>
      </w:pPr>
      <w:bookmarkStart w:id="71" w:name="b2d01a"/>
      <w:r>
        <w:rPr>
          <w:b/>
          <w:caps/>
        </w:rPr>
        <w:t>District Cooling Services Bill</w:t>
      </w:r>
      <w:bookmarkEnd w:id="71"/>
    </w:p>
    <w:p>
      <w:pPr>
        <w:pStyle w:val="F21"/>
        <w:spacing w:lineRule="exact" w:line="332"/>
        <w:rPr>
          <w:rFonts w:cs="Times New Roman"/>
        </w:rPr>
      </w:pPr>
      <w:r>
        <w:rPr>
          <w:rFonts w:cs="Times New Roman"/>
        </w:rPr>
      </w:r>
    </w:p>
    <w:p>
      <w:pPr>
        <w:pStyle w:val="F21"/>
        <w:spacing w:lineRule="exact" w:line="332"/>
        <w:rPr>
          <w:rFonts w:eastAsia="華康中黑體" w:cs="Times New Roman"/>
          <w:b/>
          <w:b/>
        </w:rPr>
      </w:pPr>
      <w:r>
        <w:rPr>
          <w:rFonts w:cs="Times New Roman" w:eastAsia="華康中黑體"/>
          <w:b/>
        </w:rPr>
        <w:t>恢復辯論經於</w:t>
      </w:r>
      <w:r>
        <w:rPr>
          <w:rFonts w:eastAsia="華康中黑體" w:cs="Times New Roman"/>
          <w:b/>
        </w:rPr>
        <w:t>2014</w:t>
      </w:r>
      <w:r>
        <w:rPr>
          <w:rFonts w:cs="Times New Roman" w:eastAsia="華康中黑體"/>
          <w:b/>
        </w:rPr>
        <w:t>年</w:t>
      </w:r>
      <w:r>
        <w:rPr>
          <w:rFonts w:eastAsia="華康中黑體" w:cs="Times New Roman"/>
          <w:b/>
        </w:rPr>
        <w:t>10</w:t>
      </w:r>
      <w:r>
        <w:rPr>
          <w:rFonts w:cs="Times New Roman" w:eastAsia="華康中黑體"/>
          <w:b/>
        </w:rPr>
        <w:t>月</w:t>
      </w:r>
      <w:r>
        <w:rPr>
          <w:rFonts w:eastAsia="華康中黑體" w:cs="Times New Roman"/>
          <w:b/>
        </w:rPr>
        <w:t>15</w:t>
      </w:r>
      <w:r>
        <w:rPr>
          <w:rFonts w:cs="Times New Roman" w:eastAsia="華康中黑體"/>
          <w:b/>
        </w:rPr>
        <w:t>日動議的條例草案二讀議案</w:t>
      </w:r>
    </w:p>
    <w:p>
      <w:pPr>
        <w:pStyle w:val="Normal"/>
        <w:spacing w:lineRule="exact" w:line="332"/>
        <w:rPr>
          <w:rFonts w:eastAsia="華康中黑體"/>
          <w:b/>
          <w:b/>
          <w:color w:val="FF0000"/>
          <w:spacing w:val="20"/>
          <w:sz w:val="27"/>
          <w:szCs w:val="22"/>
          <w:lang w:val="en-US"/>
        </w:rPr>
      </w:pPr>
      <w:r>
        <w:rPr>
          <w:b/>
        </w:rPr>
        <w:t>Resumption of debate on Second Reading which was moved on 15 October 2014</w:t>
      </w:r>
    </w:p>
    <w:p>
      <w:pPr>
        <w:pStyle w:val="Normal"/>
        <w:spacing w:lineRule="exact" w:line="332"/>
        <w:rPr/>
      </w:pPr>
      <w:r>
        <w:rPr/>
      </w:r>
    </w:p>
    <w:p>
      <w:pPr>
        <w:pStyle w:val="F21"/>
        <w:spacing w:lineRule="exact" w:line="332"/>
        <w:rPr>
          <w:rFonts w:cs="Times New Roman"/>
        </w:rPr>
      </w:pPr>
      <w:r>
        <w:rPr>
          <w:rFonts w:cs="Times New Roman" w:eastAsia="華康中黑體"/>
          <w:b/>
        </w:rPr>
        <w:t>代理主席</w:t>
      </w:r>
      <w:r>
        <w:rPr>
          <w:rFonts w:cs="Times New Roman"/>
        </w:rPr>
        <w:t>：審議上述條例草案的委員會主席盧偉國議員會就委員會的報告，向本會發言。</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spacing w:lineRule="atLeast" w:line="380"/>
        <w:rPr/>
      </w:pPr>
      <w:r>
        <w:rPr>
          <w:rFonts w:eastAsia="華康中黑體"/>
          <w:b/>
        </w:rPr>
        <w:t>盧偉國議員</w:t>
      </w:r>
      <w:r>
        <w:rPr/>
        <w:t>：代理主席，我謹以《區域供冷服務條例草案》委員會</w:t>
      </w:r>
      <w:r>
        <w:rPr/>
        <w:t>(“</w:t>
      </w:r>
      <w:r>
        <w:rPr/>
        <w:t>法案委員會”</w:t>
      </w:r>
      <w:r>
        <w:rPr/>
        <w:t>)</w:t>
      </w:r>
      <w:r>
        <w:rPr/>
        <w:t>主席的身份，向立法會提交法案委員會的報告，並重點匯報委員會的商議工作。</w:t>
      </w:r>
    </w:p>
    <w:p>
      <w:pPr>
        <w:pStyle w:val="F21"/>
        <w:spacing w:lineRule="atLeast" w:line="380"/>
        <w:rPr/>
      </w:pPr>
      <w:r>
        <w:rPr/>
      </w:r>
    </w:p>
    <w:p>
      <w:pPr>
        <w:pStyle w:val="F21"/>
        <w:spacing w:lineRule="atLeast" w:line="380"/>
        <w:rPr/>
      </w:pPr>
      <w:r>
        <w:rPr/>
        <w:tab/>
      </w:r>
      <w:r>
        <w:rPr/>
        <w:t>區域供冷系統是具能源效益的空調系統，與傳統氣冷式空調系統比較，可以節省</w:t>
      </w:r>
      <w:r>
        <w:rPr/>
        <w:t>35%</w:t>
      </w:r>
      <w:r>
        <w:rPr/>
        <w:t>用電量，而與使用冷卻塔的獨立水冷式空調系統比較，則可節省</w:t>
      </w:r>
      <w:r>
        <w:rPr/>
        <w:t>20%</w:t>
      </w:r>
      <w:r>
        <w:rPr/>
        <w:t>用電量。本條例草案的目的是就政府提供的區域供冷服務的相關事宜，訂定條文。現時條例草案只適用於啟德發展區的區域供冷系統，日後可透過修訂條例的附表，以擴大條例的適用範圍。</w:t>
      </w:r>
    </w:p>
    <w:p>
      <w:pPr>
        <w:pStyle w:val="F21"/>
        <w:spacing w:lineRule="atLeast" w:line="380"/>
        <w:rPr/>
      </w:pPr>
      <w:r>
        <w:rPr/>
      </w:r>
    </w:p>
    <w:p>
      <w:pPr>
        <w:pStyle w:val="F21"/>
        <w:spacing w:lineRule="atLeast" w:line="380"/>
        <w:rPr/>
      </w:pPr>
      <w:r>
        <w:rPr/>
        <w:tab/>
      </w:r>
      <w:r>
        <w:rPr/>
        <w:t>法案委員會共舉行了</w:t>
      </w:r>
      <w:r>
        <w:rPr/>
        <w:t>8</w:t>
      </w:r>
      <w:r>
        <w:rPr/>
        <w:t>次會議，聽取公眾的意見，以及前往啟德發展區進行實地考察。委員普遍歡迎在啟德發展區設置區域供冷系統及支持條例草案。法案委員會察悉，區域供冷系統除節省能源外，亦有其他效益，例如減少總建築成本約</w:t>
      </w:r>
      <w:r>
        <w:rPr/>
        <w:t>5%</w:t>
      </w:r>
      <w:r>
        <w:rPr/>
        <w:t>至</w:t>
      </w:r>
      <w:r>
        <w:rPr/>
        <w:t>10%</w:t>
      </w:r>
      <w:r>
        <w:rPr/>
        <w:t>、令建築物的設計更具彈性、減少啟德發展區的熱島效應，以及較獨立空調系統更能配合不同的空調需求。審議期間，委員主要就透過立法提供該服務及收費的理據、各項關於提供服務及收費的事宜，以及上訴機制表達了關注和意見。</w:t>
      </w:r>
    </w:p>
    <w:p>
      <w:pPr>
        <w:pStyle w:val="F21"/>
        <w:spacing w:lineRule="atLeast" w:line="380"/>
        <w:rPr/>
      </w:pPr>
      <w:r>
        <w:rPr/>
      </w:r>
    </w:p>
    <w:p>
      <w:pPr>
        <w:pStyle w:val="F21"/>
        <w:spacing w:lineRule="atLeast" w:line="380"/>
        <w:rPr/>
      </w:pPr>
      <w:r>
        <w:rPr/>
        <w:tab/>
      </w:r>
      <w:r>
        <w:rPr/>
        <w:t>法案委員會要求政府當局解釋，為何須透過立法提供區域供冷服務及就該服務收費。政府當局解釋，基於以下</w:t>
      </w:r>
      <w:r>
        <w:rPr/>
        <w:t>3</w:t>
      </w:r>
      <w:r>
        <w:rPr/>
        <w:t>個因素，政府必須立法落實提供區域供冷服務：第一，根據一項英國上議院法庭的案例，政府必須有清楚的法律基礎才可以收費或徵費；第二，為賦權機電工程署使用政府收到的區域供冷服務收費，直接償付區域供冷系統承辦商的操作及保養等費用，政府當局須提出相關法例條文，以確立此項抵銷安排；以及第三，政府有需要就區域供冷服務的運作，例如進入建築以進行檢查及保養的事宜，訂定所需的權力及責任。</w:t>
      </w:r>
    </w:p>
    <w:p>
      <w:pPr>
        <w:pStyle w:val="F21"/>
        <w:spacing w:lineRule="atLeast" w:line="380"/>
        <w:rPr/>
      </w:pPr>
      <w:r>
        <w:rPr/>
      </w:r>
    </w:p>
    <w:p>
      <w:pPr>
        <w:pStyle w:val="F21"/>
        <w:spacing w:lineRule="atLeast" w:line="380"/>
        <w:rPr/>
      </w:pPr>
      <w:r>
        <w:rPr/>
        <w:tab/>
      </w:r>
      <w:r>
        <w:rPr/>
        <w:t>法案委員會察悉，條例草案所載的區域供冷服務收費，旨在於區域供冷系統的</w:t>
      </w:r>
      <w:r>
        <w:rPr/>
        <w:t>30</w:t>
      </w:r>
      <w:r>
        <w:rPr/>
        <w:t>年使用期內，收回該系統的建造和營運成本。有委員關注到，政府當局或未能在該系統的使用期內收回全部成本。部分委員認為，鑒於科技發展一日千里，區域供冷系統在日後可能不再是具有能源效益的系統，而建築物用戶或會選擇不使用此服務。在這情況下，啟德發展區的區域供冷系統或會淪為“大白象”工程，最終可能只由少數用戶承擔建造和營運系統的成本。</w:t>
      </w:r>
      <w:r>
        <w:br w:type="page"/>
      </w:r>
    </w:p>
    <w:p>
      <w:pPr>
        <w:pStyle w:val="F21"/>
        <w:rPr/>
      </w:pPr>
      <w:r>
        <w:rPr/>
        <w:tab/>
      </w:r>
      <w:r>
        <w:rPr/>
        <w:t>政府當局表示，條例草案附表</w:t>
      </w:r>
      <w:r>
        <w:rPr/>
        <w:t>2</w:t>
      </w:r>
      <w:r>
        <w:rPr/>
        <w:t>指明的收費水平，是根據目標回報率訂定。當局在訂定該回報率時，已經考慮行業的性質、區域供冷服務特有的風險、市場利率及同類投資的預期回報率。政府當局保證，區域供冷服務的收費會訂於較具競爭力的水平，與現時國際市場上其中一種最具能源效益的冷卻塔的獨立水冷式空調系統的費用相若。當局預計，在營運最初數年，所得收費或未能彌補區域供冷服務的營運成本。然而，在往後數年，隨着已經完成的發展項目陸續增加，加上區域供冷系統較其他空調系統更具競爭力，使用此服務的比率應該相當高。</w:t>
      </w:r>
    </w:p>
    <w:p>
      <w:pPr>
        <w:pStyle w:val="F21"/>
        <w:rPr/>
      </w:pPr>
      <w:r>
        <w:rPr/>
      </w:r>
    </w:p>
    <w:p>
      <w:pPr>
        <w:pStyle w:val="F21"/>
        <w:rPr/>
      </w:pPr>
      <w:r>
        <w:rPr/>
        <w:tab/>
      </w:r>
      <w:r>
        <w:rPr/>
        <w:t>關於收費調整機制，法案委員會察悉，擬議收費包含製冷量收費、耗冷量收費、超額製冷量收費及未繳付收費的附加費，前兩者為收費的主要組成部分。製冷量收費會按綜合消費物價指數的變動每年作出調整，而耗冷量收費則會按電費的變動每年作出調整。政府當局會每</w:t>
      </w:r>
      <w:r>
        <w:rPr/>
        <w:t>5</w:t>
      </w:r>
      <w:r>
        <w:rPr/>
        <w:t>年全面檢討收費的水平。法案委員會認為有需要加密檢討區域供冷服務的收費，以確保收費具競爭力。政府當局保證，會最少每</w:t>
      </w:r>
      <w:r>
        <w:rPr/>
        <w:t>5</w:t>
      </w:r>
      <w:r>
        <w:rPr/>
        <w:t>年檢討收費水平，如有需要，亦會另行進行檢討。當局在進行檢討時，會考慮未來的技術和管理發展，對服務成本或收入所帶來的轉變。</w:t>
      </w:r>
    </w:p>
    <w:p>
      <w:pPr>
        <w:pStyle w:val="F21"/>
        <w:rPr/>
      </w:pPr>
      <w:r>
        <w:rPr/>
      </w:r>
    </w:p>
    <w:p>
      <w:pPr>
        <w:pStyle w:val="F21"/>
        <w:rPr/>
      </w:pPr>
      <w:r>
        <w:rPr/>
        <w:tab/>
      </w:r>
      <w:r>
        <w:rPr/>
        <w:t>委員察悉，條例草案第</w:t>
      </w:r>
      <w:r>
        <w:rPr/>
        <w:t>4</w:t>
      </w:r>
      <w:r>
        <w:rPr/>
        <w:t>條訂明，每幢建築物的擁有人或佔用人，或負責其管理的人，可以向機電工程署署長申請成為該建築物的區域供冷服務獲准用戶。鑒於條例草案似乎並不禁止兩名或更多名符合規定的人士分別作出申請，法案委員會關注，機電工程署署長會如何處理有關申請。</w:t>
      </w:r>
    </w:p>
    <w:p>
      <w:pPr>
        <w:pStyle w:val="F21"/>
        <w:rPr/>
      </w:pPr>
      <w:r>
        <w:rPr/>
      </w:r>
    </w:p>
    <w:p>
      <w:pPr>
        <w:pStyle w:val="F21"/>
        <w:tabs>
          <w:tab w:val="left" w:pos="480" w:leader="none"/>
          <w:tab w:val="left" w:pos="567" w:leader="none"/>
        </w:tabs>
        <w:ind w:firstLine="567"/>
        <w:rPr>
          <w:spacing w:val="22"/>
        </w:rPr>
      </w:pPr>
      <w:r>
        <w:rPr>
          <w:spacing w:val="22"/>
        </w:rPr>
        <w:t>政府當局表示，申請人成為獲准用戶須遵從條例草案第</w:t>
      </w:r>
      <w:r>
        <w:rPr>
          <w:spacing w:val="22"/>
        </w:rPr>
        <w:t>4(1)</w:t>
      </w:r>
      <w:r>
        <w:rPr>
          <w:spacing w:val="22"/>
        </w:rPr>
        <w:t>至</w:t>
      </w:r>
      <w:r>
        <w:rPr>
          <w:spacing w:val="22"/>
        </w:rPr>
        <w:t>4(3)</w:t>
      </w:r>
      <w:r>
        <w:rPr>
          <w:spacing w:val="22"/>
        </w:rPr>
        <w:t>條所指明的條件，包括繳付相關的收費，以及安裝和保養供冷的配套設施，以便讓建築物獲得區域供冷服務。基於這些要求，出現兩名或更多名人士分別作出申請的機會應甚微。如有此情況發生，署長會考慮及評估各申請人是否有能力遵守條例草案所指明的條件。</w:t>
      </w:r>
    </w:p>
    <w:p>
      <w:pPr>
        <w:pStyle w:val="F21"/>
        <w:rPr/>
      </w:pPr>
      <w:r>
        <w:rPr/>
      </w:r>
    </w:p>
    <w:p>
      <w:pPr>
        <w:pStyle w:val="F21"/>
        <w:rPr/>
      </w:pPr>
      <w:r>
        <w:rPr/>
        <w:tab/>
      </w:r>
      <w:r>
        <w:rPr/>
        <w:t>法案委員會詢問，建築物的個別佔用人或承租人可否選擇不使用區域供冷服務。政府當局表示，一如任何其他建築物中央空調系統的收費安排，個別佔用人或承租人須與建築物擁有人或管理公司磋商及決定使用區域供冷服務的收費安排。此項收費可以是租金或管理費的一部分，亦可分開收取。</w:t>
      </w:r>
    </w:p>
    <w:p>
      <w:pPr>
        <w:pStyle w:val="Normal"/>
        <w:widowControl/>
        <w:tabs>
          <w:tab w:val="clear" w:pos="720"/>
        </w:tabs>
        <w:spacing w:lineRule="auto" w:line="276" w:before="0" w:after="200"/>
        <w:jc w:val="left"/>
        <w:rPr>
          <w:rFonts w:cs="" w:cstheme="minorBidi"/>
          <w:spacing w:val="20"/>
          <w:sz w:val="27"/>
          <w:szCs w:val="22"/>
          <w:lang w:val="en-US"/>
        </w:rPr>
      </w:pPr>
      <w:r>
        <w:rPr>
          <w:rFonts w:cs="" w:cstheme="minorBidi"/>
          <w:spacing w:val="20"/>
          <w:sz w:val="27"/>
          <w:szCs w:val="22"/>
          <w:lang w:val="en-US"/>
        </w:rPr>
      </w:r>
      <w:r>
        <w:br w:type="page"/>
      </w:r>
    </w:p>
    <w:p>
      <w:pPr>
        <w:pStyle w:val="F21"/>
        <w:rPr/>
      </w:pPr>
      <w:r>
        <w:rPr/>
        <w:tab/>
      </w:r>
      <w:r>
        <w:rPr/>
        <w:t>條例草案第</w:t>
      </w:r>
      <w:r>
        <w:rPr/>
        <w:t>22(1)</w:t>
      </w:r>
      <w:r>
        <w:rPr/>
        <w:t>條訂明，任何人如就該條文指明的機電工程署署長所作的決定或指示感到受屈，可向上訴委員會提出上訴。法案委員會關注到，在此條文下，署長認為用戶沒有遵從關乎區域供冷服務的規定而作出的暫停或終止服務的決定，可予以上訴；但署長基於區域供冷系統的操作、保養或安全等理由而作出的暫停或終止服務的決定，卻不可予以上訴。委員認為條例應訂明，署長作出的所有暫停或終止區域供冷服務的決定，均可予以上訴。如要透過司法覆核解決不滿，並不可取。政府當局在考慮委員的意見後，同意動議修正案，以擴闊可向上訴委員會提出上訴的範圍。</w:t>
      </w:r>
    </w:p>
    <w:p>
      <w:pPr>
        <w:pStyle w:val="F21"/>
        <w:rPr/>
      </w:pPr>
      <w:r>
        <w:rPr/>
      </w:r>
    </w:p>
    <w:p>
      <w:pPr>
        <w:pStyle w:val="F21"/>
        <w:rPr/>
      </w:pPr>
      <w:r>
        <w:rPr/>
        <w:tab/>
      </w:r>
      <w:r>
        <w:rPr/>
        <w:t>根據條例草案第</w:t>
      </w:r>
      <w:r>
        <w:rPr/>
        <w:t>25(2)</w:t>
      </w:r>
      <w:r>
        <w:rPr/>
        <w:t>條，上訴委員會須由</w:t>
      </w:r>
      <w:r>
        <w:rPr/>
        <w:t>5</w:t>
      </w:r>
      <w:r>
        <w:rPr/>
        <w:t>名成員組成，而其中擔任主席的一名成員須為具法律專業資格的人，其餘</w:t>
      </w:r>
      <w:r>
        <w:rPr/>
        <w:t>4</w:t>
      </w:r>
      <w:r>
        <w:rPr/>
        <w:t>名成員須從條例草案第</w:t>
      </w:r>
      <w:r>
        <w:rPr/>
        <w:t>24(1)</w:t>
      </w:r>
      <w:r>
        <w:rPr/>
        <w:t>條所指明的</w:t>
      </w:r>
      <w:r>
        <w:rPr/>
        <w:t>3</w:t>
      </w:r>
      <w:r>
        <w:rPr/>
        <w:t>個類別中委出。法案委員會察悉當局的原意是從該</w:t>
      </w:r>
      <w:r>
        <w:rPr/>
        <w:t>3</w:t>
      </w:r>
      <w:r>
        <w:rPr/>
        <w:t>個類別各委出最少</w:t>
      </w:r>
      <w:r>
        <w:rPr/>
        <w:t>1</w:t>
      </w:r>
      <w:r>
        <w:rPr/>
        <w:t>名成員加入上訴委員會。經考慮委員意見後，政府當局同意動議修正案，以更清楚列明上訴委員會成員的組合。</w:t>
      </w:r>
    </w:p>
    <w:p>
      <w:pPr>
        <w:pStyle w:val="F21"/>
        <w:rPr/>
      </w:pPr>
      <w:r>
        <w:rPr/>
      </w:r>
    </w:p>
    <w:p>
      <w:pPr>
        <w:pStyle w:val="F21"/>
        <w:rPr/>
      </w:pPr>
      <w:r>
        <w:rPr/>
        <w:tab/>
      </w:r>
      <w:r>
        <w:rPr/>
        <w:t>法案委員會察悉政府當局亦將動議若干技術性及文字方面的修正案。法案委員會同意當局動議的修正案，並且不會就條例草案另行提出修正。</w:t>
      </w:r>
    </w:p>
    <w:p>
      <w:pPr>
        <w:pStyle w:val="F21"/>
        <w:rPr/>
      </w:pPr>
      <w:r>
        <w:rPr/>
      </w:r>
    </w:p>
    <w:p>
      <w:pPr>
        <w:pStyle w:val="F21"/>
        <w:rPr/>
      </w:pPr>
      <w:r>
        <w:rPr/>
        <w:tab/>
      </w:r>
      <w:r>
        <w:rPr/>
        <w:t>法案委員會對其他多項條文亦進行討論，有關詳情已載於書面報告內。</w:t>
      </w:r>
    </w:p>
    <w:p>
      <w:pPr>
        <w:pStyle w:val="F21"/>
        <w:rPr/>
      </w:pPr>
      <w:r>
        <w:rPr/>
      </w:r>
    </w:p>
    <w:p>
      <w:pPr>
        <w:pStyle w:val="F21"/>
        <w:rPr/>
      </w:pPr>
      <w:r>
        <w:rPr/>
        <w:tab/>
      </w:r>
      <w:r>
        <w:rPr/>
        <w:t>代理主席，以下是我對條例草案的個人意見。</w:t>
      </w:r>
    </w:p>
    <w:p>
      <w:pPr>
        <w:pStyle w:val="F21"/>
        <w:rPr/>
      </w:pPr>
      <w:r>
        <w:rPr/>
      </w:r>
    </w:p>
    <w:p>
      <w:pPr>
        <w:pStyle w:val="F21"/>
        <w:rPr/>
      </w:pPr>
      <w:r>
        <w:rPr/>
        <w:tab/>
      </w:r>
      <w:r>
        <w:rPr/>
        <w:t>代理主席，應對氣候變化是人類目前面對的重大挑戰，我們必須多管齊下，設法減低溫室氣體的排放，包括提倡使用更清潔的能源及可再生能源、提倡能源效益和推動綠色建築等。我作為代表工程界的立法會議員，同時亦是香港綠色策略聯盟的主席，聯同業界的有心人，關注香港的環保政策和可持續發展，期待特區政府就環保和能源訂立可持續發展的規劃，提出清晰的目標及路線圖。</w:t>
      </w:r>
    </w:p>
    <w:p>
      <w:pPr>
        <w:pStyle w:val="F21"/>
        <w:rPr/>
      </w:pPr>
      <w:r>
        <w:rPr/>
      </w:r>
    </w:p>
    <w:p>
      <w:pPr>
        <w:pStyle w:val="F21"/>
        <w:rPr/>
      </w:pPr>
      <w:r>
        <w:rPr/>
        <w:tab/>
      </w:r>
      <w:r>
        <w:rPr/>
        <w:t>不言而喻，可持續發展的理念和規劃，必然包括能源效益和綠色建築等相關的課題，所以我十分樂意參與條例草案的審議工作，並擔任法案委員會主席。我在議會內外多番促請政府在用電需求的層面具體落實措施，積極推動能源效益，以減低建築物的耗電量。由於以本港的溫室氣體排放而言，發電約佔總排放量的三分之二，而接近</w:t>
      </w:r>
      <w:r>
        <w:rPr/>
        <w:t>90%</w:t>
      </w:r>
      <w:r>
        <w:rPr/>
        <w:t>的電力都是用於建築物之內。換言之，建築物所耗用的能源約佔香港溫室氣體總排放量的</w:t>
      </w:r>
      <w:r>
        <w:rPr/>
        <w:t>60%</w:t>
      </w:r>
      <w:r>
        <w:rPr/>
        <w:t>。</w:t>
      </w:r>
    </w:p>
    <w:p>
      <w:pPr>
        <w:pStyle w:val="F21"/>
        <w:spacing w:lineRule="atLeast" w:line="380"/>
        <w:rPr/>
      </w:pPr>
      <w:r>
        <w:rPr/>
      </w:r>
    </w:p>
    <w:p>
      <w:pPr>
        <w:pStyle w:val="F21"/>
        <w:spacing w:lineRule="atLeast" w:line="380"/>
        <w:rPr/>
      </w:pPr>
      <w:r>
        <w:rPr/>
        <w:tab/>
      </w:r>
      <w:r>
        <w:rPr/>
        <w:t>提升建築物的能源效益，能夠有效減少溫室氣體的排放，緩減氣候變化的影響。當局已帶頭在多個政府建築物落實能源效益設施，對業界起到一定的鼓勵作用。機電工程署在</w:t>
      </w:r>
      <w:r>
        <w:rPr/>
        <w:t>1998</w:t>
      </w:r>
      <w:r>
        <w:rPr/>
        <w:t>年推出自願參與的香港建築物能源效益註冊計劃，以推廣建築物能源效益守則的應用，而《建築物能源效益條例》在</w:t>
      </w:r>
      <w:r>
        <w:rPr/>
        <w:t>2012</w:t>
      </w:r>
      <w:r>
        <w:rPr/>
        <w:t>年</w:t>
      </w:r>
      <w:r>
        <w:rPr/>
        <w:t>9</w:t>
      </w:r>
      <w:r>
        <w:rPr/>
        <w:t>月</w:t>
      </w:r>
      <w:r>
        <w:rPr/>
        <w:t>21</w:t>
      </w:r>
      <w:r>
        <w:rPr/>
        <w:t>日起全面實施，加強對商業建築物能源效益的要求，規定新建建築物的發展商或擁有人須確保建築物內的空調、照明、電力、升降機及自動梯等</w:t>
      </w:r>
      <w:r>
        <w:rPr/>
        <w:t>4</w:t>
      </w:r>
      <w:r>
        <w:rPr/>
        <w:t>類主要屋宇設備的裝置，符合《建築物能源效益守則》的設計標準。</w:t>
      </w:r>
    </w:p>
    <w:p>
      <w:pPr>
        <w:pStyle w:val="F21"/>
        <w:spacing w:lineRule="atLeast" w:line="380"/>
        <w:rPr/>
      </w:pPr>
      <w:r>
        <w:rPr/>
      </w:r>
    </w:p>
    <w:p>
      <w:pPr>
        <w:pStyle w:val="F21"/>
        <w:spacing w:lineRule="atLeast" w:line="380"/>
        <w:rPr/>
      </w:pPr>
      <w:r>
        <w:rPr/>
        <w:tab/>
      </w:r>
      <w:r>
        <w:rPr/>
        <w:t>本屆特區政府在</w:t>
      </w:r>
      <w:r>
        <w:rPr/>
        <w:t>2013</w:t>
      </w:r>
      <w:r>
        <w:rPr/>
        <w:t>年成立推動綠色建築督導委員會，以加強部門間的協調，就推動綠色建築制訂實施的策略。行政長官在</w:t>
      </w:r>
      <w:r>
        <w:rPr/>
        <w:t>2015</w:t>
      </w:r>
      <w:r>
        <w:rPr/>
        <w:t>年施政報告又宣布，政府的新目標是在未來</w:t>
      </w:r>
      <w:r>
        <w:rPr/>
        <w:t>5</w:t>
      </w:r>
      <w:r>
        <w:rPr/>
        <w:t>年把政府建築物的用電量減少</w:t>
      </w:r>
      <w:r>
        <w:rPr/>
        <w:t>5%</w:t>
      </w:r>
      <w:r>
        <w:rPr/>
        <w:t>，並為主要的政府建築物進行能源審核。政府亦表示會與公私營機構合作，加強推行低碳宜居的建築環境，減低香港整體電力需求，這些措施無疑有助於推動本土環保及綠色建築的發展。所謂綠色建築，是只能減少建築物對環境影響的建築作業模式，由建築物的選址、設計、施工、營運管理及保養等環節，都貫徹善用能源及其他資源，並減少產生廢物及污染。</w:t>
      </w:r>
    </w:p>
    <w:p>
      <w:pPr>
        <w:pStyle w:val="F21"/>
        <w:spacing w:lineRule="atLeast" w:line="380"/>
        <w:rPr/>
      </w:pPr>
      <w:r>
        <w:rPr/>
      </w:r>
    </w:p>
    <w:p>
      <w:pPr>
        <w:pStyle w:val="F21"/>
        <w:spacing w:lineRule="atLeast" w:line="380"/>
        <w:rPr/>
      </w:pPr>
      <w:r>
        <w:rPr/>
        <w:tab/>
      </w:r>
      <w:r>
        <w:rPr/>
        <w:t>香港位處亞熱帶，其高密度的建築模式更構成對環境質素的挑戰。香港綠色建築議會推出了“香港</w:t>
      </w:r>
      <w:r>
        <w:rPr/>
        <w:t>3030”</w:t>
      </w:r>
      <w:r>
        <w:rPr/>
        <w:t>計劃，為香港建築物制訂一套降低耗電量的長遠方案，以</w:t>
      </w:r>
      <w:r>
        <w:rPr/>
        <w:t>2005</w:t>
      </w:r>
      <w:r>
        <w:rPr/>
        <w:t>年的用電量為基準，目標是將</w:t>
      </w:r>
      <w:r>
        <w:rPr/>
        <w:t>2030</w:t>
      </w:r>
      <w:r>
        <w:rPr/>
        <w:t>年的全港建築物耗電量減低三成。至今已提出</w:t>
      </w:r>
      <w:r>
        <w:rPr/>
        <w:t>25</w:t>
      </w:r>
      <w:r>
        <w:rPr/>
        <w:t>項建議，期待將香港發展成為低碳之都。</w:t>
      </w:r>
    </w:p>
    <w:p>
      <w:pPr>
        <w:pStyle w:val="F21"/>
        <w:spacing w:lineRule="atLeast" w:line="380"/>
        <w:rPr/>
      </w:pPr>
      <w:r>
        <w:rPr/>
      </w:r>
    </w:p>
    <w:p>
      <w:pPr>
        <w:pStyle w:val="F21"/>
        <w:spacing w:lineRule="atLeast" w:line="380"/>
        <w:rPr/>
      </w:pPr>
      <w:r>
        <w:rPr/>
        <w:tab/>
      </w:r>
      <w:r>
        <w:rPr/>
        <w:t>代理主席，在上述背景下，我們可以更恰當地評估在啟德發展區設置區域供冷系統的作用和意義。區域供冷系統是具有較大能源效益的空調系統，與傳統氣冷式空調系統比較，可以節省</w:t>
      </w:r>
      <w:r>
        <w:rPr/>
        <w:t>35%</w:t>
      </w:r>
      <w:r>
        <w:rPr/>
        <w:t>的用電量，而與使用冷卻塔獨立水冷式空調系統比較，可以節省</w:t>
      </w:r>
      <w:r>
        <w:rPr/>
        <w:t>20%</w:t>
      </w:r>
      <w:r>
        <w:rPr/>
        <w:t>的用電量。此外，該系統還可以減少總建築成本大約</w:t>
      </w:r>
      <w:r>
        <w:rPr/>
        <w:t>5%</w:t>
      </w:r>
      <w:r>
        <w:rPr/>
        <w:t>至</w:t>
      </w:r>
      <w:r>
        <w:rPr/>
        <w:t>10%</w:t>
      </w:r>
      <w:r>
        <w:rPr/>
        <w:t>，令建築物的設計更具彈性，減少啟德發展區的熱島效應，較獨立空調系統更能配合不同的空調需求。該系統有助於將九龍東建設為低碳社區，日後在汲取相關發展經驗後，更可進一步優化和推廣，發揮綠色建築的示範作用。</w:t>
      </w:r>
      <w:r>
        <w:br w:type="page"/>
      </w:r>
    </w:p>
    <w:p>
      <w:pPr>
        <w:pStyle w:val="F21"/>
        <w:rPr/>
      </w:pPr>
      <w:r>
        <w:rPr/>
        <w:tab/>
      </w:r>
      <w:r>
        <w:rPr/>
        <w:t>事實上，儘管現時條例草案只涵蓋啟德發展區的區域供冷系統，當局日後可以透過修訂條例的附表</w:t>
      </w:r>
      <w:r>
        <w:rPr/>
        <w:t>1</w:t>
      </w:r>
      <w:r>
        <w:rPr/>
        <w:t>及</w:t>
      </w:r>
      <w:r>
        <w:rPr/>
        <w:t>2</w:t>
      </w:r>
      <w:r>
        <w:rPr/>
        <w:t>，擴大其應用範圍，以適用於其他區域供冷系統。我認為特區政府在規劃其他新發展區時，如果條件允許，應加入類似的綠色建築規劃元素，推廣區域供冷技術。</w:t>
      </w:r>
    </w:p>
    <w:p>
      <w:pPr>
        <w:pStyle w:val="F21"/>
        <w:rPr/>
      </w:pPr>
      <w:r>
        <w:rPr/>
      </w:r>
    </w:p>
    <w:p>
      <w:pPr>
        <w:pStyle w:val="F21"/>
        <w:rPr/>
      </w:pPr>
      <w:r>
        <w:rPr/>
        <w:tab/>
      </w:r>
      <w:r>
        <w:rPr/>
        <w:t>條例草案的目的是就政府提供的區域供冷服務的相關事宜訂定條文，儘管當局已預計條文的落實過程可能出現一些問題，並根據法案委員會委員提出的意見，在全體委員會審議階段動議相關修正案，但平心而論，任何人都沒有可能掌握一個水晶球，足以對未來的發展看得一清二楚。如果未來的科技發展及管理技術對於區域供冷系統的成本或收入帶來影響，有關當局便要相應地作出與時俱進的調整。</w:t>
      </w:r>
    </w:p>
    <w:p>
      <w:pPr>
        <w:pStyle w:val="F21"/>
        <w:rPr/>
      </w:pPr>
      <w:r>
        <w:rPr/>
      </w:r>
    </w:p>
    <w:p>
      <w:pPr>
        <w:pStyle w:val="F21"/>
        <w:rPr/>
      </w:pPr>
      <w:r>
        <w:rPr/>
        <w:tab/>
      </w:r>
      <w:r>
        <w:rPr/>
        <w:t>代理主席，香港未來的綠色建築將如何發展？建築物的耗電量又能否達到香港綠色建築議會的“香港</w:t>
      </w:r>
      <w:r>
        <w:rPr/>
        <w:t>3030”</w:t>
      </w:r>
      <w:r>
        <w:rPr/>
        <w:t>計劃所訂的目標，在</w:t>
      </w:r>
      <w:r>
        <w:rPr/>
        <w:t>2030</w:t>
      </w:r>
      <w:r>
        <w:rPr/>
        <w:t>年或之前將耗電量減至較</w:t>
      </w:r>
      <w:r>
        <w:rPr/>
        <w:t>2005</w:t>
      </w:r>
      <w:r>
        <w:rPr/>
        <w:t>年少</w:t>
      </w:r>
      <w:r>
        <w:rPr/>
        <w:t>30%</w:t>
      </w:r>
      <w:r>
        <w:rPr/>
        <w:t>？我相信關鍵在於香港社會各界，包括特區政府、相關業界及市民大眾攜手合作，為香港的可持續發展盡心盡力。在啟德發展區設置區域供冷系統，將是很好的試點項目。通過綠色建築，推動全民節能，營造低碳生活，將香港建設為低碳之都。</w:t>
      </w:r>
    </w:p>
    <w:p>
      <w:pPr>
        <w:pStyle w:val="F21"/>
        <w:rPr/>
      </w:pPr>
      <w:r>
        <w:rPr/>
      </w:r>
    </w:p>
    <w:p>
      <w:pPr>
        <w:pStyle w:val="F21"/>
        <w:rPr/>
      </w:pPr>
      <w:r>
        <w:rPr/>
        <w:tab/>
      </w:r>
      <w:r>
        <w:rPr/>
        <w:t>代理主席，我懇請議員支持通過條例草案。我謹此陳辭。</w:t>
      </w:r>
    </w:p>
    <w:p>
      <w:pPr>
        <w:pStyle w:val="F21"/>
        <w:rPr>
          <w:rFonts w:cs="Times New Roman"/>
        </w:rPr>
      </w:pPr>
      <w:r>
        <w:rPr>
          <w:rFonts w:cs="Times New Roman"/>
        </w:rPr>
      </w:r>
    </w:p>
    <w:p>
      <w:pPr>
        <w:pStyle w:val="F21"/>
        <w:rPr>
          <w:rFonts w:cs="Times New Roman"/>
        </w:rPr>
      </w:pPr>
      <w:r>
        <w:rPr>
          <w:rFonts w:cs="Times New Roman"/>
        </w:rPr>
      </w:r>
    </w:p>
    <w:p>
      <w:pPr>
        <w:pStyle w:val="F21"/>
        <w:rPr/>
      </w:pPr>
      <w:r>
        <w:rPr>
          <w:rFonts w:ascii="華康中黑體" w:hAnsi="華康中黑體" w:cs="華康中黑體" w:eastAsia="華康中黑體"/>
          <w:b/>
        </w:rPr>
        <w:t>陳克勤議員</w:t>
      </w:r>
      <w:r>
        <w:rPr/>
        <w:t>：代理主席，區域供冷系統並不是甚麼新鮮事，歐洲已經採用</w:t>
      </w:r>
      <w:r>
        <w:rPr/>
        <w:t>20</w:t>
      </w:r>
      <w:r>
        <w:rPr/>
        <w:t>多年，而其能源效益亦已有很客觀的數據可以證明。盧偉國議員剛才也有提及相關數據，即區域供冷系統的用電量約較普通空調系統節省兩成至三成半，同時亦可大量減低碳排放。對於啟德發展區將使用這個新系統，我和民建聯均非常歡迎，並希望未來的新發展區，例如新界東北和洪水橋等皆可採用這系統。</w:t>
      </w:r>
    </w:p>
    <w:p>
      <w:pPr>
        <w:pStyle w:val="F21"/>
        <w:rPr/>
      </w:pPr>
      <w:r>
        <w:rPr/>
      </w:r>
    </w:p>
    <w:p>
      <w:pPr>
        <w:pStyle w:val="F21"/>
        <w:rPr/>
      </w:pPr>
      <w:r>
        <w:rPr/>
        <w:tab/>
      </w:r>
      <w:r>
        <w:rPr/>
        <w:t>《區域供冷服務條例草案》為日後系統的收費及服務提供框架，而在通過成為條例後亦可應用於政府將來可能建造的其他區域供冷系統，為未來的區域供冷服務訂定框架。</w:t>
      </w:r>
    </w:p>
    <w:p>
      <w:pPr>
        <w:pStyle w:val="F21"/>
        <w:rPr/>
      </w:pPr>
      <w:r>
        <w:rPr/>
      </w:r>
    </w:p>
    <w:p>
      <w:pPr>
        <w:pStyle w:val="F21"/>
        <w:rPr/>
      </w:pPr>
      <w:r>
        <w:rPr/>
        <w:tab/>
      </w:r>
      <w:r>
        <w:rPr/>
        <w:t>政府期望在</w:t>
      </w:r>
      <w:r>
        <w:rPr/>
        <w:t>30</w:t>
      </w:r>
      <w:r>
        <w:rPr/>
        <w:t>年內收回系統的建造成本及營運成本，我要說的是，如果政府要達到這個目標，機電工程署必須做好財務管理，並令現時所提供的服務具有競爭力。在營運期間，亦要優化及不斷更新區域供冷系統的設施，這樣才能追上時代的節能減排步伐。更重要的是，要適時檢討收費，否則收費過高便會失去吸引力和競爭力，合理的收費才能令區內的私人非住宅項目持續使用區域供冷系統。</w:t>
      </w:r>
    </w:p>
    <w:p>
      <w:pPr>
        <w:pStyle w:val="F21"/>
        <w:rPr/>
      </w:pPr>
      <w:r>
        <w:rPr/>
      </w:r>
    </w:p>
    <w:p>
      <w:pPr>
        <w:pStyle w:val="F21"/>
        <w:rPr/>
      </w:pPr>
      <w:r>
        <w:rPr/>
        <w:tab/>
      </w:r>
      <w:r>
        <w:rPr/>
        <w:t>啟德發展區的區域供冷系統主要是供應予區內的公共和私人非住宅項目使用，而第一期的服務已於</w:t>
      </w:r>
      <w:r>
        <w:rPr/>
        <w:t>2013</w:t>
      </w:r>
      <w:r>
        <w:rPr/>
        <w:t>年</w:t>
      </w:r>
      <w:r>
        <w:rPr/>
        <w:t>2</w:t>
      </w:r>
      <w:r>
        <w:rPr/>
        <w:t>月推出，供應予郵輪碼頭使用，而在同年</w:t>
      </w:r>
      <w:r>
        <w:rPr/>
        <w:t>5</w:t>
      </w:r>
      <w:r>
        <w:rPr/>
        <w:t>月，供冷系統亦應用於晴朗商場。在這兩年間，我們並沒有聽到系統出現重大故障，所以我認為系統的運作至今尚算暢順。我亦知道政府打算在今年第二季開始陸續供應冷凍水的大廈，將包括工業貿易大樓、兩所學校及香港兒童醫院。雖然現時系統的紀錄非常良好，但我很希望局長會為供冷系統做一些後備工作及預防故障的措施，確保各樓宇皆有穩定的供應。</w:t>
      </w:r>
    </w:p>
    <w:p>
      <w:pPr>
        <w:pStyle w:val="F21"/>
        <w:rPr/>
      </w:pPr>
      <w:r>
        <w:rPr/>
      </w:r>
    </w:p>
    <w:p>
      <w:pPr>
        <w:pStyle w:val="F21"/>
        <w:rPr/>
      </w:pPr>
      <w:r>
        <w:rPr/>
        <w:tab/>
      </w:r>
      <w:r>
        <w:rPr/>
        <w:t>代理主席，區域供冷系統由規劃至現時落實，足足用了</w:t>
      </w:r>
      <w:r>
        <w:rPr/>
        <w:t>10</w:t>
      </w:r>
      <w:r>
        <w:rPr/>
        <w:t>年時間，而且工程十分浩大，因為需要鋪設很多大型地下管道。我希望如果政府日後真的會在我剛才提及的新發展區內建造供冷系統，應及早做好規劃和發展的安排。此外，亦要汲取這次財務不足的教訓，因為我記得在上屆政府提出建造供冷系統時，最初的造價是</w:t>
      </w:r>
      <w:r>
        <w:rPr/>
        <w:t>17</w:t>
      </w:r>
      <w:r>
        <w:rPr/>
        <w:t>億元，怎料截至</w:t>
      </w:r>
      <w:r>
        <w:rPr/>
        <w:t>2013</w:t>
      </w:r>
      <w:r>
        <w:rPr/>
        <w:t>年</w:t>
      </w:r>
      <w:r>
        <w:rPr/>
        <w:t>5</w:t>
      </w:r>
      <w:r>
        <w:rPr/>
        <w:t>月時整個系統的造價卻是接近</w:t>
      </w:r>
      <w:r>
        <w:rPr/>
        <w:t>50</w:t>
      </w:r>
      <w:r>
        <w:rPr/>
        <w:t>億元，這跟預期出現很大的落差。我希望政府可以汲取教訓，好讓在日後建造新系統時，不會再在工程或財務評估方面出現如此重大的落差。</w:t>
      </w:r>
    </w:p>
    <w:p>
      <w:pPr>
        <w:pStyle w:val="F21"/>
        <w:rPr/>
      </w:pPr>
      <w:r>
        <w:rPr/>
      </w:r>
    </w:p>
    <w:p>
      <w:pPr>
        <w:pStyle w:val="F21"/>
        <w:rPr/>
      </w:pPr>
      <w:r>
        <w:rPr/>
        <w:tab/>
      </w:r>
      <w:r>
        <w:rPr/>
        <w:t>代理主席，我亦期望政府會定時進行檢討。在法案委員會的審議過程中，機電工程署已承諾會成立一個用戶聯絡小組，以加強機電工程署與個別獲准用戶的溝通，就區域供冷系統的操作和保養事宜提供意見。我也希望政府可以定期向相關的事務委員會委員交代工程的進展，讓我們日後在決定是否於其他地區建造新的區域供冷系統時以作參考。</w:t>
      </w:r>
    </w:p>
    <w:p>
      <w:pPr>
        <w:pStyle w:val="F21"/>
        <w:rPr/>
      </w:pPr>
      <w:r>
        <w:rPr/>
      </w:r>
    </w:p>
    <w:p>
      <w:pPr>
        <w:pStyle w:val="F21"/>
        <w:rPr/>
      </w:pPr>
      <w:r>
        <w:rPr/>
        <w:tab/>
      </w:r>
      <w:r>
        <w:rPr/>
        <w:t>代理主席，我謹此陳辭，支持議案。</w:t>
      </w:r>
    </w:p>
    <w:p>
      <w:pPr>
        <w:pStyle w:val="F21"/>
        <w:rPr>
          <w:rFonts w:cs="Times New Roman"/>
          <w:lang w:val="en-GB"/>
        </w:rPr>
      </w:pPr>
      <w:r>
        <w:rPr>
          <w:rFonts w:cs="Times New Roman"/>
          <w:lang w:val="en-GB"/>
        </w:rPr>
      </w:r>
    </w:p>
    <w:p>
      <w:pPr>
        <w:pStyle w:val="F21"/>
        <w:rPr>
          <w:rFonts w:cs="Times New Roman"/>
        </w:rPr>
      </w:pPr>
      <w:r>
        <w:rPr>
          <w:rFonts w:cs="Times New Roman"/>
        </w:rPr>
      </w:r>
    </w:p>
    <w:p>
      <w:pPr>
        <w:pStyle w:val="F21"/>
        <w:rPr>
          <w:szCs w:val="27"/>
        </w:rPr>
      </w:pPr>
      <w:r>
        <w:rPr>
          <w:rFonts w:ascii="華康中黑體" w:hAnsi="華康中黑體" w:cs="華康中黑體" w:eastAsia="華康中黑體"/>
          <w:b/>
          <w:szCs w:val="27"/>
        </w:rPr>
        <w:t>何秀蘭議員</w:t>
      </w:r>
      <w:r>
        <w:rPr>
          <w:szCs w:val="27"/>
        </w:rPr>
        <w:t>：我代表工黨發言支持這項計劃和條例草案。其實，上屆政府已提出區域供冷的概念，而我相信發展一個新區，是所有城市規劃師或有志為城市建設引入新設施的人一個夢寐難求的機會，讓他們可以在一個全新區域設置一些環保節能的系統。</w:t>
      </w:r>
    </w:p>
    <w:p>
      <w:pPr>
        <w:pStyle w:val="F21"/>
        <w:rPr>
          <w:szCs w:val="27"/>
        </w:rPr>
      </w:pPr>
      <w:r>
        <w:rPr>
          <w:szCs w:val="27"/>
        </w:rPr>
      </w:r>
    </w:p>
    <w:p>
      <w:pPr>
        <w:pStyle w:val="F21"/>
        <w:rPr>
          <w:rFonts w:cs="新細明體"/>
          <w:szCs w:val="27"/>
        </w:rPr>
      </w:pPr>
      <w:r>
        <w:rPr>
          <w:szCs w:val="27"/>
        </w:rPr>
        <w:tab/>
      </w:r>
      <w:r>
        <w:rPr>
          <w:szCs w:val="27"/>
        </w:rPr>
        <w:t>上屆政府的環境局提出這</w:t>
      </w:r>
      <w:r>
        <w:rPr>
          <w:rFonts w:cs="新細明體"/>
          <w:szCs w:val="27"/>
        </w:rPr>
        <w:t>概念時，覆蓋範圍較大，同時涵蓋區內公屋和居屋等住宅項目的中央供冷系統。當時，我們曾問政府有否為個別住戶提供選擇，因為如果採用中央供冷系統，但個別住戶基於生活習慣和節省能源的原因，連使用用電效能較高的供冷系統也嫌耗用太多能源而決定關掉冷氣，這些住戶可否選擇關掉冷氣呢？其後政府將計劃推出成為條例草案後，大家才知道並不包括住宅樓宇，只包括非住宅建築物，例如現時的政府建築物、郵輪碼頭、醫院及將來的商廈等。</w:t>
      </w:r>
    </w:p>
    <w:p>
      <w:pPr>
        <w:pStyle w:val="F21"/>
        <w:rPr>
          <w:rFonts w:cs="新細明體"/>
          <w:szCs w:val="27"/>
        </w:rPr>
      </w:pPr>
      <w:r>
        <w:rPr>
          <w:rFonts w:cs="新細明體"/>
          <w:szCs w:val="27"/>
        </w:rPr>
      </w:r>
    </w:p>
    <w:p>
      <w:pPr>
        <w:pStyle w:val="F21"/>
        <w:rPr>
          <w:rFonts w:cs="新細明體"/>
          <w:szCs w:val="27"/>
        </w:rPr>
      </w:pPr>
      <w:r>
        <w:rPr>
          <w:rFonts w:cs="新細明體"/>
          <w:szCs w:val="27"/>
        </w:rPr>
        <w:tab/>
      </w:r>
      <w:r>
        <w:rPr>
          <w:rFonts w:cs="新細明體"/>
          <w:szCs w:val="27"/>
        </w:rPr>
        <w:t>我相信收費結構及如何賦權政府向某些人收費將是日後的一大難題，因為如果要把區域供冷系統擴大至涵蓋住宅項目並向所有住戶收費，即表示基本建設、用電及供冷系統的讀錶等將涉及每家每戶。由於現時只涵蓋非住宅項目，所以每幢建築物只要有一名申請人負責跟政府或機電工程署商討安裝、維修及付費等事項便可。雖然現時的收費制度方便立法賦權政府收費及日後的行政工作，但對於從根本改變用戶進一步節能或用電的習慣，卻未必可以收到最佳效果。所以，我們希望先由啟德發展區踏出第一步，儘管效果未必最理想，但卻可讓政府將來在其他區域建造該系統時作更細緻的考慮，令住宅項目也可以使用區域供冷系統。</w:t>
      </w:r>
    </w:p>
    <w:p>
      <w:pPr>
        <w:pStyle w:val="F21"/>
        <w:rPr>
          <w:rFonts w:cs="新細明體"/>
          <w:szCs w:val="27"/>
        </w:rPr>
      </w:pPr>
      <w:r>
        <w:rPr>
          <w:rFonts w:cs="新細明體"/>
          <w:szCs w:val="27"/>
        </w:rPr>
      </w:r>
    </w:p>
    <w:p>
      <w:pPr>
        <w:pStyle w:val="F21"/>
        <w:rPr>
          <w:rFonts w:cs="新細明體"/>
          <w:szCs w:val="27"/>
        </w:rPr>
      </w:pPr>
      <w:r>
        <w:rPr>
          <w:rFonts w:cs="新細明體"/>
          <w:szCs w:val="27"/>
        </w:rPr>
        <w:tab/>
      </w:r>
      <w:r>
        <w:rPr>
          <w:rFonts w:cs="新細明體"/>
          <w:szCs w:val="27"/>
        </w:rPr>
        <w:t>現時的收費系統存在一些問題十分值得關注，而我們在條例草案的審議過程中，討論最多的是建築物的申請人</w:t>
      </w:r>
      <w:r>
        <w:rPr>
          <w:rFonts w:cs="新細明體"/>
          <w:szCs w:val="27"/>
        </w:rPr>
        <w:t>(</w:t>
      </w:r>
      <w:r>
        <w:rPr>
          <w:rFonts w:cs="新細明體"/>
          <w:szCs w:val="27"/>
        </w:rPr>
        <w:t>即獲准用戶</w:t>
      </w:r>
      <w:r>
        <w:rPr>
          <w:rFonts w:cs="新細明體"/>
          <w:szCs w:val="27"/>
        </w:rPr>
        <w:t>)</w:t>
      </w:r>
      <w:r>
        <w:rPr>
          <w:rFonts w:cs="新細明體"/>
          <w:szCs w:val="27"/>
        </w:rPr>
        <w:t>與建築物的個別用戶的權責和關係。根據現時的收費系統，每幢建築物均會有一名申請人，但一旦出現剛才盧偉國議員所說有兩個團體或兩個申請人的情況，屆時將如何處理呢？我們在審議過程已討論這個問題，政府只會讓一名申請人成為獲准用戶，但這名獲准用戶與建築物的個別租戶的關係會是怎樣的呢？</w:t>
      </w:r>
    </w:p>
    <w:p>
      <w:pPr>
        <w:pStyle w:val="F21"/>
        <w:rPr>
          <w:rFonts w:cs="新細明體"/>
          <w:szCs w:val="27"/>
        </w:rPr>
      </w:pPr>
      <w:r>
        <w:rPr>
          <w:rFonts w:cs="新細明體"/>
          <w:szCs w:val="27"/>
        </w:rPr>
      </w:r>
    </w:p>
    <w:p>
      <w:pPr>
        <w:pStyle w:val="F21"/>
        <w:rPr>
          <w:rFonts w:cs="新細明體"/>
          <w:szCs w:val="27"/>
        </w:rPr>
      </w:pPr>
      <w:r>
        <w:rPr>
          <w:rFonts w:cs="新細明體"/>
          <w:szCs w:val="27"/>
        </w:rPr>
        <w:tab/>
      </w:r>
      <w:r>
        <w:rPr>
          <w:rFonts w:cs="新細明體"/>
          <w:szCs w:val="27"/>
        </w:rPr>
        <w:t>我們先看看收費。現時的收費方式是，由一名獲准用戶悉數支付，然後不管個別住戶慳電與否，一律以租金或管理費，甚至是名正言順以徵收冷氣費的方式按呎收費，現時很多普通商場或商業大廈都採用這種收費方法。可是，如果申請人行政不善，最簡單的例子是忘記向機電工程署繳費或欠款一段時間，甚或出現財政困難，以致機電工程署要停止供冷服務，即是如果商場因獲准用戶本身的問題而被停止供冷服務，這對整個商場的其他用戶會造成很大問題。那麼，他們是否應安裝一套普通的冷氣系統，以免即使在管業處被停止供冷服務時失去做生意的機會，仍然能夠繼續運作？</w:t>
      </w:r>
    </w:p>
    <w:p>
      <w:pPr>
        <w:pStyle w:val="F21"/>
        <w:rPr>
          <w:rFonts w:cs="新細明體"/>
          <w:szCs w:val="27"/>
        </w:rPr>
      </w:pPr>
      <w:r>
        <w:rPr>
          <w:rFonts w:cs="新細明體"/>
          <w:szCs w:val="27"/>
        </w:rPr>
      </w:r>
    </w:p>
    <w:p>
      <w:pPr>
        <w:pStyle w:val="F21"/>
        <w:rPr>
          <w:rFonts w:cs="Times New Roman"/>
          <w:szCs w:val="27"/>
        </w:rPr>
      </w:pPr>
      <w:r>
        <w:rPr>
          <w:rFonts w:cs="新細明體"/>
          <w:szCs w:val="27"/>
        </w:rPr>
        <w:tab/>
      </w:r>
      <w:r>
        <w:rPr>
          <w:rFonts w:cs="新細明體"/>
          <w:szCs w:val="27"/>
        </w:rPr>
        <w:t>事實上，在條例草案的審議階段，官員曾“誓神劈願”表示會盡快處理，一旦停電便會設法，例如透過陳克勤議員提及的用戶聯絡小組，盡快通知所有用戶。然而，我們認為盡快通知並不足夠，最重要是恢復供冷服務。但是，在停電至恢復供冷這段期間又應該向誰收費呢？現時的條例草案確實存在漏洞有待堵塞，但我們不會因為這些漏洞而阻止立法。善良的議員都希望政府在真正實行時不會出現這些情況，而會在停止供冷服務前做好一切工夫，通知所有用戶，並物色另一名獲准用戶取代。</w:t>
      </w:r>
      <w:r>
        <w:rPr>
          <w:szCs w:val="27"/>
        </w:rPr>
        <w:t>在真的無法找到另一名申請人時再另覓解決方法，但大前提是不可以因獲准用戶本身的問題而貿然停止有關建築物的供冷服務。如果小型商廈的所有用戶皆自行安裝窗口式或分體冷氣機，甚至是獨立的冷氣水塔，這豈不是更浪費資源？當局有責任盡快填補這些缺口，令日後新區內的商業大廈用戶可以放心使用中央系統，無須購買可移動式或窗口式冷氣機。</w:t>
      </w:r>
    </w:p>
    <w:p>
      <w:pPr>
        <w:pStyle w:val="F21"/>
        <w:spacing w:lineRule="atLeast" w:line="388"/>
        <w:rPr>
          <w:szCs w:val="27"/>
        </w:rPr>
      </w:pPr>
      <w:r>
        <w:rPr>
          <w:szCs w:val="27"/>
        </w:rPr>
      </w:r>
    </w:p>
    <w:p>
      <w:pPr>
        <w:pStyle w:val="F21"/>
        <w:spacing w:lineRule="atLeast" w:line="388"/>
        <w:rPr>
          <w:szCs w:val="27"/>
        </w:rPr>
      </w:pPr>
      <w:r>
        <w:rPr>
          <w:szCs w:val="27"/>
        </w:rPr>
        <w:tab/>
      </w:r>
      <w:r>
        <w:rPr>
          <w:szCs w:val="27"/>
        </w:rPr>
        <w:t>至於個別用戶與每幢建築物的獲准用戶之間的關係，我們在審議階段也提出了很多問題。其實，大家不分政黨背景提出了很多有用的意見，而那些問題皆很實質，當局必須回應。雖然今天局長未必能夠全部回應，但我希望在全港大規模實施供冷服務前，他能夠告訴立法會如何在行政方面填補這些缺口。</w:t>
      </w:r>
    </w:p>
    <w:p>
      <w:pPr>
        <w:pStyle w:val="F21"/>
        <w:spacing w:lineRule="atLeast" w:line="388"/>
        <w:rPr>
          <w:szCs w:val="27"/>
        </w:rPr>
      </w:pPr>
      <w:r>
        <w:rPr>
          <w:szCs w:val="27"/>
        </w:rPr>
      </w:r>
    </w:p>
    <w:p>
      <w:pPr>
        <w:pStyle w:val="F21"/>
        <w:spacing w:lineRule="atLeast" w:line="388"/>
        <w:rPr>
          <w:szCs w:val="27"/>
        </w:rPr>
      </w:pPr>
      <w:r>
        <w:rPr>
          <w:szCs w:val="27"/>
        </w:rPr>
        <w:tab/>
      </w:r>
      <w:r>
        <w:rPr>
          <w:szCs w:val="27"/>
        </w:rPr>
        <w:t>此外，代理主席，還有收回成本的問題。我們訂立這項法例，主要因為政府必須有法定權力及法理基礎才可以向社會收費，一如《稅務條例》，這便是我們訂立這項法例的目的。因此，我們在審議這項條例草案時曾問政府當局，是否由於推出這項大型的環保區域系統屬公眾責任，所以必須在某段時間內收回所有成本，致令收費較商戶使用既有供電服務更高？</w:t>
      </w:r>
    </w:p>
    <w:p>
      <w:pPr>
        <w:pStyle w:val="F21"/>
        <w:spacing w:lineRule="atLeast" w:line="388"/>
        <w:rPr>
          <w:szCs w:val="27"/>
        </w:rPr>
      </w:pPr>
      <w:r>
        <w:rPr>
          <w:szCs w:val="27"/>
        </w:rPr>
      </w:r>
    </w:p>
    <w:p>
      <w:pPr>
        <w:pStyle w:val="F21"/>
        <w:spacing w:lineRule="atLeast" w:line="388"/>
        <w:rPr>
          <w:szCs w:val="27"/>
        </w:rPr>
      </w:pPr>
      <w:r>
        <w:rPr>
          <w:szCs w:val="27"/>
        </w:rPr>
        <w:tab/>
      </w:r>
      <w:r>
        <w:rPr>
          <w:szCs w:val="27"/>
        </w:rPr>
        <w:t>其實，至今仍未有實質的數字顯示收費應訂於甚麼水平。當然，在條例草案審議期間，局方官員在回應時皆處處遷就，務使我們通過這項條例草案，但收費水平至今仍未有定案。我們一定會繼續監察，而據官員所稱，收費將必然處於一個具競爭性的水平。然而，環保並非純粹一種商業行為，因為如果我們用電沒有節制、碳排放高</w:t>
      </w:r>
      <w:r>
        <w:rPr>
          <w:szCs w:val="27"/>
        </w:rPr>
        <w:t>......</w:t>
      </w:r>
      <w:r>
        <w:rPr>
          <w:szCs w:val="27"/>
        </w:rPr>
        <w:t>其實，局長對這方面也很關心，而且關心了很多年，他也知道這並不是市場行為可以補救的議題，而是政府的責任。所以，即使他說收費具競爭性且不會較現時的供電服務昂貴很多，但我們更希望的是，他不要以在某時段收回全部成本的出發點計算收費，而是要設法令新收費較現行電費為低，這樣大家便會很樂意使用。我希望將來當局在訂定實際的收費時，必須考慮這項因素。</w:t>
      </w:r>
      <w:r>
        <w:br w:type="page"/>
      </w:r>
    </w:p>
    <w:p>
      <w:pPr>
        <w:pStyle w:val="F21"/>
        <w:spacing w:lineRule="atLeast" w:line="370"/>
        <w:rPr>
          <w:szCs w:val="27"/>
        </w:rPr>
      </w:pPr>
      <w:r>
        <w:rPr>
          <w:szCs w:val="27"/>
        </w:rPr>
        <w:tab/>
      </w:r>
      <w:r>
        <w:rPr>
          <w:szCs w:val="27"/>
        </w:rPr>
        <w:t>最後，代理主席，氣候變化是全人類也要承擔的後果，但造成氣候變化的，都是有能力、有資源消費或用電的人。所以工黨經常說，破壞環境及造成氣候變化屬階級性問題，因為有錢花費甚至浪費的人，才會耗用大量資源並引致高碳排放。然而，全球氣候變化導致農作物失收及食物價格上漲，中產人士倒沒有所謂，因為他們即使減少外出用膳，也不致會挨餓。只要他們不是要過奢華的生活，基本生活所需應該不受影響。可是，對於基層市民而言，食物價格上漲一成會令他們本來每月</w:t>
      </w:r>
      <w:r>
        <w:rPr>
          <w:szCs w:val="27"/>
        </w:rPr>
        <w:t>30</w:t>
      </w:r>
      <w:r>
        <w:rPr>
          <w:szCs w:val="27"/>
        </w:rPr>
        <w:t>天僅夠溫飽的情況，變成有數天吃不飽。</w:t>
      </w:r>
    </w:p>
    <w:p>
      <w:pPr>
        <w:pStyle w:val="F21"/>
        <w:spacing w:lineRule="atLeast" w:line="370"/>
        <w:rPr>
          <w:szCs w:val="27"/>
        </w:rPr>
      </w:pPr>
      <w:r>
        <w:rPr>
          <w:szCs w:val="27"/>
        </w:rPr>
      </w:r>
    </w:p>
    <w:p>
      <w:pPr>
        <w:pStyle w:val="F21"/>
        <w:spacing w:lineRule="atLeast" w:line="370"/>
        <w:rPr>
          <w:szCs w:val="27"/>
        </w:rPr>
      </w:pPr>
      <w:r>
        <w:rPr>
          <w:szCs w:val="27"/>
        </w:rPr>
        <w:tab/>
      </w:r>
      <w:r>
        <w:rPr>
          <w:szCs w:val="27"/>
        </w:rPr>
        <w:t>所以，環保、節能及減少碳排放都是政府的公共行政責任。此外，重複我剛才的論點，希望當局不要再用收回成本的概念或單純強調收費要具競爭力，而是應該進一步推動令大家均樂意使用。再者，希望當局會在新區徵收較低價格，令大家皆有得益，尤其是基層市民，不用長遠承擔氣候變化所帶來的惡果。多謝代理主席。</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eastAsia="華康中黑體"/>
          <w:b/>
        </w:rPr>
        <w:t>代理主席</w:t>
      </w:r>
      <w:r>
        <w:rPr>
          <w:rFonts w:cs="Times New Roman"/>
        </w:rPr>
        <w:t>：是否有其他議員想發言？</w:t>
      </w:r>
    </w:p>
    <w:p>
      <w:pPr>
        <w:pStyle w:val="F21"/>
        <w:tabs>
          <w:tab w:val="clear" w:pos="567"/>
        </w:tabs>
        <w:spacing w:lineRule="atLeast" w:line="370"/>
        <w:rPr/>
      </w:pPr>
      <w:r>
        <w:rPr/>
      </w:r>
    </w:p>
    <w:p>
      <w:pPr>
        <w:pStyle w:val="F21"/>
        <w:tabs>
          <w:tab w:val="clear" w:pos="567"/>
        </w:tabs>
        <w:spacing w:lineRule="atLeast" w:line="370"/>
        <w:rPr/>
      </w:pPr>
      <w:r>
        <w:rPr/>
        <w:t>(</w:t>
      </w:r>
      <w:r>
        <w:rPr/>
        <w:t>沒有其他議員表示想發言</w:t>
      </w:r>
      <w:r>
        <w:rPr/>
        <w:t>)</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eastAsia="華康中黑體"/>
          <w:b/>
        </w:rPr>
        <w:t>代理主席</w:t>
      </w:r>
      <w:r>
        <w:rPr>
          <w:rFonts w:cs="Times New Roman"/>
        </w:rPr>
        <w:t>：如果沒有，我現在請環境局局長發言答辯。在局長答辯後，辯論即告結束。</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pPr>
      <w:r>
        <w:rPr>
          <w:rFonts w:eastAsia="華康中黑體"/>
          <w:b/>
        </w:rPr>
        <w:t>環境局局長</w:t>
      </w:r>
      <w:r>
        <w:rPr/>
        <w:t>：代理主席，首先，我衷心感謝《區域供冷服務條例草案》委員會</w:t>
      </w:r>
      <w:r>
        <w:rPr/>
        <w:t>(“</w:t>
      </w:r>
      <w:r>
        <w:rPr/>
        <w:t>法案委員會”</w:t>
      </w:r>
      <w:r>
        <w:rPr/>
        <w:t>)</w:t>
      </w:r>
      <w:r>
        <w:rPr/>
        <w:t>主席盧偉國議員和法案委員會的委員，以及立法會秘書處同事的努力，在</w:t>
      </w:r>
      <w:r>
        <w:rPr/>
        <w:t>4</w:t>
      </w:r>
      <w:r>
        <w:rPr/>
        <w:t>個多月內舉行了</w:t>
      </w:r>
      <w:r>
        <w:rPr/>
        <w:t>8</w:t>
      </w:r>
      <w:r>
        <w:rPr/>
        <w:t>次會議，法案委員會主席更聯同其他立法會議員親身實地視察啟德發展區區域供冷系統的設施。法案委員會對《區域供冷服務條例草案》</w:t>
      </w:r>
      <w:r>
        <w:rPr/>
        <w:t>(</w:t>
      </w:r>
      <w:r>
        <w:rPr>
          <w:szCs w:val="27"/>
        </w:rPr>
        <w:t>“</w:t>
      </w:r>
      <w:r>
        <w:rPr/>
        <w:t>條例草案</w:t>
      </w:r>
      <w:r>
        <w:rPr>
          <w:szCs w:val="27"/>
        </w:rPr>
        <w:t>”</w:t>
      </w:r>
      <w:r>
        <w:rPr>
          <w:szCs w:val="27"/>
        </w:rPr>
        <w:t>)</w:t>
      </w:r>
      <w:r>
        <w:rPr/>
        <w:t>的條文作出詳細及深入的討論，並向我們提供了寶貴的意見，我在此表示衷心感謝。我亦感謝剛才發言的兩位議員所表達的意見。</w:t>
      </w:r>
    </w:p>
    <w:p>
      <w:pPr>
        <w:pStyle w:val="F21"/>
        <w:spacing w:lineRule="atLeast" w:line="370"/>
        <w:rPr/>
      </w:pPr>
      <w:r>
        <w:rPr/>
      </w:r>
    </w:p>
    <w:p>
      <w:pPr>
        <w:pStyle w:val="F21"/>
        <w:spacing w:lineRule="atLeast" w:line="370"/>
        <w:rPr/>
      </w:pPr>
      <w:r>
        <w:rPr/>
        <w:tab/>
      </w:r>
      <w:r>
        <w:rPr/>
        <w:t>政府提出條例草案的目的，是為政府提供所需的法律依據，向使用區域供冷系統服務的用戶收取費用，並且授權機電工程署利用收費抵銷區域供冷系統的營運開支。條例草案亦就政府提供的區域供冷服務的事宜，包括服務收費，以及其他相關事宜，訂定條文。</w:t>
      </w:r>
      <w:r>
        <w:br w:type="page"/>
      </w:r>
    </w:p>
    <w:p>
      <w:pPr>
        <w:pStyle w:val="F21"/>
        <w:rPr/>
      </w:pPr>
      <w:r>
        <w:rPr/>
        <w:tab/>
      </w:r>
      <w:r>
        <w:rPr/>
        <w:t>區域供冷系統是具能源效益的空調系統，也是啟德發展區其中一項支持可持續發展的主要環保基建設施。為推廣能源效益和節能，政府在立法會的支持下，於啟德發展區建造首個區域供冷系統。根據發展規劃，該區非住宅項目的總空調樓面面積合共約</w:t>
      </w:r>
      <w:r>
        <w:rPr/>
        <w:t>173</w:t>
      </w:r>
      <w:r>
        <w:rPr/>
        <w:t>萬平方米，所需的製冷量約為</w:t>
      </w:r>
      <w:r>
        <w:rPr/>
        <w:t>284</w:t>
      </w:r>
      <w:r>
        <w:rPr/>
        <w:t>兆瓦。</w:t>
      </w:r>
    </w:p>
    <w:p>
      <w:pPr>
        <w:pStyle w:val="F21"/>
        <w:rPr/>
      </w:pPr>
      <w:r>
        <w:rPr/>
      </w:r>
    </w:p>
    <w:p>
      <w:pPr>
        <w:pStyle w:val="F21"/>
        <w:rPr/>
      </w:pPr>
      <w:r>
        <w:rPr/>
        <w:tab/>
      </w:r>
      <w:r>
        <w:rPr/>
        <w:t>與傳統氣冷式空調系統和獨立使用冷卻塔的水冷式空調系統比較，區域供冷系統可節省分別</w:t>
      </w:r>
      <w:r>
        <w:rPr/>
        <w:t>35%</w:t>
      </w:r>
      <w:r>
        <w:rPr/>
        <w:t>和</w:t>
      </w:r>
      <w:r>
        <w:rPr/>
        <w:t>20%</w:t>
      </w:r>
      <w:r>
        <w:rPr/>
        <w:t>的用電量。世界各地例如美國、歐洲和新加坡，已廣泛採用這項技術。由於區域供冷系統的能源效益較高，在整個系統完成後，估計每年可節省高達</w:t>
      </w:r>
      <w:r>
        <w:rPr/>
        <w:t>8 500</w:t>
      </w:r>
      <w:r>
        <w:rPr/>
        <w:t>萬度電，減少排放接近</w:t>
      </w:r>
      <w:r>
        <w:rPr/>
        <w:t>6</w:t>
      </w:r>
      <w:r>
        <w:rPr/>
        <w:t>萬公噸二氧化碳。</w:t>
      </w:r>
    </w:p>
    <w:p>
      <w:pPr>
        <w:pStyle w:val="F21"/>
        <w:rPr/>
      </w:pPr>
      <w:r>
        <w:rPr/>
      </w:r>
    </w:p>
    <w:p>
      <w:pPr>
        <w:pStyle w:val="F21"/>
        <w:rPr/>
      </w:pPr>
      <w:r>
        <w:rPr/>
        <w:tab/>
      </w:r>
      <w:r>
        <w:rPr/>
        <w:t>區域供冷系統除節能外，更會為用戶帶來其他效益，例如節省在樓宇裝設製冷機組的前期建築費用、避免空調機組的散熱器和製冷機組引致的噪音及震動、減少啟德區內的熱島效應、改善空氣質素及令樓宇設計更具彈性等。</w:t>
      </w:r>
    </w:p>
    <w:p>
      <w:pPr>
        <w:pStyle w:val="F21"/>
        <w:rPr/>
      </w:pPr>
      <w:r>
        <w:rPr/>
      </w:r>
    </w:p>
    <w:p>
      <w:pPr>
        <w:pStyle w:val="F21"/>
        <w:rPr/>
      </w:pPr>
      <w:r>
        <w:rPr/>
        <w:tab/>
      </w:r>
      <w:r>
        <w:rPr/>
        <w:t>條例草案所訂明的建議收費可讓政府在區域供冷系統的</w:t>
      </w:r>
      <w:r>
        <w:rPr/>
        <w:t>30</w:t>
      </w:r>
      <w:r>
        <w:rPr/>
        <w:t>年使用期內收回全部成本，而現時建議的收費較市場上的空調系統的成本為低。供冷費用會因長遠能源效益而降低。</w:t>
      </w:r>
    </w:p>
    <w:p>
      <w:pPr>
        <w:pStyle w:val="F21"/>
        <w:rPr/>
      </w:pPr>
      <w:r>
        <w:rPr/>
        <w:t xml:space="preserve"> </w:t>
      </w:r>
    </w:p>
    <w:p>
      <w:pPr>
        <w:pStyle w:val="F21"/>
        <w:rPr/>
      </w:pPr>
      <w:r>
        <w:rPr/>
        <w:tab/>
      </w:r>
      <w:r>
        <w:rPr/>
        <w:t>多謝陳克勤議員的提問，我想在此澄清有關工程開支的問題。其實，工程的第</w:t>
      </w:r>
      <w:r>
        <w:rPr/>
        <w:t>I</w:t>
      </w:r>
      <w:r>
        <w:rPr/>
        <w:t>、</w:t>
      </w:r>
      <w:r>
        <w:rPr/>
        <w:t>II</w:t>
      </w:r>
      <w:r>
        <w:rPr/>
        <w:t>期已經完成，基本上符合我們的預計，並沒有超支。至於何秀蘭議員關注公屋、居屋與供冷系統的關係，我在此想說的是一般不會向這些住宅樓宇提供中央供冷，從資源善用的角度來看，在這些住宅提供中央供冷亦未必是最划算的做法。至於議員提到如果獲准用戶不繳費將如何處理，機電工程署已承諾會盡量繼續確保供冷服務的穩定性。在實際操作方面，獲准用戶必須繳付按金，而按金應該可以應付約兩個月的費用。</w:t>
      </w:r>
    </w:p>
    <w:p>
      <w:pPr>
        <w:pStyle w:val="F21"/>
        <w:rPr/>
      </w:pPr>
      <w:r>
        <w:rPr/>
      </w:r>
    </w:p>
    <w:p>
      <w:pPr>
        <w:pStyle w:val="F21"/>
        <w:rPr/>
      </w:pPr>
      <w:r>
        <w:rPr/>
        <w:tab/>
      </w:r>
      <w:r>
        <w:rPr/>
        <w:t>代理主席，因應法案委員會的意見，政府對條例草案提出數項修正案，目的是要回應委員的建議，以及作出文字修訂。有關修正案均已呈交法案委員會考慮及討論，而法案委員會亦歡迎有關修正案。因此，我將會稍後在全體委員會審議階段動議有關修正案，並會就有關修正案再作介紹。</w:t>
      </w:r>
    </w:p>
    <w:p>
      <w:pPr>
        <w:pStyle w:val="F21"/>
        <w:rPr/>
      </w:pPr>
      <w:r>
        <w:rPr/>
      </w:r>
    </w:p>
    <w:p>
      <w:pPr>
        <w:pStyle w:val="F21"/>
        <w:rPr/>
      </w:pPr>
      <w:r>
        <w:rPr/>
        <w:tab/>
      </w:r>
      <w:r>
        <w:rPr/>
        <w:t>啟德區域供冷系統的第</w:t>
      </w:r>
      <w:r>
        <w:rPr/>
        <w:t>I</w:t>
      </w:r>
      <w:r>
        <w:rPr/>
        <w:t>期和第</w:t>
      </w:r>
      <w:r>
        <w:rPr/>
        <w:t>II</w:t>
      </w:r>
      <w:r>
        <w:rPr/>
        <w:t>期工程分別已於</w:t>
      </w:r>
      <w:r>
        <w:rPr/>
        <w:t>2013</w:t>
      </w:r>
      <w:r>
        <w:rPr/>
        <w:t>年第一季及</w:t>
      </w:r>
      <w:r>
        <w:rPr/>
        <w:t>2014</w:t>
      </w:r>
      <w:r>
        <w:rPr/>
        <w:t>年第三季竣工，兩期工程均在立法會核准預算內完成。該系統已向啟德郵輪碼頭大樓及香港房屋委員會轄下的晴朗商場提供區域供冷服務。我們預期在今年年中開始向非政府用戶提供區域供冷系統服務並收取費用，因此有關條例草案有需要盡快獲立法會通過。</w:t>
      </w:r>
    </w:p>
    <w:p>
      <w:pPr>
        <w:pStyle w:val="F21"/>
        <w:spacing w:lineRule="atLeast" w:line="330"/>
        <w:rPr/>
      </w:pPr>
      <w:r>
        <w:rPr/>
      </w:r>
    </w:p>
    <w:p>
      <w:pPr>
        <w:pStyle w:val="F21"/>
        <w:spacing w:lineRule="atLeast" w:line="330"/>
        <w:rPr/>
      </w:pPr>
      <w:r>
        <w:rPr/>
      </w:r>
    </w:p>
    <w:p>
      <w:pPr>
        <w:pStyle w:val="F21"/>
        <w:tabs>
          <w:tab w:val="left" w:pos="480" w:leader="none"/>
          <w:tab w:val="left" w:pos="567" w:leader="none"/>
        </w:tabs>
        <w:spacing w:lineRule="atLeast" w:line="330"/>
        <w:rPr/>
      </w:pPr>
      <w:r>
        <w:rPr/>
        <w:t>(</w:t>
      </w:r>
      <w:r>
        <w:rPr/>
        <w:t>主席恢復主持會議</w:t>
      </w:r>
      <w:r>
        <w:rPr/>
        <w:t>)</w:t>
      </w:r>
    </w:p>
    <w:p>
      <w:pPr>
        <w:pStyle w:val="F21"/>
        <w:spacing w:lineRule="atLeast" w:line="330"/>
        <w:rPr/>
      </w:pPr>
      <w:r>
        <w:rPr/>
      </w:r>
    </w:p>
    <w:p>
      <w:pPr>
        <w:pStyle w:val="F21"/>
        <w:spacing w:lineRule="atLeast" w:line="330"/>
        <w:rPr/>
      </w:pPr>
      <w:r>
        <w:rPr/>
      </w:r>
    </w:p>
    <w:p>
      <w:pPr>
        <w:pStyle w:val="F21"/>
        <w:spacing w:lineRule="atLeast" w:line="330"/>
        <w:rPr/>
      </w:pPr>
      <w:r>
        <w:rPr/>
        <w:tab/>
      </w:r>
      <w:r>
        <w:rPr/>
        <w:t>主席，我謹此動議恢復二讀辯論條例草案，懇請各位議員支持通過條例草案，以及稍後在全體委員會審議階段動議的修正案，以便盡快通過條例草案並付諸實行。多謝主席。</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eastAsia="華康中黑體"/>
          <w:b/>
        </w:rPr>
        <w:t>主席</w:t>
      </w:r>
      <w:r>
        <w:rPr>
          <w:rFonts w:cs="Times New Roman"/>
        </w:rPr>
        <w:t>：我現在向各位提出的待決議題是：《區域供冷服務條例草案》，予以二讀。現在付諸表決，贊成的請舉手。</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w:t>
      </w:r>
      <w:r>
        <w:rPr>
          <w:rFonts w:cs="Times New Roman"/>
        </w:rPr>
        <w:t>議員舉手</w:t>
      </w:r>
      <w:r>
        <w:rPr>
          <w:rFonts w:cs="Times New Roman"/>
        </w:rPr>
        <w:t>)</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eastAsia="華康中黑體"/>
          <w:b/>
        </w:rPr>
        <w:t>主席</w:t>
      </w:r>
      <w:r>
        <w:rPr>
          <w:rFonts w:cs="Times New Roman"/>
        </w:rPr>
        <w:t>：反對的請舉手。</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w:t>
      </w:r>
      <w:r>
        <w:rPr>
          <w:rFonts w:cs="Times New Roman"/>
        </w:rPr>
        <w:t>沒有議員舉手</w:t>
      </w:r>
      <w:r>
        <w:rPr>
          <w:rFonts w:cs="Times New Roman"/>
        </w:rPr>
        <w:t>)</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eastAsia="華康中黑體"/>
          <w:b/>
        </w:rPr>
        <w:t>主席</w:t>
      </w:r>
      <w:r>
        <w:rPr>
          <w:rFonts w:cs="Times New Roman"/>
        </w:rPr>
        <w:t>：我認為議題獲得在席議員以過半數贊成。我宣布議案獲得通過。</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eastAsia="華康中黑體"/>
          <w:b/>
        </w:rPr>
        <w:t>秘書</w:t>
      </w:r>
      <w:r>
        <w:rPr>
          <w:rFonts w:cs="Times New Roman"/>
        </w:rPr>
        <w:t>：《區域供冷服務條例草案》。</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立法會進入全體委員會審議階段。</w:t>
      </w:r>
    </w:p>
    <w:p>
      <w:pPr>
        <w:pStyle w:val="Normal"/>
        <w:spacing w:lineRule="atLeast" w:line="330"/>
        <w:rPr/>
      </w:pPr>
      <w:r>
        <w:rPr/>
        <w:t>Council went into Committee.</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eastAsia="華康中黑體" w:cs="Times New Roman"/>
          <w:b/>
          <w:b/>
        </w:rPr>
      </w:pPr>
      <w:bookmarkStart w:id="72" w:name="cos01"/>
      <w:r>
        <w:rPr>
          <w:rFonts w:cs="Times New Roman" w:eastAsia="華康中黑體"/>
          <w:b/>
        </w:rPr>
        <w:t>全體委員會審議階段</w:t>
      </w:r>
    </w:p>
    <w:p>
      <w:pPr>
        <w:pStyle w:val="Normal"/>
        <w:spacing w:lineRule="atLeast" w:line="330"/>
        <w:rPr>
          <w:rFonts w:eastAsia="華康中黑體"/>
          <w:b/>
          <w:b/>
          <w:color w:val="FF0000"/>
          <w:spacing w:val="20"/>
          <w:sz w:val="27"/>
          <w:szCs w:val="22"/>
          <w:lang w:val="en-US"/>
        </w:rPr>
      </w:pPr>
      <w:bookmarkStart w:id="73" w:name="cos01"/>
      <w:r>
        <w:rPr>
          <w:b/>
        </w:rPr>
        <w:t>Committee Stage</w:t>
      </w:r>
      <w:bookmarkEnd w:id="73"/>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eastAsia="華康中黑體"/>
          <w:b/>
        </w:rPr>
        <w:t>全委會主席</w:t>
      </w:r>
      <w:r>
        <w:rPr>
          <w:rFonts w:cs="Times New Roman"/>
        </w:rPr>
        <w:t>：全體委員會審議階段。本會現在成為全體委員會。</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ab/>
      </w:r>
      <w:r>
        <w:rPr>
          <w:rFonts w:cs="Times New Roman"/>
        </w:rPr>
        <w:t>就條例草案的辯論及表決安排，委員可參閱講稿的附錄。</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spacing w:lineRule="atLeast" w:line="380"/>
        <w:rPr>
          <w:rFonts w:eastAsia="華康中黑體" w:cs="Times New Roman"/>
          <w:b/>
          <w:b/>
        </w:rPr>
      </w:pPr>
      <w:bookmarkStart w:id="74" w:name="cos01a"/>
      <w:r>
        <w:rPr>
          <w:rFonts w:cs="Times New Roman" w:eastAsia="華康中黑體"/>
          <w:b/>
        </w:rPr>
        <w:t>《區域供冷服務條例草案》</w:t>
      </w:r>
    </w:p>
    <w:p>
      <w:pPr>
        <w:pStyle w:val="Normal"/>
        <w:spacing w:lineRule="atLeast" w:line="380"/>
        <w:rPr>
          <w:rFonts w:eastAsia="華康中黑體"/>
          <w:b/>
          <w:b/>
          <w:color w:val="FF0000"/>
          <w:spacing w:val="20"/>
          <w:sz w:val="27"/>
          <w:szCs w:val="22"/>
          <w:lang w:val="en-US"/>
        </w:rPr>
      </w:pPr>
      <w:bookmarkStart w:id="75" w:name="cos01a"/>
      <w:r>
        <w:rPr>
          <w:b/>
        </w:rPr>
        <w:t>DISTRICT COOLING SERVICES BILL</w:t>
      </w:r>
      <w:bookmarkEnd w:id="75"/>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eastAsia="華康中黑體"/>
          <w:b/>
        </w:rPr>
        <w:t>全委會主席</w:t>
      </w:r>
      <w:r>
        <w:rPr>
          <w:rFonts w:cs="Times New Roman"/>
        </w:rPr>
        <w:t>：我會先處理沒有修正案的條文。我現在向各位提出的待議議題是：以下條文納入《區域供冷服務條例草案》。</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eastAsia="華康中黑體"/>
          <w:b/>
        </w:rPr>
        <w:t>秘書</w:t>
      </w:r>
      <w:r>
        <w:rPr>
          <w:rFonts w:cs="Times New Roman"/>
        </w:rPr>
        <w:t>：第</w:t>
      </w:r>
      <w:r>
        <w:rPr>
          <w:rFonts w:cs="Times New Roman"/>
        </w:rPr>
        <w:t>1</w:t>
      </w:r>
      <w:r>
        <w:rPr>
          <w:rFonts w:cs="Times New Roman"/>
        </w:rPr>
        <w:t>、</w:t>
      </w:r>
      <w:r>
        <w:rPr>
          <w:rFonts w:cs="Times New Roman"/>
        </w:rPr>
        <w:t>3</w:t>
      </w:r>
      <w:r>
        <w:rPr>
          <w:rFonts w:cs="Times New Roman"/>
        </w:rPr>
        <w:t>、</w:t>
      </w:r>
      <w:r>
        <w:rPr>
          <w:rFonts w:cs="Times New Roman"/>
        </w:rPr>
        <w:t>7</w:t>
      </w:r>
      <w:r>
        <w:rPr>
          <w:rFonts w:cs="Times New Roman"/>
        </w:rPr>
        <w:t>、</w:t>
      </w:r>
      <w:r>
        <w:rPr>
          <w:rFonts w:cs="Times New Roman"/>
        </w:rPr>
        <w:t>8</w:t>
      </w:r>
      <w:r>
        <w:rPr>
          <w:rFonts w:cs="Times New Roman"/>
        </w:rPr>
        <w:t>、</w:t>
      </w:r>
      <w:r>
        <w:rPr>
          <w:rFonts w:cs="Times New Roman"/>
        </w:rPr>
        <w:t>9</w:t>
      </w:r>
      <w:r>
        <w:rPr>
          <w:rFonts w:cs="Times New Roman"/>
        </w:rPr>
        <w:t>、</w:t>
      </w:r>
      <w:r>
        <w:rPr>
          <w:rFonts w:cs="Times New Roman"/>
        </w:rPr>
        <w:t>11</w:t>
      </w:r>
      <w:r>
        <w:rPr>
          <w:rFonts w:cs="Times New Roman"/>
        </w:rPr>
        <w:t>至</w:t>
      </w:r>
      <w:r>
        <w:rPr>
          <w:rFonts w:cs="Times New Roman"/>
        </w:rPr>
        <w:t>21</w:t>
      </w:r>
      <w:r>
        <w:rPr>
          <w:rFonts w:cs="Times New Roman"/>
        </w:rPr>
        <w:t>、</w:t>
      </w:r>
      <w:r>
        <w:rPr>
          <w:rFonts w:cs="Times New Roman"/>
        </w:rPr>
        <w:t>23</w:t>
      </w:r>
      <w:r>
        <w:rPr>
          <w:rFonts w:cs="Times New Roman"/>
        </w:rPr>
        <w:t>及</w:t>
      </w:r>
      <w:r>
        <w:rPr>
          <w:rFonts w:cs="Times New Roman"/>
        </w:rPr>
        <w:t>26</w:t>
      </w:r>
      <w:r>
        <w:rPr>
          <w:rFonts w:cs="Times New Roman"/>
        </w:rPr>
        <w:t>至</w:t>
      </w:r>
      <w:r>
        <w:rPr>
          <w:rFonts w:cs="Times New Roman"/>
        </w:rPr>
        <w:t>34</w:t>
      </w:r>
      <w:r>
        <w:rPr>
          <w:rFonts w:cs="Times New Roman"/>
        </w:rPr>
        <w:t>條。</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eastAsia="華康中黑體"/>
          <w:b/>
        </w:rPr>
        <w:t>全委會主席</w:t>
      </w:r>
      <w:r>
        <w:rPr>
          <w:rFonts w:cs="Times New Roman"/>
        </w:rPr>
        <w:t>：是否有委員想發言？</w:t>
      </w:r>
    </w:p>
    <w:p>
      <w:pPr>
        <w:pStyle w:val="F21"/>
        <w:tabs>
          <w:tab w:val="clear" w:pos="567"/>
        </w:tabs>
        <w:spacing w:lineRule="atLeast" w:line="380"/>
        <w:rPr/>
      </w:pPr>
      <w:r>
        <w:rPr/>
      </w:r>
    </w:p>
    <w:p>
      <w:pPr>
        <w:pStyle w:val="F21"/>
        <w:tabs>
          <w:tab w:val="clear" w:pos="567"/>
        </w:tabs>
        <w:spacing w:lineRule="atLeast" w:line="380"/>
        <w:rPr/>
      </w:pPr>
      <w:r>
        <w:rPr/>
        <w:t>(</w:t>
      </w:r>
      <w:r>
        <w:rPr/>
        <w:t>沒有委員表示想發言</w:t>
      </w:r>
      <w:r>
        <w:rPr/>
        <w:t>)</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eastAsia="華康中黑體"/>
          <w:b/>
        </w:rPr>
        <w:t>全委會主席</w:t>
      </w:r>
      <w:r>
        <w:rPr>
          <w:rFonts w:cs="Times New Roman"/>
        </w:rPr>
        <w:t>：我現在向各位提出的待決議題是：以上讀出的條文納入本條例草案。現在付諸表決，贊成的請舉手。</w:t>
      </w:r>
    </w:p>
    <w:p>
      <w:pPr>
        <w:pStyle w:val="F21"/>
        <w:tabs>
          <w:tab w:val="clear" w:pos="567"/>
        </w:tabs>
        <w:spacing w:lineRule="atLeast" w:line="380"/>
        <w:rPr/>
      </w:pPr>
      <w:r>
        <w:rPr/>
      </w:r>
    </w:p>
    <w:p>
      <w:pPr>
        <w:pStyle w:val="F21"/>
        <w:tabs>
          <w:tab w:val="clear" w:pos="567"/>
        </w:tabs>
        <w:spacing w:lineRule="atLeast" w:line="380"/>
        <w:rPr/>
      </w:pPr>
      <w:r>
        <w:rPr/>
        <w:t>(</w:t>
      </w:r>
      <w:r>
        <w:rPr/>
        <w:t>委員舉手</w:t>
      </w:r>
      <w:r>
        <w:rPr/>
        <w:t>)</w:t>
      </w:r>
    </w:p>
    <w:p>
      <w:pPr>
        <w:pStyle w:val="F21"/>
        <w:tabs>
          <w:tab w:val="clear" w:pos="567"/>
        </w:tabs>
        <w:spacing w:lineRule="atLeast" w:line="380"/>
        <w:rPr/>
      </w:pPr>
      <w:r>
        <w:rPr/>
      </w:r>
    </w:p>
    <w:p>
      <w:pPr>
        <w:pStyle w:val="F21"/>
        <w:tabs>
          <w:tab w:val="clear" w:pos="567"/>
        </w:tabs>
        <w:spacing w:lineRule="atLeast" w:line="380"/>
        <w:rPr/>
      </w:pPr>
      <w:r>
        <w:rPr/>
      </w:r>
    </w:p>
    <w:p>
      <w:pPr>
        <w:pStyle w:val="F21"/>
        <w:tabs>
          <w:tab w:val="clear" w:pos="567"/>
        </w:tabs>
        <w:spacing w:lineRule="atLeast" w:line="380"/>
        <w:rPr/>
      </w:pPr>
      <w:r>
        <w:rPr>
          <w:rFonts w:eastAsia="華康中黑體"/>
          <w:b/>
        </w:rPr>
        <w:t>全委會主席</w:t>
      </w:r>
      <w:r>
        <w:rPr/>
        <w:t>：反對的請舉手。</w:t>
      </w:r>
    </w:p>
    <w:p>
      <w:pPr>
        <w:pStyle w:val="F21"/>
        <w:tabs>
          <w:tab w:val="clear" w:pos="567"/>
        </w:tabs>
        <w:spacing w:lineRule="atLeast" w:line="380"/>
        <w:rPr/>
      </w:pPr>
      <w:r>
        <w:rPr/>
      </w:r>
    </w:p>
    <w:p>
      <w:pPr>
        <w:pStyle w:val="F21"/>
        <w:tabs>
          <w:tab w:val="clear" w:pos="567"/>
        </w:tabs>
        <w:spacing w:lineRule="atLeast" w:line="380"/>
        <w:rPr/>
      </w:pPr>
      <w:r>
        <w:rPr/>
        <w:t>(</w:t>
      </w:r>
      <w:r>
        <w:rPr/>
        <w:t>沒有委員舉手</w:t>
      </w:r>
      <w:r>
        <w:rPr/>
        <w:t>)</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eastAsia="華康中黑體"/>
          <w:b/>
        </w:rPr>
        <w:t>全委會主席</w:t>
      </w:r>
      <w:r>
        <w:rPr>
          <w:rFonts w:cs="Times New Roman"/>
        </w:rPr>
        <w:t>：我認為議題獲得在席委員以過半數贊成。我宣布議案獲得通過。</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eastAsia="華康中黑體"/>
          <w:b/>
        </w:rPr>
        <w:t>秘書</w:t>
      </w:r>
      <w:r>
        <w:rPr>
          <w:rFonts w:cs="Times New Roman"/>
        </w:rPr>
        <w:t>：第</w:t>
      </w:r>
      <w:r>
        <w:rPr>
          <w:rFonts w:cs="Times New Roman"/>
        </w:rPr>
        <w:t>2</w:t>
      </w:r>
      <w:r>
        <w:rPr>
          <w:rFonts w:cs="Times New Roman"/>
        </w:rPr>
        <w:t>、</w:t>
      </w:r>
      <w:r>
        <w:rPr>
          <w:rFonts w:cs="Times New Roman"/>
        </w:rPr>
        <w:t>4</w:t>
      </w:r>
      <w:r>
        <w:rPr>
          <w:rFonts w:cs="Times New Roman"/>
        </w:rPr>
        <w:t>、</w:t>
      </w:r>
      <w:r>
        <w:rPr>
          <w:rFonts w:cs="Times New Roman"/>
        </w:rPr>
        <w:t>5</w:t>
      </w:r>
      <w:r>
        <w:rPr>
          <w:rFonts w:cs="Times New Roman"/>
        </w:rPr>
        <w:t>、</w:t>
      </w:r>
      <w:r>
        <w:rPr>
          <w:rFonts w:cs="Times New Roman"/>
        </w:rPr>
        <w:t>6</w:t>
      </w:r>
      <w:r>
        <w:rPr>
          <w:rFonts w:cs="Times New Roman"/>
        </w:rPr>
        <w:t>、</w:t>
      </w:r>
      <w:r>
        <w:rPr>
          <w:rFonts w:cs="Times New Roman"/>
        </w:rPr>
        <w:t>10</w:t>
      </w:r>
      <w:r>
        <w:rPr>
          <w:rFonts w:cs="Times New Roman"/>
        </w:rPr>
        <w:t>、</w:t>
      </w:r>
      <w:r>
        <w:rPr>
          <w:rFonts w:cs="Times New Roman"/>
        </w:rPr>
        <w:t>22</w:t>
      </w:r>
      <w:r>
        <w:rPr>
          <w:rFonts w:cs="Times New Roman"/>
        </w:rPr>
        <w:t>、</w:t>
      </w:r>
      <w:r>
        <w:rPr>
          <w:rFonts w:cs="Times New Roman"/>
        </w:rPr>
        <w:t>24</w:t>
      </w:r>
      <w:r>
        <w:rPr>
          <w:rFonts w:cs="Times New Roman"/>
        </w:rPr>
        <w:t>及</w:t>
      </w:r>
      <w:r>
        <w:rPr>
          <w:rFonts w:cs="Times New Roman"/>
        </w:rPr>
        <w:t>25</w:t>
      </w:r>
      <w:r>
        <w:rPr>
          <w:rFonts w:cs="Times New Roman"/>
        </w:rPr>
        <w:t>條。</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szCs w:val="27"/>
        </w:rPr>
      </w:pPr>
      <w:r>
        <w:rPr>
          <w:rFonts w:ascii="華康中黑體" w:hAnsi="華康中黑體" w:cs="華康中黑體" w:eastAsia="華康中黑體"/>
          <w:b/>
          <w:szCs w:val="27"/>
        </w:rPr>
        <w:t>環境局局長</w:t>
      </w:r>
      <w:r>
        <w:rPr>
          <w:szCs w:val="27"/>
        </w:rPr>
        <w:t>：主席，我動議修正《區域供冷服務條例草案》</w:t>
      </w:r>
      <w:r>
        <w:rPr>
          <w:szCs w:val="27"/>
        </w:rPr>
        <w:t>(“</w:t>
      </w:r>
      <w:r>
        <w:rPr>
          <w:szCs w:val="27"/>
        </w:rPr>
        <w:t>條例草案”</w:t>
      </w:r>
      <w:r>
        <w:rPr>
          <w:szCs w:val="27"/>
        </w:rPr>
        <w:t>)</w:t>
      </w:r>
      <w:r>
        <w:rPr>
          <w:szCs w:val="27"/>
        </w:rPr>
        <w:t>第</w:t>
      </w:r>
      <w:r>
        <w:rPr>
          <w:szCs w:val="27"/>
        </w:rPr>
        <w:t>2</w:t>
      </w:r>
      <w:r>
        <w:rPr>
          <w:szCs w:val="27"/>
        </w:rPr>
        <w:t>、</w:t>
      </w:r>
      <w:r>
        <w:rPr>
          <w:szCs w:val="27"/>
        </w:rPr>
        <w:t>4</w:t>
      </w:r>
      <w:r>
        <w:rPr>
          <w:szCs w:val="27"/>
        </w:rPr>
        <w:t>、</w:t>
      </w:r>
      <w:r>
        <w:rPr>
          <w:szCs w:val="27"/>
        </w:rPr>
        <w:t>5</w:t>
      </w:r>
      <w:r>
        <w:rPr>
          <w:szCs w:val="27"/>
        </w:rPr>
        <w:t>、</w:t>
      </w:r>
      <w:r>
        <w:rPr>
          <w:szCs w:val="27"/>
        </w:rPr>
        <w:t>6</w:t>
      </w:r>
      <w:r>
        <w:rPr>
          <w:szCs w:val="27"/>
        </w:rPr>
        <w:t>、</w:t>
      </w:r>
      <w:r>
        <w:rPr>
          <w:szCs w:val="27"/>
        </w:rPr>
        <w:t>10</w:t>
      </w:r>
      <w:r>
        <w:rPr>
          <w:szCs w:val="27"/>
        </w:rPr>
        <w:t>、</w:t>
      </w:r>
      <w:r>
        <w:rPr>
          <w:szCs w:val="27"/>
        </w:rPr>
        <w:t>22</w:t>
      </w:r>
      <w:r>
        <w:rPr>
          <w:szCs w:val="27"/>
        </w:rPr>
        <w:t>、</w:t>
      </w:r>
      <w:r>
        <w:rPr>
          <w:szCs w:val="27"/>
        </w:rPr>
        <w:t>24</w:t>
      </w:r>
      <w:r>
        <w:rPr>
          <w:szCs w:val="27"/>
        </w:rPr>
        <w:t>、</w:t>
      </w:r>
      <w:r>
        <w:rPr>
          <w:szCs w:val="27"/>
        </w:rPr>
        <w:t>25</w:t>
      </w:r>
      <w:r>
        <w:rPr>
          <w:szCs w:val="27"/>
        </w:rPr>
        <w:t>條，以及附表</w:t>
      </w:r>
      <w:r>
        <w:rPr>
          <w:szCs w:val="27"/>
        </w:rPr>
        <w:t>1</w:t>
      </w:r>
      <w:r>
        <w:rPr>
          <w:szCs w:val="27"/>
        </w:rPr>
        <w:t>和附表</w:t>
      </w:r>
      <w:r>
        <w:rPr>
          <w:szCs w:val="27"/>
        </w:rPr>
        <w:t>2</w:t>
      </w:r>
      <w:r>
        <w:rPr>
          <w:szCs w:val="27"/>
        </w:rPr>
        <w:t>第</w:t>
      </w:r>
      <w:r>
        <w:rPr>
          <w:szCs w:val="27"/>
        </w:rPr>
        <w:t>1</w:t>
      </w:r>
      <w:r>
        <w:rPr>
          <w:szCs w:val="27"/>
        </w:rPr>
        <w:t>及</w:t>
      </w:r>
      <w:r>
        <w:rPr>
          <w:szCs w:val="27"/>
        </w:rPr>
        <w:t>5</w:t>
      </w:r>
      <w:r>
        <w:rPr>
          <w:szCs w:val="27"/>
        </w:rPr>
        <w:t>條。修正案的內容，已載列於發送給各位議員的文件中。</w:t>
      </w:r>
      <w:r>
        <w:br w:type="page"/>
      </w:r>
    </w:p>
    <w:p>
      <w:pPr>
        <w:pStyle w:val="F21"/>
        <w:spacing w:lineRule="atLeast" w:line="370"/>
        <w:rPr>
          <w:szCs w:val="27"/>
        </w:rPr>
      </w:pPr>
      <w:r>
        <w:rPr>
          <w:szCs w:val="27"/>
        </w:rPr>
        <w:tab/>
      </w:r>
      <w:r>
        <w:rPr>
          <w:szCs w:val="27"/>
        </w:rPr>
        <w:t>在審議期間，法案委員會提供了很多寶貴的意見。我們因此提出數項修正案以回應委員的意見。有關的修正案主要是一些文本及技術性的修訂。以下我會簡單解釋這幾項修正案的內容。</w:t>
      </w:r>
    </w:p>
    <w:p>
      <w:pPr>
        <w:pStyle w:val="F21"/>
        <w:spacing w:lineRule="atLeast" w:line="370"/>
        <w:rPr>
          <w:szCs w:val="27"/>
        </w:rPr>
      </w:pPr>
      <w:r>
        <w:rPr>
          <w:szCs w:val="27"/>
        </w:rPr>
      </w:r>
    </w:p>
    <w:p>
      <w:pPr>
        <w:pStyle w:val="F21"/>
        <w:spacing w:lineRule="atLeast" w:line="370"/>
        <w:rPr>
          <w:szCs w:val="27"/>
        </w:rPr>
      </w:pPr>
      <w:r>
        <w:rPr>
          <w:szCs w:val="27"/>
        </w:rPr>
        <w:tab/>
      </w:r>
      <w:r>
        <w:rPr>
          <w:szCs w:val="27"/>
        </w:rPr>
        <w:t>就條例草案第</w:t>
      </w:r>
      <w:r>
        <w:rPr>
          <w:szCs w:val="27"/>
        </w:rPr>
        <w:t>2</w:t>
      </w:r>
      <w:r>
        <w:rPr>
          <w:szCs w:val="27"/>
        </w:rPr>
        <w:t>條，我們建議的修正案旨在加入“協定開始日期”的定義，以便在條例草案其他有關條文中作提述之用。我們亦建議修訂“獲准用戶”及“估計最高製冷量”的定義，使條例草案有關條文的中英文文本更清晰一致。</w:t>
      </w:r>
    </w:p>
    <w:p>
      <w:pPr>
        <w:pStyle w:val="F21"/>
        <w:spacing w:lineRule="atLeast" w:line="370"/>
        <w:rPr>
          <w:szCs w:val="27"/>
        </w:rPr>
      </w:pPr>
      <w:r>
        <w:rPr>
          <w:szCs w:val="27"/>
        </w:rPr>
      </w:r>
    </w:p>
    <w:p>
      <w:pPr>
        <w:pStyle w:val="F21"/>
        <w:spacing w:lineRule="atLeast" w:line="370"/>
        <w:rPr>
          <w:szCs w:val="27"/>
        </w:rPr>
      </w:pPr>
      <w:r>
        <w:rPr>
          <w:szCs w:val="27"/>
        </w:rPr>
        <w:tab/>
      </w:r>
      <w:r>
        <w:rPr>
          <w:szCs w:val="27"/>
        </w:rPr>
        <w:t>就條例草案第</w:t>
      </w:r>
      <w:r>
        <w:rPr>
          <w:szCs w:val="27"/>
        </w:rPr>
        <w:t>4</w:t>
      </w:r>
      <w:r>
        <w:rPr>
          <w:szCs w:val="27"/>
        </w:rPr>
        <w:t>、</w:t>
      </w:r>
      <w:r>
        <w:rPr>
          <w:szCs w:val="27"/>
        </w:rPr>
        <w:t>5</w:t>
      </w:r>
      <w:r>
        <w:rPr>
          <w:szCs w:val="27"/>
        </w:rPr>
        <w:t>、</w:t>
      </w:r>
      <w:r>
        <w:rPr>
          <w:szCs w:val="27"/>
        </w:rPr>
        <w:t>6</w:t>
      </w:r>
      <w:r>
        <w:rPr>
          <w:szCs w:val="27"/>
        </w:rPr>
        <w:t>及</w:t>
      </w:r>
      <w:r>
        <w:rPr>
          <w:szCs w:val="27"/>
        </w:rPr>
        <w:t>10</w:t>
      </w:r>
      <w:r>
        <w:rPr>
          <w:szCs w:val="27"/>
        </w:rPr>
        <w:t>條，我們建議的修正案旨在改善有關條文的表達方式，使條文的措辭一致，而且大部分是加入“協定開始日期”的定義後的相應修訂。因應就第</w:t>
      </w:r>
      <w:r>
        <w:rPr>
          <w:szCs w:val="27"/>
        </w:rPr>
        <w:t>10</w:t>
      </w:r>
      <w:r>
        <w:rPr>
          <w:szCs w:val="27"/>
        </w:rPr>
        <w:t>條的修正案，我們亦建議相應修訂附表</w:t>
      </w:r>
      <w:r>
        <w:rPr>
          <w:szCs w:val="27"/>
        </w:rPr>
        <w:t>1</w:t>
      </w:r>
      <w:r>
        <w:rPr>
          <w:szCs w:val="27"/>
        </w:rPr>
        <w:t>方括號內所列出提述該附表的條例草案條文號碼。</w:t>
      </w:r>
    </w:p>
    <w:p>
      <w:pPr>
        <w:pStyle w:val="F21"/>
        <w:spacing w:lineRule="atLeast" w:line="370"/>
        <w:rPr>
          <w:szCs w:val="27"/>
        </w:rPr>
      </w:pPr>
      <w:r>
        <w:rPr>
          <w:szCs w:val="27"/>
        </w:rPr>
      </w:r>
    </w:p>
    <w:p>
      <w:pPr>
        <w:pStyle w:val="F21"/>
        <w:spacing w:lineRule="atLeast" w:line="370"/>
        <w:rPr>
          <w:szCs w:val="27"/>
        </w:rPr>
      </w:pPr>
      <w:r>
        <w:rPr>
          <w:szCs w:val="27"/>
        </w:rPr>
        <w:tab/>
      </w:r>
      <w:r>
        <w:rPr>
          <w:szCs w:val="27"/>
        </w:rPr>
        <w:t>至於條例草案第</w:t>
      </w:r>
      <w:r>
        <w:rPr>
          <w:szCs w:val="27"/>
        </w:rPr>
        <w:t>22(1)(c)</w:t>
      </w:r>
      <w:r>
        <w:rPr>
          <w:szCs w:val="27"/>
        </w:rPr>
        <w:t>及</w:t>
      </w:r>
      <w:r>
        <w:rPr>
          <w:szCs w:val="27"/>
        </w:rPr>
        <w:t>(1)(d)</w:t>
      </w:r>
      <w:r>
        <w:rPr>
          <w:szCs w:val="27"/>
        </w:rPr>
        <w:t>條，因應法案委員會的意見，我們建議在條文加入</w:t>
      </w:r>
      <w:r>
        <w:rPr>
          <w:szCs w:val="27"/>
        </w:rPr>
        <w:t>(d)</w:t>
      </w:r>
      <w:r>
        <w:rPr>
          <w:szCs w:val="27"/>
        </w:rPr>
        <w:t>、</w:t>
      </w:r>
      <w:r>
        <w:rPr>
          <w:szCs w:val="27"/>
        </w:rPr>
        <w:t>(e)</w:t>
      </w:r>
      <w:r>
        <w:rPr>
          <w:szCs w:val="27"/>
        </w:rPr>
        <w:t>、</w:t>
      </w:r>
      <w:r>
        <w:rPr>
          <w:szCs w:val="27"/>
        </w:rPr>
        <w:t>(f)</w:t>
      </w:r>
      <w:r>
        <w:rPr>
          <w:szCs w:val="27"/>
        </w:rPr>
        <w:t>，將與條例草案第</w:t>
      </w:r>
      <w:r>
        <w:rPr>
          <w:szCs w:val="27"/>
        </w:rPr>
        <w:t>7(1)(d)</w:t>
      </w:r>
      <w:r>
        <w:rPr>
          <w:szCs w:val="27"/>
        </w:rPr>
        <w:t>、</w:t>
      </w:r>
      <w:r>
        <w:rPr>
          <w:szCs w:val="27"/>
        </w:rPr>
        <w:t>(e)</w:t>
      </w:r>
      <w:r>
        <w:rPr>
          <w:szCs w:val="27"/>
        </w:rPr>
        <w:t>或</w:t>
      </w:r>
      <w:r>
        <w:rPr>
          <w:szCs w:val="27"/>
        </w:rPr>
        <w:t>(f)</w:t>
      </w:r>
      <w:r>
        <w:rPr>
          <w:szCs w:val="27"/>
        </w:rPr>
        <w:t>有關的決定，訂為可向上訴委員會提出上訴的決定。</w:t>
      </w:r>
    </w:p>
    <w:p>
      <w:pPr>
        <w:pStyle w:val="F21"/>
        <w:spacing w:lineRule="atLeast" w:line="370"/>
        <w:rPr>
          <w:szCs w:val="27"/>
        </w:rPr>
      </w:pPr>
      <w:r>
        <w:rPr>
          <w:szCs w:val="27"/>
        </w:rPr>
      </w:r>
    </w:p>
    <w:p>
      <w:pPr>
        <w:pStyle w:val="F21"/>
        <w:spacing w:lineRule="atLeast" w:line="370"/>
        <w:rPr>
          <w:szCs w:val="27"/>
        </w:rPr>
      </w:pPr>
      <w:r>
        <w:rPr>
          <w:szCs w:val="27"/>
        </w:rPr>
        <w:tab/>
      </w:r>
      <w:r>
        <w:rPr>
          <w:szCs w:val="27"/>
        </w:rPr>
        <w:t>就條例草案第</w:t>
      </w:r>
      <w:r>
        <w:rPr>
          <w:szCs w:val="27"/>
        </w:rPr>
        <w:t>24(1)(b)</w:t>
      </w:r>
      <w:r>
        <w:rPr>
          <w:szCs w:val="27"/>
        </w:rPr>
        <w:t>、</w:t>
      </w:r>
      <w:r>
        <w:rPr>
          <w:szCs w:val="27"/>
        </w:rPr>
        <w:t>(1)(c)</w:t>
      </w:r>
      <w:r>
        <w:rPr>
          <w:szCs w:val="27"/>
        </w:rPr>
        <w:t>及</w:t>
      </w:r>
      <w:r>
        <w:rPr>
          <w:szCs w:val="27"/>
        </w:rPr>
        <w:t>(2)(b)</w:t>
      </w:r>
      <w:r>
        <w:rPr>
          <w:szCs w:val="27"/>
        </w:rPr>
        <w:t>條，我們建議修訂該條的英文文本，以更準確提述相關的專業團體。</w:t>
      </w:r>
    </w:p>
    <w:p>
      <w:pPr>
        <w:pStyle w:val="F21"/>
        <w:spacing w:lineRule="atLeast" w:line="370"/>
        <w:rPr>
          <w:szCs w:val="27"/>
        </w:rPr>
      </w:pPr>
      <w:r>
        <w:rPr>
          <w:szCs w:val="27"/>
        </w:rPr>
      </w:r>
    </w:p>
    <w:p>
      <w:pPr>
        <w:pStyle w:val="F21"/>
        <w:spacing w:lineRule="atLeast" w:line="370"/>
        <w:rPr>
          <w:szCs w:val="27"/>
        </w:rPr>
      </w:pPr>
      <w:r>
        <w:rPr>
          <w:szCs w:val="27"/>
        </w:rPr>
        <w:tab/>
      </w:r>
      <w:r>
        <w:rPr>
          <w:szCs w:val="27"/>
        </w:rPr>
        <w:t>就條例草案第</w:t>
      </w:r>
      <w:r>
        <w:rPr>
          <w:szCs w:val="27"/>
        </w:rPr>
        <w:t>25(2)(b)</w:t>
      </w:r>
      <w:r>
        <w:rPr>
          <w:szCs w:val="27"/>
        </w:rPr>
        <w:t>條，因應法案委員會的意見，我們提出修正案，以便更準確反映政府當局有關上訴委員會組成的原意，即從條例草案第</w:t>
      </w:r>
      <w:r>
        <w:rPr>
          <w:szCs w:val="27"/>
        </w:rPr>
        <w:t>24(1)(b)</w:t>
      </w:r>
      <w:r>
        <w:rPr>
          <w:szCs w:val="27"/>
        </w:rPr>
        <w:t>、</w:t>
      </w:r>
      <w:r>
        <w:rPr>
          <w:szCs w:val="27"/>
        </w:rPr>
        <w:t>(c)</w:t>
      </w:r>
      <w:r>
        <w:rPr>
          <w:szCs w:val="27"/>
        </w:rPr>
        <w:t>及</w:t>
      </w:r>
      <w:r>
        <w:rPr>
          <w:szCs w:val="27"/>
        </w:rPr>
        <w:t>(d)</w:t>
      </w:r>
      <w:r>
        <w:rPr>
          <w:szCs w:val="27"/>
        </w:rPr>
        <w:t>條所指明的</w:t>
      </w:r>
      <w:r>
        <w:rPr>
          <w:szCs w:val="27"/>
        </w:rPr>
        <w:t>3</w:t>
      </w:r>
      <w:r>
        <w:rPr>
          <w:szCs w:val="27"/>
        </w:rPr>
        <w:t>個類別，各委出最少</w:t>
      </w:r>
      <w:r>
        <w:rPr>
          <w:szCs w:val="27"/>
        </w:rPr>
        <w:t>1</w:t>
      </w:r>
      <w:r>
        <w:rPr>
          <w:szCs w:val="27"/>
        </w:rPr>
        <w:t>名成員，以組成上訴委員會中主席以外的</w:t>
      </w:r>
      <w:r>
        <w:rPr>
          <w:szCs w:val="27"/>
        </w:rPr>
        <w:t>4</w:t>
      </w:r>
      <w:r>
        <w:rPr>
          <w:szCs w:val="27"/>
        </w:rPr>
        <w:t>名成員。</w:t>
      </w:r>
    </w:p>
    <w:p>
      <w:pPr>
        <w:pStyle w:val="F21"/>
        <w:spacing w:lineRule="atLeast" w:line="370"/>
        <w:rPr>
          <w:szCs w:val="27"/>
        </w:rPr>
      </w:pPr>
      <w:r>
        <w:rPr>
          <w:szCs w:val="27"/>
        </w:rPr>
      </w:r>
    </w:p>
    <w:p>
      <w:pPr>
        <w:pStyle w:val="F21"/>
        <w:spacing w:lineRule="atLeast" w:line="370"/>
        <w:rPr>
          <w:szCs w:val="27"/>
        </w:rPr>
      </w:pPr>
      <w:r>
        <w:rPr>
          <w:szCs w:val="27"/>
        </w:rPr>
        <w:tab/>
      </w:r>
      <w:r>
        <w:rPr>
          <w:szCs w:val="27"/>
        </w:rPr>
        <w:t>最後，就附表</w:t>
      </w:r>
      <w:r>
        <w:rPr>
          <w:szCs w:val="27"/>
        </w:rPr>
        <w:t>2</w:t>
      </w:r>
      <w:r>
        <w:rPr>
          <w:szCs w:val="27"/>
        </w:rPr>
        <w:t>第</w:t>
      </w:r>
      <w:r>
        <w:rPr>
          <w:szCs w:val="27"/>
        </w:rPr>
        <w:t>1</w:t>
      </w:r>
      <w:r>
        <w:rPr>
          <w:szCs w:val="27"/>
        </w:rPr>
        <w:t>及</w:t>
      </w:r>
      <w:r>
        <w:rPr>
          <w:szCs w:val="27"/>
        </w:rPr>
        <w:t>5</w:t>
      </w:r>
      <w:r>
        <w:rPr>
          <w:szCs w:val="27"/>
        </w:rPr>
        <w:t>條，我們建議的修正案旨在改善有關條文的表達方式。</w:t>
      </w:r>
    </w:p>
    <w:p>
      <w:pPr>
        <w:pStyle w:val="F21"/>
        <w:spacing w:lineRule="atLeast" w:line="370"/>
        <w:rPr>
          <w:szCs w:val="27"/>
        </w:rPr>
      </w:pPr>
      <w:r>
        <w:rPr>
          <w:szCs w:val="27"/>
        </w:rPr>
      </w:r>
    </w:p>
    <w:p>
      <w:pPr>
        <w:pStyle w:val="F21"/>
        <w:spacing w:lineRule="atLeast" w:line="370"/>
        <w:rPr>
          <w:szCs w:val="27"/>
        </w:rPr>
      </w:pPr>
      <w:r>
        <w:rPr>
          <w:szCs w:val="27"/>
        </w:rPr>
        <w:tab/>
      </w:r>
      <w:r>
        <w:rPr>
          <w:szCs w:val="27"/>
        </w:rPr>
        <w:t>法案委員會已知悉並支持上述的修正案。因此，我懇請委員通過這些修正案。多謝主席。</w:t>
      </w:r>
    </w:p>
    <w:p>
      <w:pPr>
        <w:pStyle w:val="F21"/>
        <w:spacing w:lineRule="atLeast" w:line="370"/>
        <w:rPr>
          <w:rFonts w:cs="Times New Roman"/>
        </w:rPr>
      </w:pPr>
      <w:r>
        <w:rPr>
          <w:rFonts w:cs="Times New Roman"/>
        </w:rPr>
      </w:r>
    </w:p>
    <w:p>
      <w:pPr>
        <w:pStyle w:val="F21"/>
        <w:spacing w:lineRule="atLeast" w:line="370"/>
        <w:rPr>
          <w:rFonts w:cs="Times New Roman"/>
          <w:i/>
          <w:i/>
        </w:rPr>
      </w:pPr>
      <w:r>
        <w:rPr>
          <w:rFonts w:cs="Times New Roman"/>
          <w:i/>
        </w:rPr>
        <w:t>擬議修正案內容</w:t>
      </w:r>
    </w:p>
    <w:p>
      <w:pPr>
        <w:pStyle w:val="F21"/>
        <w:spacing w:lineRule="atLeast" w:line="370"/>
        <w:rPr>
          <w:rFonts w:cs="Times New Roman"/>
        </w:rPr>
      </w:pPr>
      <w:r>
        <w:rPr>
          <w:rFonts w:cs="Times New Roman"/>
        </w:rPr>
      </w:r>
    </w:p>
    <w:p>
      <w:pPr>
        <w:pStyle w:val="F21"/>
        <w:spacing w:lineRule="atLeast" w:line="370"/>
        <w:rPr>
          <w:rFonts w:eastAsia="華康中黑體" w:cs="Times New Roman"/>
          <w:b/>
          <w:b/>
          <w:color w:val="FF0000"/>
        </w:rPr>
      </w:pPr>
      <w:r>
        <w:rPr>
          <w:rFonts w:cs="Times New Roman" w:eastAsia="華康中黑體"/>
          <w:b/>
        </w:rPr>
        <w:t>第</w:t>
      </w:r>
      <w:r>
        <w:rPr>
          <w:rFonts w:eastAsia="華康中黑體" w:cs="Times New Roman"/>
          <w:b/>
        </w:rPr>
        <w:t>2</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spacing w:lineRule="atLeast" w:line="370"/>
        <w:rPr>
          <w:rFonts w:cs="Times New Roman"/>
        </w:rPr>
      </w:pPr>
      <w:r>
        <w:rPr>
          <w:rFonts w:cs="Times New Roman"/>
        </w:rPr>
      </w:r>
    </w:p>
    <w:p>
      <w:pPr>
        <w:pStyle w:val="F21"/>
        <w:spacing w:lineRule="atLeast" w:line="370"/>
        <w:rPr>
          <w:rFonts w:eastAsia="華康中黑體" w:cs="Times New Roman"/>
          <w:b/>
          <w:b/>
        </w:rPr>
      </w:pPr>
      <w:r>
        <w:rPr>
          <w:rFonts w:cs="Times New Roman" w:eastAsia="華康中黑體"/>
          <w:b/>
        </w:rPr>
        <w:t>第</w:t>
      </w:r>
      <w:r>
        <w:rPr>
          <w:rFonts w:eastAsia="華康中黑體" w:cs="Times New Roman"/>
          <w:b/>
        </w:rPr>
        <w:t>4</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spacing w:lineRule="exact" w:line="20"/>
        <w:rPr>
          <w:rFonts w:eastAsia="華康中黑體" w:cs="Times New Roman"/>
          <w:b/>
          <w:b/>
        </w:rPr>
      </w:pPr>
      <w:r>
        <w:rPr>
          <w:rFonts w:eastAsia="華康中黑體" w:cs="Times New Roman"/>
          <w:b/>
        </w:rPr>
      </w:r>
    </w:p>
    <w:p>
      <w:pPr>
        <w:pStyle w:val="F21"/>
        <w:spacing w:lineRule="exact" w:line="20"/>
        <w:rPr/>
      </w:pPr>
      <w:r>
        <w:rPr/>
      </w:r>
      <w:r>
        <w:br w:type="page"/>
      </w:r>
    </w:p>
    <w:p>
      <w:pPr>
        <w:pStyle w:val="F21"/>
        <w:spacing w:lineRule="atLeast" w:line="330"/>
        <w:rPr>
          <w:rFonts w:eastAsia="華康中黑體" w:cs="Times New Roman"/>
          <w:b/>
          <w:b/>
          <w:color w:val="FF0000"/>
        </w:rPr>
      </w:pPr>
      <w:r>
        <w:rPr>
          <w:rFonts w:cs="Times New Roman" w:eastAsia="華康中黑體"/>
          <w:b/>
        </w:rPr>
        <w:t>第</w:t>
      </w:r>
      <w:r>
        <w:rPr>
          <w:rFonts w:eastAsia="華康中黑體" w:cs="Times New Roman"/>
          <w:b/>
        </w:rPr>
        <w:t>5</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spacing w:lineRule="atLeast" w:line="330"/>
        <w:rPr>
          <w:rFonts w:cs="Times New Roman"/>
        </w:rPr>
      </w:pPr>
      <w:r>
        <w:rPr>
          <w:rFonts w:cs="Times New Roman"/>
        </w:rPr>
      </w:r>
    </w:p>
    <w:p>
      <w:pPr>
        <w:pStyle w:val="F21"/>
        <w:spacing w:lineRule="atLeast" w:line="330"/>
        <w:rPr>
          <w:rFonts w:eastAsia="華康中黑體" w:cs="Times New Roman"/>
          <w:b/>
          <w:b/>
          <w:color w:val="FF0000"/>
        </w:rPr>
      </w:pPr>
      <w:r>
        <w:rPr>
          <w:rFonts w:cs="Times New Roman" w:eastAsia="華康中黑體"/>
          <w:b/>
        </w:rPr>
        <w:t>第</w:t>
      </w:r>
      <w:r>
        <w:rPr>
          <w:rFonts w:eastAsia="華康中黑體" w:cs="Times New Roman"/>
          <w:b/>
        </w:rPr>
        <w:t>6</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spacing w:lineRule="atLeast" w:line="330"/>
        <w:rPr>
          <w:rFonts w:cs="Times New Roman"/>
        </w:rPr>
      </w:pPr>
      <w:r>
        <w:rPr>
          <w:rFonts w:cs="Times New Roman"/>
        </w:rPr>
      </w:r>
    </w:p>
    <w:p>
      <w:pPr>
        <w:pStyle w:val="F21"/>
        <w:spacing w:lineRule="atLeast" w:line="330"/>
        <w:rPr>
          <w:rFonts w:eastAsia="華康中黑體" w:cs="Times New Roman"/>
          <w:b/>
          <w:b/>
          <w:color w:val="FF0000"/>
        </w:rPr>
      </w:pPr>
      <w:r>
        <w:rPr>
          <w:rFonts w:cs="Times New Roman" w:eastAsia="華康中黑體"/>
          <w:b/>
        </w:rPr>
        <w:t>第</w:t>
      </w:r>
      <w:r>
        <w:rPr>
          <w:rFonts w:eastAsia="華康中黑體" w:cs="Times New Roman"/>
          <w:b/>
        </w:rPr>
        <w:t>10</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spacing w:lineRule="atLeast" w:line="330"/>
        <w:rPr>
          <w:rFonts w:cs="Times New Roman"/>
        </w:rPr>
      </w:pPr>
      <w:r>
        <w:rPr>
          <w:rFonts w:cs="Times New Roman"/>
        </w:rPr>
      </w:r>
    </w:p>
    <w:p>
      <w:pPr>
        <w:pStyle w:val="F21"/>
        <w:spacing w:lineRule="atLeast" w:line="330"/>
        <w:rPr>
          <w:rFonts w:eastAsia="華康中黑體" w:cs="Times New Roman"/>
          <w:b/>
          <w:b/>
          <w:color w:val="FF0000"/>
        </w:rPr>
      </w:pPr>
      <w:r>
        <w:rPr>
          <w:rFonts w:cs="Times New Roman" w:eastAsia="華康中黑體"/>
          <w:b/>
        </w:rPr>
        <w:t>第</w:t>
      </w:r>
      <w:r>
        <w:rPr>
          <w:rFonts w:eastAsia="華康中黑體" w:cs="Times New Roman"/>
          <w:b/>
        </w:rPr>
        <w:t>22</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spacing w:lineRule="atLeast" w:line="330"/>
        <w:rPr>
          <w:rFonts w:cs="Times New Roman"/>
        </w:rPr>
      </w:pPr>
      <w:r>
        <w:rPr>
          <w:rFonts w:cs="Times New Roman"/>
        </w:rPr>
      </w:r>
    </w:p>
    <w:p>
      <w:pPr>
        <w:pStyle w:val="F21"/>
        <w:spacing w:lineRule="atLeast" w:line="330"/>
        <w:rPr>
          <w:rFonts w:eastAsia="華康中黑體" w:cs="Times New Roman"/>
          <w:b/>
          <w:b/>
          <w:color w:val="FF0000"/>
        </w:rPr>
      </w:pPr>
      <w:r>
        <w:rPr>
          <w:rFonts w:cs="Times New Roman" w:eastAsia="華康中黑體"/>
          <w:b/>
        </w:rPr>
        <w:t>第</w:t>
      </w:r>
      <w:r>
        <w:rPr>
          <w:rFonts w:eastAsia="華康中黑體" w:cs="Times New Roman"/>
          <w:b/>
        </w:rPr>
        <w:t>24</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spacing w:lineRule="atLeast" w:line="330"/>
        <w:rPr>
          <w:rFonts w:cs="Times New Roman"/>
        </w:rPr>
      </w:pPr>
      <w:r>
        <w:rPr>
          <w:rFonts w:cs="Times New Roman"/>
        </w:rPr>
      </w:r>
    </w:p>
    <w:p>
      <w:pPr>
        <w:pStyle w:val="F21"/>
        <w:spacing w:lineRule="atLeast" w:line="330"/>
        <w:rPr>
          <w:rFonts w:eastAsia="華康中黑體" w:cs="Times New Roman"/>
          <w:b/>
          <w:b/>
          <w:color w:val="FF0000"/>
        </w:rPr>
      </w:pPr>
      <w:r>
        <w:rPr>
          <w:rFonts w:cs="Times New Roman" w:eastAsia="華康中黑體"/>
          <w:b/>
        </w:rPr>
        <w:t>第</w:t>
      </w:r>
      <w:r>
        <w:rPr>
          <w:rFonts w:eastAsia="華康中黑體" w:cs="Times New Roman"/>
          <w:b/>
        </w:rPr>
        <w:t>25</w:t>
      </w:r>
      <w:r>
        <w:rPr>
          <w:rFonts w:cs="Times New Roman" w:eastAsia="華康中黑體"/>
          <w:b/>
        </w:rPr>
        <w:t>條</w:t>
      </w:r>
      <w:r>
        <w:rPr>
          <w:rFonts w:eastAsia="華康中黑體" w:cs="Times New Roman"/>
          <w:b/>
        </w:rPr>
        <w:t>(</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eastAsia="華康中黑體"/>
          <w:b/>
        </w:rPr>
        <w:t>全委會主席</w:t>
      </w:r>
      <w:r>
        <w:rPr>
          <w:rFonts w:cs="Times New Roman"/>
        </w:rPr>
        <w:t>：是否有委員想發言？</w:t>
      </w:r>
    </w:p>
    <w:p>
      <w:pPr>
        <w:pStyle w:val="F21"/>
        <w:tabs>
          <w:tab w:val="clear" w:pos="567"/>
        </w:tabs>
        <w:spacing w:lineRule="atLeast" w:line="330"/>
        <w:rPr/>
      </w:pPr>
      <w:r>
        <w:rPr/>
      </w:r>
    </w:p>
    <w:p>
      <w:pPr>
        <w:pStyle w:val="F21"/>
        <w:tabs>
          <w:tab w:val="clear" w:pos="567"/>
        </w:tabs>
        <w:spacing w:lineRule="atLeast" w:line="330"/>
        <w:rPr/>
      </w:pPr>
      <w:r>
        <w:rPr/>
        <w:t>(</w:t>
      </w:r>
      <w:r>
        <w:rPr/>
        <w:t>沒有委員表示想發言</w:t>
      </w:r>
      <w:r>
        <w:rPr/>
        <w:t>)</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eastAsia="華康中黑體"/>
          <w:b/>
        </w:rPr>
        <w:t>全委會主席</w:t>
      </w:r>
      <w:r>
        <w:rPr>
          <w:rFonts w:cs="Times New Roman"/>
        </w:rPr>
        <w:t>：我現在向各位提出的待決議題是：環境局局長動議的修正案，予以通過。現在付諸表決，贊成的請舉手。</w:t>
      </w:r>
    </w:p>
    <w:p>
      <w:pPr>
        <w:pStyle w:val="F21"/>
        <w:tabs>
          <w:tab w:val="clear" w:pos="567"/>
        </w:tabs>
        <w:spacing w:lineRule="atLeast" w:line="330"/>
        <w:rPr/>
      </w:pPr>
      <w:r>
        <w:rPr/>
      </w:r>
    </w:p>
    <w:p>
      <w:pPr>
        <w:pStyle w:val="F21"/>
        <w:tabs>
          <w:tab w:val="clear" w:pos="567"/>
        </w:tabs>
        <w:spacing w:lineRule="atLeast" w:line="330"/>
        <w:rPr/>
      </w:pPr>
      <w:r>
        <w:rPr/>
        <w:t>(</w:t>
      </w:r>
      <w:r>
        <w:rPr/>
        <w:t>委員舉手</w:t>
      </w:r>
      <w:r>
        <w:rPr/>
        <w:t>)</w:t>
      </w:r>
    </w:p>
    <w:p>
      <w:pPr>
        <w:pStyle w:val="F21"/>
        <w:tabs>
          <w:tab w:val="clear" w:pos="567"/>
        </w:tabs>
        <w:spacing w:lineRule="atLeast" w:line="330"/>
        <w:rPr/>
      </w:pPr>
      <w:r>
        <w:rPr/>
      </w:r>
    </w:p>
    <w:p>
      <w:pPr>
        <w:pStyle w:val="F21"/>
        <w:tabs>
          <w:tab w:val="clear" w:pos="567"/>
        </w:tabs>
        <w:spacing w:lineRule="atLeast" w:line="330"/>
        <w:rPr/>
      </w:pPr>
      <w:r>
        <w:rPr/>
      </w:r>
    </w:p>
    <w:p>
      <w:pPr>
        <w:pStyle w:val="F21"/>
        <w:tabs>
          <w:tab w:val="clear" w:pos="567"/>
        </w:tabs>
        <w:spacing w:lineRule="atLeast" w:line="330"/>
        <w:rPr/>
      </w:pPr>
      <w:r>
        <w:rPr>
          <w:rFonts w:eastAsia="華康中黑體"/>
          <w:b/>
        </w:rPr>
        <w:t>全委會主席</w:t>
      </w:r>
      <w:r>
        <w:rPr/>
        <w:t>：反對的請舉手。</w:t>
      </w:r>
    </w:p>
    <w:p>
      <w:pPr>
        <w:pStyle w:val="F21"/>
        <w:tabs>
          <w:tab w:val="clear" w:pos="567"/>
        </w:tabs>
        <w:spacing w:lineRule="atLeast" w:line="330"/>
        <w:rPr/>
      </w:pPr>
      <w:r>
        <w:rPr/>
      </w:r>
    </w:p>
    <w:p>
      <w:pPr>
        <w:pStyle w:val="F21"/>
        <w:tabs>
          <w:tab w:val="clear" w:pos="567"/>
        </w:tabs>
        <w:spacing w:lineRule="atLeast" w:line="330"/>
        <w:rPr/>
      </w:pPr>
      <w:r>
        <w:rPr/>
        <w:t>(</w:t>
      </w:r>
      <w:r>
        <w:rPr/>
        <w:t>沒有委員舉手</w:t>
      </w:r>
      <w:r>
        <w:rPr/>
        <w:t>)</w:t>
      </w:r>
    </w:p>
    <w:p>
      <w:pPr>
        <w:pStyle w:val="F21"/>
        <w:tabs>
          <w:tab w:val="clear" w:pos="567"/>
        </w:tabs>
        <w:spacing w:lineRule="atLeast" w:line="330"/>
        <w:rPr/>
      </w:pPr>
      <w:r>
        <w:rPr/>
      </w:r>
    </w:p>
    <w:p>
      <w:pPr>
        <w:pStyle w:val="F21"/>
        <w:tabs>
          <w:tab w:val="clear" w:pos="567"/>
        </w:tabs>
        <w:spacing w:lineRule="atLeast" w:line="330"/>
        <w:rPr/>
      </w:pPr>
      <w:r>
        <w:rPr/>
      </w:r>
    </w:p>
    <w:p>
      <w:pPr>
        <w:pStyle w:val="F21"/>
        <w:spacing w:lineRule="atLeast" w:line="330"/>
        <w:rPr/>
      </w:pPr>
      <w:r>
        <w:rPr>
          <w:rFonts w:eastAsia="華康中黑體"/>
          <w:b/>
        </w:rPr>
        <w:t>全委會主席</w:t>
      </w:r>
      <w:r>
        <w:rPr/>
        <w:t>：我認為議題獲得在席委員以過半數贊成。我宣布修正案獲得通過。</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eastAsia="華康中黑體"/>
          <w:b/>
        </w:rPr>
        <w:t>秘書</w:t>
      </w:r>
      <w:r>
        <w:rPr>
          <w:rFonts w:cs="Times New Roman"/>
        </w:rPr>
        <w:t>：經修正的第</w:t>
      </w:r>
      <w:r>
        <w:rPr>
          <w:rFonts w:cs="Times New Roman"/>
        </w:rPr>
        <w:t>2</w:t>
      </w:r>
      <w:r>
        <w:rPr>
          <w:rFonts w:cs="Times New Roman"/>
        </w:rPr>
        <w:t>、</w:t>
      </w:r>
      <w:r>
        <w:rPr>
          <w:rFonts w:cs="Times New Roman"/>
        </w:rPr>
        <w:t>4</w:t>
      </w:r>
      <w:r>
        <w:rPr>
          <w:rFonts w:cs="Times New Roman"/>
        </w:rPr>
        <w:t>、</w:t>
      </w:r>
      <w:r>
        <w:rPr>
          <w:rFonts w:cs="Times New Roman"/>
        </w:rPr>
        <w:t>5</w:t>
      </w:r>
      <w:r>
        <w:rPr>
          <w:rFonts w:cs="Times New Roman"/>
        </w:rPr>
        <w:t>、</w:t>
      </w:r>
      <w:r>
        <w:rPr>
          <w:rFonts w:cs="Times New Roman"/>
        </w:rPr>
        <w:t>6</w:t>
      </w:r>
      <w:r>
        <w:rPr>
          <w:rFonts w:cs="Times New Roman"/>
        </w:rPr>
        <w:t>、</w:t>
      </w:r>
      <w:r>
        <w:rPr>
          <w:rFonts w:cs="Times New Roman"/>
        </w:rPr>
        <w:t>10</w:t>
      </w:r>
      <w:r>
        <w:rPr>
          <w:rFonts w:cs="Times New Roman"/>
        </w:rPr>
        <w:t>、</w:t>
      </w:r>
      <w:r>
        <w:rPr>
          <w:rFonts w:cs="Times New Roman"/>
        </w:rPr>
        <w:t>22</w:t>
      </w:r>
      <w:r>
        <w:rPr>
          <w:rFonts w:cs="Times New Roman"/>
        </w:rPr>
        <w:t>、</w:t>
      </w:r>
      <w:r>
        <w:rPr>
          <w:rFonts w:cs="Times New Roman"/>
        </w:rPr>
        <w:t>24</w:t>
      </w:r>
      <w:r>
        <w:rPr>
          <w:rFonts w:cs="Times New Roman"/>
        </w:rPr>
        <w:t>及</w:t>
      </w:r>
      <w:r>
        <w:rPr>
          <w:rFonts w:cs="Times New Roman"/>
        </w:rPr>
        <w:t>25</w:t>
      </w:r>
      <w:r>
        <w:rPr>
          <w:rFonts w:cs="Times New Roman"/>
        </w:rPr>
        <w:t>條。</w:t>
      </w:r>
    </w:p>
    <w:p>
      <w:pPr>
        <w:pStyle w:val="F21"/>
        <w:tabs>
          <w:tab w:val="clear" w:pos="567"/>
        </w:tabs>
        <w:spacing w:lineRule="atLeast" w:line="330"/>
        <w:rPr/>
      </w:pPr>
      <w:r>
        <w:rPr/>
      </w:r>
    </w:p>
    <w:p>
      <w:pPr>
        <w:pStyle w:val="F21"/>
        <w:tabs>
          <w:tab w:val="clear" w:pos="567"/>
        </w:tabs>
        <w:spacing w:lineRule="atLeast" w:line="330"/>
        <w:rPr/>
      </w:pPr>
      <w:r>
        <w:rPr/>
      </w:r>
    </w:p>
    <w:p>
      <w:pPr>
        <w:pStyle w:val="F21"/>
        <w:spacing w:lineRule="atLeast" w:line="330"/>
        <w:rPr/>
      </w:pPr>
      <w:r>
        <w:rPr>
          <w:rFonts w:eastAsia="華康中黑體"/>
          <w:b/>
        </w:rPr>
        <w:t>全委會主席</w:t>
      </w:r>
      <w:r>
        <w:rPr/>
        <w:t>：我現在向各位提出的待決議題是：以上讀出的條文納入本條例草案。現在付諸表決，贊成的請舉手。</w:t>
      </w:r>
    </w:p>
    <w:p>
      <w:pPr>
        <w:pStyle w:val="F21"/>
        <w:tabs>
          <w:tab w:val="clear" w:pos="567"/>
        </w:tabs>
        <w:spacing w:lineRule="atLeast" w:line="330"/>
        <w:rPr/>
      </w:pPr>
      <w:r>
        <w:rPr/>
      </w:r>
    </w:p>
    <w:p>
      <w:pPr>
        <w:pStyle w:val="F21"/>
        <w:tabs>
          <w:tab w:val="clear" w:pos="567"/>
        </w:tabs>
        <w:spacing w:lineRule="atLeast" w:line="330"/>
        <w:rPr/>
      </w:pPr>
      <w:r>
        <w:rPr/>
        <w:t>(</w:t>
      </w:r>
      <w:r>
        <w:rPr/>
        <w:t>委員舉手</w:t>
      </w:r>
      <w:r>
        <w:rPr/>
        <w:t>)</w:t>
      </w:r>
    </w:p>
    <w:p>
      <w:pPr>
        <w:pStyle w:val="F21"/>
        <w:tabs>
          <w:tab w:val="clear" w:pos="567"/>
        </w:tabs>
        <w:spacing w:lineRule="exact" w:line="20"/>
        <w:rPr/>
      </w:pPr>
      <w:r>
        <w:rPr/>
      </w:r>
    </w:p>
    <w:p>
      <w:pPr>
        <w:pStyle w:val="F21"/>
        <w:tabs>
          <w:tab w:val="clear" w:pos="567"/>
        </w:tabs>
        <w:spacing w:lineRule="exact" w:line="20"/>
        <w:rPr/>
      </w:pPr>
      <w:r>
        <w:rPr/>
      </w:r>
      <w:r>
        <w:br w:type="page"/>
      </w:r>
    </w:p>
    <w:p>
      <w:pPr>
        <w:pStyle w:val="F21"/>
        <w:tabs>
          <w:tab w:val="clear" w:pos="567"/>
        </w:tabs>
        <w:spacing w:lineRule="atLeast" w:line="340"/>
        <w:rPr/>
      </w:pPr>
      <w:r>
        <w:rPr>
          <w:rFonts w:eastAsia="華康中黑體"/>
          <w:b/>
        </w:rPr>
        <w:t>全委會主席</w:t>
      </w:r>
      <w:r>
        <w:rPr/>
        <w:t>：反對的請舉手。</w:t>
      </w:r>
    </w:p>
    <w:p>
      <w:pPr>
        <w:pStyle w:val="F21"/>
        <w:tabs>
          <w:tab w:val="clear" w:pos="567"/>
        </w:tabs>
        <w:spacing w:lineRule="atLeast" w:line="340"/>
        <w:rPr/>
      </w:pPr>
      <w:r>
        <w:rPr/>
      </w:r>
    </w:p>
    <w:p>
      <w:pPr>
        <w:pStyle w:val="F21"/>
        <w:tabs>
          <w:tab w:val="clear" w:pos="567"/>
        </w:tabs>
        <w:spacing w:lineRule="atLeast" w:line="340"/>
        <w:rPr/>
      </w:pPr>
      <w:r>
        <w:rPr/>
        <w:t>(</w:t>
      </w:r>
      <w:r>
        <w:rPr/>
        <w:t>沒有委員舉手</w:t>
      </w:r>
      <w:r>
        <w:rPr/>
        <w:t>)</w:t>
      </w:r>
    </w:p>
    <w:p>
      <w:pPr>
        <w:pStyle w:val="F21"/>
        <w:tabs>
          <w:tab w:val="clear" w:pos="567"/>
        </w:tabs>
        <w:spacing w:lineRule="atLeast" w:line="340"/>
        <w:rPr/>
      </w:pPr>
      <w:r>
        <w:rPr/>
      </w:r>
    </w:p>
    <w:p>
      <w:pPr>
        <w:pStyle w:val="F21"/>
        <w:tabs>
          <w:tab w:val="clear" w:pos="567"/>
        </w:tabs>
        <w:spacing w:lineRule="atLeast" w:line="340"/>
        <w:rPr/>
      </w:pPr>
      <w:r>
        <w:rPr/>
      </w:r>
    </w:p>
    <w:p>
      <w:pPr>
        <w:pStyle w:val="F21"/>
        <w:spacing w:lineRule="atLeast" w:line="340"/>
        <w:rPr/>
      </w:pPr>
      <w:r>
        <w:rPr>
          <w:rFonts w:eastAsia="華康中黑體"/>
          <w:b/>
        </w:rPr>
        <w:t>全委會主席</w:t>
      </w:r>
      <w:r>
        <w:rPr/>
        <w:t>：我認為議題獲得在席委員以過半數贊成。我宣布議案獲得通過。</w:t>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eastAsia="華康中黑體"/>
          <w:b/>
        </w:rPr>
        <w:t>秘書</w:t>
      </w:r>
      <w:r>
        <w:rPr>
          <w:rFonts w:cs="Times New Roman"/>
        </w:rPr>
        <w:t>：附表</w:t>
      </w:r>
      <w:r>
        <w:rPr>
          <w:rFonts w:cs="Times New Roman"/>
        </w:rPr>
        <w:t>1</w:t>
      </w:r>
      <w:r>
        <w:rPr>
          <w:rFonts w:cs="Times New Roman"/>
        </w:rPr>
        <w:t>及</w:t>
      </w:r>
      <w:r>
        <w:rPr>
          <w:rFonts w:cs="Times New Roman"/>
        </w:rPr>
        <w:t>2</w:t>
      </w:r>
      <w:r>
        <w:rPr>
          <w:rFonts w:cs="Times New Roman"/>
        </w:rPr>
        <w:t>。</w:t>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rPr>
      </w:r>
    </w:p>
    <w:p>
      <w:pPr>
        <w:pStyle w:val="F21"/>
        <w:spacing w:lineRule="atLeast" w:line="340"/>
        <w:rPr>
          <w:szCs w:val="27"/>
        </w:rPr>
      </w:pPr>
      <w:r>
        <w:rPr>
          <w:rFonts w:ascii="華康中黑體" w:hAnsi="華康中黑體" w:cs="華康中黑體" w:eastAsia="華康中黑體"/>
          <w:b/>
          <w:szCs w:val="27"/>
        </w:rPr>
        <w:t>環境局局長</w:t>
      </w:r>
      <w:r>
        <w:rPr>
          <w:szCs w:val="27"/>
        </w:rPr>
        <w:t>：《區域供冷服務條例草案》</w:t>
      </w:r>
      <w:r>
        <w:rPr>
          <w:szCs w:val="27"/>
        </w:rPr>
        <w:t>......</w:t>
      </w:r>
    </w:p>
    <w:p>
      <w:pPr>
        <w:pStyle w:val="F21"/>
        <w:spacing w:lineRule="atLeast" w:line="340"/>
        <w:rPr>
          <w:szCs w:val="27"/>
        </w:rPr>
      </w:pPr>
      <w:r>
        <w:rPr>
          <w:szCs w:val="27"/>
        </w:rPr>
      </w:r>
    </w:p>
    <w:p>
      <w:pPr>
        <w:pStyle w:val="F21"/>
        <w:spacing w:lineRule="atLeast" w:line="340"/>
        <w:rPr>
          <w:szCs w:val="27"/>
        </w:rPr>
      </w:pPr>
      <w:r>
        <w:rPr>
          <w:szCs w:val="27"/>
        </w:rPr>
      </w:r>
    </w:p>
    <w:p>
      <w:pPr>
        <w:pStyle w:val="F21"/>
        <w:spacing w:lineRule="atLeast" w:line="340"/>
        <w:rPr>
          <w:szCs w:val="27"/>
        </w:rPr>
      </w:pPr>
      <w:r>
        <w:rPr>
          <w:rFonts w:eastAsia="華康中黑體"/>
          <w:b/>
        </w:rPr>
        <w:t>全委會主席</w:t>
      </w:r>
      <w:r>
        <w:rPr>
          <w:szCs w:val="27"/>
        </w:rPr>
        <w:t>：環境局局長，請動議修正附表</w:t>
      </w:r>
      <w:r>
        <w:rPr>
          <w:szCs w:val="27"/>
        </w:rPr>
        <w:t>1</w:t>
      </w:r>
      <w:r>
        <w:rPr>
          <w:szCs w:val="27"/>
        </w:rPr>
        <w:t>及</w:t>
      </w:r>
      <w:r>
        <w:rPr>
          <w:szCs w:val="27"/>
        </w:rPr>
        <w:t>2</w:t>
      </w:r>
      <w:r>
        <w:rPr>
          <w:szCs w:val="27"/>
        </w:rPr>
        <w:t>。</w:t>
      </w:r>
    </w:p>
    <w:p>
      <w:pPr>
        <w:pStyle w:val="F21"/>
        <w:spacing w:lineRule="atLeast" w:line="340"/>
        <w:rPr>
          <w:szCs w:val="27"/>
        </w:rPr>
      </w:pPr>
      <w:r>
        <w:rPr>
          <w:szCs w:val="27"/>
        </w:rPr>
      </w:r>
    </w:p>
    <w:p>
      <w:pPr>
        <w:pStyle w:val="F21"/>
        <w:spacing w:lineRule="atLeast" w:line="340"/>
        <w:rPr>
          <w:szCs w:val="27"/>
        </w:rPr>
      </w:pPr>
      <w:r>
        <w:rPr>
          <w:szCs w:val="27"/>
        </w:rPr>
      </w:r>
    </w:p>
    <w:p>
      <w:pPr>
        <w:pStyle w:val="F21"/>
        <w:spacing w:lineRule="atLeast" w:line="340"/>
        <w:rPr>
          <w:szCs w:val="27"/>
        </w:rPr>
      </w:pPr>
      <w:r>
        <w:rPr>
          <w:rFonts w:eastAsia="華康中黑體"/>
          <w:b/>
          <w:kern w:val="2"/>
          <w:szCs w:val="27"/>
        </w:rPr>
        <w:t>環境局局長</w:t>
      </w:r>
      <w:r>
        <w:rPr>
          <w:szCs w:val="27"/>
        </w:rPr>
        <w:t>：主席，我動議修正附表</w:t>
      </w:r>
      <w:r>
        <w:rPr>
          <w:szCs w:val="27"/>
        </w:rPr>
        <w:t>1</w:t>
      </w:r>
      <w:r>
        <w:rPr>
          <w:szCs w:val="27"/>
        </w:rPr>
        <w:t>及</w:t>
      </w:r>
      <w:r>
        <w:rPr>
          <w:szCs w:val="27"/>
        </w:rPr>
        <w:t>2</w:t>
      </w:r>
      <w:r>
        <w:rPr>
          <w:szCs w:val="27"/>
        </w:rPr>
        <w:t>。就附表</w:t>
      </w:r>
      <w:r>
        <w:rPr>
          <w:szCs w:val="27"/>
        </w:rPr>
        <w:t>2</w:t>
      </w:r>
      <w:r>
        <w:rPr>
          <w:szCs w:val="27"/>
        </w:rPr>
        <w:t>第</w:t>
      </w:r>
      <w:r>
        <w:rPr>
          <w:szCs w:val="27"/>
        </w:rPr>
        <w:t>1</w:t>
      </w:r>
      <w:r>
        <w:rPr>
          <w:szCs w:val="27"/>
        </w:rPr>
        <w:t>及</w:t>
      </w:r>
      <w:r>
        <w:rPr>
          <w:szCs w:val="27"/>
        </w:rPr>
        <w:t>5</w:t>
      </w:r>
      <w:r>
        <w:rPr>
          <w:szCs w:val="27"/>
        </w:rPr>
        <w:t>條，我們建議的修正案旨在改善有關條文的表達方式。</w:t>
      </w:r>
    </w:p>
    <w:p>
      <w:pPr>
        <w:pStyle w:val="F21"/>
        <w:spacing w:lineRule="atLeast" w:line="340"/>
        <w:rPr>
          <w:szCs w:val="27"/>
        </w:rPr>
      </w:pPr>
      <w:r>
        <w:rPr>
          <w:szCs w:val="27"/>
        </w:rPr>
      </w:r>
    </w:p>
    <w:p>
      <w:pPr>
        <w:pStyle w:val="F21"/>
        <w:spacing w:lineRule="atLeast" w:line="340"/>
        <w:rPr>
          <w:szCs w:val="27"/>
        </w:rPr>
      </w:pPr>
      <w:r>
        <w:rPr>
          <w:szCs w:val="27"/>
        </w:rPr>
        <w:tab/>
      </w:r>
      <w:r>
        <w:rPr>
          <w:szCs w:val="27"/>
        </w:rPr>
        <w:t>我懇請委員通過這些修正案。多謝主席。</w:t>
      </w:r>
    </w:p>
    <w:p>
      <w:pPr>
        <w:pStyle w:val="F21"/>
        <w:spacing w:lineRule="atLeast" w:line="340"/>
        <w:rPr>
          <w:rFonts w:cs="Times New Roman"/>
        </w:rPr>
      </w:pPr>
      <w:r>
        <w:rPr>
          <w:rFonts w:cs="Times New Roman"/>
        </w:rPr>
      </w:r>
    </w:p>
    <w:p>
      <w:pPr>
        <w:pStyle w:val="F21"/>
        <w:spacing w:lineRule="atLeast" w:line="340"/>
        <w:rPr>
          <w:rFonts w:cs="Times New Roman"/>
          <w:i/>
          <w:i/>
        </w:rPr>
      </w:pPr>
      <w:r>
        <w:rPr>
          <w:rFonts w:cs="Times New Roman"/>
          <w:i/>
        </w:rPr>
        <w:t>擬議修正案內容</w:t>
      </w:r>
    </w:p>
    <w:p>
      <w:pPr>
        <w:pStyle w:val="F21"/>
        <w:spacing w:lineRule="atLeast" w:line="340"/>
        <w:rPr>
          <w:rFonts w:cs="Times New Roman"/>
        </w:rPr>
      </w:pPr>
      <w:r>
        <w:rPr>
          <w:rFonts w:cs="Times New Roman"/>
        </w:rPr>
      </w:r>
    </w:p>
    <w:p>
      <w:pPr>
        <w:pStyle w:val="F21"/>
        <w:spacing w:lineRule="atLeast" w:line="340"/>
        <w:rPr>
          <w:rFonts w:eastAsia="華康中黑體" w:cs="Times New Roman"/>
          <w:b/>
          <w:b/>
        </w:rPr>
      </w:pPr>
      <w:r>
        <w:rPr>
          <w:rFonts w:cs="Times New Roman" w:eastAsia="華康中黑體"/>
          <w:b/>
        </w:rPr>
        <w:t>附表</w:t>
      </w:r>
      <w:r>
        <w:rPr>
          <w:rFonts w:eastAsia="華康中黑體" w:cs="Times New Roman"/>
          <w:b/>
        </w:rPr>
        <w:t>1(</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spacing w:lineRule="atLeast" w:line="340"/>
        <w:rPr>
          <w:rFonts w:cs="Times New Roman"/>
        </w:rPr>
      </w:pPr>
      <w:r>
        <w:rPr>
          <w:rFonts w:cs="Times New Roman"/>
        </w:rPr>
      </w:r>
    </w:p>
    <w:p>
      <w:pPr>
        <w:pStyle w:val="F21"/>
        <w:tabs>
          <w:tab w:val="clear" w:pos="567"/>
        </w:tabs>
        <w:spacing w:lineRule="atLeast" w:line="340"/>
        <w:rPr>
          <w:rFonts w:cs="Times New Roman"/>
        </w:rPr>
      </w:pPr>
      <w:r>
        <w:rPr>
          <w:rFonts w:cs="Times New Roman" w:eastAsia="華康中黑體"/>
          <w:b/>
        </w:rPr>
        <w:t>附表</w:t>
      </w:r>
      <w:r>
        <w:rPr>
          <w:rFonts w:eastAsia="華康中黑體" w:cs="Times New Roman"/>
          <w:b/>
        </w:rPr>
        <w:t>2(</w:t>
      </w:r>
      <w:r>
        <w:rPr>
          <w:rFonts w:cs="Times New Roman" w:eastAsia="華康中黑體"/>
          <w:b/>
        </w:rPr>
        <w:t>見</w:t>
      </w:r>
      <w:hyperlink w:anchor="anx01">
        <w:r>
          <w:rPr>
            <w:rStyle w:val="InternetLink"/>
            <w:rFonts w:cs="Times New Roman" w:eastAsia="華康中黑體"/>
            <w:b/>
          </w:rPr>
          <w:t>附件</w:t>
        </w:r>
        <w:r>
          <w:rPr>
            <w:rStyle w:val="InternetLink"/>
            <w:rFonts w:eastAsia="華康中黑體" w:cs="Times New Roman"/>
            <w:b/>
          </w:rPr>
          <w:t>I</w:t>
        </w:r>
      </w:hyperlink>
      <w:r>
        <w:rPr>
          <w:rFonts w:eastAsia="華康中黑體" w:cs="Times New Roman"/>
          <w:b/>
        </w:rPr>
        <w:t>)</w:t>
      </w:r>
    </w:p>
    <w:p>
      <w:pPr>
        <w:pStyle w:val="F21"/>
        <w:tabs>
          <w:tab w:val="clear" w:pos="567"/>
        </w:tabs>
        <w:spacing w:lineRule="atLeast" w:line="340"/>
        <w:rPr/>
      </w:pPr>
      <w:r>
        <w:rPr/>
      </w:r>
    </w:p>
    <w:p>
      <w:pPr>
        <w:pStyle w:val="F21"/>
        <w:tabs>
          <w:tab w:val="clear" w:pos="567"/>
        </w:tabs>
        <w:spacing w:lineRule="atLeast" w:line="340"/>
        <w:rPr/>
      </w:pPr>
      <w:r>
        <w:rPr/>
      </w:r>
    </w:p>
    <w:p>
      <w:pPr>
        <w:pStyle w:val="F21"/>
        <w:spacing w:lineRule="atLeast" w:line="340"/>
        <w:rPr>
          <w:rFonts w:cs="Times New Roman"/>
        </w:rPr>
      </w:pPr>
      <w:r>
        <w:rPr>
          <w:rFonts w:eastAsia="華康中黑體"/>
          <w:b/>
        </w:rPr>
        <w:t>全委會主席</w:t>
      </w:r>
      <w:r>
        <w:rPr/>
        <w:t>：是否有委員想發言？</w:t>
      </w:r>
    </w:p>
    <w:p>
      <w:pPr>
        <w:pStyle w:val="F21"/>
        <w:tabs>
          <w:tab w:val="clear" w:pos="567"/>
        </w:tabs>
        <w:spacing w:lineRule="atLeast" w:line="340"/>
        <w:rPr/>
      </w:pPr>
      <w:r>
        <w:rPr/>
      </w:r>
    </w:p>
    <w:p>
      <w:pPr>
        <w:pStyle w:val="F21"/>
        <w:tabs>
          <w:tab w:val="clear" w:pos="567"/>
        </w:tabs>
        <w:spacing w:lineRule="atLeast" w:line="340"/>
        <w:rPr/>
      </w:pPr>
      <w:r>
        <w:rPr/>
        <w:t>(</w:t>
      </w:r>
      <w:r>
        <w:rPr/>
        <w:t>沒有委員表示想發言</w:t>
      </w:r>
      <w:r>
        <w:rPr/>
        <w:t>)</w:t>
      </w:r>
    </w:p>
    <w:p>
      <w:pPr>
        <w:pStyle w:val="F21"/>
        <w:tabs>
          <w:tab w:val="clear" w:pos="567"/>
        </w:tabs>
        <w:spacing w:lineRule="atLeast" w:line="340"/>
        <w:rPr/>
      </w:pPr>
      <w:r>
        <w:rPr/>
      </w:r>
    </w:p>
    <w:p>
      <w:pPr>
        <w:pStyle w:val="F21"/>
        <w:tabs>
          <w:tab w:val="clear" w:pos="567"/>
        </w:tabs>
        <w:spacing w:lineRule="atLeast" w:line="340"/>
        <w:rPr/>
      </w:pPr>
      <w:r>
        <w:rPr/>
      </w:r>
    </w:p>
    <w:p>
      <w:pPr>
        <w:pStyle w:val="F21"/>
        <w:spacing w:lineRule="atLeast" w:line="340"/>
        <w:rPr>
          <w:rFonts w:cs="Times New Roman"/>
        </w:rPr>
      </w:pPr>
      <w:r>
        <w:rPr>
          <w:rFonts w:eastAsia="華康中黑體"/>
          <w:b/>
        </w:rPr>
        <w:t>全委會主席</w:t>
      </w:r>
      <w:r>
        <w:rPr/>
        <w:t>：我現在向各位提出的待決議題是：環境局局長動議的修正案，予以通過。現在付諸表決，贊成的請舉手。</w:t>
      </w:r>
    </w:p>
    <w:p>
      <w:pPr>
        <w:pStyle w:val="F21"/>
        <w:tabs>
          <w:tab w:val="clear" w:pos="567"/>
        </w:tabs>
        <w:spacing w:lineRule="atLeast" w:line="340"/>
        <w:rPr/>
      </w:pPr>
      <w:r>
        <w:rPr/>
      </w:r>
    </w:p>
    <w:p>
      <w:pPr>
        <w:pStyle w:val="F21"/>
        <w:tabs>
          <w:tab w:val="clear" w:pos="567"/>
        </w:tabs>
        <w:spacing w:lineRule="atLeast" w:line="340"/>
        <w:rPr/>
      </w:pPr>
      <w:r>
        <w:rPr/>
        <w:t>(</w:t>
      </w:r>
      <w:r>
        <w:rPr/>
        <w:t>委員舉手</w:t>
      </w:r>
      <w:r>
        <w:rPr/>
        <w:t>)</w:t>
      </w:r>
    </w:p>
    <w:p>
      <w:pPr>
        <w:pStyle w:val="F21"/>
        <w:tabs>
          <w:tab w:val="clear" w:pos="567"/>
        </w:tabs>
        <w:snapToGrid w:val="false"/>
        <w:spacing w:lineRule="exact" w:line="20"/>
        <w:rPr/>
      </w:pPr>
      <w:r>
        <w:rPr/>
      </w:r>
    </w:p>
    <w:p>
      <w:pPr>
        <w:pStyle w:val="Normal"/>
        <w:widowControl/>
        <w:tabs>
          <w:tab w:val="clear" w:pos="720"/>
        </w:tabs>
        <w:snapToGrid w:val="false"/>
        <w:spacing w:lineRule="exact" w:line="20"/>
        <w:jc w:val="left"/>
        <w:rPr>
          <w:rFonts w:cs="" w:cstheme="minorBidi"/>
          <w:spacing w:val="20"/>
          <w:sz w:val="27"/>
          <w:szCs w:val="22"/>
          <w:lang w:val="en-US"/>
        </w:rPr>
      </w:pPr>
      <w:r>
        <w:rPr>
          <w:rFonts w:cs="" w:cstheme="minorBidi"/>
          <w:spacing w:val="20"/>
          <w:sz w:val="27"/>
          <w:szCs w:val="22"/>
          <w:lang w:val="en-US"/>
        </w:rPr>
      </w:r>
      <w:r>
        <w:br w:type="page"/>
      </w:r>
    </w:p>
    <w:p>
      <w:pPr>
        <w:pStyle w:val="F21"/>
        <w:tabs>
          <w:tab w:val="clear" w:pos="567"/>
        </w:tabs>
        <w:spacing w:lineRule="atLeast" w:line="340"/>
        <w:rPr/>
      </w:pPr>
      <w:r>
        <w:rPr>
          <w:rFonts w:eastAsia="華康中黑體"/>
          <w:b/>
        </w:rPr>
        <w:t>全委會主席</w:t>
      </w:r>
      <w:r>
        <w:rPr/>
        <w:t>：反對的請舉手。</w:t>
      </w:r>
    </w:p>
    <w:p>
      <w:pPr>
        <w:pStyle w:val="F21"/>
        <w:tabs>
          <w:tab w:val="clear" w:pos="567"/>
        </w:tabs>
        <w:spacing w:lineRule="atLeast" w:line="340"/>
        <w:rPr/>
      </w:pPr>
      <w:r>
        <w:rPr/>
      </w:r>
    </w:p>
    <w:p>
      <w:pPr>
        <w:pStyle w:val="F21"/>
        <w:tabs>
          <w:tab w:val="clear" w:pos="567"/>
        </w:tabs>
        <w:spacing w:lineRule="atLeast" w:line="340"/>
        <w:rPr/>
      </w:pPr>
      <w:r>
        <w:rPr/>
        <w:t>(</w:t>
      </w:r>
      <w:r>
        <w:rPr/>
        <w:t>沒有委員舉手</w:t>
      </w:r>
      <w:r>
        <w:rPr/>
        <w:t>)</w:t>
      </w:r>
    </w:p>
    <w:p>
      <w:pPr>
        <w:pStyle w:val="F21"/>
        <w:tabs>
          <w:tab w:val="clear" w:pos="567"/>
        </w:tabs>
        <w:rPr/>
      </w:pPr>
      <w:r>
        <w:rPr/>
      </w:r>
    </w:p>
    <w:p>
      <w:pPr>
        <w:pStyle w:val="F21"/>
        <w:tabs>
          <w:tab w:val="clear" w:pos="567"/>
        </w:tabs>
        <w:rPr/>
      </w:pPr>
      <w:r>
        <w:rPr/>
      </w:r>
    </w:p>
    <w:p>
      <w:pPr>
        <w:pStyle w:val="F21"/>
        <w:rPr>
          <w:rFonts w:cs="Times New Roman"/>
        </w:rPr>
      </w:pPr>
      <w:r>
        <w:rPr>
          <w:rFonts w:eastAsia="華康中黑體"/>
          <w:b/>
        </w:rPr>
        <w:t>全委會主席</w:t>
      </w:r>
      <w:r>
        <w:rPr/>
        <w:t>：我認為議題獲得在席委員以過半數贊成。我宣布修正案獲得通過。</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eastAsia="華康中黑體"/>
          <w:b/>
        </w:rPr>
        <w:t>秘書</w:t>
      </w:r>
      <w:r>
        <w:rPr>
          <w:rFonts w:cs="Times New Roman"/>
        </w:rPr>
        <w:t>：經修正的附表</w:t>
      </w:r>
      <w:r>
        <w:rPr>
          <w:rFonts w:cs="Times New Roman"/>
        </w:rPr>
        <w:t>1</w:t>
      </w:r>
      <w:r>
        <w:rPr>
          <w:rFonts w:cs="Times New Roman"/>
        </w:rPr>
        <w:t>及</w:t>
      </w:r>
      <w:r>
        <w:rPr>
          <w:rFonts w:cs="Times New Roman"/>
        </w:rPr>
        <w:t>2</w:t>
      </w:r>
      <w:r>
        <w:rPr>
          <w:rFonts w:cs="Times New Roman"/>
        </w:rPr>
        <w:t>。</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eastAsia="華康中黑體"/>
          <w:b/>
        </w:rPr>
        <w:t>全委會主席</w:t>
      </w:r>
      <w:r>
        <w:rPr>
          <w:rFonts w:cs="Times New Roman"/>
        </w:rPr>
        <w:t>：我現在向各位提出的待決議題是：經修正的附表</w:t>
      </w:r>
      <w:r>
        <w:rPr>
          <w:rFonts w:cs="Times New Roman"/>
        </w:rPr>
        <w:t>1</w:t>
      </w:r>
      <w:r>
        <w:rPr>
          <w:rFonts w:cs="Times New Roman"/>
        </w:rPr>
        <w:t>及</w:t>
      </w:r>
      <w:r>
        <w:rPr>
          <w:rFonts w:cs="Times New Roman"/>
        </w:rPr>
        <w:t>2</w:t>
      </w:r>
      <w:r>
        <w:rPr>
          <w:rFonts w:cs="Times New Roman"/>
        </w:rPr>
        <w:t>納入本條例草案。現在付諸表決，贊成的請舉手。</w:t>
      </w:r>
    </w:p>
    <w:p>
      <w:pPr>
        <w:pStyle w:val="F21"/>
        <w:rPr>
          <w:rFonts w:cs="Times New Roman"/>
        </w:rPr>
      </w:pPr>
      <w:r>
        <w:rPr>
          <w:rFonts w:cs="Times New Roman"/>
        </w:rPr>
      </w:r>
    </w:p>
    <w:p>
      <w:pPr>
        <w:pStyle w:val="F21"/>
        <w:rPr>
          <w:rFonts w:cs="Times New Roman"/>
        </w:rPr>
      </w:pPr>
      <w:r>
        <w:rPr>
          <w:rFonts w:cs="Times New Roman"/>
        </w:rPr>
        <w:t>(</w:t>
      </w:r>
      <w:r>
        <w:rPr>
          <w:rFonts w:cs="Times New Roman"/>
        </w:rPr>
        <w:t>委員舉手</w:t>
      </w:r>
      <w:r>
        <w:rPr>
          <w:rFonts w:cs="Times New Roman"/>
        </w:rPr>
        <w:t>)</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eastAsia="華康中黑體"/>
          <w:b/>
        </w:rPr>
        <w:t>全委會主席</w:t>
      </w:r>
      <w:r>
        <w:rPr>
          <w:rFonts w:cs="Times New Roman"/>
        </w:rPr>
        <w:t>：反對的請舉手。</w:t>
      </w:r>
    </w:p>
    <w:p>
      <w:pPr>
        <w:pStyle w:val="F21"/>
        <w:rPr>
          <w:rFonts w:cs="Times New Roman"/>
        </w:rPr>
      </w:pPr>
      <w:r>
        <w:rPr>
          <w:rFonts w:cs="Times New Roman"/>
        </w:rPr>
      </w:r>
    </w:p>
    <w:p>
      <w:pPr>
        <w:pStyle w:val="F21"/>
        <w:rPr>
          <w:rFonts w:cs="Times New Roman"/>
        </w:rPr>
      </w:pPr>
      <w:r>
        <w:rPr>
          <w:rFonts w:cs="Times New Roman"/>
        </w:rPr>
        <w:t>(</w:t>
      </w:r>
      <w:r>
        <w:rPr>
          <w:rFonts w:cs="Times New Roman"/>
        </w:rPr>
        <w:t>沒有委員舉手</w:t>
      </w:r>
      <w:r>
        <w:rPr>
          <w:rFonts w:cs="Times New Roman"/>
        </w:rPr>
        <w:t>)</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eastAsia="華康中黑體"/>
          <w:b/>
        </w:rPr>
        <w:t>全委會主席</w:t>
      </w:r>
      <w:r>
        <w:rPr>
          <w:rFonts w:cs="Times New Roman"/>
        </w:rPr>
        <w:t>：我認為議題獲得在席委員以過半數贊成。我宣布議案獲得通過。</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eastAsia="華康中黑體"/>
          <w:b/>
        </w:rPr>
        <w:t>全委會主席</w:t>
      </w:r>
      <w:r>
        <w:rPr>
          <w:rFonts w:cs="Times New Roman"/>
        </w:rPr>
        <w:t>：全體委員會現在回復為立法會。</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rPr>
        <w:t>全體委員會隨而回復為立法會。</w:t>
      </w:r>
    </w:p>
    <w:p>
      <w:pPr>
        <w:pStyle w:val="Normal"/>
        <w:rPr/>
      </w:pPr>
      <w:r>
        <w:rPr/>
        <w:t>Council then resumed.</w:t>
      </w:r>
    </w:p>
    <w:p>
      <w:pPr>
        <w:pStyle w:val="F21"/>
        <w:rPr>
          <w:rFonts w:cs="Times New Roman"/>
        </w:rPr>
      </w:pPr>
      <w:r>
        <w:rPr>
          <w:rFonts w:cs="Times New Roman"/>
        </w:rPr>
      </w:r>
    </w:p>
    <w:p>
      <w:pPr>
        <w:pStyle w:val="F21"/>
        <w:rPr>
          <w:rFonts w:cs="Times New Roman"/>
        </w:rPr>
      </w:pPr>
      <w:r>
        <w:rPr>
          <w:rFonts w:cs="Times New Roman"/>
        </w:rPr>
      </w:r>
    </w:p>
    <w:p>
      <w:pPr>
        <w:pStyle w:val="F21"/>
        <w:rPr>
          <w:rFonts w:eastAsia="華康中黑體" w:cs="Times New Roman"/>
          <w:b/>
          <w:b/>
        </w:rPr>
      </w:pPr>
      <w:bookmarkStart w:id="76" w:name="b3r01"/>
      <w:r>
        <w:rPr>
          <w:rFonts w:cs="Times New Roman" w:eastAsia="華康中黑體"/>
          <w:b/>
        </w:rPr>
        <w:t>法案三讀</w:t>
      </w:r>
    </w:p>
    <w:p>
      <w:pPr>
        <w:pStyle w:val="Normal"/>
        <w:rPr>
          <w:b/>
          <w:b/>
        </w:rPr>
      </w:pPr>
      <w:bookmarkStart w:id="77" w:name="b3r01"/>
      <w:r>
        <w:rPr>
          <w:b/>
        </w:rPr>
        <w:t>Third Reading of Bills</w:t>
      </w:r>
      <w:bookmarkEnd w:id="77"/>
    </w:p>
    <w:p>
      <w:pPr>
        <w:pStyle w:val="F21"/>
        <w:rPr>
          <w:rFonts w:cs="Times New Roman"/>
        </w:rPr>
      </w:pPr>
      <w:r>
        <w:rPr>
          <w:rFonts w:cs="Times New Roman"/>
        </w:rPr>
      </w:r>
    </w:p>
    <w:p>
      <w:pPr>
        <w:pStyle w:val="F21"/>
        <w:rPr>
          <w:rFonts w:cs="Times New Roman"/>
        </w:rPr>
      </w:pPr>
      <w:r>
        <w:rPr>
          <w:rFonts w:cs="Times New Roman" w:eastAsia="華康中黑體"/>
          <w:b/>
        </w:rPr>
        <w:t>主席</w:t>
      </w:r>
      <w:r>
        <w:rPr>
          <w:rFonts w:cs="Times New Roman"/>
        </w:rPr>
        <w:t>：法案：三讀。</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spacing w:lineRule="atLeast" w:line="300"/>
        <w:rPr>
          <w:rFonts w:eastAsia="華康中黑體" w:cs="Times New Roman"/>
          <w:b/>
          <w:b/>
        </w:rPr>
      </w:pPr>
      <w:bookmarkStart w:id="78" w:name="b3r01a"/>
      <w:r>
        <w:rPr>
          <w:rFonts w:cs="Times New Roman" w:eastAsia="華康中黑體"/>
          <w:b/>
        </w:rPr>
        <w:t>《區域供冷服務條例草案》</w:t>
      </w:r>
    </w:p>
    <w:p>
      <w:pPr>
        <w:pStyle w:val="Normal"/>
        <w:spacing w:lineRule="atLeast" w:line="300"/>
        <w:rPr>
          <w:b/>
          <w:b/>
        </w:rPr>
      </w:pPr>
      <w:bookmarkStart w:id="79" w:name="b3r01a"/>
      <w:r>
        <w:rPr>
          <w:b/>
        </w:rPr>
        <w:t>DISTRICT COOLING SERVICES BILL</w:t>
      </w:r>
      <w:bookmarkEnd w:id="79"/>
    </w:p>
    <w:p>
      <w:pPr>
        <w:pStyle w:val="F21"/>
        <w:spacing w:lineRule="atLeast" w:line="30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spacing w:lineRule="atLeast" w:line="300"/>
        <w:rPr>
          <w:szCs w:val="27"/>
        </w:rPr>
      </w:pPr>
      <w:r>
        <w:rPr>
          <w:rFonts w:ascii="華康中黑體" w:hAnsi="華康中黑體" w:cs="華康中黑體" w:eastAsia="華康中黑體"/>
          <w:b/>
          <w:szCs w:val="27"/>
        </w:rPr>
        <w:t>環境局局長</w:t>
      </w:r>
      <w:r>
        <w:rPr>
          <w:szCs w:val="27"/>
        </w:rPr>
        <w:t>：主席，法案委員會已知悉並支持上述修正案。因此，我懇請</w:t>
      </w:r>
      <w:r>
        <w:rPr>
          <w:rFonts w:ascii="華康細明體" w:hAnsi="華康細明體" w:cs="華康細明體"/>
          <w:szCs w:val="27"/>
        </w:rPr>
        <w:t>議員</w:t>
      </w:r>
      <w:r>
        <w:rPr>
          <w:szCs w:val="27"/>
        </w:rPr>
        <w:t>通過這些修正案。</w:t>
      </w:r>
    </w:p>
    <w:p>
      <w:pPr>
        <w:pStyle w:val="F21"/>
        <w:spacing w:lineRule="atLeast" w:line="300"/>
        <w:rPr>
          <w:szCs w:val="27"/>
        </w:rPr>
      </w:pPr>
      <w:r>
        <w:rPr>
          <w:szCs w:val="27"/>
        </w:rPr>
      </w:r>
    </w:p>
    <w:p>
      <w:pPr>
        <w:pStyle w:val="F21"/>
        <w:spacing w:lineRule="atLeast" w:line="300"/>
        <w:rPr>
          <w:szCs w:val="27"/>
        </w:rPr>
      </w:pPr>
      <w:r>
        <w:rPr>
          <w:szCs w:val="27"/>
        </w:rPr>
      </w:r>
    </w:p>
    <w:p>
      <w:pPr>
        <w:pStyle w:val="F21"/>
        <w:spacing w:lineRule="atLeast" w:line="300"/>
        <w:rPr>
          <w:szCs w:val="27"/>
        </w:rPr>
      </w:pPr>
      <w:r>
        <w:rPr>
          <w:rFonts w:ascii="華康中黑體" w:hAnsi="華康中黑體" w:eastAsia="華康中黑體"/>
          <w:b/>
          <w:szCs w:val="27"/>
        </w:rPr>
        <w:t>主席</w:t>
      </w:r>
      <w:r>
        <w:rPr>
          <w:szCs w:val="27"/>
        </w:rPr>
        <w:t>：環境局局長，現在是三讀階段，請動議條例草案予以三讀並通過。</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eastAsia="華康中黑體"/>
          <w:b/>
        </w:rPr>
        <w:t>環境局局長</w:t>
      </w:r>
      <w:r>
        <w:rPr>
          <w:rFonts w:cs="Times New Roman"/>
        </w:rPr>
        <w:t>：主席，</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t>《區域供冷服務條例草案》</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t>經修正後已通過全體委員會審議階段。我動議此條例草案予以三讀並通過。</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eastAsia="華康中黑體"/>
          <w:b/>
        </w:rPr>
        <w:t>主席</w:t>
      </w:r>
      <w:r>
        <w:rPr>
          <w:rFonts w:cs="Times New Roman"/>
        </w:rPr>
        <w:t>：我現在向各位提出的待議議題是：《區域供冷服務條例草案》</w:t>
      </w:r>
    </w:p>
    <w:p>
      <w:pPr>
        <w:pStyle w:val="F21"/>
        <w:spacing w:lineRule="atLeast" w:line="300"/>
        <w:rPr>
          <w:rFonts w:cs="Times New Roman"/>
        </w:rPr>
      </w:pPr>
      <w:r>
        <w:rPr>
          <w:rFonts w:cs="Times New Roman"/>
        </w:rPr>
        <w:t>予以三讀並通過。</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tab/>
      </w:r>
      <w:r>
        <w:rPr>
          <w:rFonts w:cs="Times New Roman"/>
        </w:rPr>
        <w:t>是否有議員想發言？</w:t>
      </w:r>
    </w:p>
    <w:p>
      <w:pPr>
        <w:pStyle w:val="F21"/>
        <w:tabs>
          <w:tab w:val="left" w:pos="480" w:leader="none"/>
          <w:tab w:val="left" w:pos="567" w:leader="none"/>
        </w:tabs>
        <w:spacing w:lineRule="atLeast" w:line="300"/>
        <w:rPr/>
      </w:pPr>
      <w:r>
        <w:rPr/>
      </w:r>
    </w:p>
    <w:p>
      <w:pPr>
        <w:pStyle w:val="F21"/>
        <w:tabs>
          <w:tab w:val="left" w:pos="480" w:leader="none"/>
          <w:tab w:val="left" w:pos="567" w:leader="none"/>
        </w:tabs>
        <w:spacing w:lineRule="atLeast" w:line="300"/>
        <w:rPr/>
      </w:pPr>
      <w:r>
        <w:rPr/>
        <w:t>(</w:t>
      </w:r>
      <w:r>
        <w:rPr/>
        <w:t>沒有議員表示想發言</w:t>
      </w:r>
      <w:r>
        <w:rPr/>
        <w:t>)</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eastAsia="華康中黑體"/>
          <w:b/>
        </w:rPr>
        <w:t>主席</w:t>
      </w:r>
      <w:r>
        <w:rPr>
          <w:rFonts w:cs="Times New Roman"/>
        </w:rPr>
        <w:t>：我現在向各位提出上述待決議題，付諸表決。贊成的請舉手。</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t>(</w:t>
      </w:r>
      <w:r>
        <w:rPr>
          <w:rFonts w:cs="Times New Roman"/>
        </w:rPr>
        <w:t>議員舉手</w:t>
      </w:r>
      <w:r>
        <w:rPr>
          <w:rFonts w:cs="Times New Roman"/>
        </w:rPr>
        <w:t>)</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eastAsia="華康中黑體"/>
          <w:b/>
        </w:rPr>
        <w:t>主席</w:t>
      </w:r>
      <w:r>
        <w:rPr>
          <w:rFonts w:cs="Times New Roman"/>
        </w:rPr>
        <w:t>：反對的請舉手。</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t>(</w:t>
      </w:r>
      <w:r>
        <w:rPr>
          <w:rFonts w:cs="Times New Roman"/>
        </w:rPr>
        <w:t>沒有議員舉手</w:t>
      </w:r>
      <w:r>
        <w:rPr>
          <w:rFonts w:cs="Times New Roman"/>
        </w:rPr>
        <w:t>)</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eastAsia="華康中黑體"/>
          <w:b/>
        </w:rPr>
        <w:t>主席</w:t>
      </w:r>
      <w:r>
        <w:rPr>
          <w:rFonts w:cs="Times New Roman"/>
        </w:rPr>
        <w:t>：我認為議題獲得在席議員以過半數贊成。我宣布議案獲得通過。</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eastAsia="華康中黑體"/>
          <w:b/>
        </w:rPr>
        <w:t>秘書</w:t>
      </w:r>
      <w:r>
        <w:rPr>
          <w:rFonts w:cs="Times New Roman"/>
        </w:rPr>
        <w:t>：《區域供冷服務條例草案》。</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rPr>
          <w:rFonts w:eastAsia="華康中黑體" w:cs="Times New Roman"/>
          <w:b/>
          <w:b/>
          <w:sz w:val="28"/>
          <w:szCs w:val="28"/>
        </w:rPr>
      </w:pPr>
      <w:bookmarkStart w:id="80" w:name="mbm"/>
      <w:r>
        <w:rPr>
          <w:rFonts w:cs="Times New Roman" w:eastAsia="華康中黑體"/>
          <w:b/>
          <w:sz w:val="28"/>
          <w:szCs w:val="28"/>
        </w:rPr>
        <w:t>議員議案</w:t>
      </w:r>
    </w:p>
    <w:p>
      <w:pPr>
        <w:pStyle w:val="Normal"/>
        <w:rPr>
          <w:rFonts w:eastAsia="華康中黑體"/>
          <w:b/>
          <w:b/>
          <w:color w:val="FF0000"/>
          <w:spacing w:val="20"/>
          <w:sz w:val="27"/>
          <w:szCs w:val="22"/>
          <w:lang w:val="en-US"/>
        </w:rPr>
      </w:pPr>
      <w:bookmarkStart w:id="81" w:name="mbm"/>
      <w:r>
        <w:rPr>
          <w:b/>
        </w:rPr>
        <w:t>MEMBERS' MOTIONS</w:t>
      </w:r>
      <w:bookmarkEnd w:id="81"/>
    </w:p>
    <w:p>
      <w:pPr>
        <w:pStyle w:val="F21"/>
        <w:rPr>
          <w:rFonts w:cs="Times New Roman"/>
        </w:rPr>
      </w:pPr>
      <w:r>
        <w:rPr>
          <w:rFonts w:cs="Times New Roman"/>
        </w:rPr>
      </w:r>
    </w:p>
    <w:p>
      <w:pPr>
        <w:pStyle w:val="F21"/>
        <w:rPr/>
      </w:pPr>
      <w:r>
        <w:rPr>
          <w:rFonts w:cs="Times New Roman" w:eastAsia="華康中黑體"/>
          <w:b/>
        </w:rPr>
        <w:t>主席</w:t>
      </w:r>
      <w:r>
        <w:rPr/>
        <w:t>：議員議案。</w:t>
      </w:r>
    </w:p>
    <w:p>
      <w:pPr>
        <w:pStyle w:val="F21"/>
        <w:rPr/>
      </w:pPr>
      <w:r>
        <w:rPr/>
      </w:r>
    </w:p>
    <w:p>
      <w:pPr>
        <w:pStyle w:val="F21"/>
        <w:rPr/>
      </w:pPr>
      <w:r>
        <w:rPr/>
        <w:tab/>
      </w:r>
      <w:r>
        <w:rPr/>
        <w:t>三項根據《釋義及通則條例》動議，有關延展附屬法例修訂期限的擬議決議案。</w:t>
      </w:r>
    </w:p>
    <w:p>
      <w:pPr>
        <w:pStyle w:val="F21"/>
        <w:rPr/>
      </w:pPr>
      <w:r>
        <w:rPr/>
      </w:r>
    </w:p>
    <w:p>
      <w:pPr>
        <w:pStyle w:val="F21"/>
        <w:rPr>
          <w:rFonts w:cs="Times New Roman"/>
        </w:rPr>
      </w:pPr>
      <w:r>
        <w:rPr>
          <w:rFonts w:cs="Times New Roman"/>
        </w:rPr>
      </w:r>
    </w:p>
    <w:p>
      <w:pPr>
        <w:pStyle w:val="F21"/>
        <w:rPr/>
      </w:pPr>
      <w:r>
        <w:rPr>
          <w:rFonts w:cs="Times New Roman" w:eastAsia="華康中黑體"/>
          <w:b/>
        </w:rPr>
        <w:t>主席</w:t>
      </w:r>
      <w:r>
        <w:rPr/>
        <w:t>：第一項議案：延展於</w:t>
      </w:r>
      <w:r>
        <w:rPr/>
        <w:t>2015</w:t>
      </w:r>
      <w:r>
        <w:rPr/>
        <w:t>年</w:t>
      </w:r>
      <w:r>
        <w:rPr/>
        <w:t>2</w:t>
      </w:r>
      <w:r>
        <w:rPr/>
        <w:t>月</w:t>
      </w:r>
      <w:r>
        <w:rPr/>
        <w:t>25</w:t>
      </w:r>
      <w:r>
        <w:rPr/>
        <w:t>日提交本會省覽，</w:t>
      </w:r>
      <w:r>
        <w:rPr/>
        <w:t>4</w:t>
      </w:r>
      <w:r>
        <w:rPr/>
        <w:t>項有關《競爭條例》的附屬法例的修訂期限。</w:t>
      </w:r>
    </w:p>
    <w:p>
      <w:pPr>
        <w:pStyle w:val="F21"/>
        <w:rPr/>
      </w:pPr>
      <w:r>
        <w:rPr/>
      </w:r>
    </w:p>
    <w:p>
      <w:pPr>
        <w:pStyle w:val="F21"/>
        <w:rPr/>
      </w:pPr>
      <w:r>
        <w:rPr/>
        <w:tab/>
      </w:r>
      <w:r>
        <w:rPr/>
        <w:t>我現在請梁君彥議員發言及動議議案。</w:t>
      </w:r>
    </w:p>
    <w:p>
      <w:pPr>
        <w:pStyle w:val="F21"/>
        <w:rPr/>
      </w:pPr>
      <w:r>
        <w:rPr/>
      </w:r>
    </w:p>
    <w:p>
      <w:pPr>
        <w:pStyle w:val="F21"/>
        <w:rPr>
          <w:rFonts w:cs="Times New Roman"/>
        </w:rPr>
      </w:pPr>
      <w:r>
        <w:rPr>
          <w:rFonts w:cs="Times New Roman"/>
        </w:rPr>
      </w:r>
    </w:p>
    <w:p>
      <w:pPr>
        <w:pStyle w:val="F21"/>
        <w:rPr>
          <w:rFonts w:eastAsia="華康中黑體" w:cs="Times New Roman"/>
          <w:b/>
          <w:b/>
        </w:rPr>
      </w:pPr>
      <w:bookmarkStart w:id="82" w:name="mbm01"/>
      <w:r>
        <w:rPr>
          <w:rFonts w:cs="Times New Roman" w:eastAsia="華康中黑體"/>
          <w:b/>
        </w:rPr>
        <w:t>根據《釋義及通則條例》第</w:t>
      </w:r>
      <w:r>
        <w:rPr>
          <w:rFonts w:eastAsia="華康中黑體" w:cs="Times New Roman"/>
          <w:b/>
        </w:rPr>
        <w:t>34(4)</w:t>
      </w:r>
      <w:r>
        <w:rPr>
          <w:rFonts w:cs="Times New Roman" w:eastAsia="華康中黑體"/>
          <w:b/>
        </w:rPr>
        <w:t>條動議的擬議決議案</w:t>
      </w:r>
    </w:p>
    <w:p>
      <w:pPr>
        <w:pStyle w:val="Normal"/>
        <w:rPr>
          <w:b/>
          <w:b/>
          <w:caps/>
        </w:rPr>
      </w:pPr>
      <w:bookmarkStart w:id="83" w:name="mbm01"/>
      <w:r>
        <w:rPr>
          <w:b/>
          <w:caps/>
        </w:rPr>
        <w:t>Proposed resolution under section 34(4) of the Interpretation and General Clauses Ordinance</w:t>
      </w:r>
      <w:bookmarkEnd w:id="83"/>
    </w:p>
    <w:p>
      <w:pPr>
        <w:pStyle w:val="F21"/>
        <w:rPr/>
      </w:pPr>
      <w:r>
        <w:rPr/>
      </w:r>
    </w:p>
    <w:p>
      <w:pPr>
        <w:pStyle w:val="F21"/>
        <w:rPr/>
      </w:pPr>
      <w:r>
        <w:rPr>
          <w:rFonts w:ascii="華康中黑體" w:hAnsi="華康中黑體" w:cs="華康中黑體" w:eastAsia="華康中黑體"/>
          <w:b/>
        </w:rPr>
        <w:t>梁君彥議員</w:t>
      </w:r>
      <w:r>
        <w:rPr/>
        <w:t>：主席，我謹以研究於</w:t>
      </w:r>
      <w:r>
        <w:rPr/>
        <w:t>2015</w:t>
      </w:r>
      <w:r>
        <w:rPr/>
        <w:t>年</w:t>
      </w:r>
      <w:r>
        <w:rPr/>
        <w:t>2</w:t>
      </w:r>
      <w:r>
        <w:rPr/>
        <w:t>月</w:t>
      </w:r>
      <w:r>
        <w:rPr/>
        <w:t>18</w:t>
      </w:r>
      <w:r>
        <w:rPr/>
        <w:t>日刊登憲報的《競爭條例》下的</w:t>
      </w:r>
      <w:r>
        <w:rPr/>
        <w:t>4</w:t>
      </w:r>
      <w:r>
        <w:rPr/>
        <w:t>條附屬法例小組委員會主席身份，動議通過以我名義提出的議案，議案內容已載列於議程內。</w:t>
      </w:r>
    </w:p>
    <w:p>
      <w:pPr>
        <w:pStyle w:val="F21"/>
        <w:rPr/>
      </w:pPr>
      <w:r>
        <w:rPr/>
      </w:r>
    </w:p>
    <w:p>
      <w:pPr>
        <w:pStyle w:val="F21"/>
        <w:rPr/>
      </w:pPr>
      <w:r>
        <w:rPr/>
        <w:tab/>
      </w:r>
      <w:r>
        <w:rPr/>
        <w:t>由於小組委員會需要更多時間進行審議工作，謹請議員支持議案，將該等附屬法例的審議期延展至</w:t>
      </w:r>
      <w:r>
        <w:rPr/>
        <w:t>2015</w:t>
      </w:r>
      <w:r>
        <w:rPr/>
        <w:t>年</w:t>
      </w:r>
      <w:r>
        <w:rPr/>
        <w:t>4</w:t>
      </w:r>
      <w:r>
        <w:rPr/>
        <w:t>月</w:t>
      </w:r>
      <w:r>
        <w:rPr/>
        <w:t>15</w:t>
      </w:r>
      <w:r>
        <w:rPr/>
        <w:t>日。</w:t>
      </w:r>
    </w:p>
    <w:p>
      <w:pPr>
        <w:pStyle w:val="F21"/>
        <w:rPr/>
      </w:pPr>
      <w:r>
        <w:rPr/>
      </w:r>
    </w:p>
    <w:p>
      <w:pPr>
        <w:pStyle w:val="F21"/>
        <w:rPr/>
      </w:pPr>
      <w:r>
        <w:rPr/>
        <w:tab/>
      </w:r>
      <w:r>
        <w:rPr/>
        <w:t>主席，我謹此陳辭，請議員支持議案。</w:t>
      </w:r>
    </w:p>
    <w:p>
      <w:pPr>
        <w:pStyle w:val="F21"/>
        <w:rPr>
          <w:rFonts w:cs="Times New Roman"/>
        </w:rPr>
      </w:pPr>
      <w:r>
        <w:rPr>
          <w:rFonts w:cs="Times New Roman"/>
        </w:rPr>
      </w:r>
    </w:p>
    <w:p>
      <w:pPr>
        <w:pStyle w:val="F21"/>
        <w:rPr>
          <w:rFonts w:cs="Times New Roman"/>
        </w:rPr>
      </w:pPr>
      <w:r>
        <w:rPr>
          <w:rFonts w:cs="Times New Roman" w:eastAsia="華康中黑體"/>
          <w:b/>
        </w:rPr>
        <w:t>梁君彥議員動議的議案如下</w:t>
      </w:r>
      <w:r>
        <w:rPr>
          <w:rFonts w:cs="Times New Roman"/>
        </w:rPr>
        <w:t>：</w:t>
      </w:r>
    </w:p>
    <w:p>
      <w:pPr>
        <w:pStyle w:val="F21"/>
        <w:rPr>
          <w:rFonts w:cs="Times New Roman"/>
        </w:rPr>
      </w:pPr>
      <w:r>
        <w:rPr>
          <w:rFonts w:cs="Times New Roman"/>
        </w:rPr>
      </w:r>
    </w:p>
    <w:p>
      <w:pPr>
        <w:pStyle w:val="F21"/>
        <w:ind w:left="709" w:hanging="142"/>
        <w:rPr>
          <w:rFonts w:cs="Times New Roman"/>
        </w:rPr>
      </w:pPr>
      <w:r>
        <w:rPr>
          <w:rFonts w:cs="Times New Roman"/>
        </w:rPr>
        <w:t>“</w:t>
      </w:r>
      <w:r>
        <w:rPr>
          <w:rFonts w:cs="Times New Roman"/>
        </w:rPr>
        <w:t>議決就</w:t>
      </w:r>
      <w:r>
        <w:rPr>
          <w:rFonts w:cs="Times New Roman"/>
        </w:rPr>
        <w:t>2015</w:t>
      </w:r>
      <w:r>
        <w:rPr>
          <w:rFonts w:cs="Times New Roman"/>
        </w:rPr>
        <w:t>年</w:t>
      </w:r>
      <w:r>
        <w:rPr>
          <w:rFonts w:cs="Times New Roman"/>
        </w:rPr>
        <w:t>2</w:t>
      </w:r>
      <w:r>
        <w:rPr>
          <w:rFonts w:cs="Times New Roman"/>
        </w:rPr>
        <w:t>月</w:t>
      </w:r>
      <w:r>
        <w:rPr>
          <w:rFonts w:cs="Times New Roman"/>
        </w:rPr>
        <w:t>25</w:t>
      </w:r>
      <w:r>
        <w:rPr>
          <w:rFonts w:cs="Times New Roman"/>
        </w:rPr>
        <w:t>日提交立法會會議省覽的—</w:t>
      </w:r>
    </w:p>
    <w:p>
      <w:pPr>
        <w:pStyle w:val="F21"/>
        <w:ind w:left="709" w:hanging="142"/>
        <w:rPr>
          <w:rFonts w:cs="Times New Roman"/>
        </w:rPr>
      </w:pPr>
      <w:r>
        <w:rPr>
          <w:rFonts w:cs="Times New Roman"/>
        </w:rPr>
      </w:r>
    </w:p>
    <w:p>
      <w:pPr>
        <w:pStyle w:val="F21"/>
        <w:ind w:left="1843" w:hanging="567"/>
        <w:rPr>
          <w:rFonts w:cs="Times New Roman"/>
        </w:rPr>
      </w:pPr>
      <w:r>
        <w:rPr>
          <w:rFonts w:cs="Times New Roman"/>
        </w:rPr>
        <w:t>(a)</w:t>
        <w:tab/>
      </w:r>
      <w:r>
        <w:rPr>
          <w:rFonts w:cs="Times New Roman"/>
        </w:rPr>
        <w:t>《競爭</w:t>
      </w:r>
      <w:r>
        <w:rPr>
          <w:rFonts w:cs="Times New Roman"/>
        </w:rPr>
        <w:t>(</w:t>
      </w:r>
      <w:r>
        <w:rPr>
          <w:rFonts w:cs="Times New Roman"/>
        </w:rPr>
        <w:t>條文適用範圍</w:t>
      </w:r>
      <w:r>
        <w:rPr>
          <w:rFonts w:cs="Times New Roman"/>
        </w:rPr>
        <w:t>)</w:t>
      </w:r>
      <w:r>
        <w:rPr>
          <w:rFonts w:cs="Times New Roman"/>
        </w:rPr>
        <w:t>規例》</w:t>
      </w:r>
      <w:r>
        <w:rPr>
          <w:rFonts w:cs="Times New Roman"/>
        </w:rPr>
        <w:t>(</w:t>
      </w:r>
      <w:r>
        <w:rPr>
          <w:rFonts w:cs="Times New Roman"/>
        </w:rPr>
        <w:t>即刊登於憲報的</w:t>
      </w:r>
      <w:r>
        <w:rPr>
          <w:rFonts w:cs="Times New Roman"/>
        </w:rPr>
        <w:t>2015</w:t>
      </w:r>
      <w:r>
        <w:rPr>
          <w:rFonts w:cs="Times New Roman"/>
        </w:rPr>
        <w:t>年第</w:t>
      </w:r>
      <w:r>
        <w:rPr>
          <w:rFonts w:cs="Times New Roman"/>
        </w:rPr>
        <w:t>36</w:t>
      </w:r>
      <w:r>
        <w:rPr>
          <w:rFonts w:cs="Times New Roman"/>
        </w:rPr>
        <w:t>號法律公告</w:t>
      </w:r>
      <w:r>
        <w:rPr>
          <w:rFonts w:cs="Times New Roman"/>
        </w:rPr>
        <w:t>)</w:t>
      </w:r>
      <w:r>
        <w:rPr>
          <w:rFonts w:cs="Times New Roman"/>
        </w:rPr>
        <w:t>；</w:t>
      </w:r>
    </w:p>
    <w:p>
      <w:pPr>
        <w:pStyle w:val="F21"/>
        <w:ind w:left="1843" w:hanging="567"/>
        <w:rPr>
          <w:rFonts w:cs="Times New Roman"/>
        </w:rPr>
      </w:pPr>
      <w:r>
        <w:rPr>
          <w:rFonts w:cs="Times New Roman"/>
        </w:rPr>
      </w:r>
    </w:p>
    <w:p>
      <w:pPr>
        <w:pStyle w:val="F21"/>
        <w:ind w:left="1843" w:hanging="567"/>
        <w:rPr>
          <w:rFonts w:cs="Times New Roman"/>
        </w:rPr>
      </w:pPr>
      <w:r>
        <w:rPr>
          <w:rFonts w:cs="Times New Roman"/>
        </w:rPr>
        <w:t>(b)</w:t>
        <w:tab/>
      </w:r>
      <w:r>
        <w:rPr>
          <w:rFonts w:cs="Times New Roman"/>
        </w:rPr>
        <w:t>《競爭</w:t>
      </w:r>
      <w:r>
        <w:rPr>
          <w:rFonts w:cs="Times New Roman"/>
        </w:rPr>
        <w:t>(</w:t>
      </w:r>
      <w:r>
        <w:rPr>
          <w:rFonts w:cs="Times New Roman"/>
        </w:rPr>
        <w:t>條文不適用範圍</w:t>
      </w:r>
      <w:r>
        <w:rPr>
          <w:rFonts w:cs="Times New Roman"/>
        </w:rPr>
        <w:t>)</w:t>
      </w:r>
      <w:r>
        <w:rPr>
          <w:rFonts w:cs="Times New Roman"/>
        </w:rPr>
        <w:t>規例》</w:t>
      </w:r>
      <w:r>
        <w:rPr>
          <w:rFonts w:cs="Times New Roman"/>
        </w:rPr>
        <w:t>(</w:t>
      </w:r>
      <w:r>
        <w:rPr>
          <w:rFonts w:cs="Times New Roman"/>
        </w:rPr>
        <w:t>即刊登於憲報的</w:t>
      </w:r>
      <w:r>
        <w:rPr>
          <w:rFonts w:cs="Times New Roman"/>
        </w:rPr>
        <w:t>2015</w:t>
      </w:r>
      <w:r>
        <w:rPr>
          <w:rFonts w:cs="Times New Roman"/>
        </w:rPr>
        <w:t>年第</w:t>
      </w:r>
      <w:r>
        <w:rPr>
          <w:rFonts w:cs="Times New Roman"/>
        </w:rPr>
        <w:t>37</w:t>
      </w:r>
      <w:r>
        <w:rPr>
          <w:rFonts w:cs="Times New Roman"/>
        </w:rPr>
        <w:t>號法律公告</w:t>
      </w:r>
      <w:r>
        <w:rPr>
          <w:rFonts w:cs="Times New Roman"/>
        </w:rPr>
        <w:t>)</w:t>
      </w:r>
      <w:r>
        <w:rPr>
          <w:rFonts w:cs="Times New Roman"/>
        </w:rPr>
        <w:t>；</w:t>
      </w:r>
    </w:p>
    <w:p>
      <w:pPr>
        <w:pStyle w:val="F21"/>
        <w:ind w:left="1843" w:hanging="567"/>
        <w:rPr>
          <w:rFonts w:cs="Times New Roman"/>
        </w:rPr>
      </w:pPr>
      <w:r>
        <w:rPr>
          <w:rFonts w:cs="Times New Roman"/>
        </w:rPr>
      </w:r>
    </w:p>
    <w:p>
      <w:pPr>
        <w:pStyle w:val="F21"/>
        <w:ind w:left="1843" w:hanging="567"/>
        <w:rPr>
          <w:rFonts w:cs="Times New Roman"/>
        </w:rPr>
      </w:pPr>
      <w:r>
        <w:rPr>
          <w:rFonts w:cs="Times New Roman"/>
        </w:rPr>
        <w:t>(c)</w:t>
        <w:tab/>
      </w:r>
      <w:r>
        <w:rPr>
          <w:rFonts w:cs="Times New Roman"/>
        </w:rPr>
        <w:t>《競爭</w:t>
      </w:r>
      <w:r>
        <w:rPr>
          <w:rFonts w:cs="Times New Roman"/>
        </w:rPr>
        <w:t>(</w:t>
      </w:r>
      <w:r>
        <w:rPr>
          <w:rFonts w:cs="Times New Roman"/>
        </w:rPr>
        <w:t>營業額</w:t>
      </w:r>
      <w:r>
        <w:rPr>
          <w:rFonts w:cs="Times New Roman"/>
        </w:rPr>
        <w:t>)</w:t>
      </w:r>
      <w:r>
        <w:rPr>
          <w:rFonts w:cs="Times New Roman"/>
        </w:rPr>
        <w:t>規例》</w:t>
      </w:r>
      <w:r>
        <w:rPr>
          <w:rFonts w:cs="Times New Roman"/>
        </w:rPr>
        <w:t>(</w:t>
      </w:r>
      <w:r>
        <w:rPr>
          <w:rFonts w:cs="Times New Roman"/>
        </w:rPr>
        <w:t>即刊登於憲報的</w:t>
      </w:r>
      <w:r>
        <w:rPr>
          <w:rFonts w:cs="Times New Roman"/>
        </w:rPr>
        <w:t>2015</w:t>
      </w:r>
      <w:r>
        <w:rPr>
          <w:rFonts w:cs="Times New Roman"/>
        </w:rPr>
        <w:t>年第</w:t>
      </w:r>
      <w:r>
        <w:rPr>
          <w:rFonts w:cs="Times New Roman"/>
        </w:rPr>
        <w:t>38</w:t>
      </w:r>
      <w:r>
        <w:rPr>
          <w:rFonts w:cs="Times New Roman"/>
        </w:rPr>
        <w:t>號法律公告</w:t>
      </w:r>
      <w:r>
        <w:rPr>
          <w:rFonts w:cs="Times New Roman"/>
        </w:rPr>
        <w:t>)</w:t>
      </w:r>
      <w:r>
        <w:rPr>
          <w:rFonts w:cs="Times New Roman"/>
        </w:rPr>
        <w:t>；及</w:t>
      </w:r>
    </w:p>
    <w:p>
      <w:pPr>
        <w:pStyle w:val="F21"/>
        <w:ind w:left="1843" w:hanging="567"/>
        <w:rPr>
          <w:rFonts w:cs="Times New Roman"/>
        </w:rPr>
      </w:pPr>
      <w:r>
        <w:rPr>
          <w:rFonts w:cs="Times New Roman"/>
        </w:rPr>
      </w:r>
    </w:p>
    <w:p>
      <w:pPr>
        <w:pStyle w:val="F21"/>
        <w:ind w:left="1843" w:hanging="567"/>
        <w:rPr>
          <w:rFonts w:cs="Times New Roman"/>
        </w:rPr>
      </w:pPr>
      <w:r>
        <w:rPr>
          <w:rFonts w:cs="Times New Roman"/>
        </w:rPr>
        <w:t>(d)</w:t>
        <w:tab/>
      </w:r>
      <w:r>
        <w:rPr>
          <w:rFonts w:cs="Times New Roman"/>
        </w:rPr>
        <w:t>《</w:t>
      </w:r>
      <w:r>
        <w:rPr>
          <w:rFonts w:cs="Times New Roman"/>
        </w:rPr>
        <w:t>2015</w:t>
      </w:r>
      <w:r>
        <w:rPr>
          <w:rFonts w:cs="Times New Roman"/>
        </w:rPr>
        <w:t>年〈競爭條例〉</w:t>
      </w:r>
      <w:r>
        <w:rPr>
          <w:rFonts w:cs="Times New Roman"/>
        </w:rPr>
        <w:t>(</w:t>
      </w:r>
      <w:r>
        <w:rPr>
          <w:rFonts w:cs="Times New Roman"/>
        </w:rPr>
        <w:t>生效日期</w:t>
      </w:r>
      <w:r>
        <w:rPr>
          <w:rFonts w:cs="Times New Roman"/>
        </w:rPr>
        <w:t>)</w:t>
      </w:r>
      <w:r>
        <w:rPr>
          <w:rFonts w:cs="Times New Roman"/>
        </w:rPr>
        <w:t>公告》</w:t>
      </w:r>
      <w:r>
        <w:rPr>
          <w:rFonts w:cs="Times New Roman"/>
        </w:rPr>
        <w:t>(</w:t>
      </w:r>
      <w:r>
        <w:rPr>
          <w:rFonts w:cs="Times New Roman"/>
        </w:rPr>
        <w:t>即刊登於憲報的</w:t>
      </w:r>
      <w:r>
        <w:rPr>
          <w:rFonts w:cs="Times New Roman"/>
        </w:rPr>
        <w:t>2015</w:t>
      </w:r>
      <w:r>
        <w:rPr>
          <w:rFonts w:cs="Times New Roman"/>
        </w:rPr>
        <w:t>年第</w:t>
      </w:r>
      <w:r>
        <w:rPr>
          <w:rFonts w:cs="Times New Roman"/>
        </w:rPr>
        <w:t>39</w:t>
      </w:r>
      <w:r>
        <w:rPr>
          <w:rFonts w:cs="Times New Roman"/>
        </w:rPr>
        <w:t>號法律公告</w:t>
      </w:r>
      <w:r>
        <w:rPr>
          <w:rFonts w:cs="Times New Roman"/>
        </w:rPr>
        <w:t>)</w:t>
      </w:r>
      <w:r>
        <w:rPr>
          <w:rFonts w:cs="Times New Roman"/>
        </w:rPr>
        <w:t>，</w:t>
      </w:r>
    </w:p>
    <w:p>
      <w:pPr>
        <w:pStyle w:val="F21"/>
        <w:ind w:left="709" w:hanging="142"/>
        <w:rPr>
          <w:rFonts w:cs="Times New Roman"/>
        </w:rPr>
      </w:pPr>
      <w:r>
        <w:rPr>
          <w:rFonts w:cs="Times New Roman"/>
        </w:rPr>
      </w:r>
    </w:p>
    <w:p>
      <w:pPr>
        <w:pStyle w:val="F21"/>
        <w:ind w:left="1276" w:hanging="0"/>
        <w:rPr>
          <w:rFonts w:cs="Times New Roman"/>
        </w:rPr>
      </w:pPr>
      <w:r>
        <w:rPr>
          <w:rFonts w:cs="Times New Roman"/>
        </w:rPr>
        <w:t>將《釋義及通則條例》</w:t>
      </w:r>
      <w:r>
        <w:rPr>
          <w:rFonts w:cs="Times New Roman"/>
        </w:rPr>
        <w:t>(</w:t>
      </w:r>
      <w:r>
        <w:rPr>
          <w:rFonts w:cs="Times New Roman"/>
        </w:rPr>
        <w:t>第</w:t>
      </w:r>
      <w:r>
        <w:rPr>
          <w:rFonts w:cs="Times New Roman"/>
        </w:rPr>
        <w:t>1</w:t>
      </w:r>
      <w:r>
        <w:rPr>
          <w:rFonts w:cs="Times New Roman"/>
        </w:rPr>
        <w:t>章</w:t>
      </w:r>
      <w:r>
        <w:rPr>
          <w:rFonts w:cs="Times New Roman"/>
        </w:rPr>
        <w:t>)</w:t>
      </w:r>
      <w:r>
        <w:rPr>
          <w:rFonts w:cs="Times New Roman"/>
        </w:rPr>
        <w:t>第</w:t>
      </w:r>
      <w:r>
        <w:rPr>
          <w:rFonts w:cs="Times New Roman"/>
        </w:rPr>
        <w:t>34(2)</w:t>
      </w:r>
      <w:r>
        <w:rPr>
          <w:rFonts w:cs="Times New Roman"/>
        </w:rPr>
        <w:t>條所提述的附屬法例修訂期限根據該條例第</w:t>
      </w:r>
      <w:r>
        <w:rPr>
          <w:rFonts w:cs="Times New Roman"/>
        </w:rPr>
        <w:t>34(4)</w:t>
      </w:r>
      <w:r>
        <w:rPr>
          <w:rFonts w:cs="Times New Roman"/>
        </w:rPr>
        <w:t>條延展至</w:t>
      </w:r>
      <w:r>
        <w:rPr>
          <w:rFonts w:cs="Times New Roman"/>
        </w:rPr>
        <w:t>2015</w:t>
      </w:r>
      <w:r>
        <w:rPr>
          <w:rFonts w:cs="Times New Roman"/>
        </w:rPr>
        <w:t>年</w:t>
      </w:r>
      <w:r>
        <w:rPr>
          <w:rFonts w:cs="Times New Roman"/>
        </w:rPr>
        <w:t>4</w:t>
      </w:r>
      <w:r>
        <w:rPr>
          <w:rFonts w:cs="Times New Roman"/>
        </w:rPr>
        <w:t>月</w:t>
      </w:r>
      <w:r>
        <w:rPr>
          <w:rFonts w:cs="Times New Roman"/>
        </w:rPr>
        <w:t>15</w:t>
      </w:r>
      <w:r>
        <w:rPr>
          <w:rFonts w:cs="Times New Roman"/>
        </w:rPr>
        <w:t>日的會議。”</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eastAsia="華康中黑體"/>
          <w:b/>
        </w:rPr>
        <w:t>主席</w:t>
      </w:r>
      <w:r>
        <w:rPr/>
        <w:t>：我現在向各位提出的待議議題是：梁君彥議員動議的議案，予以通過。</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eastAsia="華康中黑體"/>
          <w:b/>
        </w:rPr>
        <w:t>主席</w:t>
      </w:r>
      <w:r>
        <w:rPr/>
        <w:t>：是否有議員想發言？</w:t>
      </w:r>
    </w:p>
    <w:p>
      <w:pPr>
        <w:pStyle w:val="F21"/>
        <w:tabs>
          <w:tab w:val="clear" w:pos="567"/>
        </w:tabs>
        <w:rPr/>
      </w:pPr>
      <w:r>
        <w:rPr/>
      </w:r>
    </w:p>
    <w:p>
      <w:pPr>
        <w:pStyle w:val="F21"/>
        <w:tabs>
          <w:tab w:val="clear" w:pos="567"/>
        </w:tabs>
        <w:rPr/>
      </w:pPr>
      <w:r>
        <w:rPr/>
        <w:t>(</w:t>
      </w:r>
      <w:r>
        <w:rPr/>
        <w:t>沒有議員表示想發言</w:t>
      </w:r>
      <w:r>
        <w:rPr/>
        <w:t>)</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eastAsia="華康中黑體"/>
          <w:b/>
        </w:rPr>
        <w:t>主席</w:t>
      </w:r>
      <w:r>
        <w:rPr/>
        <w:t>：我現在向各位提出上述待決議題，付諸表決。贊成的請舉手。</w:t>
      </w:r>
    </w:p>
    <w:p>
      <w:pPr>
        <w:pStyle w:val="F21"/>
        <w:tabs>
          <w:tab w:val="clear" w:pos="567"/>
        </w:tabs>
        <w:rPr/>
      </w:pPr>
      <w:r>
        <w:rPr/>
      </w:r>
    </w:p>
    <w:p>
      <w:pPr>
        <w:pStyle w:val="F21"/>
        <w:tabs>
          <w:tab w:val="clear" w:pos="567"/>
        </w:tabs>
        <w:rPr/>
      </w:pPr>
      <w:r>
        <w:rPr/>
        <w:t>(</w:t>
      </w:r>
      <w:r>
        <w:rPr/>
        <w:t>議員舉手</w:t>
      </w:r>
      <w:r>
        <w:rPr/>
        <w:t>)</w:t>
      </w:r>
    </w:p>
    <w:p>
      <w:pPr>
        <w:pStyle w:val="F21"/>
        <w:tabs>
          <w:tab w:val="clear" w:pos="567"/>
        </w:tabs>
        <w:rPr>
          <w:rFonts w:eastAsia="華康中黑體"/>
          <w:b/>
          <w:b/>
        </w:rPr>
      </w:pPr>
      <w:r>
        <w:rPr>
          <w:rFonts w:eastAsia="華康中黑體"/>
          <w:b/>
        </w:rPr>
      </w:r>
    </w:p>
    <w:p>
      <w:pPr>
        <w:pStyle w:val="F21"/>
        <w:tabs>
          <w:tab w:val="clear" w:pos="567"/>
        </w:tabs>
        <w:rPr>
          <w:rFonts w:eastAsia="華康中黑體"/>
          <w:b/>
          <w:b/>
        </w:rPr>
      </w:pPr>
      <w:r>
        <w:rPr>
          <w:rFonts w:eastAsia="華康中黑體"/>
          <w:b/>
        </w:rPr>
      </w:r>
    </w:p>
    <w:p>
      <w:pPr>
        <w:pStyle w:val="F21"/>
        <w:tabs>
          <w:tab w:val="clear" w:pos="567"/>
        </w:tabs>
        <w:rPr/>
      </w:pPr>
      <w:r>
        <w:rPr>
          <w:rFonts w:eastAsia="華康中黑體"/>
          <w:b/>
        </w:rPr>
        <w:t>主席</w:t>
      </w:r>
      <w:r>
        <w:rPr/>
        <w:t>：反對的請舉手。</w:t>
      </w:r>
    </w:p>
    <w:p>
      <w:pPr>
        <w:pStyle w:val="F21"/>
        <w:tabs>
          <w:tab w:val="clear" w:pos="567"/>
        </w:tabs>
        <w:rPr/>
      </w:pPr>
      <w:r>
        <w:rPr/>
      </w:r>
    </w:p>
    <w:p>
      <w:pPr>
        <w:pStyle w:val="F21"/>
        <w:tabs>
          <w:tab w:val="clear" w:pos="567"/>
        </w:tabs>
        <w:rPr/>
      </w:pPr>
      <w:r>
        <w:rPr/>
        <w:t>(</w:t>
      </w:r>
      <w:r>
        <w:rPr/>
        <w:t>沒有議員舉手</w:t>
      </w:r>
      <w:r>
        <w:rPr/>
        <w:t>)</w:t>
      </w:r>
    </w:p>
    <w:p>
      <w:pPr>
        <w:pStyle w:val="F21"/>
        <w:tabs>
          <w:tab w:val="clear" w:pos="567"/>
        </w:tabs>
        <w:rPr>
          <w:rFonts w:eastAsia="華康中黑體"/>
          <w:b/>
          <w:b/>
        </w:rPr>
      </w:pPr>
      <w:r>
        <w:rPr>
          <w:rFonts w:eastAsia="華康中黑體"/>
          <w:b/>
        </w:rPr>
      </w:r>
    </w:p>
    <w:p>
      <w:pPr>
        <w:pStyle w:val="F21"/>
        <w:tabs>
          <w:tab w:val="clear" w:pos="567"/>
        </w:tabs>
        <w:rPr>
          <w:rFonts w:eastAsia="華康中黑體"/>
          <w:b/>
          <w:b/>
        </w:rPr>
      </w:pPr>
      <w:r>
        <w:rPr>
          <w:rFonts w:eastAsia="華康中黑體"/>
          <w:b/>
        </w:rPr>
      </w:r>
    </w:p>
    <w:p>
      <w:pPr>
        <w:pStyle w:val="F21"/>
        <w:rPr>
          <w:rFonts w:cs="Times New Roman"/>
        </w:rPr>
      </w:pPr>
      <w:r>
        <w:rPr>
          <w:rFonts w:eastAsia="華康中黑體"/>
          <w:b/>
        </w:rPr>
        <w:t>主席</w:t>
      </w:r>
      <w:r>
        <w:rPr/>
        <w:t>：我認為議題獲得經由功能團體選舉產生及分區直接選舉產生的兩部分在席議員，分別以過半數贊成。我宣布議案獲得通過。</w:t>
      </w:r>
    </w:p>
    <w:p>
      <w:pPr>
        <w:pStyle w:val="F21"/>
        <w:tabs>
          <w:tab w:val="clear" w:pos="567"/>
        </w:tabs>
        <w:rPr>
          <w:rFonts w:eastAsia="華康中黑體"/>
          <w:b/>
          <w:b/>
        </w:rPr>
      </w:pPr>
      <w:r>
        <w:rPr>
          <w:rFonts w:eastAsia="華康中黑體"/>
          <w:b/>
        </w:rPr>
      </w:r>
    </w:p>
    <w:p>
      <w:pPr>
        <w:pStyle w:val="F21"/>
        <w:tabs>
          <w:tab w:val="clear" w:pos="567"/>
        </w:tabs>
        <w:rPr>
          <w:rFonts w:eastAsia="華康中黑體"/>
          <w:b/>
          <w:b/>
        </w:rPr>
      </w:pPr>
      <w:r>
        <w:rPr>
          <w:rFonts w:eastAsia="華康中黑體"/>
          <w:b/>
        </w:rPr>
      </w:r>
    </w:p>
    <w:p>
      <w:pPr>
        <w:pStyle w:val="F21"/>
        <w:rPr/>
      </w:pPr>
      <w:r>
        <w:rPr>
          <w:rFonts w:eastAsia="華康中黑體"/>
          <w:b/>
        </w:rPr>
        <w:t>主席</w:t>
      </w:r>
      <w:r>
        <w:rPr/>
        <w:t>：第二項議案：延展於</w:t>
      </w:r>
      <w:r>
        <w:rPr/>
        <w:t>2015</w:t>
      </w:r>
      <w:r>
        <w:rPr/>
        <w:t>年</w:t>
      </w:r>
      <w:r>
        <w:rPr/>
        <w:t>3</w:t>
      </w:r>
      <w:r>
        <w:rPr/>
        <w:t>月</w:t>
      </w:r>
      <w:r>
        <w:rPr/>
        <w:t>18</w:t>
      </w:r>
      <w:r>
        <w:rPr/>
        <w:t>日提交本會省覽的《</w:t>
      </w:r>
      <w:r>
        <w:rPr/>
        <w:t>2015</w:t>
      </w:r>
      <w:r>
        <w:rPr/>
        <w:t>年差餉</w:t>
      </w:r>
      <w:r>
        <w:rPr/>
        <w:t>(</w:t>
      </w:r>
      <w:r>
        <w:rPr/>
        <w:t>豁免</w:t>
      </w:r>
      <w:r>
        <w:rPr/>
        <w:t>)</w:t>
      </w:r>
      <w:r>
        <w:rPr/>
        <w:t>令》的修訂期限。</w:t>
      </w:r>
    </w:p>
    <w:p>
      <w:pPr>
        <w:pStyle w:val="F21"/>
        <w:rPr/>
      </w:pPr>
      <w:r>
        <w:rPr/>
      </w:r>
    </w:p>
    <w:p>
      <w:pPr>
        <w:pStyle w:val="F21"/>
        <w:rPr/>
      </w:pPr>
      <w:r>
        <w:rPr/>
        <w:tab/>
      </w:r>
      <w:r>
        <w:rPr/>
        <w:t>我現在請梁君彥議員發言及動議議案。</w:t>
      </w:r>
    </w:p>
    <w:p>
      <w:pPr>
        <w:pStyle w:val="F21"/>
        <w:spacing w:lineRule="exact" w:line="20"/>
        <w:rPr/>
      </w:pPr>
      <w:r>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rPr>
          <w:rFonts w:eastAsia="華康中黑體" w:cs="Times New Roman"/>
          <w:b/>
          <w:b/>
        </w:rPr>
      </w:pPr>
      <w:bookmarkStart w:id="84" w:name="mbm02"/>
      <w:r>
        <w:rPr>
          <w:rFonts w:cs="Times New Roman" w:eastAsia="華康中黑體"/>
          <w:b/>
        </w:rPr>
        <w:t>根據《釋義及通則條例》第</w:t>
      </w:r>
      <w:r>
        <w:rPr>
          <w:rFonts w:eastAsia="華康中黑體" w:cs="Times New Roman"/>
          <w:b/>
        </w:rPr>
        <w:t>34(4)</w:t>
      </w:r>
      <w:r>
        <w:rPr>
          <w:rFonts w:cs="Times New Roman" w:eastAsia="華康中黑體"/>
          <w:b/>
        </w:rPr>
        <w:t>條動議的擬議決議案</w:t>
      </w:r>
    </w:p>
    <w:p>
      <w:pPr>
        <w:pStyle w:val="Normal"/>
        <w:rPr>
          <w:b/>
          <w:b/>
          <w:caps/>
        </w:rPr>
      </w:pPr>
      <w:bookmarkStart w:id="85" w:name="mbm02"/>
      <w:r>
        <w:rPr>
          <w:b/>
          <w:caps/>
        </w:rPr>
        <w:t>Proposed resolution under section 34(4) of the Interpretation and General Clauses Ordinance</w:t>
      </w:r>
      <w:bookmarkEnd w:id="85"/>
    </w:p>
    <w:p>
      <w:pPr>
        <w:pStyle w:val="F21"/>
        <w:rPr>
          <w:rFonts w:cs="Times New Roman"/>
        </w:rPr>
      </w:pPr>
      <w:r>
        <w:rPr>
          <w:rFonts w:cs="Times New Roman"/>
        </w:rPr>
      </w:r>
    </w:p>
    <w:p>
      <w:pPr>
        <w:pStyle w:val="F21"/>
        <w:rPr/>
      </w:pPr>
      <w:r>
        <w:rPr>
          <w:rFonts w:eastAsia="華康中黑體"/>
          <w:b/>
        </w:rPr>
        <w:t>梁君彥</w:t>
      </w:r>
      <w:r>
        <w:rPr>
          <w:rFonts w:ascii="華康中黑體" w:hAnsi="華康中黑體" w:cs="華康中黑體" w:eastAsia="華康中黑體"/>
          <w:b/>
        </w:rPr>
        <w:t>議員</w:t>
      </w:r>
      <w:r>
        <w:rPr/>
        <w:t>：主席，本人謹動議載列於議程內的議案。</w:t>
      </w:r>
    </w:p>
    <w:p>
      <w:pPr>
        <w:pStyle w:val="F21"/>
        <w:rPr/>
      </w:pPr>
      <w:r>
        <w:rPr/>
      </w:r>
    </w:p>
    <w:p>
      <w:pPr>
        <w:pStyle w:val="F21"/>
        <w:rPr/>
      </w:pPr>
      <w:r>
        <w:rPr/>
        <w:tab/>
      </w:r>
      <w:r>
        <w:rPr/>
        <w:t>在</w:t>
      </w:r>
      <w:r>
        <w:rPr/>
        <w:t>2015</w:t>
      </w:r>
      <w:r>
        <w:rPr/>
        <w:t>年</w:t>
      </w:r>
      <w:r>
        <w:rPr/>
        <w:t>2</w:t>
      </w:r>
      <w:r>
        <w:rPr/>
        <w:t>月</w:t>
      </w:r>
      <w:r>
        <w:rPr/>
        <w:t>27</w:t>
      </w:r>
      <w:r>
        <w:rPr/>
        <w:t>日的內務委員會會議上，議員決定成立小組委員會，研究《</w:t>
      </w:r>
      <w:r>
        <w:rPr/>
        <w:t>2015</w:t>
      </w:r>
      <w:r>
        <w:rPr/>
        <w:t>年差餉</w:t>
      </w:r>
      <w:r>
        <w:rPr/>
        <w:t>(</w:t>
      </w:r>
      <w:r>
        <w:rPr/>
        <w:t>豁免</w:t>
      </w:r>
      <w:r>
        <w:rPr/>
        <w:t>)</w:t>
      </w:r>
      <w:r>
        <w:rPr/>
        <w:t>令》。為了讓小組委員會有足夠時間向內務委員會報告審議結果，本人謹代表小組委員會，動議將上述附屬法例的審議期限，延展至</w:t>
      </w:r>
      <w:r>
        <w:rPr/>
        <w:t>2015</w:t>
      </w:r>
      <w:r>
        <w:rPr/>
        <w:t>年</w:t>
      </w:r>
      <w:r>
        <w:rPr/>
        <w:t>5</w:t>
      </w:r>
      <w:r>
        <w:rPr/>
        <w:t>月</w:t>
      </w:r>
      <w:r>
        <w:rPr/>
        <w:t>6</w:t>
      </w:r>
      <w:r>
        <w:rPr/>
        <w:t>日。</w:t>
      </w:r>
    </w:p>
    <w:p>
      <w:pPr>
        <w:pStyle w:val="F21"/>
        <w:rPr/>
      </w:pPr>
      <w:r>
        <w:rPr/>
      </w:r>
    </w:p>
    <w:p>
      <w:pPr>
        <w:pStyle w:val="F21"/>
        <w:rPr/>
      </w:pPr>
      <w:r>
        <w:rPr/>
        <w:tab/>
      </w:r>
      <w:r>
        <w:rPr/>
        <w:t>請議員支持議案。</w:t>
      </w:r>
    </w:p>
    <w:p>
      <w:pPr>
        <w:pStyle w:val="F21"/>
        <w:rPr>
          <w:rFonts w:cs="Times New Roman"/>
        </w:rPr>
      </w:pPr>
      <w:r>
        <w:rPr>
          <w:rFonts w:cs="Times New Roman"/>
        </w:rPr>
      </w:r>
    </w:p>
    <w:p>
      <w:pPr>
        <w:pStyle w:val="F21"/>
        <w:rPr>
          <w:rFonts w:cs="Times New Roman"/>
        </w:rPr>
      </w:pPr>
      <w:r>
        <w:rPr>
          <w:rFonts w:cs="Times New Roman" w:eastAsia="華康中黑體"/>
          <w:b/>
        </w:rPr>
        <w:t>梁君彥議員動議的議案如下</w:t>
      </w:r>
      <w:r>
        <w:rPr>
          <w:rFonts w:cs="Times New Roman"/>
        </w:rPr>
        <w:t>：</w:t>
      </w:r>
    </w:p>
    <w:p>
      <w:pPr>
        <w:pStyle w:val="F21"/>
        <w:rPr>
          <w:rFonts w:cs="Times New Roman"/>
        </w:rPr>
      </w:pPr>
      <w:r>
        <w:rPr>
          <w:rFonts w:cs="Times New Roman"/>
        </w:rPr>
      </w:r>
    </w:p>
    <w:p>
      <w:pPr>
        <w:pStyle w:val="F21"/>
        <w:ind w:left="1276" w:hanging="709"/>
        <w:rPr>
          <w:rFonts w:cs="Times New Roman"/>
          <w:spacing w:val="22"/>
        </w:rPr>
      </w:pPr>
      <w:r>
        <w:rPr>
          <w:rFonts w:cs="Times New Roman"/>
          <w:spacing w:val="22"/>
        </w:rPr>
        <w:t>“</w:t>
      </w:r>
      <w:r>
        <w:rPr>
          <w:rFonts w:cs="Times New Roman"/>
          <w:spacing w:val="22"/>
        </w:rPr>
        <w:t>議決就</w:t>
      </w:r>
      <w:r>
        <w:rPr>
          <w:rFonts w:cs="Times New Roman"/>
          <w:spacing w:val="22"/>
        </w:rPr>
        <w:t>2015</w:t>
      </w:r>
      <w:r>
        <w:rPr>
          <w:rFonts w:cs="Times New Roman"/>
          <w:spacing w:val="22"/>
        </w:rPr>
        <w:t>年</w:t>
      </w:r>
      <w:r>
        <w:rPr>
          <w:rFonts w:cs="Times New Roman"/>
          <w:spacing w:val="22"/>
        </w:rPr>
        <w:t>3</w:t>
      </w:r>
      <w:r>
        <w:rPr>
          <w:rFonts w:cs="Times New Roman"/>
          <w:spacing w:val="22"/>
        </w:rPr>
        <w:t>月</w:t>
      </w:r>
      <w:r>
        <w:rPr>
          <w:rFonts w:cs="Times New Roman"/>
          <w:spacing w:val="22"/>
        </w:rPr>
        <w:t>18</w:t>
      </w:r>
      <w:r>
        <w:rPr>
          <w:rFonts w:cs="Times New Roman"/>
          <w:spacing w:val="22"/>
        </w:rPr>
        <w:t>日提交立法會會議省覽的《</w:t>
      </w:r>
      <w:r>
        <w:rPr>
          <w:rFonts w:cs="Times New Roman"/>
          <w:spacing w:val="22"/>
        </w:rPr>
        <w:t>2015</w:t>
      </w:r>
      <w:r>
        <w:rPr>
          <w:rFonts w:cs="Times New Roman"/>
          <w:spacing w:val="22"/>
        </w:rPr>
        <w:t>年差餉</w:t>
      </w:r>
      <w:r>
        <w:rPr>
          <w:rFonts w:cs="Times New Roman"/>
          <w:spacing w:val="22"/>
        </w:rPr>
        <w:t>(</w:t>
      </w:r>
      <w:r>
        <w:rPr>
          <w:rFonts w:cs="Times New Roman"/>
          <w:spacing w:val="22"/>
        </w:rPr>
        <w:t>豁免</w:t>
      </w:r>
      <w:r>
        <w:rPr>
          <w:rFonts w:cs="Times New Roman"/>
          <w:spacing w:val="22"/>
        </w:rPr>
        <w:t>)</w:t>
      </w:r>
      <w:r>
        <w:rPr>
          <w:rFonts w:cs="Times New Roman"/>
          <w:spacing w:val="22"/>
        </w:rPr>
        <w:t>令》</w:t>
      </w:r>
      <w:r>
        <w:rPr>
          <w:rFonts w:cs="Times New Roman"/>
          <w:spacing w:val="22"/>
        </w:rPr>
        <w:t>(</w:t>
      </w:r>
      <w:r>
        <w:rPr>
          <w:rFonts w:cs="Times New Roman"/>
          <w:spacing w:val="22"/>
        </w:rPr>
        <w:t>即刊登於憲報的</w:t>
      </w:r>
      <w:r>
        <w:rPr>
          <w:rFonts w:cs="Times New Roman"/>
          <w:spacing w:val="22"/>
        </w:rPr>
        <w:t>2015</w:t>
      </w:r>
      <w:r>
        <w:rPr>
          <w:rFonts w:cs="Times New Roman"/>
          <w:spacing w:val="22"/>
        </w:rPr>
        <w:t>年第</w:t>
      </w:r>
      <w:r>
        <w:rPr>
          <w:rFonts w:cs="Times New Roman"/>
          <w:spacing w:val="22"/>
        </w:rPr>
        <w:t>42</w:t>
      </w:r>
      <w:r>
        <w:rPr>
          <w:rFonts w:cs="Times New Roman"/>
          <w:spacing w:val="22"/>
        </w:rPr>
        <w:t>號法律公告</w:t>
      </w:r>
      <w:r>
        <w:rPr>
          <w:rFonts w:cs="Times New Roman"/>
          <w:spacing w:val="22"/>
        </w:rPr>
        <w:t>)</w:t>
      </w:r>
      <w:r>
        <w:rPr>
          <w:rFonts w:cs="Times New Roman"/>
          <w:spacing w:val="22"/>
        </w:rPr>
        <w:t>，將《釋義及通則條例》</w:t>
      </w:r>
      <w:r>
        <w:rPr>
          <w:rFonts w:cs="Times New Roman"/>
          <w:spacing w:val="22"/>
        </w:rPr>
        <w:t>(</w:t>
      </w:r>
      <w:r>
        <w:rPr>
          <w:rFonts w:cs="Times New Roman"/>
          <w:spacing w:val="22"/>
        </w:rPr>
        <w:t>第</w:t>
      </w:r>
      <w:r>
        <w:rPr>
          <w:rFonts w:cs="Times New Roman"/>
          <w:spacing w:val="22"/>
        </w:rPr>
        <w:t>1</w:t>
      </w:r>
      <w:r>
        <w:rPr>
          <w:rFonts w:cs="Times New Roman"/>
          <w:spacing w:val="22"/>
        </w:rPr>
        <w:t>章</w:t>
      </w:r>
      <w:r>
        <w:rPr>
          <w:rFonts w:cs="Times New Roman"/>
          <w:spacing w:val="22"/>
        </w:rPr>
        <w:t>)</w:t>
      </w:r>
      <w:r>
        <w:rPr>
          <w:rFonts w:cs="Times New Roman"/>
          <w:spacing w:val="22"/>
        </w:rPr>
        <w:t>第</w:t>
      </w:r>
      <w:r>
        <w:rPr>
          <w:rFonts w:cs="Times New Roman"/>
          <w:spacing w:val="22"/>
        </w:rPr>
        <w:t>34(2)</w:t>
      </w:r>
      <w:r>
        <w:rPr>
          <w:rFonts w:cs="Times New Roman"/>
          <w:spacing w:val="22"/>
        </w:rPr>
        <w:t>條所提述的附屬法例修訂期限根據該條例第</w:t>
      </w:r>
      <w:r>
        <w:rPr>
          <w:rFonts w:cs="Times New Roman"/>
          <w:spacing w:val="22"/>
        </w:rPr>
        <w:t>34(4)</w:t>
      </w:r>
      <w:r>
        <w:rPr>
          <w:rFonts w:cs="Times New Roman"/>
          <w:spacing w:val="22"/>
        </w:rPr>
        <w:t>條延展至</w:t>
      </w:r>
      <w:r>
        <w:rPr>
          <w:rFonts w:cs="Times New Roman"/>
          <w:spacing w:val="22"/>
        </w:rPr>
        <w:t>2015</w:t>
      </w:r>
      <w:r>
        <w:rPr>
          <w:rFonts w:cs="Times New Roman"/>
          <w:spacing w:val="22"/>
        </w:rPr>
        <w:t>年</w:t>
      </w:r>
      <w:r>
        <w:rPr>
          <w:rFonts w:cs="Times New Roman"/>
          <w:spacing w:val="22"/>
        </w:rPr>
        <w:t>5</w:t>
      </w:r>
      <w:r>
        <w:rPr>
          <w:rFonts w:cs="Times New Roman"/>
          <w:spacing w:val="22"/>
        </w:rPr>
        <w:t>月</w:t>
      </w:r>
      <w:r>
        <w:rPr>
          <w:rFonts w:cs="Times New Roman"/>
          <w:spacing w:val="22"/>
        </w:rPr>
        <w:t>6</w:t>
      </w:r>
      <w:r>
        <w:rPr>
          <w:rFonts w:cs="Times New Roman"/>
          <w:spacing w:val="22"/>
        </w:rPr>
        <w:t>日的會議。”</w:t>
      </w:r>
    </w:p>
    <w:p>
      <w:pPr>
        <w:pStyle w:val="F21"/>
        <w:tabs>
          <w:tab w:val="clear" w:pos="567"/>
        </w:tabs>
        <w:rPr>
          <w:rFonts w:eastAsia="華康中黑體"/>
          <w:b/>
          <w:b/>
        </w:rPr>
      </w:pPr>
      <w:r>
        <w:rPr>
          <w:rFonts w:eastAsia="華康中黑體"/>
          <w:b/>
        </w:rPr>
      </w:r>
    </w:p>
    <w:p>
      <w:pPr>
        <w:pStyle w:val="F21"/>
        <w:tabs>
          <w:tab w:val="clear" w:pos="567"/>
        </w:tabs>
        <w:rPr>
          <w:rFonts w:eastAsia="華康中黑體"/>
          <w:b/>
          <w:b/>
        </w:rPr>
      </w:pPr>
      <w:r>
        <w:rPr>
          <w:rFonts w:eastAsia="華康中黑體"/>
          <w:b/>
        </w:rPr>
      </w:r>
    </w:p>
    <w:p>
      <w:pPr>
        <w:pStyle w:val="F21"/>
        <w:rPr>
          <w:rFonts w:cs="Times New Roman"/>
        </w:rPr>
      </w:pPr>
      <w:r>
        <w:rPr>
          <w:rFonts w:eastAsia="華康中黑體"/>
          <w:b/>
        </w:rPr>
        <w:t>主席</w:t>
      </w:r>
      <w:r>
        <w:rPr/>
        <w:t>：我現在向各位提出的待議議題是：梁君彥議員動議的議案，予以通過。</w:t>
      </w:r>
    </w:p>
    <w:p>
      <w:pPr>
        <w:pStyle w:val="F21"/>
        <w:tabs>
          <w:tab w:val="clear" w:pos="567"/>
        </w:tabs>
        <w:rPr>
          <w:rFonts w:eastAsia="華康中黑體"/>
          <w:b/>
          <w:b/>
        </w:rPr>
      </w:pPr>
      <w:r>
        <w:rPr>
          <w:rFonts w:eastAsia="華康中黑體"/>
          <w:b/>
        </w:rPr>
      </w:r>
    </w:p>
    <w:p>
      <w:pPr>
        <w:pStyle w:val="F21"/>
        <w:tabs>
          <w:tab w:val="clear" w:pos="567"/>
        </w:tabs>
        <w:rPr>
          <w:rFonts w:eastAsia="華康中黑體"/>
          <w:b/>
          <w:b/>
        </w:rPr>
      </w:pPr>
      <w:r>
        <w:rPr>
          <w:rFonts w:eastAsia="華康中黑體"/>
          <w:b/>
        </w:rPr>
      </w:r>
    </w:p>
    <w:p>
      <w:pPr>
        <w:pStyle w:val="F21"/>
        <w:rPr>
          <w:rFonts w:cs="Times New Roman"/>
        </w:rPr>
      </w:pPr>
      <w:r>
        <w:rPr>
          <w:rFonts w:eastAsia="華康中黑體"/>
          <w:b/>
        </w:rPr>
        <w:t>主席</w:t>
      </w:r>
      <w:r>
        <w:rPr/>
        <w:t>：是否有議員想發言？</w:t>
      </w:r>
    </w:p>
    <w:p>
      <w:pPr>
        <w:pStyle w:val="F21"/>
        <w:tabs>
          <w:tab w:val="clear" w:pos="567"/>
        </w:tabs>
        <w:rPr/>
      </w:pPr>
      <w:r>
        <w:rPr/>
      </w:r>
    </w:p>
    <w:p>
      <w:pPr>
        <w:pStyle w:val="F21"/>
        <w:tabs>
          <w:tab w:val="clear" w:pos="567"/>
        </w:tabs>
        <w:rPr/>
      </w:pPr>
      <w:r>
        <w:rPr/>
        <w:t>(</w:t>
      </w:r>
      <w:r>
        <w:rPr/>
        <w:t>沒有議員表示想發言</w:t>
      </w:r>
      <w:r>
        <w:rPr/>
        <w:t>)</w:t>
      </w:r>
    </w:p>
    <w:p>
      <w:pPr>
        <w:pStyle w:val="F21"/>
        <w:tabs>
          <w:tab w:val="clear" w:pos="567"/>
        </w:tabs>
        <w:rPr>
          <w:rFonts w:eastAsia="華康中黑體"/>
          <w:b/>
          <w:b/>
        </w:rPr>
      </w:pPr>
      <w:r>
        <w:rPr>
          <w:rFonts w:eastAsia="華康中黑體"/>
          <w:b/>
        </w:rPr>
      </w:r>
    </w:p>
    <w:p>
      <w:pPr>
        <w:pStyle w:val="F21"/>
        <w:tabs>
          <w:tab w:val="clear" w:pos="567"/>
        </w:tabs>
        <w:rPr>
          <w:rFonts w:eastAsia="華康中黑體"/>
          <w:b/>
          <w:b/>
        </w:rPr>
      </w:pPr>
      <w:r>
        <w:rPr>
          <w:rFonts w:eastAsia="華康中黑體"/>
          <w:b/>
        </w:rPr>
      </w:r>
    </w:p>
    <w:p>
      <w:pPr>
        <w:pStyle w:val="F21"/>
        <w:rPr>
          <w:rFonts w:cs="Times New Roman"/>
        </w:rPr>
      </w:pPr>
      <w:r>
        <w:rPr>
          <w:rFonts w:eastAsia="華康中黑體"/>
          <w:b/>
        </w:rPr>
        <w:t>主席</w:t>
      </w:r>
      <w:r>
        <w:rPr/>
        <w:t>：我現在向各位提出上述待決議題，付諸表決。贊成的請舉手。</w:t>
      </w:r>
    </w:p>
    <w:p>
      <w:pPr>
        <w:pStyle w:val="F21"/>
        <w:tabs>
          <w:tab w:val="clear" w:pos="567"/>
        </w:tabs>
        <w:rPr/>
      </w:pPr>
      <w:r>
        <w:rPr/>
      </w:r>
    </w:p>
    <w:p>
      <w:pPr>
        <w:pStyle w:val="F21"/>
        <w:tabs>
          <w:tab w:val="clear" w:pos="567"/>
        </w:tabs>
        <w:rPr/>
      </w:pPr>
      <w:r>
        <w:rPr/>
        <w:t>(</w:t>
      </w:r>
      <w:r>
        <w:rPr/>
        <w:t>議員舉手</w:t>
      </w:r>
      <w:r>
        <w:rPr/>
        <w:t>)</w:t>
      </w:r>
    </w:p>
    <w:p>
      <w:pPr>
        <w:pStyle w:val="F21"/>
        <w:tabs>
          <w:tab w:val="clear" w:pos="567"/>
        </w:tabs>
        <w:rPr>
          <w:rFonts w:eastAsia="華康中黑體"/>
          <w:b/>
          <w:b/>
        </w:rPr>
      </w:pPr>
      <w:r>
        <w:rPr>
          <w:rFonts w:eastAsia="華康中黑體"/>
          <w:b/>
        </w:rPr>
      </w:r>
    </w:p>
    <w:p>
      <w:pPr>
        <w:pStyle w:val="F21"/>
        <w:tabs>
          <w:tab w:val="clear" w:pos="567"/>
        </w:tabs>
        <w:rPr>
          <w:rFonts w:eastAsia="華康中黑體"/>
          <w:b/>
          <w:b/>
        </w:rPr>
      </w:pPr>
      <w:r>
        <w:rPr>
          <w:rFonts w:eastAsia="華康中黑體"/>
          <w:b/>
        </w:rPr>
      </w:r>
    </w:p>
    <w:p>
      <w:pPr>
        <w:pStyle w:val="F21"/>
        <w:tabs>
          <w:tab w:val="clear" w:pos="567"/>
        </w:tabs>
        <w:rPr/>
      </w:pPr>
      <w:r>
        <w:rPr>
          <w:rFonts w:eastAsia="華康中黑體"/>
          <w:b/>
        </w:rPr>
        <w:t>主席</w:t>
      </w:r>
      <w:r>
        <w:rPr/>
        <w:t>：反對的請舉手。</w:t>
      </w:r>
    </w:p>
    <w:p>
      <w:pPr>
        <w:pStyle w:val="F21"/>
        <w:tabs>
          <w:tab w:val="clear" w:pos="567"/>
        </w:tabs>
        <w:rPr/>
      </w:pPr>
      <w:r>
        <w:rPr/>
      </w:r>
    </w:p>
    <w:p>
      <w:pPr>
        <w:pStyle w:val="F21"/>
        <w:tabs>
          <w:tab w:val="clear" w:pos="567"/>
        </w:tabs>
        <w:rPr/>
      </w:pPr>
      <w:r>
        <w:rPr/>
        <w:t>(</w:t>
      </w:r>
      <w:r>
        <w:rPr/>
        <w:t>沒有議員舉手</w:t>
      </w:r>
      <w:r>
        <w:rPr/>
        <w:t>)</w:t>
      </w:r>
    </w:p>
    <w:p>
      <w:pPr>
        <w:pStyle w:val="F21"/>
        <w:tabs>
          <w:tab w:val="clear" w:pos="567"/>
        </w:tabs>
        <w:spacing w:lineRule="exact" w:line="20"/>
        <w:rPr>
          <w:rFonts w:eastAsia="華康中黑體"/>
          <w:b/>
          <w:b/>
        </w:rPr>
      </w:pPr>
      <w:r>
        <w:rPr>
          <w:rFonts w:eastAsia="華康中黑體"/>
          <w:b/>
        </w:rPr>
      </w:r>
    </w:p>
    <w:p>
      <w:pPr>
        <w:pStyle w:val="Normal"/>
        <w:widowControl/>
        <w:tabs>
          <w:tab w:val="clear" w:pos="720"/>
        </w:tabs>
        <w:spacing w:lineRule="exact" w:line="20"/>
        <w:jc w:val="left"/>
        <w:rPr>
          <w:rFonts w:eastAsia="華康中黑體" w:cs="" w:cstheme="minorBidi"/>
          <w:b/>
          <w:b/>
          <w:spacing w:val="20"/>
          <w:sz w:val="27"/>
          <w:szCs w:val="22"/>
          <w:lang w:val="en-US"/>
        </w:rPr>
      </w:pPr>
      <w:r>
        <w:rPr>
          <w:rFonts w:eastAsia="華康中黑體" w:cs="" w:cstheme="minorBidi"/>
          <w:b/>
          <w:spacing w:val="20"/>
          <w:sz w:val="27"/>
          <w:szCs w:val="22"/>
          <w:lang w:val="en-US"/>
        </w:rPr>
      </w:r>
      <w:r>
        <w:br w:type="page"/>
      </w:r>
    </w:p>
    <w:p>
      <w:pPr>
        <w:pStyle w:val="F21"/>
        <w:spacing w:lineRule="atLeast" w:line="380"/>
        <w:rPr>
          <w:rFonts w:cs="Times New Roman"/>
        </w:rPr>
      </w:pPr>
      <w:r>
        <w:rPr>
          <w:rFonts w:eastAsia="華康中黑體"/>
          <w:b/>
        </w:rPr>
        <w:t>主席</w:t>
      </w:r>
      <w:r>
        <w:rPr/>
        <w:t>：我認為議題獲得經由功能團體選舉產生及分區直接選舉產生的兩部分在席議員，分別以過半數贊成。我宣布議案獲得通過。</w:t>
      </w:r>
    </w:p>
    <w:p>
      <w:pPr>
        <w:pStyle w:val="F21"/>
        <w:tabs>
          <w:tab w:val="clear" w:pos="567"/>
        </w:tabs>
        <w:spacing w:lineRule="atLeast" w:line="380"/>
        <w:rPr>
          <w:rFonts w:eastAsia="華康中黑體"/>
          <w:b/>
          <w:b/>
        </w:rPr>
      </w:pPr>
      <w:r>
        <w:rPr>
          <w:rFonts w:eastAsia="華康中黑體"/>
          <w:b/>
        </w:rPr>
      </w:r>
    </w:p>
    <w:p>
      <w:pPr>
        <w:pStyle w:val="F21"/>
        <w:tabs>
          <w:tab w:val="clear" w:pos="567"/>
        </w:tabs>
        <w:spacing w:lineRule="atLeast" w:line="380"/>
        <w:rPr>
          <w:rFonts w:eastAsia="華康中黑體"/>
          <w:b/>
          <w:b/>
        </w:rPr>
      </w:pPr>
      <w:r>
        <w:rPr>
          <w:rFonts w:eastAsia="華康中黑體"/>
          <w:b/>
        </w:rPr>
      </w:r>
    </w:p>
    <w:p>
      <w:pPr>
        <w:pStyle w:val="F21"/>
        <w:spacing w:lineRule="atLeast" w:line="380"/>
        <w:rPr/>
      </w:pPr>
      <w:r>
        <w:rPr>
          <w:rFonts w:eastAsia="華康中黑體"/>
          <w:b/>
        </w:rPr>
        <w:t>主席</w:t>
      </w:r>
      <w:r>
        <w:rPr/>
        <w:t>：第三項議案：延展於</w:t>
      </w:r>
      <w:r>
        <w:rPr/>
        <w:t>2015</w:t>
      </w:r>
      <w:r>
        <w:rPr/>
        <w:t>年</w:t>
      </w:r>
      <w:r>
        <w:rPr/>
        <w:t>3</w:t>
      </w:r>
      <w:r>
        <w:rPr/>
        <w:t>月</w:t>
      </w:r>
      <w:r>
        <w:rPr/>
        <w:t>18</w:t>
      </w:r>
      <w:r>
        <w:rPr/>
        <w:t>日提交本會省覽的《</w:t>
      </w:r>
      <w:r>
        <w:rPr/>
        <w:t>2015</w:t>
      </w:r>
      <w:r>
        <w:rPr/>
        <w:t>年區議會條例</w:t>
      </w:r>
      <w:r>
        <w:rPr/>
        <w:t>(</w:t>
      </w:r>
      <w:r>
        <w:rPr/>
        <w:t>修訂附表</w:t>
      </w:r>
      <w:r>
        <w:rPr/>
        <w:t>7)</w:t>
      </w:r>
      <w:r>
        <w:rPr/>
        <w:t>令》及《</w:t>
      </w:r>
      <w:r>
        <w:rPr/>
        <w:t>2015</w:t>
      </w:r>
      <w:r>
        <w:rPr/>
        <w:t>年選舉開支最高限額</w:t>
      </w:r>
      <w:r>
        <w:rPr/>
        <w:t>(</w:t>
      </w:r>
      <w:r>
        <w:rPr/>
        <w:t>區議會選舉</w:t>
      </w:r>
      <w:r>
        <w:rPr/>
        <w:t>)(</w:t>
      </w:r>
      <w:r>
        <w:rPr/>
        <w:t>修訂</w:t>
      </w:r>
      <w:r>
        <w:rPr/>
        <w:t>)</w:t>
      </w:r>
      <w:r>
        <w:rPr/>
        <w:t>規例》的修訂期限。</w:t>
      </w:r>
    </w:p>
    <w:p>
      <w:pPr>
        <w:pStyle w:val="F21"/>
        <w:spacing w:lineRule="atLeast" w:line="380"/>
        <w:rPr/>
      </w:pPr>
      <w:r>
        <w:rPr/>
      </w:r>
    </w:p>
    <w:p>
      <w:pPr>
        <w:pStyle w:val="F21"/>
        <w:spacing w:lineRule="atLeast" w:line="380"/>
        <w:rPr/>
      </w:pPr>
      <w:r>
        <w:rPr/>
        <w:tab/>
      </w:r>
      <w:r>
        <w:rPr/>
        <w:t>我現在請葉國謙議員發言及動議議案。</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rFonts w:eastAsia="華康中黑體" w:cs="Times New Roman"/>
          <w:b/>
          <w:b/>
        </w:rPr>
      </w:pPr>
      <w:bookmarkStart w:id="86" w:name="mbm03"/>
      <w:r>
        <w:rPr>
          <w:rFonts w:cs="Times New Roman" w:eastAsia="華康中黑體"/>
          <w:b/>
        </w:rPr>
        <w:t>根據《釋義及通則條例》第</w:t>
      </w:r>
      <w:r>
        <w:rPr>
          <w:rFonts w:eastAsia="華康中黑體" w:cs="Times New Roman"/>
          <w:b/>
        </w:rPr>
        <w:t>34(4)</w:t>
      </w:r>
      <w:r>
        <w:rPr>
          <w:rFonts w:cs="Times New Roman" w:eastAsia="華康中黑體"/>
          <w:b/>
        </w:rPr>
        <w:t>條動議的擬議決議案</w:t>
      </w:r>
    </w:p>
    <w:p>
      <w:pPr>
        <w:pStyle w:val="Normal"/>
        <w:spacing w:lineRule="atLeast" w:line="380"/>
        <w:rPr>
          <w:b/>
          <w:b/>
          <w:caps/>
        </w:rPr>
      </w:pPr>
      <w:bookmarkStart w:id="87" w:name="mbm03"/>
      <w:r>
        <w:rPr>
          <w:b/>
          <w:caps/>
        </w:rPr>
        <w:t>Proposed resolution under section 34(4) of the Interpretation and General Clauses Ordinance</w:t>
      </w:r>
      <w:bookmarkEnd w:id="87"/>
    </w:p>
    <w:p>
      <w:pPr>
        <w:pStyle w:val="F21"/>
        <w:spacing w:lineRule="atLeast" w:line="380"/>
        <w:rPr>
          <w:rFonts w:cs="Times New Roman"/>
        </w:rPr>
      </w:pPr>
      <w:r>
        <w:rPr>
          <w:rFonts w:cs="Times New Roman"/>
        </w:rPr>
      </w:r>
    </w:p>
    <w:p>
      <w:pPr>
        <w:pStyle w:val="F21"/>
        <w:spacing w:lineRule="atLeast" w:line="380"/>
        <w:rPr/>
      </w:pPr>
      <w:r>
        <w:rPr>
          <w:rFonts w:cs="華康中黑體" w:eastAsia="華康中黑體"/>
          <w:b/>
        </w:rPr>
        <w:t>葉國謙議員</w:t>
      </w:r>
      <w:r>
        <w:rPr/>
        <w:t>：主席，本人謹以《</w:t>
      </w:r>
      <w:r>
        <w:rPr/>
        <w:t>2015</w:t>
      </w:r>
      <w:r>
        <w:rPr/>
        <w:t>年區議會條例</w:t>
      </w:r>
      <w:r>
        <w:rPr/>
        <w:t>(</w:t>
      </w:r>
      <w:r>
        <w:rPr/>
        <w:t>修訂附表</w:t>
      </w:r>
      <w:r>
        <w:rPr/>
        <w:t>7)</w:t>
      </w:r>
      <w:r>
        <w:rPr/>
        <w:t>令》及《</w:t>
      </w:r>
      <w:r>
        <w:rPr/>
        <w:t>2015</w:t>
      </w:r>
      <w:r>
        <w:rPr/>
        <w:t>年選舉開支最高限額</w:t>
      </w:r>
      <w:r>
        <w:rPr/>
        <w:t>(</w:t>
      </w:r>
      <w:r>
        <w:rPr/>
        <w:t>區議會選舉</w:t>
      </w:r>
      <w:r>
        <w:rPr/>
        <w:t>)(</w:t>
      </w:r>
      <w:r>
        <w:rPr/>
        <w:t>修訂</w:t>
      </w:r>
      <w:r>
        <w:rPr/>
        <w:t>)</w:t>
      </w:r>
      <w:r>
        <w:rPr/>
        <w:t>規例》小組委員會主席的身份動議議案，將議案所載的附屬法例的審議期限，延展至</w:t>
      </w:r>
      <w:r>
        <w:rPr/>
        <w:t>2015</w:t>
      </w:r>
      <w:r>
        <w:rPr/>
        <w:t>年</w:t>
      </w:r>
      <w:r>
        <w:rPr/>
        <w:t>5</w:t>
      </w:r>
      <w:r>
        <w:rPr/>
        <w:t>月</w:t>
      </w:r>
      <w:r>
        <w:rPr/>
        <w:t>6</w:t>
      </w:r>
      <w:r>
        <w:rPr/>
        <w:t>日。</w:t>
      </w:r>
    </w:p>
    <w:p>
      <w:pPr>
        <w:pStyle w:val="F21"/>
        <w:spacing w:lineRule="atLeast" w:line="380"/>
        <w:rPr/>
      </w:pPr>
      <w:r>
        <w:rPr/>
      </w:r>
    </w:p>
    <w:p>
      <w:pPr>
        <w:pStyle w:val="F21"/>
        <w:spacing w:lineRule="atLeast" w:line="380"/>
        <w:rPr/>
      </w:pPr>
      <w:r>
        <w:rPr/>
        <w:tab/>
      </w:r>
      <w:r>
        <w:rPr/>
        <w:t>在</w:t>
      </w:r>
      <w:r>
        <w:rPr/>
        <w:t>2015</w:t>
      </w:r>
      <w:r>
        <w:rPr/>
        <w:t>年</w:t>
      </w:r>
      <w:r>
        <w:rPr/>
        <w:t>3</w:t>
      </w:r>
      <w:r>
        <w:rPr/>
        <w:t>月</w:t>
      </w:r>
      <w:r>
        <w:rPr/>
        <w:t>13</w:t>
      </w:r>
      <w:r>
        <w:rPr/>
        <w:t>日內務委員會會議上，議員決定成立小組委員會，研究議案所載的附屬法例。由於小組委員會需要更多時間進行審議工作，謹請議員支持議案，將議案所載的附屬法例的審議期，延展至</w:t>
      </w:r>
      <w:r>
        <w:rPr/>
        <w:t>2015</w:t>
      </w:r>
      <w:r>
        <w:rPr/>
        <w:t>年</w:t>
      </w:r>
      <w:r>
        <w:rPr/>
        <w:t>5</w:t>
      </w:r>
      <w:r>
        <w:rPr/>
        <w:t>月</w:t>
      </w:r>
      <w:r>
        <w:rPr/>
        <w:t>6</w:t>
      </w:r>
      <w:r>
        <w:rPr/>
        <w:t>日。</w:t>
      </w:r>
    </w:p>
    <w:p>
      <w:pPr>
        <w:pStyle w:val="F21"/>
        <w:spacing w:lineRule="atLeast" w:line="380"/>
        <w:rPr/>
      </w:pPr>
      <w:r>
        <w:rPr/>
      </w:r>
    </w:p>
    <w:p>
      <w:pPr>
        <w:pStyle w:val="F21"/>
        <w:spacing w:lineRule="atLeast" w:line="380"/>
        <w:rPr/>
      </w:pPr>
      <w:r>
        <w:rPr/>
        <w:tab/>
      </w:r>
      <w:r>
        <w:rPr/>
        <w:t>多謝主席。</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eastAsia="華康中黑體"/>
          <w:b/>
        </w:rPr>
        <w:t>葉國謙議員動議的議案如下</w:t>
      </w:r>
      <w:r>
        <w:rPr>
          <w:rFonts w:cs="Times New Roman"/>
        </w:rPr>
        <w:t>：</w:t>
      </w:r>
    </w:p>
    <w:p>
      <w:pPr>
        <w:pStyle w:val="F21"/>
        <w:spacing w:lineRule="atLeast" w:line="380"/>
        <w:rPr>
          <w:rFonts w:cs="Times New Roman"/>
        </w:rPr>
      </w:pPr>
      <w:r>
        <w:rPr>
          <w:rFonts w:cs="Times New Roman"/>
        </w:rPr>
      </w:r>
    </w:p>
    <w:p>
      <w:pPr>
        <w:pStyle w:val="F21"/>
        <w:spacing w:lineRule="atLeast" w:line="380"/>
        <w:ind w:left="709" w:hanging="142"/>
        <w:rPr>
          <w:rFonts w:cs="Times New Roman"/>
          <w:spacing w:val="22"/>
        </w:rPr>
      </w:pPr>
      <w:r>
        <w:rPr>
          <w:rFonts w:cs="Times New Roman"/>
          <w:spacing w:val="22"/>
        </w:rPr>
        <w:t>“</w:t>
      </w:r>
      <w:r>
        <w:rPr>
          <w:rFonts w:cs="Times New Roman"/>
          <w:spacing w:val="22"/>
        </w:rPr>
        <w:t>議決就</w:t>
      </w:r>
      <w:r>
        <w:rPr>
          <w:rFonts w:cs="Times New Roman"/>
          <w:spacing w:val="22"/>
        </w:rPr>
        <w:t>2015</w:t>
      </w:r>
      <w:r>
        <w:rPr>
          <w:rFonts w:cs="Times New Roman"/>
          <w:spacing w:val="22"/>
        </w:rPr>
        <w:t>年</w:t>
      </w:r>
      <w:r>
        <w:rPr>
          <w:rFonts w:cs="Times New Roman"/>
          <w:spacing w:val="22"/>
        </w:rPr>
        <w:t>3</w:t>
      </w:r>
      <w:r>
        <w:rPr>
          <w:rFonts w:cs="Times New Roman"/>
          <w:spacing w:val="22"/>
        </w:rPr>
        <w:t>月</w:t>
      </w:r>
      <w:r>
        <w:rPr>
          <w:rFonts w:cs="Times New Roman"/>
          <w:spacing w:val="22"/>
        </w:rPr>
        <w:t>18</w:t>
      </w:r>
      <w:r>
        <w:rPr>
          <w:rFonts w:cs="Times New Roman"/>
          <w:spacing w:val="22"/>
        </w:rPr>
        <w:t>日提交立法會會議省覽的—</w:t>
      </w:r>
    </w:p>
    <w:p>
      <w:pPr>
        <w:pStyle w:val="F21"/>
        <w:spacing w:lineRule="atLeast" w:line="380"/>
        <w:ind w:left="709" w:hanging="142"/>
        <w:rPr>
          <w:rFonts w:cs="Times New Roman"/>
          <w:spacing w:val="22"/>
        </w:rPr>
      </w:pPr>
      <w:r>
        <w:rPr>
          <w:rFonts w:cs="Times New Roman"/>
          <w:spacing w:val="22"/>
        </w:rPr>
      </w:r>
    </w:p>
    <w:p>
      <w:pPr>
        <w:pStyle w:val="F21"/>
        <w:spacing w:lineRule="atLeast" w:line="380"/>
        <w:ind w:left="1843" w:hanging="567"/>
        <w:rPr>
          <w:rFonts w:cs="Times New Roman"/>
        </w:rPr>
      </w:pPr>
      <w:r>
        <w:rPr>
          <w:rFonts w:cs="Times New Roman"/>
          <w:spacing w:val="22"/>
        </w:rPr>
        <w:t>(a)</w:t>
        <w:tab/>
      </w:r>
      <w:r>
        <w:rPr>
          <w:rFonts w:cs="Times New Roman"/>
          <w:spacing w:val="22"/>
        </w:rPr>
        <w:t>《</w:t>
      </w:r>
      <w:r>
        <w:rPr>
          <w:rFonts w:cs="Times New Roman"/>
          <w:spacing w:val="22"/>
        </w:rPr>
        <w:t>2015</w:t>
      </w:r>
      <w:r>
        <w:rPr>
          <w:rFonts w:cs="Times New Roman"/>
        </w:rPr>
        <w:t>年區議會條例</w:t>
      </w:r>
      <w:r>
        <w:rPr>
          <w:rFonts w:cs="Times New Roman"/>
        </w:rPr>
        <w:t>(</w:t>
      </w:r>
      <w:r>
        <w:rPr>
          <w:rFonts w:cs="Times New Roman"/>
        </w:rPr>
        <w:t>修訂附表</w:t>
      </w:r>
      <w:r>
        <w:rPr>
          <w:rFonts w:cs="Times New Roman"/>
        </w:rPr>
        <w:t>7)</w:t>
      </w:r>
      <w:r>
        <w:rPr>
          <w:rFonts w:cs="Times New Roman"/>
        </w:rPr>
        <w:t>令》</w:t>
      </w:r>
      <w:r>
        <w:rPr>
          <w:rFonts w:cs="Times New Roman"/>
        </w:rPr>
        <w:t>(</w:t>
      </w:r>
      <w:r>
        <w:rPr>
          <w:rFonts w:cs="Times New Roman"/>
        </w:rPr>
        <w:t>即刊登於憲報的</w:t>
      </w:r>
      <w:r>
        <w:rPr>
          <w:rFonts w:cs="Times New Roman"/>
        </w:rPr>
        <w:t>2015</w:t>
      </w:r>
      <w:r>
        <w:rPr>
          <w:rFonts w:cs="Times New Roman"/>
        </w:rPr>
        <w:t>年第</w:t>
      </w:r>
      <w:r>
        <w:rPr>
          <w:rFonts w:cs="Times New Roman"/>
        </w:rPr>
        <w:t>49</w:t>
      </w:r>
      <w:r>
        <w:rPr>
          <w:rFonts w:cs="Times New Roman"/>
        </w:rPr>
        <w:t>號法律公告</w:t>
      </w:r>
      <w:r>
        <w:rPr>
          <w:rFonts w:cs="Times New Roman"/>
        </w:rPr>
        <w:t>)</w:t>
      </w:r>
      <w:r>
        <w:rPr>
          <w:rFonts w:cs="Times New Roman"/>
        </w:rPr>
        <w:t>；及</w:t>
      </w:r>
    </w:p>
    <w:p>
      <w:pPr>
        <w:pStyle w:val="F21"/>
        <w:spacing w:lineRule="atLeast" w:line="380"/>
        <w:ind w:left="1843" w:hanging="567"/>
        <w:rPr>
          <w:rFonts w:cs="Times New Roman"/>
        </w:rPr>
      </w:pPr>
      <w:r>
        <w:rPr>
          <w:rFonts w:cs="Times New Roman"/>
        </w:rPr>
      </w:r>
    </w:p>
    <w:p>
      <w:pPr>
        <w:pStyle w:val="F21"/>
        <w:spacing w:lineRule="atLeast" w:line="380"/>
        <w:ind w:left="1843" w:hanging="567"/>
        <w:rPr/>
      </w:pPr>
      <w:r>
        <w:rPr>
          <w:rFonts w:cs="Times New Roman"/>
        </w:rPr>
        <w:t>(b)</w:t>
        <w:tab/>
      </w:r>
      <w:r>
        <w:rPr>
          <w:rFonts w:cs="Times New Roman"/>
        </w:rPr>
        <w:t>《</w:t>
      </w:r>
      <w:r>
        <w:rPr>
          <w:rFonts w:cs="Times New Roman"/>
        </w:rPr>
        <w:t>2015</w:t>
      </w:r>
      <w:r>
        <w:rPr>
          <w:rFonts w:cs="Times New Roman"/>
        </w:rPr>
        <w:t>年選舉開支最高限額</w:t>
      </w:r>
      <w:r>
        <w:rPr>
          <w:rFonts w:cs="Times New Roman"/>
        </w:rPr>
        <w:t>(</w:t>
      </w:r>
      <w:r>
        <w:rPr>
          <w:rFonts w:cs="Times New Roman"/>
        </w:rPr>
        <w:t>區議會選舉</w:t>
      </w:r>
      <w:r>
        <w:rPr>
          <w:rFonts w:cs="Times New Roman"/>
        </w:rPr>
        <w:t>)(</w:t>
      </w:r>
      <w:r>
        <w:rPr>
          <w:rFonts w:cs="Times New Roman"/>
        </w:rPr>
        <w:t>修訂</w:t>
      </w:r>
      <w:r>
        <w:rPr>
          <w:rFonts w:cs="Times New Roman"/>
        </w:rPr>
        <w:t>)</w:t>
      </w:r>
      <w:r>
        <w:rPr>
          <w:rFonts w:cs="Times New Roman"/>
        </w:rPr>
        <w:t>規例》</w:t>
      </w:r>
      <w:r>
        <w:rPr>
          <w:rFonts w:cs="Times New Roman"/>
        </w:rPr>
        <w:t>(</w:t>
      </w:r>
      <w:r>
        <w:rPr>
          <w:rFonts w:cs="Times New Roman"/>
        </w:rPr>
        <w:t>即刊登於憲報的</w:t>
      </w:r>
      <w:r>
        <w:rPr>
          <w:rFonts w:cs="Times New Roman"/>
        </w:rPr>
        <w:t>2015</w:t>
      </w:r>
      <w:r>
        <w:rPr>
          <w:rFonts w:cs="Times New Roman"/>
        </w:rPr>
        <w:t>年第</w:t>
      </w:r>
      <w:r>
        <w:rPr>
          <w:rFonts w:cs="Times New Roman"/>
        </w:rPr>
        <w:t>50</w:t>
      </w:r>
      <w:r>
        <w:rPr>
          <w:rFonts w:cs="Times New Roman"/>
        </w:rPr>
        <w:t>號法律公告</w:t>
      </w:r>
      <w:r>
        <w:rPr>
          <w:rFonts w:cs="Times New Roman"/>
        </w:rPr>
        <w:t>)</w:t>
      </w:r>
      <w:r>
        <w:rPr>
          <w:rFonts w:cs="Times New Roman"/>
        </w:rPr>
        <w:t>，</w:t>
      </w:r>
      <w:r>
        <w:br w:type="page"/>
      </w:r>
    </w:p>
    <w:p>
      <w:pPr>
        <w:pStyle w:val="F21"/>
        <w:spacing w:lineRule="atLeast" w:line="400"/>
        <w:ind w:left="1276" w:hanging="0"/>
        <w:rPr>
          <w:rFonts w:cs="Times New Roman"/>
          <w:spacing w:val="22"/>
        </w:rPr>
      </w:pPr>
      <w:r>
        <w:rPr>
          <w:rFonts w:cs="Times New Roman"/>
          <w:spacing w:val="22"/>
        </w:rPr>
        <w:t>將《釋義及通則條例》</w:t>
      </w:r>
      <w:r>
        <w:rPr>
          <w:rFonts w:cs="Times New Roman"/>
          <w:spacing w:val="22"/>
        </w:rPr>
        <w:t>(</w:t>
      </w:r>
      <w:r>
        <w:rPr>
          <w:rFonts w:cs="Times New Roman"/>
          <w:spacing w:val="22"/>
        </w:rPr>
        <w:t>第</w:t>
      </w:r>
      <w:r>
        <w:rPr>
          <w:rFonts w:cs="Times New Roman"/>
          <w:spacing w:val="22"/>
        </w:rPr>
        <w:t>1</w:t>
      </w:r>
      <w:r>
        <w:rPr>
          <w:rFonts w:cs="Times New Roman"/>
          <w:spacing w:val="22"/>
        </w:rPr>
        <w:t>章</w:t>
      </w:r>
      <w:r>
        <w:rPr>
          <w:rFonts w:cs="Times New Roman"/>
          <w:spacing w:val="22"/>
        </w:rPr>
        <w:t>)</w:t>
      </w:r>
      <w:r>
        <w:rPr>
          <w:rFonts w:cs="Times New Roman"/>
          <w:spacing w:val="22"/>
        </w:rPr>
        <w:t>第</w:t>
      </w:r>
      <w:r>
        <w:rPr>
          <w:rFonts w:cs="Times New Roman"/>
          <w:spacing w:val="22"/>
        </w:rPr>
        <w:t>34(2)</w:t>
      </w:r>
      <w:r>
        <w:rPr>
          <w:rFonts w:cs="Times New Roman"/>
        </w:rPr>
        <w:t>條所提述的附屬法例修訂期限根據該條例第</w:t>
      </w:r>
      <w:r>
        <w:rPr>
          <w:rFonts w:cs="Times New Roman"/>
          <w:spacing w:val="22"/>
        </w:rPr>
        <w:t>34(4)</w:t>
      </w:r>
      <w:r>
        <w:rPr>
          <w:rFonts w:cs="Times New Roman"/>
          <w:spacing w:val="22"/>
        </w:rPr>
        <w:t>條延展至</w:t>
      </w:r>
      <w:r>
        <w:rPr>
          <w:rFonts w:cs="Times New Roman"/>
          <w:spacing w:val="22"/>
        </w:rPr>
        <w:t>2015</w:t>
      </w:r>
      <w:r>
        <w:rPr>
          <w:rFonts w:cs="Times New Roman"/>
          <w:spacing w:val="22"/>
        </w:rPr>
        <w:t>年</w:t>
      </w:r>
      <w:r>
        <w:rPr>
          <w:rFonts w:cs="Times New Roman"/>
          <w:spacing w:val="22"/>
        </w:rPr>
        <w:t>5</w:t>
      </w:r>
      <w:r>
        <w:rPr>
          <w:rFonts w:cs="Times New Roman"/>
          <w:spacing w:val="22"/>
        </w:rPr>
        <w:t>月</w:t>
      </w:r>
      <w:r>
        <w:rPr>
          <w:rFonts w:cs="Times New Roman"/>
          <w:spacing w:val="22"/>
        </w:rPr>
        <w:t>6</w:t>
      </w:r>
      <w:r>
        <w:rPr>
          <w:rFonts w:cs="Times New Roman"/>
          <w:spacing w:val="22"/>
        </w:rPr>
        <w:t>日的會議。”</w:t>
      </w:r>
    </w:p>
    <w:p>
      <w:pPr>
        <w:pStyle w:val="F21"/>
        <w:tabs>
          <w:tab w:val="clear" w:pos="567"/>
        </w:tabs>
        <w:spacing w:lineRule="atLeast" w:line="400"/>
        <w:rPr>
          <w:rFonts w:eastAsia="華康中黑體"/>
          <w:b/>
          <w:b/>
        </w:rPr>
      </w:pPr>
      <w:r>
        <w:rPr>
          <w:rFonts w:eastAsia="華康中黑體"/>
          <w:b/>
        </w:rPr>
      </w:r>
    </w:p>
    <w:p>
      <w:pPr>
        <w:pStyle w:val="F21"/>
        <w:tabs>
          <w:tab w:val="clear" w:pos="567"/>
        </w:tabs>
        <w:spacing w:lineRule="atLeast" w:line="400"/>
        <w:rPr>
          <w:rFonts w:eastAsia="華康中黑體"/>
          <w:b/>
          <w:b/>
        </w:rPr>
      </w:pPr>
      <w:r>
        <w:rPr>
          <w:rFonts w:eastAsia="華康中黑體"/>
          <w:b/>
        </w:rPr>
      </w:r>
    </w:p>
    <w:p>
      <w:pPr>
        <w:pStyle w:val="F21"/>
        <w:spacing w:lineRule="atLeast" w:line="400"/>
        <w:rPr/>
      </w:pPr>
      <w:r>
        <w:rPr>
          <w:rFonts w:eastAsia="華康中黑體"/>
          <w:b/>
        </w:rPr>
        <w:t>主席</w:t>
      </w:r>
      <w:r>
        <w:rPr/>
        <w:t>：我現在向各位提出的待議議題是：葉國謙議員動議的議案，予以通過。</w:t>
      </w:r>
    </w:p>
    <w:p>
      <w:pPr>
        <w:pStyle w:val="F21"/>
        <w:tabs>
          <w:tab w:val="clear" w:pos="567"/>
        </w:tabs>
        <w:spacing w:lineRule="atLeast" w:line="400"/>
        <w:rPr>
          <w:rFonts w:eastAsia="華康中黑體"/>
          <w:b/>
          <w:b/>
        </w:rPr>
      </w:pPr>
      <w:r>
        <w:rPr>
          <w:rFonts w:eastAsia="華康中黑體"/>
          <w:b/>
        </w:rPr>
      </w:r>
    </w:p>
    <w:p>
      <w:pPr>
        <w:pStyle w:val="F21"/>
        <w:tabs>
          <w:tab w:val="clear" w:pos="567"/>
        </w:tabs>
        <w:spacing w:lineRule="atLeast" w:line="400"/>
        <w:rPr>
          <w:rFonts w:eastAsia="華康中黑體"/>
          <w:b/>
          <w:b/>
        </w:rPr>
      </w:pPr>
      <w:r>
        <w:rPr>
          <w:rFonts w:eastAsia="華康中黑體"/>
          <w:b/>
        </w:rPr>
      </w:r>
    </w:p>
    <w:p>
      <w:pPr>
        <w:pStyle w:val="F21"/>
        <w:spacing w:lineRule="atLeast" w:line="400"/>
        <w:rPr>
          <w:rFonts w:cs="Times New Roman"/>
        </w:rPr>
      </w:pPr>
      <w:r>
        <w:rPr>
          <w:rFonts w:eastAsia="華康中黑體"/>
          <w:b/>
        </w:rPr>
        <w:t>主席</w:t>
      </w:r>
      <w:r>
        <w:rPr/>
        <w:t>：是否有議員想發言？</w:t>
      </w:r>
    </w:p>
    <w:p>
      <w:pPr>
        <w:pStyle w:val="F21"/>
        <w:tabs>
          <w:tab w:val="clear" w:pos="567"/>
        </w:tabs>
        <w:spacing w:lineRule="atLeast" w:line="400"/>
        <w:rPr/>
      </w:pPr>
      <w:r>
        <w:rPr/>
      </w:r>
    </w:p>
    <w:p>
      <w:pPr>
        <w:pStyle w:val="F21"/>
        <w:tabs>
          <w:tab w:val="clear" w:pos="567"/>
        </w:tabs>
        <w:spacing w:lineRule="atLeast" w:line="400"/>
        <w:rPr/>
      </w:pPr>
      <w:r>
        <w:rPr/>
        <w:t>(</w:t>
      </w:r>
      <w:r>
        <w:rPr/>
        <w:t>沒有議員表示想發言</w:t>
      </w:r>
      <w:r>
        <w:rPr/>
        <w:t>)</w:t>
      </w:r>
    </w:p>
    <w:p>
      <w:pPr>
        <w:pStyle w:val="F21"/>
        <w:tabs>
          <w:tab w:val="clear" w:pos="567"/>
        </w:tabs>
        <w:spacing w:lineRule="atLeast" w:line="400"/>
        <w:rPr>
          <w:rFonts w:eastAsia="華康中黑體"/>
          <w:b/>
          <w:b/>
        </w:rPr>
      </w:pPr>
      <w:r>
        <w:rPr>
          <w:rFonts w:eastAsia="華康中黑體"/>
          <w:b/>
        </w:rPr>
      </w:r>
    </w:p>
    <w:p>
      <w:pPr>
        <w:pStyle w:val="F21"/>
        <w:tabs>
          <w:tab w:val="clear" w:pos="567"/>
        </w:tabs>
        <w:spacing w:lineRule="atLeast" w:line="400"/>
        <w:rPr>
          <w:rFonts w:eastAsia="華康中黑體"/>
          <w:b/>
          <w:b/>
        </w:rPr>
      </w:pPr>
      <w:r>
        <w:rPr>
          <w:rFonts w:eastAsia="華康中黑體"/>
          <w:b/>
        </w:rPr>
      </w:r>
    </w:p>
    <w:p>
      <w:pPr>
        <w:pStyle w:val="F21"/>
        <w:spacing w:lineRule="atLeast" w:line="400"/>
        <w:rPr>
          <w:rFonts w:cs="Times New Roman"/>
        </w:rPr>
      </w:pPr>
      <w:r>
        <w:rPr>
          <w:rFonts w:eastAsia="華康中黑體"/>
          <w:b/>
        </w:rPr>
        <w:t>主席</w:t>
      </w:r>
      <w:r>
        <w:rPr/>
        <w:t>：我現在向各位提出上述待決議題，付諸表決。贊成的請舉手。</w:t>
      </w:r>
    </w:p>
    <w:p>
      <w:pPr>
        <w:pStyle w:val="F21"/>
        <w:tabs>
          <w:tab w:val="clear" w:pos="567"/>
        </w:tabs>
        <w:spacing w:lineRule="atLeast" w:line="400"/>
        <w:rPr/>
      </w:pPr>
      <w:r>
        <w:rPr/>
      </w:r>
    </w:p>
    <w:p>
      <w:pPr>
        <w:pStyle w:val="F21"/>
        <w:tabs>
          <w:tab w:val="clear" w:pos="567"/>
        </w:tabs>
        <w:spacing w:lineRule="atLeast" w:line="400"/>
        <w:rPr/>
      </w:pPr>
      <w:r>
        <w:rPr/>
        <w:t>(</w:t>
      </w:r>
      <w:r>
        <w:rPr/>
        <w:t>議員舉手</w:t>
      </w:r>
      <w:r>
        <w:rPr/>
        <w:t>)</w:t>
      </w:r>
    </w:p>
    <w:p>
      <w:pPr>
        <w:pStyle w:val="F21"/>
        <w:tabs>
          <w:tab w:val="clear" w:pos="567"/>
        </w:tabs>
        <w:spacing w:lineRule="atLeast" w:line="400"/>
        <w:rPr>
          <w:rFonts w:eastAsia="華康中黑體"/>
          <w:b/>
          <w:b/>
        </w:rPr>
      </w:pPr>
      <w:r>
        <w:rPr>
          <w:rFonts w:eastAsia="華康中黑體"/>
          <w:b/>
        </w:rPr>
      </w:r>
    </w:p>
    <w:p>
      <w:pPr>
        <w:pStyle w:val="F21"/>
        <w:tabs>
          <w:tab w:val="clear" w:pos="567"/>
        </w:tabs>
        <w:spacing w:lineRule="atLeast" w:line="400"/>
        <w:rPr>
          <w:rFonts w:eastAsia="華康中黑體"/>
          <w:b/>
          <w:b/>
        </w:rPr>
      </w:pPr>
      <w:r>
        <w:rPr>
          <w:rFonts w:eastAsia="華康中黑體"/>
          <w:b/>
        </w:rPr>
      </w:r>
    </w:p>
    <w:p>
      <w:pPr>
        <w:pStyle w:val="F21"/>
        <w:tabs>
          <w:tab w:val="clear" w:pos="567"/>
        </w:tabs>
        <w:spacing w:lineRule="atLeast" w:line="400"/>
        <w:rPr/>
      </w:pPr>
      <w:r>
        <w:rPr>
          <w:rFonts w:eastAsia="華康中黑體"/>
          <w:b/>
        </w:rPr>
        <w:t>主席</w:t>
      </w:r>
      <w:r>
        <w:rPr/>
        <w:t>：反對的請舉手。</w:t>
      </w:r>
    </w:p>
    <w:p>
      <w:pPr>
        <w:pStyle w:val="F21"/>
        <w:tabs>
          <w:tab w:val="clear" w:pos="567"/>
        </w:tabs>
        <w:spacing w:lineRule="atLeast" w:line="400"/>
        <w:rPr/>
      </w:pPr>
      <w:r>
        <w:rPr/>
      </w:r>
    </w:p>
    <w:p>
      <w:pPr>
        <w:pStyle w:val="F21"/>
        <w:tabs>
          <w:tab w:val="clear" w:pos="567"/>
        </w:tabs>
        <w:spacing w:lineRule="atLeast" w:line="400"/>
        <w:rPr/>
      </w:pPr>
      <w:r>
        <w:rPr/>
        <w:t>(</w:t>
      </w:r>
      <w:r>
        <w:rPr/>
        <w:t>沒有議員舉手</w:t>
      </w:r>
      <w:r>
        <w:rPr/>
        <w:t>)</w:t>
      </w:r>
    </w:p>
    <w:p>
      <w:pPr>
        <w:pStyle w:val="F21"/>
        <w:tabs>
          <w:tab w:val="clear" w:pos="567"/>
        </w:tabs>
        <w:spacing w:lineRule="atLeast" w:line="400"/>
        <w:rPr>
          <w:rFonts w:eastAsia="華康中黑體"/>
          <w:b/>
          <w:b/>
        </w:rPr>
      </w:pPr>
      <w:r>
        <w:rPr>
          <w:rFonts w:eastAsia="華康中黑體"/>
          <w:b/>
        </w:rPr>
      </w:r>
    </w:p>
    <w:p>
      <w:pPr>
        <w:pStyle w:val="F21"/>
        <w:tabs>
          <w:tab w:val="clear" w:pos="567"/>
        </w:tabs>
        <w:spacing w:lineRule="atLeast" w:line="400"/>
        <w:rPr>
          <w:rFonts w:eastAsia="華康中黑體"/>
          <w:b/>
          <w:b/>
        </w:rPr>
      </w:pPr>
      <w:r>
        <w:rPr>
          <w:rFonts w:eastAsia="華康中黑體"/>
          <w:b/>
        </w:rPr>
      </w:r>
    </w:p>
    <w:p>
      <w:pPr>
        <w:pStyle w:val="F21"/>
        <w:spacing w:lineRule="atLeast" w:line="400"/>
        <w:rPr/>
      </w:pPr>
      <w:r>
        <w:rPr>
          <w:rFonts w:eastAsia="華康中黑體"/>
          <w:b/>
        </w:rPr>
        <w:t>主席</w:t>
      </w:r>
      <w:r>
        <w:rPr/>
        <w:t>：我認為議題獲得經由功能團體選舉產生及分區直接選舉產生的兩部分在席議員，分別以過半數贊成。我宣布議案獲得通過。</w:t>
      </w:r>
    </w:p>
    <w:p>
      <w:pPr>
        <w:pStyle w:val="F21"/>
        <w:tabs>
          <w:tab w:val="clear" w:pos="567"/>
        </w:tabs>
        <w:spacing w:lineRule="atLeast" w:line="400"/>
        <w:rPr>
          <w:rFonts w:eastAsia="華康中黑體"/>
          <w:b/>
          <w:b/>
        </w:rPr>
      </w:pPr>
      <w:r>
        <w:rPr>
          <w:rFonts w:eastAsia="華康中黑體"/>
          <w:b/>
        </w:rPr>
      </w:r>
    </w:p>
    <w:p>
      <w:pPr>
        <w:pStyle w:val="F21"/>
        <w:tabs>
          <w:tab w:val="clear" w:pos="567"/>
        </w:tabs>
        <w:spacing w:lineRule="atLeast" w:line="400"/>
        <w:rPr>
          <w:rFonts w:eastAsia="華康中黑體"/>
          <w:b/>
          <w:b/>
        </w:rPr>
      </w:pPr>
      <w:r>
        <w:rPr>
          <w:rFonts w:eastAsia="華康中黑體"/>
          <w:b/>
        </w:rPr>
      </w:r>
    </w:p>
    <w:p>
      <w:pPr>
        <w:pStyle w:val="F21"/>
        <w:spacing w:lineRule="atLeast" w:line="400"/>
        <w:rPr/>
      </w:pPr>
      <w:r>
        <w:rPr>
          <w:rFonts w:eastAsia="華康中黑體"/>
          <w:b/>
        </w:rPr>
        <w:t>主席</w:t>
      </w:r>
      <w:r>
        <w:rPr/>
        <w:t>：根據《釋義及通則條例》就修訂《</w:t>
      </w:r>
      <w:r>
        <w:rPr/>
        <w:t>2015</w:t>
      </w:r>
      <w:r>
        <w:rPr/>
        <w:t>年應課稅品</w:t>
      </w:r>
      <w:r>
        <w:rPr/>
        <w:t>(</w:t>
      </w:r>
      <w:r>
        <w:rPr/>
        <w:t>酒類</w:t>
      </w:r>
      <w:r>
        <w:rPr/>
        <w:t>)(</w:t>
      </w:r>
      <w:r>
        <w:rPr/>
        <w:t>修訂</w:t>
      </w:r>
      <w:r>
        <w:rPr/>
        <w:t>)</w:t>
      </w:r>
      <w:r>
        <w:rPr/>
        <w:t>規例》而動議的擬議決議案。</w:t>
      </w:r>
    </w:p>
    <w:p>
      <w:pPr>
        <w:pStyle w:val="F21"/>
        <w:spacing w:lineRule="atLeast" w:line="400"/>
        <w:rPr/>
      </w:pPr>
      <w:r>
        <w:rPr/>
      </w:r>
    </w:p>
    <w:p>
      <w:pPr>
        <w:pStyle w:val="F21"/>
        <w:spacing w:lineRule="atLeast" w:line="400"/>
        <w:rPr/>
      </w:pPr>
      <w:r>
        <w:rPr/>
        <w:tab/>
      </w:r>
      <w:r>
        <w:rPr/>
        <w:t>有意就議案發言的議員請按下</w:t>
      </w:r>
      <w:r>
        <w:rPr>
          <w:szCs w:val="27"/>
        </w:rPr>
        <w:t>“</w:t>
      </w:r>
      <w:r>
        <w:rPr/>
        <w:t>要求發言</w:t>
      </w:r>
      <w:r>
        <w:rPr>
          <w:szCs w:val="27"/>
        </w:rPr>
        <w:t>”</w:t>
      </w:r>
      <w:r>
        <w:rPr/>
        <w:t>按鈕。</w:t>
      </w:r>
    </w:p>
    <w:p>
      <w:pPr>
        <w:pStyle w:val="F21"/>
        <w:spacing w:lineRule="atLeast" w:line="400"/>
        <w:rPr/>
      </w:pPr>
      <w:r>
        <w:rPr/>
      </w:r>
    </w:p>
    <w:p>
      <w:pPr>
        <w:pStyle w:val="F21"/>
        <w:spacing w:lineRule="atLeast" w:line="400"/>
        <w:rPr/>
      </w:pPr>
      <w:r>
        <w:rPr/>
        <w:tab/>
      </w:r>
      <w:r>
        <w:rPr/>
        <w:t>我現在請單仲偕議員發言及動議議案。</w:t>
      </w:r>
    </w:p>
    <w:p>
      <w:pPr>
        <w:pStyle w:val="F21"/>
        <w:spacing w:lineRule="exact" w:line="20"/>
        <w:rPr/>
      </w:pPr>
      <w:r>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rPr>
          <w:rFonts w:eastAsia="華康中黑體" w:cs="Times New Roman"/>
          <w:b/>
          <w:b/>
        </w:rPr>
      </w:pPr>
      <w:bookmarkStart w:id="88" w:name="mbm04"/>
      <w:r>
        <w:rPr>
          <w:rFonts w:cs="Times New Roman" w:eastAsia="華康中黑體"/>
          <w:b/>
        </w:rPr>
        <w:t>根據《釋義及通則條例》第</w:t>
      </w:r>
      <w:r>
        <w:rPr>
          <w:rFonts w:eastAsia="華康中黑體" w:cs="Times New Roman"/>
          <w:b/>
        </w:rPr>
        <w:t>34(2)</w:t>
      </w:r>
      <w:r>
        <w:rPr>
          <w:rFonts w:cs="Times New Roman" w:eastAsia="華康中黑體"/>
          <w:b/>
        </w:rPr>
        <w:t>條動議的擬議決議案</w:t>
      </w:r>
    </w:p>
    <w:p>
      <w:pPr>
        <w:pStyle w:val="Normal"/>
        <w:spacing w:lineRule="atLeast" w:line="370"/>
        <w:rPr>
          <w:b/>
          <w:b/>
          <w:caps/>
        </w:rPr>
      </w:pPr>
      <w:bookmarkStart w:id="89" w:name="mbm04"/>
      <w:r>
        <w:rPr>
          <w:b/>
          <w:caps/>
        </w:rPr>
        <w:t>Proposed resolution under section 34(2) of the Interpretation and General Clauses Ordinance</w:t>
      </w:r>
      <w:bookmarkEnd w:id="89"/>
    </w:p>
    <w:p>
      <w:pPr>
        <w:pStyle w:val="F21"/>
        <w:spacing w:lineRule="atLeast" w:line="370"/>
        <w:rPr>
          <w:rFonts w:cs="Times New Roman"/>
        </w:rPr>
      </w:pPr>
      <w:r>
        <w:rPr>
          <w:rFonts w:cs="Times New Roman"/>
        </w:rPr>
      </w:r>
    </w:p>
    <w:p>
      <w:pPr>
        <w:pStyle w:val="F21"/>
        <w:spacing w:lineRule="atLeast" w:line="370"/>
        <w:rPr>
          <w:szCs w:val="27"/>
        </w:rPr>
      </w:pPr>
      <w:r>
        <w:rPr>
          <w:rFonts w:ascii="華康中黑體" w:hAnsi="華康中黑體" w:cs="華康中黑體" w:eastAsia="華康中黑體"/>
          <w:b/>
          <w:szCs w:val="27"/>
        </w:rPr>
        <w:t>單仲偕議員</w:t>
      </w:r>
      <w:r>
        <w:rPr>
          <w:szCs w:val="27"/>
        </w:rPr>
        <w:t>：主席，我動議通過印載於議程內的議案。政府原建議是修改《應課稅品</w:t>
      </w:r>
      <w:r>
        <w:rPr>
          <w:szCs w:val="27"/>
        </w:rPr>
        <w:t>(</w:t>
      </w:r>
      <w:r>
        <w:rPr>
          <w:szCs w:val="27"/>
        </w:rPr>
        <w:t>酒類</w:t>
      </w:r>
      <w:r>
        <w:rPr>
          <w:szCs w:val="27"/>
        </w:rPr>
        <w:t>)</w:t>
      </w:r>
      <w:r>
        <w:rPr>
          <w:szCs w:val="27"/>
        </w:rPr>
        <w:t>規例》第</w:t>
      </w:r>
      <w:r>
        <w:rPr>
          <w:szCs w:val="27"/>
        </w:rPr>
        <w:t>20(3)</w:t>
      </w:r>
      <w:r>
        <w:rPr>
          <w:szCs w:val="27"/>
        </w:rPr>
        <w:t>條的規定，將酒牌有效期延長至兩年。</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我提出的修訂是在此建議上加入保障公眾的條文，包括兩點：</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szCs w:val="27"/>
        </w:rPr>
        <w:t>(</w:t>
      </w:r>
      <w:r>
        <w:rPr>
          <w:szCs w:val="27"/>
        </w:rPr>
        <w:t>代理主席梁君彥議員代為主持會議</w:t>
      </w:r>
      <w:r>
        <w:rPr>
          <w:szCs w:val="27"/>
        </w:rPr>
        <w:t>)</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ind w:left="1134" w:hanging="567"/>
        <w:rPr>
          <w:szCs w:val="27"/>
        </w:rPr>
      </w:pPr>
      <w:r>
        <w:rPr>
          <w:szCs w:val="27"/>
        </w:rPr>
        <w:t>(i)</w:t>
        <w:tab/>
      </w:r>
      <w:r>
        <w:rPr>
          <w:szCs w:val="27"/>
        </w:rPr>
        <w:t>在緊接有關持牌處所續牌前最少連續兩年，牌照登記冊內沒有記錄任何有關該處所或其持牌人證明屬實的投訴，或對該處所或其持牌人採取執法行動的紀錄，以及沒有收到市民就其牌照續期申請公告提出反對或負面評語，酒牌局才可決定酒牌的有效期為兩年；或</w:t>
      </w:r>
    </w:p>
    <w:p>
      <w:pPr>
        <w:pStyle w:val="F21"/>
        <w:spacing w:lineRule="atLeast" w:line="370"/>
        <w:ind w:left="1134" w:hanging="567"/>
        <w:rPr>
          <w:szCs w:val="27"/>
        </w:rPr>
      </w:pPr>
      <w:r>
        <w:rPr>
          <w:szCs w:val="27"/>
        </w:rPr>
      </w:r>
    </w:p>
    <w:p>
      <w:pPr>
        <w:pStyle w:val="F21"/>
        <w:spacing w:lineRule="atLeast" w:line="370"/>
        <w:ind w:left="1134" w:hanging="567"/>
        <w:rPr>
          <w:szCs w:val="27"/>
        </w:rPr>
      </w:pPr>
      <w:r>
        <w:rPr>
          <w:szCs w:val="27"/>
        </w:rPr>
        <w:t>(ii)</w:t>
        <w:tab/>
      </w:r>
      <w:r>
        <w:rPr>
          <w:szCs w:val="27"/>
        </w:rPr>
        <w:t>酒牌局發出酒牌或批准將酒牌續期前，須信納該酒牌處所並無對附近的居民造成不合理的滋擾。</w:t>
      </w:r>
    </w:p>
    <w:p>
      <w:pPr>
        <w:pStyle w:val="F21"/>
        <w:spacing w:lineRule="atLeast" w:line="370"/>
        <w:ind w:left="1134" w:hanging="567"/>
        <w:rPr>
          <w:szCs w:val="27"/>
        </w:rPr>
      </w:pPr>
      <w:r>
        <w:rPr>
          <w:szCs w:val="27"/>
        </w:rPr>
      </w:r>
    </w:p>
    <w:p>
      <w:pPr>
        <w:pStyle w:val="F21"/>
        <w:spacing w:lineRule="atLeast" w:line="370"/>
        <w:rPr>
          <w:szCs w:val="27"/>
        </w:rPr>
      </w:pPr>
      <w:r>
        <w:rPr>
          <w:szCs w:val="27"/>
        </w:rPr>
        <w:tab/>
      </w:r>
      <w:r>
        <w:rPr>
          <w:szCs w:val="27"/>
        </w:rPr>
        <w:t>代理主席，根據政府解釋，把酒牌的一般年期由</w:t>
      </w:r>
      <w:r>
        <w:rPr>
          <w:szCs w:val="27"/>
        </w:rPr>
        <w:t>1</w:t>
      </w:r>
      <w:r>
        <w:rPr>
          <w:szCs w:val="27"/>
        </w:rPr>
        <w:t>年延長至兩年，讓酒牌局有更大彈性，在處理理據充分的個案時可批出有效期較長的酒牌。推行這項建議可令酒牌局在審批無爭議牌照續期個案時減省工作，而集中處理新申請，以及遭反對的續牌申請。</w:t>
      </w:r>
    </w:p>
    <w:p>
      <w:pPr>
        <w:pStyle w:val="F21"/>
        <w:spacing w:lineRule="atLeast" w:line="370"/>
        <w:rPr>
          <w:szCs w:val="27"/>
        </w:rPr>
      </w:pPr>
      <w:r>
        <w:rPr>
          <w:szCs w:val="27"/>
        </w:rPr>
      </w:r>
    </w:p>
    <w:p>
      <w:pPr>
        <w:pStyle w:val="F21"/>
        <w:spacing w:lineRule="atLeast" w:line="370"/>
        <w:rPr>
          <w:szCs w:val="27"/>
        </w:rPr>
      </w:pPr>
      <w:r>
        <w:rPr>
          <w:szCs w:val="27"/>
        </w:rPr>
        <w:tab/>
      </w:r>
      <w:r>
        <w:rPr>
          <w:szCs w:val="27"/>
        </w:rPr>
        <w:t>政府對紀錄良好是有其定義，而這個定義，我只是將之加入在規例內，變為修訂的第</w:t>
      </w:r>
      <w:r>
        <w:rPr>
          <w:szCs w:val="27"/>
        </w:rPr>
        <w:t>20(4)(a)</w:t>
      </w:r>
      <w:r>
        <w:rPr>
          <w:szCs w:val="27"/>
        </w:rPr>
        <w:t>條。</w:t>
      </w:r>
    </w:p>
    <w:p>
      <w:pPr>
        <w:pStyle w:val="F21"/>
        <w:spacing w:lineRule="atLeast" w:line="370"/>
        <w:rPr>
          <w:szCs w:val="27"/>
        </w:rPr>
      </w:pPr>
      <w:r>
        <w:rPr>
          <w:szCs w:val="27"/>
        </w:rPr>
      </w:r>
    </w:p>
    <w:p>
      <w:pPr>
        <w:pStyle w:val="F21"/>
        <w:spacing w:lineRule="atLeast" w:line="370"/>
        <w:rPr>
          <w:szCs w:val="27"/>
        </w:rPr>
      </w:pPr>
      <w:r>
        <w:rPr>
          <w:szCs w:val="27"/>
        </w:rPr>
        <w:tab/>
      </w:r>
      <w:r>
        <w:rPr>
          <w:szCs w:val="27"/>
        </w:rPr>
        <w:t>整條規例的修訂，源於</w:t>
      </w:r>
      <w:r>
        <w:rPr>
          <w:szCs w:val="27"/>
        </w:rPr>
        <w:t>2011</w:t>
      </w:r>
      <w:r>
        <w:rPr>
          <w:szCs w:val="27"/>
        </w:rPr>
        <w:t>年政府對酒牌制度的檢討，相關持份者，包括業界、公眾和區議會都曾給予意見。在總結諮詢時，政府在提交給立法會的報告時表示：“大體而言，業界支持各項利便營商環境建議措施，但不贊成加強規管包括樓上酒吧在內的酒牌處所。相反，在酒吧數目較多的地區，當區代表和居民促請政府更嚴格管制酒牌處所，並針對造成滋擾的處所加強執法。各界大多對諮詢文件內的利便營商措施沒有特別意見，但有部分人士則反對延長酒牌最長效期的建議。”</w:t>
      </w:r>
    </w:p>
    <w:p>
      <w:pPr>
        <w:pStyle w:val="F21"/>
        <w:rPr>
          <w:szCs w:val="27"/>
        </w:rPr>
      </w:pPr>
      <w:r>
        <w:rPr>
          <w:szCs w:val="27"/>
        </w:rPr>
      </w:r>
    </w:p>
    <w:p>
      <w:pPr>
        <w:pStyle w:val="F21"/>
        <w:rPr>
          <w:szCs w:val="27"/>
        </w:rPr>
      </w:pPr>
      <w:r>
        <w:rPr>
          <w:szCs w:val="27"/>
        </w:rPr>
        <w:tab/>
      </w:r>
      <w:r>
        <w:rPr>
          <w:szCs w:val="27"/>
        </w:rPr>
        <w:t>此外，在報告中其他意見一欄指出：“在諮詢期間，區議員經常提出</w:t>
      </w:r>
      <w:r>
        <w:rPr>
          <w:szCs w:val="27"/>
        </w:rPr>
        <w:t>(</w:t>
      </w:r>
      <w:r>
        <w:rPr>
          <w:szCs w:val="27"/>
        </w:rPr>
        <w:t>部分業界人士亦有提及</w:t>
      </w:r>
      <w:r>
        <w:rPr>
          <w:szCs w:val="27"/>
        </w:rPr>
        <w:t>)</w:t>
      </w:r>
      <w:r>
        <w:rPr>
          <w:szCs w:val="27"/>
        </w:rPr>
        <w:t>，有關當局應加強執法，確保酒牌處所遵守發牌條件；當局亦應向無牌售酒的處所採取行動。部分回應者建議實施酒牌處所記分制。另有人表示關注酒牌局在考慮酒牌申請時，似乎較為支持業界而非居民。”</w:t>
      </w:r>
    </w:p>
    <w:p>
      <w:pPr>
        <w:pStyle w:val="F21"/>
        <w:rPr>
          <w:szCs w:val="27"/>
        </w:rPr>
      </w:pPr>
      <w:r>
        <w:rPr>
          <w:szCs w:val="27"/>
        </w:rPr>
      </w:r>
    </w:p>
    <w:p>
      <w:pPr>
        <w:pStyle w:val="F21"/>
        <w:rPr>
          <w:szCs w:val="27"/>
        </w:rPr>
      </w:pPr>
      <w:r>
        <w:rPr>
          <w:szCs w:val="27"/>
        </w:rPr>
        <w:tab/>
      </w:r>
      <w:r>
        <w:rPr>
          <w:szCs w:val="27"/>
        </w:rPr>
        <w:t>從諮詢到修訂條例，政府所加入的條款，均是從方便營商環境出發，並無加入保障公眾的條文。政府解釋，正為有效期為兩年的牌照制訂中期檢討機制，在過程中會諮詢酒牌局。建議的行政機制將會在規例生效後運作。</w:t>
      </w:r>
    </w:p>
    <w:p>
      <w:pPr>
        <w:pStyle w:val="F21"/>
        <w:rPr>
          <w:szCs w:val="27"/>
        </w:rPr>
      </w:pPr>
      <w:r>
        <w:rPr>
          <w:szCs w:val="27"/>
        </w:rPr>
      </w:r>
    </w:p>
    <w:p>
      <w:pPr>
        <w:pStyle w:val="F21"/>
        <w:rPr>
          <w:szCs w:val="27"/>
        </w:rPr>
      </w:pPr>
      <w:r>
        <w:rPr>
          <w:szCs w:val="27"/>
        </w:rPr>
        <w:tab/>
      </w:r>
      <w:r>
        <w:rPr>
          <w:szCs w:val="27"/>
        </w:rPr>
        <w:t>行政機制並無法律效力，一切交由酒牌局考慮是否會對已經續牌兩年的處所再續牌兩年。按政府意見，當某些酒牌處所曾有執法行動的紀錄或證明屬實的投訴個案，酒牌局會在現有牌照到期時，再認真考慮應否再批予兩年牌照。這等於酒牌局在認真考慮後，有些酒牌處所即使曾有執法行動的紀錄，有證明屬實的投訴，仍可續期兩年。</w:t>
      </w:r>
    </w:p>
    <w:p>
      <w:pPr>
        <w:pStyle w:val="F21"/>
        <w:rPr>
          <w:szCs w:val="27"/>
        </w:rPr>
      </w:pPr>
      <w:r>
        <w:rPr>
          <w:szCs w:val="27"/>
        </w:rPr>
      </w:r>
    </w:p>
    <w:p>
      <w:pPr>
        <w:pStyle w:val="F21"/>
        <w:rPr>
          <w:szCs w:val="27"/>
        </w:rPr>
      </w:pPr>
      <w:r>
        <w:rPr>
          <w:szCs w:val="27"/>
        </w:rPr>
        <w:tab/>
      </w:r>
      <w:r>
        <w:rPr>
          <w:szCs w:val="27"/>
        </w:rPr>
        <w:t>對於讓一些紀錄良好的酒牌處所的酒牌續期時限由</w:t>
      </w:r>
      <w:r>
        <w:rPr>
          <w:szCs w:val="27"/>
        </w:rPr>
        <w:t>1</w:t>
      </w:r>
      <w:r>
        <w:rPr>
          <w:szCs w:val="27"/>
        </w:rPr>
        <w:t>年延長至兩年，民主黨的意見不大。但是，對於有問題</w:t>
      </w:r>
      <w:r>
        <w:rPr>
          <w:szCs w:val="27"/>
        </w:rPr>
        <w:t>(</w:t>
      </w:r>
      <w:r>
        <w:rPr>
          <w:szCs w:val="27"/>
        </w:rPr>
        <w:t>如有執法行動紀錄、曾遭投訴並證明屬實的個案</w:t>
      </w:r>
      <w:r>
        <w:rPr>
          <w:szCs w:val="27"/>
        </w:rPr>
        <w:t>)</w:t>
      </w:r>
      <w:r>
        <w:rPr>
          <w:szCs w:val="27"/>
        </w:rPr>
        <w:t>的酒牌處所，我認為酒牌局理應平衡公眾和業界的利益。</w:t>
      </w:r>
    </w:p>
    <w:p>
      <w:pPr>
        <w:pStyle w:val="F21"/>
        <w:rPr>
          <w:szCs w:val="27"/>
        </w:rPr>
      </w:pPr>
      <w:r>
        <w:rPr>
          <w:szCs w:val="27"/>
        </w:rPr>
      </w:r>
    </w:p>
    <w:p>
      <w:pPr>
        <w:pStyle w:val="F21"/>
        <w:rPr>
          <w:szCs w:val="27"/>
        </w:rPr>
      </w:pPr>
      <w:r>
        <w:rPr>
          <w:szCs w:val="27"/>
        </w:rPr>
        <w:tab/>
      </w:r>
      <w:r>
        <w:rPr>
          <w:szCs w:val="27"/>
        </w:rPr>
        <w:t>在這個問題上，政府的資料顯示，在</w:t>
      </w:r>
      <w:r>
        <w:rPr>
          <w:szCs w:val="27"/>
        </w:rPr>
        <w:t>2014</w:t>
      </w:r>
      <w:r>
        <w:rPr>
          <w:szCs w:val="27"/>
        </w:rPr>
        <w:t>年，投訴個案有</w:t>
      </w:r>
      <w:r>
        <w:rPr>
          <w:szCs w:val="27"/>
        </w:rPr>
        <w:t>2 356</w:t>
      </w:r>
      <w:r>
        <w:rPr>
          <w:szCs w:val="27"/>
        </w:rPr>
        <w:t>宗，而證明屬實的投訴有</w:t>
      </w:r>
      <w:r>
        <w:rPr>
          <w:szCs w:val="27"/>
        </w:rPr>
        <w:t>1 138</w:t>
      </w:r>
      <w:r>
        <w:rPr>
          <w:szCs w:val="27"/>
        </w:rPr>
        <w:t>宗，涉及的酒牌處所為</w:t>
      </w:r>
      <w:r>
        <w:rPr>
          <w:szCs w:val="27"/>
        </w:rPr>
        <w:t>511</w:t>
      </w:r>
      <w:r>
        <w:rPr>
          <w:szCs w:val="27"/>
        </w:rPr>
        <w:t>間，即大約有一半的酒牌處所曾涉及重複證明屬實的投訴，該等酒牌處所只佔所有酒牌處所的</w:t>
      </w:r>
      <w:r>
        <w:rPr>
          <w:szCs w:val="27"/>
        </w:rPr>
        <w:t>7.5%</w:t>
      </w:r>
      <w:r>
        <w:rPr>
          <w:szCs w:val="27"/>
        </w:rPr>
        <w:t>。代理主席和各位同事，其實我今次的修訂只影響到</w:t>
      </w:r>
      <w:r>
        <w:rPr>
          <w:szCs w:val="27"/>
        </w:rPr>
        <w:t>6 800</w:t>
      </w:r>
      <w:r>
        <w:rPr>
          <w:szCs w:val="27"/>
        </w:rPr>
        <w:t>間酒牌處所中的</w:t>
      </w:r>
      <w:r>
        <w:rPr>
          <w:szCs w:val="27"/>
        </w:rPr>
        <w:t>7.5%</w:t>
      </w:r>
      <w:r>
        <w:rPr>
          <w:szCs w:val="27"/>
        </w:rPr>
        <w:t>，大約為</w:t>
      </w:r>
      <w:r>
        <w:rPr>
          <w:szCs w:val="27"/>
        </w:rPr>
        <w:t>511</w:t>
      </w:r>
      <w:r>
        <w:rPr>
          <w:szCs w:val="27"/>
        </w:rPr>
        <w:t>間。換言之，當中有酒牌處所曾重複涉及證明屬實的投訴，並曾遭檢控或遭口頭警告或書面警告。</w:t>
      </w:r>
    </w:p>
    <w:p>
      <w:pPr>
        <w:pStyle w:val="F21"/>
        <w:rPr>
          <w:szCs w:val="27"/>
        </w:rPr>
      </w:pPr>
      <w:r>
        <w:rPr>
          <w:szCs w:val="27"/>
        </w:rPr>
      </w:r>
    </w:p>
    <w:p>
      <w:pPr>
        <w:pStyle w:val="F21"/>
        <w:rPr>
          <w:spacing w:val="22"/>
          <w:szCs w:val="27"/>
        </w:rPr>
      </w:pPr>
      <w:r>
        <w:rPr>
          <w:spacing w:val="22"/>
          <w:szCs w:val="27"/>
        </w:rPr>
        <w:tab/>
      </w:r>
      <w:r>
        <w:rPr>
          <w:spacing w:val="22"/>
          <w:szCs w:val="27"/>
        </w:rPr>
        <w:t>代理主席，我提出這兩項修訂的目的是讓政府、酒牌局或將來的執法機關能夠有足夠時間加強集中處理曾被投訴或經常接獲投訴的酒牌處所，而並非例行公事地續期兩年後再續兩年。就我提出修訂的第</w:t>
      </w:r>
      <w:r>
        <w:rPr>
          <w:spacing w:val="22"/>
          <w:szCs w:val="27"/>
        </w:rPr>
        <w:t>20(4)(a)</w:t>
      </w:r>
      <w:r>
        <w:rPr>
          <w:spacing w:val="22"/>
          <w:szCs w:val="27"/>
        </w:rPr>
        <w:t>條，即有關如何處理酒牌處所證明屬實的投訴，而第</w:t>
      </w:r>
      <w:r>
        <w:rPr>
          <w:spacing w:val="22"/>
          <w:szCs w:val="27"/>
        </w:rPr>
        <w:t>20(4)(b)</w:t>
      </w:r>
      <w:r>
        <w:rPr>
          <w:spacing w:val="22"/>
          <w:szCs w:val="27"/>
        </w:rPr>
        <w:t>條，即酒牌局應在決定續牌兩年時，須信納有關處所沒有對附近居民造成不合理的滋擾，我認這兩點修訂可作平衡，能在不影響規例修訂目標的大前提下，讓當局可集中處理投訴較多的酒牌處所。</w:t>
      </w:r>
    </w:p>
    <w:p>
      <w:pPr>
        <w:pStyle w:val="F21"/>
        <w:rPr>
          <w:szCs w:val="27"/>
        </w:rPr>
      </w:pPr>
      <w:r>
        <w:rPr>
          <w:szCs w:val="27"/>
        </w:rPr>
      </w:r>
    </w:p>
    <w:p>
      <w:pPr>
        <w:pStyle w:val="F21"/>
        <w:rPr>
          <w:szCs w:val="27"/>
        </w:rPr>
      </w:pPr>
      <w:r>
        <w:rPr>
          <w:szCs w:val="27"/>
        </w:rPr>
        <w:tab/>
      </w:r>
      <w:r>
        <w:rPr>
          <w:szCs w:val="27"/>
        </w:rPr>
        <w:t>代理主席，我們對政府今次就整項酒牌的修訂，感到失望，因為在政府作出檢討期間，曾有議員提出一些關於如何加強機制，令酒牌局有機會、有責任聽取反對人士的意見，但政府在今次修例中完全忽略這部分。</w:t>
      </w:r>
    </w:p>
    <w:p>
      <w:pPr>
        <w:pStyle w:val="F21"/>
        <w:rPr>
          <w:szCs w:val="27"/>
        </w:rPr>
      </w:pPr>
      <w:r>
        <w:rPr>
          <w:szCs w:val="27"/>
        </w:rPr>
      </w:r>
    </w:p>
    <w:p>
      <w:pPr>
        <w:pStyle w:val="F21"/>
        <w:rPr>
          <w:szCs w:val="27"/>
        </w:rPr>
      </w:pPr>
      <w:r>
        <w:rPr>
          <w:szCs w:val="27"/>
        </w:rPr>
        <w:tab/>
      </w:r>
      <w:r>
        <w:rPr>
          <w:szCs w:val="27"/>
        </w:rPr>
        <w:t>我對政府今次的修訂感到遺憾，因為政府只聽到業界的聲音，卻聽不到居民的聲音。事實上，不少區份</w:t>
      </w:r>
      <w:r>
        <w:rPr>
          <w:szCs w:val="27"/>
        </w:rPr>
        <w:t>(</w:t>
      </w:r>
      <w:r>
        <w:rPr>
          <w:szCs w:val="27"/>
        </w:rPr>
        <w:t>包括中西區、太子、油尖旺和九龍城</w:t>
      </w:r>
      <w:r>
        <w:rPr>
          <w:szCs w:val="27"/>
        </w:rPr>
        <w:t>)</w:t>
      </w:r>
      <w:r>
        <w:rPr>
          <w:szCs w:val="27"/>
        </w:rPr>
        <w:t>有不少酒牌處所接近民居。現時處理針對酒牌處所滋擾的投訴制度行之無效，或可說是欠缺有效的處理機制。居民的所有投訴均由非專責處理酒牌問題的警務處負責，但根據法例，警務處無權處理針對酒牌處所內噪音的投訴，而對街鋪門外的喧嘩吵鬧，亦只有勸諭了事。在投訴機制無效的情況下，酒牌處所每年一次向酒牌局提出的續牌申請，是讓受滋擾居民作出申訴的重要渠道，如把酒牌的最長有效期從</w:t>
      </w:r>
      <w:r>
        <w:rPr>
          <w:szCs w:val="27"/>
        </w:rPr>
        <w:t>1</w:t>
      </w:r>
      <w:r>
        <w:rPr>
          <w:szCs w:val="27"/>
        </w:rPr>
        <w:t>年延長至兩年，便抹煞了市民向酒牌局提出申訴的機會，最終只會降低酒牌處所對社區滋擾的警惕。</w:t>
      </w:r>
    </w:p>
    <w:p>
      <w:pPr>
        <w:pStyle w:val="F21"/>
        <w:rPr>
          <w:szCs w:val="27"/>
        </w:rPr>
      </w:pPr>
      <w:r>
        <w:rPr>
          <w:szCs w:val="27"/>
        </w:rPr>
      </w:r>
    </w:p>
    <w:p>
      <w:pPr>
        <w:pStyle w:val="F21"/>
        <w:rPr>
          <w:szCs w:val="27"/>
        </w:rPr>
      </w:pPr>
      <w:r>
        <w:rPr>
          <w:szCs w:val="27"/>
        </w:rPr>
        <w:tab/>
      </w:r>
      <w:r>
        <w:rPr>
          <w:szCs w:val="27"/>
        </w:rPr>
        <w:t>雖然政府建議作出中期檢討，但進行中期檢討時，如沒有任何針對酒牌處所的執法行動或屬實證明的投訴紀錄，有關酒牌處所便獲通過中期檢討。我們覺得有關標準非常寬鬆，對酒牌處所完全沒有監管作用。</w:t>
      </w:r>
    </w:p>
    <w:p>
      <w:pPr>
        <w:pStyle w:val="F21"/>
        <w:rPr>
          <w:szCs w:val="27"/>
        </w:rPr>
      </w:pPr>
      <w:r>
        <w:rPr>
          <w:szCs w:val="27"/>
        </w:rPr>
      </w:r>
    </w:p>
    <w:p>
      <w:pPr>
        <w:pStyle w:val="F21"/>
        <w:rPr>
          <w:szCs w:val="27"/>
        </w:rPr>
      </w:pPr>
      <w:r>
        <w:rPr>
          <w:szCs w:val="27"/>
        </w:rPr>
        <w:tab/>
      </w:r>
      <w:r>
        <w:rPr>
          <w:szCs w:val="27"/>
        </w:rPr>
        <w:t>代理主席，如果</w:t>
      </w:r>
      <w:r>
        <w:rPr>
          <w:szCs w:val="27"/>
        </w:rPr>
        <w:t>6 800</w:t>
      </w:r>
      <w:r>
        <w:rPr>
          <w:szCs w:val="27"/>
        </w:rPr>
        <w:t>多間處所有九成多在過去兩年並無涉及任何證明屬實的投訴</w:t>
      </w:r>
      <w:r>
        <w:rPr>
          <w:szCs w:val="27"/>
        </w:rPr>
        <w:t>(</w:t>
      </w:r>
      <w:r>
        <w:rPr>
          <w:szCs w:val="27"/>
        </w:rPr>
        <w:t>我要說明是證明屬實的投訴，而不是投訴那麼簡單</w:t>
      </w:r>
      <w:r>
        <w:rPr>
          <w:szCs w:val="27"/>
        </w:rPr>
        <w:t>)</w:t>
      </w:r>
      <w:r>
        <w:rPr>
          <w:szCs w:val="27"/>
        </w:rPr>
        <w:t>，而證明屬實的投訴只佔投訴數目不足一半，在這前提下，我剛才提出的兩項修訂建議可平衡居民和業界的利益。我擔心如果今天沒有通過我的修訂，在新例生效後，酒牌局很容易便自動把所有酒牌由</w:t>
      </w:r>
      <w:r>
        <w:rPr>
          <w:szCs w:val="27"/>
        </w:rPr>
        <w:t>1</w:t>
      </w:r>
      <w:r>
        <w:rPr>
          <w:szCs w:val="27"/>
        </w:rPr>
        <w:t>年延長為兩年，居民即使受到很大滋擾，仍然有冤無路訴。事實上，有不少居民經常受到種種不同的滋擾，包括有人在酒吧門外喧嘩、嘔吐，對街道造成衞生問題，酒吧附近亦經常有人打鬥，但很多時候，警方接獲報告來到現場，不是賊過輕兵，勸諭後便不了了之，對相關處所造成的阻嚇作用十分低。</w:t>
      </w:r>
    </w:p>
    <w:p>
      <w:pPr>
        <w:pStyle w:val="F21"/>
        <w:rPr>
          <w:szCs w:val="27"/>
        </w:rPr>
      </w:pPr>
      <w:r>
        <w:rPr>
          <w:szCs w:val="27"/>
        </w:rPr>
      </w:r>
    </w:p>
    <w:p>
      <w:pPr>
        <w:pStyle w:val="F21"/>
        <w:rPr>
          <w:rFonts w:ascii="華康細明體" w:hAnsi="華康細明體" w:cs="華康細明體"/>
          <w:szCs w:val="27"/>
        </w:rPr>
      </w:pPr>
      <w:r>
        <w:rPr>
          <w:szCs w:val="27"/>
        </w:rPr>
        <w:tab/>
      </w:r>
      <w:r>
        <w:rPr>
          <w:szCs w:val="27"/>
        </w:rPr>
        <w:t>我們今次提出</w:t>
      </w:r>
      <w:r>
        <w:rPr>
          <w:szCs w:val="27"/>
        </w:rPr>
        <w:t>4</w:t>
      </w:r>
      <w:r>
        <w:rPr>
          <w:szCs w:val="27"/>
        </w:rPr>
        <w:t>項修訂，當中兩項修訂被主席或政府認為在今次修訂範圍以外。由於黃碧雲</w:t>
      </w:r>
      <w:r>
        <w:rPr>
          <w:rFonts w:ascii="華康細明體" w:hAnsi="華康細明體" w:cs="華康細明體"/>
          <w:szCs w:val="27"/>
        </w:rPr>
        <w:t>議員提出的</w:t>
      </w:r>
      <w:r>
        <w:rPr>
          <w:szCs w:val="27"/>
        </w:rPr>
        <w:t>兩項修訂已經被裁定不能提交，她稍後會再作詳述。她提出的兩項修訂其實是要加強酒牌局聆聽市民投訴的機制。其中一項是建議酒牌局參考聆訊個案的上訴機制，如果有不少於</w:t>
      </w:r>
      <w:r>
        <w:rPr>
          <w:szCs w:val="27"/>
        </w:rPr>
        <w:t>20</w:t>
      </w:r>
      <w:r>
        <w:rPr>
          <w:szCs w:val="27"/>
        </w:rPr>
        <w:t>名居於處所</w:t>
      </w:r>
      <w:r>
        <w:rPr>
          <w:szCs w:val="27"/>
        </w:rPr>
        <w:t>400</w:t>
      </w:r>
      <w:r>
        <w:rPr>
          <w:szCs w:val="27"/>
        </w:rPr>
        <w:t>米半徑範圍內的人提出針對該處所的具名投訴，酒牌局需要作出聆訊。此外，我們認為應在法例內訂明，把酒牌申請及相關事宜納入社區諮詢程序中，例如在附近張貼告示等。至於詳細內容，我留待黃碧雲</w:t>
      </w:r>
      <w:r>
        <w:rPr>
          <w:rFonts w:ascii="華康細明體" w:hAnsi="華康細明體" w:cs="華康細明體"/>
          <w:szCs w:val="27"/>
        </w:rPr>
        <w:t>議員闡述兩項不獲接納提交立法會的修訂，因為主席裁決有關的修訂不在這項擬議決議案的範圍內。</w:t>
      </w:r>
    </w:p>
    <w:p>
      <w:pPr>
        <w:pStyle w:val="F21"/>
        <w:spacing w:lineRule="atLeast" w:line="340"/>
        <w:rPr>
          <w:rFonts w:ascii="華康細明體" w:hAnsi="華康細明體" w:cs="華康細明體"/>
          <w:szCs w:val="27"/>
        </w:rPr>
      </w:pPr>
      <w:r>
        <w:rPr>
          <w:rFonts w:cs="華康細明體" w:ascii="華康細明體" w:hAnsi="華康細明體"/>
          <w:szCs w:val="27"/>
        </w:rPr>
      </w:r>
    </w:p>
    <w:p>
      <w:pPr>
        <w:pStyle w:val="F21"/>
        <w:spacing w:lineRule="atLeast" w:line="340"/>
        <w:rPr>
          <w:rFonts w:cs="華康細明體"/>
          <w:szCs w:val="27"/>
        </w:rPr>
      </w:pPr>
      <w:r>
        <w:rPr>
          <w:rFonts w:cs="華康細明體" w:ascii="華康細明體" w:hAnsi="華康細明體"/>
          <w:szCs w:val="27"/>
        </w:rPr>
        <w:tab/>
      </w:r>
      <w:r>
        <w:rPr>
          <w:szCs w:val="27"/>
        </w:rPr>
        <w:t>代理</w:t>
      </w:r>
      <w:r>
        <w:rPr>
          <w:rFonts w:ascii="華康細明體" w:hAnsi="華康細明體" w:cs="華康細明體"/>
          <w:szCs w:val="27"/>
        </w:rPr>
        <w:t>主席，我希望各位立法會同事明白，我這兩項修訂，其實只是要保障居民的生活，而且簡單來說，並沒有對業界造成影響，因為業界本身應獲發</w:t>
      </w:r>
      <w:r>
        <w:rPr>
          <w:rFonts w:cs="華康細明體"/>
          <w:szCs w:val="27"/>
        </w:rPr>
        <w:t>1</w:t>
      </w:r>
      <w:r>
        <w:rPr>
          <w:rFonts w:cs="華康細明體"/>
          <w:szCs w:val="27"/>
        </w:rPr>
        <w:t>年酒牌</w:t>
      </w:r>
      <w:r>
        <w:rPr>
          <w:rFonts w:ascii="華康細明體" w:hAnsi="華康細明體" w:cs="華康細明體"/>
          <w:szCs w:val="27"/>
        </w:rPr>
        <w:t>，即使</w:t>
      </w:r>
      <w:r>
        <w:rPr>
          <w:rFonts w:cs="華康細明體"/>
          <w:szCs w:val="27"/>
        </w:rPr>
        <w:t>有酒牌處所證實有被投訴的個案，仍可獲發</w:t>
      </w:r>
      <w:r>
        <w:rPr>
          <w:rFonts w:cs="華康細明體"/>
          <w:szCs w:val="27"/>
        </w:rPr>
        <w:t>1</w:t>
      </w:r>
      <w:r>
        <w:rPr>
          <w:rFonts w:cs="華康細明體"/>
          <w:szCs w:val="27"/>
        </w:rPr>
        <w:t>年酒牌，跟現時一樣，只不過如有涉及證明屬實的投訴，酒牌局便不能向該處所發出兩年牌照，而只會發出</w:t>
      </w:r>
      <w:r>
        <w:rPr>
          <w:rFonts w:cs="華康細明體"/>
          <w:szCs w:val="27"/>
        </w:rPr>
        <w:t>1</w:t>
      </w:r>
      <w:r>
        <w:rPr>
          <w:rFonts w:cs="華康細明體"/>
          <w:szCs w:val="27"/>
        </w:rPr>
        <w:t>年酒牌，跟現時並無分別。</w:t>
      </w:r>
    </w:p>
    <w:p>
      <w:pPr>
        <w:pStyle w:val="F21"/>
        <w:spacing w:lineRule="atLeast" w:line="340"/>
        <w:rPr>
          <w:rFonts w:cs="華康細明體"/>
          <w:szCs w:val="27"/>
        </w:rPr>
      </w:pPr>
      <w:r>
        <w:rPr>
          <w:rFonts w:cs="華康細明體"/>
          <w:szCs w:val="27"/>
        </w:rPr>
      </w:r>
    </w:p>
    <w:p>
      <w:pPr>
        <w:pStyle w:val="F21"/>
        <w:spacing w:lineRule="atLeast" w:line="340"/>
        <w:rPr>
          <w:rFonts w:cs="華康細明體"/>
          <w:szCs w:val="27"/>
        </w:rPr>
      </w:pPr>
      <w:r>
        <w:rPr>
          <w:rFonts w:cs="華康細明體"/>
          <w:szCs w:val="27"/>
        </w:rPr>
        <w:tab/>
      </w:r>
      <w:r>
        <w:rPr>
          <w:rFonts w:cs="華康細明體"/>
          <w:szCs w:val="27"/>
        </w:rPr>
        <w:t>我希望各位明白，這項修訂其實已經十分溫和，並沒有加重被投訴人的負擔，只是要求每年檢視</w:t>
      </w:r>
      <w:r>
        <w:rPr>
          <w:rFonts w:cs="華康細明體"/>
          <w:szCs w:val="27"/>
        </w:rPr>
        <w:t>1</w:t>
      </w:r>
      <w:r>
        <w:rPr>
          <w:rFonts w:cs="華康細明體"/>
          <w:szCs w:val="27"/>
        </w:rPr>
        <w:t>次，跟現時的做法一致。對於一些沒有接獲投訴的酒牌處所，我們認為仍可把其牌照的有效期由</w:t>
      </w:r>
      <w:r>
        <w:rPr>
          <w:rFonts w:cs="華康細明體"/>
          <w:szCs w:val="27"/>
        </w:rPr>
        <w:t>1</w:t>
      </w:r>
      <w:r>
        <w:rPr>
          <w:rFonts w:cs="華康細明體"/>
          <w:szCs w:val="27"/>
        </w:rPr>
        <w:t>年延長為兩年。</w:t>
      </w:r>
    </w:p>
    <w:p>
      <w:pPr>
        <w:pStyle w:val="F21"/>
        <w:spacing w:lineRule="atLeast" w:line="340"/>
        <w:rPr>
          <w:rFonts w:cs="華康細明體"/>
          <w:szCs w:val="27"/>
        </w:rPr>
      </w:pPr>
      <w:r>
        <w:rPr>
          <w:rFonts w:cs="華康細明體"/>
          <w:szCs w:val="27"/>
        </w:rPr>
      </w:r>
    </w:p>
    <w:p>
      <w:pPr>
        <w:pStyle w:val="F21"/>
        <w:spacing w:lineRule="atLeast" w:line="340"/>
        <w:rPr>
          <w:rFonts w:ascii="華康細明體" w:hAnsi="華康細明體" w:cs="華康細明體"/>
          <w:szCs w:val="27"/>
        </w:rPr>
      </w:pPr>
      <w:r>
        <w:rPr>
          <w:rFonts w:cs="華康細明體"/>
          <w:szCs w:val="27"/>
        </w:rPr>
        <w:tab/>
      </w:r>
      <w:r>
        <w:rPr>
          <w:rFonts w:cs="華康細明體"/>
          <w:szCs w:val="27"/>
        </w:rPr>
        <w:t>我謹此陳辭，希望其他政黨人士能夠認真檢視這項修訂，因為不少地區，特別是中西區、油尖旺、太子、九龍城等，均有不少領有牌照的酒吧鄰近民居，而且這些地區的居民，經常到各區議員的辦事處投訴。我希望各位同事能夠支持我的修訂。</w:t>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eastAsia="華康中黑體"/>
          <w:b/>
        </w:rPr>
        <w:t>單仲偕議員動議的議案如下</w:t>
      </w:r>
      <w:r>
        <w:rPr>
          <w:rFonts w:cs="Times New Roman"/>
        </w:rPr>
        <w:t>：</w:t>
      </w:r>
    </w:p>
    <w:p>
      <w:pPr>
        <w:pStyle w:val="F21"/>
        <w:spacing w:lineRule="atLeast" w:line="340"/>
        <w:rPr>
          <w:rFonts w:cs="Times New Roman"/>
        </w:rPr>
      </w:pPr>
      <w:r>
        <w:rPr>
          <w:rFonts w:cs="Times New Roman"/>
        </w:rPr>
      </w:r>
    </w:p>
    <w:p>
      <w:pPr>
        <w:pStyle w:val="F21"/>
        <w:spacing w:lineRule="atLeast" w:line="340"/>
        <w:ind w:left="1276" w:hanging="709"/>
        <w:rPr>
          <w:rFonts w:cs="Times New Roman"/>
        </w:rPr>
      </w:pPr>
      <w:r>
        <w:rPr>
          <w:rFonts w:cs="Times New Roman"/>
        </w:rPr>
        <w:t>“</w:t>
      </w:r>
      <w:r>
        <w:rPr>
          <w:rFonts w:cs="Times New Roman"/>
        </w:rPr>
        <w:t>議決修訂於</w:t>
      </w:r>
      <w:r>
        <w:rPr>
          <w:rFonts w:cs="Times New Roman"/>
        </w:rPr>
        <w:t>2015</w:t>
      </w:r>
      <w:r>
        <w:rPr>
          <w:rFonts w:cs="Times New Roman"/>
        </w:rPr>
        <w:t>年</w:t>
      </w:r>
      <w:r>
        <w:rPr>
          <w:rFonts w:cs="Times New Roman"/>
        </w:rPr>
        <w:t>2</w:t>
      </w:r>
      <w:r>
        <w:rPr>
          <w:rFonts w:cs="Times New Roman"/>
        </w:rPr>
        <w:t>月</w:t>
      </w:r>
      <w:r>
        <w:rPr>
          <w:rFonts w:cs="Times New Roman"/>
        </w:rPr>
        <w:t>4</w:t>
      </w:r>
      <w:r>
        <w:rPr>
          <w:rFonts w:cs="Times New Roman"/>
        </w:rPr>
        <w:t>日提交立法會會議省覽的《</w:t>
      </w:r>
      <w:r>
        <w:rPr>
          <w:rFonts w:cs="Times New Roman"/>
        </w:rPr>
        <w:t>2015</w:t>
      </w:r>
      <w:r>
        <w:rPr>
          <w:rFonts w:cs="Times New Roman"/>
        </w:rPr>
        <w:t>年應課稅品</w:t>
      </w:r>
      <w:r>
        <w:rPr>
          <w:rFonts w:cs="Times New Roman"/>
        </w:rPr>
        <w:t>(</w:t>
      </w:r>
      <w:r>
        <w:rPr>
          <w:rFonts w:cs="Times New Roman"/>
        </w:rPr>
        <w:t>酒類</w:t>
      </w:r>
      <w:r>
        <w:rPr>
          <w:rFonts w:cs="Times New Roman"/>
        </w:rPr>
        <w:t>)(</w:t>
      </w:r>
      <w:r>
        <w:rPr>
          <w:rFonts w:cs="Times New Roman"/>
        </w:rPr>
        <w:t>修訂</w:t>
      </w:r>
      <w:r>
        <w:rPr>
          <w:rFonts w:cs="Times New Roman"/>
        </w:rPr>
        <w:t>)</w:t>
      </w:r>
      <w:r>
        <w:rPr>
          <w:rFonts w:cs="Times New Roman"/>
        </w:rPr>
        <w:t>規例》</w:t>
      </w:r>
      <w:r>
        <w:rPr>
          <w:rFonts w:cs="Times New Roman"/>
        </w:rPr>
        <w:t>(</w:t>
      </w:r>
      <w:r>
        <w:rPr>
          <w:rFonts w:cs="Times New Roman"/>
        </w:rPr>
        <w:t>即刊登於憲報的</w:t>
      </w:r>
      <w:r>
        <w:rPr>
          <w:rFonts w:cs="Times New Roman"/>
        </w:rPr>
        <w:t>2015</w:t>
      </w:r>
      <w:r>
        <w:rPr>
          <w:rFonts w:cs="Times New Roman"/>
        </w:rPr>
        <w:t>年第</w:t>
      </w:r>
      <w:r>
        <w:rPr>
          <w:rFonts w:cs="Times New Roman"/>
        </w:rPr>
        <w:t>20</w:t>
      </w:r>
      <w:r>
        <w:rPr>
          <w:rFonts w:cs="Times New Roman"/>
        </w:rPr>
        <w:t>號法律公告</w:t>
      </w:r>
      <w:r>
        <w:rPr>
          <w:rFonts w:cs="Times New Roman"/>
        </w:rPr>
        <w:t>)</w:t>
      </w:r>
      <w:r>
        <w:rPr>
          <w:rFonts w:cs="Times New Roman"/>
        </w:rPr>
        <w:t>，修訂方式列於附表。</w:t>
      </w:r>
    </w:p>
    <w:p>
      <w:pPr>
        <w:pStyle w:val="F21"/>
        <w:spacing w:lineRule="atLeast" w:line="340"/>
        <w:ind w:left="709" w:hanging="142"/>
        <w:rPr>
          <w:rFonts w:cs="Times New Roman"/>
        </w:rPr>
      </w:pPr>
      <w:r>
        <w:rPr>
          <w:rFonts w:cs="Times New Roman"/>
        </w:rPr>
      </w:r>
    </w:p>
    <w:p>
      <w:pPr>
        <w:pStyle w:val="F21"/>
        <w:spacing w:lineRule="atLeast" w:line="340"/>
        <w:ind w:left="1276" w:hanging="0"/>
        <w:jc w:val="center"/>
        <w:rPr>
          <w:rFonts w:ascii="華康中黑體" w:hAnsi="華康中黑體" w:eastAsia="華康中黑體" w:cs="Times New Roman"/>
          <w:b/>
          <w:b/>
        </w:rPr>
      </w:pPr>
      <w:r>
        <w:rPr>
          <w:rFonts w:ascii="華康中黑體" w:hAnsi="華康中黑體" w:cs="Times New Roman" w:eastAsia="華康中黑體"/>
          <w:b/>
        </w:rPr>
        <w:t>附表</w:t>
      </w:r>
    </w:p>
    <w:p>
      <w:pPr>
        <w:pStyle w:val="F21"/>
        <w:spacing w:lineRule="atLeast" w:line="340"/>
        <w:ind w:left="1276" w:hanging="0"/>
        <w:rPr>
          <w:rFonts w:cs="Times New Roman"/>
        </w:rPr>
      </w:pPr>
      <w:r>
        <w:rPr>
          <w:rFonts w:cs="Times New Roman"/>
        </w:rPr>
      </w:r>
    </w:p>
    <w:p>
      <w:pPr>
        <w:pStyle w:val="F21"/>
        <w:spacing w:lineRule="atLeast" w:line="340"/>
        <w:ind w:left="1276" w:hanging="0"/>
        <w:jc w:val="center"/>
        <w:rPr>
          <w:rFonts w:eastAsia="華康中黑體" w:cs="Times New Roman"/>
          <w:b/>
          <w:b/>
        </w:rPr>
      </w:pPr>
      <w:r>
        <w:rPr>
          <w:rFonts w:ascii="華康中黑體" w:hAnsi="華康中黑體" w:cs="Times New Roman" w:eastAsia="華康中黑體"/>
          <w:b/>
        </w:rPr>
        <w:t>對《</w:t>
      </w:r>
      <w:r>
        <w:rPr>
          <w:rFonts w:eastAsia="華康中黑體" w:cs="Times New Roman"/>
          <w:b/>
        </w:rPr>
        <w:t>2015</w:t>
      </w:r>
      <w:r>
        <w:rPr>
          <w:rFonts w:cs="Times New Roman" w:eastAsia="華康中黑體"/>
          <w:b/>
        </w:rPr>
        <w:t>年應課稅品</w:t>
      </w:r>
      <w:r>
        <w:rPr>
          <w:rFonts w:eastAsia="華康中黑體" w:cs="Times New Roman"/>
          <w:b/>
        </w:rPr>
        <w:t>(</w:t>
      </w:r>
      <w:r>
        <w:rPr>
          <w:rFonts w:cs="Times New Roman" w:eastAsia="華康中黑體"/>
          <w:b/>
        </w:rPr>
        <w:t>酒類</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規例》的修訂</w:t>
      </w:r>
    </w:p>
    <w:p>
      <w:pPr>
        <w:pStyle w:val="F21"/>
        <w:spacing w:lineRule="atLeast" w:line="340"/>
        <w:ind w:left="709" w:hanging="142"/>
        <w:rPr>
          <w:rFonts w:cs="Times New Roman"/>
        </w:rPr>
      </w:pPr>
      <w:r>
        <w:rPr>
          <w:rFonts w:cs="Times New Roman"/>
        </w:rPr>
      </w:r>
    </w:p>
    <w:p>
      <w:pPr>
        <w:pStyle w:val="F21"/>
        <w:spacing w:lineRule="atLeast" w:line="340"/>
        <w:ind w:left="1843" w:hanging="567"/>
        <w:rPr>
          <w:rFonts w:eastAsia="華康中黑體" w:cs="Times New Roman"/>
          <w:b/>
          <w:b/>
        </w:rPr>
      </w:pPr>
      <w:r>
        <w:rPr>
          <w:rFonts w:eastAsia="華康中黑體" w:cs="Times New Roman"/>
          <w:b/>
        </w:rPr>
        <w:t>1.</w:t>
        <w:tab/>
      </w:r>
      <w:r>
        <w:rPr>
          <w:rFonts w:cs="Times New Roman" w:eastAsia="華康中黑體"/>
          <w:b/>
        </w:rPr>
        <w:t>修訂第</w:t>
      </w:r>
      <w:r>
        <w:rPr>
          <w:rFonts w:eastAsia="華康中黑體" w:cs="Times New Roman"/>
          <w:b/>
        </w:rPr>
        <w:t>3</w:t>
      </w:r>
      <w:r>
        <w:rPr>
          <w:rFonts w:cs="Times New Roman" w:eastAsia="華康中黑體"/>
          <w:b/>
        </w:rPr>
        <w:t>條</w:t>
      </w:r>
      <w:r>
        <w:rPr>
          <w:rFonts w:eastAsia="華康中黑體" w:cs="Times New Roman"/>
          <w:b/>
        </w:rPr>
        <w:t>(</w:t>
      </w:r>
      <w:r>
        <w:rPr>
          <w:rFonts w:cs="Times New Roman" w:eastAsia="華康中黑體"/>
          <w:b/>
        </w:rPr>
        <w:t>修訂第</w:t>
      </w:r>
      <w:r>
        <w:rPr>
          <w:rFonts w:eastAsia="華康中黑體" w:cs="Times New Roman"/>
          <w:b/>
        </w:rPr>
        <w:t>20</w:t>
      </w:r>
      <w:r>
        <w:rPr>
          <w:rFonts w:cs="Times New Roman" w:eastAsia="華康中黑體"/>
          <w:b/>
        </w:rPr>
        <w:t>條</w:t>
      </w:r>
      <w:r>
        <w:rPr>
          <w:rFonts w:eastAsia="華康中黑體" w:cs="Times New Roman"/>
          <w:b/>
        </w:rPr>
        <w:t>(</w:t>
      </w:r>
      <w:r>
        <w:rPr>
          <w:rFonts w:cs="Times New Roman" w:eastAsia="華康中黑體"/>
          <w:b/>
        </w:rPr>
        <w:t>牌照的發出及有效期</w:t>
      </w:r>
      <w:r>
        <w:rPr>
          <w:rFonts w:eastAsia="華康中黑體" w:cs="Times New Roman"/>
          <w:b/>
        </w:rPr>
        <w:t>))</w:t>
      </w:r>
    </w:p>
    <w:p>
      <w:pPr>
        <w:pStyle w:val="F21"/>
        <w:spacing w:lineRule="atLeast" w:line="340"/>
        <w:ind w:left="2410" w:hanging="567"/>
        <w:rPr>
          <w:rFonts w:cs="Times New Roman"/>
        </w:rPr>
      </w:pPr>
      <w:r>
        <w:rPr>
          <w:rFonts w:cs="Times New Roman"/>
        </w:rPr>
        <w:t>(1)</w:t>
        <w:tab/>
      </w:r>
      <w:r>
        <w:rPr>
          <w:rFonts w:cs="Times New Roman"/>
        </w:rPr>
        <w:t>第</w:t>
      </w:r>
      <w:r>
        <w:rPr>
          <w:rFonts w:cs="Times New Roman"/>
        </w:rPr>
        <w:t>3</w:t>
      </w:r>
      <w:r>
        <w:rPr>
          <w:rFonts w:cs="Times New Roman"/>
        </w:rPr>
        <w:t xml:space="preserve">條 </w:t>
      </w:r>
      <w:r>
        <w:rPr>
          <w:rFonts w:ascii="Symbol" w:hAnsi="Symbol" w:cs="Symbol" w:eastAsia="Symbol"/>
        </w:rPr>
        <w:t></w:t>
      </w:r>
    </w:p>
    <w:p>
      <w:pPr>
        <w:pStyle w:val="F21"/>
        <w:spacing w:lineRule="atLeast" w:line="340"/>
        <w:ind w:left="2977" w:hanging="567"/>
        <w:rPr>
          <w:rFonts w:eastAsia="華康中黑體" w:cs="Times New Roman"/>
          <w:b/>
          <w:b/>
        </w:rPr>
      </w:pPr>
      <w:r>
        <w:rPr>
          <w:rFonts w:cs="Times New Roman" w:eastAsia="華康中黑體"/>
          <w:b/>
        </w:rPr>
        <w:t>廢除第</w:t>
      </w:r>
      <w:r>
        <w:rPr>
          <w:rFonts w:eastAsia="華康中黑體" w:cs="Times New Roman"/>
          <w:b/>
        </w:rPr>
        <w:t>(2)</w:t>
      </w:r>
      <w:r>
        <w:rPr>
          <w:rFonts w:cs="Times New Roman" w:eastAsia="華康中黑體"/>
          <w:b/>
        </w:rPr>
        <w:t>款</w:t>
      </w:r>
    </w:p>
    <w:p>
      <w:pPr>
        <w:pStyle w:val="F21"/>
        <w:spacing w:lineRule="atLeast" w:line="340"/>
        <w:ind w:left="2977" w:hanging="567"/>
        <w:rPr>
          <w:rFonts w:eastAsia="華康中黑體" w:cs="Times New Roman"/>
          <w:b/>
          <w:b/>
        </w:rPr>
      </w:pPr>
      <w:r>
        <w:rPr>
          <w:rFonts w:cs="Times New Roman" w:eastAsia="華康中黑體"/>
          <w:b/>
        </w:rPr>
        <w:t>代以</w:t>
      </w:r>
    </w:p>
    <w:p>
      <w:pPr>
        <w:pStyle w:val="F21"/>
        <w:ind w:left="3119" w:hanging="709"/>
        <w:rPr>
          <w:rFonts w:cs="Times New Roman"/>
        </w:rPr>
      </w:pPr>
      <w:r>
        <w:rPr>
          <w:rFonts w:cs="Times New Roman"/>
        </w:rPr>
        <w:t>“</w:t>
      </w:r>
      <w:r>
        <w:rPr>
          <w:rFonts w:cs="Times New Roman"/>
        </w:rPr>
        <w:t xml:space="preserve">(2) </w:t>
      </w:r>
      <w:r>
        <w:rPr>
          <w:rFonts w:cs="Times New Roman"/>
        </w:rPr>
        <w:t>第</w:t>
      </w:r>
      <w:r>
        <w:rPr>
          <w:rFonts w:cs="Times New Roman"/>
        </w:rPr>
        <w:t>20(3)</w:t>
      </w:r>
      <w:r>
        <w:rPr>
          <w:rFonts w:cs="Times New Roman"/>
        </w:rPr>
        <w:t xml:space="preserve">條 </w:t>
      </w:r>
      <w:r>
        <w:rPr>
          <w:rFonts w:ascii="Symbol" w:hAnsi="Symbol" w:cs="Symbol" w:eastAsia="Symbol"/>
        </w:rPr>
        <w:t></w:t>
      </w:r>
    </w:p>
    <w:p>
      <w:pPr>
        <w:pStyle w:val="F21"/>
        <w:ind w:left="3941" w:hanging="851"/>
        <w:rPr>
          <w:rFonts w:eastAsia="華康中黑體" w:cs="Times New Roman"/>
          <w:b/>
          <w:b/>
        </w:rPr>
      </w:pPr>
      <w:r>
        <w:rPr>
          <w:rFonts w:cs="Times New Roman" w:eastAsia="華康中黑體"/>
          <w:b/>
        </w:rPr>
        <w:t>廢除</w:t>
      </w:r>
    </w:p>
    <w:p>
      <w:pPr>
        <w:pStyle w:val="F21"/>
        <w:ind w:left="3232" w:hanging="142"/>
        <w:rPr>
          <w:rFonts w:cs="Times New Roman"/>
        </w:rPr>
      </w:pPr>
      <w:r>
        <w:rPr>
          <w:rFonts w:cs="Times New Roman"/>
        </w:rPr>
        <w:t>“</w:t>
      </w:r>
      <w:r>
        <w:rPr>
          <w:rFonts w:cs="Times New Roman"/>
        </w:rPr>
        <w:t>1</w:t>
      </w:r>
      <w:r>
        <w:rPr>
          <w:rFonts w:cs="Times New Roman"/>
        </w:rPr>
        <w:t>年或少於</w:t>
      </w:r>
      <w:r>
        <w:rPr>
          <w:rFonts w:cs="Times New Roman"/>
        </w:rPr>
        <w:t>1</w:t>
      </w:r>
      <w:r>
        <w:rPr>
          <w:rFonts w:cs="Times New Roman"/>
        </w:rPr>
        <w:t>年，由酒牌局決定”</w:t>
      </w:r>
    </w:p>
    <w:p>
      <w:pPr>
        <w:pStyle w:val="F21"/>
        <w:ind w:left="3232" w:hanging="142"/>
        <w:rPr>
          <w:rFonts w:eastAsia="華康中黑體" w:cs="Times New Roman"/>
          <w:b/>
          <w:b/>
        </w:rPr>
      </w:pPr>
      <w:r>
        <w:rPr>
          <w:rFonts w:cs="Times New Roman" w:eastAsia="華康中黑體"/>
          <w:b/>
        </w:rPr>
        <w:t>代以</w:t>
      </w:r>
    </w:p>
    <w:p>
      <w:pPr>
        <w:pStyle w:val="F21"/>
        <w:ind w:left="2410" w:hanging="0"/>
        <w:rPr>
          <w:rFonts w:cs="Times New Roman"/>
        </w:rPr>
      </w:pPr>
      <w:r>
        <w:rPr>
          <w:rFonts w:cs="Times New Roman"/>
        </w:rPr>
        <w:t>“</w:t>
      </w:r>
      <w:r>
        <w:rPr>
          <w:rFonts w:cs="Times New Roman"/>
        </w:rPr>
        <w:t>2</w:t>
      </w:r>
      <w:r>
        <w:rPr>
          <w:rFonts w:cs="Times New Roman"/>
        </w:rPr>
        <w:t>年，或少於</w:t>
      </w:r>
      <w:r>
        <w:rPr>
          <w:rFonts w:cs="Times New Roman"/>
        </w:rPr>
        <w:t>2</w:t>
      </w:r>
      <w:r>
        <w:rPr>
          <w:rFonts w:cs="Times New Roman"/>
        </w:rPr>
        <w:t>年，由酒牌局決定</w:t>
      </w:r>
      <w:r>
        <w:rPr>
          <w:rFonts w:cs="Times New Roman"/>
        </w:rPr>
        <w:t>(</w:t>
      </w:r>
      <w:r>
        <w:rPr>
          <w:rFonts w:cs="Times New Roman"/>
        </w:rPr>
        <w:t>關於批准酒牌申請</w:t>
      </w:r>
      <w:r>
        <w:rPr>
          <w:rFonts w:cs="Times New Roman"/>
        </w:rPr>
        <w:t>)</w:t>
      </w:r>
      <w:r>
        <w:rPr>
          <w:rFonts w:cs="Times New Roman"/>
        </w:rPr>
        <w:t>或如酒牌局不信納第</w:t>
      </w:r>
      <w:r>
        <w:rPr>
          <w:rFonts w:cs="Times New Roman"/>
        </w:rPr>
        <w:t>(4)(a)</w:t>
      </w:r>
      <w:r>
        <w:rPr>
          <w:rFonts w:cs="Times New Roman"/>
        </w:rPr>
        <w:t>或</w:t>
      </w:r>
      <w:r>
        <w:rPr>
          <w:rFonts w:cs="Times New Roman"/>
        </w:rPr>
        <w:t>(b)</w:t>
      </w:r>
      <w:r>
        <w:rPr>
          <w:rFonts w:cs="Times New Roman"/>
        </w:rPr>
        <w:t>款的事項，不多於</w:t>
      </w:r>
      <w:r>
        <w:rPr>
          <w:rFonts w:cs="Times New Roman"/>
        </w:rPr>
        <w:t>1</w:t>
      </w:r>
      <w:r>
        <w:rPr>
          <w:rFonts w:cs="Times New Roman"/>
        </w:rPr>
        <w:t>年</w:t>
      </w:r>
      <w:r>
        <w:rPr>
          <w:rFonts w:cs="Times New Roman"/>
        </w:rPr>
        <w:t>(</w:t>
      </w:r>
      <w:r>
        <w:rPr>
          <w:rFonts w:cs="Times New Roman"/>
        </w:rPr>
        <w:t>關於批准將酒牌續期</w:t>
      </w:r>
      <w:r>
        <w:rPr>
          <w:rFonts w:cs="Times New Roman"/>
        </w:rPr>
        <w:t>)”</w:t>
      </w:r>
      <w:r>
        <w:rPr>
          <w:rFonts w:cs="Times New Roman"/>
        </w:rPr>
        <w:t>。”。</w:t>
      </w:r>
    </w:p>
    <w:p>
      <w:pPr>
        <w:pStyle w:val="F21"/>
        <w:ind w:left="709" w:hanging="142"/>
        <w:rPr>
          <w:rFonts w:cs="Times New Roman"/>
        </w:rPr>
      </w:pPr>
      <w:r>
        <w:rPr>
          <w:rFonts w:cs="Times New Roman"/>
        </w:rPr>
      </w:r>
    </w:p>
    <w:p>
      <w:pPr>
        <w:pStyle w:val="F21"/>
        <w:ind w:left="2410" w:hanging="567"/>
        <w:rPr>
          <w:rFonts w:cs="Times New Roman"/>
        </w:rPr>
      </w:pPr>
      <w:r>
        <w:rPr>
          <w:rFonts w:cs="Times New Roman"/>
        </w:rPr>
        <w:t>(2)</w:t>
        <w:tab/>
      </w:r>
      <w:r>
        <w:rPr>
          <w:rFonts w:cs="Times New Roman"/>
        </w:rPr>
        <w:t>第</w:t>
      </w:r>
      <w:r>
        <w:rPr>
          <w:rFonts w:cs="Times New Roman"/>
        </w:rPr>
        <w:t>3</w:t>
      </w:r>
      <w:r>
        <w:rPr>
          <w:rFonts w:cs="Times New Roman"/>
        </w:rPr>
        <w:t xml:space="preserve">條 </w:t>
      </w:r>
      <w:r>
        <w:rPr>
          <w:rFonts w:ascii="Symbol" w:hAnsi="Symbol" w:cs="Symbol" w:eastAsia="Symbol"/>
        </w:rPr>
        <w:t></w:t>
      </w:r>
    </w:p>
    <w:p>
      <w:pPr>
        <w:pStyle w:val="F21"/>
        <w:ind w:left="2977" w:hanging="567"/>
        <w:rPr>
          <w:rFonts w:eastAsia="華康中黑體" w:cs="Times New Roman"/>
          <w:b/>
          <w:b/>
        </w:rPr>
      </w:pPr>
      <w:r>
        <w:rPr>
          <w:rFonts w:cs="Times New Roman" w:eastAsia="華康中黑體"/>
          <w:b/>
        </w:rPr>
        <w:t>廢除第</w:t>
      </w:r>
      <w:r>
        <w:rPr>
          <w:rFonts w:eastAsia="華康中黑體" w:cs="Times New Roman"/>
          <w:b/>
        </w:rPr>
        <w:t>(3)</w:t>
      </w:r>
      <w:r>
        <w:rPr>
          <w:rFonts w:cs="Times New Roman" w:eastAsia="華康中黑體"/>
          <w:b/>
        </w:rPr>
        <w:t>款</w:t>
      </w:r>
    </w:p>
    <w:p>
      <w:pPr>
        <w:pStyle w:val="F21"/>
        <w:ind w:left="2977" w:hanging="567"/>
        <w:rPr>
          <w:rFonts w:eastAsia="華康中黑體" w:cs="Times New Roman"/>
          <w:b/>
          <w:b/>
        </w:rPr>
      </w:pPr>
      <w:r>
        <w:rPr>
          <w:rFonts w:cs="Times New Roman" w:eastAsia="華康中黑體"/>
          <w:b/>
        </w:rPr>
        <w:t>代以</w:t>
      </w:r>
    </w:p>
    <w:p>
      <w:pPr>
        <w:pStyle w:val="F21"/>
        <w:ind w:left="3119" w:hanging="709"/>
        <w:rPr>
          <w:rFonts w:cs="Times New Roman"/>
        </w:rPr>
      </w:pPr>
      <w:r>
        <w:rPr>
          <w:rFonts w:cs="Times New Roman"/>
        </w:rPr>
        <w:t>“</w:t>
      </w:r>
      <w:r>
        <w:rPr>
          <w:rFonts w:cs="Times New Roman"/>
        </w:rPr>
        <w:t xml:space="preserve">(3) </w:t>
      </w:r>
      <w:r>
        <w:rPr>
          <w:rFonts w:cs="Times New Roman"/>
        </w:rPr>
        <w:t>第</w:t>
      </w:r>
      <w:r>
        <w:rPr>
          <w:rFonts w:cs="Times New Roman"/>
        </w:rPr>
        <w:t>20</w:t>
      </w:r>
      <w:r>
        <w:rPr>
          <w:rFonts w:cs="Times New Roman"/>
        </w:rPr>
        <w:t xml:space="preserve">條 </w:t>
      </w:r>
      <w:r>
        <w:rPr>
          <w:rFonts w:ascii="Symbol" w:hAnsi="Symbol" w:cs="Symbol" w:eastAsia="Symbol"/>
        </w:rPr>
        <w:t></w:t>
      </w:r>
    </w:p>
    <w:p>
      <w:pPr>
        <w:pStyle w:val="F21"/>
        <w:ind w:left="3941" w:hanging="851"/>
        <w:rPr>
          <w:rFonts w:eastAsia="華康中黑體" w:cs="Times New Roman"/>
          <w:b/>
          <w:b/>
        </w:rPr>
      </w:pPr>
      <w:r>
        <w:rPr>
          <w:rFonts w:cs="Times New Roman" w:eastAsia="華康中黑體"/>
          <w:b/>
        </w:rPr>
        <w:t>廢除第</w:t>
      </w:r>
      <w:r>
        <w:rPr>
          <w:rFonts w:eastAsia="華康中黑體" w:cs="Times New Roman"/>
          <w:b/>
        </w:rPr>
        <w:t>(4)</w:t>
      </w:r>
      <w:r>
        <w:rPr>
          <w:rFonts w:cs="Times New Roman" w:eastAsia="華康中黑體"/>
          <w:b/>
        </w:rPr>
        <w:t>款</w:t>
      </w:r>
    </w:p>
    <w:p>
      <w:pPr>
        <w:pStyle w:val="F21"/>
        <w:ind w:left="3941" w:hanging="851"/>
        <w:rPr>
          <w:rFonts w:eastAsia="華康中黑體" w:cs="Times New Roman"/>
          <w:b/>
          <w:b/>
        </w:rPr>
      </w:pPr>
      <w:r>
        <w:rPr>
          <w:rFonts w:cs="Times New Roman" w:eastAsia="華康中黑體"/>
          <w:b/>
        </w:rPr>
        <w:t>代以</w:t>
      </w:r>
    </w:p>
    <w:p>
      <w:pPr>
        <w:pStyle w:val="F21"/>
        <w:ind w:left="3119" w:hanging="709"/>
        <w:rPr>
          <w:rFonts w:cs="Times New Roman"/>
        </w:rPr>
      </w:pPr>
      <w:r>
        <w:rPr>
          <w:rFonts w:cs="Times New Roman"/>
        </w:rPr>
        <w:t>“</w:t>
      </w:r>
      <w:r>
        <w:rPr>
          <w:rFonts w:cs="Times New Roman"/>
        </w:rPr>
        <w:t>(4)</w:t>
        <w:tab/>
      </w:r>
      <w:r>
        <w:rPr>
          <w:rFonts w:cs="Times New Roman"/>
        </w:rPr>
        <w:t>在將酒牌續期前，酒牌局除非信納以下事項，否則酒牌局不得批出有效期多於</w:t>
      </w:r>
      <w:r>
        <w:rPr>
          <w:rFonts w:cs="Times New Roman"/>
        </w:rPr>
        <w:t>1</w:t>
      </w:r>
      <w:r>
        <w:rPr>
          <w:rFonts w:cs="Times New Roman"/>
        </w:rPr>
        <w:t>年的酒牌 </w:t>
      </w:r>
      <w:r>
        <w:rPr>
          <w:rFonts w:ascii="Symbol" w:hAnsi="Symbol" w:cs="Symbol" w:eastAsia="Symbol"/>
        </w:rPr>
        <w:t></w:t>
      </w:r>
    </w:p>
    <w:p>
      <w:pPr>
        <w:pStyle w:val="F21"/>
        <w:ind w:left="709" w:hanging="142"/>
        <w:rPr>
          <w:rFonts w:cs="Times New Roman"/>
        </w:rPr>
      </w:pPr>
      <w:r>
        <w:rPr>
          <w:rFonts w:cs="Times New Roman"/>
        </w:rPr>
      </w:r>
    </w:p>
    <w:p>
      <w:pPr>
        <w:pStyle w:val="F21"/>
        <w:ind w:left="3657" w:hanging="567"/>
        <w:rPr>
          <w:rFonts w:cs="Times New Roman"/>
        </w:rPr>
      </w:pPr>
      <w:r>
        <w:rPr>
          <w:rFonts w:cs="Times New Roman"/>
        </w:rPr>
        <w:t>(a)</w:t>
        <w:tab/>
      </w:r>
      <w:r>
        <w:rPr>
          <w:rFonts w:cs="Times New Roman"/>
        </w:rPr>
        <w:t>在緊接有關領有牌照處所續牌前最少連續</w:t>
      </w:r>
      <w:r>
        <w:rPr>
          <w:rFonts w:cs="Times New Roman"/>
        </w:rPr>
        <w:t>2‍</w:t>
      </w:r>
      <w:r>
        <w:rPr>
          <w:rFonts w:cs="Times New Roman"/>
        </w:rPr>
        <w:t>年，政府當局或酒牌局沒有任何關於該處所或持牌人證明屬實的投訴，或對該處所或持牌人採取執法行動的記錄，及沒有收到公眾人士就其牌照續期申請公告提出反對或負面評語；或</w:t>
      </w:r>
    </w:p>
    <w:p>
      <w:pPr>
        <w:pStyle w:val="F21"/>
        <w:ind w:left="3657" w:hanging="567"/>
        <w:rPr>
          <w:rFonts w:cs="Times New Roman"/>
        </w:rPr>
      </w:pPr>
      <w:r>
        <w:rPr>
          <w:rFonts w:cs="Times New Roman"/>
        </w:rPr>
        <w:t>(b)</w:t>
        <w:tab/>
      </w:r>
      <w:r>
        <w:rPr>
          <w:rFonts w:cs="Times New Roman"/>
        </w:rPr>
        <w:t>領有牌照處所並無對附近的居民造成不合理的滋擾。”。”。”</w:t>
      </w:r>
    </w:p>
    <w:p>
      <w:pPr>
        <w:pStyle w:val="F21"/>
        <w:rPr>
          <w:rFonts w:cs="Times New Roman"/>
        </w:rPr>
      </w:pPr>
      <w:r>
        <w:rPr>
          <w:rFonts w:cs="Times New Roman"/>
        </w:rPr>
      </w:r>
    </w:p>
    <w:p>
      <w:pPr>
        <w:pStyle w:val="F21"/>
        <w:tabs>
          <w:tab w:val="clear" w:pos="567"/>
        </w:tabs>
        <w:rPr>
          <w:rFonts w:eastAsia="華康中黑體"/>
          <w:b/>
          <w:b/>
        </w:rPr>
      </w:pPr>
      <w:r>
        <w:rPr>
          <w:rFonts w:eastAsia="華康中黑體"/>
          <w:b/>
        </w:rPr>
      </w:r>
    </w:p>
    <w:p>
      <w:pPr>
        <w:pStyle w:val="F21"/>
        <w:rPr/>
      </w:pPr>
      <w:r>
        <w:rPr>
          <w:rFonts w:eastAsia="華康中黑體"/>
          <w:b/>
        </w:rPr>
        <w:t>代理主席</w:t>
      </w:r>
      <w:r>
        <w:rPr/>
        <w:t>：我現在向各位提出的待議議題是：單仲偕議員動議的議案，予以通過。</w:t>
      </w:r>
    </w:p>
    <w:p>
      <w:pPr>
        <w:pStyle w:val="F21"/>
        <w:rPr/>
      </w:pPr>
      <w:r>
        <w:rPr/>
      </w:r>
    </w:p>
    <w:p>
      <w:pPr>
        <w:pStyle w:val="F21"/>
        <w:rPr>
          <w:rFonts w:cs="Times New Roman"/>
        </w:rPr>
      </w:pPr>
      <w:r>
        <w:rPr>
          <w:rFonts w:cs="Times New Roman"/>
        </w:rPr>
      </w:r>
    </w:p>
    <w:p>
      <w:pPr>
        <w:pStyle w:val="F21"/>
        <w:rPr/>
      </w:pPr>
      <w:r>
        <w:rPr>
          <w:rFonts w:ascii="華康中黑體" w:hAnsi="華康中黑體" w:cs="華康中黑體" w:eastAsia="華康中黑體"/>
          <w:b/>
        </w:rPr>
        <w:t>食物及衞生局局長</w:t>
      </w:r>
      <w:r>
        <w:rPr/>
        <w:t>：代理主席，單仲偕議員的擬議決議案旨在於《</w:t>
      </w:r>
      <w:r>
        <w:rPr/>
        <w:t>2015</w:t>
      </w:r>
      <w:r>
        <w:rPr/>
        <w:t>年應課稅品</w:t>
      </w:r>
      <w:r>
        <w:rPr/>
        <w:t>(</w:t>
      </w:r>
      <w:r>
        <w:rPr/>
        <w:t>酒類</w:t>
      </w:r>
      <w:r>
        <w:rPr/>
        <w:t>)</w:t>
      </w:r>
      <w:r>
        <w:rPr/>
        <w:t>修訂規例》</w:t>
      </w:r>
      <w:r>
        <w:rPr/>
        <w:t>(“</w:t>
      </w:r>
      <w:r>
        <w:rPr/>
        <w:t>《修訂規例》”</w:t>
      </w:r>
      <w:r>
        <w:rPr/>
        <w:t>)</w:t>
      </w:r>
      <w:r>
        <w:rPr/>
        <w:t>訂明，如存在某些因素，酒牌局便不得批出有效期多於</w:t>
      </w:r>
      <w:r>
        <w:rPr/>
        <w:t>1</w:t>
      </w:r>
      <w:r>
        <w:rPr/>
        <w:t>年的酒牌。</w:t>
      </w:r>
    </w:p>
    <w:p>
      <w:pPr>
        <w:pStyle w:val="F21"/>
        <w:rPr/>
      </w:pPr>
      <w:r>
        <w:rPr/>
      </w:r>
    </w:p>
    <w:p>
      <w:pPr>
        <w:pStyle w:val="F21"/>
        <w:rPr/>
      </w:pPr>
      <w:r>
        <w:rPr/>
        <w:tab/>
      </w:r>
      <w:r>
        <w:rPr/>
        <w:t>首先，我必須強調，政府認同保障鄰近居民免受不合理滋擾的重要性。</w:t>
      </w:r>
      <w:r>
        <w:br w:type="page"/>
      </w:r>
    </w:p>
    <w:p>
      <w:pPr>
        <w:pStyle w:val="F21"/>
        <w:spacing w:lineRule="atLeast" w:line="370"/>
        <w:rPr/>
      </w:pPr>
      <w:r>
        <w:rPr/>
        <w:tab/>
      </w:r>
      <w:r>
        <w:rPr/>
        <w:t>事實上，為提供更多空間以更細緻地處理鄰近社區的意見，酒牌局早前自發地修訂了處理酒牌續期或轉讓申請的程序。由</w:t>
      </w:r>
      <w:r>
        <w:rPr/>
        <w:t>2013</w:t>
      </w:r>
      <w:r>
        <w:rPr/>
        <w:t>年</w:t>
      </w:r>
      <w:r>
        <w:rPr/>
        <w:t>5</w:t>
      </w:r>
      <w:r>
        <w:rPr/>
        <w:t>月起，任何向酒牌局提交酒牌續期或轉讓申請的酒牌處所，如果</w:t>
      </w:r>
      <w:r>
        <w:rPr/>
        <w:t>(</w:t>
      </w:r>
      <w:r>
        <w:rPr/>
        <w:t>一</w:t>
      </w:r>
      <w:r>
        <w:rPr/>
        <w:t>)</w:t>
      </w:r>
      <w:r>
        <w:rPr/>
        <w:t>在上次續牌時有人對其提出反對；或</w:t>
      </w:r>
      <w:r>
        <w:rPr/>
        <w:t>(</w:t>
      </w:r>
      <w:r>
        <w:rPr/>
        <w:t>二</w:t>
      </w:r>
      <w:r>
        <w:rPr/>
        <w:t>)</w:t>
      </w:r>
      <w:r>
        <w:rPr/>
        <w:t>在過去</w:t>
      </w:r>
      <w:r>
        <w:rPr/>
        <w:t>12</w:t>
      </w:r>
      <w:r>
        <w:rPr/>
        <w:t>個月內有投訴紀錄，酒牌局在考慮該申請前必先徵詢屬該酒牌處所所在選區的區議員。</w:t>
      </w:r>
    </w:p>
    <w:p>
      <w:pPr>
        <w:pStyle w:val="F21"/>
        <w:spacing w:lineRule="atLeast" w:line="370"/>
        <w:rPr/>
      </w:pPr>
      <w:r>
        <w:rPr/>
      </w:r>
    </w:p>
    <w:p>
      <w:pPr>
        <w:pStyle w:val="F21"/>
        <w:spacing w:lineRule="atLeast" w:line="370"/>
        <w:rPr/>
      </w:pPr>
      <w:r>
        <w:rPr/>
        <w:tab/>
      </w:r>
      <w:r>
        <w:rPr/>
        <w:t>此外，酒牌局在</w:t>
      </w:r>
      <w:r>
        <w:rPr/>
        <w:t>2013</w:t>
      </w:r>
      <w:r>
        <w:rPr/>
        <w:t>年</w:t>
      </w:r>
      <w:r>
        <w:rPr/>
        <w:t>12</w:t>
      </w:r>
      <w:r>
        <w:rPr/>
        <w:t>月公布了一套準則指引，列出該局審批酒牌申請時考慮的因素，以提高透明度。基於樓上酒吧的實際環境，有關消防安全、噪音、環境衞生和公眾滋擾等方面的執法及巡查工作相對比較困難，往往較容易令公眾憂慮和招致鄰近社區的投訴。就此，該套指引已扼要說明申請開設樓上酒吧必須通過的審批程序，並指出酒牌局可以就可容納的人數上限，以及噪音問題嚴重的酒牌處所必須採取的消減噪音措施等事項，附加更嚴格的持牌條件。</w:t>
      </w:r>
    </w:p>
    <w:p>
      <w:pPr>
        <w:pStyle w:val="F21"/>
        <w:spacing w:lineRule="atLeast" w:line="370"/>
        <w:rPr/>
      </w:pPr>
      <w:r>
        <w:rPr/>
      </w:r>
    </w:p>
    <w:p>
      <w:pPr>
        <w:pStyle w:val="F21"/>
        <w:spacing w:lineRule="atLeast" w:line="370"/>
        <w:rPr/>
      </w:pPr>
      <w:r>
        <w:rPr/>
        <w:tab/>
      </w:r>
      <w:r>
        <w:rPr/>
        <w:t>根據單仲偕議員提出的擬議決議案，如存在某些因素，酒牌局便不應批出有效期多於</w:t>
      </w:r>
      <w:r>
        <w:rPr/>
        <w:t>1</w:t>
      </w:r>
      <w:r>
        <w:rPr/>
        <w:t>年的酒牌。我們留意到，單議員提出的這些因素大致上參考了我們在相關立法會參考資料摘要內的建議。</w:t>
      </w:r>
    </w:p>
    <w:p>
      <w:pPr>
        <w:pStyle w:val="F21"/>
        <w:spacing w:lineRule="atLeast" w:line="370"/>
        <w:rPr/>
      </w:pPr>
      <w:r>
        <w:rPr/>
      </w:r>
    </w:p>
    <w:p>
      <w:pPr>
        <w:pStyle w:val="F21"/>
        <w:spacing w:lineRule="atLeast" w:line="370"/>
        <w:rPr/>
      </w:pPr>
      <w:r>
        <w:rPr/>
        <w:tab/>
      </w:r>
      <w:r>
        <w:rPr/>
        <w:t>我們已就一系列與單議員所提建議非常類似的事項徵詢酒牌局的意見，酒牌局現正討論在處理續牌兩年的申請時的相關考慮因素，包括在上述指引中作出更新。</w:t>
      </w:r>
    </w:p>
    <w:p>
      <w:pPr>
        <w:pStyle w:val="F21"/>
        <w:spacing w:lineRule="atLeast" w:line="370"/>
        <w:rPr/>
      </w:pPr>
      <w:r>
        <w:rPr/>
      </w:r>
    </w:p>
    <w:p>
      <w:pPr>
        <w:pStyle w:val="F21"/>
        <w:spacing w:lineRule="atLeast" w:line="370"/>
        <w:rPr/>
      </w:pPr>
      <w:r>
        <w:rPr/>
        <w:tab/>
      </w:r>
      <w:r>
        <w:rPr/>
        <w:t>基本上，我們對於為批准續牌兩年的申請設定一些要求和考慮因素是絕無異議的，我們其實已經作出這樣的建議。</w:t>
      </w:r>
    </w:p>
    <w:p>
      <w:pPr>
        <w:pStyle w:val="F21"/>
        <w:spacing w:lineRule="atLeast" w:line="370"/>
        <w:rPr/>
      </w:pPr>
      <w:r>
        <w:rPr/>
      </w:r>
    </w:p>
    <w:p>
      <w:pPr>
        <w:pStyle w:val="F21"/>
        <w:spacing w:lineRule="atLeast" w:line="370"/>
        <w:rPr/>
      </w:pPr>
      <w:r>
        <w:rPr/>
        <w:tab/>
      </w:r>
      <w:r>
        <w:rPr/>
        <w:t>根據《應課稅品</w:t>
      </w:r>
      <w:r>
        <w:rPr/>
        <w:t>(</w:t>
      </w:r>
      <w:r>
        <w:rPr/>
        <w:t>酒類</w:t>
      </w:r>
      <w:r>
        <w:rPr/>
        <w:t>)</w:t>
      </w:r>
      <w:r>
        <w:rPr/>
        <w:t>規例》</w:t>
      </w:r>
      <w:r>
        <w:rPr/>
        <w:t>(</w:t>
      </w:r>
      <w:r>
        <w:rPr/>
        <w:t>第</w:t>
      </w:r>
      <w:r>
        <w:rPr/>
        <w:t>109B</w:t>
      </w:r>
      <w:r>
        <w:rPr/>
        <w:t>章</w:t>
      </w:r>
      <w:r>
        <w:rPr/>
        <w:t>)</w:t>
      </w:r>
      <w:r>
        <w:rPr/>
        <w:t>第</w:t>
      </w:r>
      <w:r>
        <w:rPr/>
        <w:t>17</w:t>
      </w:r>
      <w:r>
        <w:rPr/>
        <w:t>條，酒牌局只會在信納有關申請符合以下</w:t>
      </w:r>
      <w:r>
        <w:rPr/>
        <w:t>3</w:t>
      </w:r>
      <w:r>
        <w:rPr/>
        <w:t>項條件時才會批出牌照，即</w:t>
      </w:r>
      <w:r>
        <w:rPr/>
        <w:t>(</w:t>
      </w:r>
      <w:r>
        <w:rPr/>
        <w:t>一</w:t>
      </w:r>
      <w:r>
        <w:rPr/>
        <w:t>)</w:t>
      </w:r>
      <w:r>
        <w:rPr/>
        <w:t>申請人為持有該牌照的適當人選；</w:t>
      </w:r>
      <w:r>
        <w:rPr/>
        <w:t>(</w:t>
      </w:r>
      <w:r>
        <w:rPr/>
        <w:t>二</w:t>
      </w:r>
      <w:r>
        <w:rPr/>
        <w:t>)</w:t>
      </w:r>
      <w:r>
        <w:rPr/>
        <w:t>與申請有關的處所為適合用作售賣或供應令人醺醉的酒類的地方；及</w:t>
      </w:r>
      <w:r>
        <w:rPr/>
        <w:t>(</w:t>
      </w:r>
      <w:r>
        <w:rPr/>
        <w:t>三</w:t>
      </w:r>
      <w:r>
        <w:rPr/>
        <w:t>)</w:t>
      </w:r>
      <w:r>
        <w:rPr/>
        <w:t>批出該牌照並不違反公眾利益。</w:t>
      </w:r>
    </w:p>
    <w:p>
      <w:pPr>
        <w:pStyle w:val="F21"/>
        <w:spacing w:lineRule="atLeast" w:line="370"/>
        <w:rPr/>
      </w:pPr>
      <w:r>
        <w:rPr/>
      </w:r>
    </w:p>
    <w:p>
      <w:pPr>
        <w:pStyle w:val="F21"/>
        <w:spacing w:lineRule="atLeast" w:line="370"/>
        <w:rPr/>
      </w:pPr>
      <w:r>
        <w:rPr/>
        <w:tab/>
      </w:r>
      <w:r>
        <w:rPr/>
        <w:t>我們理解，單議員希望將有關的要求納入法例內。我們認為這種做法弊多於利。首先，將酒牌局的所有要求納入法例內，會制約酒牌局可考慮其他相關因素的彈性，以及當局給予各項有關因素的比重。若在《修訂規例》生效後，酒牌局發現有其他更值得考慮的因素</w:t>
      </w:r>
      <w:r>
        <w:rPr/>
        <w:t>(</w:t>
      </w:r>
      <w:r>
        <w:rPr/>
        <w:t>包括一些我們未能在此刻預知的發展</w:t>
      </w:r>
      <w:r>
        <w:rPr/>
        <w:t>)</w:t>
      </w:r>
      <w:r>
        <w:rPr/>
        <w:t>，便需要透過修訂法例才能實施；否則，酒牌局將要根據法例批出兩年牌照。對於附近居民來說，這種做法未必有利。</w:t>
      </w:r>
      <w:r>
        <w:br w:type="page"/>
      </w:r>
    </w:p>
    <w:p>
      <w:pPr>
        <w:pStyle w:val="F21"/>
        <w:rPr/>
      </w:pPr>
      <w:r>
        <w:rPr/>
        <w:tab/>
      </w:r>
      <w:r>
        <w:rPr/>
        <w:t>此外，單議員詳列了處理續牌兩年申請的要求，但擬議決議案的字眼或會令人認為新的酒牌申請也有機會獲批兩年牌照。這並非政府或單議員的意願，但擬議決議案的字眼似乎達到了這樣的效果。政府希望新的酒牌只會有</w:t>
      </w:r>
      <w:r>
        <w:rPr/>
        <w:t>1</w:t>
      </w:r>
      <w:r>
        <w:rPr/>
        <w:t>年的有效期。只有在緊接有關續牌申請前最少連續兩年紀錄良好的個案，才有較大機會獲得酒牌局批准續期兩年。</w:t>
      </w:r>
    </w:p>
    <w:p>
      <w:pPr>
        <w:pStyle w:val="F21"/>
        <w:rPr/>
      </w:pPr>
      <w:r>
        <w:rPr/>
      </w:r>
    </w:p>
    <w:p>
      <w:pPr>
        <w:pStyle w:val="F21"/>
        <w:rPr/>
      </w:pPr>
      <w:r>
        <w:rPr/>
        <w:tab/>
      </w:r>
      <w:r>
        <w:rPr/>
        <w:t>再者，建議修訂的字眼還有不少不清晰的地方，例如單議員建議如酒牌處所對附近的居民造成不合理的滋擾，酒牌局便不得批出有效期多於</w:t>
      </w:r>
      <w:r>
        <w:rPr/>
        <w:t>1</w:t>
      </w:r>
      <w:r>
        <w:rPr/>
        <w:t>年的牌照。如何界定“附近的居民”及“不合理的滋擾”，這些都很容易在法庭上遭到挑戰。其他字眼例如“證明屬實的投訴紀錄”，這些行政用字若用於法例之中，或會令法例難以執行。</w:t>
      </w:r>
    </w:p>
    <w:p>
      <w:pPr>
        <w:pStyle w:val="F21"/>
        <w:rPr/>
      </w:pPr>
      <w:r>
        <w:rPr/>
      </w:r>
    </w:p>
    <w:p>
      <w:pPr>
        <w:pStyle w:val="F21"/>
        <w:rPr/>
      </w:pPr>
      <w:r>
        <w:rPr/>
        <w:tab/>
      </w:r>
      <w:r>
        <w:rPr/>
        <w:t>代理主席，我重申我們的立場，政府認同保障鄰近居民免受滋擾的重要性。在審議《</w:t>
      </w:r>
      <w:r>
        <w:rPr/>
        <w:t>2015</w:t>
      </w:r>
      <w:r>
        <w:rPr/>
        <w:t>年應課稅品</w:t>
      </w:r>
      <w:r>
        <w:rPr/>
        <w:t>(</w:t>
      </w:r>
      <w:r>
        <w:rPr/>
        <w:t>酒類</w:t>
      </w:r>
      <w:r>
        <w:rPr/>
        <w:t>)(</w:t>
      </w:r>
      <w:r>
        <w:rPr/>
        <w:t>修訂</w:t>
      </w:r>
      <w:r>
        <w:rPr/>
        <w:t>)</w:t>
      </w:r>
      <w:r>
        <w:rPr/>
        <w:t>規例》的小組委員會會議上，政府已承諾會與酒牌局商討，而酒牌局亦正討論把處理續期兩年的申請時的相關考慮，納入酒牌局的準則指引內，以提高透明度。</w:t>
      </w:r>
    </w:p>
    <w:p>
      <w:pPr>
        <w:pStyle w:val="F21"/>
        <w:rPr/>
      </w:pPr>
      <w:r>
        <w:rPr/>
      </w:r>
    </w:p>
    <w:p>
      <w:pPr>
        <w:pStyle w:val="F21"/>
        <w:rPr/>
      </w:pPr>
      <w:r>
        <w:rPr/>
        <w:tab/>
      </w:r>
      <w:r>
        <w:rPr/>
        <w:t>基於以上所述的原因，我希望議員反對這項擬議決議案。</w:t>
      </w:r>
    </w:p>
    <w:p>
      <w:pPr>
        <w:pStyle w:val="F21"/>
        <w:rPr/>
      </w:pPr>
      <w:r>
        <w:rPr/>
      </w:r>
    </w:p>
    <w:p>
      <w:pPr>
        <w:pStyle w:val="F21"/>
        <w:rPr/>
      </w:pPr>
      <w:r>
        <w:rPr/>
        <w:tab/>
      </w:r>
      <w:r>
        <w:rPr/>
        <w:t>多謝代理主席。</w:t>
      </w:r>
    </w:p>
    <w:p>
      <w:pPr>
        <w:pStyle w:val="F21"/>
        <w:rPr>
          <w:rFonts w:cs="Times New Roman"/>
        </w:rPr>
      </w:pPr>
      <w:r>
        <w:rPr>
          <w:rFonts w:cs="Times New Roman"/>
        </w:rPr>
      </w:r>
    </w:p>
    <w:p>
      <w:pPr>
        <w:pStyle w:val="F21"/>
        <w:rPr>
          <w:rFonts w:cs="Times New Roman"/>
        </w:rPr>
      </w:pPr>
      <w:r>
        <w:rPr>
          <w:rFonts w:cs="Times New Roman"/>
        </w:rPr>
      </w:r>
    </w:p>
    <w:p>
      <w:pPr>
        <w:pStyle w:val="F21"/>
        <w:rPr>
          <w:szCs w:val="27"/>
        </w:rPr>
      </w:pPr>
      <w:r>
        <w:rPr>
          <w:rFonts w:eastAsia="華康中黑體"/>
          <w:b/>
          <w:szCs w:val="27"/>
        </w:rPr>
        <w:t>張宇人議員</w:t>
      </w:r>
      <w:r>
        <w:rPr>
          <w:szCs w:val="27"/>
        </w:rPr>
        <w:t>：代理主席，我謹以《</w:t>
      </w:r>
      <w:r>
        <w:rPr>
          <w:szCs w:val="27"/>
        </w:rPr>
        <w:t>2015</w:t>
      </w:r>
      <w:r>
        <w:rPr>
          <w:szCs w:val="27"/>
        </w:rPr>
        <w:t>年應課稅品</w:t>
      </w:r>
      <w:r>
        <w:rPr>
          <w:szCs w:val="27"/>
        </w:rPr>
        <w:t>(</w:t>
      </w:r>
      <w:r>
        <w:rPr>
          <w:szCs w:val="27"/>
        </w:rPr>
        <w:t>酒類</w:t>
      </w:r>
      <w:r>
        <w:rPr>
          <w:szCs w:val="27"/>
        </w:rPr>
        <w:t>)(</w:t>
      </w:r>
      <w:r>
        <w:rPr>
          <w:szCs w:val="27"/>
        </w:rPr>
        <w:t>修訂</w:t>
      </w:r>
      <w:r>
        <w:rPr>
          <w:szCs w:val="27"/>
        </w:rPr>
        <w:t>)</w:t>
      </w:r>
      <w:r>
        <w:rPr>
          <w:szCs w:val="27"/>
        </w:rPr>
        <w:t>規例》及《</w:t>
      </w:r>
      <w:r>
        <w:rPr>
          <w:szCs w:val="27"/>
        </w:rPr>
        <w:t>2015</w:t>
      </w:r>
      <w:r>
        <w:rPr>
          <w:szCs w:val="27"/>
        </w:rPr>
        <w:t>年應課稅品</w:t>
      </w:r>
      <w:r>
        <w:rPr>
          <w:szCs w:val="27"/>
        </w:rPr>
        <w:t>(</w:t>
      </w:r>
      <w:r>
        <w:rPr>
          <w:szCs w:val="27"/>
        </w:rPr>
        <w:t>酒牌</w:t>
      </w:r>
      <w:r>
        <w:rPr>
          <w:szCs w:val="27"/>
        </w:rPr>
        <w:t>)(</w:t>
      </w:r>
      <w:r>
        <w:rPr>
          <w:szCs w:val="27"/>
        </w:rPr>
        <w:t>費用</w:t>
      </w:r>
      <w:r>
        <w:rPr>
          <w:szCs w:val="27"/>
        </w:rPr>
        <w:t>)(</w:t>
      </w:r>
      <w:r>
        <w:rPr>
          <w:szCs w:val="27"/>
        </w:rPr>
        <w:t>修訂</w:t>
      </w:r>
      <w:r>
        <w:rPr>
          <w:szCs w:val="27"/>
        </w:rPr>
        <w:t>)</w:t>
      </w:r>
      <w:r>
        <w:rPr>
          <w:szCs w:val="27"/>
        </w:rPr>
        <w:t>規例》小組委員會主席的身份，匯報小組委員會的商議工作。</w:t>
      </w:r>
    </w:p>
    <w:p>
      <w:pPr>
        <w:pStyle w:val="F21"/>
        <w:rPr>
          <w:szCs w:val="27"/>
        </w:rPr>
      </w:pPr>
      <w:r>
        <w:rPr>
          <w:szCs w:val="27"/>
        </w:rPr>
      </w:r>
    </w:p>
    <w:p>
      <w:pPr>
        <w:pStyle w:val="F21"/>
        <w:rPr>
          <w:szCs w:val="27"/>
        </w:rPr>
      </w:pPr>
      <w:r>
        <w:rPr>
          <w:szCs w:val="27"/>
        </w:rPr>
        <w:tab/>
      </w:r>
      <w:r>
        <w:rPr>
          <w:szCs w:val="27"/>
        </w:rPr>
        <w:t>對於把酒牌的最長有效期從</w:t>
      </w:r>
      <w:r>
        <w:rPr>
          <w:szCs w:val="27"/>
        </w:rPr>
        <w:t>1</w:t>
      </w:r>
      <w:r>
        <w:rPr>
          <w:szCs w:val="27"/>
        </w:rPr>
        <w:t>年延長至兩年的建議，部分委員及業界代表支持有關建議，以作為利便營商的措施。有部分其他委員則關注到，在推行有關建議後，酒牌局可能會採取寬鬆的方式審批酒牌的續期申請，而不論有關持牌處所是否曾經接獲附近居民的投訴或反對，均會批出有效期為兩年的牌照。</w:t>
      </w:r>
    </w:p>
    <w:p>
      <w:pPr>
        <w:pStyle w:val="F21"/>
        <w:rPr>
          <w:szCs w:val="27"/>
        </w:rPr>
      </w:pPr>
      <w:r>
        <w:rPr>
          <w:szCs w:val="27"/>
        </w:rPr>
      </w:r>
    </w:p>
    <w:p>
      <w:pPr>
        <w:pStyle w:val="F21"/>
        <w:spacing w:lineRule="atLeast" w:line="320"/>
        <w:rPr>
          <w:szCs w:val="27"/>
        </w:rPr>
      </w:pPr>
      <w:r>
        <w:rPr>
          <w:szCs w:val="27"/>
        </w:rPr>
        <w:tab/>
      </w:r>
      <w:r>
        <w:rPr>
          <w:szCs w:val="27"/>
        </w:rPr>
        <w:t>在回應這些關注時，政府當局指出，推行有關建議可減少酒牌局、其秘書處及其他部門在審批紀錄良好的無爭議牌照續期個案方面的工作量，使酒牌局可集中處理新的酒牌申請和遭反對的續牌申請。政府當局強調，酒牌局會根據</w:t>
      </w:r>
      <w:r>
        <w:rPr>
          <w:szCs w:val="27"/>
        </w:rPr>
        <w:t>3</w:t>
      </w:r>
      <w:r>
        <w:rPr>
          <w:szCs w:val="27"/>
        </w:rPr>
        <w:t>項準則來評估續牌申請是否屬於紀錄良好的個案。第一項準則，在緊接有關持牌處所續牌前最少連續兩年，牌照登記冊都沒有記錄任何有關該處所或其持牌人經證明屬實的投訴，或對該處所或其持牌人採取的執法行動。第二項準則，在上次獲批牌照或續牌時，獲發全期牌照；及第三項準則，沒有收到市民就其牌照續期申請公告提出反對或負面評語。</w:t>
      </w:r>
    </w:p>
    <w:p>
      <w:pPr>
        <w:pStyle w:val="F21"/>
        <w:spacing w:lineRule="exact" w:line="350"/>
        <w:rPr>
          <w:szCs w:val="27"/>
        </w:rPr>
      </w:pPr>
      <w:r>
        <w:rPr>
          <w:szCs w:val="27"/>
        </w:rPr>
      </w:r>
    </w:p>
    <w:p>
      <w:pPr>
        <w:pStyle w:val="F21"/>
        <w:spacing w:lineRule="exact" w:line="350"/>
        <w:rPr>
          <w:szCs w:val="27"/>
        </w:rPr>
      </w:pPr>
      <w:r>
        <w:rPr>
          <w:szCs w:val="27"/>
        </w:rPr>
        <w:tab/>
      </w:r>
      <w:r>
        <w:rPr>
          <w:szCs w:val="27"/>
        </w:rPr>
        <w:t>政府當局亦指出，把酒牌的最長有效期延長至兩年的建議修訂獲通過後，申請續牌的人士仍須在報章及酒牌局網站上刊登廣告，把續牌申請通知公眾。</w:t>
      </w:r>
    </w:p>
    <w:p>
      <w:pPr>
        <w:pStyle w:val="F21"/>
        <w:spacing w:lineRule="exact" w:line="350"/>
        <w:rPr>
          <w:szCs w:val="27"/>
        </w:rPr>
      </w:pPr>
      <w:r>
        <w:rPr>
          <w:szCs w:val="27"/>
        </w:rPr>
      </w:r>
    </w:p>
    <w:p>
      <w:pPr>
        <w:pStyle w:val="F21"/>
        <w:spacing w:lineRule="exact" w:line="350"/>
        <w:rPr>
          <w:szCs w:val="27"/>
        </w:rPr>
      </w:pPr>
      <w:r>
        <w:rPr>
          <w:szCs w:val="27"/>
        </w:rPr>
        <w:tab/>
      </w:r>
      <w:r>
        <w:rPr>
          <w:szCs w:val="27"/>
        </w:rPr>
        <w:t>單仲偕議員表示會動議擬議決議案，以訂明酒牌局在決定批出有效期為兩年的續牌申請時，必須考慮有關紀錄良好的個案的評估準則。</w:t>
      </w:r>
    </w:p>
    <w:p>
      <w:pPr>
        <w:pStyle w:val="F21"/>
        <w:spacing w:lineRule="exact" w:line="350"/>
        <w:rPr>
          <w:szCs w:val="27"/>
        </w:rPr>
      </w:pPr>
      <w:r>
        <w:rPr>
          <w:szCs w:val="27"/>
        </w:rPr>
      </w:r>
    </w:p>
    <w:p>
      <w:pPr>
        <w:pStyle w:val="F21"/>
        <w:spacing w:lineRule="exact" w:line="350"/>
        <w:rPr>
          <w:szCs w:val="27"/>
        </w:rPr>
      </w:pPr>
      <w:r>
        <w:rPr>
          <w:szCs w:val="27"/>
        </w:rPr>
        <w:tab/>
      </w:r>
      <w:r>
        <w:rPr>
          <w:szCs w:val="27"/>
        </w:rPr>
        <w:t>就政府當局提議為有效期兩年的牌照制訂中期檢討機制，有委員關注到，有關建議是否可以針對酒牌處所對居民造成滋擾的問題。政府當局強調，若有嚴重違反持牌條件的情況，不論酒牌的年期為何，酒牌局可即時撤銷或暫時吊銷酒牌。若上一次的酒牌申請或續期有投訴或負面評語，酒牌局必須諮詢有關酒牌處所的當區區議員。如申請人或有關處所附近的居民對酒牌局所作的發牌決定感到受屈，亦可提出上訴或申請司法覆核。</w:t>
      </w:r>
    </w:p>
    <w:p>
      <w:pPr>
        <w:pStyle w:val="F21"/>
        <w:spacing w:lineRule="exact" w:line="350"/>
        <w:rPr>
          <w:szCs w:val="27"/>
        </w:rPr>
      </w:pPr>
      <w:r>
        <w:rPr>
          <w:szCs w:val="27"/>
        </w:rPr>
      </w:r>
    </w:p>
    <w:p>
      <w:pPr>
        <w:pStyle w:val="F21"/>
        <w:spacing w:lineRule="exact" w:line="350"/>
        <w:rPr>
          <w:szCs w:val="27"/>
        </w:rPr>
      </w:pPr>
      <w:r>
        <w:rPr>
          <w:szCs w:val="27"/>
        </w:rPr>
        <w:tab/>
      </w:r>
      <w:r>
        <w:rPr>
          <w:szCs w:val="27"/>
        </w:rPr>
        <w:t>委員曾詢問政府當局，為何建議把有效期多於</w:t>
      </w:r>
      <w:r>
        <w:rPr>
          <w:szCs w:val="27"/>
        </w:rPr>
        <w:t>1</w:t>
      </w:r>
      <w:r>
        <w:rPr>
          <w:szCs w:val="27"/>
        </w:rPr>
        <w:t>年的牌照收費定為</w:t>
      </w:r>
      <w:r>
        <w:rPr>
          <w:szCs w:val="27"/>
        </w:rPr>
        <w:t>1</w:t>
      </w:r>
      <w:r>
        <w:rPr>
          <w:szCs w:val="27"/>
        </w:rPr>
        <w:t>年期牌照收費的</w:t>
      </w:r>
      <w:r>
        <w:rPr>
          <w:szCs w:val="27"/>
        </w:rPr>
        <w:t>1.5</w:t>
      </w:r>
      <w:r>
        <w:rPr>
          <w:szCs w:val="27"/>
        </w:rPr>
        <w:t>倍，而不是兩倍。政府當局解釋，由於兩年期的牌照只會批給紀錄良好的酒牌處所，審批無爭議牌照續期個案的程序，會較處理新的申請及遭反對的續牌申請的程序簡單得多。故此，處理續期兩年申請的成本應不會較處理</w:t>
      </w:r>
      <w:r>
        <w:rPr>
          <w:szCs w:val="27"/>
        </w:rPr>
        <w:t>1</w:t>
      </w:r>
      <w:r>
        <w:rPr>
          <w:szCs w:val="27"/>
        </w:rPr>
        <w:t>年期牌照的成本高出</w:t>
      </w:r>
      <w:r>
        <w:rPr>
          <w:szCs w:val="27"/>
        </w:rPr>
        <w:t>1</w:t>
      </w:r>
      <w:r>
        <w:rPr>
          <w:szCs w:val="27"/>
        </w:rPr>
        <w:t>倍。</w:t>
      </w:r>
    </w:p>
    <w:p>
      <w:pPr>
        <w:pStyle w:val="F21"/>
        <w:spacing w:lineRule="exact" w:line="350"/>
        <w:rPr>
          <w:szCs w:val="27"/>
        </w:rPr>
      </w:pPr>
      <w:r>
        <w:rPr>
          <w:szCs w:val="27"/>
        </w:rPr>
      </w:r>
    </w:p>
    <w:p>
      <w:pPr>
        <w:pStyle w:val="F21"/>
        <w:spacing w:lineRule="exact" w:line="350"/>
        <w:rPr>
          <w:szCs w:val="27"/>
        </w:rPr>
      </w:pPr>
      <w:r>
        <w:rPr>
          <w:szCs w:val="27"/>
        </w:rPr>
        <w:tab/>
      </w:r>
      <w:r>
        <w:rPr>
          <w:szCs w:val="27"/>
        </w:rPr>
        <w:t>代理主席，以下是我的個人意見。</w:t>
      </w:r>
    </w:p>
    <w:p>
      <w:pPr>
        <w:pStyle w:val="F21"/>
        <w:spacing w:lineRule="exact" w:line="350"/>
        <w:rPr>
          <w:szCs w:val="27"/>
        </w:rPr>
      </w:pPr>
      <w:r>
        <w:rPr>
          <w:szCs w:val="27"/>
        </w:rPr>
      </w:r>
    </w:p>
    <w:p>
      <w:pPr>
        <w:pStyle w:val="F21"/>
        <w:spacing w:lineRule="exact" w:line="350"/>
        <w:rPr>
          <w:szCs w:val="27"/>
        </w:rPr>
      </w:pPr>
      <w:r>
        <w:rPr>
          <w:szCs w:val="27"/>
        </w:rPr>
        <w:tab/>
      </w:r>
      <w:r>
        <w:rPr>
          <w:szCs w:val="27"/>
        </w:rPr>
        <w:t>多年來我一直爭取延長酒牌及食物業牌照的有效期，尤其是酒牌，每次續牌也需要在報章刊登廣告，為業界帶來許多行政工作及成本方面的負擔。不過，在“西瓜靠大邊”的大氣候下，當局對業界的訴求大多置之不理。因此，難得這次政府回應我們的訴求，雖然只是讓酒牌的有效期延長至最多兩年，而且只是適用於紀錄良好的個案，但是已叫我們喜出望外，所以懇請各位議員高抬貴手，切勿阻撓擬議決議案獲得通過。</w:t>
      </w:r>
    </w:p>
    <w:p>
      <w:pPr>
        <w:pStyle w:val="F21"/>
        <w:spacing w:lineRule="exact" w:line="350"/>
        <w:rPr>
          <w:szCs w:val="27"/>
        </w:rPr>
      </w:pPr>
      <w:r>
        <w:rPr>
          <w:szCs w:val="27"/>
        </w:rPr>
      </w:r>
    </w:p>
    <w:p>
      <w:pPr>
        <w:pStyle w:val="F21"/>
        <w:spacing w:lineRule="exact" w:line="350"/>
        <w:rPr>
          <w:szCs w:val="27"/>
        </w:rPr>
      </w:pPr>
      <w:r>
        <w:rPr>
          <w:szCs w:val="27"/>
        </w:rPr>
      </w:r>
    </w:p>
    <w:p>
      <w:pPr>
        <w:pStyle w:val="F21"/>
        <w:spacing w:lineRule="exact" w:line="350"/>
        <w:rPr>
          <w:szCs w:val="27"/>
        </w:rPr>
      </w:pPr>
      <w:r>
        <w:rPr>
          <w:szCs w:val="27"/>
        </w:rPr>
        <w:t>(</w:t>
      </w:r>
      <w:r>
        <w:rPr>
          <w:szCs w:val="27"/>
        </w:rPr>
        <w:t>代理主席湯家驊議員代為主持會議</w:t>
      </w:r>
      <w:r>
        <w:rPr>
          <w:szCs w:val="27"/>
        </w:rPr>
        <w:t>)</w:t>
      </w:r>
      <w:r>
        <w:br w:type="page"/>
      </w:r>
    </w:p>
    <w:p>
      <w:pPr>
        <w:pStyle w:val="F21"/>
        <w:spacing w:lineRule="atLeast" w:line="371"/>
        <w:rPr>
          <w:szCs w:val="27"/>
        </w:rPr>
      </w:pPr>
      <w:r>
        <w:rPr>
          <w:szCs w:val="27"/>
        </w:rPr>
        <w:tab/>
      </w:r>
      <w:r>
        <w:rPr>
          <w:szCs w:val="27"/>
        </w:rPr>
        <w:t>代理主席，民主黨擔心建議修訂獲通過後，居民在兩年的牌照有效期內便會投訴無門，這絕對不是事實。相反，居民隨時也可以提出投訴，而且投訴方法十分簡單，他們只需致電警方，在警員到場後若證實有關指控屬實，即使只是作出口頭警告而沒有提出檢控，該項投訴便會記錄在案。如果有噪音，居民亦可向環境保護署投訴。故此，不論酒牌的年期為何，居民也可隨時提出投訴，至於投訴是否成立，這便要交由相關部門調查。</w:t>
      </w:r>
    </w:p>
    <w:p>
      <w:pPr>
        <w:pStyle w:val="F21"/>
        <w:spacing w:lineRule="atLeast" w:line="371"/>
        <w:rPr>
          <w:szCs w:val="27"/>
        </w:rPr>
      </w:pPr>
      <w:r>
        <w:rPr>
          <w:szCs w:val="27"/>
        </w:rPr>
      </w:r>
    </w:p>
    <w:p>
      <w:pPr>
        <w:pStyle w:val="F21"/>
        <w:spacing w:lineRule="atLeast" w:line="371"/>
        <w:rPr>
          <w:szCs w:val="27"/>
        </w:rPr>
      </w:pPr>
      <w:r>
        <w:rPr>
          <w:szCs w:val="27"/>
        </w:rPr>
        <w:tab/>
      </w:r>
      <w:r>
        <w:rPr>
          <w:szCs w:val="27"/>
        </w:rPr>
        <w:t>代理主席，我曾經出任酒牌局成員超過</w:t>
      </w:r>
      <w:r>
        <w:rPr>
          <w:szCs w:val="27"/>
        </w:rPr>
        <w:t>8</w:t>
      </w:r>
      <w:r>
        <w:rPr>
          <w:szCs w:val="27"/>
        </w:rPr>
        <w:t>年，自問相當持平。如果證實酒牌處所對附近環境造成滋擾，我作為業界代表也會反對續牌，甚或同意吊銷牌照。不過，根據我的經驗，許多投訴都是來自區議員，特別是有政黨背景的區議員，他們每次也會列印內容相同的信件作出投訴，只是稍為修改處所名稱及簽署便成。不過，這些區議員也很勤力，很多時候也會親自遞交投訴信，有些區議員則沒有這樣做。</w:t>
      </w:r>
    </w:p>
    <w:p>
      <w:pPr>
        <w:pStyle w:val="F21"/>
        <w:spacing w:lineRule="atLeast" w:line="371"/>
        <w:rPr>
          <w:szCs w:val="27"/>
        </w:rPr>
      </w:pPr>
      <w:r>
        <w:rPr>
          <w:szCs w:val="27"/>
        </w:rPr>
      </w:r>
    </w:p>
    <w:p>
      <w:pPr>
        <w:pStyle w:val="F21"/>
        <w:spacing w:lineRule="atLeast" w:line="371"/>
        <w:rPr>
          <w:szCs w:val="27"/>
        </w:rPr>
      </w:pPr>
      <w:r>
        <w:rPr>
          <w:szCs w:val="27"/>
        </w:rPr>
        <w:tab/>
      </w:r>
      <w:r>
        <w:rPr>
          <w:szCs w:val="27"/>
        </w:rPr>
        <w:t xml:space="preserve">他們提出的反對理由其實很苛刻，彷佛領有酒牌的處所 </w:t>
      </w:r>
      <w:r>
        <w:rPr>
          <w:rFonts w:ascii="Symbol" w:hAnsi="Symbol" w:cs="Symbol" w:eastAsia="Symbol"/>
          <w:szCs w:val="27"/>
        </w:rPr>
        <w:t></w:t>
      </w:r>
      <w:r>
        <w:rPr>
          <w:szCs w:val="27"/>
        </w:rPr>
        <w:t xml:space="preserve"> 正如單仲偕議員剛才說 </w:t>
      </w:r>
      <w:r>
        <w:rPr>
          <w:rFonts w:ascii="Symbol" w:hAnsi="Symbol" w:cs="Symbol" w:eastAsia="Symbol"/>
          <w:szCs w:val="27"/>
        </w:rPr>
        <w:t></w:t>
      </w:r>
      <w:r>
        <w:rPr>
          <w:szCs w:val="27"/>
        </w:rPr>
        <w:t xml:space="preserve"> 便必然會對居民造成滋擾，又或製造噪音及弄髒街道。我甚至聽過有些反對者表示，食客喝酒後肯定會非禮其家人，因此最好不要在其居所附近售賣酒類。</w:t>
      </w:r>
    </w:p>
    <w:p>
      <w:pPr>
        <w:pStyle w:val="F21"/>
        <w:spacing w:lineRule="atLeast" w:line="371"/>
        <w:rPr>
          <w:szCs w:val="27"/>
        </w:rPr>
      </w:pPr>
      <w:r>
        <w:rPr>
          <w:szCs w:val="27"/>
        </w:rPr>
      </w:r>
    </w:p>
    <w:p>
      <w:pPr>
        <w:pStyle w:val="F21"/>
        <w:spacing w:lineRule="atLeast" w:line="371"/>
        <w:rPr>
          <w:szCs w:val="27"/>
        </w:rPr>
      </w:pPr>
      <w:r>
        <w:rPr>
          <w:szCs w:val="27"/>
        </w:rPr>
        <w:tab/>
      </w:r>
      <w:r>
        <w:rPr>
          <w:szCs w:val="27"/>
        </w:rPr>
        <w:t>事實上，如果你問市民，十居其九也不希望居所附近有酒牌處所，不僅是酒牌處所，最好連垃圾也沒有，附近最好有花園和游泳池。因此，在凡事皆民粹或以選票為先的氣氛下，要在一個酒牌處所的</w:t>
      </w:r>
      <w:r>
        <w:rPr>
          <w:szCs w:val="27"/>
        </w:rPr>
        <w:t>400</w:t>
      </w:r>
      <w:r>
        <w:rPr>
          <w:szCs w:val="27"/>
        </w:rPr>
        <w:t>米半徑範圍內找到由超過</w:t>
      </w:r>
      <w:r>
        <w:rPr>
          <w:szCs w:val="27"/>
        </w:rPr>
        <w:t>20</w:t>
      </w:r>
      <w:r>
        <w:rPr>
          <w:szCs w:val="27"/>
        </w:rPr>
        <w:t>名居民提出的投訴，真的容易不過。黃碧雲議員原擬提出擬議決議案，訂明假如接獲由</w:t>
      </w:r>
      <w:r>
        <w:rPr>
          <w:szCs w:val="27"/>
        </w:rPr>
        <w:t>20</w:t>
      </w:r>
      <w:r>
        <w:rPr>
          <w:szCs w:val="27"/>
        </w:rPr>
        <w:t>名居民提出的投訴，酒牌局便要舉行聆訊。幸好她的擬議決議案被主席裁定為不合乎規程，否則對業界而言將會是一場災難。</w:t>
      </w:r>
    </w:p>
    <w:p>
      <w:pPr>
        <w:pStyle w:val="F21"/>
        <w:spacing w:lineRule="atLeast" w:line="371"/>
        <w:rPr>
          <w:szCs w:val="27"/>
        </w:rPr>
      </w:pPr>
      <w:r>
        <w:rPr>
          <w:szCs w:val="27"/>
        </w:rPr>
      </w:r>
    </w:p>
    <w:p>
      <w:pPr>
        <w:pStyle w:val="F21"/>
        <w:spacing w:lineRule="atLeast" w:line="371"/>
        <w:rPr>
          <w:szCs w:val="27"/>
        </w:rPr>
      </w:pPr>
      <w:r>
        <w:rPr>
          <w:szCs w:val="27"/>
        </w:rPr>
        <w:tab/>
      </w:r>
      <w:r>
        <w:rPr>
          <w:szCs w:val="27"/>
        </w:rPr>
        <w:t>代理主席，酒牌局的現行權力已相當大。若有嚴重違反持牌條件的情況，不論酒牌的年期為何，酒牌局亦可即時撤銷或暫時吊銷酒牌。酒牌局亦可按需要附加更嚴格的持牌條件，例如限制售賣酒類或播放音樂的時間，規定處所須把所有門窗關閉，以及設定人數上限等。</w:t>
      </w:r>
    </w:p>
    <w:p>
      <w:pPr>
        <w:pStyle w:val="F21"/>
        <w:spacing w:lineRule="atLeast" w:line="371"/>
        <w:rPr>
          <w:szCs w:val="27"/>
        </w:rPr>
      </w:pPr>
      <w:r>
        <w:rPr>
          <w:szCs w:val="27"/>
        </w:rPr>
      </w:r>
    </w:p>
    <w:p>
      <w:pPr>
        <w:pStyle w:val="F21"/>
        <w:spacing w:lineRule="atLeast" w:line="371"/>
        <w:rPr>
          <w:szCs w:val="27"/>
        </w:rPr>
      </w:pPr>
      <w:r>
        <w:rPr>
          <w:szCs w:val="27"/>
        </w:rPr>
        <w:tab/>
      </w:r>
      <w:r>
        <w:rPr>
          <w:szCs w:val="27"/>
        </w:rPr>
        <w:t>事實上，因應居民和區議員的憂慮，當局已經表明，酒牌局正為有效期為兩年的牌照制訂中期檢討機制，在牌照有效期的第十一個月，有關部門便會查核個別酒牌處所的投訴及執法行動的紀錄，並向酒牌局匯報。如有關酒牌處所沒有任何執法行動或證明屬實的投訴紀錄，便會獲准繼續經營。其實上述安排根本與現行做法分別不大，因為如果酒牌處所在牌照有效期內出現任何問題，酒牌局也不會輕易放過。</w:t>
      </w:r>
    </w:p>
    <w:p>
      <w:pPr>
        <w:pStyle w:val="F21"/>
        <w:rPr>
          <w:szCs w:val="27"/>
        </w:rPr>
      </w:pPr>
      <w:r>
        <w:rPr>
          <w:szCs w:val="27"/>
        </w:rPr>
      </w:r>
    </w:p>
    <w:p>
      <w:pPr>
        <w:pStyle w:val="F21"/>
        <w:spacing w:lineRule="atLeast" w:line="370"/>
        <w:rPr>
          <w:szCs w:val="27"/>
        </w:rPr>
      </w:pPr>
      <w:r>
        <w:rPr>
          <w:szCs w:val="27"/>
        </w:rPr>
        <w:tab/>
      </w:r>
      <w:r>
        <w:rPr>
          <w:szCs w:val="27"/>
        </w:rPr>
        <w:t>此外，當局規定只有紀錄良好的個案才會獲准續牌兩年。所謂“紀錄良好”，當局的要求可算十分高。簡單而言，只要曾經有任何證明屬實的投訴紀錄，已經不可被歸類為紀錄良好的個案。所謂證明屬實的投訴，是指經過相關部門調查後，酒牌處所曾被檢控，或遭口頭／書面警告。</w:t>
      </w:r>
    </w:p>
    <w:p>
      <w:pPr>
        <w:pStyle w:val="F21"/>
        <w:spacing w:lineRule="atLeast" w:line="370"/>
        <w:rPr>
          <w:szCs w:val="27"/>
        </w:rPr>
      </w:pPr>
      <w:r>
        <w:rPr>
          <w:szCs w:val="27"/>
        </w:rPr>
      </w:r>
    </w:p>
    <w:p>
      <w:pPr>
        <w:pStyle w:val="F21"/>
        <w:spacing w:lineRule="atLeast" w:line="370"/>
        <w:rPr>
          <w:szCs w:val="27"/>
        </w:rPr>
      </w:pPr>
      <w:r>
        <w:rPr>
          <w:szCs w:val="27"/>
        </w:rPr>
        <w:tab/>
      </w:r>
      <w:r>
        <w:rPr>
          <w:szCs w:val="27"/>
        </w:rPr>
        <w:t>政府亦已表明，當局準備與酒牌局商討有關更新《酒牌局審批酒牌申請的準則指引》一事，以反映酒牌局在審批酒牌續期兩年的申請時將會考慮的各項相關因素，故此大家可以放心，實際情況將不會偏離政策目的。</w:t>
      </w:r>
    </w:p>
    <w:p>
      <w:pPr>
        <w:pStyle w:val="F21"/>
        <w:spacing w:lineRule="atLeast" w:line="370"/>
        <w:rPr>
          <w:szCs w:val="27"/>
        </w:rPr>
      </w:pPr>
      <w:r>
        <w:rPr>
          <w:szCs w:val="27"/>
        </w:rPr>
      </w:r>
    </w:p>
    <w:p>
      <w:pPr>
        <w:pStyle w:val="F21"/>
        <w:spacing w:lineRule="atLeast" w:line="370"/>
        <w:rPr>
          <w:szCs w:val="27"/>
        </w:rPr>
      </w:pPr>
      <w:r>
        <w:rPr>
          <w:szCs w:val="27"/>
        </w:rPr>
        <w:tab/>
      </w:r>
      <w:r>
        <w:rPr>
          <w:szCs w:val="27"/>
        </w:rPr>
        <w:t>民主黨的單仲偕議員所提出的擬議決議案，旨在把各項相關考慮因素納入法例內，我認為是多此一舉。大家必須看清楚其擬議決議案的內容，他所列的條件其實較政府的規定還要嚴苛，這反令酒牌局向居民利益傾斜，我是不會支持的，也在此呼籲大家反對。</w:t>
      </w:r>
    </w:p>
    <w:p>
      <w:pPr>
        <w:pStyle w:val="F21"/>
        <w:spacing w:lineRule="atLeast" w:line="370"/>
        <w:rPr>
          <w:szCs w:val="27"/>
        </w:rPr>
      </w:pPr>
      <w:r>
        <w:rPr>
          <w:szCs w:val="27"/>
        </w:rPr>
      </w:r>
    </w:p>
    <w:p>
      <w:pPr>
        <w:pStyle w:val="F21"/>
        <w:spacing w:lineRule="atLeast" w:line="370"/>
        <w:rPr>
          <w:szCs w:val="27"/>
        </w:rPr>
      </w:pPr>
      <w:r>
        <w:rPr>
          <w:szCs w:val="27"/>
        </w:rPr>
        <w:tab/>
      </w:r>
      <w:r>
        <w:rPr>
          <w:szCs w:val="27"/>
        </w:rPr>
        <w:t>單議員提出的第一個條件，基本上與當局對紀錄良好個案所須符合的條件如出一轍。但是，他卻草率地要求把指引的條件納入法例內，並指除了酒牌局外，政府當局亦不可有任何有關該處所證明屬實的投訴紀錄，範圍因而變得非常廣泛。我擔心豈非與酒牌無關的投訴也要包括在內？如果水務署曾查明該處所的水錶損壞，那麼該處所是否不會獲發兩年牌照呢？</w:t>
      </w:r>
    </w:p>
    <w:p>
      <w:pPr>
        <w:pStyle w:val="F21"/>
        <w:spacing w:lineRule="atLeast" w:line="370"/>
        <w:rPr>
          <w:szCs w:val="27"/>
        </w:rPr>
      </w:pPr>
      <w:r>
        <w:rPr>
          <w:szCs w:val="27"/>
        </w:rPr>
      </w:r>
    </w:p>
    <w:p>
      <w:pPr>
        <w:pStyle w:val="F21"/>
        <w:spacing w:lineRule="atLeast" w:line="370"/>
        <w:rPr>
          <w:szCs w:val="27"/>
        </w:rPr>
      </w:pPr>
      <w:r>
        <w:rPr>
          <w:szCs w:val="27"/>
        </w:rPr>
        <w:tab/>
      </w:r>
      <w:r>
        <w:rPr>
          <w:szCs w:val="27"/>
        </w:rPr>
        <w:t>單議員提出的第二個條件是，“領有牌照處所並無對附近的居民造成不合理的滋擾”，這個條件問題更大。何謂“不合理”，又何謂“附近”呢？由誰作出判斷？由於定義並不清晰，故此隨時會引起不少爭拗。居民或區議員隨時可以提出反對或司法覆核，這對申請續牌的處所反而會帶來更多不便。</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代理主席，當局指</w:t>
      </w:r>
      <w:r>
        <w:rPr>
          <w:szCs w:val="27"/>
        </w:rPr>
        <w:t>78%</w:t>
      </w:r>
      <w:r>
        <w:rPr>
          <w:szCs w:val="27"/>
        </w:rPr>
        <w:t>的酒牌處所會通過紀錄良好的測試，而本港共有</w:t>
      </w:r>
      <w:r>
        <w:rPr>
          <w:szCs w:val="27"/>
        </w:rPr>
        <w:t>6 800</w:t>
      </w:r>
      <w:r>
        <w:rPr>
          <w:szCs w:val="27"/>
        </w:rPr>
        <w:t>個酒牌處所，當中超過九成持有食肆牌照，不足兩成持有酒吧批註。因此，我估計大部分紀錄良好的酒牌處所均為食肆，而非酒吧。</w:t>
      </w:r>
      <w:r>
        <w:br w:type="page"/>
      </w:r>
    </w:p>
    <w:p>
      <w:pPr>
        <w:pStyle w:val="F21"/>
        <w:spacing w:lineRule="atLeast" w:line="370"/>
        <w:rPr>
          <w:szCs w:val="27"/>
        </w:rPr>
      </w:pPr>
      <w:r>
        <w:rPr>
          <w:szCs w:val="27"/>
        </w:rPr>
        <w:tab/>
      </w:r>
      <w:r>
        <w:rPr>
          <w:szCs w:val="27"/>
        </w:rPr>
        <w:t>可見單仲偕議員的擬議決議案根本是“捉錯用神”，不僅打擊酒吧不成，反而害了食肆。我懇請大家清楚理解今次的法例修訂，不要因為是便利業界的措施便提出反對。</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代理主席，我想談談是次法例修訂工作的其他內容。當局建議把有效期多於</w:t>
      </w:r>
      <w:r>
        <w:rPr>
          <w:szCs w:val="27"/>
        </w:rPr>
        <w:t>1</w:t>
      </w:r>
      <w:r>
        <w:rPr>
          <w:szCs w:val="27"/>
        </w:rPr>
        <w:t>年的牌照收費，定為</w:t>
      </w:r>
      <w:r>
        <w:rPr>
          <w:szCs w:val="27"/>
        </w:rPr>
        <w:t>1</w:t>
      </w:r>
      <w:r>
        <w:rPr>
          <w:szCs w:val="27"/>
        </w:rPr>
        <w:t>年期牌照收費的</w:t>
      </w:r>
      <w:r>
        <w:rPr>
          <w:szCs w:val="27"/>
        </w:rPr>
        <w:t>1.5</w:t>
      </w:r>
      <w:r>
        <w:rPr>
          <w:szCs w:val="27"/>
        </w:rPr>
        <w:t>倍，這無疑有助減輕業界的經營成本和行政負擔。</w:t>
      </w:r>
    </w:p>
    <w:p>
      <w:pPr>
        <w:pStyle w:val="F21"/>
        <w:spacing w:lineRule="atLeast" w:line="370"/>
        <w:rPr>
          <w:szCs w:val="27"/>
        </w:rPr>
      </w:pPr>
      <w:r>
        <w:rPr>
          <w:szCs w:val="27"/>
        </w:rPr>
      </w:r>
    </w:p>
    <w:p>
      <w:pPr>
        <w:pStyle w:val="F21"/>
        <w:spacing w:lineRule="atLeast" w:line="370"/>
        <w:rPr>
          <w:rFonts w:ascii="華康細明體" w:hAnsi="華康細明體"/>
          <w:szCs w:val="27"/>
        </w:rPr>
      </w:pPr>
      <w:r>
        <w:rPr>
          <w:szCs w:val="27"/>
        </w:rPr>
        <w:tab/>
      </w:r>
      <w:r>
        <w:rPr>
          <w:szCs w:val="27"/>
        </w:rPr>
        <w:t>其實當局按加權平均成本方法計算後，預期辦理續牌申請服務的收回成本比率會由現時的</w:t>
      </w:r>
      <w:r>
        <w:rPr>
          <w:szCs w:val="27"/>
        </w:rPr>
        <w:t xml:space="preserve">149% </w:t>
      </w:r>
      <w:r>
        <w:rPr>
          <w:rFonts w:eastAsia="Symbol" w:cs="Symbol" w:ascii="Symbol" w:hAnsi="Symbol"/>
          <w:szCs w:val="27"/>
        </w:rPr>
        <w:t></w:t>
      </w:r>
      <w:r>
        <w:rPr>
          <w:szCs w:val="27"/>
        </w:rPr>
        <w:t xml:space="preserve"> </w:t>
      </w:r>
      <w:r>
        <w:rPr>
          <w:szCs w:val="27"/>
        </w:rPr>
        <w:t>即超過</w:t>
      </w:r>
      <w:r>
        <w:rPr>
          <w:szCs w:val="27"/>
        </w:rPr>
        <w:t xml:space="preserve">100% </w:t>
      </w:r>
      <w:r>
        <w:rPr>
          <w:rFonts w:eastAsia="Symbol" w:cs="Symbol" w:ascii="Symbol" w:hAnsi="Symbol"/>
          <w:szCs w:val="27"/>
        </w:rPr>
        <w:t></w:t>
      </w:r>
      <w:r>
        <w:rPr>
          <w:szCs w:val="27"/>
        </w:rPr>
        <w:t xml:space="preserve"> </w:t>
      </w:r>
      <w:r>
        <w:rPr>
          <w:szCs w:val="27"/>
        </w:rPr>
        <w:t>下降至</w:t>
      </w:r>
      <w:r>
        <w:rPr>
          <w:szCs w:val="27"/>
        </w:rPr>
        <w:t>119%</w:t>
      </w:r>
      <w:r>
        <w:rPr>
          <w:szCs w:val="27"/>
        </w:rPr>
        <w:t>，收費仍然高於成本，在政府有利可圖的情況下，按理業界應會提出反對。但是，鑒於現時發出新酒牌的收回成本比率只是</w:t>
      </w:r>
      <w:r>
        <w:rPr>
          <w:szCs w:val="27"/>
        </w:rPr>
        <w:t>25%</w:t>
      </w:r>
      <w:r>
        <w:rPr>
          <w:szCs w:val="27"/>
        </w:rPr>
        <w:t>，在“拉上補下”之後，對業界並沒有太大的影響，</w:t>
      </w:r>
      <w:r>
        <w:rPr>
          <w:rFonts w:ascii="華康細明體" w:hAnsi="華康細明體"/>
          <w:szCs w:val="27"/>
        </w:rPr>
        <w:t>因此業界並不反對。不過日後調整費用時，懇請當局必須顧及業界的承擔能力。</w:t>
      </w:r>
    </w:p>
    <w:p>
      <w:pPr>
        <w:pStyle w:val="F21"/>
        <w:spacing w:lineRule="atLeast" w:line="370"/>
        <w:rPr>
          <w:rFonts w:ascii="華康細明體" w:hAnsi="華康細明體"/>
          <w:szCs w:val="27"/>
        </w:rPr>
      </w:pPr>
      <w:r>
        <w:rPr>
          <w:rFonts w:ascii="華康細明體" w:hAnsi="華康細明體"/>
          <w:szCs w:val="27"/>
        </w:rPr>
      </w:r>
    </w:p>
    <w:p>
      <w:pPr>
        <w:pStyle w:val="F21"/>
        <w:spacing w:lineRule="atLeast" w:line="370"/>
        <w:rPr>
          <w:rFonts w:ascii="華康細明體" w:hAnsi="華康細明體"/>
          <w:szCs w:val="27"/>
        </w:rPr>
      </w:pPr>
      <w:r>
        <w:rPr>
          <w:rFonts w:ascii="華康細明體" w:hAnsi="華康細明體"/>
          <w:szCs w:val="27"/>
        </w:rPr>
        <w:tab/>
      </w:r>
      <w:r>
        <w:rPr>
          <w:rFonts w:ascii="華康細明體" w:hAnsi="華康細明體"/>
          <w:szCs w:val="27"/>
        </w:rPr>
        <w:t>當局的另一項修訂亦方便更多人可以電子方式申領酒牌。當局建議，除了提供數碼簽署外，申請人也可以提供酒牌局編配或批准的通行密碼，我當然贊成有關建議。多年前我在方便營商諮詢委員會時，已建議容許食物業及相關服務業以電子方式辦理牌照申請，惟只有少數人有數碼簽署，才令此申請方式的使用率較低。因此，我相信是次的修訂將可進一步利便業界。</w:t>
      </w:r>
    </w:p>
    <w:p>
      <w:pPr>
        <w:pStyle w:val="F21"/>
        <w:spacing w:lineRule="atLeast" w:line="370"/>
        <w:rPr>
          <w:rFonts w:ascii="華康細明體" w:hAnsi="華康細明體"/>
          <w:szCs w:val="27"/>
        </w:rPr>
      </w:pPr>
      <w:r>
        <w:rPr>
          <w:rFonts w:ascii="華康細明體" w:hAnsi="華康細明體"/>
          <w:szCs w:val="27"/>
        </w:rPr>
      </w:r>
    </w:p>
    <w:p>
      <w:pPr>
        <w:pStyle w:val="F21"/>
        <w:spacing w:lineRule="atLeast" w:line="370"/>
        <w:rPr>
          <w:rFonts w:ascii="華康細明體" w:hAnsi="華康細明體" w:cs="華康細明體"/>
          <w:szCs w:val="27"/>
        </w:rPr>
      </w:pPr>
      <w:r>
        <w:rPr>
          <w:rFonts w:ascii="華康細明體" w:hAnsi="華康細明體"/>
          <w:szCs w:val="27"/>
        </w:rPr>
        <w:tab/>
      </w:r>
      <w:r>
        <w:rPr>
          <w:rFonts w:ascii="華康細明體" w:hAnsi="華康細明體"/>
          <w:szCs w:val="27"/>
        </w:rPr>
        <w:t>最後，我要重申，當局有責任做好平衡的角色，除了監管業界外，也應促進企業發展。我促請當局在這次延長酒牌年期的建議獲通過後，也應盡快簡化各項牌照的申請程序，以及盡快落實</w:t>
      </w:r>
      <w:r>
        <w:rPr>
          <w:szCs w:val="27"/>
        </w:rPr>
        <w:t>後備持牌人的制度，以解決僱員經常流失而須重新申請牌照的問題。</w:t>
      </w:r>
      <w:r>
        <w:rPr>
          <w:i/>
          <w:szCs w:val="27"/>
        </w:rPr>
        <w:t>(</w:t>
      </w:r>
      <w:r>
        <w:rPr>
          <w:i/>
          <w:szCs w:val="27"/>
        </w:rPr>
        <w:t>計時器響起</w:t>
      </w:r>
      <w:r>
        <w:rPr>
          <w:i/>
          <w:szCs w:val="27"/>
        </w:rPr>
        <w:t>)</w:t>
      </w:r>
    </w:p>
    <w:p>
      <w:pPr>
        <w:pStyle w:val="F21"/>
        <w:spacing w:lineRule="atLeast" w:line="370"/>
        <w:rPr>
          <w:rFonts w:cs="Times New Roman"/>
          <w:szCs w:val="27"/>
        </w:rPr>
      </w:pPr>
      <w:r>
        <w:rPr>
          <w:rFonts w:cs="Times New Roman"/>
          <w:szCs w:val="27"/>
        </w:rPr>
      </w:r>
    </w:p>
    <w:p>
      <w:pPr>
        <w:pStyle w:val="F21"/>
        <w:spacing w:lineRule="atLeast" w:line="370"/>
        <w:rPr>
          <w:szCs w:val="27"/>
        </w:rPr>
      </w:pPr>
      <w:r>
        <w:rPr>
          <w:szCs w:val="27"/>
        </w:rPr>
        <w:tab/>
      </w:r>
      <w:r>
        <w:rPr>
          <w:szCs w:val="27"/>
        </w:rPr>
        <w:t>代理主席，我謹此陳辭。</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szCs w:val="27"/>
        </w:rPr>
      </w:pPr>
      <w:r>
        <w:rPr>
          <w:rFonts w:ascii="華康中黑體" w:hAnsi="華康中黑體" w:eastAsia="華康中黑體"/>
          <w:b/>
          <w:szCs w:val="27"/>
        </w:rPr>
        <w:t>郭偉强議員</w:t>
      </w:r>
      <w:r>
        <w:rPr>
          <w:szCs w:val="27"/>
        </w:rPr>
        <w:t>：代理主席，樓上酒吧近年有越開越多的趨勢，除了對附近居民造成滋擾外，亦引起對火警等問題的關注；另一邊廂，業界希望簡化有關的發牌程序。因此，政府於</w:t>
      </w:r>
      <w:r>
        <w:rPr>
          <w:szCs w:val="27"/>
        </w:rPr>
        <w:t>2011</w:t>
      </w:r>
      <w:r>
        <w:rPr>
          <w:szCs w:val="27"/>
        </w:rPr>
        <w:t>年就酒牌制度的檢討進行公眾諮詢。立法會食物安全及環境衞生事務委員會亦曾多次討論有關酒牌制度的問題。政府在過去兩年推出多項行政措施，以改善酒牌制度，例如就酒牌處所申請續牌加入條件。如果處所曾被投訴或有人提出反對，酒牌局會就有關續牌申請徵詢該選區區議員的意見。此外，酒牌局在</w:t>
      </w:r>
      <w:r>
        <w:rPr>
          <w:szCs w:val="27"/>
        </w:rPr>
        <w:t>2013</w:t>
      </w:r>
      <w:r>
        <w:rPr>
          <w:szCs w:val="27"/>
        </w:rPr>
        <w:t>年</w:t>
      </w:r>
      <w:r>
        <w:rPr>
          <w:szCs w:val="27"/>
        </w:rPr>
        <w:t>12</w:t>
      </w:r>
      <w:r>
        <w:rPr>
          <w:szCs w:val="27"/>
        </w:rPr>
        <w:t>月公布《酒牌局審批酒牌申請的準則指引》，列出酒牌局審批酒牌申請時考慮的因素，讓業界及公眾參考。</w:t>
      </w:r>
    </w:p>
    <w:p>
      <w:pPr>
        <w:pStyle w:val="F21"/>
        <w:spacing w:lineRule="atLeast" w:line="340"/>
        <w:rPr>
          <w:szCs w:val="27"/>
        </w:rPr>
      </w:pPr>
      <w:r>
        <w:rPr>
          <w:szCs w:val="27"/>
        </w:rPr>
      </w:r>
    </w:p>
    <w:p>
      <w:pPr>
        <w:pStyle w:val="F21"/>
        <w:spacing w:lineRule="atLeast" w:line="340"/>
        <w:rPr>
          <w:szCs w:val="27"/>
        </w:rPr>
      </w:pPr>
      <w:r>
        <w:rPr>
          <w:szCs w:val="27"/>
        </w:rPr>
        <w:tab/>
      </w:r>
      <w:r>
        <w:rPr>
          <w:szCs w:val="27"/>
        </w:rPr>
        <w:t>今次政府的修訂，其中一個重點是將酒牌局批出的酒牌有效期，由最長</w:t>
      </w:r>
      <w:r>
        <w:rPr>
          <w:szCs w:val="27"/>
        </w:rPr>
        <w:t>1</w:t>
      </w:r>
      <w:r>
        <w:rPr>
          <w:szCs w:val="27"/>
        </w:rPr>
        <w:t>年延長為兩年，有關的理據已載於早前發出的政府文件。在</w:t>
      </w:r>
      <w:r>
        <w:rPr>
          <w:szCs w:val="27"/>
        </w:rPr>
        <w:t>6 800</w:t>
      </w:r>
      <w:r>
        <w:rPr>
          <w:szCs w:val="27"/>
        </w:rPr>
        <w:t xml:space="preserve">個申請酒牌的處所中，其實大部分 </w:t>
      </w:r>
      <w:r>
        <w:rPr>
          <w:rFonts w:ascii="Symbol" w:hAnsi="Symbol" w:cs="Symbol" w:eastAsia="Symbol"/>
          <w:kern w:val="2"/>
          <w:szCs w:val="27"/>
        </w:rPr>
        <w:t></w:t>
      </w:r>
      <w:r>
        <w:rPr>
          <w:kern w:val="2"/>
          <w:szCs w:val="27"/>
        </w:rPr>
        <w:t xml:space="preserve"> </w:t>
      </w:r>
      <w:r>
        <w:rPr>
          <w:szCs w:val="27"/>
        </w:rPr>
        <w:t xml:space="preserve">接近九成 </w:t>
      </w:r>
      <w:r>
        <w:rPr>
          <w:rFonts w:ascii="Symbol" w:hAnsi="Symbol" w:cs="Symbol" w:eastAsia="Symbol"/>
          <w:kern w:val="2"/>
          <w:szCs w:val="27"/>
        </w:rPr>
        <w:t></w:t>
      </w:r>
      <w:r>
        <w:rPr>
          <w:kern w:val="2"/>
          <w:szCs w:val="27"/>
        </w:rPr>
        <w:t xml:space="preserve"> </w:t>
      </w:r>
      <w:r>
        <w:rPr>
          <w:szCs w:val="27"/>
        </w:rPr>
        <w:t>同時領有食肆牌照，而領有酒吧批註的處所則相對較少。今次的修訂，主要是想幫助一些紀錄良好的食肆，簡化續牌申請制度，從而減輕酒牌局的工作壓力，使該局可集中處理一些較具爭議的新酒牌申請或遭反對的續牌申請。</w:t>
      </w:r>
    </w:p>
    <w:p>
      <w:pPr>
        <w:pStyle w:val="F21"/>
        <w:spacing w:lineRule="atLeast" w:line="340"/>
        <w:rPr>
          <w:szCs w:val="27"/>
        </w:rPr>
      </w:pPr>
      <w:r>
        <w:rPr>
          <w:szCs w:val="27"/>
        </w:rPr>
      </w:r>
    </w:p>
    <w:p>
      <w:pPr>
        <w:pStyle w:val="F21"/>
        <w:spacing w:lineRule="atLeast" w:line="340"/>
        <w:rPr>
          <w:szCs w:val="27"/>
        </w:rPr>
      </w:pPr>
      <w:r>
        <w:rPr>
          <w:szCs w:val="27"/>
        </w:rPr>
        <w:tab/>
      </w:r>
      <w:r>
        <w:rPr>
          <w:szCs w:val="27"/>
        </w:rPr>
        <w:t>從減輕酒牌局秘書處工作量及提高工作效率的角度來看，我們認為政府的修訂可取。但是，我們亦明白到，將酒牌有效期由</w:t>
      </w:r>
      <w:r>
        <w:rPr>
          <w:szCs w:val="27"/>
        </w:rPr>
        <w:t>1</w:t>
      </w:r>
      <w:r>
        <w:rPr>
          <w:szCs w:val="27"/>
        </w:rPr>
        <w:t>年延長至兩年，就像是把滋擾居民的惡夢自動延長</w:t>
      </w:r>
      <w:r>
        <w:rPr>
          <w:szCs w:val="27"/>
        </w:rPr>
        <w:t>1</w:t>
      </w:r>
      <w:r>
        <w:rPr>
          <w:szCs w:val="27"/>
        </w:rPr>
        <w:t>年。粗俗的說法是，市民要“硬食”多</w:t>
      </w:r>
      <w:r>
        <w:rPr>
          <w:szCs w:val="27"/>
        </w:rPr>
        <w:t>1</w:t>
      </w:r>
      <w:r>
        <w:rPr>
          <w:szCs w:val="27"/>
        </w:rPr>
        <w:t>年。考慮到政府的建議可讓酒牌局能更有效運作及處理牌照申請，而前提是只有那些紀錄良好的酒牌處所，其續牌申請才會批兩年牌照，同時當局會在牌照有效期的第十一個月進行中期檢討，我們認為政府的建議能平衡法例修訂後可能引起的爭議，屬於合適和可接受的安排。</w:t>
      </w:r>
    </w:p>
    <w:p>
      <w:pPr>
        <w:pStyle w:val="F21"/>
        <w:spacing w:lineRule="atLeast" w:line="340"/>
        <w:rPr>
          <w:szCs w:val="27"/>
        </w:rPr>
      </w:pPr>
      <w:r>
        <w:rPr>
          <w:szCs w:val="27"/>
        </w:rPr>
      </w:r>
    </w:p>
    <w:p>
      <w:pPr>
        <w:pStyle w:val="F21"/>
        <w:spacing w:lineRule="atLeast" w:line="340"/>
        <w:rPr>
          <w:szCs w:val="27"/>
        </w:rPr>
      </w:pPr>
      <w:r>
        <w:rPr>
          <w:szCs w:val="27"/>
        </w:rPr>
        <w:tab/>
      </w:r>
      <w:r>
        <w:rPr>
          <w:szCs w:val="27"/>
        </w:rPr>
        <w:t xml:space="preserve">政府亦有表明，所謂“紀錄良好”是指處所在續牌前最少兩年沒有收到任何有關該處所證明屬實的投訴，或對該處所採取執法行動的紀錄。第二個條件是在有關處所上次獲批牌照或續牌時，獲發全期 </w:t>
      </w:r>
      <w:r>
        <w:rPr>
          <w:rFonts w:ascii="Symbol" w:hAnsi="Symbol" w:cs="Symbol" w:eastAsia="Symbol"/>
          <w:kern w:val="2"/>
          <w:szCs w:val="27"/>
        </w:rPr>
        <w:t></w:t>
      </w:r>
      <w:r>
        <w:rPr>
          <w:szCs w:val="27"/>
        </w:rPr>
        <w:t xml:space="preserve"> 即</w:t>
      </w:r>
      <w:r>
        <w:rPr>
          <w:szCs w:val="27"/>
        </w:rPr>
        <w:t>1‍</w:t>
      </w:r>
      <w:r>
        <w:rPr>
          <w:szCs w:val="27"/>
        </w:rPr>
        <w:t>年 </w:t>
      </w:r>
      <w:r>
        <w:rPr>
          <w:rFonts w:ascii="Symbol" w:hAnsi="Symbol" w:cs="Symbol" w:eastAsia="Symbol"/>
          <w:kern w:val="2"/>
          <w:szCs w:val="27"/>
        </w:rPr>
        <w:t></w:t>
      </w:r>
      <w:r>
        <w:rPr>
          <w:szCs w:val="27"/>
        </w:rPr>
        <w:t xml:space="preserve"> 的牌照。第三個條件是沒有市民就該處所續牌申請公告提出反對或負面的評語。我們認為，如果能符合上述條件，續牌申請的爭議性應相對較低，對居民造成的影響亦可能較小。在這種情況下，批出兩年期牌照是可接受的。</w:t>
      </w:r>
    </w:p>
    <w:p>
      <w:pPr>
        <w:pStyle w:val="F21"/>
        <w:spacing w:lineRule="atLeast" w:line="340"/>
        <w:rPr>
          <w:szCs w:val="27"/>
        </w:rPr>
      </w:pPr>
      <w:r>
        <w:rPr>
          <w:szCs w:val="27"/>
        </w:rPr>
      </w:r>
    </w:p>
    <w:p>
      <w:pPr>
        <w:pStyle w:val="F21"/>
        <w:spacing w:lineRule="atLeast" w:line="340"/>
        <w:rPr>
          <w:szCs w:val="27"/>
        </w:rPr>
      </w:pPr>
      <w:r>
        <w:rPr>
          <w:szCs w:val="27"/>
        </w:rPr>
        <w:tab/>
      </w:r>
      <w:r>
        <w:rPr>
          <w:szCs w:val="27"/>
        </w:rPr>
        <w:t>政府提出“紀錄良好”的條件，其實跟單仲偕議員提出的修訂十分相似。我們認為，政府修訂的原意是希望酒牌局在處理酒牌申請時有更大的彈性。如果將以上條件寫進法例內，就會變得太僵化，令酒牌局的工作失去彈性。再者，其實除了真正受滋擾的居民或議員作出投訴外，我們亦不能排除一些另有目的的惡意投訴，例如同業的競爭或其他原因等。在這種情況下，持牌人或營運者未必能夠完全掌控一些情況。例如一些客人在處所內喝醉後，可能會走到街上鬧事，因而惹來投訴。如果因為這些事情令續牌申請受到影響，對申請人並不公平。我們認為，有關條件可以納入《酒牌局審批酒牌申請的準則指引》內，而非直接納入法例內，這樣令酒牌局在處理上更具彈性，亦較貼近實際情況。所以，工聯會將會反對單仲偕議員提出的修訂。</w:t>
      </w:r>
      <w:r>
        <w:br w:type="page"/>
      </w:r>
    </w:p>
    <w:p>
      <w:pPr>
        <w:pStyle w:val="F21"/>
        <w:spacing w:lineRule="atLeast" w:line="380"/>
        <w:rPr>
          <w:szCs w:val="27"/>
        </w:rPr>
      </w:pPr>
      <w:r>
        <w:rPr>
          <w:szCs w:val="27"/>
        </w:rPr>
        <w:tab/>
      </w:r>
      <w:r>
        <w:rPr>
          <w:szCs w:val="27"/>
        </w:rPr>
        <w:t>代理主席，我要在此重申，我們關注到有些居民會受到領有酒牌的處所的滋擾，政府當局必須對這些受影響居民所提出的意見作具體回應，不能單純以便利營商的角度出發。我們希望，政府建議在牌照有效期第十一個月進行的中期檢討，是一個有實質效用的檢討，而不是純粹警告或勸諭一下，便讓有關處所續牌。</w:t>
      </w:r>
    </w:p>
    <w:p>
      <w:pPr>
        <w:pStyle w:val="F21"/>
        <w:spacing w:lineRule="atLeast" w:line="380"/>
        <w:rPr>
          <w:szCs w:val="27"/>
        </w:rPr>
      </w:pPr>
      <w:r>
        <w:rPr>
          <w:szCs w:val="27"/>
        </w:rPr>
      </w:r>
    </w:p>
    <w:p>
      <w:pPr>
        <w:pStyle w:val="F21"/>
        <w:spacing w:lineRule="atLeast" w:line="380"/>
        <w:rPr>
          <w:szCs w:val="27"/>
        </w:rPr>
      </w:pPr>
      <w:r>
        <w:rPr>
          <w:szCs w:val="27"/>
        </w:rPr>
        <w:tab/>
      </w:r>
      <w:r>
        <w:rPr>
          <w:szCs w:val="27"/>
        </w:rPr>
        <w:t>最後，樓上酒吧林立，但當局在檢討發牌制度後也未有提出任何加強規管的建議，而只是提出一些便利營商的措施和法例修訂。我們認為，政府當局必須就樓上酒吧的問題作出跟進，加強規管，以減少對附近居民造成的滋擾和風險。</w:t>
      </w:r>
    </w:p>
    <w:p>
      <w:pPr>
        <w:pStyle w:val="F21"/>
        <w:spacing w:lineRule="atLeast" w:line="380"/>
        <w:rPr>
          <w:szCs w:val="27"/>
        </w:rPr>
      </w:pPr>
      <w:r>
        <w:rPr>
          <w:szCs w:val="27"/>
        </w:rPr>
      </w:r>
    </w:p>
    <w:p>
      <w:pPr>
        <w:pStyle w:val="F21"/>
        <w:spacing w:lineRule="atLeast" w:line="380"/>
        <w:rPr>
          <w:szCs w:val="27"/>
        </w:rPr>
      </w:pPr>
      <w:r>
        <w:rPr>
          <w:szCs w:val="27"/>
        </w:rPr>
        <w:tab/>
      </w:r>
      <w:r>
        <w:rPr>
          <w:szCs w:val="27"/>
        </w:rPr>
        <w:t>代理主席，我謹此陳辭。</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szCs w:val="27"/>
        </w:rPr>
      </w:pPr>
      <w:r>
        <w:rPr>
          <w:rFonts w:ascii="華康中黑體" w:hAnsi="華康中黑體" w:cs="華康中黑體" w:eastAsia="華康中黑體"/>
          <w:b/>
          <w:szCs w:val="27"/>
        </w:rPr>
        <w:t>王國興議員</w:t>
      </w:r>
      <w:r>
        <w:rPr>
          <w:szCs w:val="27"/>
        </w:rPr>
        <w:t>：代理主席，我發言支持政府的議案，反對單仲偕</w:t>
      </w:r>
      <w:r>
        <w:rPr>
          <w:rFonts w:ascii="華康細明體" w:hAnsi="華康細明體" w:cs="華康細明體"/>
          <w:szCs w:val="27"/>
        </w:rPr>
        <w:t>議員</w:t>
      </w:r>
      <w:r>
        <w:rPr>
          <w:szCs w:val="27"/>
        </w:rPr>
        <w:t>的修訂。</w:t>
      </w:r>
    </w:p>
    <w:p>
      <w:pPr>
        <w:pStyle w:val="F21"/>
        <w:spacing w:lineRule="atLeast" w:line="380"/>
        <w:rPr>
          <w:szCs w:val="27"/>
        </w:rPr>
      </w:pPr>
      <w:r>
        <w:rPr>
          <w:szCs w:val="27"/>
        </w:rPr>
      </w:r>
    </w:p>
    <w:p>
      <w:pPr>
        <w:pStyle w:val="F21"/>
        <w:spacing w:lineRule="atLeast" w:line="380"/>
        <w:rPr>
          <w:szCs w:val="27"/>
        </w:rPr>
      </w:pPr>
      <w:r>
        <w:rPr>
          <w:szCs w:val="27"/>
        </w:rPr>
        <w:tab/>
      </w:r>
      <w:r>
        <w:rPr>
          <w:szCs w:val="27"/>
        </w:rPr>
        <w:t>代理主席，我是前市政局酒牌局的成員，在市政局解散後，我亦曾獲委任出任酒牌局成員</w:t>
      </w:r>
      <w:r>
        <w:rPr>
          <w:szCs w:val="27"/>
        </w:rPr>
        <w:t>6</w:t>
      </w:r>
      <w:r>
        <w:rPr>
          <w:szCs w:val="27"/>
        </w:rPr>
        <w:t>年，所以我有很長時間參與監管酒牌簽發的事務，對業界十分了解熟悉，當然亦知道居民的感受和意見。</w:t>
      </w:r>
    </w:p>
    <w:p>
      <w:pPr>
        <w:pStyle w:val="F21"/>
        <w:spacing w:lineRule="atLeast" w:line="380"/>
        <w:rPr>
          <w:szCs w:val="27"/>
        </w:rPr>
      </w:pPr>
      <w:r>
        <w:rPr>
          <w:szCs w:val="27"/>
        </w:rPr>
      </w:r>
    </w:p>
    <w:p>
      <w:pPr>
        <w:pStyle w:val="F21"/>
        <w:spacing w:lineRule="atLeast" w:line="380"/>
        <w:rPr>
          <w:szCs w:val="27"/>
        </w:rPr>
      </w:pPr>
      <w:r>
        <w:rPr>
          <w:szCs w:val="27"/>
        </w:rPr>
        <w:tab/>
      </w:r>
      <w:r>
        <w:rPr>
          <w:szCs w:val="27"/>
        </w:rPr>
        <w:t>對於政府今次提出的改善建議，我認為是值得支持的，理由有數個。首先，對於並無爭議、紀錄良好的酒牌處所申請者，政府讓他們續牌兩年，是一項鼓勵措施。這鼓勵措施可以發揮甚麼作用？便是鼓勵持牌人自律守法，嚴格履行持牌人的職責，管理好場所，沒有引致任何周邊居民的投訴。顧客守秩序，處所經營良好，當然可以為執法部門減省不必要的麻煩。因此，這項修訂是一個紅蘿蔔，可以鼓勵酒牌處所持牌人自律守法。如果他們自律守法，表現良好，牌照</w:t>
      </w:r>
      <w:r>
        <w:rPr>
          <w:szCs w:val="27"/>
        </w:rPr>
        <w:t>1</w:t>
      </w:r>
      <w:r>
        <w:rPr>
          <w:szCs w:val="27"/>
        </w:rPr>
        <w:t>年後期滿，便可以延長續牌時間，無須逐年申請續牌。這項紅蘿蔔政策我認為是適當的。</w:t>
      </w:r>
    </w:p>
    <w:p>
      <w:pPr>
        <w:pStyle w:val="F21"/>
        <w:spacing w:lineRule="atLeast" w:line="380"/>
        <w:rPr>
          <w:szCs w:val="27"/>
        </w:rPr>
      </w:pPr>
      <w:r>
        <w:rPr>
          <w:szCs w:val="27"/>
        </w:rPr>
      </w:r>
    </w:p>
    <w:p>
      <w:pPr>
        <w:pStyle w:val="F21"/>
        <w:spacing w:lineRule="atLeast" w:line="380"/>
        <w:rPr>
          <w:szCs w:val="27"/>
        </w:rPr>
      </w:pPr>
      <w:r>
        <w:rPr>
          <w:szCs w:val="27"/>
        </w:rPr>
        <w:tab/>
      </w:r>
      <w:r>
        <w:rPr>
          <w:szCs w:val="27"/>
        </w:rPr>
        <w:t>再者，很多紀錄良好的經營者</w:t>
      </w:r>
      <w:r>
        <w:rPr>
          <w:szCs w:val="27"/>
        </w:rPr>
        <w:t>(</w:t>
      </w:r>
      <w:r>
        <w:rPr>
          <w:szCs w:val="27"/>
        </w:rPr>
        <w:t>即申請者</w:t>
      </w:r>
      <w:r>
        <w:rPr>
          <w:szCs w:val="27"/>
        </w:rPr>
        <w:t>)</w:t>
      </w:r>
      <w:r>
        <w:rPr>
          <w:szCs w:val="27"/>
        </w:rPr>
        <w:t>都是酒樓等飲食業場所，而且大多是中式食肆，其經營向來均無甚麼爭議。這類食肆從業人員十分多，製造很多就業機會，而且一向沒有接到太多投訴。這類飲食業場所不是酒吧，而是酒樓。政府建議的新安排可以方便他們。其實，這是一項良好的措施，這是第二點。</w:t>
      </w:r>
      <w:r>
        <w:br w:type="page"/>
      </w:r>
    </w:p>
    <w:p>
      <w:pPr>
        <w:pStyle w:val="F21"/>
        <w:rPr>
          <w:szCs w:val="27"/>
        </w:rPr>
      </w:pPr>
      <w:r>
        <w:rPr>
          <w:szCs w:val="27"/>
        </w:rPr>
        <w:tab/>
      </w:r>
      <w:r>
        <w:rPr>
          <w:szCs w:val="27"/>
        </w:rPr>
        <w:t>第三，政府現時提出的議案可以節省資源，讓執法部門能集中精力處理或跟進風險較高、投訴較多的處所的續牌申請。大家都知道，酒牌監管由警方執法，因為警方才有執法權巡視有關場所和牌照執行情況。其他部門，例如環保署、食環署雖然也屬相關部門，但主要仍然由警方執法。採取這項優化措施後，可令規管酒牌的執法部門能更善用警力，集中資源去保障申請處所周邊居民的利益。</w:t>
      </w:r>
    </w:p>
    <w:p>
      <w:pPr>
        <w:pStyle w:val="F21"/>
        <w:rPr>
          <w:szCs w:val="27"/>
        </w:rPr>
      </w:pPr>
      <w:r>
        <w:rPr>
          <w:szCs w:val="27"/>
        </w:rPr>
      </w:r>
    </w:p>
    <w:p>
      <w:pPr>
        <w:pStyle w:val="F21"/>
        <w:rPr>
          <w:szCs w:val="27"/>
        </w:rPr>
      </w:pPr>
      <w:r>
        <w:rPr>
          <w:szCs w:val="27"/>
        </w:rPr>
        <w:tab/>
      </w:r>
      <w:r>
        <w:rPr>
          <w:szCs w:val="27"/>
        </w:rPr>
        <w:t>第四，我們最大的關注，是政府這項優化措施會否減低透明度、減少受影響居民投訴和反對簽發酒牌的權利？是不會的，這一點相當重要。其實，有關處所的申請人不論是獲發</w:t>
      </w:r>
      <w:r>
        <w:rPr>
          <w:szCs w:val="27"/>
        </w:rPr>
        <w:t>1</w:t>
      </w:r>
      <w:r>
        <w:rPr>
          <w:szCs w:val="27"/>
        </w:rPr>
        <w:t>年或兩年的牌照，只要在期間出現擾民或因場所管理不當而出現違規情況，居民和消費者完全有權隨時提出投訴。此外，酒牌申請人亦須先在報章上刊登公告，讓周邊居民有機會提出反對。居民絕對有知情權和投訴權，他們這些權利不會被剝奪，而當居民提出投訴，酒牌局和警方亦須記錄在案並作出跟進，絕對不可以置之不理。最重要的是，政府修例提出的優化措施，有否減少或剝奪受影響居民的知情權、監察權和反對權？答案是沒有。基於以上分析，我認為政府當局提出的優化措施值得支持。</w:t>
      </w:r>
    </w:p>
    <w:p>
      <w:pPr>
        <w:pStyle w:val="F21"/>
        <w:rPr>
          <w:szCs w:val="27"/>
        </w:rPr>
      </w:pPr>
      <w:r>
        <w:rPr>
          <w:szCs w:val="27"/>
        </w:rPr>
      </w:r>
    </w:p>
    <w:p>
      <w:pPr>
        <w:pStyle w:val="F21"/>
        <w:rPr>
          <w:szCs w:val="27"/>
        </w:rPr>
      </w:pPr>
      <w:r>
        <w:rPr>
          <w:szCs w:val="27"/>
        </w:rPr>
        <w:tab/>
      </w:r>
      <w:r>
        <w:rPr>
          <w:szCs w:val="27"/>
        </w:rPr>
        <w:t xml:space="preserve">代理主席，我認為當局應該集中處理居民一向以來對酒牌所作的投訴，看看紀錄上哪些問題仍然未能妥善處理。首先，現時的所謂中環蘇豪區的邊界正不斷向外擴展和蠶食 </w:t>
      </w:r>
      <w:r>
        <w:rPr>
          <w:rFonts w:ascii="Symbol" w:hAnsi="Symbol" w:cs="Symbol" w:eastAsia="Symbol"/>
          <w:szCs w:val="27"/>
        </w:rPr>
        <w:t></w:t>
      </w:r>
      <w:r>
        <w:rPr>
          <w:szCs w:val="27"/>
        </w:rPr>
        <w:t xml:space="preserve"> 容許我使用這些字眼 </w:t>
      </w:r>
      <w:r>
        <w:rPr>
          <w:rFonts w:ascii="Symbol" w:hAnsi="Symbol" w:cs="Symbol" w:eastAsia="Symbol"/>
          <w:szCs w:val="27"/>
        </w:rPr>
        <w:t></w:t>
      </w:r>
      <w:r>
        <w:rPr>
          <w:szCs w:val="27"/>
        </w:rPr>
        <w:t xml:space="preserve"> 附近民居。當局確實需要研究應否投放更多警力和精力處理酒牌處所擾民的情況，這是第一點。</w:t>
      </w:r>
    </w:p>
    <w:p>
      <w:pPr>
        <w:pStyle w:val="F21"/>
        <w:rPr>
          <w:szCs w:val="27"/>
        </w:rPr>
      </w:pPr>
      <w:r>
        <w:rPr>
          <w:szCs w:val="27"/>
        </w:rPr>
      </w:r>
    </w:p>
    <w:p>
      <w:pPr>
        <w:pStyle w:val="F21"/>
        <w:rPr>
          <w:szCs w:val="27"/>
        </w:rPr>
      </w:pPr>
      <w:r>
        <w:rPr>
          <w:szCs w:val="27"/>
        </w:rPr>
        <w:tab/>
      </w:r>
      <w:r>
        <w:rPr>
          <w:szCs w:val="27"/>
        </w:rPr>
        <w:t>第二點，蘇豪區向西面</w:t>
      </w:r>
      <w:r>
        <w:rPr>
          <w:szCs w:val="27"/>
        </w:rPr>
        <w:t>(</w:t>
      </w:r>
      <w:r>
        <w:rPr>
          <w:szCs w:val="27"/>
        </w:rPr>
        <w:t>即上環和西環方向</w:t>
      </w:r>
      <w:r>
        <w:rPr>
          <w:szCs w:val="27"/>
        </w:rPr>
        <w:t>)</w:t>
      </w:r>
      <w:r>
        <w:rPr>
          <w:szCs w:val="27"/>
        </w:rPr>
        <w:t>擴展，情況相當擾民，因為當地有很多民居。這與酒牌有效期是否兩年並無關係。政府應該加強執法和巡查，以解決這方面的問題。</w:t>
      </w:r>
    </w:p>
    <w:p>
      <w:pPr>
        <w:pStyle w:val="F21"/>
        <w:rPr>
          <w:szCs w:val="27"/>
        </w:rPr>
      </w:pPr>
      <w:r>
        <w:rPr>
          <w:szCs w:val="27"/>
        </w:rPr>
      </w:r>
    </w:p>
    <w:p>
      <w:pPr>
        <w:pStyle w:val="F21"/>
        <w:rPr>
          <w:szCs w:val="27"/>
        </w:rPr>
      </w:pPr>
      <w:r>
        <w:rPr>
          <w:szCs w:val="27"/>
        </w:rPr>
        <w:tab/>
      </w:r>
      <w:r>
        <w:rPr>
          <w:szCs w:val="27"/>
        </w:rPr>
        <w:t>第三點，郭偉强議員也有提到樓上酒吧。現時在多層商業大廈開設的樓上酒吧越來越多，我們已關注這問題多年，這些樓上酒吧存在很高風險，因為一旦發生意外或火警，很多人便可能無法即時逃生。所以，我亦希望政府能加大力度解決樓上酒吧的問題。</w:t>
      </w:r>
    </w:p>
    <w:p>
      <w:pPr>
        <w:pStyle w:val="F21"/>
        <w:rPr>
          <w:szCs w:val="27"/>
        </w:rPr>
      </w:pPr>
      <w:r>
        <w:rPr>
          <w:szCs w:val="27"/>
        </w:rPr>
      </w:r>
    </w:p>
    <w:p>
      <w:pPr>
        <w:pStyle w:val="F21"/>
        <w:rPr>
          <w:szCs w:val="27"/>
        </w:rPr>
      </w:pPr>
      <w:r>
        <w:rPr>
          <w:szCs w:val="27"/>
        </w:rPr>
        <w:tab/>
      </w:r>
      <w:r>
        <w:rPr>
          <w:szCs w:val="27"/>
        </w:rPr>
        <w:t>第四點，有不少市民投訴，亦有傳媒報道，現時在沙灘或燒烤區等地方，有商人無牌非法賣酒，這也是相當擾民，同時亦屬違法行為。我認為政府當局應該多加關注和跟進我剛才提到的情況。同時，若酒牌局亦能多加關注這些會對居民安全、環境、噪音、走火通道及其他環境衞生造成滋擾的情況，我認為會更為務實。</w:t>
      </w:r>
      <w:r>
        <w:br w:type="page"/>
      </w:r>
    </w:p>
    <w:p>
      <w:pPr>
        <w:pStyle w:val="F21"/>
        <w:spacing w:lineRule="atLeast" w:line="380"/>
        <w:rPr>
          <w:szCs w:val="27"/>
        </w:rPr>
      </w:pPr>
      <w:r>
        <w:rPr>
          <w:szCs w:val="27"/>
        </w:rPr>
        <w:tab/>
      </w:r>
      <w:r>
        <w:rPr>
          <w:szCs w:val="27"/>
        </w:rPr>
        <w:t>基於上述分析，我認為當局是次的修訂實事求是。我們應是其是，非其非，合理的地方便應該支持。我發言支持政府的議案，反對單仲偕議員的修訂。</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pPr>
      <w:r>
        <w:rPr>
          <w:rFonts w:cs="華康中黑體" w:eastAsia="華康中黑體"/>
          <w:b/>
        </w:rPr>
        <w:t>陳家洛議員</w:t>
      </w:r>
      <w:r>
        <w:rPr/>
        <w:t>：關於這個議題，如果大家聽得清楚的話，其實跨黨派議員在大方向上均同意，把紀錄良好處所的酒牌牌照由現時全期</w:t>
      </w:r>
      <w:r>
        <w:rPr/>
        <w:t>1</w:t>
      </w:r>
      <w:r>
        <w:rPr/>
        <w:t>年延長至最多全期兩年，然後在這基礎上討論收費。結果是不會收足兩倍牌費，而是收</w:t>
      </w:r>
      <w:r>
        <w:rPr/>
        <w:t>1.5</w:t>
      </w:r>
      <w:r>
        <w:rPr/>
        <w:t>倍，原因是處理紀錄良好處所的酒牌申請成本不高，這比率可以接受。由此可見，同事大致上並沒有強烈意見。</w:t>
      </w:r>
    </w:p>
    <w:p>
      <w:pPr>
        <w:pStyle w:val="F21"/>
        <w:spacing w:lineRule="atLeast" w:line="380"/>
        <w:rPr/>
      </w:pPr>
      <w:r>
        <w:rPr/>
      </w:r>
    </w:p>
    <w:p>
      <w:pPr>
        <w:pStyle w:val="F21"/>
        <w:spacing w:lineRule="atLeast" w:line="380"/>
        <w:rPr/>
      </w:pPr>
      <w:r>
        <w:rPr/>
        <w:tab/>
      </w:r>
      <w:r>
        <w:rPr/>
        <w:t>那麼同事有何意見呢？我剛才聽到自由黨代表飲食界功能界別的張宇人議員的發言，就單仲偕議員希望透過這項辯論修訂有關的規例一事作出回應，我認為大家在這方面開始出現分歧，而且他的說法已偏離局長剛才的發言。單仲偕議員建議在規例中清楚訂明何謂“紀錄良好”的處所，而他基本上是以政府在審議階段所提供的資料文件作為依據，建議在規例中清楚訂明，這只是一個簡單的動作，但局長認為此舉弊多於利。局長沒有說這項建議大錯特錯，只是說在平衡利弊輕重後認為弊多於利，因為如果寫得“太死”，可能會對酒牌局審批酒牌申請的工作造成一些困難，影響其作為法定發牌機構的酌情權力。我認為這一點值得辯論，讓公眾自行判斷。</w:t>
      </w:r>
    </w:p>
    <w:p>
      <w:pPr>
        <w:pStyle w:val="F21"/>
        <w:spacing w:lineRule="atLeast" w:line="380"/>
        <w:rPr/>
      </w:pPr>
      <w:r>
        <w:rPr/>
      </w:r>
    </w:p>
    <w:p>
      <w:pPr>
        <w:pStyle w:val="F21"/>
        <w:spacing w:lineRule="atLeast" w:line="380"/>
        <w:rPr/>
      </w:pPr>
      <w:r>
        <w:rPr/>
        <w:tab/>
      </w:r>
      <w:r>
        <w:rPr/>
        <w:t>可是，小組委員會主席張宇人議員突然拋出民選議員、區議會、民粹等說法，指業界已經很慘，大家不要再迫他們，他們快要捱不住。我不知現在是否已變成政改辯論，功能界別議員經常說民選議員一定民粹，業界已被他們趕盡殺絕，差不多要全部拿去“祭旗”，所以大家千萬要保衞功能界別議席，千萬不要讓直選議席一直擴張，因為這樣便“沒運行”。然而，今天的討論不應該扯到那方面。當然，我們在討論政改時一定會互相反駁，但他們不要以為民選議員便一定民粹和不會顧及從事飲食業或酒吧行業的朋友，並認定業界是壞人，要將他們驅逐出選區之外，我想這並非今天討論的重點。</w:t>
      </w:r>
    </w:p>
    <w:p>
      <w:pPr>
        <w:pStyle w:val="F21"/>
        <w:spacing w:lineRule="atLeast" w:line="380"/>
        <w:rPr/>
      </w:pPr>
      <w:r>
        <w:rPr/>
      </w:r>
    </w:p>
    <w:p>
      <w:pPr>
        <w:pStyle w:val="F21"/>
        <w:spacing w:lineRule="atLeast" w:line="380"/>
        <w:rPr/>
      </w:pPr>
      <w:r>
        <w:rPr/>
        <w:tab/>
      </w:r>
      <w:r>
        <w:rPr/>
        <w:t>代理主席，今天討論的重點應該是，香港人煙稠密，很多領有酒牌的處所都很接近民居，而樓上酒吧根本位處民居之內，所以任何關心社區的人，不一定是區議員，也可以是立法會議員，甚至是住所的樓下或樓上已開設酒吧的政府官員，均會感到很困擾和煩躁。他們可能百思不得其解，究竟酒牌局如何替他們把關，為甚麼那些酒牌處所年年獲得續牌？一旦現時的修訂獲得通過，牌照期更有可能延長至兩年，那怎麼辦？究竟有何審批準則或標準？作為受影響或可能受影響的居民又有何權利？大家不是一定要提出反對或是將業界趕離社區，而是希望有商有量，研究如何妥善處理這問題。</w:t>
      </w:r>
    </w:p>
    <w:p>
      <w:pPr>
        <w:pStyle w:val="F21"/>
        <w:spacing w:lineRule="atLeast" w:line="368"/>
        <w:rPr/>
      </w:pPr>
      <w:r>
        <w:rPr/>
      </w:r>
    </w:p>
    <w:p>
      <w:pPr>
        <w:pStyle w:val="F21"/>
        <w:spacing w:lineRule="atLeast" w:line="368"/>
        <w:rPr/>
      </w:pPr>
      <w:r>
        <w:rPr/>
        <w:tab/>
      </w:r>
      <w:r>
        <w:rPr/>
        <w:t>我認為政府有良好意願，讓大約</w:t>
      </w:r>
      <w:r>
        <w:rPr/>
        <w:t>70%</w:t>
      </w:r>
      <w:r>
        <w:rPr/>
        <w:t>至</w:t>
      </w:r>
      <w:r>
        <w:rPr/>
        <w:t>80%</w:t>
      </w:r>
      <w:r>
        <w:rPr/>
        <w:t>領有酒牌的酒樓食肆，只要紀錄良好，便可以在政府的新制度下獲發牌最多兩年。此外，政府亦提供經濟誘因，不會收取</w:t>
      </w:r>
      <w:r>
        <w:rPr/>
        <w:t>200%</w:t>
      </w:r>
      <w:r>
        <w:rPr/>
        <w:t>的牌費，而是</w:t>
      </w:r>
      <w:r>
        <w:rPr/>
        <w:t>1.5</w:t>
      </w:r>
      <w:r>
        <w:rPr/>
        <w:t>倍而已。這項建議是理想的，所以公民黨會支持政府的做法，而事實上有關做法亦取得適當的平衡。</w:t>
      </w:r>
    </w:p>
    <w:p>
      <w:pPr>
        <w:pStyle w:val="F21"/>
        <w:spacing w:lineRule="atLeast" w:line="368"/>
        <w:rPr/>
      </w:pPr>
      <w:r>
        <w:rPr/>
      </w:r>
    </w:p>
    <w:p>
      <w:pPr>
        <w:pStyle w:val="F21"/>
        <w:spacing w:lineRule="atLeast" w:line="368"/>
        <w:rPr/>
      </w:pPr>
      <w:r>
        <w:rPr/>
        <w:tab/>
      </w:r>
      <w:r>
        <w:rPr/>
        <w:t xml:space="preserve">其後引申的問題，政府也知道，便是應訂定甚麼準則。其實，政府已經提出了相關準則。單仲偕議員的修訂基本上是以政府的建議為依據，他差不多只是搬字過紙。不過，有趣的是 </w:t>
      </w:r>
      <w:r>
        <w:rPr>
          <w:rFonts w:ascii="Symbol" w:hAnsi="Symbol" w:cs="Symbol" w:eastAsia="Symbol"/>
        </w:rPr>
        <w:t></w:t>
      </w:r>
      <w:r>
        <w:rPr/>
        <w:t xml:space="preserve"> 也許我是教書，所以較為敏感 </w:t>
      </w:r>
      <w:r>
        <w:rPr>
          <w:rFonts w:ascii="Symbol" w:hAnsi="Symbol" w:cs="Symbol" w:eastAsia="Symbol"/>
        </w:rPr>
        <w:t></w:t>
      </w:r>
      <w:r>
        <w:rPr/>
        <w:t xml:space="preserve"> 政府怎樣加入這些魔鬼細節？政府把“紀錄良好”的定義放在文件的註腳。我不禁會想，究竟政府想不想我們看到放在註腳的細節？有關的內容是否重要？酒牌局將來會否手持這份文件，然後將註腳部分放大，說這是經立法會通過，是很嚴肅的，並經議員討論和審閱，酒牌局只是依法行事。如果是這樣，將有關規定列入規例內又有何問題呢？為何會弊多於利？</w:t>
      </w:r>
    </w:p>
    <w:p>
      <w:pPr>
        <w:pStyle w:val="F21"/>
        <w:spacing w:lineRule="atLeast" w:line="368"/>
        <w:rPr/>
      </w:pPr>
      <w:r>
        <w:rPr/>
      </w:r>
    </w:p>
    <w:p>
      <w:pPr>
        <w:pStyle w:val="F21"/>
        <w:spacing w:lineRule="atLeast" w:line="368"/>
        <w:rPr/>
      </w:pPr>
      <w:r>
        <w:rPr/>
        <w:tab/>
      </w:r>
      <w:r>
        <w:rPr/>
        <w:t>大家不是也認為香港是重視文明、公道、透明度和問責的地方嗎？酒牌局正是行使法律所賦予的公權力，所以大家必須仔細看清楚。為何納入有關規定會是弊多於利，而不是利多於弊？究竟有何困難？究竟大家有規可循會有何問題？局長剛才解釋此舉會削弱酒牌局的酌情權，反而會為受影響的居民或負責把關的議員製造麻煩，例如有關規定是否必須嚴格遵從？以註腳形式利用細小的字體加入法例，是否代表切實執行，抑或根本不會付諸實行？如果是這樣，說得嚴重點，可能誤導我們或公眾，屆時甚至可能會有居民怒罵政府欺騙他們，並指責政府“上樑不正下樑歪”。如果政府完全沒有這動機和想法，我認為根本沒有理由反對單仲偕議員所提出的修訂。我認為有關修訂有利發牌過程，只不過是按照政府的原意，澄清在甚麼考量下讓酒牌申請人的處所獲發兩年酒牌，並解釋何謂“紀錄良好”。</w:t>
      </w:r>
    </w:p>
    <w:p>
      <w:pPr>
        <w:pStyle w:val="F21"/>
        <w:spacing w:lineRule="atLeast" w:line="368"/>
        <w:rPr/>
      </w:pPr>
      <w:r>
        <w:rPr/>
      </w:r>
    </w:p>
    <w:p>
      <w:pPr>
        <w:pStyle w:val="F21"/>
        <w:spacing w:lineRule="atLeast" w:line="368"/>
        <w:rPr/>
      </w:pPr>
      <w:r>
        <w:rPr/>
        <w:tab/>
      </w:r>
      <w:r>
        <w:rPr/>
        <w:t>代理主席，根據政府提供的統計數字，發牌過程是否真的如張宇人議員所說般痛苦，比登上長城還要悽慘？事實並非如此。以</w:t>
      </w:r>
      <w:r>
        <w:rPr/>
        <w:t>2014</w:t>
      </w:r>
      <w:r>
        <w:rPr/>
        <w:t>年政府提供的數據為例，被投訴的處所有</w:t>
      </w:r>
      <w:r>
        <w:rPr/>
        <w:t>428</w:t>
      </w:r>
      <w:r>
        <w:rPr/>
        <w:t>個，但其中很多都按不同條件獲得續牌，其實是有商量的，當然可能會有附帶條件或只獲續牌少於</w:t>
      </w:r>
      <w:r>
        <w:rPr/>
        <w:t>1</w:t>
      </w:r>
      <w:r>
        <w:rPr/>
        <w:t>年，因為按照現時的規定，最多也只會獲續期</w:t>
      </w:r>
      <w:r>
        <w:rPr/>
        <w:t>1</w:t>
      </w:r>
      <w:r>
        <w:rPr/>
        <w:t>年。根據</w:t>
      </w:r>
      <w:r>
        <w:rPr/>
        <w:t>2014</w:t>
      </w:r>
      <w:r>
        <w:rPr/>
        <w:t>年的統計數字，在</w:t>
      </w:r>
      <w:r>
        <w:rPr/>
        <w:t>428</w:t>
      </w:r>
      <w:r>
        <w:rPr/>
        <w:t>個曾被投訴並尋求續牌的處所中，只有</w:t>
      </w:r>
      <w:r>
        <w:rPr/>
        <w:t>8</w:t>
      </w:r>
      <w:r>
        <w:rPr/>
        <w:t>個遭拒絕。如果</w:t>
      </w:r>
      <w:r>
        <w:rPr/>
        <w:t>428</w:t>
      </w:r>
      <w:r>
        <w:rPr/>
        <w:t>個處所中只有</w:t>
      </w:r>
      <w:r>
        <w:rPr/>
        <w:t>8</w:t>
      </w:r>
      <w:r>
        <w:rPr/>
        <w:t>個遭拒絕，情況似乎並非如張宇人議員所說，我們要清剿這類處所那般誇張。</w:t>
      </w:r>
    </w:p>
    <w:p>
      <w:pPr>
        <w:pStyle w:val="F21"/>
        <w:spacing w:lineRule="atLeast" w:line="380"/>
        <w:rPr/>
      </w:pPr>
      <w:r>
        <w:rPr/>
      </w:r>
    </w:p>
    <w:p>
      <w:pPr>
        <w:pStyle w:val="F21"/>
        <w:spacing w:lineRule="atLeast" w:line="380"/>
        <w:rPr/>
      </w:pPr>
      <w:r>
        <w:rPr/>
        <w:tab/>
      </w:r>
      <w:r>
        <w:rPr/>
        <w:t>在我們這個文明公道的社會，我完全無意質疑酒牌局或其前任成員，包括張宇人議員，指他們做法偏頗，我只是認為大家應遵循法規，做好本身應有的角色和責任。無論是市民、區議員或立法會議員均有本身的角色和責任。我相信條文寫得越清楚，疑惑便會越少，法例便更具透明度和更清晰。所以，公民黨不單支持政府的修訂，同時亦支持單仲偕議員的修訂，兩者相得益彰，相輔相成，更有助釐清處理酒牌申請的相關投訴時可循的大方向。因此，我看不到有何理由要二取其一，即是要不就百分百擁抱政府，拒絕單仲偕議員的一番好意；要不就如張宇人議員剛才所說，站在單仲偕議員一方便等於反對政府。我相信市民應不會這樣理解問題，而會嘗試設身處地了解區情及受影響市民的心情。我真的看不到政府何以認為修訂弊多於利，我反而認為是利多於弊。</w:t>
      </w:r>
    </w:p>
    <w:p>
      <w:pPr>
        <w:pStyle w:val="F21"/>
        <w:spacing w:lineRule="atLeast" w:line="380"/>
        <w:rPr/>
      </w:pPr>
      <w:r>
        <w:rPr/>
      </w:r>
    </w:p>
    <w:p>
      <w:pPr>
        <w:pStyle w:val="F21"/>
        <w:spacing w:lineRule="atLeast" w:line="380"/>
        <w:rPr/>
      </w:pPr>
      <w:r>
        <w:rPr/>
        <w:tab/>
      </w:r>
      <w:r>
        <w:rPr/>
        <w:t>最後一點涉及技術問題，我想請局長注意。現時，食肆牌照為期</w:t>
      </w:r>
      <w:r>
        <w:rPr/>
        <w:t>1</w:t>
      </w:r>
      <w:r>
        <w:rPr/>
        <w:t>年，然後逐年續牌，但如果食肆因紀錄良好而獲發兩年酒牌，情況便會頗為有趣。食肆逐年續牌，但酒牌卻可能長達兩年，那麼食肆經營者可能要決定，如果食肆只准經營</w:t>
      </w:r>
      <w:r>
        <w:rPr/>
        <w:t>1</w:t>
      </w:r>
      <w:r>
        <w:rPr/>
        <w:t>年但獲發兩年酒牌，基於種種原因在</w:t>
      </w:r>
      <w:r>
        <w:rPr/>
        <w:t>1</w:t>
      </w:r>
      <w:r>
        <w:rPr/>
        <w:t>年後不能繼續經營，他持有兩年酒牌卻沒有食肆可經營，那怎麼辦呢？大家可能會說，食肆經營者可自行判斷，大可不必申請兩年酒牌而只申請</w:t>
      </w:r>
      <w:r>
        <w:rPr/>
        <w:t>1</w:t>
      </w:r>
      <w:r>
        <w:rPr/>
        <w:t>年。但是，由於制度容許他申請兩年酒牌，而酒牌局亦予以批准，只是食肆牌照不足兩年或不獲續牌才令他的處境十分尷尬。因此，日後推行新制度時，可能會出現這種尷尬情況，局方稍後可能要就這方面作出回應。</w:t>
      </w:r>
    </w:p>
    <w:p>
      <w:pPr>
        <w:pStyle w:val="F21"/>
        <w:spacing w:lineRule="atLeast" w:line="380"/>
        <w:rPr/>
      </w:pPr>
      <w:r>
        <w:rPr/>
      </w:r>
    </w:p>
    <w:p>
      <w:pPr>
        <w:pStyle w:val="F21"/>
        <w:spacing w:lineRule="atLeast" w:line="380"/>
        <w:rPr>
          <w:i/>
          <w:i/>
          <w:color w:val="FF0000"/>
        </w:rPr>
      </w:pPr>
      <w:r>
        <w:rPr/>
        <w:tab/>
      </w:r>
      <w:r>
        <w:rPr/>
        <w:t>謹此陳辭。</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szCs w:val="27"/>
        </w:rPr>
      </w:pPr>
      <w:r>
        <w:rPr>
          <w:rFonts w:eastAsia="華康中黑體"/>
          <w:b/>
          <w:szCs w:val="27"/>
        </w:rPr>
        <w:t>葉國謙議員</w:t>
      </w:r>
      <w:r>
        <w:rPr>
          <w:szCs w:val="27"/>
        </w:rPr>
        <w:t>：代理主席，我謹代表民建聯，反對單仲偕議員提出的議案。</w:t>
      </w:r>
      <w:r>
        <w:br w:type="page"/>
      </w:r>
    </w:p>
    <w:p>
      <w:pPr>
        <w:pStyle w:val="F21"/>
        <w:spacing w:lineRule="atLeast" w:line="380"/>
        <w:rPr>
          <w:szCs w:val="27"/>
        </w:rPr>
      </w:pPr>
      <w:r>
        <w:rPr>
          <w:szCs w:val="27"/>
        </w:rPr>
        <w:tab/>
      </w:r>
      <w:r>
        <w:rPr>
          <w:szCs w:val="27"/>
        </w:rPr>
        <w:t>政府原來的修訂規例，將酒牌最長有效期從</w:t>
      </w:r>
      <w:r>
        <w:rPr>
          <w:szCs w:val="27"/>
        </w:rPr>
        <w:t>1</w:t>
      </w:r>
      <w:r>
        <w:rPr>
          <w:szCs w:val="27"/>
        </w:rPr>
        <w:t>年增加到兩年，措施的目的是減少酒牌局處理一些無爭議個案的工作量，集中精力處理新申請及受到反對的續牌申請。對有良好紀錄的營商者而言，這項安排也可以減輕他們的負擔，包括減少行政程序，以及減少在報章刊登申請公告的費用。</w:t>
      </w:r>
    </w:p>
    <w:p>
      <w:pPr>
        <w:pStyle w:val="F21"/>
        <w:spacing w:lineRule="atLeast" w:line="380"/>
        <w:rPr>
          <w:szCs w:val="27"/>
        </w:rPr>
      </w:pPr>
      <w:r>
        <w:rPr>
          <w:szCs w:val="27"/>
        </w:rPr>
      </w:r>
    </w:p>
    <w:p>
      <w:pPr>
        <w:pStyle w:val="F21"/>
        <w:spacing w:lineRule="atLeast" w:line="380"/>
        <w:rPr>
          <w:szCs w:val="27"/>
        </w:rPr>
      </w:pPr>
      <w:r>
        <w:rPr>
          <w:szCs w:val="27"/>
        </w:rPr>
        <w:tab/>
      </w:r>
      <w:r>
        <w:rPr>
          <w:szCs w:val="27"/>
        </w:rPr>
        <w:t>這些政策目標並無問題，但我們在制訂具體做法時，必須小心考慮地區居民的利益和關注，特別是他們對酒牌處所滋擾問題的關注。</w:t>
      </w:r>
    </w:p>
    <w:p>
      <w:pPr>
        <w:pStyle w:val="F21"/>
        <w:spacing w:lineRule="atLeast" w:line="380"/>
        <w:rPr>
          <w:szCs w:val="27"/>
        </w:rPr>
      </w:pPr>
      <w:r>
        <w:rPr>
          <w:szCs w:val="27"/>
        </w:rPr>
      </w:r>
    </w:p>
    <w:p>
      <w:pPr>
        <w:pStyle w:val="F21"/>
        <w:spacing w:lineRule="atLeast" w:line="380"/>
        <w:rPr>
          <w:szCs w:val="27"/>
        </w:rPr>
      </w:pPr>
      <w:r>
        <w:rPr>
          <w:szCs w:val="27"/>
        </w:rPr>
        <w:tab/>
      </w:r>
      <w:r>
        <w:rPr>
          <w:szCs w:val="27"/>
        </w:rPr>
        <w:t>按照政府的構思，酒牌最長有效期增加到兩年後，只有在緊接有關續牌申請前最少連續兩年紀錄良好的個案，才有較大機會獲得酒牌局批准續期兩年。所謂紀錄良好是指︰</w:t>
      </w:r>
    </w:p>
    <w:p>
      <w:pPr>
        <w:pStyle w:val="F21"/>
        <w:spacing w:lineRule="atLeast" w:line="380"/>
        <w:rPr>
          <w:szCs w:val="27"/>
        </w:rPr>
      </w:pPr>
      <w:r>
        <w:rPr>
          <w:szCs w:val="27"/>
        </w:rPr>
      </w:r>
    </w:p>
    <w:p>
      <w:pPr>
        <w:pStyle w:val="F21"/>
        <w:spacing w:lineRule="atLeast" w:line="380"/>
        <w:ind w:left="1134" w:hanging="567"/>
        <w:rPr>
          <w:szCs w:val="27"/>
        </w:rPr>
      </w:pPr>
      <w:r>
        <w:rPr>
          <w:szCs w:val="27"/>
        </w:rPr>
        <w:t>(1)</w:t>
        <w:tab/>
      </w:r>
      <w:r>
        <w:rPr>
          <w:szCs w:val="27"/>
        </w:rPr>
        <w:t>在緊接有關持牌處所續牌前最少連續兩年，牌照登記冊都沒有記錄任何有關該處所或其持牌人經證明屬實的投訴，或對該處所或其持牌人採取的執法行動；</w:t>
      </w:r>
    </w:p>
    <w:p>
      <w:pPr>
        <w:pStyle w:val="F21"/>
        <w:spacing w:lineRule="atLeast" w:line="380"/>
        <w:ind w:left="1134" w:hanging="567"/>
        <w:rPr>
          <w:szCs w:val="27"/>
        </w:rPr>
      </w:pPr>
      <w:r>
        <w:rPr>
          <w:szCs w:val="27"/>
        </w:rPr>
      </w:r>
    </w:p>
    <w:p>
      <w:pPr>
        <w:pStyle w:val="F21"/>
        <w:spacing w:lineRule="atLeast" w:line="380"/>
        <w:ind w:left="1134" w:hanging="567"/>
        <w:rPr>
          <w:szCs w:val="27"/>
        </w:rPr>
      </w:pPr>
      <w:r>
        <w:rPr>
          <w:szCs w:val="27"/>
        </w:rPr>
        <w:t>(2)</w:t>
        <w:tab/>
      </w:r>
      <w:r>
        <w:rPr>
          <w:szCs w:val="27"/>
        </w:rPr>
        <w:t>在上次獲批牌照或續牌時，獲發全期牌照；及</w:t>
      </w:r>
    </w:p>
    <w:p>
      <w:pPr>
        <w:pStyle w:val="F21"/>
        <w:spacing w:lineRule="atLeast" w:line="380"/>
        <w:ind w:left="1134" w:hanging="567"/>
        <w:rPr>
          <w:szCs w:val="27"/>
        </w:rPr>
      </w:pPr>
      <w:r>
        <w:rPr>
          <w:szCs w:val="27"/>
        </w:rPr>
      </w:r>
    </w:p>
    <w:p>
      <w:pPr>
        <w:pStyle w:val="F21"/>
        <w:spacing w:lineRule="atLeast" w:line="380"/>
        <w:ind w:left="1134" w:hanging="567"/>
        <w:rPr>
          <w:szCs w:val="27"/>
        </w:rPr>
      </w:pPr>
      <w:r>
        <w:rPr>
          <w:szCs w:val="27"/>
        </w:rPr>
        <w:t>(3)</w:t>
        <w:tab/>
      </w:r>
      <w:r>
        <w:rPr>
          <w:szCs w:val="27"/>
        </w:rPr>
        <w:t>沒有收到市民就其牌照續期申請公告提出反對或負面評語。</w:t>
      </w:r>
    </w:p>
    <w:p>
      <w:pPr>
        <w:pStyle w:val="F21"/>
        <w:spacing w:lineRule="atLeast" w:line="380"/>
        <w:rPr>
          <w:szCs w:val="27"/>
        </w:rPr>
      </w:pPr>
      <w:r>
        <w:rPr>
          <w:szCs w:val="27"/>
        </w:rPr>
      </w:r>
    </w:p>
    <w:p>
      <w:pPr>
        <w:pStyle w:val="F21"/>
        <w:spacing w:lineRule="atLeast" w:line="380"/>
        <w:rPr>
          <w:szCs w:val="27"/>
        </w:rPr>
      </w:pPr>
      <w:r>
        <w:rPr>
          <w:szCs w:val="27"/>
        </w:rPr>
        <w:tab/>
      </w:r>
      <w:r>
        <w:rPr>
          <w:szCs w:val="27"/>
        </w:rPr>
        <w:t>此外，當局也正為有效期為兩年的牌照制訂中期檢討機制。有關機制容許酒牌局撤銷或暫時吊銷有關牌照，或在下次續牌時只會發出有效期較短的酒牌。</w:t>
      </w:r>
    </w:p>
    <w:p>
      <w:pPr>
        <w:pStyle w:val="F21"/>
        <w:spacing w:lineRule="atLeast" w:line="380"/>
        <w:rPr>
          <w:szCs w:val="27"/>
        </w:rPr>
      </w:pPr>
      <w:r>
        <w:rPr>
          <w:szCs w:val="27"/>
        </w:rPr>
      </w:r>
    </w:p>
    <w:p>
      <w:pPr>
        <w:pStyle w:val="F21"/>
        <w:spacing w:lineRule="atLeast" w:line="380"/>
        <w:rPr>
          <w:szCs w:val="27"/>
        </w:rPr>
      </w:pPr>
      <w:r>
        <w:rPr>
          <w:szCs w:val="27"/>
        </w:rPr>
        <w:tab/>
      </w:r>
      <w:r>
        <w:rPr>
          <w:szCs w:val="27"/>
        </w:rPr>
        <w:t>總體來說，我認為上述措施已顧及地區居民的關注。我剛才聽到很多議員的發言，包括陳家洛議員等，他們都覺得政府這做法可以接受。但是，在接受之餘，從民建聯的角度，我們也希望政府考慮下列兩點。第一，把上述有關紀錄良好的續牌條件明確寫入酒牌局的指引中，公開讓申請人及居民知悉。第二，就中期檢討機制與區議會磋商，以完善這個機制。</w:t>
      </w:r>
    </w:p>
    <w:p>
      <w:pPr>
        <w:pStyle w:val="F21"/>
        <w:spacing w:lineRule="atLeast" w:line="380"/>
        <w:rPr>
          <w:szCs w:val="27"/>
        </w:rPr>
      </w:pPr>
      <w:r>
        <w:rPr>
          <w:szCs w:val="27"/>
        </w:rPr>
      </w:r>
    </w:p>
    <w:p>
      <w:pPr>
        <w:pStyle w:val="F21"/>
        <w:spacing w:lineRule="atLeast" w:line="380"/>
        <w:rPr>
          <w:szCs w:val="27"/>
        </w:rPr>
      </w:pPr>
      <w:r>
        <w:rPr>
          <w:szCs w:val="27"/>
        </w:rPr>
        <w:tab/>
      </w:r>
      <w:r>
        <w:rPr>
          <w:szCs w:val="27"/>
        </w:rPr>
        <w:t>民建聯認為這兩點必須亦應該要做好。民建聯亦留意到，單仲偕議員的修訂其實也寫明，就新酒牌的申請而言，酒牌局可以發出兩年期牌照，但他並無在條文中施加任何條件限制。因此，就新酒牌而言，民主黨的建議與原來的規例實質上並無分別。</w:t>
      </w:r>
      <w:r>
        <w:br w:type="page"/>
      </w:r>
    </w:p>
    <w:p>
      <w:pPr>
        <w:pStyle w:val="F21"/>
        <w:spacing w:lineRule="atLeast" w:line="380"/>
        <w:rPr>
          <w:szCs w:val="27"/>
        </w:rPr>
      </w:pPr>
      <w:r>
        <w:rPr>
          <w:szCs w:val="27"/>
        </w:rPr>
        <w:tab/>
      </w:r>
      <w:r>
        <w:rPr>
          <w:szCs w:val="27"/>
        </w:rPr>
        <w:t>對於任何可以完善現時安排的建議，民建聯都願意持開放態度進行探討，但為何我在開始發言時便提到我們會反對單仲偕議員的修訂？在小心考慮單仲偕議員提出的修訂所產生的法律效果後，我們認為難以支持有關修訂，因為可能會弄巧反拙，削弱對居民的保障。為甚麼？原因有兩個，其一是關於續牌的問題。民主黨的修訂是，酒牌局除非信納</w:t>
      </w:r>
      <w:r>
        <w:rPr>
          <w:szCs w:val="27"/>
        </w:rPr>
        <w:t>(i)</w:t>
      </w:r>
      <w:r>
        <w:rPr>
          <w:szCs w:val="27"/>
        </w:rPr>
        <w:t>酒牌處所紀錄良好，或</w:t>
      </w:r>
      <w:r>
        <w:rPr>
          <w:szCs w:val="27"/>
        </w:rPr>
        <w:t>(ii)</w:t>
      </w:r>
      <w:r>
        <w:rPr>
          <w:szCs w:val="27"/>
        </w:rPr>
        <w:t>它對附近居民並無造成不合理的滋擾，否則不能發出有效期超過</w:t>
      </w:r>
      <w:r>
        <w:rPr>
          <w:szCs w:val="27"/>
        </w:rPr>
        <w:t>1</w:t>
      </w:r>
      <w:r>
        <w:rPr>
          <w:szCs w:val="27"/>
        </w:rPr>
        <w:t>年的酒牌。換句話說，如果酒牌局信納了</w:t>
      </w:r>
      <w:r>
        <w:rPr>
          <w:szCs w:val="27"/>
        </w:rPr>
        <w:t>(i)</w:t>
      </w:r>
      <w:r>
        <w:rPr>
          <w:szCs w:val="27"/>
        </w:rPr>
        <w:t>或</w:t>
      </w:r>
      <w:r>
        <w:rPr>
          <w:szCs w:val="27"/>
        </w:rPr>
        <w:t>(ii)</w:t>
      </w:r>
      <w:r>
        <w:rPr>
          <w:szCs w:val="27"/>
        </w:rPr>
        <w:t>，便可以發出有效期超過</w:t>
      </w:r>
      <w:r>
        <w:rPr>
          <w:szCs w:val="27"/>
        </w:rPr>
        <w:t>1</w:t>
      </w:r>
      <w:r>
        <w:rPr>
          <w:szCs w:val="27"/>
        </w:rPr>
        <w:t>年的牌照。但是，最長有效期是多久呢？在民主黨單仲偕議員的修訂中，並沒有說明此點。那麼，有效期是否可以是兩年，</w:t>
      </w:r>
      <w:r>
        <w:rPr>
          <w:szCs w:val="27"/>
        </w:rPr>
        <w:t>3</w:t>
      </w:r>
      <w:r>
        <w:rPr>
          <w:szCs w:val="27"/>
        </w:rPr>
        <w:t>年，甚至</w:t>
      </w:r>
      <w:r>
        <w:rPr>
          <w:szCs w:val="27"/>
        </w:rPr>
        <w:t>30</w:t>
      </w:r>
      <w:r>
        <w:rPr>
          <w:szCs w:val="27"/>
        </w:rPr>
        <w:t>年？按字面理解，民主黨的修訂容許酒牌局在續牌時發出有效期超過兩年的酒牌。我相信這肯定不是單議員的原意，但實際上，他的修訂卻可產生這種不清晰的效果。</w:t>
      </w:r>
    </w:p>
    <w:p>
      <w:pPr>
        <w:pStyle w:val="F21"/>
        <w:spacing w:lineRule="atLeast" w:line="380"/>
        <w:rPr>
          <w:szCs w:val="27"/>
        </w:rPr>
      </w:pPr>
      <w:r>
        <w:rPr>
          <w:szCs w:val="27"/>
        </w:rPr>
      </w:r>
    </w:p>
    <w:p>
      <w:pPr>
        <w:pStyle w:val="F21"/>
        <w:spacing w:lineRule="atLeast" w:line="380"/>
        <w:rPr>
          <w:szCs w:val="27"/>
        </w:rPr>
      </w:pPr>
      <w:r>
        <w:rPr>
          <w:szCs w:val="27"/>
        </w:rPr>
        <w:tab/>
      </w:r>
      <w:r>
        <w:rPr>
          <w:szCs w:val="27"/>
        </w:rPr>
        <w:t>其次，如果按照酒牌局的指引辦事，只要有市民提出反對或負面評語，酒牌局便有機會否決兩年期牌照的申請。但是，根據民主黨單仲偕議員的修訂，如果酒牌局信納領有牌照處所並無對附近居民造成不合理的滋擾，例如申請人能夠證明酒牌處所雖然對附近居民造成滋擾，但情況未達到不合理的程度，則酒牌局仍然可以發出有效期為兩年或更長的牌照，即使有市民提出反對或負面評語，也不例外。如此修訂就是會產生這種效果。所以，民主黨單仲偕議員的修訂表面看來較指引更為嚴謹，但就條文的實質法律效果而言，我們認為會削弱對市民和當地居民的保障。</w:t>
      </w:r>
    </w:p>
    <w:p>
      <w:pPr>
        <w:pStyle w:val="F21"/>
        <w:spacing w:lineRule="atLeast" w:line="380"/>
        <w:rPr>
          <w:szCs w:val="27"/>
        </w:rPr>
      </w:pPr>
      <w:r>
        <w:rPr>
          <w:szCs w:val="27"/>
        </w:rPr>
      </w:r>
    </w:p>
    <w:p>
      <w:pPr>
        <w:pStyle w:val="F21"/>
        <w:spacing w:lineRule="atLeast" w:line="380"/>
        <w:rPr>
          <w:szCs w:val="27"/>
        </w:rPr>
      </w:pPr>
      <w:r>
        <w:rPr>
          <w:szCs w:val="27"/>
        </w:rPr>
        <w:tab/>
      </w:r>
      <w:r>
        <w:rPr>
          <w:szCs w:val="27"/>
        </w:rPr>
        <w:t>此外，剛才有數位議員就此事發言，其中陳家洛議員發言時，用了</w:t>
      </w:r>
      <w:r>
        <w:rPr>
          <w:szCs w:val="27"/>
        </w:rPr>
        <w:t>3</w:t>
      </w:r>
      <w:r>
        <w:rPr>
          <w:szCs w:val="27"/>
        </w:rPr>
        <w:t>分鐘談論區議員的民粹主張及飲食業營運的困難，這點我沒甚麼興趣再作探討，因為這是觀點與角度的問題，反而單仲偕議員在發言中提及中西區、油尖旺區的居民十分關注這些問題，這點我覺得有需要闡述一些觀點。</w:t>
      </w:r>
    </w:p>
    <w:p>
      <w:pPr>
        <w:pStyle w:val="F21"/>
        <w:spacing w:lineRule="atLeast" w:line="380"/>
        <w:rPr>
          <w:szCs w:val="27"/>
        </w:rPr>
      </w:pPr>
      <w:r>
        <w:rPr>
          <w:szCs w:val="27"/>
        </w:rPr>
      </w:r>
    </w:p>
    <w:p>
      <w:pPr>
        <w:pStyle w:val="F21"/>
        <w:spacing w:lineRule="atLeast" w:line="380"/>
        <w:rPr>
          <w:szCs w:val="27"/>
        </w:rPr>
      </w:pPr>
      <w:r>
        <w:rPr>
          <w:szCs w:val="27"/>
        </w:rPr>
        <w:tab/>
      </w:r>
      <w:r>
        <w:rPr>
          <w:szCs w:val="27"/>
        </w:rPr>
        <w:t>在剛過去的星期四，即</w:t>
      </w:r>
      <w:r>
        <w:rPr>
          <w:szCs w:val="27"/>
        </w:rPr>
        <w:t>3</w:t>
      </w:r>
      <w:r>
        <w:rPr>
          <w:szCs w:val="27"/>
        </w:rPr>
        <w:t>月</w:t>
      </w:r>
      <w:r>
        <w:rPr>
          <w:szCs w:val="27"/>
        </w:rPr>
        <w:t>19</w:t>
      </w:r>
      <w:r>
        <w:rPr>
          <w:szCs w:val="27"/>
        </w:rPr>
        <w:t>日，中西區區議會通過了由民建聯區議員提出的一項修正案，內容是</w:t>
      </w:r>
      <w:r>
        <w:rPr>
          <w:szCs w:val="27"/>
        </w:rPr>
        <w:t>(</w:t>
      </w:r>
      <w:r>
        <w:rPr>
          <w:szCs w:val="27"/>
        </w:rPr>
        <w:t>我引述</w:t>
      </w:r>
      <w:r>
        <w:rPr>
          <w:szCs w:val="27"/>
        </w:rPr>
        <w:t>)</w:t>
      </w:r>
      <w:r>
        <w:rPr>
          <w:szCs w:val="27"/>
        </w:rPr>
        <w:t>：“本會認為在政府未能有效解決酒牌處所滋擾民居的問題前，不應在《</w:t>
      </w:r>
      <w:r>
        <w:rPr>
          <w:szCs w:val="27"/>
        </w:rPr>
        <w:t>2015</w:t>
      </w:r>
      <w:r>
        <w:rPr>
          <w:szCs w:val="27"/>
        </w:rPr>
        <w:t>年應課稅品</w:t>
      </w:r>
      <w:r>
        <w:rPr>
          <w:szCs w:val="27"/>
        </w:rPr>
        <w:t>(</w:t>
      </w:r>
      <w:r>
        <w:rPr>
          <w:szCs w:val="27"/>
        </w:rPr>
        <w:t>酒類</w:t>
      </w:r>
      <w:r>
        <w:rPr>
          <w:szCs w:val="27"/>
        </w:rPr>
        <w:t>)(</w:t>
      </w:r>
      <w:r>
        <w:rPr>
          <w:szCs w:val="27"/>
        </w:rPr>
        <w:t>修訂</w:t>
      </w:r>
      <w:r>
        <w:rPr>
          <w:szCs w:val="27"/>
        </w:rPr>
        <w:t>)</w:t>
      </w:r>
      <w:r>
        <w:rPr>
          <w:szCs w:val="27"/>
        </w:rPr>
        <w:t>規例》中，建議將酒牌處所的牌照有效期由</w:t>
      </w:r>
      <w:r>
        <w:rPr>
          <w:szCs w:val="27"/>
        </w:rPr>
        <w:t>1</w:t>
      </w:r>
      <w:r>
        <w:rPr>
          <w:szCs w:val="27"/>
        </w:rPr>
        <w:t>年延長至最長兩年。本會要求政府立即全面檢討酒牌發牌條例，並加強監管條例執行情況，及優化現有上訴機制。”</w:t>
      </w:r>
      <w:r>
        <w:rPr>
          <w:szCs w:val="27"/>
        </w:rPr>
        <w:t>(</w:t>
      </w:r>
      <w:r>
        <w:rPr>
          <w:szCs w:val="27"/>
        </w:rPr>
        <w:t>引述完畢</w:t>
      </w:r>
      <w:r>
        <w:rPr>
          <w:szCs w:val="27"/>
        </w:rPr>
        <w:t>)</w:t>
      </w:r>
      <w:r>
        <w:rPr>
          <w:szCs w:val="27"/>
        </w:rPr>
        <w:t>這項修正案得到民主黨中西區區議員投票支持通過。由此可見，單仲偕議員的修訂其實與中西區區議會通過的修正案內容並不相符，而且有非常大的出入。為此，民建聯反對民主黨單仲偕議員提出的修訂。</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我謹此陳辭。</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szCs w:val="27"/>
        </w:rPr>
      </w:pPr>
      <w:r>
        <w:rPr>
          <w:rFonts w:ascii="華康中黑體" w:hAnsi="華康中黑體" w:cs="華康中黑體" w:eastAsia="華康中黑體"/>
          <w:b/>
          <w:szCs w:val="27"/>
        </w:rPr>
        <w:t>黃碧雲議員</w:t>
      </w:r>
      <w:r>
        <w:rPr>
          <w:szCs w:val="27"/>
        </w:rPr>
        <w:t>：代理主席，酒吧或新興的樓上酒吧，遍布全港</w:t>
      </w:r>
      <w:r>
        <w:rPr>
          <w:szCs w:val="27"/>
        </w:rPr>
        <w:t>18</w:t>
      </w:r>
      <w:r>
        <w:rPr>
          <w:szCs w:val="27"/>
        </w:rPr>
        <w:t>區，滋擾集中在中西區和我的選區，即九龍西的油尖旺。我希望葉國謙議員稍後不要離開，因為我要回答他的疑問，他的理解是錯誤的。</w:t>
      </w:r>
    </w:p>
    <w:p>
      <w:pPr>
        <w:pStyle w:val="F21"/>
        <w:spacing w:lineRule="atLeast" w:line="380"/>
        <w:rPr>
          <w:szCs w:val="27"/>
        </w:rPr>
      </w:pPr>
      <w:r>
        <w:rPr>
          <w:szCs w:val="27"/>
        </w:rPr>
      </w:r>
    </w:p>
    <w:p>
      <w:pPr>
        <w:pStyle w:val="F21"/>
        <w:spacing w:lineRule="atLeast" w:line="380"/>
        <w:rPr>
          <w:szCs w:val="27"/>
        </w:rPr>
      </w:pPr>
      <w:r>
        <w:rPr>
          <w:szCs w:val="27"/>
        </w:rPr>
        <w:tab/>
      </w:r>
      <w:r>
        <w:rPr>
          <w:szCs w:val="27"/>
        </w:rPr>
        <w:t>現時酒牌處所對地區居民的滋擾非常嚴重，滋擾集中於中西區、太子、油尖旺、九龍城等，而現行針對酒牌處所滋擾問題的投訴制度，其實是失效的，我稍後會就此舉證。所有居民的投訴，現時都是由非專職處理酒牌問題的警務處負責，但警務處根據法例，無權處理處所內的噪音投訴，而對街鋪門外的喧嘩吵鬧，他們也無法處理，通常只是勸諭了事。在投訴機制無效的情況下，仍然受到滋擾的居民惟有在有問題的酒牌處所每年向酒牌局申請續牌時作出申訴，這是他們唯一的申訴渠道。如果根據政府的做法，將酒牌有效期由</w:t>
      </w:r>
      <w:r>
        <w:rPr>
          <w:szCs w:val="27"/>
        </w:rPr>
        <w:t>1</w:t>
      </w:r>
      <w:r>
        <w:rPr>
          <w:szCs w:val="27"/>
        </w:rPr>
        <w:t>年延長至兩年，其實是抹煞了市民到酒牌局作出申訴的機會，要他們忍受多</w:t>
      </w:r>
      <w:r>
        <w:rPr>
          <w:szCs w:val="27"/>
        </w:rPr>
        <w:t>1</w:t>
      </w:r>
      <w:r>
        <w:rPr>
          <w:szCs w:val="27"/>
        </w:rPr>
        <w:t>年，即忍受兩年，最終只會降低酒牌處所對社區滋擾問題的警惕。</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szCs w:val="27"/>
        </w:rPr>
        <w:t>(</w:t>
      </w:r>
      <w:r>
        <w:rPr>
          <w:szCs w:val="27"/>
        </w:rPr>
        <w:t>主席恢復主持會議</w:t>
      </w:r>
      <w:r>
        <w:rPr>
          <w:szCs w:val="27"/>
        </w:rPr>
        <w:t>)</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szCs w:val="27"/>
        </w:rPr>
        <w:tab/>
      </w:r>
      <w:r>
        <w:rPr>
          <w:szCs w:val="27"/>
        </w:rPr>
        <w:t>雖然政府表示會在其建議中加入中期檢討機制，在進行中期檢討時，如果沒有針對酒牌處所的任何執法行動或證明屬實的投訴的紀錄，有關酒牌處所便會視為通過中期檢討，但民主黨認為，現時的續牌標準其實非常寬鬆，對酒牌處所的監管基本上沒有甚麼力度。事實上，絕大部分的情況是，地區居民雖然受到酒牌處所嚴重的噪音及衞生問題滋擾，但警方收到投訴前往現場後，通常稍作勸諭便了事，往往無權執法，例如顧客聚集在酒吧外喧嘩，警員根本無法可執。</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們預期，有大量嚴重滋擾居民的酒牌處所，在新例下會順利通過中期檢討，而居民則要繼續忍受滋擾兩年，待該等酒牌處所兩年後申請續牌時，才可以再提出申訴。所以，建議的修訂規例並無引入有效的機制來平衡附近居民的利益。這是整個制度的一個缺失。</w:t>
      </w:r>
    </w:p>
    <w:p>
      <w:pPr>
        <w:pStyle w:val="F21"/>
        <w:rPr>
          <w:szCs w:val="27"/>
        </w:rPr>
      </w:pPr>
      <w:r>
        <w:rPr>
          <w:szCs w:val="27"/>
        </w:rPr>
      </w:r>
    </w:p>
    <w:p>
      <w:pPr>
        <w:pStyle w:val="F21"/>
        <w:rPr>
          <w:szCs w:val="27"/>
        </w:rPr>
      </w:pPr>
      <w:r>
        <w:rPr>
          <w:szCs w:val="27"/>
        </w:rPr>
        <w:tab/>
      </w:r>
      <w:r>
        <w:rPr>
          <w:szCs w:val="27"/>
        </w:rPr>
        <w:t>單仲偕議員代表民主黨提出了</w:t>
      </w:r>
      <w:r>
        <w:rPr>
          <w:szCs w:val="27"/>
        </w:rPr>
        <w:t>1</w:t>
      </w:r>
      <w:r>
        <w:rPr>
          <w:szCs w:val="27"/>
        </w:rPr>
        <w:t>項修訂，而我原本亦打算提出</w:t>
      </w:r>
      <w:r>
        <w:rPr>
          <w:szCs w:val="27"/>
        </w:rPr>
        <w:t>3</w:t>
      </w:r>
      <w:r>
        <w:rPr>
          <w:szCs w:val="27"/>
        </w:rPr>
        <w:t>項修訂，但很可惜，主席不批准我提出該等修訂。單仲偕議員現時提出的修訂，旨在對紀錄上有問題的酒牌處所作出一些限制。我們無意影響一些普通、紀錄良好的酒牌處所，阻止其牌照有效期延長至兩年，但問題是這項條文無法協助我們平衡公眾的利益。我們現在是想將局方現行一些無法律效力的指引加入有關的法律條文中，令那些有問題的酒牌處所的牌照有效期不會那麼容易便自動、寬鬆地延長至兩年。</w:t>
      </w:r>
    </w:p>
    <w:p>
      <w:pPr>
        <w:pStyle w:val="F21"/>
        <w:rPr>
          <w:szCs w:val="27"/>
        </w:rPr>
      </w:pPr>
      <w:r>
        <w:rPr>
          <w:szCs w:val="27"/>
        </w:rPr>
        <w:tab/>
      </w:r>
    </w:p>
    <w:p>
      <w:pPr>
        <w:pStyle w:val="F21"/>
        <w:rPr>
          <w:szCs w:val="27"/>
        </w:rPr>
      </w:pPr>
      <w:r>
        <w:rPr>
          <w:szCs w:val="27"/>
        </w:rPr>
        <w:tab/>
      </w:r>
      <w:r>
        <w:rPr>
          <w:szCs w:val="27"/>
        </w:rPr>
        <w:t>我想回應剛才葉國謙議員的發言，他的理解令我很失望。他作為多年資深的立法會議員、民建聯的議員，竟然連修訂條文都還未了解清楚便胡亂發言。葉國謙議員表示，他十分關注單仲偕議員的修訂會否令那些有問題的酒牌處所的牌照有效期不單延長至兩年，甚至延長至</w:t>
      </w:r>
      <w:r>
        <w:rPr>
          <w:szCs w:val="27"/>
        </w:rPr>
        <w:t>3</w:t>
      </w:r>
      <w:r>
        <w:rPr>
          <w:szCs w:val="27"/>
        </w:rPr>
        <w:t>年、</w:t>
      </w:r>
      <w:r>
        <w:rPr>
          <w:szCs w:val="27"/>
        </w:rPr>
        <w:t>4</w:t>
      </w:r>
      <w:r>
        <w:rPr>
          <w:szCs w:val="27"/>
        </w:rPr>
        <w:t>年，並質疑這會否更傷害公眾利益。</w:t>
      </w:r>
    </w:p>
    <w:p>
      <w:pPr>
        <w:pStyle w:val="F21"/>
        <w:rPr>
          <w:szCs w:val="27"/>
        </w:rPr>
      </w:pPr>
      <w:r>
        <w:rPr>
          <w:szCs w:val="27"/>
        </w:rPr>
      </w:r>
    </w:p>
    <w:p>
      <w:pPr>
        <w:pStyle w:val="F21"/>
        <w:rPr>
          <w:szCs w:val="27"/>
        </w:rPr>
      </w:pPr>
      <w:r>
        <w:rPr>
          <w:szCs w:val="27"/>
        </w:rPr>
        <w:tab/>
      </w:r>
      <w:r>
        <w:rPr>
          <w:szCs w:val="27"/>
        </w:rPr>
        <w:t>我請葉議員看清楚單仲偕議員提出的修訂，當中清楚訂明廢除第</w:t>
      </w:r>
      <w:r>
        <w:rPr>
          <w:szCs w:val="27"/>
        </w:rPr>
        <w:t>(4)</w:t>
      </w:r>
      <w:r>
        <w:rPr>
          <w:szCs w:val="27"/>
        </w:rPr>
        <w:t>款，即原來的條文，代以“</w:t>
      </w:r>
      <w:r>
        <w:rPr>
          <w:szCs w:val="27"/>
        </w:rPr>
        <w:t>(4)</w:t>
      </w:r>
      <w:r>
        <w:rPr>
          <w:szCs w:val="27"/>
        </w:rPr>
        <w:t>在將酒牌續期前，酒牌局除非信納以下事項，否則酒牌局不得批出有效期多於</w:t>
      </w:r>
      <w:r>
        <w:rPr>
          <w:szCs w:val="27"/>
        </w:rPr>
        <w:t>1</w:t>
      </w:r>
      <w:r>
        <w:rPr>
          <w:szCs w:val="27"/>
        </w:rPr>
        <w:t>年的酒牌”。所以他剛才所述的理解是完全錯誤的。</w:t>
      </w:r>
    </w:p>
    <w:p>
      <w:pPr>
        <w:pStyle w:val="F21"/>
        <w:rPr>
          <w:szCs w:val="27"/>
        </w:rPr>
      </w:pPr>
      <w:r>
        <w:rPr>
          <w:szCs w:val="27"/>
        </w:rPr>
      </w:r>
    </w:p>
    <w:p>
      <w:pPr>
        <w:pStyle w:val="F21"/>
        <w:rPr>
          <w:szCs w:val="27"/>
        </w:rPr>
      </w:pPr>
      <w:r>
        <w:rPr>
          <w:szCs w:val="27"/>
        </w:rPr>
        <w:tab/>
      </w:r>
      <w:r>
        <w:rPr>
          <w:szCs w:val="27"/>
        </w:rPr>
        <w:t>單仲偕議員的修訂是，除非達到有關的兩項條件，否則不可以批出有效期多於</w:t>
      </w:r>
      <w:r>
        <w:rPr>
          <w:szCs w:val="27"/>
        </w:rPr>
        <w:t>1</w:t>
      </w:r>
      <w:r>
        <w:rPr>
          <w:szCs w:val="27"/>
        </w:rPr>
        <w:t>年的酒牌。葉國謙議員剛才說他擔心有關修訂會導致有效期多於</w:t>
      </w:r>
      <w:r>
        <w:rPr>
          <w:szCs w:val="27"/>
        </w:rPr>
        <w:t>1</w:t>
      </w:r>
      <w:r>
        <w:rPr>
          <w:szCs w:val="27"/>
        </w:rPr>
        <w:t>年，故此表示反對。我不知道他是否慣於支持政府，凡是泛民提出的建議，他都要反對。其實，單仲偕議員說的是，有問題的酒牌處所，其牌照有效期一定不可以多於</w:t>
      </w:r>
      <w:r>
        <w:rPr>
          <w:szCs w:val="27"/>
        </w:rPr>
        <w:t>1</w:t>
      </w:r>
      <w:r>
        <w:rPr>
          <w:szCs w:val="27"/>
        </w:rPr>
        <w:t>年，並在其修訂中說明在甚麼情況下不可以批出有效期多於</w:t>
      </w:r>
      <w:r>
        <w:rPr>
          <w:szCs w:val="27"/>
        </w:rPr>
        <w:t>1</w:t>
      </w:r>
      <w:r>
        <w:rPr>
          <w:szCs w:val="27"/>
        </w:rPr>
        <w:t xml:space="preserve">年的酒牌。單仲偕議員提出在有關條文中加入：“政府當局或酒牌局沒有任何關於該處所或持牌人證明屬實的投訴” </w:t>
      </w:r>
      <w:r>
        <w:rPr>
          <w:rFonts w:ascii="Symbol" w:hAnsi="Symbol" w:cs="Symbol" w:eastAsia="Symbol"/>
          <w:szCs w:val="27"/>
        </w:rPr>
        <w:t></w:t>
      </w:r>
      <w:r>
        <w:rPr>
          <w:szCs w:val="27"/>
        </w:rPr>
        <w:t xml:space="preserve"> 即沒有</w:t>
      </w:r>
      <w:r>
        <w:rPr>
          <w:szCs w:val="27"/>
        </w:rPr>
        <w:t xml:space="preserve">substantiated complaint </w:t>
      </w:r>
      <w:r>
        <w:rPr>
          <w:rFonts w:eastAsia="Symbol" w:cs="Symbol" w:ascii="Symbol" w:hAnsi="Symbol"/>
          <w:szCs w:val="27"/>
        </w:rPr>
        <w:t></w:t>
      </w:r>
      <w:r>
        <w:rPr>
          <w:szCs w:val="27"/>
        </w:rPr>
        <w:t xml:space="preserve"> “</w:t>
      </w:r>
      <w:r>
        <w:rPr>
          <w:szCs w:val="27"/>
        </w:rPr>
        <w:t>或對該處所或持牌人採取執法行動的記錄”。何謂執法行動？就是檢控。“及沒有收到公眾人士就其牌照續期申請公告提出反對或負面評語”。何謂提出反對或負面評語？酒牌局表示，口頭警告、書面警告及檢控均屬不良紀錄。所以，只有當證實過去兩年沒有出現這些情況，才可以續牌多於</w:t>
      </w:r>
      <w:r>
        <w:rPr>
          <w:szCs w:val="27"/>
        </w:rPr>
        <w:t>1</w:t>
      </w:r>
      <w:r>
        <w:rPr>
          <w:szCs w:val="27"/>
        </w:rPr>
        <w:t>年，即獲發兩年期的酒牌，亦不存在有效期延長至</w:t>
      </w:r>
      <w:r>
        <w:rPr>
          <w:szCs w:val="27"/>
        </w:rPr>
        <w:t>3</w:t>
      </w:r>
      <w:r>
        <w:rPr>
          <w:szCs w:val="27"/>
        </w:rPr>
        <w:t>年、</w:t>
      </w:r>
      <w:r>
        <w:rPr>
          <w:szCs w:val="27"/>
        </w:rPr>
        <w:t>4</w:t>
      </w:r>
      <w:r>
        <w:rPr>
          <w:szCs w:val="27"/>
        </w:rPr>
        <w:t>年的事。此外，單仲偕議員建議加入</w:t>
      </w:r>
      <w:r>
        <w:rPr>
          <w:szCs w:val="27"/>
        </w:rPr>
        <w:t>(b)</w:t>
      </w:r>
      <w:r>
        <w:rPr>
          <w:szCs w:val="27"/>
        </w:rPr>
        <w:t>項：“領有牌照處所並無對附近的居民造成不合理的滋擾。”他建議將上述兩點並排，納入現時的修訂規例內。</w:t>
      </w:r>
      <w:r>
        <w:br w:type="page"/>
      </w:r>
    </w:p>
    <w:p>
      <w:pPr>
        <w:pStyle w:val="F21"/>
        <w:spacing w:lineRule="atLeast" w:line="350"/>
        <w:rPr>
          <w:szCs w:val="27"/>
        </w:rPr>
      </w:pPr>
      <w:r>
        <w:rPr>
          <w:szCs w:val="27"/>
        </w:rPr>
        <w:tab/>
      </w:r>
      <w:r>
        <w:rPr>
          <w:szCs w:val="27"/>
        </w:rPr>
        <w:t>我不明白為何葉國謙議員剛才突然在理解上失準，我希望他的魂魄回來，看清楚條文。我們和他的觀點應該是一致的。剛才他提到中西區區議會在</w:t>
      </w:r>
      <w:r>
        <w:rPr>
          <w:szCs w:val="27"/>
        </w:rPr>
        <w:t>3</w:t>
      </w:r>
      <w:r>
        <w:rPr>
          <w:szCs w:val="27"/>
        </w:rPr>
        <w:t>月</w:t>
      </w:r>
      <w:r>
        <w:rPr>
          <w:szCs w:val="27"/>
        </w:rPr>
        <w:t>19</w:t>
      </w:r>
      <w:r>
        <w:rPr>
          <w:szCs w:val="27"/>
        </w:rPr>
        <w:t>日</w:t>
      </w:r>
      <w:r>
        <w:rPr>
          <w:szCs w:val="27"/>
        </w:rPr>
        <w:t>(</w:t>
      </w:r>
      <w:r>
        <w:rPr>
          <w:szCs w:val="27"/>
        </w:rPr>
        <w:t>上星期四</w:t>
      </w:r>
      <w:r>
        <w:rPr>
          <w:szCs w:val="27"/>
        </w:rPr>
        <w:t>)</w:t>
      </w:r>
      <w:r>
        <w:rPr>
          <w:szCs w:val="27"/>
        </w:rPr>
        <w:t>曾經開會，而民主黨的區議員，包括中西區區議員許智峯議員、鄭麗琼議員及黃堅成議員，在該次會議上提出一項議案，內容是“就政府修訂《</w:t>
      </w:r>
      <w:r>
        <w:rPr>
          <w:szCs w:val="27"/>
        </w:rPr>
        <w:t>2015</w:t>
      </w:r>
      <w:r>
        <w:rPr>
          <w:szCs w:val="27"/>
        </w:rPr>
        <w:t>年應課稅品</w:t>
      </w:r>
      <w:r>
        <w:rPr>
          <w:szCs w:val="27"/>
        </w:rPr>
        <w:t>(</w:t>
      </w:r>
      <w:r>
        <w:rPr>
          <w:szCs w:val="27"/>
        </w:rPr>
        <w:t>酒類</w:t>
      </w:r>
      <w:r>
        <w:rPr>
          <w:szCs w:val="27"/>
        </w:rPr>
        <w:t>)(</w:t>
      </w:r>
      <w:r>
        <w:rPr>
          <w:szCs w:val="27"/>
        </w:rPr>
        <w:t>修訂</w:t>
      </w:r>
      <w:r>
        <w:rPr>
          <w:szCs w:val="27"/>
        </w:rPr>
        <w:t>)</w:t>
      </w:r>
      <w:r>
        <w:rPr>
          <w:szCs w:val="27"/>
        </w:rPr>
        <w:t>規例》，將酒牌處所的牌照有效期由</w:t>
      </w:r>
      <w:r>
        <w:rPr>
          <w:szCs w:val="27"/>
        </w:rPr>
        <w:t>1</w:t>
      </w:r>
      <w:r>
        <w:rPr>
          <w:szCs w:val="27"/>
        </w:rPr>
        <w:t>年延長至最長兩年，本會謹提出反對，並促請政府提出修例，解決酒牌處所滋擾民居的問題。”然而，民建聯的區議員，包括</w:t>
      </w:r>
      <w:r>
        <w:rPr>
          <w:rFonts w:ascii="華康細明體" w:hAnsi="華康細明體" w:cs="華康細明體"/>
          <w:szCs w:val="27"/>
        </w:rPr>
        <w:t>葉國謙議員</w:t>
      </w:r>
      <w:r>
        <w:rPr>
          <w:szCs w:val="27"/>
        </w:rPr>
        <w:t>、蕭嘉怡議員、張國鈞議員、陳學鋒議員及盧懿杏議員，卻就民主黨區議員許智峯議員的原議案提出修正案，但其精神其實與原議案是一致的，所以許智峯議員都有支持民建聯區議員提出的修正案。</w:t>
      </w:r>
    </w:p>
    <w:p>
      <w:pPr>
        <w:pStyle w:val="F21"/>
        <w:spacing w:lineRule="atLeast" w:line="350"/>
        <w:rPr>
          <w:szCs w:val="27"/>
        </w:rPr>
      </w:pPr>
      <w:r>
        <w:rPr>
          <w:szCs w:val="27"/>
        </w:rPr>
      </w:r>
    </w:p>
    <w:p>
      <w:pPr>
        <w:pStyle w:val="F21"/>
        <w:spacing w:lineRule="atLeast" w:line="350"/>
        <w:rPr>
          <w:szCs w:val="27"/>
        </w:rPr>
      </w:pPr>
      <w:r>
        <w:rPr>
          <w:szCs w:val="27"/>
        </w:rPr>
        <w:tab/>
      </w:r>
      <w:r>
        <w:rPr>
          <w:szCs w:val="27"/>
        </w:rPr>
        <w:t>至於剛才所述，民建聯的區議員在該次區議會會議上提出的修正案，其內容是：“本會認為在政府未能有效解決酒牌處所滋擾民居的問題前，不應在《</w:t>
      </w:r>
      <w:r>
        <w:rPr>
          <w:szCs w:val="27"/>
        </w:rPr>
        <w:t>2015</w:t>
      </w:r>
      <w:r>
        <w:rPr>
          <w:szCs w:val="27"/>
        </w:rPr>
        <w:t>年應課稅品</w:t>
      </w:r>
      <w:r>
        <w:rPr>
          <w:szCs w:val="27"/>
        </w:rPr>
        <w:t>(</w:t>
      </w:r>
      <w:r>
        <w:rPr>
          <w:szCs w:val="27"/>
        </w:rPr>
        <w:t>酒類</w:t>
      </w:r>
      <w:r>
        <w:rPr>
          <w:szCs w:val="27"/>
        </w:rPr>
        <w:t>)(</w:t>
      </w:r>
      <w:r>
        <w:rPr>
          <w:szCs w:val="27"/>
        </w:rPr>
        <w:t>修訂</w:t>
      </w:r>
      <w:r>
        <w:rPr>
          <w:szCs w:val="27"/>
        </w:rPr>
        <w:t>)</w:t>
      </w:r>
      <w:r>
        <w:rPr>
          <w:szCs w:val="27"/>
        </w:rPr>
        <w:t>規例》中，建議將酒牌處所的牌照有效期由</w:t>
      </w:r>
      <w:r>
        <w:rPr>
          <w:szCs w:val="27"/>
        </w:rPr>
        <w:t>1</w:t>
      </w:r>
      <w:r>
        <w:rPr>
          <w:szCs w:val="27"/>
        </w:rPr>
        <w:t>年延長至最長兩年。本會要求政府立即全面檢討酒牌發牌條例，並加強監管條例執行情況，及優化現有上訴機制。”由於民建聯的區議員，包括</w:t>
      </w:r>
      <w:r>
        <w:rPr>
          <w:rFonts w:ascii="華康細明體" w:hAnsi="華康細明體" w:cs="華康細明體"/>
          <w:szCs w:val="27"/>
        </w:rPr>
        <w:t>葉國謙議員</w:t>
      </w:r>
      <w:r>
        <w:rPr>
          <w:szCs w:val="27"/>
        </w:rPr>
        <w:t>，當時提出的修正案沒有違反民主黨區議員許智峯議員提出的原議案，所以民主黨當然是以事論事，亦有支持民建聯的修正案。</w:t>
      </w:r>
    </w:p>
    <w:p>
      <w:pPr>
        <w:pStyle w:val="F21"/>
        <w:spacing w:lineRule="atLeast" w:line="350"/>
        <w:rPr>
          <w:szCs w:val="27"/>
        </w:rPr>
      </w:pPr>
      <w:r>
        <w:rPr>
          <w:szCs w:val="27"/>
        </w:rPr>
      </w:r>
    </w:p>
    <w:p>
      <w:pPr>
        <w:pStyle w:val="F21"/>
        <w:spacing w:lineRule="atLeast" w:line="350"/>
        <w:rPr>
          <w:szCs w:val="27"/>
        </w:rPr>
      </w:pPr>
      <w:r>
        <w:rPr>
          <w:szCs w:val="27"/>
        </w:rPr>
        <w:tab/>
      </w:r>
      <w:r>
        <w:rPr>
          <w:szCs w:val="27"/>
        </w:rPr>
        <w:t>最近，民建聯的中西區區議員已印發海報，在街上四處張貼，說不應將酒牌處所牌照有效期由</w:t>
      </w:r>
      <w:r>
        <w:rPr>
          <w:szCs w:val="27"/>
        </w:rPr>
        <w:t>1</w:t>
      </w:r>
      <w:r>
        <w:rPr>
          <w:szCs w:val="27"/>
        </w:rPr>
        <w:t>年延長至兩年。我剛剛下載了這張海報，請大家看看，這是民建聯的海報。我想問民建聯是否打算</w:t>
      </w:r>
      <w:r>
        <w:rPr>
          <w:szCs w:val="27"/>
        </w:rPr>
        <w:t>......</w:t>
      </w:r>
      <w:r>
        <w:rPr>
          <w:rFonts w:ascii="華康細明體" w:hAnsi="華康細明體" w:cs="華康細明體"/>
          <w:szCs w:val="27"/>
        </w:rPr>
        <w:t>葉國謙議員</w:t>
      </w:r>
      <w:r>
        <w:rPr>
          <w:szCs w:val="27"/>
        </w:rPr>
        <w:t>剛才基於誤解而表示不支持單仲偕</w:t>
      </w:r>
      <w:r>
        <w:rPr>
          <w:rFonts w:ascii="華康細明體" w:hAnsi="華康細明體" w:cs="華康細明體"/>
          <w:szCs w:val="27"/>
        </w:rPr>
        <w:t>議員</w:t>
      </w:r>
      <w:r>
        <w:rPr>
          <w:szCs w:val="27"/>
        </w:rPr>
        <w:t>，我希望他現在基於正確的了解，回頭是岸，支持單仲偕</w:t>
      </w:r>
      <w:r>
        <w:rPr>
          <w:rFonts w:ascii="華康細明體" w:hAnsi="華康細明體" w:cs="華康細明體"/>
          <w:szCs w:val="27"/>
        </w:rPr>
        <w:t>議員</w:t>
      </w:r>
      <w:r>
        <w:rPr>
          <w:szCs w:val="27"/>
        </w:rPr>
        <w:t>，這樣才可以阻止這項規例通過。如果單仲偕</w:t>
      </w:r>
      <w:r>
        <w:rPr>
          <w:rFonts w:ascii="華康細明體" w:hAnsi="華康細明體" w:cs="華康細明體"/>
          <w:szCs w:val="27"/>
        </w:rPr>
        <w:t>議員</w:t>
      </w:r>
      <w:r>
        <w:rPr>
          <w:szCs w:val="27"/>
        </w:rPr>
        <w:t>的修訂不獲通過，便等於政府的修訂規例自動通過，換言之，即使未解決到有關問題，酒牌有效期亦會自動延長。因此，我很希望“</w:t>
      </w:r>
      <w:r>
        <w:rPr>
          <w:rFonts w:ascii="華康細明體" w:hAnsi="華康細明體" w:cs="華康細明體"/>
          <w:szCs w:val="27"/>
        </w:rPr>
        <w:t>謙叔</w:t>
      </w:r>
      <w:r>
        <w:rPr>
          <w:szCs w:val="27"/>
        </w:rPr>
        <w:t>”在他的魂魄回來之後，會知道單仲偕</w:t>
      </w:r>
      <w:r>
        <w:rPr>
          <w:rFonts w:ascii="華康細明體" w:hAnsi="華康細明體" w:cs="華康細明體"/>
          <w:szCs w:val="27"/>
        </w:rPr>
        <w:t>議員並沒有</w:t>
      </w:r>
      <w:r>
        <w:rPr>
          <w:szCs w:val="27"/>
        </w:rPr>
        <w:t>說要把酒牌有效期變為</w:t>
      </w:r>
      <w:r>
        <w:rPr>
          <w:szCs w:val="27"/>
        </w:rPr>
        <w:t>3</w:t>
      </w:r>
      <w:r>
        <w:rPr>
          <w:szCs w:val="27"/>
        </w:rPr>
        <w:t>年、</w:t>
      </w:r>
      <w:r>
        <w:rPr>
          <w:szCs w:val="27"/>
        </w:rPr>
        <w:t>4</w:t>
      </w:r>
      <w:r>
        <w:rPr>
          <w:szCs w:val="27"/>
        </w:rPr>
        <w:t>年、</w:t>
      </w:r>
      <w:r>
        <w:rPr>
          <w:szCs w:val="27"/>
        </w:rPr>
        <w:t>5</w:t>
      </w:r>
      <w:r>
        <w:rPr>
          <w:szCs w:val="27"/>
        </w:rPr>
        <w:t>年，絕對不是這樣。</w:t>
      </w:r>
    </w:p>
    <w:p>
      <w:pPr>
        <w:pStyle w:val="F21"/>
        <w:spacing w:lineRule="atLeast" w:line="350"/>
        <w:rPr>
          <w:szCs w:val="27"/>
        </w:rPr>
      </w:pPr>
      <w:r>
        <w:rPr>
          <w:szCs w:val="27"/>
        </w:rPr>
      </w:r>
    </w:p>
    <w:p>
      <w:pPr>
        <w:pStyle w:val="F21"/>
        <w:spacing w:lineRule="atLeast" w:line="350"/>
        <w:rPr>
          <w:szCs w:val="27"/>
        </w:rPr>
      </w:pPr>
      <w:r>
        <w:rPr>
          <w:szCs w:val="27"/>
        </w:rPr>
        <w:tab/>
      </w:r>
      <w:r>
        <w:rPr>
          <w:szCs w:val="27"/>
        </w:rPr>
        <w:t>主席，政府多次重申在發出酒牌或續期的時候，必會考慮公眾、地區居民及業界的利益，希望作出平衡。我真心誠意希望政府一直做好平衡的工作，但可惜事實並非如此。主席，在小組委員會會議上，我曾經要求政府提供數字，因為數字是不會說謊的。究竟政府有多留意地區居民的投訴，而在酒牌處所續牌時有否平衡各方利益呢？</w:t>
      </w:r>
    </w:p>
    <w:p>
      <w:pPr>
        <w:pStyle w:val="F21"/>
        <w:spacing w:lineRule="atLeast" w:line="350"/>
        <w:rPr>
          <w:szCs w:val="27"/>
        </w:rPr>
      </w:pPr>
      <w:r>
        <w:rPr>
          <w:szCs w:val="27"/>
        </w:rPr>
      </w:r>
    </w:p>
    <w:p>
      <w:pPr>
        <w:pStyle w:val="F21"/>
        <w:spacing w:lineRule="atLeast" w:line="350"/>
        <w:rPr>
          <w:szCs w:val="27"/>
        </w:rPr>
      </w:pPr>
      <w:r>
        <w:rPr>
          <w:szCs w:val="27"/>
        </w:rPr>
        <w:tab/>
      </w:r>
      <w:r>
        <w:rPr>
          <w:szCs w:val="27"/>
        </w:rPr>
        <w:t>主席，過去</w:t>
      </w:r>
      <w:r>
        <w:rPr>
          <w:szCs w:val="27"/>
        </w:rPr>
        <w:t>3</w:t>
      </w:r>
      <w:r>
        <w:rPr>
          <w:szCs w:val="27"/>
        </w:rPr>
        <w:t>年，有多少間酒牌處所有證明投訴屬實的紀錄並尋求續牌，即曾被人投訴且證明投訴屬實，而又想申請續牌的酒牌處所的數目為何？根據政府提供的數字，此等酒牌處所在</w:t>
      </w:r>
      <w:r>
        <w:rPr>
          <w:szCs w:val="27"/>
        </w:rPr>
        <w:t>2012</w:t>
      </w:r>
      <w:r>
        <w:rPr>
          <w:szCs w:val="27"/>
        </w:rPr>
        <w:t>年有</w:t>
      </w:r>
      <w:r>
        <w:rPr>
          <w:szCs w:val="27"/>
        </w:rPr>
        <w:t>281</w:t>
      </w:r>
      <w:r>
        <w:rPr>
          <w:szCs w:val="27"/>
        </w:rPr>
        <w:t>間，但在這</w:t>
      </w:r>
      <w:r>
        <w:rPr>
          <w:szCs w:val="27"/>
        </w:rPr>
        <w:t>281</w:t>
      </w:r>
      <w:r>
        <w:rPr>
          <w:szCs w:val="27"/>
        </w:rPr>
        <w:t>間當中，有沒有任何酒牌處所在申請續牌時被拒絕呢？</w:t>
      </w:r>
      <w:r>
        <w:rPr>
          <w:szCs w:val="27"/>
        </w:rPr>
        <w:t>2012</w:t>
      </w:r>
      <w:r>
        <w:rPr>
          <w:szCs w:val="27"/>
        </w:rPr>
        <w:t>年的數字顯示，在這</w:t>
      </w:r>
      <w:r>
        <w:rPr>
          <w:szCs w:val="27"/>
        </w:rPr>
        <w:t>281</w:t>
      </w:r>
      <w:r>
        <w:rPr>
          <w:szCs w:val="27"/>
        </w:rPr>
        <w:t>間當中，零間被拒絕。</w:t>
      </w:r>
      <w:r>
        <w:rPr>
          <w:szCs w:val="27"/>
        </w:rPr>
        <w:t>2013</w:t>
      </w:r>
      <w:r>
        <w:rPr>
          <w:szCs w:val="27"/>
        </w:rPr>
        <w:t>年，</w:t>
      </w:r>
      <w:r>
        <w:rPr>
          <w:szCs w:val="27"/>
        </w:rPr>
        <w:t>260</w:t>
      </w:r>
      <w:r>
        <w:rPr>
          <w:szCs w:val="27"/>
        </w:rPr>
        <w:t>間有證明投訴屬實紀錄的酒牌處所申請續牌，當中有多少間被拒絕呢？情況較好，有</w:t>
      </w:r>
      <w:r>
        <w:rPr>
          <w:szCs w:val="27"/>
        </w:rPr>
        <w:t>5</w:t>
      </w:r>
      <w:r>
        <w:rPr>
          <w:szCs w:val="27"/>
        </w:rPr>
        <w:t>間遭到拒絕。</w:t>
      </w:r>
      <w:r>
        <w:rPr>
          <w:szCs w:val="27"/>
        </w:rPr>
        <w:t>2014</w:t>
      </w:r>
      <w:r>
        <w:rPr>
          <w:szCs w:val="27"/>
        </w:rPr>
        <w:t>年，合共</w:t>
      </w:r>
      <w:r>
        <w:rPr>
          <w:szCs w:val="27"/>
        </w:rPr>
        <w:t>428</w:t>
      </w:r>
      <w:r>
        <w:rPr>
          <w:szCs w:val="27"/>
        </w:rPr>
        <w:t>間有證明投訴屬實紀錄的酒牌處所尋求續牌，而遭拒絕續牌的只有</w:t>
      </w:r>
      <w:r>
        <w:rPr>
          <w:szCs w:val="27"/>
        </w:rPr>
        <w:t>8</w:t>
      </w:r>
      <w:r>
        <w:rPr>
          <w:szCs w:val="27"/>
        </w:rPr>
        <w:t>間，多麼可憐。主席，如果說這些數字已顯示政府平衡了公眾利益，則除非大家是有眼無珠，否則我真的看不到這個判斷。根據</w:t>
      </w:r>
      <w:r>
        <w:rPr>
          <w:szCs w:val="27"/>
        </w:rPr>
        <w:t>2014</w:t>
      </w:r>
      <w:r>
        <w:rPr>
          <w:szCs w:val="27"/>
        </w:rPr>
        <w:t>年的數字，在</w:t>
      </w:r>
      <w:r>
        <w:rPr>
          <w:szCs w:val="27"/>
        </w:rPr>
        <w:t>428</w:t>
      </w:r>
      <w:r>
        <w:rPr>
          <w:szCs w:val="27"/>
        </w:rPr>
        <w:t>間有證明投訴屬實紀錄的酒牌處所當中，只有</w:t>
      </w:r>
      <w:r>
        <w:rPr>
          <w:szCs w:val="27"/>
        </w:rPr>
        <w:t>8</w:t>
      </w:r>
      <w:r>
        <w:rPr>
          <w:szCs w:val="27"/>
        </w:rPr>
        <w:t>間被拒絕續牌，而仍然獲得全期續牌</w:t>
      </w:r>
      <w:r>
        <w:rPr>
          <w:szCs w:val="27"/>
        </w:rPr>
        <w:t>(</w:t>
      </w:r>
      <w:r>
        <w:rPr>
          <w:szCs w:val="27"/>
        </w:rPr>
        <w:t>即</w:t>
      </w:r>
      <w:r>
        <w:rPr>
          <w:szCs w:val="27"/>
        </w:rPr>
        <w:t>1</w:t>
      </w:r>
      <w:r>
        <w:rPr>
          <w:szCs w:val="27"/>
        </w:rPr>
        <w:t>年</w:t>
      </w:r>
      <w:r>
        <w:rPr>
          <w:szCs w:val="27"/>
        </w:rPr>
        <w:t>)</w:t>
      </w:r>
      <w:r>
        <w:rPr>
          <w:szCs w:val="27"/>
        </w:rPr>
        <w:t>的共有</w:t>
      </w:r>
      <w:r>
        <w:rPr>
          <w:szCs w:val="27"/>
        </w:rPr>
        <w:t>357</w:t>
      </w:r>
      <w:r>
        <w:rPr>
          <w:szCs w:val="27"/>
        </w:rPr>
        <w:t>間，即佔</w:t>
      </w:r>
      <w:r>
        <w:rPr>
          <w:szCs w:val="27"/>
        </w:rPr>
        <w:t>66%</w:t>
      </w:r>
      <w:r>
        <w:rPr>
          <w:szCs w:val="27"/>
        </w:rPr>
        <w:t>，獲批</w:t>
      </w:r>
      <w:r>
        <w:rPr>
          <w:szCs w:val="27"/>
        </w:rPr>
        <w:t>1</w:t>
      </w:r>
      <w:r>
        <w:rPr>
          <w:szCs w:val="27"/>
        </w:rPr>
        <w:t>年期牌照而無須附加任何限制條件的則有</w:t>
      </w:r>
      <w:r>
        <w:rPr>
          <w:szCs w:val="27"/>
        </w:rPr>
        <w:t>236</w:t>
      </w:r>
      <w:r>
        <w:rPr>
          <w:szCs w:val="27"/>
        </w:rPr>
        <w:t>間。有</w:t>
      </w:r>
      <w:r>
        <w:rPr>
          <w:szCs w:val="27"/>
        </w:rPr>
        <w:t>357</w:t>
      </w:r>
      <w:r>
        <w:rPr>
          <w:szCs w:val="27"/>
        </w:rPr>
        <w:t>間可以續牌</w:t>
      </w:r>
      <w:r>
        <w:rPr>
          <w:szCs w:val="27"/>
        </w:rPr>
        <w:t>1</w:t>
      </w:r>
      <w:r>
        <w:rPr>
          <w:szCs w:val="27"/>
        </w:rPr>
        <w:t>年，當中有</w:t>
      </w:r>
      <w:r>
        <w:rPr>
          <w:szCs w:val="27"/>
        </w:rPr>
        <w:t>236</w:t>
      </w:r>
      <w:r>
        <w:rPr>
          <w:szCs w:val="27"/>
        </w:rPr>
        <w:t>間並無附加任何條件。有見及此，如果今天政府的修訂規例自動通過，又或</w:t>
      </w:r>
      <w:r>
        <w:rPr>
          <w:rFonts w:ascii="華康細明體" w:hAnsi="華康細明體" w:cs="華康細明體"/>
          <w:szCs w:val="27"/>
        </w:rPr>
        <w:t>不幸地葉國謙議員</w:t>
      </w:r>
      <w:r>
        <w:rPr>
          <w:szCs w:val="27"/>
        </w:rPr>
        <w:t>基於誤解而沒有支持單仲偕</w:t>
      </w:r>
      <w:r>
        <w:rPr>
          <w:rFonts w:ascii="華康細明體" w:hAnsi="華康細明體" w:cs="華康細明體"/>
          <w:szCs w:val="27"/>
        </w:rPr>
        <w:t>議員</w:t>
      </w:r>
      <w:r>
        <w:rPr>
          <w:szCs w:val="27"/>
        </w:rPr>
        <w:t>的修訂，我們可以想像酒牌局會漫不經心地做事。即使接獲投訴，仍照樣會批出酒牌。即使處所有不良紀錄，通常都會寬鬆處理。甚至更離譜的情況是，我們知道有警務人員在巡查被投訴的酒牌處所時涉及貪污，灣仔警隊有一整隊警員曾被問話並在法庭受審，當中有警員更被入罪。所以，如果酒牌局打開中門，為了方便營商而把酒牌有效期轉為兩年，但不收緊或不認真執行指引，則對不起，民主黨真的無法支持這種做法。</w:t>
      </w:r>
    </w:p>
    <w:p>
      <w:pPr>
        <w:pStyle w:val="F21"/>
        <w:rPr>
          <w:szCs w:val="27"/>
        </w:rPr>
      </w:pPr>
      <w:r>
        <w:rPr>
          <w:szCs w:val="27"/>
        </w:rPr>
      </w:r>
    </w:p>
    <w:p>
      <w:pPr>
        <w:pStyle w:val="F21"/>
        <w:rPr>
          <w:szCs w:val="27"/>
        </w:rPr>
      </w:pPr>
      <w:r>
        <w:rPr>
          <w:szCs w:val="27"/>
        </w:rPr>
        <w:tab/>
      </w:r>
      <w:r>
        <w:rPr>
          <w:szCs w:val="27"/>
        </w:rPr>
        <w:t>主席，我覺得我們必須嚴謹。我原本希望提出的修訂，旨在將現時已在運作的安排寫入條文內，包括要在酒牌處所的</w:t>
      </w:r>
      <w:r>
        <w:rPr>
          <w:szCs w:val="27"/>
        </w:rPr>
        <w:t>15</w:t>
      </w:r>
      <w:r>
        <w:rPr>
          <w:szCs w:val="27"/>
        </w:rPr>
        <w:t>米半徑範圍內張貼其有意續牌的通告，讓居民知悉，而如果有多於</w:t>
      </w:r>
      <w:r>
        <w:rPr>
          <w:szCs w:val="27"/>
        </w:rPr>
        <w:t>20</w:t>
      </w:r>
      <w:r>
        <w:rPr>
          <w:szCs w:val="27"/>
        </w:rPr>
        <w:t>名市民投訴，酒牌局應舉行聆訊。很可惜，主席令我無法提出這些修訂。其實，這些安排已在局部區域予以執行，我們只是希望作出進一步規範，令公眾利益和市民在地區的利益得到照顧。</w:t>
      </w:r>
    </w:p>
    <w:p>
      <w:pPr>
        <w:pStyle w:val="F21"/>
        <w:rPr>
          <w:szCs w:val="27"/>
        </w:rPr>
      </w:pPr>
      <w:r>
        <w:rPr>
          <w:szCs w:val="27"/>
        </w:rPr>
      </w:r>
    </w:p>
    <w:p>
      <w:pPr>
        <w:pStyle w:val="F21"/>
        <w:rPr>
          <w:szCs w:val="27"/>
        </w:rPr>
      </w:pPr>
      <w:r>
        <w:rPr>
          <w:szCs w:val="27"/>
        </w:rPr>
        <w:tab/>
      </w:r>
      <w:r>
        <w:rPr>
          <w:szCs w:val="27"/>
        </w:rPr>
        <w:t>主席，我在此再次呼籲民建聯及所有議會同事，支持民主黨單仲偕</w:t>
      </w:r>
      <w:r>
        <w:rPr>
          <w:rFonts w:ascii="華康細明體" w:hAnsi="華康細明體" w:cs="華康細明體"/>
          <w:szCs w:val="27"/>
        </w:rPr>
        <w:t>議員</w:t>
      </w:r>
      <w:r>
        <w:rPr>
          <w:szCs w:val="27"/>
        </w:rPr>
        <w:t>的修訂。</w:t>
      </w:r>
    </w:p>
    <w:p>
      <w:pPr>
        <w:pStyle w:val="F21"/>
        <w:rPr>
          <w:rFonts w:cs="Times New Roman"/>
        </w:rPr>
      </w:pPr>
      <w:r>
        <w:rPr>
          <w:rFonts w:cs="Times New Roman"/>
        </w:rPr>
      </w:r>
    </w:p>
    <w:p>
      <w:pPr>
        <w:pStyle w:val="F21"/>
        <w:tabs>
          <w:tab w:val="clear" w:pos="567"/>
        </w:tabs>
        <w:rPr>
          <w:rFonts w:eastAsia="華康中黑體"/>
          <w:b/>
          <w:b/>
        </w:rPr>
      </w:pPr>
      <w:r>
        <w:rPr>
          <w:rFonts w:eastAsia="華康中黑體"/>
          <w:b/>
        </w:rPr>
      </w:r>
    </w:p>
    <w:p>
      <w:pPr>
        <w:pStyle w:val="F21"/>
        <w:rPr/>
      </w:pPr>
      <w:r>
        <w:rPr>
          <w:rFonts w:eastAsia="華康中黑體"/>
          <w:b/>
        </w:rPr>
        <w:t>主席</w:t>
      </w:r>
      <w:r>
        <w:rPr/>
        <w:t>：是否有其他議員想發言？</w:t>
      </w:r>
    </w:p>
    <w:p>
      <w:pPr>
        <w:pStyle w:val="F21"/>
        <w:tabs>
          <w:tab w:val="clear" w:pos="567"/>
        </w:tabs>
        <w:rPr/>
      </w:pPr>
      <w:r>
        <w:rPr/>
      </w:r>
    </w:p>
    <w:p>
      <w:pPr>
        <w:pStyle w:val="F21"/>
        <w:tabs>
          <w:tab w:val="clear" w:pos="567"/>
        </w:tabs>
        <w:rPr/>
      </w:pPr>
      <w:r>
        <w:rPr/>
        <w:t>(</w:t>
      </w:r>
      <w:r>
        <w:rPr/>
        <w:t>沒有其他議員表示想發言</w:t>
      </w:r>
      <w:r>
        <w:rPr/>
        <w:t>)</w:t>
      </w:r>
    </w:p>
    <w:p>
      <w:pPr>
        <w:pStyle w:val="F21"/>
        <w:rPr>
          <w:rFonts w:cs="Times New Roman"/>
        </w:rPr>
      </w:pPr>
      <w:r>
        <w:rPr>
          <w:rFonts w:cs="Times New Roman"/>
        </w:rPr>
      </w:r>
    </w:p>
    <w:p>
      <w:pPr>
        <w:pStyle w:val="F21"/>
        <w:rPr>
          <w:rFonts w:cs="Times New Roman"/>
        </w:rPr>
      </w:pPr>
      <w:r>
        <w:rPr>
          <w:rFonts w:cs="Times New Roman"/>
        </w:rPr>
      </w:r>
    </w:p>
    <w:p>
      <w:pPr>
        <w:pStyle w:val="F21"/>
        <w:rPr>
          <w:szCs w:val="27"/>
        </w:rPr>
      </w:pPr>
      <w:r>
        <w:rPr>
          <w:rFonts w:ascii="華康中黑體" w:hAnsi="華康中黑體" w:cs="華康中黑體" w:eastAsia="華康中黑體"/>
          <w:b/>
          <w:szCs w:val="27"/>
        </w:rPr>
        <w:t>食物及衞生局局長</w:t>
      </w:r>
      <w:r>
        <w:rPr>
          <w:szCs w:val="27"/>
        </w:rPr>
        <w:t>：主席，我剛才一直小心聆聽各位議員的意見。基本上，我認為各位議員的發言有一個共通點，就是大家也贊同，政府現時提出將酒牌續期的最長有效期由</w:t>
      </w:r>
      <w:r>
        <w:rPr>
          <w:szCs w:val="27"/>
        </w:rPr>
        <w:t>1</w:t>
      </w:r>
      <w:r>
        <w:rPr>
          <w:szCs w:val="27"/>
        </w:rPr>
        <w:t>年延長至兩年，在過程中須增設一個嚴謹的機制，以確保只有紀錄良好的酒牌持有人，並在上次獲批牌照或續牌時，也是基於紀錄良好而獲發全期牌照，才可獲考慮續期兩年。基本上，大家的方向是一致的。</w:t>
      </w:r>
    </w:p>
    <w:p>
      <w:pPr>
        <w:pStyle w:val="F21"/>
        <w:spacing w:lineRule="atLeast" w:line="350"/>
        <w:rPr>
          <w:szCs w:val="27"/>
        </w:rPr>
      </w:pPr>
      <w:r>
        <w:rPr>
          <w:szCs w:val="27"/>
        </w:rPr>
      </w:r>
    </w:p>
    <w:p>
      <w:pPr>
        <w:pStyle w:val="F21"/>
        <w:spacing w:lineRule="atLeast" w:line="350"/>
        <w:rPr>
          <w:szCs w:val="27"/>
        </w:rPr>
      </w:pPr>
      <w:r>
        <w:rPr>
          <w:szCs w:val="27"/>
        </w:rPr>
        <w:tab/>
      </w:r>
      <w:r>
        <w:rPr>
          <w:szCs w:val="27"/>
        </w:rPr>
        <w:t>不過，正如我剛才所說，考慮到市民對於酒牌處所的關注，酒牌局已於</w:t>
      </w:r>
      <w:r>
        <w:rPr>
          <w:szCs w:val="27"/>
        </w:rPr>
        <w:t>2013</w:t>
      </w:r>
      <w:r>
        <w:rPr>
          <w:szCs w:val="27"/>
        </w:rPr>
        <w:t>年推出多項行政措施，包括修訂處理酒牌續期或轉讓申請的程序，以便更全面處理鄰近社區的意見，以及公布了一套準則指引，列出該局審批酒牌申請時考慮的因素，以提高透明度。基本上，當局對於酒牌處所為獲批續牌兩年而須符合的要求，並無異議。</w:t>
      </w:r>
    </w:p>
    <w:p>
      <w:pPr>
        <w:pStyle w:val="F21"/>
        <w:spacing w:lineRule="atLeast" w:line="350"/>
        <w:rPr>
          <w:szCs w:val="27"/>
        </w:rPr>
      </w:pPr>
      <w:r>
        <w:rPr>
          <w:szCs w:val="27"/>
        </w:rPr>
      </w:r>
    </w:p>
    <w:p>
      <w:pPr>
        <w:pStyle w:val="F21"/>
        <w:spacing w:lineRule="atLeast" w:line="350"/>
        <w:rPr>
          <w:szCs w:val="27"/>
        </w:rPr>
      </w:pPr>
      <w:r>
        <w:rPr>
          <w:szCs w:val="27"/>
        </w:rPr>
        <w:tab/>
      </w:r>
      <w:r>
        <w:rPr>
          <w:szCs w:val="27"/>
        </w:rPr>
        <w:t>事實上，酒牌局亦正討論處理酒牌處所續牌兩年申請時的考慮因素，包括更新上述指引。不過，提出修訂或支持修訂的議員有另外一些關注，例如附近居民有否投訴的權利。基本上，剛才部分議員發言時已清楚指出，而我亦曾表示，市民可隨時提出投訴，並非只能在酒牌處所申請續牌時才可以申訴。此外，當局日後亦會在指引內清楚訂明，酒牌處所在續牌前的兩年，必須未曾被投訴，甚至沒有負面評語，亦沒有執法行動紀錄等，當局才會考慮批出有效期多於</w:t>
      </w:r>
      <w:r>
        <w:rPr>
          <w:szCs w:val="27"/>
        </w:rPr>
        <w:t>1</w:t>
      </w:r>
      <w:r>
        <w:rPr>
          <w:szCs w:val="27"/>
        </w:rPr>
        <w:t>年的續期牌照。</w:t>
      </w:r>
    </w:p>
    <w:p>
      <w:pPr>
        <w:pStyle w:val="F21"/>
        <w:spacing w:lineRule="atLeast" w:line="350"/>
        <w:rPr>
          <w:szCs w:val="27"/>
        </w:rPr>
      </w:pPr>
      <w:r>
        <w:rPr>
          <w:szCs w:val="27"/>
        </w:rPr>
      </w:r>
    </w:p>
    <w:p>
      <w:pPr>
        <w:pStyle w:val="F21"/>
        <w:spacing w:lineRule="atLeast" w:line="350"/>
        <w:rPr>
          <w:szCs w:val="27"/>
        </w:rPr>
      </w:pPr>
      <w:r>
        <w:rPr>
          <w:szCs w:val="27"/>
        </w:rPr>
        <w:tab/>
      </w:r>
      <w:r>
        <w:rPr>
          <w:szCs w:val="27"/>
        </w:rPr>
        <w:t>實際上，我不得不提出，政府現時建議的安排，是經過小組委員會詳細討論後而訂定，並充分考慮到有關規定可否執行，以及意思是否清晰。相反，單議員提出的擬議決議案，雖然目的和政府一致，希望可以加強對市民的保障，避免酒牌處所對居民帶來不合理的滋擾，但所採用的字眼，實際上會規限酒牌局可就其他相關因素作出考慮的彈性。雖然單議員的出發點是希望有更嚴格的規定，但若把有關規定納入法例內，會引起很多不清晰的地方。如果單議員的擬議決議案獲得通過，而其中的修訂未經小組委員會詳細審議，可能會適得其反。我覺得這點才是議員考慮是否支持有關修訂的最基本因素。正如我剛才所說，原本的建議經過小組委員會詳細討論，目標一致，並更切實可行。我希望各位議員反對單仲偕議員的修訂。多謝主席。</w:t>
      </w:r>
    </w:p>
    <w:p>
      <w:pPr>
        <w:pStyle w:val="F21"/>
        <w:spacing w:lineRule="atLeast" w:line="350"/>
        <w:rPr>
          <w:rFonts w:cs="Times New Roman"/>
        </w:rPr>
      </w:pPr>
      <w:r>
        <w:rPr>
          <w:rFonts w:cs="Times New Roman"/>
        </w:rPr>
      </w:r>
    </w:p>
    <w:p>
      <w:pPr>
        <w:pStyle w:val="F21"/>
        <w:tabs>
          <w:tab w:val="clear" w:pos="567"/>
        </w:tabs>
        <w:spacing w:lineRule="atLeast" w:line="350"/>
        <w:rPr>
          <w:rFonts w:eastAsia="華康中黑體"/>
          <w:b/>
          <w:b/>
        </w:rPr>
      </w:pPr>
      <w:r>
        <w:rPr>
          <w:rFonts w:eastAsia="華康中黑體"/>
          <w:b/>
        </w:rPr>
      </w:r>
    </w:p>
    <w:p>
      <w:pPr>
        <w:pStyle w:val="F21"/>
        <w:spacing w:lineRule="atLeast" w:line="350"/>
        <w:rPr/>
      </w:pPr>
      <w:r>
        <w:rPr>
          <w:rFonts w:eastAsia="華康中黑體"/>
          <w:b/>
        </w:rPr>
        <w:t>主席</w:t>
      </w:r>
      <w:r>
        <w:rPr/>
        <w:t>：我現在請單仲偕議員發言答辯。</w:t>
      </w:r>
    </w:p>
    <w:p>
      <w:pPr>
        <w:pStyle w:val="F21"/>
        <w:spacing w:lineRule="atLeast" w:line="350"/>
        <w:rPr>
          <w:rFonts w:cs="Times New Roman"/>
        </w:rPr>
      </w:pPr>
      <w:r>
        <w:rPr>
          <w:rFonts w:cs="Times New Roman"/>
        </w:rPr>
      </w:r>
    </w:p>
    <w:p>
      <w:pPr>
        <w:pStyle w:val="F21"/>
        <w:spacing w:lineRule="atLeast" w:line="350"/>
        <w:rPr>
          <w:rFonts w:cs="Times New Roman"/>
        </w:rPr>
      </w:pPr>
      <w:r>
        <w:rPr>
          <w:rFonts w:cs="Times New Roman"/>
        </w:rPr>
      </w:r>
    </w:p>
    <w:p>
      <w:pPr>
        <w:pStyle w:val="F21"/>
        <w:spacing w:lineRule="atLeast" w:line="350"/>
        <w:rPr>
          <w:szCs w:val="27"/>
        </w:rPr>
      </w:pPr>
      <w:r>
        <w:rPr>
          <w:rFonts w:ascii="華康中黑體" w:hAnsi="華康中黑體" w:cs="華康中黑體" w:eastAsia="華康中黑體"/>
          <w:b/>
          <w:szCs w:val="27"/>
        </w:rPr>
        <w:t>單仲偕議員</w:t>
      </w:r>
      <w:r>
        <w:rPr>
          <w:szCs w:val="27"/>
        </w:rPr>
        <w:t>：多謝數位議員的發言，張宇人議員反對我的修訂，我是明白的，他代表業界的利益；工聯會兩位同事提出反對，理由很簡單，就是相信政府，認為有指引便可以。至於葉國謙議員，我希望他明白，民主黨同事也支持他們在中西區區議會提出的議案，我對該議案的認知是，如果政府未處理好滋擾的問題，便不應該將牌照有效期由</w:t>
      </w:r>
      <w:r>
        <w:rPr>
          <w:szCs w:val="27"/>
        </w:rPr>
        <w:t>1</w:t>
      </w:r>
      <w:r>
        <w:rPr>
          <w:szCs w:val="27"/>
        </w:rPr>
        <w:t>年延長至最多兩年。</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我只是將中西區區議會的議案寫入現時的法例內，我希望葉國謙議員明白，其實我的議案是“在將酒牌續期前，酒牌局除非信納以下事項，否則酒牌局不得批出有效期多於</w:t>
      </w:r>
      <w:r>
        <w:rPr>
          <w:szCs w:val="27"/>
        </w:rPr>
        <w:t>1</w:t>
      </w:r>
      <w:r>
        <w:rPr>
          <w:szCs w:val="27"/>
        </w:rPr>
        <w:t>年的酒牌”。我提出的兩點是：</w:t>
      </w:r>
      <w:r>
        <w:rPr>
          <w:szCs w:val="27"/>
        </w:rPr>
        <w:t>(a)</w:t>
      </w:r>
      <w:r>
        <w:rPr>
          <w:szCs w:val="27"/>
        </w:rPr>
        <w:t>在緊接有關領有牌照處所續牌前最少連續</w:t>
      </w:r>
      <w:r>
        <w:rPr>
          <w:szCs w:val="27"/>
        </w:rPr>
        <w:t>2</w:t>
      </w:r>
      <w:r>
        <w:rPr>
          <w:szCs w:val="27"/>
        </w:rPr>
        <w:t>年，政府當局或酒牌局沒有收到任何關於該處所證明屬實的投訴等，請細看有關的內容。我只是把中西區區議會的議案寫入法例內，但他現在卻反對我的修訂。</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我希望葉國謙議員能為香港市民、為受酒牌處所滋擾的市民做點事。局長任期只是</w:t>
      </w:r>
      <w:r>
        <w:rPr>
          <w:szCs w:val="27"/>
        </w:rPr>
        <w:t>5</w:t>
      </w:r>
      <w:r>
        <w:rPr>
          <w:szCs w:val="27"/>
        </w:rPr>
        <w:t>年，但被滋擾的居民可能在該區住了數十年。中西區的居民對我說，他們世世代代，由父母輩已在那裏居住，現在被領有酒牌的處所滋擾，哭訴無路。我現時的修訂內容，請葉國謙議員多看兩遍，我把中西區區議會提出的議案寫入法例內。</w:t>
      </w:r>
    </w:p>
    <w:p>
      <w:pPr>
        <w:pStyle w:val="F21"/>
        <w:spacing w:lineRule="atLeast" w:line="380"/>
        <w:rPr>
          <w:szCs w:val="27"/>
        </w:rPr>
      </w:pPr>
      <w:r>
        <w:rPr>
          <w:szCs w:val="27"/>
        </w:rPr>
      </w:r>
    </w:p>
    <w:p>
      <w:pPr>
        <w:pStyle w:val="F21"/>
        <w:spacing w:lineRule="atLeast" w:line="380"/>
        <w:rPr>
          <w:rFonts w:cs="新細明體"/>
          <w:szCs w:val="27"/>
        </w:rPr>
      </w:pPr>
      <w:r>
        <w:rPr>
          <w:szCs w:val="27"/>
        </w:rPr>
        <w:tab/>
      </w:r>
      <w:r>
        <w:rPr>
          <w:szCs w:val="27"/>
        </w:rPr>
        <w:t>局長指我的修訂的字眼會</w:t>
      </w:r>
      <w:r>
        <w:rPr>
          <w:rFonts w:cs="新細明體"/>
          <w:szCs w:val="27"/>
        </w:rPr>
        <w:t>引起很多問題。正如剛才陳家洛議員指出，這些</w:t>
      </w:r>
      <w:r>
        <w:rPr>
          <w:szCs w:val="27"/>
        </w:rPr>
        <w:t>字眼</w:t>
      </w:r>
      <w:r>
        <w:rPr>
          <w:rFonts w:cs="新細明體"/>
          <w:szCs w:val="27"/>
        </w:rPr>
        <w:t>是從政府文件抄來的，雖然或許屬行政用語，可能有需採用法律用語，再詳細討論，但我曾在小組委員會會議上問政府可否把這些字眼加入法例內，正因為政府不願意，我才自行提出修訂。如果政府接納我的意見，願意自行提出修訂便最好，為甚麼政府不願意呢？政府曾答應過小組委員會，</w:t>
      </w:r>
      <w:r>
        <w:rPr>
          <w:szCs w:val="27"/>
        </w:rPr>
        <w:t>酒牌處所若在</w:t>
      </w:r>
      <w:r>
        <w:rPr>
          <w:rFonts w:cs="新細明體"/>
          <w:szCs w:val="27"/>
        </w:rPr>
        <w:t>續牌前的兩年沒有不良紀錄，便可獲批出最長兩年期的牌照。政府還說，所謂</w:t>
      </w:r>
      <w:r>
        <w:rPr>
          <w:szCs w:val="27"/>
        </w:rPr>
        <w:t>“</w:t>
      </w:r>
      <w:r>
        <w:rPr>
          <w:rFonts w:cs="新細明體"/>
          <w:szCs w:val="27"/>
        </w:rPr>
        <w:t>紀錄良好</w:t>
      </w:r>
      <w:r>
        <w:rPr>
          <w:szCs w:val="27"/>
        </w:rPr>
        <w:t>”的定義，列於</w:t>
      </w:r>
      <w:r>
        <w:rPr>
          <w:rFonts w:cs="新細明體"/>
          <w:szCs w:val="27"/>
        </w:rPr>
        <w:t>文件的註腳。我只是把這些內容寫入法例內。我希望局長明白，將來酒牌局有自己的法律顧問，他們會說我們今天的發言並非法例的一部分，而政府交給小組委員會的文件，也不會列入法例內。</w:t>
      </w:r>
    </w:p>
    <w:p>
      <w:pPr>
        <w:pStyle w:val="F21"/>
        <w:spacing w:lineRule="atLeast" w:line="380"/>
        <w:rPr>
          <w:rFonts w:cs="新細明體"/>
          <w:szCs w:val="27"/>
        </w:rPr>
      </w:pPr>
      <w:r>
        <w:rPr>
          <w:rFonts w:cs="新細明體"/>
          <w:szCs w:val="27"/>
        </w:rPr>
      </w:r>
    </w:p>
    <w:p>
      <w:pPr>
        <w:pStyle w:val="F21"/>
        <w:spacing w:lineRule="atLeast" w:line="380"/>
        <w:rPr>
          <w:rFonts w:cs="新細明體"/>
          <w:szCs w:val="27"/>
        </w:rPr>
      </w:pPr>
      <w:r>
        <w:rPr>
          <w:rFonts w:cs="新細明體"/>
          <w:szCs w:val="27"/>
        </w:rPr>
        <w:tab/>
      </w:r>
      <w:r>
        <w:rPr>
          <w:rFonts w:cs="新細明體"/>
          <w:szCs w:val="27"/>
        </w:rPr>
        <w:t>葉國謙議員，我們的修訂只是要為居民做一點事，特別是為受影響的居民做一點事。我請他看清楚我們修訂內容的兩點：“</w:t>
      </w:r>
      <w:r>
        <w:rPr>
          <w:rFonts w:cs="新細明體"/>
          <w:szCs w:val="27"/>
        </w:rPr>
        <w:t>(a)</w:t>
      </w:r>
      <w:r>
        <w:rPr>
          <w:rFonts w:cs="新細明體"/>
          <w:szCs w:val="27"/>
        </w:rPr>
        <w:t>在緊接有關領有牌照處所續牌前最少連續</w:t>
      </w:r>
      <w:r>
        <w:rPr>
          <w:rFonts w:cs="新細明體"/>
          <w:szCs w:val="27"/>
        </w:rPr>
        <w:t>2</w:t>
      </w:r>
      <w:r>
        <w:rPr>
          <w:rFonts w:cs="新細明體"/>
          <w:szCs w:val="27"/>
        </w:rPr>
        <w:t>年，政府當局或酒牌局沒有任何關於該處所或持牌人證明屬實的投訴，或對該處所或持牌人採取執法行動的記錄，及沒有收到公眾人士就其牌照續期申請公告提出反對或負面評語；或</w:t>
      </w:r>
      <w:r>
        <w:rPr>
          <w:rFonts w:cs="新細明體"/>
          <w:szCs w:val="27"/>
        </w:rPr>
        <w:t>(b)</w:t>
      </w:r>
      <w:r>
        <w:rPr>
          <w:rFonts w:cs="新細明體"/>
          <w:szCs w:val="27"/>
        </w:rPr>
        <w:t>領有牌照處所並無對附近的居民造成不合理的滋擾。”如有這兩種情況，酒牌局便不能向該處所批出有效期多於</w:t>
      </w:r>
      <w:r>
        <w:rPr>
          <w:rFonts w:cs="新細明體"/>
          <w:szCs w:val="27"/>
        </w:rPr>
        <w:t>1</w:t>
      </w:r>
      <w:r>
        <w:rPr>
          <w:rFonts w:cs="新細明體"/>
          <w:szCs w:val="27"/>
        </w:rPr>
        <w:t>年的酒牌，即是現在的情況。如果有這兩種情況出現，便不能批出多於</w:t>
      </w:r>
      <w:r>
        <w:rPr>
          <w:rFonts w:cs="新細明體"/>
          <w:szCs w:val="27"/>
        </w:rPr>
        <w:t>1</w:t>
      </w:r>
      <w:r>
        <w:rPr>
          <w:rFonts w:cs="新細明體"/>
          <w:szCs w:val="27"/>
        </w:rPr>
        <w:t>年的酒牌，這就是我們的修訂。</w:t>
      </w:r>
    </w:p>
    <w:p>
      <w:pPr>
        <w:pStyle w:val="F21"/>
        <w:spacing w:lineRule="atLeast" w:line="356"/>
        <w:rPr>
          <w:rFonts w:cs="新細明體"/>
          <w:szCs w:val="27"/>
        </w:rPr>
      </w:pPr>
      <w:r>
        <w:rPr>
          <w:rFonts w:cs="新細明體"/>
          <w:szCs w:val="27"/>
        </w:rPr>
      </w:r>
    </w:p>
    <w:p>
      <w:pPr>
        <w:pStyle w:val="F21"/>
        <w:spacing w:lineRule="atLeast" w:line="356"/>
        <w:rPr>
          <w:rFonts w:cs="新細明體"/>
          <w:szCs w:val="27"/>
        </w:rPr>
      </w:pPr>
      <w:r>
        <w:rPr>
          <w:rFonts w:cs="新細明體"/>
          <w:szCs w:val="27"/>
        </w:rPr>
        <w:tab/>
      </w:r>
      <w:r>
        <w:rPr>
          <w:rFonts w:cs="新細明體"/>
          <w:szCs w:val="27"/>
        </w:rPr>
        <w:t>我希望局長及民建聯能好好向中西區區議會的同事交代，他們在海報上說反對牌照</w:t>
      </w:r>
      <w:r>
        <w:rPr>
          <w:rFonts w:cs="新細明體"/>
          <w:szCs w:val="27"/>
        </w:rPr>
        <w:t>1</w:t>
      </w:r>
      <w:r>
        <w:rPr>
          <w:rFonts w:cs="新細明體"/>
          <w:szCs w:val="27"/>
        </w:rPr>
        <w:t>年變兩年。今天，如果我單仲偕的議案被否決，便會全部變成兩年。當然，局長會說不是的，酒牌局會進行中期檢討，但檢討基於甚麼因素？法例沒有訂明。他剛才說的</w:t>
      </w:r>
      <w:r>
        <w:rPr>
          <w:rFonts w:cs="新細明體"/>
          <w:szCs w:val="27"/>
        </w:rPr>
        <w:t>3</w:t>
      </w:r>
      <w:r>
        <w:rPr>
          <w:rFonts w:cs="新細明體"/>
          <w:szCs w:val="27"/>
        </w:rPr>
        <w:t>類因素，只是“口講口賠”，將來是否會寫在指引內，而酒牌局又會否按指引辦</w:t>
      </w:r>
      <w:r>
        <w:rPr>
          <w:rFonts w:ascii="華康細明體" w:hAnsi="華康細明體" w:cs="新細明體"/>
          <w:szCs w:val="27"/>
        </w:rPr>
        <w:t>事</w:t>
      </w:r>
      <w:r>
        <w:rPr>
          <w:rFonts w:cs="新細明體"/>
          <w:szCs w:val="27"/>
        </w:rPr>
        <w:t>？按法例或按指引處理是不同的，之後的問題又說會彈性處理，彈性處理後居民的權益能否受到保障？</w:t>
      </w:r>
    </w:p>
    <w:p>
      <w:pPr>
        <w:pStyle w:val="F21"/>
        <w:spacing w:lineRule="atLeast" w:line="356"/>
        <w:rPr>
          <w:rFonts w:cs="新細明體"/>
          <w:szCs w:val="27"/>
        </w:rPr>
      </w:pPr>
      <w:r>
        <w:rPr>
          <w:rFonts w:cs="新細明體"/>
          <w:szCs w:val="27"/>
        </w:rPr>
      </w:r>
    </w:p>
    <w:p>
      <w:pPr>
        <w:pStyle w:val="F21"/>
        <w:spacing w:lineRule="atLeast" w:line="356"/>
        <w:rPr>
          <w:rFonts w:cs="新細明體"/>
          <w:szCs w:val="27"/>
        </w:rPr>
      </w:pPr>
      <w:r>
        <w:rPr>
          <w:rFonts w:cs="新細明體"/>
          <w:szCs w:val="27"/>
        </w:rPr>
        <w:tab/>
      </w:r>
      <w:r>
        <w:rPr>
          <w:rFonts w:cs="新細明體"/>
          <w:szCs w:val="27"/>
        </w:rPr>
        <w:t>主席，我比較痛心的是，就這些民生事宜，我不希望牽涉任何政治鬥爭，其實我今天也沒有說過任何有關政治的事宜，我只是說如何向中西區、太子等地區的居民交代。我們今天要做的，是不要讓有任何證明屬實投訴的酒牌處所續牌多於</w:t>
      </w:r>
      <w:r>
        <w:rPr>
          <w:rFonts w:cs="新細明體"/>
          <w:szCs w:val="27"/>
        </w:rPr>
        <w:t>1</w:t>
      </w:r>
      <w:r>
        <w:rPr>
          <w:rFonts w:cs="新細明體"/>
          <w:szCs w:val="27"/>
        </w:rPr>
        <w:t>年，其實是依照現時的程序運作。請葉國謙議員細看上載於立法會網站的擬議決議案，內容清清楚楚，我不知道他的同事有沒有給他看過，他剛才所說的，並非我的擬議決議案內容，甚麼續牌兩年、</w:t>
      </w:r>
      <w:r>
        <w:rPr>
          <w:rFonts w:cs="新細明體"/>
          <w:szCs w:val="27"/>
        </w:rPr>
        <w:t>3</w:t>
      </w:r>
      <w:r>
        <w:rPr>
          <w:rFonts w:cs="新細明體"/>
          <w:szCs w:val="27"/>
        </w:rPr>
        <w:t>年？還說可以多於</w:t>
      </w:r>
      <w:r>
        <w:rPr>
          <w:rFonts w:cs="新細明體"/>
          <w:szCs w:val="27"/>
        </w:rPr>
        <w:t>3</w:t>
      </w:r>
      <w:r>
        <w:rPr>
          <w:rFonts w:cs="新細明體"/>
          <w:szCs w:val="27"/>
        </w:rPr>
        <w:t>年，這樣的話也說得出。我的修訂是“在將酒牌續期前，酒牌局除非信納以下事項，否則酒牌局不得批出有效期多於</w:t>
      </w:r>
      <w:r>
        <w:rPr>
          <w:rFonts w:cs="新細明體"/>
          <w:szCs w:val="27"/>
        </w:rPr>
        <w:t>1</w:t>
      </w:r>
      <w:r>
        <w:rPr>
          <w:rFonts w:cs="新細明體"/>
          <w:szCs w:val="27"/>
        </w:rPr>
        <w:t>年的酒牌”，葉國謙議員，如何批出</w:t>
      </w:r>
      <w:r>
        <w:rPr>
          <w:rFonts w:cs="新細明體"/>
          <w:szCs w:val="27"/>
        </w:rPr>
        <w:t>3</w:t>
      </w:r>
      <w:r>
        <w:rPr>
          <w:rFonts w:cs="新細明體"/>
          <w:szCs w:val="27"/>
        </w:rPr>
        <w:t>年呢？我感到很遺憾，希望他能好好向中西區的居民交代。</w:t>
      </w:r>
    </w:p>
    <w:p>
      <w:pPr>
        <w:pStyle w:val="F21"/>
        <w:spacing w:lineRule="atLeast" w:line="356"/>
        <w:rPr>
          <w:rFonts w:cs="新細明體"/>
          <w:szCs w:val="27"/>
        </w:rPr>
      </w:pPr>
      <w:r>
        <w:rPr>
          <w:rFonts w:cs="新細明體"/>
          <w:szCs w:val="27"/>
        </w:rPr>
      </w:r>
    </w:p>
    <w:p>
      <w:pPr>
        <w:pStyle w:val="F21"/>
        <w:spacing w:lineRule="atLeast" w:line="356"/>
        <w:rPr>
          <w:rFonts w:cs="新細明體"/>
          <w:szCs w:val="27"/>
        </w:rPr>
      </w:pPr>
      <w:r>
        <w:rPr>
          <w:rFonts w:cs="新細明體"/>
          <w:szCs w:val="27"/>
        </w:rPr>
        <w:tab/>
      </w:r>
      <w:r>
        <w:rPr>
          <w:rFonts w:cs="新細明體"/>
          <w:szCs w:val="27"/>
        </w:rPr>
        <w:t>我謹此陳辭，提出這項議案。</w:t>
      </w:r>
    </w:p>
    <w:p>
      <w:pPr>
        <w:pStyle w:val="F21"/>
        <w:spacing w:lineRule="atLeast" w:line="356"/>
        <w:rPr>
          <w:rFonts w:cs="Times New Roman"/>
        </w:rPr>
      </w:pPr>
      <w:r>
        <w:rPr>
          <w:rFonts w:cs="Times New Roman"/>
        </w:rPr>
      </w:r>
    </w:p>
    <w:p>
      <w:pPr>
        <w:pStyle w:val="F21"/>
        <w:tabs>
          <w:tab w:val="clear" w:pos="567"/>
        </w:tabs>
        <w:spacing w:lineRule="atLeast" w:line="356"/>
        <w:rPr>
          <w:rFonts w:eastAsia="華康中黑體"/>
          <w:b/>
          <w:b/>
        </w:rPr>
      </w:pPr>
      <w:r>
        <w:rPr>
          <w:rFonts w:eastAsia="華康中黑體"/>
          <w:b/>
        </w:rPr>
      </w:r>
    </w:p>
    <w:p>
      <w:pPr>
        <w:pStyle w:val="F21"/>
        <w:spacing w:lineRule="atLeast" w:line="356"/>
        <w:rPr>
          <w:rFonts w:cs="Times New Roman"/>
        </w:rPr>
      </w:pPr>
      <w:r>
        <w:rPr>
          <w:rFonts w:eastAsia="華康中黑體"/>
          <w:b/>
        </w:rPr>
        <w:t>主席</w:t>
      </w:r>
      <w:r>
        <w:rPr/>
        <w:t>：我現在向各位提出的待決議題是：單仲偕議員動議的議案，予以通過。現在付諸表決，贊成的請舉手。</w:t>
      </w:r>
    </w:p>
    <w:p>
      <w:pPr>
        <w:pStyle w:val="F21"/>
        <w:tabs>
          <w:tab w:val="clear" w:pos="567"/>
        </w:tabs>
        <w:spacing w:lineRule="atLeast" w:line="356"/>
        <w:rPr/>
      </w:pPr>
      <w:r>
        <w:rPr/>
      </w:r>
    </w:p>
    <w:p>
      <w:pPr>
        <w:pStyle w:val="F21"/>
        <w:tabs>
          <w:tab w:val="clear" w:pos="567"/>
        </w:tabs>
        <w:spacing w:lineRule="atLeast" w:line="356"/>
        <w:rPr/>
      </w:pPr>
      <w:r>
        <w:rPr/>
        <w:t>(</w:t>
      </w:r>
      <w:r>
        <w:rPr/>
        <w:t>議員舉手</w:t>
      </w:r>
      <w:r>
        <w:rPr/>
        <w:t>)</w:t>
      </w:r>
    </w:p>
    <w:p>
      <w:pPr>
        <w:pStyle w:val="F21"/>
        <w:tabs>
          <w:tab w:val="clear" w:pos="567"/>
        </w:tabs>
        <w:spacing w:lineRule="atLeast" w:line="356"/>
        <w:rPr>
          <w:rFonts w:eastAsia="華康中黑體"/>
          <w:b/>
          <w:b/>
        </w:rPr>
      </w:pPr>
      <w:r>
        <w:rPr>
          <w:rFonts w:eastAsia="華康中黑體"/>
          <w:b/>
        </w:rPr>
      </w:r>
    </w:p>
    <w:p>
      <w:pPr>
        <w:pStyle w:val="F21"/>
        <w:tabs>
          <w:tab w:val="clear" w:pos="567"/>
        </w:tabs>
        <w:spacing w:lineRule="atLeast" w:line="356"/>
        <w:rPr>
          <w:rFonts w:eastAsia="華康中黑體"/>
          <w:b/>
          <w:b/>
        </w:rPr>
      </w:pPr>
      <w:r>
        <w:rPr>
          <w:rFonts w:eastAsia="華康中黑體"/>
          <w:b/>
        </w:rPr>
      </w:r>
    </w:p>
    <w:p>
      <w:pPr>
        <w:pStyle w:val="F21"/>
        <w:tabs>
          <w:tab w:val="clear" w:pos="567"/>
        </w:tabs>
        <w:spacing w:lineRule="atLeast" w:line="356"/>
        <w:rPr/>
      </w:pPr>
      <w:r>
        <w:rPr>
          <w:rFonts w:eastAsia="華康中黑體"/>
          <w:b/>
        </w:rPr>
        <w:t>主席</w:t>
      </w:r>
      <w:r>
        <w:rPr/>
        <w:t>：反對的請舉手。</w:t>
      </w:r>
    </w:p>
    <w:p>
      <w:pPr>
        <w:pStyle w:val="F21"/>
        <w:tabs>
          <w:tab w:val="clear" w:pos="567"/>
        </w:tabs>
        <w:spacing w:lineRule="atLeast" w:line="356"/>
        <w:rPr/>
      </w:pPr>
      <w:r>
        <w:rPr/>
      </w:r>
    </w:p>
    <w:p>
      <w:pPr>
        <w:pStyle w:val="F21"/>
        <w:tabs>
          <w:tab w:val="clear" w:pos="567"/>
        </w:tabs>
        <w:spacing w:lineRule="atLeast" w:line="356"/>
        <w:rPr/>
      </w:pPr>
      <w:r>
        <w:rPr/>
        <w:t>(</w:t>
      </w:r>
      <w:r>
        <w:rPr/>
        <w:t>議員舉手</w:t>
      </w:r>
      <w:r>
        <w:rPr/>
        <w:t>)</w:t>
      </w:r>
    </w:p>
    <w:p>
      <w:pPr>
        <w:pStyle w:val="F21"/>
        <w:spacing w:lineRule="atLeast" w:line="356"/>
        <w:rPr>
          <w:rFonts w:cs="Times New Roman"/>
        </w:rPr>
      </w:pPr>
      <w:r>
        <w:rPr>
          <w:rFonts w:cs="Times New Roman"/>
        </w:rPr>
      </w:r>
    </w:p>
    <w:p>
      <w:pPr>
        <w:pStyle w:val="F21"/>
        <w:spacing w:lineRule="atLeast" w:line="356"/>
        <w:rPr>
          <w:rFonts w:cs="Times New Roman"/>
        </w:rPr>
      </w:pPr>
      <w:r>
        <w:rPr>
          <w:rFonts w:cs="Times New Roman"/>
        </w:rPr>
      </w:r>
    </w:p>
    <w:p>
      <w:pPr>
        <w:pStyle w:val="Normal"/>
        <w:widowControl/>
        <w:spacing w:lineRule="atLeast" w:line="356"/>
        <w:jc w:val="left"/>
        <w:rPr>
          <w:spacing w:val="20"/>
          <w:sz w:val="27"/>
          <w:szCs w:val="27"/>
        </w:rPr>
      </w:pPr>
      <w:r>
        <w:rPr>
          <w:spacing w:val="20"/>
          <w:sz w:val="27"/>
          <w:szCs w:val="27"/>
        </w:rPr>
        <w:t>黃碧雲議員起立要求記名表決。</w:t>
      </w:r>
    </w:p>
    <w:p>
      <w:pPr>
        <w:pStyle w:val="Normal"/>
        <w:overflowPunct w:val="true"/>
        <w:snapToGrid w:val="false"/>
        <w:spacing w:lineRule="atLeast" w:line="356"/>
        <w:rPr>
          <w:kern w:val="2"/>
          <w:szCs w:val="28"/>
        </w:rPr>
      </w:pPr>
      <w:r>
        <w:rPr/>
        <w:t>Dr Helena WONG rose to claim a division.</w:t>
      </w:r>
    </w:p>
    <w:p>
      <w:pPr>
        <w:pStyle w:val="F21"/>
        <w:tabs>
          <w:tab w:val="clear" w:pos="567"/>
        </w:tabs>
        <w:spacing w:lineRule="exact" w:line="20"/>
        <w:rPr>
          <w:rFonts w:eastAsia="華康中黑體"/>
          <w:b/>
          <w:b/>
          <w:lang w:val="en-GB"/>
        </w:rPr>
      </w:pPr>
      <w:r>
        <w:rPr>
          <w:rFonts w:eastAsia="華康中黑體"/>
          <w:b/>
          <w:lang w:val="en-GB"/>
        </w:rPr>
      </w:r>
    </w:p>
    <w:p>
      <w:pPr>
        <w:pStyle w:val="Normal"/>
        <w:widowControl/>
        <w:tabs>
          <w:tab w:val="clear" w:pos="720"/>
        </w:tabs>
        <w:spacing w:lineRule="exact" w:line="20"/>
        <w:jc w:val="left"/>
        <w:rPr>
          <w:rFonts w:eastAsia="華康中黑體" w:cs="" w:cstheme="minorBidi"/>
          <w:b/>
          <w:b/>
          <w:spacing w:val="20"/>
          <w:sz w:val="27"/>
          <w:szCs w:val="22"/>
          <w:lang w:val="en-US"/>
        </w:rPr>
      </w:pPr>
      <w:r>
        <w:rPr>
          <w:rFonts w:eastAsia="華康中黑體" w:cs="" w:cstheme="minorBidi"/>
          <w:b/>
          <w:spacing w:val="20"/>
          <w:sz w:val="27"/>
          <w:szCs w:val="22"/>
          <w:lang w:val="en-US"/>
        </w:rPr>
      </w:r>
      <w:r>
        <w:br w:type="page"/>
      </w:r>
    </w:p>
    <w:p>
      <w:pPr>
        <w:pStyle w:val="F21"/>
        <w:spacing w:lineRule="atLeast" w:line="330"/>
        <w:rPr>
          <w:rFonts w:eastAsia="華康中黑體"/>
          <w:b/>
          <w:b/>
        </w:rPr>
      </w:pPr>
      <w:r>
        <w:rPr>
          <w:rFonts w:eastAsia="華康中黑體"/>
          <w:b/>
        </w:rPr>
        <w:t>主席</w:t>
      </w:r>
      <w:r>
        <w:rPr/>
        <w:t>：黃碧雲議員要求記名表決。表決鐘會響</w:t>
      </w:r>
      <w:r>
        <w:rPr/>
        <w:t>5</w:t>
      </w:r>
      <w:r>
        <w:rPr/>
        <w:t>分鐘。</w:t>
      </w:r>
    </w:p>
    <w:p>
      <w:pPr>
        <w:pStyle w:val="F21"/>
        <w:tabs>
          <w:tab w:val="clear" w:pos="567"/>
        </w:tabs>
        <w:spacing w:lineRule="atLeast" w:line="330"/>
        <w:rPr>
          <w:rFonts w:eastAsia="華康中黑體"/>
          <w:b/>
          <w:b/>
        </w:rPr>
      </w:pPr>
      <w:r>
        <w:rPr>
          <w:rFonts w:eastAsia="華康中黑體"/>
          <w:b/>
        </w:rPr>
      </w:r>
    </w:p>
    <w:p>
      <w:pPr>
        <w:pStyle w:val="F21"/>
        <w:tabs>
          <w:tab w:val="clear" w:pos="567"/>
        </w:tabs>
        <w:spacing w:lineRule="atLeast" w:line="330"/>
        <w:rPr>
          <w:rFonts w:eastAsia="華康中黑體"/>
          <w:b/>
          <w:b/>
        </w:rPr>
      </w:pPr>
      <w:r>
        <w:rPr>
          <w:rFonts w:eastAsia="華康中黑體"/>
          <w:b/>
        </w:rPr>
      </w:r>
    </w:p>
    <w:p>
      <w:pPr>
        <w:pStyle w:val="F21"/>
        <w:spacing w:lineRule="atLeast" w:line="330"/>
        <w:rPr>
          <w:rFonts w:eastAsia="華康中黑體"/>
          <w:b/>
          <w:b/>
        </w:rPr>
      </w:pPr>
      <w:r>
        <w:rPr>
          <w:rFonts w:eastAsia="華康中黑體"/>
          <w:b/>
        </w:rPr>
        <w:t>主席</w:t>
      </w:r>
      <w:r>
        <w:rPr/>
        <w:t>：現在開始表決。</w:t>
      </w:r>
    </w:p>
    <w:p>
      <w:pPr>
        <w:pStyle w:val="F21"/>
        <w:tabs>
          <w:tab w:val="clear" w:pos="567"/>
        </w:tabs>
        <w:spacing w:lineRule="atLeast" w:line="330"/>
        <w:rPr>
          <w:rFonts w:eastAsia="華康中黑體"/>
          <w:b/>
          <w:b/>
        </w:rPr>
      </w:pPr>
      <w:r>
        <w:rPr>
          <w:rFonts w:eastAsia="華康中黑體"/>
          <w:b/>
        </w:rPr>
      </w:r>
    </w:p>
    <w:p>
      <w:pPr>
        <w:pStyle w:val="F21"/>
        <w:tabs>
          <w:tab w:val="clear" w:pos="567"/>
        </w:tabs>
        <w:spacing w:lineRule="atLeast" w:line="330"/>
        <w:rPr>
          <w:rFonts w:eastAsia="華康中黑體"/>
          <w:b/>
          <w:b/>
        </w:rPr>
      </w:pPr>
      <w:r>
        <w:rPr>
          <w:rFonts w:eastAsia="華康中黑體"/>
          <w:b/>
        </w:rPr>
      </w:r>
    </w:p>
    <w:p>
      <w:pPr>
        <w:pStyle w:val="F21"/>
        <w:spacing w:lineRule="atLeast" w:line="330"/>
        <w:rPr>
          <w:rFonts w:eastAsia="華康中黑體"/>
          <w:b/>
          <w:b/>
        </w:rPr>
      </w:pPr>
      <w:r>
        <w:rPr>
          <w:rFonts w:eastAsia="華康中黑體"/>
          <w:b/>
        </w:rPr>
        <w:t>主席</w:t>
      </w:r>
      <w:r>
        <w:rPr/>
        <w:t>：請各位議員核對所作的表決。如果沒有問題，現在停止表決，顯示結果。</w:t>
      </w:r>
    </w:p>
    <w:p>
      <w:pPr>
        <w:pStyle w:val="F21"/>
        <w:tabs>
          <w:tab w:val="clear" w:pos="567"/>
        </w:tabs>
        <w:spacing w:lineRule="atLeast" w:line="330"/>
        <w:rPr>
          <w:rFonts w:eastAsia="華康中黑體"/>
          <w:b/>
          <w:b/>
        </w:rPr>
      </w:pPr>
      <w:r>
        <w:rPr>
          <w:rFonts w:eastAsia="華康中黑體"/>
          <w:b/>
        </w:rPr>
      </w:r>
    </w:p>
    <w:p>
      <w:pPr>
        <w:pStyle w:val="F21"/>
        <w:tabs>
          <w:tab w:val="clear" w:pos="567"/>
        </w:tabs>
        <w:spacing w:lineRule="atLeast" w:line="330"/>
        <w:rPr>
          <w:rFonts w:eastAsia="華康中黑體"/>
          <w:b/>
          <w:b/>
        </w:rPr>
      </w:pPr>
      <w:r>
        <w:rPr>
          <w:rFonts w:eastAsia="華康中黑體"/>
          <w:b/>
        </w:rPr>
      </w:r>
    </w:p>
    <w:p>
      <w:pPr>
        <w:pStyle w:val="F21"/>
        <w:spacing w:lineRule="atLeast" w:line="330"/>
        <w:rPr>
          <w:rFonts w:cs="Times New Roman"/>
        </w:rPr>
      </w:pPr>
      <w:r>
        <w:rPr>
          <w:rFonts w:cs="Times New Roman"/>
        </w:rPr>
        <w:t>功能團體：</w:t>
      </w:r>
    </w:p>
    <w:p>
      <w:pPr>
        <w:pStyle w:val="Normal"/>
        <w:spacing w:lineRule="atLeast" w:line="330"/>
        <w:rPr/>
      </w:pPr>
      <w:r>
        <w:rPr/>
        <w:t>Functional Constituencies:</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何俊仁議員、涂謹申議員、馮檢基議員、張國柱議員、梁繼昌議員及葉建源議員贊成。</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張宇人議員、方剛議員、梁君彥議員、黃定光議員、李慧琼議員、葉‍國‍謙‍議員、吳亮星議員、何俊賢議員、易志明議員、姚思榮議員、馬逢國議員、陳婉嫻議員、郭偉强議員、張華峰議員、廖長江議員、鄧‍家彪議員、盧偉國議員、鍾國斌議員及謝偉銓議員反對。</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潘兆平議員棄權。</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地方選區：</w:t>
      </w:r>
    </w:p>
    <w:p>
      <w:pPr>
        <w:pStyle w:val="Normal"/>
        <w:spacing w:lineRule="atLeast" w:line="330"/>
        <w:rPr/>
      </w:pPr>
      <w:r>
        <w:rPr/>
        <w:t>Geographical Constituencies:</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李卓人議員、劉慧卿議員、何秀蘭議員、梁家傑議員、梁國雄議員、毛孟靜議員、胡志偉議員、陳家洛議員、郭家麒議員、單仲偕議員及黃碧雲議員贊成。</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陳鑑林議員、譚耀宗議員、王國興議員、陳克勤議員、黃國健議員、葉劉淑儀議員、田北辰議員、梁志祥議員、麥美娟議員及葛珮帆議員反對。</w:t>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r>
    </w:p>
    <w:p>
      <w:pPr>
        <w:pStyle w:val="F21"/>
        <w:spacing w:lineRule="atLeast" w:line="330"/>
        <w:rPr>
          <w:rFonts w:cs="Times New Roman"/>
        </w:rPr>
      </w:pPr>
      <w:r>
        <w:rPr>
          <w:rFonts w:cs="Times New Roman"/>
        </w:rPr>
        <w:t>主席曾鈺成議員沒有表決。</w:t>
      </w:r>
    </w:p>
    <w:p>
      <w:pPr>
        <w:pStyle w:val="F21"/>
        <w:tabs>
          <w:tab w:val="clear" w:pos="567"/>
        </w:tabs>
        <w:spacing w:lineRule="exact" w:line="20"/>
        <w:rPr>
          <w:rFonts w:eastAsia="華康中黑體"/>
          <w:b/>
          <w:b/>
        </w:rPr>
      </w:pPr>
      <w:r>
        <w:rPr>
          <w:rFonts w:eastAsia="華康中黑體"/>
          <w:b/>
        </w:rPr>
      </w:r>
    </w:p>
    <w:p>
      <w:pPr>
        <w:pStyle w:val="Normal"/>
        <w:widowControl/>
        <w:tabs>
          <w:tab w:val="clear" w:pos="720"/>
        </w:tabs>
        <w:spacing w:lineRule="exact" w:line="20"/>
        <w:jc w:val="left"/>
        <w:rPr>
          <w:rFonts w:eastAsia="華康中黑體" w:cs="" w:cstheme="minorBidi"/>
          <w:b/>
          <w:b/>
          <w:spacing w:val="20"/>
          <w:sz w:val="27"/>
          <w:szCs w:val="22"/>
          <w:lang w:val="en-US"/>
        </w:rPr>
      </w:pPr>
      <w:r>
        <w:rPr>
          <w:rFonts w:eastAsia="華康中黑體" w:cs="" w:cstheme="minorBidi"/>
          <w:b/>
          <w:spacing w:val="20"/>
          <w:sz w:val="27"/>
          <w:szCs w:val="22"/>
          <w:lang w:val="en-US"/>
        </w:rPr>
      </w:r>
      <w:r>
        <w:br w:type="page"/>
      </w:r>
    </w:p>
    <w:p>
      <w:pPr>
        <w:pStyle w:val="Normal"/>
        <w:tabs>
          <w:tab w:val="left" w:pos="567" w:leader="none"/>
          <w:tab w:val="left" w:pos="720" w:leader="none"/>
        </w:tabs>
        <w:snapToGrid w:val="false"/>
        <w:spacing w:lineRule="atLeast" w:line="390"/>
        <w:rPr>
          <w:spacing w:val="20"/>
          <w:sz w:val="27"/>
          <w:szCs w:val="27"/>
        </w:rPr>
      </w:pPr>
      <w:r>
        <w:rPr>
          <w:spacing w:val="20"/>
          <w:sz w:val="27"/>
          <w:szCs w:val="27"/>
        </w:rPr>
        <w:t>主席宣布經由功能團體選舉產生的議員，有</w:t>
      </w:r>
      <w:r>
        <w:rPr>
          <w:spacing w:val="20"/>
          <w:sz w:val="27"/>
          <w:szCs w:val="27"/>
        </w:rPr>
        <w:t>26</w:t>
      </w:r>
      <w:r>
        <w:rPr>
          <w:spacing w:val="20"/>
          <w:sz w:val="27"/>
          <w:szCs w:val="27"/>
        </w:rPr>
        <w:t>人出席，</w:t>
      </w:r>
      <w:r>
        <w:rPr>
          <w:spacing w:val="20"/>
          <w:sz w:val="27"/>
          <w:szCs w:val="27"/>
        </w:rPr>
        <w:t>6</w:t>
      </w:r>
      <w:r>
        <w:rPr>
          <w:spacing w:val="20"/>
          <w:sz w:val="27"/>
          <w:szCs w:val="27"/>
        </w:rPr>
        <w:t>人贊成，</w:t>
      </w:r>
      <w:r>
        <w:rPr>
          <w:spacing w:val="20"/>
          <w:sz w:val="27"/>
          <w:szCs w:val="27"/>
        </w:rPr>
        <w:t>19‍</w:t>
      </w:r>
      <w:r>
        <w:rPr>
          <w:spacing w:val="20"/>
          <w:sz w:val="27"/>
          <w:szCs w:val="27"/>
        </w:rPr>
        <w:t>人反對，</w:t>
      </w:r>
      <w:r>
        <w:rPr>
          <w:spacing w:val="20"/>
          <w:sz w:val="27"/>
          <w:szCs w:val="27"/>
        </w:rPr>
        <w:t>1</w:t>
      </w:r>
      <w:r>
        <w:rPr>
          <w:spacing w:val="20"/>
          <w:sz w:val="27"/>
          <w:szCs w:val="27"/>
        </w:rPr>
        <w:t>人棄權；而經由分區直接選舉產生的議員，有</w:t>
      </w:r>
      <w:r>
        <w:rPr>
          <w:spacing w:val="20"/>
          <w:sz w:val="27"/>
          <w:szCs w:val="27"/>
        </w:rPr>
        <w:t>22</w:t>
      </w:r>
      <w:r>
        <w:rPr>
          <w:spacing w:val="20"/>
          <w:sz w:val="27"/>
          <w:szCs w:val="27"/>
        </w:rPr>
        <w:t>人出席，</w:t>
      </w:r>
      <w:r>
        <w:rPr>
          <w:spacing w:val="20"/>
          <w:sz w:val="27"/>
          <w:szCs w:val="27"/>
        </w:rPr>
        <w:t>11‍</w:t>
      </w:r>
      <w:r>
        <w:rPr>
          <w:spacing w:val="20"/>
          <w:sz w:val="27"/>
          <w:szCs w:val="27"/>
        </w:rPr>
        <w:t>人贊成，</w:t>
      </w:r>
      <w:r>
        <w:rPr>
          <w:spacing w:val="20"/>
          <w:sz w:val="27"/>
          <w:szCs w:val="27"/>
        </w:rPr>
        <w:t>10</w:t>
      </w:r>
      <w:r>
        <w:rPr>
          <w:spacing w:val="20"/>
          <w:sz w:val="27"/>
          <w:szCs w:val="27"/>
        </w:rPr>
        <w:t>人反對。由於議題未獲得兩部分在席議員分別以過半數贊‍成，他於是宣布議案被否決。</w:t>
      </w:r>
    </w:p>
    <w:p>
      <w:pPr>
        <w:pStyle w:val="Normal"/>
        <w:snapToGrid w:val="false"/>
        <w:spacing w:lineRule="atLeast" w:line="390"/>
        <w:rPr>
          <w:kern w:val="2"/>
          <w:szCs w:val="28"/>
        </w:rPr>
      </w:pPr>
      <w:r>
        <w:rPr/>
        <w:t xml:space="preserve">THE PRESIDENT announced that among the Members returned by functional constituencies, 26 were present, six were in favour of the motion, 19 against it and one abstained; while among the Members returned by geographical constituencies through direct elections, 22 were present, 11 were in favour of the motion </w:t>
      </w:r>
      <w:r>
        <w:rPr>
          <w:lang w:eastAsia="zh-CN"/>
        </w:rPr>
        <w:t>and</w:t>
      </w:r>
      <w:r>
        <w:rPr/>
        <w:t xml:space="preserve"> 10 against it.  Since the question was not agreed by a majority of each of the two groups of Members present, he therefore declared that the motion was negatived.</w:t>
      </w:r>
    </w:p>
    <w:p>
      <w:pPr>
        <w:pStyle w:val="F21"/>
        <w:spacing w:lineRule="atLeast" w:line="390"/>
        <w:rPr/>
      </w:pPr>
      <w:r>
        <w:rPr/>
      </w:r>
    </w:p>
    <w:p>
      <w:pPr>
        <w:pStyle w:val="F21"/>
        <w:spacing w:lineRule="atLeast" w:line="390"/>
        <w:rPr>
          <w:rFonts w:eastAsia="華康中黑體"/>
          <w:b/>
          <w:b/>
        </w:rPr>
      </w:pPr>
      <w:r>
        <w:rPr>
          <w:rFonts w:eastAsia="華康中黑體"/>
          <w:b/>
        </w:rPr>
      </w:r>
    </w:p>
    <w:p>
      <w:pPr>
        <w:pStyle w:val="F21"/>
        <w:spacing w:lineRule="atLeast" w:line="390"/>
        <w:rPr/>
      </w:pPr>
      <w:r>
        <w:rPr>
          <w:rFonts w:eastAsia="華康中黑體"/>
          <w:b/>
        </w:rPr>
        <w:t>主席</w:t>
      </w:r>
      <w:r>
        <w:rPr/>
        <w:t>：梁君彥議員會根據《議事規則》第</w:t>
      </w:r>
      <w:r>
        <w:rPr/>
        <w:t>49E(2)</w:t>
      </w:r>
      <w:r>
        <w:rPr/>
        <w:t>條，動議議案察悉提交本會省覽的內務委員會第</w:t>
      </w:r>
      <w:r>
        <w:rPr/>
        <w:t>15/14-15</w:t>
      </w:r>
      <w:r>
        <w:rPr/>
        <w:t>號報告內的《</w:t>
      </w:r>
      <w:r>
        <w:rPr/>
        <w:t>2015</w:t>
      </w:r>
      <w:r>
        <w:rPr/>
        <w:t>年港口管制</w:t>
      </w:r>
      <w:r>
        <w:rPr/>
        <w:t>(</w:t>
      </w:r>
      <w:r>
        <w:rPr/>
        <w:t>公眾貨物裝卸區</w:t>
      </w:r>
      <w:r>
        <w:rPr/>
        <w:t>)</w:t>
      </w:r>
      <w:r>
        <w:rPr/>
        <w:t>令》。</w:t>
      </w:r>
    </w:p>
    <w:p>
      <w:pPr>
        <w:pStyle w:val="F21"/>
        <w:tabs>
          <w:tab w:val="clear" w:pos="567"/>
        </w:tabs>
        <w:spacing w:lineRule="atLeast" w:line="390"/>
        <w:rPr>
          <w:rFonts w:eastAsia="華康中黑體"/>
          <w:b/>
          <w:b/>
        </w:rPr>
      </w:pPr>
      <w:r>
        <w:rPr>
          <w:rFonts w:eastAsia="華康中黑體"/>
          <w:b/>
        </w:rPr>
      </w:r>
    </w:p>
    <w:p>
      <w:pPr>
        <w:pStyle w:val="F21"/>
        <w:tabs>
          <w:tab w:val="clear" w:pos="567"/>
        </w:tabs>
        <w:spacing w:lineRule="atLeast" w:line="390"/>
        <w:rPr>
          <w:rFonts w:eastAsia="華康中黑體"/>
          <w:b/>
          <w:b/>
        </w:rPr>
      </w:pPr>
      <w:r>
        <w:rPr>
          <w:rFonts w:eastAsia="華康中黑體"/>
          <w:b/>
        </w:rPr>
      </w:r>
    </w:p>
    <w:p>
      <w:pPr>
        <w:pStyle w:val="F21"/>
        <w:spacing w:lineRule="atLeast" w:line="390"/>
        <w:rPr>
          <w:rFonts w:cs="Times New Roman"/>
        </w:rPr>
      </w:pPr>
      <w:r>
        <w:rPr>
          <w:rFonts w:eastAsia="華康中黑體"/>
          <w:b/>
        </w:rPr>
        <w:t>主席</w:t>
      </w:r>
      <w:r>
        <w:rPr/>
        <w:t>：根據有關的辯論程序，我首先會請梁君彥議員發言及動議議案，然後請審議有關附屬法例的小組委員會主席葉國謙議員發言，之後再請其他議員發言。每位議員</w:t>
      </w:r>
      <w:r>
        <w:rPr/>
        <w:t>(</w:t>
      </w:r>
      <w:r>
        <w:rPr/>
        <w:t>包括議案動議人</w:t>
      </w:r>
      <w:r>
        <w:rPr/>
        <w:t>)</w:t>
      </w:r>
      <w:r>
        <w:rPr/>
        <w:t>只可發言一次，發言時限為</w:t>
      </w:r>
      <w:r>
        <w:rPr/>
        <w:t>15</w:t>
      </w:r>
      <w:r>
        <w:rPr/>
        <w:t>分鐘。最後我會請官員發言，在官員發言後，辯論即告結束，議案不會付諸表決。</w:t>
      </w:r>
    </w:p>
    <w:p>
      <w:pPr>
        <w:pStyle w:val="F21"/>
        <w:tabs>
          <w:tab w:val="clear" w:pos="567"/>
        </w:tabs>
        <w:spacing w:lineRule="atLeast" w:line="390"/>
        <w:rPr>
          <w:rFonts w:eastAsia="華康中黑體"/>
          <w:b/>
          <w:b/>
        </w:rPr>
      </w:pPr>
      <w:r>
        <w:rPr>
          <w:rFonts w:eastAsia="華康中黑體"/>
          <w:b/>
        </w:rPr>
      </w:r>
    </w:p>
    <w:p>
      <w:pPr>
        <w:pStyle w:val="F21"/>
        <w:tabs>
          <w:tab w:val="clear" w:pos="567"/>
        </w:tabs>
        <w:spacing w:lineRule="atLeast" w:line="390"/>
        <w:rPr>
          <w:rFonts w:eastAsia="華康中黑體"/>
          <w:b/>
          <w:b/>
        </w:rPr>
      </w:pPr>
      <w:r>
        <w:rPr>
          <w:rFonts w:eastAsia="華康中黑體"/>
          <w:b/>
        </w:rPr>
      </w:r>
    </w:p>
    <w:p>
      <w:pPr>
        <w:pStyle w:val="F21"/>
        <w:spacing w:lineRule="atLeast" w:line="390"/>
        <w:rPr/>
      </w:pPr>
      <w:r>
        <w:rPr>
          <w:rFonts w:eastAsia="華康中黑體"/>
          <w:b/>
        </w:rPr>
        <w:t>主席</w:t>
      </w:r>
      <w:r>
        <w:rPr/>
        <w:t>：有意就議案發言的議員請按下</w:t>
      </w:r>
      <w:r>
        <w:rPr>
          <w:szCs w:val="27"/>
        </w:rPr>
        <w:t>“</w:t>
      </w:r>
      <w:r>
        <w:rPr/>
        <w:t>要求發言</w:t>
      </w:r>
      <w:r>
        <w:rPr>
          <w:szCs w:val="27"/>
        </w:rPr>
        <w:t>”</w:t>
      </w:r>
      <w:r>
        <w:rPr/>
        <w:t>按鈕。</w:t>
      </w:r>
    </w:p>
    <w:p>
      <w:pPr>
        <w:pStyle w:val="F21"/>
        <w:spacing w:lineRule="atLeast" w:line="390"/>
        <w:rPr/>
      </w:pPr>
      <w:r>
        <w:rPr/>
      </w:r>
    </w:p>
    <w:p>
      <w:pPr>
        <w:pStyle w:val="F21"/>
        <w:spacing w:lineRule="atLeast" w:line="390"/>
        <w:rPr/>
      </w:pPr>
      <w:r>
        <w:rPr/>
        <w:tab/>
      </w:r>
      <w:r>
        <w:rPr/>
        <w:t>我現在請梁君彥議員發言及動議議案。</w:t>
      </w:r>
    </w:p>
    <w:p>
      <w:pPr>
        <w:pStyle w:val="F21"/>
        <w:spacing w:lineRule="atLeast" w:line="390"/>
        <w:rPr>
          <w:rFonts w:cs="Times New Roman"/>
        </w:rPr>
      </w:pPr>
      <w:r>
        <w:rPr>
          <w:rFonts w:cs="Times New Roman"/>
        </w:rPr>
      </w:r>
    </w:p>
    <w:p>
      <w:pPr>
        <w:pStyle w:val="F21"/>
        <w:spacing w:lineRule="atLeast" w:line="390"/>
        <w:rPr>
          <w:rFonts w:cs="Times New Roman"/>
        </w:rPr>
      </w:pPr>
      <w:r>
        <w:rPr>
          <w:rFonts w:cs="Times New Roman"/>
        </w:rPr>
      </w:r>
    </w:p>
    <w:p>
      <w:pPr>
        <w:pStyle w:val="F21"/>
        <w:spacing w:lineRule="atLeast" w:line="390"/>
        <w:rPr>
          <w:rFonts w:eastAsia="華康中黑體" w:cs="Times New Roman"/>
          <w:b/>
          <w:b/>
        </w:rPr>
      </w:pPr>
      <w:bookmarkStart w:id="90" w:name="mbm05"/>
      <w:r>
        <w:rPr>
          <w:rFonts w:cs="Times New Roman" w:eastAsia="華康中黑體"/>
          <w:b/>
        </w:rPr>
        <w:t>根據《議事規則》第</w:t>
      </w:r>
      <w:r>
        <w:rPr>
          <w:rFonts w:eastAsia="華康中黑體" w:cs="Times New Roman"/>
          <w:b/>
        </w:rPr>
        <w:t>49E(2)</w:t>
      </w:r>
      <w:r>
        <w:rPr>
          <w:rFonts w:cs="Times New Roman" w:eastAsia="華康中黑體"/>
          <w:b/>
        </w:rPr>
        <w:t>條動議的議案</w:t>
      </w:r>
    </w:p>
    <w:p>
      <w:pPr>
        <w:pStyle w:val="Normal"/>
        <w:spacing w:lineRule="atLeast" w:line="390"/>
        <w:rPr>
          <w:b/>
          <w:b/>
          <w:caps/>
        </w:rPr>
      </w:pPr>
      <w:bookmarkStart w:id="91" w:name="mbm05"/>
      <w:r>
        <w:rPr>
          <w:b/>
          <w:caps/>
        </w:rPr>
        <w:t>Motion under Rule 49E(2) of the Rules of Procedure</w:t>
      </w:r>
      <w:bookmarkEnd w:id="91"/>
    </w:p>
    <w:p>
      <w:pPr>
        <w:pStyle w:val="F21"/>
        <w:spacing w:lineRule="atLeast" w:line="390"/>
        <w:rPr>
          <w:rFonts w:cs="Times New Roman"/>
        </w:rPr>
      </w:pPr>
      <w:r>
        <w:rPr>
          <w:rFonts w:cs="Times New Roman"/>
        </w:rPr>
      </w:r>
    </w:p>
    <w:p>
      <w:pPr>
        <w:pStyle w:val="F21"/>
        <w:spacing w:lineRule="atLeast" w:line="390"/>
        <w:rPr>
          <w:szCs w:val="27"/>
        </w:rPr>
      </w:pPr>
      <w:r>
        <w:rPr>
          <w:rFonts w:ascii="華康中黑體" w:hAnsi="華康中黑體" w:cs="華康中黑體" w:eastAsia="華康中黑體"/>
          <w:b/>
          <w:szCs w:val="27"/>
        </w:rPr>
        <w:t>梁君彥議員</w:t>
      </w:r>
      <w:r>
        <w:rPr>
          <w:szCs w:val="27"/>
        </w:rPr>
        <w:t>：主席，我謹以內務委員會主席身份，根據《議事規則》第</w:t>
      </w:r>
      <w:r>
        <w:rPr>
          <w:szCs w:val="27"/>
        </w:rPr>
        <w:t>49E(2)</w:t>
      </w:r>
      <w:r>
        <w:rPr>
          <w:szCs w:val="27"/>
        </w:rPr>
        <w:t>條，動議印載於議程內的議案，讓議員就內務委員會有關研究附屬法例及其他文書的第</w:t>
      </w:r>
      <w:r>
        <w:rPr>
          <w:szCs w:val="27"/>
        </w:rPr>
        <w:t>15/14-15</w:t>
      </w:r>
      <w:r>
        <w:rPr>
          <w:szCs w:val="27"/>
        </w:rPr>
        <w:t>號報告內的《</w:t>
      </w:r>
      <w:r>
        <w:rPr>
          <w:szCs w:val="27"/>
        </w:rPr>
        <w:t>2015</w:t>
      </w:r>
      <w:r>
        <w:rPr>
          <w:szCs w:val="27"/>
        </w:rPr>
        <w:t>年港口管制</w:t>
      </w:r>
      <w:r>
        <w:rPr>
          <w:szCs w:val="27"/>
        </w:rPr>
        <w:t>(</w:t>
      </w:r>
      <w:r>
        <w:rPr>
          <w:szCs w:val="27"/>
        </w:rPr>
        <w:t>公眾貨物裝卸區</w:t>
      </w:r>
      <w:r>
        <w:rPr>
          <w:szCs w:val="27"/>
        </w:rPr>
        <w:t>)</w:t>
      </w:r>
      <w:r>
        <w:rPr>
          <w:szCs w:val="27"/>
        </w:rPr>
        <w:t>令》進行辯論。</w:t>
      </w:r>
    </w:p>
    <w:p>
      <w:pPr>
        <w:pStyle w:val="F21"/>
        <w:spacing w:lineRule="atLeast" w:line="380"/>
        <w:rPr>
          <w:szCs w:val="27"/>
        </w:rPr>
      </w:pPr>
      <w:r>
        <w:rPr>
          <w:szCs w:val="27"/>
        </w:rPr>
      </w:r>
    </w:p>
    <w:p>
      <w:pPr>
        <w:pStyle w:val="F21"/>
        <w:spacing w:lineRule="atLeast" w:line="380"/>
        <w:rPr>
          <w:szCs w:val="27"/>
        </w:rPr>
      </w:pPr>
      <w:r>
        <w:rPr>
          <w:szCs w:val="27"/>
        </w:rPr>
        <w:tab/>
      </w:r>
      <w:r>
        <w:rPr>
          <w:szCs w:val="27"/>
        </w:rPr>
        <w:t>主席，我謹此陳辭。</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eastAsia="華康中黑體"/>
          <w:b/>
        </w:rPr>
        <w:t>梁君彥議員動議的議案如下</w:t>
      </w:r>
      <w:r>
        <w:rPr>
          <w:rFonts w:cs="Times New Roman"/>
        </w:rPr>
        <w:t>：</w:t>
      </w:r>
    </w:p>
    <w:p>
      <w:pPr>
        <w:pStyle w:val="F21"/>
        <w:spacing w:lineRule="atLeast" w:line="380"/>
        <w:rPr>
          <w:rFonts w:cs="Times New Roman"/>
        </w:rPr>
      </w:pPr>
      <w:r>
        <w:rPr>
          <w:rFonts w:cs="Times New Roman"/>
        </w:rPr>
      </w:r>
    </w:p>
    <w:p>
      <w:pPr>
        <w:pStyle w:val="F21"/>
        <w:spacing w:lineRule="atLeast" w:line="380"/>
        <w:ind w:left="709" w:hanging="142"/>
        <w:rPr>
          <w:rFonts w:cs="Times New Roman"/>
        </w:rPr>
      </w:pPr>
      <w:r>
        <w:rPr>
          <w:rFonts w:cs="Times New Roman"/>
        </w:rPr>
        <w:t>“</w:t>
      </w:r>
      <w:r>
        <w:rPr>
          <w:rFonts w:cs="Times New Roman"/>
        </w:rPr>
        <w:t>本會察悉於</w:t>
      </w:r>
      <w:r>
        <w:rPr>
          <w:rFonts w:cs="Times New Roman"/>
        </w:rPr>
        <w:t>2015</w:t>
      </w:r>
      <w:r>
        <w:rPr>
          <w:rFonts w:cs="Times New Roman"/>
        </w:rPr>
        <w:t>年</w:t>
      </w:r>
      <w:r>
        <w:rPr>
          <w:rFonts w:cs="Times New Roman"/>
        </w:rPr>
        <w:t>3</w:t>
      </w:r>
      <w:r>
        <w:rPr>
          <w:rFonts w:cs="Times New Roman"/>
        </w:rPr>
        <w:t>月</w:t>
      </w:r>
      <w:r>
        <w:rPr>
          <w:rFonts w:cs="Times New Roman"/>
        </w:rPr>
        <w:t>25</w:t>
      </w:r>
      <w:r>
        <w:rPr>
          <w:rFonts w:cs="Times New Roman"/>
        </w:rPr>
        <w:t>日提交省覽有關下列附屬法例及文書的內務委員會第</w:t>
      </w:r>
      <w:r>
        <w:rPr>
          <w:rFonts w:cs="Times New Roman"/>
        </w:rPr>
        <w:t>15/14-15</w:t>
      </w:r>
      <w:r>
        <w:rPr>
          <w:rFonts w:cs="Times New Roman"/>
        </w:rPr>
        <w:t>號報告：</w:t>
      </w:r>
    </w:p>
    <w:p>
      <w:pPr>
        <w:pStyle w:val="F21"/>
        <w:spacing w:lineRule="atLeast" w:line="380"/>
        <w:ind w:left="709" w:hanging="142"/>
        <w:rPr>
          <w:rFonts w:cs="Times New Roman"/>
        </w:rPr>
      </w:pPr>
      <w:r>
        <w:rPr>
          <w:rFonts w:cs="Times New Roman"/>
        </w:rPr>
      </w:r>
    </w:p>
    <w:tbl>
      <w:tblPr>
        <w:tblW w:w="8417" w:type="dxa"/>
        <w:jc w:val="left"/>
        <w:tblInd w:w="851" w:type="dxa"/>
        <w:tblCellMar>
          <w:top w:w="0" w:type="dxa"/>
          <w:left w:w="57" w:type="dxa"/>
          <w:bottom w:w="0" w:type="dxa"/>
          <w:right w:w="57" w:type="dxa"/>
        </w:tblCellMar>
        <w:tblLook w:val="01e0" w:noHBand="0" w:noVBand="0" w:firstColumn="1" w:lastRow="1" w:lastColumn="1" w:firstRow="1"/>
      </w:tblPr>
      <w:tblGrid>
        <w:gridCol w:w="1819"/>
        <w:gridCol w:w="6597"/>
      </w:tblGrid>
      <w:tr>
        <w:trPr/>
        <w:tc>
          <w:tcPr>
            <w:tcW w:w="1819" w:type="dxa"/>
            <w:tcBorders/>
            <w:shd w:color="auto" w:fill="auto" w:val="clear"/>
          </w:tcPr>
          <w:p>
            <w:pPr>
              <w:pStyle w:val="Normal"/>
              <w:snapToGrid w:val="false"/>
              <w:spacing w:lineRule="atLeast" w:line="380"/>
              <w:rPr>
                <w:spacing w:val="20"/>
                <w:sz w:val="27"/>
                <w:szCs w:val="27"/>
                <w:u w:val="single"/>
                <w:lang w:val="en-US"/>
              </w:rPr>
            </w:pPr>
            <w:r>
              <w:rPr>
                <w:spacing w:val="20"/>
                <w:sz w:val="27"/>
                <w:szCs w:val="27"/>
                <w:u w:val="single"/>
                <w:lang w:val="en-US"/>
              </w:rPr>
              <w:t>項目編號</w:t>
            </w:r>
          </w:p>
          <w:p>
            <w:pPr>
              <w:pStyle w:val="Normal"/>
              <w:snapToGrid w:val="false"/>
              <w:spacing w:lineRule="atLeast" w:line="380"/>
              <w:ind w:left="560" w:hanging="0"/>
              <w:rPr>
                <w:spacing w:val="20"/>
                <w:sz w:val="27"/>
                <w:szCs w:val="27"/>
                <w:u w:val="single"/>
                <w:lang w:val="en-US"/>
              </w:rPr>
            </w:pPr>
            <w:r>
              <w:rPr>
                <w:spacing w:val="20"/>
                <w:sz w:val="27"/>
                <w:szCs w:val="27"/>
                <w:u w:val="single"/>
                <w:lang w:val="en-US"/>
              </w:rPr>
            </w:r>
          </w:p>
        </w:tc>
        <w:tc>
          <w:tcPr>
            <w:tcW w:w="6597" w:type="dxa"/>
            <w:tcBorders/>
            <w:shd w:color="auto" w:fill="auto" w:val="clear"/>
          </w:tcPr>
          <w:p>
            <w:pPr>
              <w:pStyle w:val="Normal"/>
              <w:snapToGrid w:val="false"/>
              <w:spacing w:lineRule="atLeast" w:line="380"/>
              <w:ind w:left="81" w:hanging="0"/>
              <w:jc w:val="center"/>
              <w:rPr>
                <w:spacing w:val="20"/>
                <w:sz w:val="27"/>
                <w:szCs w:val="27"/>
                <w:u w:val="single"/>
                <w:lang w:val="en-US"/>
              </w:rPr>
            </w:pPr>
            <w:r>
              <w:rPr>
                <w:spacing w:val="20"/>
                <w:sz w:val="27"/>
                <w:szCs w:val="27"/>
                <w:u w:val="single"/>
                <w:lang w:val="en-US"/>
              </w:rPr>
              <w:t>附屬法例或文書的名稱</w:t>
            </w:r>
          </w:p>
        </w:tc>
      </w:tr>
      <w:tr>
        <w:trPr/>
        <w:tc>
          <w:tcPr>
            <w:tcW w:w="1819" w:type="dxa"/>
            <w:tcBorders/>
            <w:shd w:color="auto" w:fill="auto" w:val="clear"/>
          </w:tcPr>
          <w:p>
            <w:pPr>
              <w:pStyle w:val="Normal"/>
              <w:snapToGrid w:val="false"/>
              <w:spacing w:lineRule="atLeast" w:line="380"/>
              <w:ind w:left="-476" w:hanging="0"/>
              <w:jc w:val="center"/>
              <w:rPr>
                <w:spacing w:val="20"/>
                <w:sz w:val="27"/>
                <w:szCs w:val="27"/>
                <w:lang w:val="en-US"/>
              </w:rPr>
            </w:pPr>
            <w:r>
              <w:rPr>
                <w:spacing w:val="20"/>
                <w:sz w:val="27"/>
                <w:szCs w:val="27"/>
                <w:lang w:val="en-US"/>
              </w:rPr>
              <w:t>(6)</w:t>
            </w:r>
          </w:p>
        </w:tc>
        <w:tc>
          <w:tcPr>
            <w:tcW w:w="6597" w:type="dxa"/>
            <w:tcBorders/>
            <w:shd w:color="auto" w:fill="auto" w:val="clear"/>
          </w:tcPr>
          <w:p>
            <w:pPr>
              <w:pStyle w:val="Normal"/>
              <w:snapToGrid w:val="false"/>
              <w:spacing w:lineRule="atLeast" w:line="380"/>
              <w:ind w:left="146" w:hanging="124"/>
              <w:rPr>
                <w:spacing w:val="20"/>
                <w:sz w:val="27"/>
                <w:szCs w:val="27"/>
                <w:lang w:val="en-US"/>
              </w:rPr>
            </w:pPr>
            <w:r>
              <w:rPr>
                <w:spacing w:val="20"/>
                <w:sz w:val="27"/>
                <w:szCs w:val="27"/>
                <w:lang w:val="en-US"/>
              </w:rPr>
              <w:t>《</w:t>
            </w:r>
            <w:r>
              <w:rPr>
                <w:spacing w:val="20"/>
                <w:sz w:val="27"/>
                <w:szCs w:val="27"/>
                <w:lang w:val="en-US"/>
              </w:rPr>
              <w:t>2015</w:t>
            </w:r>
            <w:r>
              <w:rPr>
                <w:spacing w:val="20"/>
                <w:sz w:val="27"/>
                <w:szCs w:val="27"/>
                <w:lang w:val="en-US"/>
              </w:rPr>
              <w:t>年港口管制</w:t>
            </w:r>
            <w:r>
              <w:rPr>
                <w:spacing w:val="20"/>
                <w:sz w:val="27"/>
                <w:szCs w:val="27"/>
                <w:lang w:val="en-US"/>
              </w:rPr>
              <w:t>(</w:t>
            </w:r>
            <w:r>
              <w:rPr>
                <w:spacing w:val="20"/>
                <w:sz w:val="27"/>
                <w:szCs w:val="27"/>
                <w:lang w:val="en-US"/>
              </w:rPr>
              <w:t>公眾貨物裝卸區</w:t>
            </w:r>
            <w:r>
              <w:rPr>
                <w:spacing w:val="20"/>
                <w:sz w:val="27"/>
                <w:szCs w:val="27"/>
                <w:lang w:val="en-US"/>
              </w:rPr>
              <w:t>)</w:t>
            </w:r>
            <w:r>
              <w:rPr>
                <w:spacing w:val="20"/>
                <w:sz w:val="27"/>
                <w:szCs w:val="27"/>
                <w:lang w:val="en-US"/>
              </w:rPr>
              <w:t>令》</w:t>
            </w:r>
            <w:r>
              <w:rPr>
                <w:spacing w:val="20"/>
                <w:sz w:val="27"/>
                <w:szCs w:val="27"/>
                <w:lang w:val="en-US"/>
              </w:rPr>
              <w:t>(2015</w:t>
            </w:r>
            <w:r>
              <w:rPr>
                <w:spacing w:val="20"/>
                <w:sz w:val="27"/>
                <w:szCs w:val="27"/>
                <w:lang w:val="en-US"/>
              </w:rPr>
              <w:t>年第</w:t>
            </w:r>
            <w:r>
              <w:rPr>
                <w:spacing w:val="20"/>
                <w:sz w:val="27"/>
                <w:szCs w:val="27"/>
                <w:lang w:val="en-US"/>
              </w:rPr>
              <w:t>28</w:t>
            </w:r>
            <w:r>
              <w:rPr>
                <w:spacing w:val="20"/>
                <w:sz w:val="27"/>
                <w:szCs w:val="27"/>
                <w:lang w:val="en-US"/>
              </w:rPr>
              <w:t>號法律公告</w:t>
            </w:r>
            <w:r>
              <w:rPr>
                <w:spacing w:val="20"/>
                <w:sz w:val="27"/>
                <w:szCs w:val="27"/>
                <w:lang w:val="en-US"/>
              </w:rPr>
              <w:t>)</w:t>
            </w:r>
            <w:r>
              <w:rPr>
                <w:spacing w:val="20"/>
                <w:sz w:val="27"/>
                <w:szCs w:val="27"/>
                <w:lang w:val="en-US"/>
              </w:rPr>
              <w:t>。</w:t>
            </w:r>
            <w:r>
              <w:rPr>
                <w:szCs w:val="27"/>
                <w:lang w:val="en-US"/>
              </w:rPr>
              <w:t>”</w:t>
            </w:r>
          </w:p>
        </w:tc>
      </w:tr>
    </w:tbl>
    <w:p>
      <w:pPr>
        <w:pStyle w:val="F21"/>
        <w:tabs>
          <w:tab w:val="clear" w:pos="567"/>
        </w:tabs>
        <w:spacing w:lineRule="atLeast" w:line="380"/>
        <w:rPr>
          <w:rFonts w:eastAsia="華康中黑體"/>
          <w:b/>
          <w:b/>
        </w:rPr>
      </w:pPr>
      <w:r>
        <w:rPr>
          <w:rFonts w:eastAsia="華康中黑體"/>
          <w:b/>
        </w:rPr>
      </w:r>
    </w:p>
    <w:p>
      <w:pPr>
        <w:pStyle w:val="F21"/>
        <w:tabs>
          <w:tab w:val="clear" w:pos="567"/>
        </w:tabs>
        <w:spacing w:lineRule="atLeast" w:line="380"/>
        <w:rPr>
          <w:rFonts w:eastAsia="華康中黑體"/>
          <w:b/>
          <w:b/>
        </w:rPr>
      </w:pPr>
      <w:r>
        <w:rPr>
          <w:rFonts w:eastAsia="華康中黑體"/>
          <w:b/>
        </w:rPr>
      </w:r>
    </w:p>
    <w:p>
      <w:pPr>
        <w:pStyle w:val="F21"/>
        <w:spacing w:lineRule="atLeast" w:line="380"/>
        <w:rPr/>
      </w:pPr>
      <w:r>
        <w:rPr>
          <w:rFonts w:eastAsia="華康中黑體"/>
          <w:b/>
        </w:rPr>
        <w:t>主席</w:t>
      </w:r>
      <w:r>
        <w:rPr/>
        <w:t>：我現在向各位提出的待議議題是：梁君彥議員動議的議案，予以通過。</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pPr>
      <w:r>
        <w:rPr>
          <w:rFonts w:eastAsia="華康中黑體"/>
          <w:b/>
          <w:szCs w:val="27"/>
        </w:rPr>
        <w:t>葉國謙議員</w:t>
      </w:r>
      <w:r>
        <w:rPr>
          <w:szCs w:val="27"/>
        </w:rPr>
        <w:t>：主席，</w:t>
      </w:r>
      <w:r>
        <w:rPr/>
        <w:t>我謹以《</w:t>
      </w:r>
      <w:r>
        <w:rPr/>
        <w:t>2015</w:t>
      </w:r>
      <w:r>
        <w:rPr/>
        <w:t>年港口管制</w:t>
      </w:r>
      <w:r>
        <w:rPr/>
        <w:t>(</w:t>
      </w:r>
      <w:r>
        <w:rPr/>
        <w:t>公眾貨物裝卸區</w:t>
      </w:r>
      <w:r>
        <w:rPr/>
        <w:t>)</w:t>
      </w:r>
      <w:r>
        <w:rPr/>
        <w:t>令》小組委員會</w:t>
      </w:r>
      <w:r>
        <w:rPr/>
        <w:t>(“</w:t>
      </w:r>
      <w:r>
        <w:rPr/>
        <w:t>小組委員會”</w:t>
      </w:r>
      <w:r>
        <w:rPr/>
        <w:t>)</w:t>
      </w:r>
      <w:r>
        <w:rPr/>
        <w:t>主席身份，就《</w:t>
      </w:r>
      <w:r>
        <w:rPr/>
        <w:t>2015</w:t>
      </w:r>
      <w:r>
        <w:rPr/>
        <w:t>年港口管制</w:t>
      </w:r>
      <w:r>
        <w:rPr/>
        <w:t>(</w:t>
      </w:r>
      <w:r>
        <w:rPr/>
        <w:t>公眾貨物裝卸區</w:t>
      </w:r>
      <w:r>
        <w:rPr/>
        <w:t>)</w:t>
      </w:r>
      <w:r>
        <w:rPr/>
        <w:t>令》</w:t>
      </w:r>
      <w:r>
        <w:rPr/>
        <w:t>(</w:t>
      </w:r>
      <w:r>
        <w:rPr/>
        <w:t>下稱“《命令》”</w:t>
      </w:r>
      <w:r>
        <w:rPr/>
        <w:t>)</w:t>
      </w:r>
      <w:r>
        <w:rPr/>
        <w:t>的商議工作發言。</w:t>
      </w:r>
    </w:p>
    <w:p>
      <w:pPr>
        <w:pStyle w:val="F21"/>
        <w:spacing w:lineRule="atLeast" w:line="380"/>
        <w:rPr/>
      </w:pPr>
      <w:r>
        <w:rPr/>
      </w:r>
    </w:p>
    <w:p>
      <w:pPr>
        <w:pStyle w:val="F21"/>
        <w:spacing w:lineRule="atLeast" w:line="380"/>
        <w:rPr/>
      </w:pPr>
      <w:r>
        <w:rPr/>
        <w:tab/>
      </w:r>
      <w:r>
        <w:rPr/>
        <w:t>《命令》的目的，是為西區裝卸區訂定新的界線，以騰出一小幅土地，為日後在社區重點項目下落成的西區副食品批發市場的海濱公眾休憩用地提供出入口。</w:t>
      </w:r>
    </w:p>
    <w:p>
      <w:pPr>
        <w:pStyle w:val="F21"/>
        <w:spacing w:lineRule="atLeast" w:line="380"/>
        <w:rPr/>
      </w:pPr>
      <w:r>
        <w:rPr/>
      </w:r>
    </w:p>
    <w:p>
      <w:pPr>
        <w:pStyle w:val="F21"/>
        <w:spacing w:lineRule="atLeast" w:line="380"/>
        <w:rPr/>
      </w:pPr>
      <w:r>
        <w:rPr/>
        <w:tab/>
      </w:r>
      <w:r>
        <w:rPr/>
        <w:t>小組委員會察悉，中西區區議會對這項《命令》表示歡迎，並表示隨着西區有越來越多高層住宅樓宇落成，人口不斷增長，以致該區的休憩用地普遍不足。中西區區議會正與政府當局緊密合作，理順海濱長廊的界線。</w:t>
      </w:r>
    </w:p>
    <w:p>
      <w:pPr>
        <w:pStyle w:val="F21"/>
        <w:spacing w:lineRule="atLeast" w:line="380"/>
        <w:rPr/>
      </w:pPr>
      <w:r>
        <w:rPr/>
      </w:r>
    </w:p>
    <w:p>
      <w:pPr>
        <w:pStyle w:val="F21"/>
        <w:spacing w:lineRule="atLeast" w:line="380"/>
        <w:rPr/>
      </w:pPr>
      <w:r>
        <w:rPr/>
        <w:tab/>
      </w:r>
      <w:r>
        <w:rPr/>
        <w:t>業界方面，委員知悉西區裝卸區接納政府當局的要求，同意重訂該裝卸區的界線，儘管此舉會對貨車司機的工作造成不便。雖然香港貨船業總商會支持《命令》，但該會指出裝卸區營運者一直作出讓步，縮小各裝卸區的範圍，以配合其他使用者的需要。他們期望政府能夠安排全港裝卸區營運者在永久的地點上繼續經營。</w:t>
      </w:r>
    </w:p>
    <w:p>
      <w:pPr>
        <w:pStyle w:val="F21"/>
        <w:rPr/>
      </w:pPr>
      <w:r>
        <w:rPr/>
      </w:r>
    </w:p>
    <w:p>
      <w:pPr>
        <w:pStyle w:val="F21"/>
        <w:rPr/>
      </w:pPr>
      <w:r>
        <w:rPr/>
        <w:tab/>
      </w:r>
      <w:r>
        <w:rPr/>
        <w:t>政府當局表示，現正就裝卸區停泊位的未來分配方法進行全面檢討，預計在</w:t>
      </w:r>
      <w:r>
        <w:rPr/>
        <w:t>2015</w:t>
      </w:r>
      <w:r>
        <w:rPr/>
        <w:t>年年中完成，之後便會諮詢各持份者，才決定未來的路向。</w:t>
      </w:r>
    </w:p>
    <w:p>
      <w:pPr>
        <w:pStyle w:val="F21"/>
        <w:rPr/>
      </w:pPr>
      <w:r>
        <w:rPr/>
      </w:r>
    </w:p>
    <w:p>
      <w:pPr>
        <w:pStyle w:val="F21"/>
        <w:rPr/>
      </w:pPr>
      <w:r>
        <w:rPr/>
        <w:tab/>
      </w:r>
      <w:r>
        <w:rPr/>
        <w:t>有委員促請政府當局認同裝卸區在處理貨物方面的角色及對經濟的貢獻，妥善重置為了改善居住環境而需要搬遷的裝卸區，並在場內提供基本設施。他們支持政府當局為各裝卸區的發展作長遠規劃，藉此鼓勵營運者投資於現代設施、翻新陳舊設備及挽留員工。</w:t>
      </w:r>
    </w:p>
    <w:p>
      <w:pPr>
        <w:pStyle w:val="F21"/>
        <w:rPr/>
      </w:pPr>
      <w:r>
        <w:rPr/>
      </w:r>
    </w:p>
    <w:p>
      <w:pPr>
        <w:pStyle w:val="F21"/>
        <w:rPr/>
      </w:pPr>
      <w:r>
        <w:rPr/>
        <w:tab/>
      </w:r>
      <w:r>
        <w:rPr/>
        <w:t>此外，小組委員會留意到，在</w:t>
      </w:r>
      <w:r>
        <w:rPr/>
        <w:t>2010</w:t>
      </w:r>
      <w:r>
        <w:rPr/>
        <w:t>年訂立的《港口管制</w:t>
      </w:r>
      <w:r>
        <w:rPr/>
        <w:t>(</w:t>
      </w:r>
      <w:r>
        <w:rPr/>
        <w:t>公眾貨物裝卸區</w:t>
      </w:r>
      <w:r>
        <w:rPr/>
        <w:t>)(</w:t>
      </w:r>
      <w:r>
        <w:rPr/>
        <w:t>綜合</w:t>
      </w:r>
      <w:r>
        <w:rPr/>
        <w:t>)</w:t>
      </w:r>
      <w:r>
        <w:rPr/>
        <w:t>令》</w:t>
      </w:r>
      <w:r>
        <w:rPr/>
        <w:t>(“</w:t>
      </w:r>
      <w:r>
        <w:rPr/>
        <w:t>《綜合令》”</w:t>
      </w:r>
      <w:r>
        <w:rPr/>
        <w:t>)</w:t>
      </w:r>
      <w:r>
        <w:rPr/>
        <w:t>中，將西區裝卸區的一部分劃作躉船轉運站場地的</w:t>
      </w:r>
      <w:r>
        <w:rPr/>
        <w:t>7A</w:t>
      </w:r>
      <w:r>
        <w:rPr/>
        <w:t>條，已於</w:t>
      </w:r>
      <w:r>
        <w:rPr/>
        <w:t>2014</w:t>
      </w:r>
      <w:r>
        <w:rPr/>
        <w:t>年</w:t>
      </w:r>
      <w:r>
        <w:rPr/>
        <w:t>12</w:t>
      </w:r>
      <w:r>
        <w:rPr/>
        <w:t>月</w:t>
      </w:r>
      <w:r>
        <w:rPr/>
        <w:t>31</w:t>
      </w:r>
      <w:r>
        <w:rPr/>
        <w:t>日後失效。中西區區議會與業界對有關的用地安排持不同意見。區議會議員認為，區內的休憩用地嚴重不足，因此一致同意將該場地改作海濱長廊的一部分，供公眾享用。業界認為此舉對他們並不公平，並促請政府當局將場地撥作裝卸區用途。</w:t>
      </w:r>
    </w:p>
    <w:p>
      <w:pPr>
        <w:pStyle w:val="F21"/>
        <w:rPr/>
      </w:pPr>
      <w:r>
        <w:rPr/>
      </w:r>
    </w:p>
    <w:p>
      <w:pPr>
        <w:pStyle w:val="F21"/>
        <w:rPr/>
      </w:pPr>
      <w:r>
        <w:rPr/>
        <w:tab/>
      </w:r>
      <w:r>
        <w:rPr/>
        <w:t>有委員認為，政府當局應分析西區裝卸區的使用率，以盡早決定該用地的用途，不至延誤海濱長廊的發展。其他委員則認為，中西區區議會應作出平衡，向西區居民清楚說明，如果沒有這些營運者，運送海味等都會受到影響，而若把西區裝卸區重置到更遠的地點，或會令該區交通擠塞，使居民在保留裝卸區與將其用作休憩用途之間作出一個明智的抉擇。亦有意見認為，政府當局應該制訂方案，讓居民及裝卸區營運者共用有關土地。</w:t>
      </w:r>
    </w:p>
    <w:p>
      <w:pPr>
        <w:pStyle w:val="F21"/>
        <w:rPr/>
      </w:pPr>
      <w:r>
        <w:rPr/>
      </w:r>
    </w:p>
    <w:p>
      <w:pPr>
        <w:pStyle w:val="F21"/>
        <w:rPr/>
      </w:pPr>
      <w:r>
        <w:rPr/>
        <w:tab/>
      </w:r>
      <w:r>
        <w:rPr/>
        <w:t>政府當局重申，會在完成全面檢討後，諮詢各持份者及平衡各方需要，才決定包括躉船轉運站場地用途的未來路向，並且承諾在此之前，不會就該場地的泊位招租。</w:t>
      </w:r>
    </w:p>
    <w:p>
      <w:pPr>
        <w:pStyle w:val="F21"/>
        <w:rPr/>
      </w:pPr>
      <w:r>
        <w:rPr/>
      </w:r>
    </w:p>
    <w:p>
      <w:pPr>
        <w:pStyle w:val="F21"/>
        <w:rPr/>
      </w:pPr>
      <w:r>
        <w:rPr/>
        <w:tab/>
      </w:r>
      <w:r>
        <w:rPr/>
        <w:t>小組委員會指出，綜合令第</w:t>
      </w:r>
      <w:r>
        <w:rPr/>
        <w:t>7A</w:t>
      </w:r>
      <w:r>
        <w:rPr/>
        <w:t>條實際上是一項日落條款，政府當局應藉今次修訂界線向中西區區議會及業界說明，避免不必要的誤會。委員認為政府當局在溝通及提供數據方面，應可以作出改善。</w:t>
      </w:r>
    </w:p>
    <w:p>
      <w:pPr>
        <w:pStyle w:val="F21"/>
        <w:rPr/>
      </w:pPr>
      <w:r>
        <w:rPr/>
      </w:r>
    </w:p>
    <w:p>
      <w:pPr>
        <w:pStyle w:val="F21"/>
        <w:rPr/>
      </w:pPr>
      <w:r>
        <w:rPr/>
        <w:tab/>
      </w:r>
      <w:r>
        <w:rPr/>
        <w:t>主席，小組委員會所提出的意見，我希望政府能夠詳細考慮，並積極跟進。</w:t>
      </w:r>
      <w:r>
        <w:br w:type="page"/>
      </w:r>
    </w:p>
    <w:p>
      <w:pPr>
        <w:pStyle w:val="F21"/>
        <w:rPr/>
      </w:pPr>
      <w:r>
        <w:rPr/>
        <w:tab/>
      </w:r>
      <w:r>
        <w:rPr/>
        <w:t>以下是我個人代表民建聯的看法。</w:t>
      </w:r>
    </w:p>
    <w:p>
      <w:pPr>
        <w:pStyle w:val="F21"/>
        <w:rPr/>
      </w:pPr>
      <w:r>
        <w:rPr/>
      </w:r>
    </w:p>
    <w:p>
      <w:pPr>
        <w:pStyle w:val="F21"/>
        <w:rPr>
          <w:szCs w:val="27"/>
        </w:rPr>
      </w:pPr>
      <w:r>
        <w:rPr/>
        <w:tab/>
      </w:r>
      <w:r>
        <w:rPr/>
        <w:t>首先，我要作出申報，我是中西區區議會議員。今天這項《命令》的內容是關乎中西區的土地用途，要劃出裝卸區新的界線，</w:t>
      </w:r>
      <w:r>
        <w:rPr>
          <w:szCs w:val="27"/>
        </w:rPr>
        <w:t>為日後的社區海濱公眾休憩用地提供出入口。社區的土地資源運用最理想的安排，當然是可用得其所，照顧各持份者的需要，達至平衡各方利益，包括居民及裝卸區營運者的利益。</w:t>
      </w:r>
    </w:p>
    <w:p>
      <w:pPr>
        <w:pStyle w:val="F21"/>
        <w:rPr>
          <w:szCs w:val="27"/>
        </w:rPr>
      </w:pPr>
      <w:r>
        <w:rPr>
          <w:szCs w:val="27"/>
        </w:rPr>
      </w:r>
    </w:p>
    <w:p>
      <w:pPr>
        <w:pStyle w:val="F21"/>
        <w:rPr>
          <w:szCs w:val="27"/>
        </w:rPr>
      </w:pPr>
      <w:r>
        <w:rPr>
          <w:szCs w:val="27"/>
        </w:rPr>
        <w:tab/>
      </w:r>
      <w:r>
        <w:rPr>
          <w:szCs w:val="27"/>
        </w:rPr>
        <w:t>今次這項《命令》就是關乎如何平衡裝卸區業界使用者與享用海濱的中西區居民兩者間的需要。其實，就以上課題，中西區區議會已經過多次討論，在</w:t>
      </w:r>
      <w:r>
        <w:rPr>
          <w:szCs w:val="27"/>
        </w:rPr>
        <w:t>2012</w:t>
      </w:r>
      <w:r>
        <w:rPr>
          <w:szCs w:val="27"/>
        </w:rPr>
        <w:t>年，為了配合興建港鐵西港島線工程，裝卸區被劃作工程用途。另一方面，面對中西區人口不斷增加，區內可供市民使用的休憩用地只會日見不足，當年港鐵西港島線進行建造工程時，區議會已先後在兩次會議上作出討論並通過有關議案，促請政府在西港島線通車後，將西區貨物裝卸區近外海區域劃為休憩用地。</w:t>
      </w:r>
    </w:p>
    <w:p>
      <w:pPr>
        <w:pStyle w:val="F21"/>
        <w:rPr>
          <w:szCs w:val="27"/>
        </w:rPr>
      </w:pPr>
      <w:r>
        <w:rPr>
          <w:szCs w:val="27"/>
        </w:rPr>
      </w:r>
    </w:p>
    <w:p>
      <w:pPr>
        <w:pStyle w:val="F21"/>
        <w:rPr>
          <w:szCs w:val="27"/>
        </w:rPr>
      </w:pPr>
      <w:r>
        <w:rPr>
          <w:szCs w:val="27"/>
        </w:rPr>
        <w:tab/>
      </w:r>
      <w:r>
        <w:rPr>
          <w:szCs w:val="27"/>
        </w:rPr>
        <w:t>其實，關於裝卸區土地的用途，裝卸區業界使用者與中西區居民彼此之間根本不存在“你死我亡”的完全對立。業界使用者均理解有關用地對未來西區海濱規劃有着重要的位置，他們指出已一直作出讓步，同意縮小裝卸區的範圍，以切合其他使用者的需要。區議會在討論時均同意，當局若為了改善居民的休憩環境而要將裝卸區搬遷或有任何改變，便應妥善重置相關的設施。這點是很清楚的。長遠而言，政府應研究全港所有裝卸區的規劃和發展，讓裝卸區業界可獲撥土地作為永久的營運地點，鼓勵他們投資現代化設備和設施，希望透過提供更佳的工作環境，挽留具質素的僱員。</w:t>
      </w:r>
    </w:p>
    <w:p>
      <w:pPr>
        <w:pStyle w:val="F21"/>
        <w:rPr>
          <w:szCs w:val="27"/>
        </w:rPr>
      </w:pPr>
      <w:r>
        <w:rPr>
          <w:szCs w:val="27"/>
        </w:rPr>
      </w:r>
    </w:p>
    <w:p>
      <w:pPr>
        <w:pStyle w:val="F21"/>
        <w:rPr>
          <w:szCs w:val="27"/>
        </w:rPr>
      </w:pPr>
      <w:r>
        <w:rPr>
          <w:szCs w:val="27"/>
        </w:rPr>
        <w:tab/>
      </w:r>
      <w:r>
        <w:rPr>
          <w:szCs w:val="27"/>
        </w:rPr>
        <w:t>主席，我曾參考很多外國碼頭的使用經驗，享用海濱的居民與西區副食品市場裝卸區業界彼此之間可以做到互惠互利。以裝卸區的營運特色，作為吸引更多居民和遊客來訪的賣點，這樣海濱附近土地的用途可與時並進。我相信在席很多議員曾到外國旅遊，當地的漁人碼頭和旅遊區結合，大家身處其中，可享受海濱的大自然景色，同時亦可分享作業過程中漁民或運作者的喜悅。正如我剛才所說，我認為這完全不涉“你死我亡”或“你有我無”的對立。</w:t>
      </w:r>
    </w:p>
    <w:p>
      <w:pPr>
        <w:pStyle w:val="F21"/>
        <w:rPr>
          <w:szCs w:val="27"/>
        </w:rPr>
      </w:pPr>
      <w:r>
        <w:rPr>
          <w:szCs w:val="27"/>
        </w:rPr>
      </w:r>
    </w:p>
    <w:p>
      <w:pPr>
        <w:pStyle w:val="F21"/>
        <w:rPr>
          <w:szCs w:val="27"/>
        </w:rPr>
      </w:pPr>
      <w:r>
        <w:rPr>
          <w:szCs w:val="27"/>
        </w:rPr>
        <w:tab/>
      </w:r>
      <w:r>
        <w:rPr>
          <w:szCs w:val="27"/>
        </w:rPr>
        <w:t>所以，當局應制訂方案，讓居民及裝卸區營運者可共用有關土地，這當然涉及設計。其實，居民或營運者均提出了很多見解，包括興建一座橋樑，供大家使用和觀賞，而這方面有很多經驗可供參考。我真的希望政府在檢討過程中，能從共存方案的角度作出設計，使我們的土地能夠地盡其用。當然，我亦希望政府能作出讓業界接受的承諾，便是在未完成中期檢討前，不可在現時的碼頭上再增添新的營運者。我認為這一點是居民最為關注的。我知道政府在小組委員會已作出這方面的承諾，希望局長在稍後能清晰回應。</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主席，我和民建聯會支持通過《命令》。多謝主席。</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szCs w:val="27"/>
        </w:rPr>
      </w:pPr>
      <w:r>
        <w:rPr>
          <w:rFonts w:ascii="華康中黑體" w:hAnsi="華康中黑體" w:eastAsia="華康中黑體"/>
          <w:b/>
          <w:szCs w:val="27"/>
        </w:rPr>
        <w:t>易志明議員</w:t>
      </w:r>
      <w:r>
        <w:rPr>
          <w:szCs w:val="27"/>
        </w:rPr>
        <w:t>：主席，市民追求美好的生活環境是可以理解的。因此，政府提出《</w:t>
      </w:r>
      <w:r>
        <w:rPr>
          <w:szCs w:val="27"/>
        </w:rPr>
        <w:t>2015</w:t>
      </w:r>
      <w:r>
        <w:rPr>
          <w:szCs w:val="27"/>
        </w:rPr>
        <w:t>年港口管制</w:t>
      </w:r>
      <w:r>
        <w:rPr>
          <w:szCs w:val="27"/>
        </w:rPr>
        <w:t>(</w:t>
      </w:r>
      <w:r>
        <w:rPr>
          <w:szCs w:val="27"/>
        </w:rPr>
        <w:t>公眾貨物裝卸區</w:t>
      </w:r>
      <w:r>
        <w:rPr>
          <w:szCs w:val="27"/>
        </w:rPr>
        <w:t>)</w:t>
      </w:r>
      <w:r>
        <w:rPr>
          <w:szCs w:val="27"/>
        </w:rPr>
        <w:t>令》</w:t>
      </w:r>
      <w:r>
        <w:rPr>
          <w:szCs w:val="27"/>
        </w:rPr>
        <w:t>(</w:t>
      </w:r>
      <w:r>
        <w:rPr>
          <w:szCs w:val="27"/>
        </w:rPr>
        <w:t>下稱“《命令》”</w:t>
      </w:r>
      <w:r>
        <w:rPr>
          <w:szCs w:val="27"/>
        </w:rPr>
        <w:t>)</w:t>
      </w:r>
      <w:r>
        <w:rPr>
          <w:szCs w:val="27"/>
        </w:rPr>
        <w:t>，建議在西區副食品批發市場鄰近的西區裝卸區騰出一小幅土地，讓中西區區議會順利落實建議的“美化及活化西區副食品批發市場的臨海地段”的方案，以期在西區副食品批發市場及鄰近地區提供海濱長廊和休憩用地供市民享用，這是無可厚非。考慮到有關建議並沒有對西區公眾貨物裝卸區的運作造成太大的影響，裝卸區內的營運商對這建議並不反對。</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我對今天政府提出的《命令》予以支持。雖然以下我的發言與今天的《命令》不是有直接關係，但我希望藉今天的機會向政府表達裝卸業面對的經營困難，並希望政府能重視裝卸業的發展，給予適切的支援。</w:t>
      </w:r>
    </w:p>
    <w:p>
      <w:pPr>
        <w:pStyle w:val="F21"/>
        <w:spacing w:lineRule="atLeast" w:line="370"/>
        <w:rPr>
          <w:szCs w:val="27"/>
        </w:rPr>
      </w:pPr>
      <w:r>
        <w:rPr>
          <w:szCs w:val="27"/>
        </w:rPr>
      </w:r>
    </w:p>
    <w:p>
      <w:pPr>
        <w:pStyle w:val="F21"/>
        <w:spacing w:lineRule="atLeast" w:line="370"/>
        <w:rPr>
          <w:szCs w:val="27"/>
        </w:rPr>
      </w:pPr>
      <w:r>
        <w:rPr>
          <w:szCs w:val="27"/>
        </w:rPr>
        <w:tab/>
      </w:r>
      <w:r>
        <w:rPr>
          <w:szCs w:val="27"/>
        </w:rPr>
        <w:t>香港擁有天然深水港，造就多元化的海上運輸業發展，每年本港處理的貨物就有近九成是利用海上運輸，當中七成是經遠洋輪船，三成是經內河貨船，而公眾貨物裝卸區處理的貨物則來自內河貨船。近年為減低運輸成本，很多跨境貨物已由陸路拖運改為水路轉運，利用內河船及躉船運載貨物到香港然後轉口到其他地方。</w:t>
      </w:r>
      <w:r>
        <w:rPr>
          <w:szCs w:val="27"/>
        </w:rPr>
        <w:t>2014</w:t>
      </w:r>
      <w:r>
        <w:rPr>
          <w:szCs w:val="27"/>
        </w:rPr>
        <w:t>年河運的貨物吞吐量創新高，達</w:t>
      </w:r>
      <w:r>
        <w:rPr>
          <w:szCs w:val="27"/>
        </w:rPr>
        <w:t>1</w:t>
      </w:r>
      <w:r>
        <w:rPr>
          <w:szCs w:val="27"/>
        </w:rPr>
        <w:t>億公噸，較</w:t>
      </w:r>
      <w:r>
        <w:rPr>
          <w:szCs w:val="27"/>
        </w:rPr>
        <w:t>2013</w:t>
      </w:r>
      <w:r>
        <w:rPr>
          <w:szCs w:val="27"/>
        </w:rPr>
        <w:t>年的</w:t>
      </w:r>
      <w:r>
        <w:rPr>
          <w:szCs w:val="27"/>
        </w:rPr>
        <w:t>9 100</w:t>
      </w:r>
      <w:r>
        <w:rPr>
          <w:szCs w:val="27"/>
        </w:rPr>
        <w:t>萬公噸增加</w:t>
      </w:r>
      <w:r>
        <w:rPr>
          <w:szCs w:val="27"/>
        </w:rPr>
        <w:t>9%</w:t>
      </w:r>
      <w:r>
        <w:rPr>
          <w:szCs w:val="27"/>
        </w:rPr>
        <w:t>；而過去</w:t>
      </w:r>
      <w:r>
        <w:rPr>
          <w:szCs w:val="27"/>
        </w:rPr>
        <w:t>10</w:t>
      </w:r>
      <w:r>
        <w:rPr>
          <w:szCs w:val="27"/>
        </w:rPr>
        <w:t>年，河運的貨物吞吐量亦增加近五成。可見，貨物裝卸區在促進本港的物流業方面亦扮演着舉足輕重的角色。</w:t>
      </w:r>
    </w:p>
    <w:p>
      <w:pPr>
        <w:pStyle w:val="F21"/>
        <w:spacing w:lineRule="atLeast" w:line="370"/>
        <w:rPr>
          <w:szCs w:val="27"/>
        </w:rPr>
      </w:pPr>
      <w:r>
        <w:rPr>
          <w:szCs w:val="27"/>
        </w:rPr>
      </w:r>
    </w:p>
    <w:p>
      <w:pPr>
        <w:pStyle w:val="F21"/>
        <w:spacing w:lineRule="atLeast" w:line="370"/>
        <w:rPr>
          <w:szCs w:val="27"/>
        </w:rPr>
      </w:pPr>
      <w:r>
        <w:rPr>
          <w:szCs w:val="27"/>
        </w:rPr>
        <w:tab/>
      </w:r>
      <w:r>
        <w:rPr>
          <w:szCs w:val="27"/>
        </w:rPr>
        <w:t>可惜，政府一直對裝卸業欠缺支援，業界均是自求多福。為配合地區的發展，公眾貨物裝卸區往往成為被開刀的對象，導致作業範圍不斷收縮。</w:t>
      </w:r>
      <w:r>
        <w:rPr>
          <w:szCs w:val="27"/>
        </w:rPr>
        <w:t>2011</w:t>
      </w:r>
      <w:r>
        <w:rPr>
          <w:szCs w:val="27"/>
        </w:rPr>
        <w:t>年關閉的觀塘及茶果嶺兩個裝卸區就是為了配合東南九龍的發展，其後政府把關閉後騰出的土地興建海濱長廊。政府不斷關閉公眾貨物裝卸區，令裝卸區的數目由高峰期的</w:t>
      </w:r>
      <w:r>
        <w:rPr>
          <w:szCs w:val="27"/>
        </w:rPr>
        <w:t>11</w:t>
      </w:r>
      <w:r>
        <w:rPr>
          <w:szCs w:val="27"/>
        </w:rPr>
        <w:t>個減至目前的</w:t>
      </w:r>
      <w:r>
        <w:rPr>
          <w:szCs w:val="27"/>
        </w:rPr>
        <w:t>6</w:t>
      </w:r>
      <w:r>
        <w:rPr>
          <w:szCs w:val="27"/>
        </w:rPr>
        <w:t>個。與此同時，政府亦因應居民的投訴，以對居民造成的滋擾為理由，迫使裝卸區縮短運作時間。除此之外，在</w:t>
      </w:r>
      <w:r>
        <w:rPr>
          <w:szCs w:val="27"/>
        </w:rPr>
        <w:t>2013</w:t>
      </w:r>
      <w:r>
        <w:rPr>
          <w:szCs w:val="27"/>
        </w:rPr>
        <w:t>年的施政報告，行政長官又表示會把現有的公眾貨物裝卸區泊位設施優先分配給回收業使用。政府去年年底公布的《香港港口發展策略</w:t>
      </w:r>
      <w:r>
        <w:rPr>
          <w:szCs w:val="27"/>
        </w:rPr>
        <w:t>2030</w:t>
      </w:r>
      <w:r>
        <w:rPr>
          <w:szCs w:val="27"/>
        </w:rPr>
        <w:t>研究》提出多項改善葵青貨櫃碼頭泊位不足的問題，以及促進港口發展的建議，當中包括建議將昂船洲公眾貨物裝卸區升級為現代貨櫃處理設施，以供遠洋輪船或內河船隻使用，這些措施顯然是令裝卸業的營運空間繼續不斷收窄。</w:t>
      </w:r>
    </w:p>
    <w:p>
      <w:pPr>
        <w:pStyle w:val="F21"/>
        <w:spacing w:lineRule="atLeast" w:line="370"/>
        <w:rPr>
          <w:szCs w:val="27"/>
        </w:rPr>
      </w:pPr>
      <w:r>
        <w:rPr>
          <w:szCs w:val="27"/>
        </w:rPr>
      </w:r>
    </w:p>
    <w:p>
      <w:pPr>
        <w:pStyle w:val="F21"/>
        <w:spacing w:lineRule="atLeast" w:line="370"/>
        <w:rPr>
          <w:szCs w:val="27"/>
        </w:rPr>
      </w:pPr>
      <w:r>
        <w:rPr>
          <w:szCs w:val="27"/>
        </w:rPr>
        <w:tab/>
      </w:r>
      <w:r>
        <w:rPr>
          <w:szCs w:val="27"/>
        </w:rPr>
        <w:t>由於貨運操作模式的改變，除因運輸成本關係而令水上運輸逐漸取代陸路運輸外，貨櫃船的體積越來越大，載貨量提升及船公司的聯盟，增加處理貨櫃的複雜性，轉口貨物量亦於同期相應增加，但貨櫃碼頭的配套設施不足，導致本港碼頭出現擠塞情況。碼頭的擠塞，已導致部分貨櫃船轉往鄰近碼頭靠泊，香港因而未能在</w:t>
      </w:r>
      <w:r>
        <w:rPr>
          <w:szCs w:val="27"/>
        </w:rPr>
        <w:t>2014</w:t>
      </w:r>
      <w:r>
        <w:rPr>
          <w:szCs w:val="27"/>
        </w:rPr>
        <w:t>年從深圳手中奪回</w:t>
      </w:r>
      <w:r>
        <w:rPr>
          <w:szCs w:val="27"/>
        </w:rPr>
        <w:t>2013</w:t>
      </w:r>
      <w:r>
        <w:rPr>
          <w:szCs w:val="27"/>
        </w:rPr>
        <w:t>年失去的全球第三大貨櫃港的地位。《香港港口發展策略</w:t>
      </w:r>
      <w:r>
        <w:rPr>
          <w:szCs w:val="27"/>
        </w:rPr>
        <w:t>2030</w:t>
      </w:r>
      <w:r>
        <w:rPr>
          <w:szCs w:val="27"/>
        </w:rPr>
        <w:t>研究》建議將昂船洲公眾貨物裝卸區升級為現代貨櫃處理設施，相信是有助解決港口泊位不足的問題，但對現時昂船洲公眾貨物裝卸區營運者無疑會造成影響，進一步減少公眾貨物裝卸區的泊位，令供內河船和本地駁船停泊的泊位供不應求的情況更為嚴重。</w:t>
      </w:r>
    </w:p>
    <w:p>
      <w:pPr>
        <w:pStyle w:val="F21"/>
        <w:spacing w:lineRule="atLeast" w:line="370"/>
        <w:rPr>
          <w:szCs w:val="27"/>
        </w:rPr>
      </w:pPr>
      <w:r>
        <w:rPr>
          <w:szCs w:val="27"/>
        </w:rPr>
      </w:r>
    </w:p>
    <w:p>
      <w:pPr>
        <w:pStyle w:val="F21"/>
        <w:spacing w:lineRule="atLeast" w:line="370"/>
        <w:rPr>
          <w:szCs w:val="27"/>
        </w:rPr>
      </w:pPr>
      <w:r>
        <w:rPr>
          <w:szCs w:val="27"/>
        </w:rPr>
        <w:tab/>
      </w:r>
      <w:r>
        <w:rPr>
          <w:szCs w:val="27"/>
        </w:rPr>
        <w:t>當年政府關閉觀塘及茶果嶺兩個裝卸區時，並沒有為業界另覓新的地方，只是透過重整餘下</w:t>
      </w:r>
      <w:r>
        <w:rPr>
          <w:szCs w:val="27"/>
        </w:rPr>
        <w:t>6</w:t>
      </w:r>
      <w:r>
        <w:rPr>
          <w:szCs w:val="27"/>
        </w:rPr>
        <w:t>個裝卸區的泊位分配及長度，安置觀塘及茶果嶺的裝卸業界。可惜，當局建議的改動，並未能切合業界實際運作，不但為裝卸業帶來極度困擾，最終還迫使部分業界結業，甚至多年來的投資亦化為烏有。</w:t>
      </w:r>
    </w:p>
    <w:p>
      <w:pPr>
        <w:pStyle w:val="F21"/>
        <w:spacing w:lineRule="atLeast" w:line="370"/>
        <w:rPr>
          <w:szCs w:val="27"/>
        </w:rPr>
      </w:pPr>
      <w:r>
        <w:rPr>
          <w:szCs w:val="27"/>
        </w:rPr>
      </w:r>
    </w:p>
    <w:p>
      <w:pPr>
        <w:pStyle w:val="F21"/>
        <w:spacing w:lineRule="atLeast" w:line="370"/>
        <w:rPr>
          <w:szCs w:val="27"/>
        </w:rPr>
      </w:pPr>
      <w:r>
        <w:rPr>
          <w:szCs w:val="27"/>
        </w:rPr>
        <w:tab/>
      </w:r>
      <w:r>
        <w:rPr>
          <w:szCs w:val="27"/>
        </w:rPr>
        <w:t>雖然從數字上看，現時</w:t>
      </w:r>
      <w:r>
        <w:rPr>
          <w:szCs w:val="27"/>
        </w:rPr>
        <w:t>6</w:t>
      </w:r>
      <w:r>
        <w:rPr>
          <w:szCs w:val="27"/>
        </w:rPr>
        <w:t>個裝卸區提供約</w:t>
      </w:r>
      <w:r>
        <w:rPr>
          <w:szCs w:val="27"/>
        </w:rPr>
        <w:t>130</w:t>
      </w:r>
      <w:r>
        <w:rPr>
          <w:szCs w:val="27"/>
        </w:rPr>
        <w:t>個停泊位，停泊位足以滿足現時</w:t>
      </w:r>
      <w:r>
        <w:rPr>
          <w:szCs w:val="27"/>
        </w:rPr>
        <w:t>100</w:t>
      </w:r>
      <w:r>
        <w:rPr>
          <w:szCs w:val="27"/>
        </w:rPr>
        <w:t>多個營運商，但若深究一下業界的實質運作後便知道，並不是隨意安排一個停泊位，便可滿足業界的需求。如果政府重施故技，只是透過重新編配現有</w:t>
      </w:r>
      <w:r>
        <w:rPr>
          <w:szCs w:val="27"/>
        </w:rPr>
        <w:t>6</w:t>
      </w:r>
      <w:r>
        <w:rPr>
          <w:szCs w:val="27"/>
        </w:rPr>
        <w:t>個裝卸區的泊位，以安置日後昂船洲公眾貨物裝卸區受影響的營運者，必然對貨物裝卸業帶來沉重的打擊。</w:t>
      </w:r>
    </w:p>
    <w:p>
      <w:pPr>
        <w:pStyle w:val="F21"/>
        <w:spacing w:lineRule="atLeast" w:line="370"/>
        <w:rPr>
          <w:szCs w:val="27"/>
        </w:rPr>
      </w:pPr>
      <w:r>
        <w:rPr>
          <w:szCs w:val="27"/>
        </w:rPr>
      </w:r>
    </w:p>
    <w:p>
      <w:pPr>
        <w:pStyle w:val="F21"/>
        <w:spacing w:lineRule="atLeast" w:line="370"/>
        <w:rPr>
          <w:szCs w:val="27"/>
        </w:rPr>
      </w:pPr>
      <w:r>
        <w:rPr>
          <w:szCs w:val="27"/>
        </w:rPr>
        <w:tab/>
      </w:r>
      <w:r>
        <w:rPr>
          <w:szCs w:val="27"/>
        </w:rPr>
        <w:t>由於昂船洲公眾貨物裝卸區營運商的業務主要集中在九龍及新界，若搬遷到例如現有少量空置泊位的港島西區或柴灣裝卸區營運，不但影響運作，同時亦會增加營運費用。在欠缺價錢的競爭力下，客戶自然會流失，若無法經營，就只能結業。在泊位供應不足的情況下，如果政府仍以價高者得的投標方法來分配泊位，最終不但大幅抬高營運成本，還導致汰弱留強，欠缺財力的營運商，即使已經經營多年，亦難逃結業的厄運。</w:t>
      </w:r>
    </w:p>
    <w:p>
      <w:pPr>
        <w:pStyle w:val="F21"/>
        <w:rPr>
          <w:szCs w:val="27"/>
        </w:rPr>
      </w:pPr>
      <w:r>
        <w:rPr>
          <w:szCs w:val="27"/>
        </w:rPr>
      </w:r>
    </w:p>
    <w:p>
      <w:pPr>
        <w:pStyle w:val="F21"/>
        <w:spacing w:lineRule="atLeast" w:line="380"/>
        <w:rPr>
          <w:szCs w:val="27"/>
        </w:rPr>
      </w:pPr>
      <w:r>
        <w:rPr>
          <w:szCs w:val="27"/>
        </w:rPr>
        <w:tab/>
      </w:r>
      <w:r>
        <w:rPr>
          <w:szCs w:val="27"/>
        </w:rPr>
        <w:t>為免重蹈關閉觀塘及茶果嶺兩個裝卸區的覆轍，在當局落實將昂船洲公眾貨物裝卸區升級供遠洋輪船停泊的計劃前，希望政府能及早與受影響的營運者商議適當的安排，包括就有可能因改動而減少的泊位數目提出替補方案，尋找適合的地點安置，以減少對營運者造成的影響。</w:t>
      </w:r>
    </w:p>
    <w:p>
      <w:pPr>
        <w:pStyle w:val="F21"/>
        <w:spacing w:lineRule="atLeast" w:line="380"/>
        <w:rPr>
          <w:szCs w:val="27"/>
        </w:rPr>
      </w:pPr>
      <w:r>
        <w:rPr>
          <w:szCs w:val="27"/>
        </w:rPr>
      </w:r>
    </w:p>
    <w:p>
      <w:pPr>
        <w:pStyle w:val="F21"/>
        <w:spacing w:lineRule="atLeast" w:line="380"/>
        <w:rPr>
          <w:szCs w:val="27"/>
        </w:rPr>
      </w:pPr>
      <w:r>
        <w:rPr>
          <w:szCs w:val="27"/>
        </w:rPr>
        <w:tab/>
      </w:r>
      <w:r>
        <w:rPr>
          <w:szCs w:val="27"/>
        </w:rPr>
        <w:t>裝卸區給人的感覺是較為傳統的行業，運作簡陋，欠缺投資，這是因為裝卸區的短期租約不足令巨額的投資回本。雖然經過業界的爭取，裝卸區的租期已由</w:t>
      </w:r>
      <w:r>
        <w:rPr>
          <w:szCs w:val="27"/>
        </w:rPr>
        <w:t>3</w:t>
      </w:r>
      <w:r>
        <w:rPr>
          <w:szCs w:val="27"/>
        </w:rPr>
        <w:t>年延長至</w:t>
      </w:r>
      <w:r>
        <w:rPr>
          <w:szCs w:val="27"/>
        </w:rPr>
        <w:t>5</w:t>
      </w:r>
      <w:r>
        <w:rPr>
          <w:szCs w:val="27"/>
        </w:rPr>
        <w:t>年，每</w:t>
      </w:r>
      <w:r>
        <w:rPr>
          <w:szCs w:val="27"/>
        </w:rPr>
        <w:t>5</w:t>
      </w:r>
      <w:r>
        <w:rPr>
          <w:szCs w:val="27"/>
        </w:rPr>
        <w:t>年進行一次招標活動，但由於很多不明確的因素，政府又沒有支持業界長遠發展的政策，營運者還是擔心隨時無法經營下去而不願作出長遠的巨額投資。因此，政府應撥地讓裝卸區營運者可作為永久的營運地點，藉此鼓勵他們作長遠投資，提升裝卸區的效率，與此同時，透過改善工作環境，吸引新血入行，解決行內一直面對青黃不接的問題。</w:t>
      </w:r>
    </w:p>
    <w:p>
      <w:pPr>
        <w:pStyle w:val="F21"/>
        <w:spacing w:lineRule="atLeast" w:line="380"/>
        <w:rPr>
          <w:szCs w:val="27"/>
        </w:rPr>
      </w:pPr>
      <w:r>
        <w:rPr>
          <w:szCs w:val="27"/>
        </w:rPr>
      </w:r>
    </w:p>
    <w:p>
      <w:pPr>
        <w:pStyle w:val="F21"/>
        <w:spacing w:lineRule="atLeast" w:line="380"/>
        <w:rPr>
          <w:szCs w:val="27"/>
        </w:rPr>
      </w:pPr>
      <w:r>
        <w:rPr>
          <w:szCs w:val="27"/>
        </w:rPr>
        <w:tab/>
      </w:r>
      <w:r>
        <w:rPr>
          <w:szCs w:val="27"/>
        </w:rPr>
        <w:t>為降低業界的經營成本及提高裝卸區的運作效率，我亦曾就改革裝卸區內的停車場運作及收費與海事處開會跟進，亦邀請對停車場管理有專業知識的人士給予建議，惟基於裝卸區的收費受制於政府收回成本及特定回報率的規限，海事處須就有關建議作詳細研究。不過，既然公眾貨物裝卸區是物流業的基建之一，政府不但以自負盈虧的原則經營，還設定回報率，這是否恰當，確實值得商榷。我希望政府能因應裝卸區是支持物流業的基礎建設，探討減低裝卸區整體收費的可行性。我知悉海事處正就公眾貨物裝卸區的停泊位分配進行檢討，希望有關檢討同時會就改善裝卸區的營運效益一併作研究，特別是業界爭取多年由</w:t>
      </w:r>
      <w:r>
        <w:rPr>
          <w:szCs w:val="27"/>
        </w:rPr>
        <w:t>1</w:t>
      </w:r>
      <w:r>
        <w:rPr>
          <w:szCs w:val="27"/>
        </w:rPr>
        <w:t>小時改為半小時計算的泊車收費建議，亦應研究裝卸區的長遠發展。</w:t>
      </w:r>
    </w:p>
    <w:p>
      <w:pPr>
        <w:pStyle w:val="F21"/>
        <w:spacing w:lineRule="atLeast" w:line="380"/>
        <w:rPr>
          <w:szCs w:val="27"/>
        </w:rPr>
      </w:pPr>
      <w:r>
        <w:rPr>
          <w:szCs w:val="27"/>
        </w:rPr>
      </w:r>
    </w:p>
    <w:p>
      <w:pPr>
        <w:pStyle w:val="F21"/>
        <w:spacing w:lineRule="atLeast" w:line="380"/>
        <w:rPr>
          <w:szCs w:val="27"/>
        </w:rPr>
      </w:pPr>
      <w:r>
        <w:rPr>
          <w:szCs w:val="27"/>
        </w:rPr>
        <w:tab/>
      </w:r>
      <w:r>
        <w:rPr>
          <w:szCs w:val="27"/>
        </w:rPr>
        <w:t>事實上，今天香港的航運物流業能取得卓越成績，在國際上享有一定的地位，提供多元化的運輸服務是十分重要的。貨物裝卸區是物流業重要的一環，香港</w:t>
      </w:r>
      <w:r>
        <w:rPr>
          <w:szCs w:val="27"/>
        </w:rPr>
        <w:t>700</w:t>
      </w:r>
      <w:r>
        <w:rPr>
          <w:szCs w:val="27"/>
        </w:rPr>
        <w:t>萬人口每天使用的多種生活用品、食品，甚至基建工程的建築材料等，均有賴海上運輸，利用裝卸區作為躉船與貨車裝卸貨物，然後送到全港各區，如超市、街市及零售商店供市民選購。有鑒於裝卸區在處理貨物及對本港的經濟貢獻和就業有其重要性，政府確實應就裝卸區的發展制訂長遠規劃，以配合香港經濟支柱物流業的長遠發展。</w:t>
      </w:r>
    </w:p>
    <w:p>
      <w:pPr>
        <w:pStyle w:val="F21"/>
        <w:spacing w:lineRule="atLeast" w:line="390"/>
        <w:rPr>
          <w:szCs w:val="27"/>
        </w:rPr>
      </w:pPr>
      <w:r>
        <w:rPr>
          <w:szCs w:val="27"/>
        </w:rPr>
      </w:r>
    </w:p>
    <w:p>
      <w:pPr>
        <w:pStyle w:val="F21"/>
        <w:spacing w:lineRule="atLeast" w:line="390"/>
        <w:rPr>
          <w:szCs w:val="27"/>
        </w:rPr>
      </w:pPr>
      <w:r>
        <w:rPr>
          <w:szCs w:val="27"/>
        </w:rPr>
        <w:tab/>
      </w:r>
      <w:r>
        <w:rPr>
          <w:szCs w:val="27"/>
        </w:rPr>
        <w:t>主席，我謹此陳辭，支持《</w:t>
      </w:r>
      <w:r>
        <w:rPr>
          <w:szCs w:val="27"/>
        </w:rPr>
        <w:t>2015</w:t>
      </w:r>
      <w:r>
        <w:rPr>
          <w:szCs w:val="27"/>
        </w:rPr>
        <w:t>年港口管制</w:t>
      </w:r>
      <w:r>
        <w:rPr>
          <w:szCs w:val="27"/>
        </w:rPr>
        <w:t>(</w:t>
      </w:r>
      <w:r>
        <w:rPr>
          <w:szCs w:val="27"/>
        </w:rPr>
        <w:t>公眾貨物裝卸區</w:t>
      </w:r>
      <w:r>
        <w:rPr>
          <w:szCs w:val="27"/>
        </w:rPr>
        <w:t>)</w:t>
      </w:r>
      <w:r>
        <w:rPr>
          <w:szCs w:val="27"/>
        </w:rPr>
        <w:t>令》。</w:t>
      </w:r>
    </w:p>
    <w:p>
      <w:pPr>
        <w:pStyle w:val="F21"/>
        <w:spacing w:lineRule="atLeast" w:line="390"/>
        <w:rPr>
          <w:rFonts w:cs="Times New Roman"/>
        </w:rPr>
      </w:pPr>
      <w:r>
        <w:rPr>
          <w:rFonts w:cs="Times New Roman"/>
        </w:rPr>
      </w:r>
    </w:p>
    <w:p>
      <w:pPr>
        <w:pStyle w:val="F21"/>
        <w:spacing w:lineRule="atLeast" w:line="390"/>
        <w:rPr>
          <w:rFonts w:cs="Times New Roman"/>
        </w:rPr>
      </w:pPr>
      <w:r>
        <w:rPr>
          <w:rFonts w:cs="Times New Roman"/>
        </w:rPr>
      </w:r>
    </w:p>
    <w:p>
      <w:pPr>
        <w:pStyle w:val="F21"/>
        <w:spacing w:lineRule="atLeast" w:line="390"/>
        <w:rPr>
          <w:szCs w:val="27"/>
        </w:rPr>
      </w:pPr>
      <w:r>
        <w:rPr>
          <w:rFonts w:eastAsia="華康中黑體"/>
          <w:b/>
          <w:szCs w:val="27"/>
        </w:rPr>
        <w:t>何秀蘭議員</w:t>
      </w:r>
      <w:r>
        <w:rPr>
          <w:szCs w:val="27"/>
        </w:rPr>
        <w:t>：主席，有關這幅土地的用途，</w:t>
      </w:r>
      <w:r>
        <w:rPr>
          <w:szCs w:val="27"/>
        </w:rPr>
        <w:t>2005</w:t>
      </w:r>
      <w:r>
        <w:rPr>
          <w:szCs w:val="27"/>
        </w:rPr>
        <w:t>年研究地鐵港島西線的時候，政府和地鐵公司提出借用躉船貨運碼頭部分土地來運走建築物廢料。當時的說法是地鐵線建成後，這幅土地會用作休憩用地，並成為港島北海濱長廊，貫穿中西區至東區某部分。</w:t>
      </w:r>
    </w:p>
    <w:p>
      <w:pPr>
        <w:pStyle w:val="F21"/>
        <w:spacing w:lineRule="atLeast" w:line="390"/>
        <w:rPr>
          <w:szCs w:val="27"/>
        </w:rPr>
      </w:pPr>
      <w:r>
        <w:rPr>
          <w:szCs w:val="27"/>
        </w:rPr>
      </w:r>
    </w:p>
    <w:p>
      <w:pPr>
        <w:pStyle w:val="F21"/>
        <w:spacing w:lineRule="atLeast" w:line="390"/>
        <w:rPr>
          <w:szCs w:val="27"/>
        </w:rPr>
      </w:pPr>
      <w:r>
        <w:rPr>
          <w:szCs w:val="27"/>
        </w:rPr>
        <w:tab/>
      </w:r>
      <w:r>
        <w:rPr>
          <w:szCs w:val="27"/>
        </w:rPr>
        <w:t>這個構思相當好，但到了今天，地鐵港島西線已經完工，政府提交的附屬法例卻差不多還原基本步，沒有說明當初用作地鐵工地的地方會用作休憩用地，令居民和區議會感到擔心。</w:t>
      </w:r>
    </w:p>
    <w:p>
      <w:pPr>
        <w:pStyle w:val="F21"/>
        <w:spacing w:lineRule="atLeast" w:line="390"/>
        <w:rPr>
          <w:szCs w:val="27"/>
        </w:rPr>
      </w:pPr>
      <w:r>
        <w:rPr>
          <w:szCs w:val="27"/>
        </w:rPr>
      </w:r>
    </w:p>
    <w:p>
      <w:pPr>
        <w:pStyle w:val="F21"/>
        <w:spacing w:lineRule="atLeast" w:line="390"/>
        <w:rPr>
          <w:szCs w:val="27"/>
        </w:rPr>
      </w:pPr>
      <w:r>
        <w:rPr>
          <w:szCs w:val="27"/>
        </w:rPr>
        <w:tab/>
      </w:r>
      <w:r>
        <w:rPr>
          <w:szCs w:val="27"/>
        </w:rPr>
        <w:t>區議會注重休憩用地，而立法會也希望港島北海濱長廊能夠落實。然而，我們明白，內河船運輸和躉船碼頭設施同樣重要。這些躉船碼頭不單用於往來珠江的內河船運輸及廣東省的貨運，也用於運輸貨物及食物到港島和附近數個離島，而且對環保業廢紙回收工作甚為重要。</w:t>
      </w:r>
    </w:p>
    <w:p>
      <w:pPr>
        <w:pStyle w:val="F21"/>
        <w:spacing w:lineRule="atLeast" w:line="390"/>
        <w:rPr>
          <w:szCs w:val="27"/>
        </w:rPr>
      </w:pPr>
      <w:r>
        <w:rPr>
          <w:szCs w:val="27"/>
        </w:rPr>
      </w:r>
    </w:p>
    <w:p>
      <w:pPr>
        <w:pStyle w:val="F21"/>
        <w:spacing w:lineRule="atLeast" w:line="390"/>
        <w:rPr>
          <w:szCs w:val="27"/>
        </w:rPr>
      </w:pPr>
      <w:r>
        <w:rPr>
          <w:szCs w:val="27"/>
        </w:rPr>
        <w:tab/>
      </w:r>
      <w:r>
        <w:rPr>
          <w:szCs w:val="27"/>
        </w:rPr>
        <w:t>為此，兩級議會，即區議會及立法會都面對如何平衡休憩用地與躉船貨運用地的需求。我們知道，業界亦已告訴我們，他們盡量符合當局的要求，縮短營運時間及減少佔用地方和泊位。我們進行審議時曾問及碼頭設施是否多年沒有翻新，是否沿用舊式的運作方法。如要業界縮短營運時間，便會造成困難。我們也曾問及如能翻新碼頭設施，會否利用較少泊位達到同樣的貨物吞吐量。</w:t>
      </w:r>
    </w:p>
    <w:p>
      <w:pPr>
        <w:pStyle w:val="F21"/>
        <w:spacing w:lineRule="atLeast" w:line="390"/>
        <w:rPr>
          <w:szCs w:val="27"/>
        </w:rPr>
      </w:pPr>
      <w:r>
        <w:rPr>
          <w:szCs w:val="27"/>
        </w:rPr>
      </w:r>
    </w:p>
    <w:p>
      <w:pPr>
        <w:pStyle w:val="F21"/>
        <w:spacing w:lineRule="atLeast" w:line="390"/>
        <w:rPr>
          <w:szCs w:val="27"/>
        </w:rPr>
      </w:pPr>
      <w:r>
        <w:rPr>
          <w:szCs w:val="27"/>
        </w:rPr>
        <w:tab/>
      </w:r>
      <w:r>
        <w:rPr>
          <w:szCs w:val="27"/>
        </w:rPr>
        <w:t>當然業界答覆我們說可以，但他們也有困難，因為當局經常以短期租約形式讓他們租用土地。剛才易志明議員提過</w:t>
      </w:r>
      <w:r>
        <w:rPr>
          <w:szCs w:val="27"/>
        </w:rPr>
        <w:t>3</w:t>
      </w:r>
      <w:r>
        <w:rPr>
          <w:szCs w:val="27"/>
        </w:rPr>
        <w:t>年，即使增至</w:t>
      </w:r>
      <w:r>
        <w:rPr>
          <w:szCs w:val="27"/>
        </w:rPr>
        <w:t>5</w:t>
      </w:r>
      <w:r>
        <w:rPr>
          <w:szCs w:val="27"/>
        </w:rPr>
        <w:t>年，如要業界作出大額投資把碼頭設施翻新及現代化，在租期那麼短及土地用途不明朗的情況下，要他們作出大額投資並不公平。</w:t>
      </w:r>
    </w:p>
    <w:p>
      <w:pPr>
        <w:pStyle w:val="F21"/>
        <w:spacing w:lineRule="atLeast" w:line="390"/>
        <w:rPr>
          <w:szCs w:val="27"/>
        </w:rPr>
      </w:pPr>
      <w:r>
        <w:rPr>
          <w:szCs w:val="27"/>
        </w:rPr>
      </w:r>
    </w:p>
    <w:p>
      <w:pPr>
        <w:pStyle w:val="F21"/>
        <w:spacing w:lineRule="atLeast" w:line="390"/>
        <w:rPr>
          <w:szCs w:val="27"/>
        </w:rPr>
      </w:pPr>
      <w:r>
        <w:rPr>
          <w:szCs w:val="27"/>
        </w:rPr>
        <w:tab/>
      </w:r>
      <w:r>
        <w:rPr>
          <w:szCs w:val="27"/>
        </w:rPr>
        <w:t>有關這問題，政府應作出這項投資或盡早就休憩用地和躉船貨運用地的政策進行諮詢，然後作出決策。</w:t>
      </w:r>
      <w:r>
        <w:br w:type="page"/>
      </w:r>
    </w:p>
    <w:p>
      <w:pPr>
        <w:pStyle w:val="F21"/>
        <w:spacing w:lineRule="atLeast" w:line="370"/>
        <w:rPr>
          <w:szCs w:val="27"/>
        </w:rPr>
      </w:pPr>
      <w:r>
        <w:rPr>
          <w:szCs w:val="27"/>
        </w:rPr>
        <w:tab/>
      </w:r>
      <w:r>
        <w:rPr>
          <w:szCs w:val="27"/>
        </w:rPr>
        <w:t>區議會在城市規劃及土地用途方面擔當重要角色，因為區議員在前線接觸居民，聽取民情，他們也有責任平衡各方面的利益。第一，我希望政府不要只關注區議員加薪，從政的人不僅重視薪酬，他們都希望在規劃決策方面擔當角色。政府最應該賦予區議會權力和責任，讓我們看看區議員可否以專業角度作出城市規劃決定。雖然區議員可能會做出錯誤決定，但我們應讓選民決定下一屆會否再選那些人擔任區議員。</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曾擔任區議員若干年，我體會到公務員和官員很怕賦權予區議會，覺得區議員在城市規劃方面會受到選票、地區政治及居民的壓力，不能作整體全盤的規劃。但是，我們可以在制度上作出改進並加以避免。我們多次在會議上說，應該在區議會層面採用比例代表制。整個地區的規劃，不論受歡迎的設施，如圖書館、暖水游泳池，還是厭惡性的設施，如躉船、垃圾站，都應由一個得到最大支持的政黨與當區行政機關一起作出決定，這才是最公道的做法。在政制方面也可以這樣做。</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在擔任區議員的數年期間體會到，任何社區設施均有反對聲音，不單厭惡性設施，即使受歡迎的設施如暖水游泳池也會有人反對。例如，中西區的暖水游泳池也有人反對，因為阻擋對面數層民居本來無敵的海景景觀。我們要明白，雖然任何設施都有反對聲音，但官員、議員或任何級別議會的議員均有責任就香港的發展、利益、規劃游說市民，希望大家都能參與決定。</w:t>
      </w:r>
    </w:p>
    <w:p>
      <w:pPr>
        <w:pStyle w:val="F21"/>
        <w:spacing w:lineRule="atLeast" w:line="370"/>
        <w:rPr>
          <w:szCs w:val="27"/>
        </w:rPr>
      </w:pPr>
      <w:r>
        <w:rPr>
          <w:szCs w:val="27"/>
        </w:rPr>
      </w:r>
    </w:p>
    <w:p>
      <w:pPr>
        <w:pStyle w:val="F21"/>
        <w:spacing w:lineRule="atLeast" w:line="370"/>
        <w:rPr>
          <w:szCs w:val="27"/>
        </w:rPr>
      </w:pPr>
      <w:r>
        <w:rPr>
          <w:szCs w:val="27"/>
        </w:rPr>
        <w:tab/>
      </w:r>
      <w:r>
        <w:rPr>
          <w:szCs w:val="27"/>
        </w:rPr>
        <w:t>最後，若有關規劃對小部分市民造成負面影響，大家應考慮如何補償他們。要小部分市民為公眾利益付出代價，而不作出補償，對他們並不公平。大家應該以這種方法作出決策或落實設施，不論是大型設施如機場第三跑道，還是小型設施如躉船設施及海濱休憩用地，甚至狗廁所。</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躉船泊位是香港必不可缺的措施。易志明議員剛才提到在昂船洲興建更大型遠洋輪船的泊位，我覺得他的說法有點誇大。我知道大家都想趁機會談談整個海港的規劃，但我想繼續討論躉船碼頭泊位的規劃。躉船碼頭是香港不能缺少的社會設施，但相關的用地越來越少。然而，如沒有其他東西可以代替躉船運輸，泊位又不足夠，但當局有意透過土地用途規劃扼殺這個行業，這做法不可行，最終亦會對整個社會造成負面影響。</w:t>
      </w:r>
      <w:r>
        <w:br w:type="page"/>
      </w:r>
    </w:p>
    <w:p>
      <w:pPr>
        <w:pStyle w:val="F21"/>
        <w:spacing w:lineRule="atLeast" w:line="340"/>
        <w:rPr>
          <w:szCs w:val="27"/>
        </w:rPr>
      </w:pPr>
      <w:r>
        <w:rPr>
          <w:szCs w:val="27"/>
        </w:rPr>
        <w:tab/>
      </w:r>
      <w:r>
        <w:rPr>
          <w:szCs w:val="27"/>
        </w:rPr>
        <w:t>我認為政府在作出決策時，由於不能兩邊討好，因而設法迴避和拖延，或拉一派打一派，這樣做無助解決問題。政府必須公開、公道地諮詢居民和業界，讓各方一起討論，務求平衡各方面的利益。政府其後應定出政策方向，做應該做的事。</w:t>
      </w:r>
    </w:p>
    <w:p>
      <w:pPr>
        <w:pStyle w:val="F21"/>
        <w:spacing w:lineRule="atLeast" w:line="340"/>
        <w:rPr>
          <w:szCs w:val="27"/>
        </w:rPr>
      </w:pPr>
      <w:r>
        <w:rPr>
          <w:szCs w:val="27"/>
        </w:rPr>
      </w:r>
    </w:p>
    <w:p>
      <w:pPr>
        <w:pStyle w:val="F21"/>
        <w:spacing w:lineRule="atLeast" w:line="340"/>
        <w:rPr>
          <w:szCs w:val="27"/>
        </w:rPr>
      </w:pPr>
      <w:r>
        <w:rPr>
          <w:szCs w:val="27"/>
        </w:rPr>
        <w:tab/>
      </w:r>
      <w:r>
        <w:rPr>
          <w:szCs w:val="27"/>
        </w:rPr>
        <w:t>對於受到負面影響的居民，應盡量提供補償。不應像現時一樣，經常拖延、迴避或在審議期間答應進行全面諮詢後才作出決策。局長終有一天要作出決策，兩級議會都不能迴避。所以，我希望當局及早在政策上訂出清晰方向，然後思考如何落實，盡量減少對居民造成負面影響，以及盡量平衡各方面的利益。我相信所有從政的人都必須通過這種考驗。多謝主席。</w:t>
      </w:r>
    </w:p>
    <w:p>
      <w:pPr>
        <w:pStyle w:val="F21"/>
        <w:tabs>
          <w:tab w:val="clear" w:pos="567"/>
        </w:tabs>
        <w:spacing w:lineRule="atLeast" w:line="340"/>
        <w:rPr>
          <w:rFonts w:eastAsia="華康中黑體"/>
          <w:b/>
          <w:b/>
        </w:rPr>
      </w:pPr>
      <w:r>
        <w:rPr>
          <w:rFonts w:eastAsia="華康中黑體"/>
          <w:b/>
        </w:rPr>
      </w:r>
    </w:p>
    <w:p>
      <w:pPr>
        <w:pStyle w:val="F21"/>
        <w:tabs>
          <w:tab w:val="clear" w:pos="567"/>
        </w:tabs>
        <w:spacing w:lineRule="atLeast" w:line="340"/>
        <w:rPr>
          <w:rFonts w:eastAsia="華康中黑體"/>
          <w:b/>
          <w:b/>
        </w:rPr>
      </w:pPr>
      <w:r>
        <w:rPr>
          <w:rFonts w:eastAsia="華康中黑體"/>
          <w:b/>
        </w:rPr>
      </w:r>
    </w:p>
    <w:p>
      <w:pPr>
        <w:pStyle w:val="F21"/>
        <w:spacing w:lineRule="atLeast" w:line="340"/>
        <w:rPr>
          <w:szCs w:val="27"/>
        </w:rPr>
      </w:pPr>
      <w:r>
        <w:rPr>
          <w:rFonts w:eastAsia="華康中黑體"/>
          <w:b/>
        </w:rPr>
        <w:t>主席</w:t>
      </w:r>
      <w:r>
        <w:rPr/>
        <w:t>：是否有其他議員想發言？</w:t>
      </w:r>
    </w:p>
    <w:p>
      <w:pPr>
        <w:pStyle w:val="F21"/>
        <w:tabs>
          <w:tab w:val="clear" w:pos="567"/>
        </w:tabs>
        <w:spacing w:lineRule="atLeast" w:line="340"/>
        <w:rPr/>
      </w:pPr>
      <w:r>
        <w:rPr/>
      </w:r>
    </w:p>
    <w:p>
      <w:pPr>
        <w:pStyle w:val="F21"/>
        <w:tabs>
          <w:tab w:val="clear" w:pos="567"/>
        </w:tabs>
        <w:spacing w:lineRule="atLeast" w:line="340"/>
        <w:rPr/>
      </w:pPr>
      <w:r>
        <w:rPr/>
        <w:t>(</w:t>
      </w:r>
      <w:r>
        <w:rPr/>
        <w:t>沒有其他議員表示想發言</w:t>
      </w:r>
      <w:r>
        <w:rPr/>
        <w:t>)</w:t>
      </w:r>
    </w:p>
    <w:p>
      <w:pPr>
        <w:pStyle w:val="F21"/>
        <w:tabs>
          <w:tab w:val="clear" w:pos="567"/>
        </w:tabs>
        <w:spacing w:lineRule="atLeast" w:line="340"/>
        <w:rPr>
          <w:rFonts w:eastAsia="華康中黑體"/>
          <w:b/>
          <w:b/>
        </w:rPr>
      </w:pPr>
      <w:r>
        <w:rPr>
          <w:rFonts w:eastAsia="華康中黑體"/>
          <w:b/>
        </w:rPr>
      </w:r>
    </w:p>
    <w:p>
      <w:pPr>
        <w:pStyle w:val="F21"/>
        <w:tabs>
          <w:tab w:val="clear" w:pos="567"/>
        </w:tabs>
        <w:spacing w:lineRule="atLeast" w:line="340"/>
        <w:rPr>
          <w:rFonts w:eastAsia="華康中黑體"/>
          <w:b/>
          <w:b/>
        </w:rPr>
      </w:pPr>
      <w:r>
        <w:rPr>
          <w:rFonts w:eastAsia="華康中黑體"/>
          <w:b/>
        </w:rPr>
      </w:r>
    </w:p>
    <w:p>
      <w:pPr>
        <w:pStyle w:val="F21"/>
        <w:spacing w:lineRule="atLeast" w:line="340"/>
        <w:rPr/>
      </w:pPr>
      <w:r>
        <w:rPr>
          <w:rFonts w:eastAsia="華康中黑體"/>
          <w:b/>
        </w:rPr>
        <w:t>主席</w:t>
      </w:r>
      <w:r>
        <w:rPr/>
        <w:t>：議員已發言完畢。</w:t>
      </w:r>
    </w:p>
    <w:p>
      <w:pPr>
        <w:pStyle w:val="F21"/>
        <w:spacing w:lineRule="atLeast" w:line="340"/>
        <w:rPr>
          <w:rFonts w:cs="Times New Roman"/>
        </w:rPr>
      </w:pPr>
      <w:r>
        <w:rPr>
          <w:rFonts w:cs="Times New Roman"/>
        </w:rPr>
      </w:r>
    </w:p>
    <w:p>
      <w:pPr>
        <w:pStyle w:val="F21"/>
        <w:spacing w:lineRule="atLeast" w:line="340"/>
        <w:rPr>
          <w:rFonts w:cs="Times New Roman"/>
        </w:rPr>
      </w:pPr>
      <w:r>
        <w:rPr>
          <w:rFonts w:cs="Times New Roman"/>
        </w:rPr>
      </w:r>
    </w:p>
    <w:p>
      <w:pPr>
        <w:pStyle w:val="F21"/>
        <w:spacing w:lineRule="atLeast" w:line="340"/>
        <w:rPr>
          <w:szCs w:val="27"/>
        </w:rPr>
      </w:pPr>
      <w:r>
        <w:rPr>
          <w:rFonts w:ascii="華康中黑體" w:hAnsi="華康中黑體" w:cs="華康中黑體" w:eastAsia="華康中黑體"/>
          <w:b/>
          <w:szCs w:val="27"/>
        </w:rPr>
        <w:t>運輸及房屋局局長</w:t>
      </w:r>
      <w:r>
        <w:rPr>
          <w:szCs w:val="27"/>
        </w:rPr>
        <w:t>：主席，今年</w:t>
      </w:r>
      <w:r>
        <w:rPr>
          <w:szCs w:val="27"/>
        </w:rPr>
        <w:t>2</w:t>
      </w:r>
      <w:r>
        <w:rPr>
          <w:szCs w:val="27"/>
        </w:rPr>
        <w:t>月</w:t>
      </w:r>
      <w:r>
        <w:rPr>
          <w:szCs w:val="27"/>
        </w:rPr>
        <w:t>4</w:t>
      </w:r>
      <w:r>
        <w:rPr>
          <w:szCs w:val="27"/>
        </w:rPr>
        <w:t>日，政府向立法會提交《</w:t>
      </w:r>
      <w:r>
        <w:rPr>
          <w:szCs w:val="27"/>
        </w:rPr>
        <w:t>2015</w:t>
      </w:r>
      <w:r>
        <w:rPr>
          <w:szCs w:val="27"/>
        </w:rPr>
        <w:t>年港口管制</w:t>
      </w:r>
      <w:r>
        <w:rPr>
          <w:szCs w:val="27"/>
        </w:rPr>
        <w:t>(</w:t>
      </w:r>
      <w:r>
        <w:rPr>
          <w:szCs w:val="27"/>
        </w:rPr>
        <w:t>公眾貨物裝卸區</w:t>
      </w:r>
      <w:r>
        <w:rPr>
          <w:szCs w:val="27"/>
        </w:rPr>
        <w:t>)</w:t>
      </w:r>
      <w:r>
        <w:rPr>
          <w:szCs w:val="27"/>
        </w:rPr>
        <w:t>令》</w:t>
      </w:r>
      <w:r>
        <w:rPr>
          <w:szCs w:val="27"/>
        </w:rPr>
        <w:t>(</w:t>
      </w:r>
      <w:r>
        <w:rPr>
          <w:szCs w:val="27"/>
        </w:rPr>
        <w:t>下稱“《命令》”</w:t>
      </w:r>
      <w:r>
        <w:rPr>
          <w:szCs w:val="27"/>
        </w:rPr>
        <w:t>)</w:t>
      </w:r>
      <w:r>
        <w:rPr>
          <w:szCs w:val="27"/>
        </w:rPr>
        <w:t>，修訂西區公眾貨物裝卸區</w:t>
      </w:r>
      <w:r>
        <w:rPr>
          <w:szCs w:val="27"/>
        </w:rPr>
        <w:t>(“</w:t>
      </w:r>
      <w:r>
        <w:rPr>
          <w:szCs w:val="27"/>
        </w:rPr>
        <w:t>西區裝卸區”</w:t>
      </w:r>
      <w:r>
        <w:rPr>
          <w:szCs w:val="27"/>
        </w:rPr>
        <w:t>)</w:t>
      </w:r>
      <w:r>
        <w:rPr>
          <w:szCs w:val="27"/>
        </w:rPr>
        <w:t>界線，立法會其後成立小組委員會審議這項命令。</w:t>
      </w:r>
    </w:p>
    <w:p>
      <w:pPr>
        <w:pStyle w:val="F21"/>
        <w:spacing w:lineRule="atLeast" w:line="340"/>
        <w:rPr>
          <w:szCs w:val="27"/>
        </w:rPr>
      </w:pPr>
      <w:r>
        <w:rPr>
          <w:szCs w:val="27"/>
        </w:rPr>
      </w:r>
    </w:p>
    <w:p>
      <w:pPr>
        <w:pStyle w:val="F21"/>
        <w:spacing w:lineRule="atLeast" w:line="340"/>
        <w:rPr>
          <w:szCs w:val="27"/>
        </w:rPr>
      </w:pPr>
      <w:r>
        <w:rPr>
          <w:szCs w:val="27"/>
        </w:rPr>
        <w:tab/>
      </w:r>
      <w:r>
        <w:rPr>
          <w:szCs w:val="27"/>
        </w:rPr>
        <w:t>首先，我感謝小組委員會主席葉國謙議員和</w:t>
      </w:r>
      <w:r>
        <w:rPr>
          <w:szCs w:val="27"/>
        </w:rPr>
        <w:t>8</w:t>
      </w:r>
      <w:r>
        <w:rPr>
          <w:szCs w:val="27"/>
        </w:rPr>
        <w:t>位委員進行審議工作。在審議過程中，小組委員和政府代表在第二次會議上聽取</w:t>
      </w:r>
      <w:r>
        <w:rPr>
          <w:szCs w:val="27"/>
        </w:rPr>
        <w:t>3</w:t>
      </w:r>
      <w:r>
        <w:rPr>
          <w:szCs w:val="27"/>
        </w:rPr>
        <w:t>個團體的意見，包括中西區區議會、西區裝卸區代表和香港貨船業總商會。最後，小組委員會支持這項《命令》。</w:t>
      </w:r>
    </w:p>
    <w:p>
      <w:pPr>
        <w:pStyle w:val="F21"/>
        <w:spacing w:lineRule="atLeast" w:line="340"/>
        <w:rPr>
          <w:szCs w:val="27"/>
        </w:rPr>
      </w:pPr>
      <w:r>
        <w:rPr>
          <w:szCs w:val="27"/>
        </w:rPr>
      </w:r>
    </w:p>
    <w:p>
      <w:pPr>
        <w:pStyle w:val="F21"/>
        <w:spacing w:lineRule="atLeast" w:line="340"/>
        <w:rPr>
          <w:szCs w:val="27"/>
        </w:rPr>
      </w:pPr>
      <w:r>
        <w:rPr>
          <w:szCs w:val="27"/>
        </w:rPr>
        <w:tab/>
      </w:r>
      <w:r>
        <w:rPr>
          <w:szCs w:val="27"/>
        </w:rPr>
        <w:t>剛才有數位議員發言，我在此扼要回應。</w:t>
      </w:r>
    </w:p>
    <w:p>
      <w:pPr>
        <w:pStyle w:val="F21"/>
        <w:spacing w:lineRule="atLeast" w:line="340"/>
        <w:rPr>
          <w:szCs w:val="27"/>
        </w:rPr>
      </w:pPr>
      <w:r>
        <w:rPr>
          <w:szCs w:val="27"/>
        </w:rPr>
      </w:r>
    </w:p>
    <w:p>
      <w:pPr>
        <w:pStyle w:val="F21"/>
        <w:spacing w:lineRule="atLeast" w:line="340"/>
        <w:rPr>
          <w:szCs w:val="27"/>
        </w:rPr>
      </w:pPr>
      <w:r>
        <w:rPr>
          <w:szCs w:val="27"/>
        </w:rPr>
        <w:tab/>
      </w:r>
      <w:r>
        <w:rPr>
          <w:szCs w:val="27"/>
        </w:rPr>
        <w:t>訂立這項《命令》的目的，是配合中西區區議會在社區重點項目計劃下建議推行的名為“美化及活化西區副食品批發市場的臨海地段”的方案，並透過這項《命令》修訂西區裝卸區的界線，以便在西區副食品批發市場及鄰近空間發展海濱長廊和休憩用地並提供出入口，利便該區議會項目計劃的推展，讓當區居民享用這項設施。所以，這項《命令》完全配合當區居民的需要。</w:t>
      </w:r>
      <w:r>
        <w:br w:type="page"/>
      </w:r>
    </w:p>
    <w:p>
      <w:pPr>
        <w:pStyle w:val="F21"/>
        <w:rPr>
          <w:szCs w:val="27"/>
        </w:rPr>
      </w:pPr>
      <w:r>
        <w:rPr>
          <w:szCs w:val="27"/>
        </w:rPr>
        <w:tab/>
      </w:r>
      <w:r>
        <w:rPr>
          <w:szCs w:val="27"/>
        </w:rPr>
        <w:t>與此同時，為與政府新近撥地的界線一致，這項《命令》也技術性修訂位於西區裝卸區出入口的其餘</w:t>
      </w:r>
      <w:r>
        <w:rPr>
          <w:szCs w:val="27"/>
        </w:rPr>
        <w:t>3</w:t>
      </w:r>
      <w:r>
        <w:rPr>
          <w:szCs w:val="27"/>
        </w:rPr>
        <w:t>小幅面積合共</w:t>
      </w:r>
      <w:r>
        <w:rPr>
          <w:szCs w:val="27"/>
        </w:rPr>
        <w:t>320</w:t>
      </w:r>
      <w:r>
        <w:rPr>
          <w:szCs w:val="27"/>
        </w:rPr>
        <w:t>平方米的土地，把它們納入裝卸區界線內。透過這項輕微修訂，總面積會稍為增加</w:t>
      </w:r>
      <w:r>
        <w:rPr>
          <w:szCs w:val="27"/>
        </w:rPr>
        <w:t>100</w:t>
      </w:r>
      <w:r>
        <w:rPr>
          <w:szCs w:val="27"/>
        </w:rPr>
        <w:t>平方米，可用的沿海地段則維持不變。</w:t>
      </w:r>
    </w:p>
    <w:p>
      <w:pPr>
        <w:pStyle w:val="F21"/>
        <w:rPr>
          <w:szCs w:val="27"/>
        </w:rPr>
      </w:pPr>
      <w:r>
        <w:rPr>
          <w:szCs w:val="27"/>
        </w:rPr>
      </w:r>
    </w:p>
    <w:p>
      <w:pPr>
        <w:pStyle w:val="F21"/>
        <w:rPr>
          <w:szCs w:val="27"/>
        </w:rPr>
      </w:pPr>
      <w:r>
        <w:rPr>
          <w:szCs w:val="27"/>
        </w:rPr>
        <w:tab/>
      </w:r>
      <w:r>
        <w:rPr>
          <w:szCs w:val="27"/>
        </w:rPr>
        <w:t>我知道議員關心西區裝卸區範圍內前躉船轉運站的場地，這地段曾因應西港島線工程而暫時用作港鐵卸泥口。由於工程已於</w:t>
      </w:r>
      <w:r>
        <w:rPr>
          <w:szCs w:val="27"/>
        </w:rPr>
        <w:t>2014</w:t>
      </w:r>
      <w:r>
        <w:rPr>
          <w:szCs w:val="27"/>
        </w:rPr>
        <w:t>年</w:t>
      </w:r>
      <w:r>
        <w:rPr>
          <w:szCs w:val="27"/>
        </w:rPr>
        <w:t>12</w:t>
      </w:r>
      <w:r>
        <w:rPr>
          <w:szCs w:val="27"/>
        </w:rPr>
        <w:t>月</w:t>
      </w:r>
      <w:r>
        <w:rPr>
          <w:szCs w:val="27"/>
        </w:rPr>
        <w:t>31</w:t>
      </w:r>
      <w:r>
        <w:rPr>
          <w:szCs w:val="27"/>
        </w:rPr>
        <w:t>日完成，場地已回歸西區裝卸區範圍。我知道中西區區議會和剛才發言的議員都十分關注躉船貨運站場地日後的用途，但這不是我提出的這項《命令》的主題。</w:t>
      </w:r>
    </w:p>
    <w:p>
      <w:pPr>
        <w:pStyle w:val="F21"/>
        <w:rPr>
          <w:szCs w:val="27"/>
        </w:rPr>
      </w:pPr>
      <w:r>
        <w:rPr>
          <w:szCs w:val="27"/>
        </w:rPr>
      </w:r>
    </w:p>
    <w:p>
      <w:pPr>
        <w:pStyle w:val="F21"/>
        <w:rPr>
          <w:szCs w:val="27"/>
        </w:rPr>
      </w:pPr>
      <w:r>
        <w:rPr>
          <w:szCs w:val="27"/>
        </w:rPr>
        <w:tab/>
      </w:r>
      <w:r>
        <w:rPr>
          <w:szCs w:val="27"/>
        </w:rPr>
        <w:t>在審議這項《命令》的小組委員會會議上，議員提出很多不同意見，剛才易志明議員、何秀蘭議員和小組委員會主席葉國謙議員都發表了意見。我們明白，中西區區議會期望在區內提供更多休憩用地，對海濱長廊用地有很大期望；葉議員剛才也提到這點。另一方面，業界，主要是裝卸業業界，對西區裝卸區非常關注，希望政府能夠兼顧裝卸區營運者的長遠需要，以及他們對香港經濟的貢獻等因素。</w:t>
      </w:r>
    </w:p>
    <w:p>
      <w:pPr>
        <w:pStyle w:val="F21"/>
        <w:rPr>
          <w:szCs w:val="27"/>
        </w:rPr>
      </w:pPr>
      <w:r>
        <w:rPr>
          <w:szCs w:val="27"/>
        </w:rPr>
      </w:r>
    </w:p>
    <w:p>
      <w:pPr>
        <w:pStyle w:val="F21"/>
        <w:rPr>
          <w:szCs w:val="27"/>
        </w:rPr>
      </w:pPr>
      <w:r>
        <w:rPr>
          <w:szCs w:val="27"/>
        </w:rPr>
        <w:tab/>
      </w:r>
      <w:r>
        <w:rPr>
          <w:szCs w:val="27"/>
        </w:rPr>
        <w:t>西區裝卸區處理的貨物相當多，去年處理貨物約達</w:t>
      </w:r>
      <w:r>
        <w:rPr>
          <w:szCs w:val="27"/>
        </w:rPr>
        <w:t>30</w:t>
      </w:r>
      <w:r>
        <w:rPr>
          <w:szCs w:val="27"/>
        </w:rPr>
        <w:t>萬公噸，而運送貨物到該裝卸區的車輛約為</w:t>
      </w:r>
      <w:r>
        <w:rPr>
          <w:szCs w:val="27"/>
        </w:rPr>
        <w:t>85 000</w:t>
      </w:r>
      <w:r>
        <w:rPr>
          <w:szCs w:val="27"/>
        </w:rPr>
        <w:t>架次。此外，西區裝卸區在運送貨物往來離島和澳門，以及不能經海底隧道運送的大型預製組件方面亦發揮作用。因此，我們不能夠低估西區裝卸區發揮的作用。我們必須適當平衡不同持份者的需要，在溝通協商方面，政府有關部門亦要做得更好，並設法平衡各方的需要，找出一個妥善的方案。我們日後亦會繼續這樣做。</w:t>
      </w:r>
    </w:p>
    <w:p>
      <w:pPr>
        <w:pStyle w:val="F21"/>
        <w:rPr>
          <w:szCs w:val="27"/>
        </w:rPr>
      </w:pPr>
      <w:r>
        <w:rPr>
          <w:szCs w:val="27"/>
        </w:rPr>
      </w:r>
    </w:p>
    <w:p>
      <w:pPr>
        <w:pStyle w:val="F21"/>
        <w:rPr>
          <w:szCs w:val="27"/>
        </w:rPr>
      </w:pPr>
      <w:r>
        <w:rPr>
          <w:szCs w:val="27"/>
        </w:rPr>
        <w:tab/>
      </w:r>
      <w:r>
        <w:rPr>
          <w:szCs w:val="27"/>
        </w:rPr>
        <w:t>由於大家都很關注公眾貨物裝卸區停泊位的問題，而有關停泊位的特許協議將於</w:t>
      </w:r>
      <w:r>
        <w:rPr>
          <w:szCs w:val="27"/>
        </w:rPr>
        <w:t>2016</w:t>
      </w:r>
      <w:r>
        <w:rPr>
          <w:szCs w:val="27"/>
        </w:rPr>
        <w:t>年</w:t>
      </w:r>
      <w:r>
        <w:rPr>
          <w:szCs w:val="27"/>
        </w:rPr>
        <w:t>7</w:t>
      </w:r>
      <w:r>
        <w:rPr>
          <w:szCs w:val="27"/>
        </w:rPr>
        <w:t>月</w:t>
      </w:r>
      <w:r>
        <w:rPr>
          <w:szCs w:val="27"/>
        </w:rPr>
        <w:t>31</w:t>
      </w:r>
      <w:r>
        <w:rPr>
          <w:szCs w:val="27"/>
        </w:rPr>
        <w:t>日屆滿，海事處現正為全港</w:t>
      </w:r>
      <w:r>
        <w:rPr>
          <w:szCs w:val="27"/>
        </w:rPr>
        <w:t>6</w:t>
      </w:r>
      <w:r>
        <w:rPr>
          <w:szCs w:val="27"/>
        </w:rPr>
        <w:t>個公眾貨物裝卸區，包括西區裝卸區進行全面檢討。處方希望在充分考慮裝卸區的運作、未來發展及平衡不同持份者的需要後，制訂裝卸區停泊位的未來分配辦法。</w:t>
      </w:r>
    </w:p>
    <w:p>
      <w:pPr>
        <w:pStyle w:val="F21"/>
        <w:rPr>
          <w:szCs w:val="27"/>
        </w:rPr>
      </w:pPr>
      <w:r>
        <w:rPr>
          <w:szCs w:val="27"/>
        </w:rPr>
      </w:r>
    </w:p>
    <w:p>
      <w:pPr>
        <w:pStyle w:val="F21"/>
        <w:tabs>
          <w:tab w:val="left" w:pos="0" w:leader="none"/>
          <w:tab w:val="left" w:pos="567" w:leader="none"/>
        </w:tabs>
        <w:rPr>
          <w:szCs w:val="27"/>
        </w:rPr>
      </w:pPr>
      <w:r>
        <w:rPr>
          <w:szCs w:val="27"/>
        </w:rPr>
        <w:tab/>
      </w:r>
      <w:r>
        <w:rPr>
          <w:szCs w:val="27"/>
        </w:rPr>
        <w:t>這項檢討預計會在今年年中完成，當局會就檢討結果諮詢各相關持份者，例如裝卸區營運商、有關區議會，以及立法會相關事務委員會。引用何議員剛才的說法，如有不同的考慮因素，便應把所有問題“擺上檯”，大家透過充分溝通協商，互相尊重大家不同的需要，以達至平衡。我亦很同意葉國謙議員剛才所說，當中不存在所謂你死我活的關係，最重要的是大家都能聽取別人的意見。</w:t>
      </w:r>
      <w:r>
        <w:br w:type="page"/>
      </w:r>
    </w:p>
    <w:p>
      <w:pPr>
        <w:pStyle w:val="F21"/>
        <w:tabs>
          <w:tab w:val="left" w:pos="480" w:leader="none"/>
          <w:tab w:val="left" w:pos="567" w:leader="none"/>
        </w:tabs>
        <w:rPr>
          <w:szCs w:val="27"/>
        </w:rPr>
      </w:pPr>
      <w:r>
        <w:rPr>
          <w:szCs w:val="27"/>
        </w:rPr>
        <w:tab/>
      </w:r>
      <w:r>
        <w:rPr>
          <w:szCs w:val="27"/>
        </w:rPr>
        <w:t>就西區裝卸區的安排，我們同樣會進行諮詢，然後就前躉船轉運站場地的用途和其他相關事宜，決定未來路向。我在這裏說清楚，在進行這些程序之前，海事處不會就前躉船轉運站場地的停泊位進行招租工作和程序。</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主席，今天提交本會的《命令》的修訂純屬技術性調整。視乎日後海事處對公眾貨物裝卸區的檢討、發展需要和諮詢結果，如有需要，我們會提出修訂，更新西區裝卸區的界線。</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主席，我謹此陳辭。</w:t>
      </w:r>
    </w:p>
    <w:p>
      <w:pPr>
        <w:pStyle w:val="F21"/>
        <w:tabs>
          <w:tab w:val="clear" w:pos="567"/>
        </w:tabs>
        <w:spacing w:lineRule="atLeast" w:line="370"/>
        <w:rPr>
          <w:rFonts w:eastAsia="華康中黑體"/>
          <w:b/>
          <w:b/>
        </w:rPr>
      </w:pPr>
      <w:r>
        <w:rPr>
          <w:rFonts w:eastAsia="華康中黑體"/>
          <w:b/>
        </w:rPr>
      </w:r>
    </w:p>
    <w:p>
      <w:pPr>
        <w:pStyle w:val="F21"/>
        <w:tabs>
          <w:tab w:val="clear" w:pos="567"/>
        </w:tabs>
        <w:spacing w:lineRule="atLeast" w:line="370"/>
        <w:rPr>
          <w:rFonts w:eastAsia="華康中黑體"/>
          <w:b/>
          <w:b/>
        </w:rPr>
      </w:pPr>
      <w:r>
        <w:rPr>
          <w:rFonts w:eastAsia="華康中黑體"/>
          <w:b/>
        </w:rPr>
      </w:r>
    </w:p>
    <w:p>
      <w:pPr>
        <w:pStyle w:val="F21"/>
        <w:spacing w:lineRule="atLeast" w:line="370"/>
        <w:rPr/>
      </w:pPr>
      <w:r>
        <w:rPr>
          <w:rFonts w:eastAsia="華康中黑體"/>
          <w:b/>
        </w:rPr>
        <w:t>主席</w:t>
      </w:r>
      <w:r>
        <w:rPr/>
        <w:t>：辯論結束，根據《議事規則》第</w:t>
      </w:r>
      <w:r>
        <w:rPr/>
        <w:t>49E(9)</w:t>
      </w:r>
      <w:r>
        <w:rPr/>
        <w:t>條，我不會就議案提出待決議題。</w:t>
      </w:r>
    </w:p>
    <w:p>
      <w:pPr>
        <w:pStyle w:val="F21"/>
        <w:tabs>
          <w:tab w:val="clear" w:pos="567"/>
        </w:tabs>
        <w:spacing w:lineRule="atLeast" w:line="370"/>
        <w:rPr>
          <w:rFonts w:eastAsia="華康中黑體"/>
          <w:b/>
          <w:b/>
        </w:rPr>
      </w:pPr>
      <w:r>
        <w:rPr>
          <w:rFonts w:eastAsia="華康中黑體"/>
          <w:b/>
        </w:rPr>
      </w:r>
    </w:p>
    <w:p>
      <w:pPr>
        <w:pStyle w:val="F21"/>
        <w:tabs>
          <w:tab w:val="clear" w:pos="567"/>
        </w:tabs>
        <w:spacing w:lineRule="atLeast" w:line="370"/>
        <w:rPr>
          <w:rFonts w:eastAsia="華康中黑體"/>
          <w:b/>
          <w:b/>
        </w:rPr>
      </w:pPr>
      <w:r>
        <w:rPr>
          <w:rFonts w:eastAsia="華康中黑體"/>
          <w:b/>
        </w:rPr>
      </w:r>
    </w:p>
    <w:p>
      <w:pPr>
        <w:pStyle w:val="F21"/>
        <w:spacing w:lineRule="atLeast" w:line="370"/>
        <w:rPr/>
      </w:pPr>
      <w:r>
        <w:rPr>
          <w:rFonts w:eastAsia="華康中黑體"/>
          <w:b/>
        </w:rPr>
        <w:t>主席</w:t>
      </w:r>
      <w:r>
        <w:rPr/>
        <w:t>：無立法效力的議案辯論。</w:t>
      </w:r>
    </w:p>
    <w:p>
      <w:pPr>
        <w:pStyle w:val="F21"/>
        <w:spacing w:lineRule="atLeast" w:line="370"/>
        <w:rPr/>
      </w:pPr>
      <w:r>
        <w:rPr/>
      </w:r>
    </w:p>
    <w:p>
      <w:pPr>
        <w:pStyle w:val="F21"/>
        <w:spacing w:lineRule="atLeast" w:line="370"/>
        <w:rPr/>
      </w:pPr>
      <w:r>
        <w:rPr/>
        <w:tab/>
      </w:r>
      <w:r>
        <w:rPr>
          <w:szCs w:val="27"/>
        </w:rPr>
        <w:t>“</w:t>
      </w:r>
      <w:r>
        <w:rPr/>
        <w:t>平衡旅遊業對香港經濟和市民的影響</w:t>
      </w:r>
      <w:r>
        <w:rPr>
          <w:szCs w:val="27"/>
        </w:rPr>
        <w:t>”</w:t>
      </w:r>
      <w:r>
        <w:rPr/>
        <w:t>的議案辯論。</w:t>
      </w:r>
    </w:p>
    <w:p>
      <w:pPr>
        <w:pStyle w:val="F21"/>
        <w:spacing w:lineRule="atLeast" w:line="370"/>
        <w:rPr/>
      </w:pPr>
      <w:r>
        <w:rPr/>
      </w:r>
    </w:p>
    <w:p>
      <w:pPr>
        <w:pStyle w:val="F21"/>
        <w:spacing w:lineRule="atLeast" w:line="370"/>
        <w:rPr/>
      </w:pPr>
      <w:r>
        <w:rPr/>
        <w:tab/>
      </w:r>
      <w:r>
        <w:rPr/>
        <w:t>有意就議案辯論發言的議員請按下</w:t>
      </w:r>
      <w:r>
        <w:rPr>
          <w:szCs w:val="27"/>
        </w:rPr>
        <w:t>“</w:t>
      </w:r>
      <w:r>
        <w:rPr/>
        <w:t>要求發言</w:t>
      </w:r>
      <w:r>
        <w:rPr>
          <w:szCs w:val="27"/>
        </w:rPr>
        <w:t>”</w:t>
      </w:r>
      <w:r>
        <w:rPr/>
        <w:t>按鈕。</w:t>
      </w:r>
    </w:p>
    <w:p>
      <w:pPr>
        <w:pStyle w:val="F21"/>
        <w:spacing w:lineRule="atLeast" w:line="370"/>
        <w:rPr/>
      </w:pPr>
      <w:r>
        <w:rPr/>
      </w:r>
    </w:p>
    <w:p>
      <w:pPr>
        <w:pStyle w:val="F21"/>
        <w:spacing w:lineRule="atLeast" w:line="370"/>
        <w:rPr/>
      </w:pPr>
      <w:r>
        <w:rPr/>
        <w:tab/>
      </w:r>
      <w:r>
        <w:rPr/>
        <w:t>我現在請方剛議員發言及動議議案。</w:t>
      </w:r>
    </w:p>
    <w:p>
      <w:pPr>
        <w:pStyle w:val="F21"/>
        <w:spacing w:lineRule="atLeast" w:line="370"/>
        <w:rPr/>
      </w:pPr>
      <w:r>
        <w:rPr/>
      </w:r>
    </w:p>
    <w:p>
      <w:pPr>
        <w:pStyle w:val="F21"/>
        <w:spacing w:lineRule="atLeast" w:line="370"/>
        <w:rPr>
          <w:rFonts w:cs="Times New Roman"/>
        </w:rPr>
      </w:pPr>
      <w:r>
        <w:rPr>
          <w:rFonts w:cs="Times New Roman"/>
        </w:rPr>
      </w:r>
    </w:p>
    <w:p>
      <w:pPr>
        <w:pStyle w:val="F21"/>
        <w:spacing w:lineRule="atLeast" w:line="370"/>
        <w:rPr>
          <w:rFonts w:eastAsia="華康中黑體" w:cs="Times New Roman"/>
          <w:b/>
          <w:b/>
        </w:rPr>
      </w:pPr>
      <w:bookmarkStart w:id="92" w:name="mbm06"/>
      <w:r>
        <w:rPr>
          <w:rFonts w:cs="Times New Roman" w:eastAsia="華康中黑體"/>
          <w:b/>
        </w:rPr>
        <w:t>平衡旅遊業對香港經濟和市民的影響</w:t>
      </w:r>
    </w:p>
    <w:p>
      <w:pPr>
        <w:pStyle w:val="Normal"/>
        <w:spacing w:lineRule="atLeast" w:line="370"/>
        <w:rPr>
          <w:b/>
          <w:b/>
          <w:caps/>
        </w:rPr>
      </w:pPr>
      <w:bookmarkStart w:id="93" w:name="mbm06"/>
      <w:r>
        <w:rPr>
          <w:b/>
          <w:caps/>
        </w:rPr>
        <w:t>Balancing the impacts of the tourism industry on the economy and people of Hong Kong</w:t>
      </w:r>
      <w:bookmarkEnd w:id="93"/>
    </w:p>
    <w:p>
      <w:pPr>
        <w:pStyle w:val="F21"/>
        <w:spacing w:lineRule="atLeast" w:line="370"/>
        <w:rPr>
          <w:rFonts w:cs="Times New Roman"/>
        </w:rPr>
      </w:pPr>
      <w:r>
        <w:rPr>
          <w:rFonts w:cs="Times New Roman"/>
        </w:rPr>
      </w:r>
    </w:p>
    <w:p>
      <w:pPr>
        <w:pStyle w:val="F21"/>
        <w:spacing w:lineRule="atLeast" w:line="370"/>
        <w:rPr/>
      </w:pPr>
      <w:r>
        <w:rPr>
          <w:rFonts w:ascii="華康中黑體" w:hAnsi="華康中黑體" w:cs="華康中黑體" w:eastAsia="華康中黑體"/>
          <w:b/>
        </w:rPr>
        <w:t>方剛議員</w:t>
      </w:r>
      <w:r>
        <w:rPr/>
        <w:t>：主席，我動議通過印載於議程內的議案。</w:t>
      </w:r>
    </w:p>
    <w:p>
      <w:pPr>
        <w:pStyle w:val="F21"/>
        <w:spacing w:lineRule="atLeast" w:line="370"/>
        <w:rPr/>
      </w:pPr>
      <w:r>
        <w:rPr/>
      </w:r>
    </w:p>
    <w:p>
      <w:pPr>
        <w:pStyle w:val="F21"/>
        <w:spacing w:lineRule="atLeast" w:line="370"/>
        <w:rPr/>
      </w:pPr>
      <w:r>
        <w:rPr/>
        <w:tab/>
      </w:r>
      <w:r>
        <w:rPr/>
        <w:t>主席，對於內地居民來港個人遊，即我們俗稱的自由行，以及深圳居民一簽多行的政策，利用香港自由港政策多次攜帶商品到內地，俗稱“水貨活動”所引發的中港矛盾、香港人不滿等問題，究竟責任誰屬？我認為責任在於特區政府。行政長官前兩天指責有</w:t>
      </w:r>
      <w:r>
        <w:rPr>
          <w:rFonts w:ascii="華康細明體" w:hAnsi="華康細明體" w:cs="華康細明體"/>
        </w:rPr>
        <w:t>議員</w:t>
      </w:r>
      <w:r>
        <w:rPr/>
        <w:t>牽頭“拖篋”反水貨客，當然，水貨活動越來越熾熱，對市民造成滋擾，而所謂反水貨客的活動越來越失控，而且出現以暴力對待婦孺和長者的行為，參與者理應受到譴責和法律制裁，但特區政府一直沒有正視和處理這個問題，才是罪魁禍首。</w:t>
      </w:r>
    </w:p>
    <w:p>
      <w:pPr>
        <w:pStyle w:val="F21"/>
        <w:spacing w:lineRule="atLeast" w:line="370"/>
        <w:rPr/>
      </w:pPr>
      <w:r>
        <w:rPr/>
      </w:r>
    </w:p>
    <w:p>
      <w:pPr>
        <w:pStyle w:val="F21"/>
        <w:spacing w:lineRule="atLeast" w:line="370"/>
        <w:rPr/>
      </w:pPr>
      <w:r>
        <w:rPr/>
        <w:tab/>
      </w:r>
      <w:r>
        <w:rPr/>
        <w:t>雖然一般人也明白，這類反水貨客的行動或光復行動，其實是某些別有用心的人一方面藉行為宣泄對政府、社會，甚至生活的不滿；另一方面打擊特區政府的管治、爭取選票、提高知名度，但這也是特區政府給他們機會這樣做。相信大家仍然記得，自由行的歷史。</w:t>
      </w:r>
      <w:r>
        <w:rPr/>
        <w:t>2003</w:t>
      </w:r>
      <w:r>
        <w:rPr/>
        <w:t>年，香港經歷</w:t>
      </w:r>
      <w:r>
        <w:rPr/>
        <w:t>SARS</w:t>
      </w:r>
      <w:r>
        <w:rPr/>
        <w:t>疫症之後，經濟全面衰退，擁有負資產的人比比皆是，商店、旅遊區十室九空，失業率上升。商界於是聯同政府上京，希望北京可以北水南調以救香港，同時亦提出開放自由行，因為過去除公務和探親簽證外，內地居民前來旅遊必須參加旅行團，但沒有做旅遊團生意的商店和行業均未能受惠，我們因此希望藉着自由行帶旺整個市面。我在立法會曾多次表示，當時的國務院副總理吳儀曾說：“放，不是問題，但要知道政策一放難收，香港是否有這樣的承受能力呢？”當時香港的形勢令人憂慮，大家當然“托塔”也會應承。</w:t>
      </w:r>
    </w:p>
    <w:p>
      <w:pPr>
        <w:pStyle w:val="F21"/>
        <w:spacing w:lineRule="atLeast" w:line="370"/>
        <w:rPr/>
      </w:pPr>
      <w:r>
        <w:rPr/>
      </w:r>
    </w:p>
    <w:p>
      <w:pPr>
        <w:pStyle w:val="F21"/>
        <w:spacing w:lineRule="atLeast" w:line="370"/>
        <w:rPr/>
      </w:pPr>
      <w:r>
        <w:rPr/>
        <w:tab/>
      </w:r>
      <w:r>
        <w:rPr/>
        <w:t>事實證明，自由行挽救了香港的經濟，開放不足半年，香港的經濟已重拾升軌。</w:t>
      </w:r>
      <w:r>
        <w:rPr/>
        <w:t>2008</w:t>
      </w:r>
      <w:r>
        <w:rPr/>
        <w:t>年全球金融海嘯爆發，漣漪一波一波地打擊全球經濟，雖然香港作為國際金融中心之一難免受到影響，但由於中國沒有受到重大衝擊，市民的消費力不減，中央更在</w:t>
      </w:r>
      <w:r>
        <w:rPr/>
        <w:t>2009</w:t>
      </w:r>
      <w:r>
        <w:rPr/>
        <w:t>年</w:t>
      </w:r>
      <w:r>
        <w:rPr/>
        <w:t>4</w:t>
      </w:r>
      <w:r>
        <w:rPr/>
        <w:t>月進一步救香港，推出合資格深圳戶籍居民的一簽多行政策。這兩項措施可說支撐着香港整個經濟，對我們的就業、市民收入也有一定貢獻，連現任行政長官梁振英先生在</w:t>
      </w:r>
      <w:r>
        <w:rPr/>
        <w:t>2012</w:t>
      </w:r>
      <w:r>
        <w:rPr/>
        <w:t>年</w:t>
      </w:r>
      <w:r>
        <w:rPr/>
        <w:t>7</w:t>
      </w:r>
      <w:r>
        <w:rPr/>
        <w:t>月上任之後，亦向批發零售行業表示，自由行政策對香港經濟有龐大貢獻，他稍後會向北京要求開放更多城市居民來港自由行。</w:t>
      </w:r>
    </w:p>
    <w:p>
      <w:pPr>
        <w:pStyle w:val="F21"/>
        <w:spacing w:lineRule="atLeast" w:line="370"/>
        <w:rPr/>
      </w:pPr>
      <w:r>
        <w:rPr/>
      </w:r>
    </w:p>
    <w:p>
      <w:pPr>
        <w:pStyle w:val="F21"/>
        <w:spacing w:lineRule="atLeast" w:line="370"/>
        <w:rPr/>
      </w:pPr>
      <w:r>
        <w:rPr/>
        <w:tab/>
      </w:r>
      <w:r>
        <w:rPr/>
        <w:t>那麼，局面從何時開始轉變呢？我認為是</w:t>
      </w:r>
      <w:r>
        <w:rPr/>
        <w:t>2013</w:t>
      </w:r>
      <w:r>
        <w:rPr/>
        <w:t>年農曆年間，急就章推出“限奶令”的時候。我當時反對這項措施，並且已經指出，“限奶令”會促使水貨活動更活躍，甚至出現</w:t>
      </w:r>
      <w:r>
        <w:rPr>
          <w:szCs w:val="27"/>
        </w:rPr>
        <w:t>“</w:t>
      </w:r>
      <w:r>
        <w:rPr/>
        <w:t>全民皆水客</w:t>
      </w:r>
      <w:r>
        <w:rPr>
          <w:szCs w:val="27"/>
        </w:rPr>
        <w:t>”</w:t>
      </w:r>
      <w:r>
        <w:rPr/>
        <w:t>，因為受限制的商品越來越奇貨可居。非常不幸，我這種說法，今天已變成事實。</w:t>
      </w:r>
    </w:p>
    <w:p>
      <w:pPr>
        <w:pStyle w:val="F21"/>
        <w:spacing w:lineRule="atLeast" w:line="370"/>
        <w:rPr/>
      </w:pPr>
      <w:r>
        <w:rPr/>
      </w:r>
    </w:p>
    <w:p>
      <w:pPr>
        <w:pStyle w:val="F21"/>
        <w:spacing w:lineRule="atLeast" w:line="370"/>
        <w:rPr/>
      </w:pPr>
      <w:r>
        <w:rPr/>
        <w:tab/>
      </w:r>
      <w:r>
        <w:rPr/>
        <w:t>我想強調，香港法例允許水貨活動，或俗稱平衡貿易，這種模式為很多青年人提供自行創業的機會，亦令很多中小企業得以生存。即使現在，攜帶兩罐奶粉或兩盤益力多到深圳轉售，只要攜帶的貨物沒有違規，沒有超額，仍然是合法行為。正如“長毛”兩年前替這些人說話，說他們也付出了勞力和時間來賺取工資，總比向政府申請綜援好，這一點我絕對同意。只可惜，政府推行“限奶令‍”不當，將水貨活動一浪又一浪推高，令水貨客設法攜帶一些不會觸犯法例的商品，以增加每一程的收入，才會造成過度的水貨分發活動滋擾市民的局面。</w:t>
      </w:r>
    </w:p>
    <w:p>
      <w:pPr>
        <w:pStyle w:val="F21"/>
        <w:rPr/>
      </w:pPr>
      <w:r>
        <w:rPr/>
      </w:r>
    </w:p>
    <w:p>
      <w:pPr>
        <w:pStyle w:val="F21"/>
        <w:rPr/>
      </w:pPr>
      <w:r>
        <w:rPr/>
        <w:tab/>
      </w:r>
      <w:r>
        <w:rPr/>
        <w:t>我肯定會有同事批評我這種說法，說我是否想令香港的嬰孩沒有奶粉可吃，但我想問一問大家，鄰近的澳門有否限制嬰兒配方粉出境呢？是沒有的，澳門有沒有水貨客？絕對不少。為何澳門又沒有出現香港這些問題？因為澳門用對方法，便是正如我多次建議，向本地出生嬰兒發放配方粉供應卡，要求供應商保留足夠數量的配方粉予本地嬰兒，其他的便任由出口。我實在不明白為何政府一定要採用限制出口這種愚笨的方法，今天水貨的問題導致中港矛盾白熱化的局面，決定和支持實施“限奶令”的人，都是責無旁貸。</w:t>
      </w:r>
    </w:p>
    <w:p>
      <w:pPr>
        <w:pStyle w:val="F21"/>
        <w:rPr/>
      </w:pPr>
      <w:r>
        <w:rPr/>
      </w:r>
    </w:p>
    <w:p>
      <w:pPr>
        <w:pStyle w:val="F21"/>
        <w:rPr/>
      </w:pPr>
      <w:r>
        <w:rPr/>
        <w:tab/>
      </w:r>
      <w:r>
        <w:rPr/>
        <w:t>自由行政策推出</w:t>
      </w:r>
      <w:r>
        <w:rPr/>
        <w:t>13</w:t>
      </w:r>
      <w:r>
        <w:rPr/>
        <w:t>年以來，特區政府對內地遊客持續增加，簡直視若無睹。現時因為內地遊客比較多，令市民產生矛盾，於是倒過頭來請中央政府把政策收緊一些。這點對我來說，簡直是荒謬。生意不景，便要求客戶多給你生意，但自己既不增加生產線，也沒有增加人手，現在撐不住了，便叫客戶不要給你這麼多訂單。試問客戶以後還會對你有信心嗎？</w:t>
      </w:r>
    </w:p>
    <w:p>
      <w:pPr>
        <w:pStyle w:val="F21"/>
        <w:rPr/>
      </w:pPr>
      <w:r>
        <w:rPr/>
      </w:r>
    </w:p>
    <w:p>
      <w:pPr>
        <w:pStyle w:val="F21"/>
        <w:rPr/>
      </w:pPr>
      <w:r>
        <w:rPr/>
        <w:tab/>
      </w:r>
      <w:r>
        <w:rPr/>
        <w:t>由於買一支洗頭水及吃一碗叉燒飯都是生意，批發、零售，以及其他旅遊相關的行業，都不希望看到現時的自由行和一簽多行政策因此被收緊，更希望中央能夠開放更多城市的居民來港自由行，以挽救去年已經開始放緩的遊客購買力。但是，因為香港的旅遊、交通及零售設施，未能與內地遊客增長的速度同步擴展，購物區比較擁擠；加上不斷發生針對內地遊客的事件已經在內地廣泛報道，內地遊客杯葛香港購物的行動逐步擴大。自農曆新年至今，內地遊客的數目開始放緩，較去年減少，已經是不爭的事實。如果這類針對內地遊客的行動持續，對香港經濟和就業的影響，會較調整自由行及一簽多行更為嚴重。</w:t>
      </w:r>
    </w:p>
    <w:p>
      <w:pPr>
        <w:pStyle w:val="F21"/>
        <w:rPr/>
      </w:pPr>
      <w:r>
        <w:rPr/>
      </w:r>
    </w:p>
    <w:p>
      <w:pPr>
        <w:pStyle w:val="F21"/>
        <w:rPr/>
      </w:pPr>
      <w:r>
        <w:rPr/>
        <w:tab/>
      </w:r>
      <w:r>
        <w:rPr/>
        <w:t>我就這項議題多番與業界交流意見，業界都支持透過合理的調整，減少內地遊客對市民的影響，從而將香港的旅遊業重推正軌。由於自由行和水貨客並不相同，而現時令香港市民最為反感的是水貨客和不過夜的“拖篋客”。因此，業界希望特區政府能夠對症下藥，考慮我們以下</w:t>
      </w:r>
      <w:r>
        <w:rPr/>
        <w:t>5</w:t>
      </w:r>
      <w:r>
        <w:rPr/>
        <w:t>點建議：</w:t>
      </w:r>
    </w:p>
    <w:p>
      <w:pPr>
        <w:pStyle w:val="F21"/>
        <w:rPr/>
      </w:pPr>
      <w:r>
        <w:rPr/>
      </w:r>
    </w:p>
    <w:p>
      <w:pPr>
        <w:pStyle w:val="F21"/>
        <w:ind w:left="1418" w:hanging="851"/>
        <w:rPr/>
      </w:pPr>
      <w:r>
        <w:rPr/>
        <w:t>(</w:t>
      </w:r>
      <w:r>
        <w:rPr/>
        <w:t>一</w:t>
      </w:r>
      <w:r>
        <w:rPr/>
        <w:t>)</w:t>
        <w:tab/>
      </w:r>
      <w:r>
        <w:rPr/>
        <w:t>增加水貨客的成本：每天由陸路口岸進出境的遊客，首次過境免費；同日第二次過境，不論國籍，都要收取“陸路過境多次往返徵費”。透過增加水貨客的成本，減低他們的活躍性，同時亦不會影響一般遊客。</w:t>
      </w:r>
    </w:p>
    <w:p>
      <w:pPr>
        <w:pStyle w:val="F21"/>
        <w:spacing w:lineRule="atLeast" w:line="390"/>
        <w:ind w:left="1418" w:hanging="851"/>
        <w:rPr/>
      </w:pPr>
      <w:r>
        <w:rPr/>
      </w:r>
    </w:p>
    <w:p>
      <w:pPr>
        <w:pStyle w:val="F21"/>
        <w:spacing w:lineRule="atLeast" w:line="390"/>
        <w:ind w:left="1418" w:hanging="851"/>
        <w:rPr/>
      </w:pPr>
      <w:r>
        <w:rPr/>
        <w:t>(</w:t>
      </w:r>
      <w:r>
        <w:rPr/>
        <w:t>二</w:t>
      </w:r>
      <w:r>
        <w:rPr/>
        <w:t>)</w:t>
        <w:tab/>
      </w:r>
      <w:r>
        <w:rPr/>
        <w:t>在多個陸路邊境口岸建設“邊境商業城”，將部分擬來港購物的內地遊客分流。除了政府已經同意由商界在落馬洲口岸附近建設的邊境商業城外，還可以研究將已經運作良好的中英街進一步優化，甚至將範圍擴大至香港的沙頭角墟，為內地人士提供更多購物選擇的同時，亦可以促進沙頭角墟的發展，為香港人提供更多就業機會。</w:t>
      </w:r>
    </w:p>
    <w:p>
      <w:pPr>
        <w:pStyle w:val="F21"/>
        <w:spacing w:lineRule="atLeast" w:line="390"/>
        <w:ind w:left="1418" w:hanging="851"/>
        <w:rPr/>
      </w:pPr>
      <w:r>
        <w:rPr/>
      </w:r>
    </w:p>
    <w:p>
      <w:pPr>
        <w:pStyle w:val="F21"/>
        <w:spacing w:lineRule="atLeast" w:line="390"/>
        <w:ind w:left="1418" w:hanging="851"/>
        <w:rPr/>
      </w:pPr>
      <w:r>
        <w:rPr/>
        <w:t>(</w:t>
      </w:r>
      <w:r>
        <w:rPr/>
        <w:t>三</w:t>
      </w:r>
      <w:r>
        <w:rPr/>
        <w:t>)</w:t>
        <w:tab/>
      </w:r>
      <w:r>
        <w:rPr/>
        <w:t>與內地協商將深圳居民的一簽多行措施加以優化。雖然現時每日來港多於</w:t>
      </w:r>
      <w:r>
        <w:rPr/>
        <w:t>1</w:t>
      </w:r>
      <w:r>
        <w:rPr/>
        <w:t>次的人數，只佔</w:t>
      </w:r>
      <w:r>
        <w:rPr/>
        <w:t>3%</w:t>
      </w:r>
      <w:r>
        <w:rPr/>
        <w:t>至</w:t>
      </w:r>
      <w:r>
        <w:rPr/>
        <w:t>4%</w:t>
      </w:r>
      <w:r>
        <w:rPr/>
        <w:t>，但如果可以調整這類遊客每日來港的數目，總可以減輕深圳鄰近地區的人流和交通壓力。</w:t>
      </w:r>
    </w:p>
    <w:p>
      <w:pPr>
        <w:pStyle w:val="F21"/>
        <w:spacing w:lineRule="atLeast" w:line="390"/>
        <w:ind w:left="1418" w:hanging="851"/>
        <w:rPr/>
      </w:pPr>
      <w:r>
        <w:rPr/>
      </w:r>
    </w:p>
    <w:p>
      <w:pPr>
        <w:pStyle w:val="F21"/>
        <w:spacing w:lineRule="atLeast" w:line="390"/>
        <w:ind w:left="1418" w:hanging="851"/>
        <w:rPr/>
      </w:pPr>
      <w:r>
        <w:rPr/>
        <w:t>(</w:t>
      </w:r>
      <w:r>
        <w:rPr/>
        <w:t>四</w:t>
      </w:r>
      <w:r>
        <w:rPr/>
        <w:t>)</w:t>
        <w:tab/>
      </w:r>
      <w:r>
        <w:rPr/>
        <w:t>逐步增加香港的購物區面積。數字顯示，自由行開放至今，內地遊客來港的數目較</w:t>
      </w:r>
      <w:r>
        <w:rPr/>
        <w:t>10</w:t>
      </w:r>
      <w:r>
        <w:rPr/>
        <w:t>年前增加超過</w:t>
      </w:r>
      <w:r>
        <w:rPr/>
        <w:t>1</w:t>
      </w:r>
      <w:r>
        <w:rPr/>
        <w:t>倍，但同期商業面積只增加一成多，兩者發展極不平衡。對商鋪租金構成重大壓力、拉高物價之餘，商業區人流劇增，香港市民自然覺得壓力很大。</w:t>
      </w:r>
    </w:p>
    <w:p>
      <w:pPr>
        <w:pStyle w:val="F21"/>
        <w:spacing w:lineRule="atLeast" w:line="390"/>
        <w:ind w:left="1418" w:hanging="851"/>
        <w:rPr/>
      </w:pPr>
      <w:r>
        <w:rPr/>
      </w:r>
    </w:p>
    <w:p>
      <w:pPr>
        <w:pStyle w:val="F21"/>
        <w:spacing w:lineRule="atLeast" w:line="390"/>
        <w:ind w:left="1418" w:hanging="851"/>
        <w:rPr/>
      </w:pPr>
      <w:r>
        <w:rPr/>
        <w:t>(</w:t>
      </w:r>
      <w:r>
        <w:rPr/>
        <w:t>五</w:t>
      </w:r>
      <w:r>
        <w:rPr/>
        <w:t>)</w:t>
        <w:tab/>
      </w:r>
      <w:r>
        <w:rPr/>
        <w:t>依法處理擾亂公眾地方、騷擾遊客和本地市民的人士，尤其涉及暴力行為，以保障所有在香港購物和逛街的人，無論是遊客或本地人的安全。</w:t>
      </w:r>
    </w:p>
    <w:p>
      <w:pPr>
        <w:pStyle w:val="F21"/>
        <w:spacing w:lineRule="atLeast" w:line="390"/>
        <w:rPr/>
      </w:pPr>
      <w:r>
        <w:rPr/>
      </w:r>
    </w:p>
    <w:p>
      <w:pPr>
        <w:pStyle w:val="F21"/>
        <w:spacing w:lineRule="atLeast" w:line="390"/>
        <w:rPr/>
      </w:pPr>
      <w:r>
        <w:rPr/>
        <w:tab/>
      </w:r>
      <w:r>
        <w:rPr/>
        <w:t>以上只是眾多建議中的一部分，我希望今天的辯論能夠引發更多合理及有效的建議。商界普遍希望透過調整政策的短期陣痛，紓緩香港人的怨氣及紓解中港矛盾。</w:t>
      </w:r>
    </w:p>
    <w:p>
      <w:pPr>
        <w:pStyle w:val="F21"/>
        <w:spacing w:lineRule="atLeast" w:line="390"/>
        <w:rPr/>
      </w:pPr>
      <w:r>
        <w:rPr/>
      </w:r>
    </w:p>
    <w:p>
      <w:pPr>
        <w:pStyle w:val="F21"/>
        <w:spacing w:lineRule="atLeast" w:line="390"/>
        <w:rPr/>
      </w:pPr>
      <w:r>
        <w:rPr/>
        <w:tab/>
      </w:r>
      <w:r>
        <w:rPr/>
        <w:t>主席，最後，我對只有商務及經濟發展局局長出席這項議案辯論感到遺憾。這項議案的覆蓋範圍可說非常廣泛，由旅遊到香港整體經濟發展、就業、邊境口岸的管理、對使用暴力者的執法問題等。雖然我不會期望政府官員有具體回應，但我覺得議案的範圍已經超越商務及經濟發展局的工作範疇。因此，我前天特別去信財政司司長曾俊華先生，希望他可以出席聆聽我們的辯論及議員的意見。</w:t>
      </w:r>
      <w:r>
        <w:br w:type="page"/>
      </w:r>
    </w:p>
    <w:p>
      <w:pPr>
        <w:pStyle w:val="F21"/>
        <w:rPr/>
      </w:pPr>
      <w:r>
        <w:rPr/>
        <w:tab/>
      </w:r>
      <w:r>
        <w:rPr/>
        <w:t>香港已將一個原本可帶來龐大商機的內地自由行政策變成一個危機，主要的原因不外乎是特區政府一直坐享其成，沒有應變，沒有管理，沒有視野。</w:t>
      </w:r>
    </w:p>
    <w:p>
      <w:pPr>
        <w:pStyle w:val="F21"/>
        <w:rPr>
          <w:rFonts w:cs="Times New Roman"/>
        </w:rPr>
      </w:pPr>
      <w:r>
        <w:rPr>
          <w:rFonts w:cs="Times New Roman"/>
        </w:rPr>
      </w:r>
    </w:p>
    <w:p>
      <w:pPr>
        <w:pStyle w:val="F21"/>
        <w:rPr>
          <w:rFonts w:cs="Times New Roman"/>
        </w:rPr>
      </w:pPr>
      <w:r>
        <w:rPr>
          <w:rFonts w:cs="Times New Roman" w:eastAsia="華康中黑體"/>
          <w:b/>
        </w:rPr>
        <w:t>方剛議員動議的議案如下</w:t>
      </w:r>
      <w:r>
        <w:rPr>
          <w:rFonts w:cs="Times New Roman"/>
        </w:rPr>
        <w:t>：</w:t>
      </w:r>
    </w:p>
    <w:p>
      <w:pPr>
        <w:pStyle w:val="F21"/>
        <w:rPr>
          <w:rFonts w:cs="Times New Roman"/>
        </w:rPr>
      </w:pPr>
      <w:r>
        <w:rPr>
          <w:rFonts w:cs="Times New Roman"/>
        </w:rPr>
      </w:r>
    </w:p>
    <w:p>
      <w:pPr>
        <w:pStyle w:val="F21"/>
        <w:ind w:left="709" w:hanging="142"/>
        <w:rPr>
          <w:rFonts w:cs="Times New Roman"/>
        </w:rPr>
      </w:pPr>
      <w:r>
        <w:rPr>
          <w:rFonts w:cs="Times New Roman"/>
        </w:rPr>
        <w:t>“</w:t>
      </w:r>
      <w:r>
        <w:rPr>
          <w:rFonts w:cs="Times New Roman"/>
        </w:rPr>
        <w:t>過去一年，香港屢次發生針對內地遊客的事件，而近期更有人以暴力騷擾‘看似’來自內地的遊客及本地市民；事件已損害香港建立了半世紀的購物天堂美譽，並打擊旅遊服務的相關行業；若情況持續，相關行業會出現萎縮，從業員的生計亦會受到影響；就此，本會促請特區政府立即採取多管齊下的措施，規管攜帶免稅商品進入內地售賣的活動</w:t>
      </w:r>
      <w:r>
        <w:rPr>
          <w:rFonts w:cs="Times New Roman"/>
        </w:rPr>
        <w:t>(</w:t>
      </w:r>
      <w:r>
        <w:rPr>
          <w:rFonts w:cs="Times New Roman"/>
        </w:rPr>
        <w:t>俗稱‘水貨活動’</w:t>
      </w:r>
      <w:r>
        <w:rPr>
          <w:rFonts w:cs="Times New Roman"/>
        </w:rPr>
        <w:t>)</w:t>
      </w:r>
      <w:r>
        <w:rPr>
          <w:rFonts w:cs="Times New Roman"/>
        </w:rPr>
        <w:t>，以及主要來港採購的內地不過夜遊客；同時，特區政府應增加旅遊、交通和零售設施，將內地遊客和本地市民分流，以保障他們在香港購物時的安全，並依法處理擾亂公眾地方及騷擾遊客和本地市民的人士。”</w:t>
      </w:r>
    </w:p>
    <w:p>
      <w:pPr>
        <w:pStyle w:val="F21"/>
        <w:tabs>
          <w:tab w:val="clear" w:pos="567"/>
        </w:tabs>
        <w:rPr>
          <w:rFonts w:eastAsia="華康中黑體"/>
          <w:b/>
          <w:b/>
        </w:rPr>
      </w:pPr>
      <w:r>
        <w:rPr>
          <w:rFonts w:eastAsia="華康中黑體"/>
          <w:b/>
        </w:rPr>
      </w:r>
    </w:p>
    <w:p>
      <w:pPr>
        <w:pStyle w:val="F21"/>
        <w:tabs>
          <w:tab w:val="clear" w:pos="567"/>
        </w:tabs>
        <w:rPr>
          <w:rFonts w:eastAsia="華康中黑體"/>
          <w:b/>
          <w:b/>
        </w:rPr>
      </w:pPr>
      <w:r>
        <w:rPr>
          <w:rFonts w:eastAsia="華康中黑體"/>
          <w:b/>
        </w:rPr>
      </w:r>
    </w:p>
    <w:p>
      <w:pPr>
        <w:pStyle w:val="F21"/>
        <w:rPr/>
      </w:pPr>
      <w:r>
        <w:rPr>
          <w:rFonts w:eastAsia="華康中黑體"/>
          <w:b/>
        </w:rPr>
        <w:t>主席</w:t>
      </w:r>
      <w:r>
        <w:rPr/>
        <w:t>：我現在向各位提出的待議議題是：方剛議員動議的議案，予以通過。</w:t>
      </w:r>
    </w:p>
    <w:p>
      <w:pPr>
        <w:pStyle w:val="F21"/>
        <w:tabs>
          <w:tab w:val="clear" w:pos="567"/>
        </w:tabs>
        <w:rPr>
          <w:rFonts w:eastAsia="華康中黑體"/>
          <w:b/>
          <w:b/>
        </w:rPr>
      </w:pPr>
      <w:r>
        <w:rPr>
          <w:rFonts w:eastAsia="華康中黑體"/>
          <w:b/>
        </w:rPr>
      </w:r>
    </w:p>
    <w:p>
      <w:pPr>
        <w:pStyle w:val="F21"/>
        <w:tabs>
          <w:tab w:val="clear" w:pos="567"/>
        </w:tabs>
        <w:rPr>
          <w:rFonts w:eastAsia="華康中黑體"/>
          <w:b/>
          <w:b/>
        </w:rPr>
      </w:pPr>
      <w:r>
        <w:rPr>
          <w:rFonts w:eastAsia="華康中黑體"/>
          <w:b/>
        </w:rPr>
      </w:r>
    </w:p>
    <w:p>
      <w:pPr>
        <w:pStyle w:val="F21"/>
        <w:rPr/>
      </w:pPr>
      <w:r>
        <w:rPr>
          <w:rFonts w:eastAsia="華康中黑體"/>
          <w:b/>
        </w:rPr>
        <w:t>主席</w:t>
      </w:r>
      <w:r>
        <w:rPr/>
        <w:t>：有</w:t>
      </w:r>
      <w:r>
        <w:rPr/>
        <w:t>11</w:t>
      </w:r>
      <w:r>
        <w:rPr/>
        <w:t>位議員要就這項議案動議修正案。本會現在就議案及</w:t>
      </w:r>
      <w:r>
        <w:rPr/>
        <w:t>11</w:t>
      </w:r>
      <w:r>
        <w:rPr/>
        <w:t>項修正案進行合併辯論。</w:t>
      </w:r>
    </w:p>
    <w:p>
      <w:pPr>
        <w:pStyle w:val="F21"/>
        <w:rPr/>
      </w:pPr>
      <w:r>
        <w:rPr/>
      </w:r>
    </w:p>
    <w:p>
      <w:pPr>
        <w:pStyle w:val="F21"/>
        <w:rPr/>
      </w:pPr>
      <w:r>
        <w:rPr/>
        <w:tab/>
      </w:r>
      <w:r>
        <w:rPr/>
        <w:t>我會依次請要動議修正案的郭家麒議員、毛孟靜議員、范國威議員、鄧家彪議員、單仲偕議員、陳志全議員、姚思榮議員、黃定光議員、張超雄議員、梁君彥議員及葉劉淑儀議員發言；但他們在現階段不可動議修正案。</w:t>
      </w:r>
    </w:p>
    <w:p>
      <w:pPr>
        <w:pStyle w:val="F21"/>
        <w:rPr>
          <w:rFonts w:cs="Times New Roman"/>
        </w:rPr>
      </w:pPr>
      <w:r>
        <w:rPr>
          <w:rFonts w:cs="Times New Roman"/>
        </w:rPr>
      </w:r>
    </w:p>
    <w:p>
      <w:pPr>
        <w:pStyle w:val="F21"/>
        <w:rPr>
          <w:rFonts w:cs="Times New Roman"/>
        </w:rPr>
      </w:pPr>
      <w:r>
        <w:rPr>
          <w:rFonts w:cs="Times New Roman"/>
        </w:rPr>
      </w:r>
    </w:p>
    <w:p>
      <w:pPr>
        <w:pStyle w:val="F21"/>
        <w:rPr>
          <w:szCs w:val="27"/>
        </w:rPr>
      </w:pPr>
      <w:r>
        <w:rPr>
          <w:rFonts w:cs="華康中黑體" w:eastAsia="華康中黑體"/>
          <w:b/>
          <w:szCs w:val="27"/>
        </w:rPr>
        <w:t>郭家麒議員</w:t>
      </w:r>
      <w:r>
        <w:rPr>
          <w:szCs w:val="27"/>
        </w:rPr>
        <w:t>：這項議題由代表商界或零售界的方剛議員提出，我是可以理解的。事實上，我絕對同意方剛議員剛才提出的一點，就是自由行帶來的問題，目前對香港可說是相當嚴重，而政府並沒有做應做的事。</w:t>
      </w:r>
    </w:p>
    <w:p>
      <w:pPr>
        <w:pStyle w:val="F21"/>
        <w:rPr>
          <w:szCs w:val="27"/>
        </w:rPr>
      </w:pPr>
      <w:r>
        <w:rPr>
          <w:szCs w:val="27"/>
        </w:rPr>
      </w:r>
    </w:p>
    <w:p>
      <w:pPr>
        <w:pStyle w:val="F21"/>
        <w:rPr>
          <w:szCs w:val="27"/>
        </w:rPr>
      </w:pPr>
      <w:r>
        <w:rPr>
          <w:szCs w:val="27"/>
        </w:rPr>
        <w:tab/>
      </w:r>
      <w:r>
        <w:rPr>
          <w:szCs w:val="27"/>
        </w:rPr>
        <w:t>在剛過去的星期日，梁振英在禮賓府舉行鴻門夜宴，當中指責“拖篋”議員的行為藝術是反內地客，破壞中港關係。大家不會不知道，梁振英最喜歡自詡是“自由行之父”。在</w:t>
      </w:r>
      <w:r>
        <w:rPr>
          <w:szCs w:val="27"/>
        </w:rPr>
        <w:t>2003</w:t>
      </w:r>
      <w:r>
        <w:rPr>
          <w:szCs w:val="27"/>
        </w:rPr>
        <w:t>年</w:t>
      </w:r>
      <w:r>
        <w:rPr>
          <w:szCs w:val="27"/>
        </w:rPr>
        <w:t>SARS</w:t>
      </w:r>
      <w:r>
        <w:rPr>
          <w:szCs w:val="27"/>
        </w:rPr>
        <w:t>後，他向中央獻計，好大喜功，盡顯獻媚的愛國醜態，可能他一早已希望中港融合，最好回歸後入境不設防，所有香港人都可以接受內地人無限進入。開了自由行的缺口，他可能最希望能討好中央，放寬入境限制，開放更多城市，最好</w:t>
      </w:r>
      <w:r>
        <w:rPr>
          <w:szCs w:val="27"/>
        </w:rPr>
        <w:t>13</w:t>
      </w:r>
      <w:r>
        <w:rPr>
          <w:szCs w:val="27"/>
        </w:rPr>
        <w:t>億人也可以隨便入境香港。</w:t>
      </w:r>
    </w:p>
    <w:p>
      <w:pPr>
        <w:pStyle w:val="F21"/>
        <w:rPr>
          <w:szCs w:val="27"/>
        </w:rPr>
      </w:pPr>
      <w:r>
        <w:rPr>
          <w:szCs w:val="27"/>
        </w:rPr>
      </w:r>
    </w:p>
    <w:p>
      <w:pPr>
        <w:pStyle w:val="F21"/>
        <w:rPr>
          <w:szCs w:val="27"/>
        </w:rPr>
      </w:pPr>
      <w:r>
        <w:rPr>
          <w:szCs w:val="27"/>
        </w:rPr>
        <w:tab/>
      </w:r>
      <w:r>
        <w:rPr>
          <w:szCs w:val="27"/>
        </w:rPr>
        <w:t>其實在</w:t>
      </w:r>
      <w:r>
        <w:rPr>
          <w:szCs w:val="27"/>
        </w:rPr>
        <w:t>2009</w:t>
      </w:r>
      <w:r>
        <w:rPr>
          <w:szCs w:val="27"/>
        </w:rPr>
        <w:t>年</w:t>
      </w:r>
      <w:r>
        <w:rPr>
          <w:szCs w:val="27"/>
        </w:rPr>
        <w:t>4</w:t>
      </w:r>
      <w:r>
        <w:rPr>
          <w:szCs w:val="27"/>
        </w:rPr>
        <w:t>月推出一簽多行之後，內地陸路客來香港的人數急增，由</w:t>
      </w:r>
      <w:r>
        <w:rPr>
          <w:szCs w:val="27"/>
        </w:rPr>
        <w:t>2009</w:t>
      </w:r>
      <w:r>
        <w:rPr>
          <w:szCs w:val="27"/>
        </w:rPr>
        <w:t>年的</w:t>
      </w:r>
      <w:r>
        <w:rPr>
          <w:szCs w:val="27"/>
        </w:rPr>
        <w:t>147</w:t>
      </w:r>
      <w:r>
        <w:rPr>
          <w:szCs w:val="27"/>
        </w:rPr>
        <w:t>萬人到</w:t>
      </w:r>
      <w:r>
        <w:rPr>
          <w:szCs w:val="27"/>
        </w:rPr>
        <w:t>2013</w:t>
      </w:r>
      <w:r>
        <w:rPr>
          <w:szCs w:val="27"/>
        </w:rPr>
        <w:t>年的</w:t>
      </w:r>
      <w:r>
        <w:rPr>
          <w:szCs w:val="27"/>
        </w:rPr>
        <w:t>1 215</w:t>
      </w:r>
      <w:r>
        <w:rPr>
          <w:szCs w:val="27"/>
        </w:rPr>
        <w:t>萬人，增加了</w:t>
      </w:r>
      <w:r>
        <w:rPr>
          <w:szCs w:val="27"/>
        </w:rPr>
        <w:t>7</w:t>
      </w:r>
      <w:r>
        <w:rPr>
          <w:szCs w:val="27"/>
        </w:rPr>
        <w:t>倍，引發連串問題，包括社會矛盾激化、水貨活動</w:t>
      </w:r>
      <w:r>
        <w:rPr/>
        <w:t>猖獗</w:t>
      </w:r>
      <w:r>
        <w:rPr>
          <w:szCs w:val="27"/>
        </w:rPr>
        <w:t>、鋪租昂貴、黑工、炒樓、“奶粉荒”、搶學位，一發不可收拾，一些中港兩地的矛盾令中港兩地的民憤不斷升溫。最近，當然大家都知道，在市民怒不可言的情況下出現一些示威活動，但始作俑者難道不是梁振英和特區政府嗎？本應問責下台，引咎辭職的梁振英無力解救。</w:t>
      </w:r>
    </w:p>
    <w:p>
      <w:pPr>
        <w:pStyle w:val="F21"/>
        <w:rPr>
          <w:szCs w:val="27"/>
        </w:rPr>
      </w:pPr>
      <w:r>
        <w:rPr>
          <w:szCs w:val="27"/>
        </w:rPr>
      </w:r>
    </w:p>
    <w:p>
      <w:pPr>
        <w:pStyle w:val="F21"/>
        <w:rPr>
          <w:szCs w:val="27"/>
        </w:rPr>
      </w:pPr>
      <w:r>
        <w:rPr>
          <w:szCs w:val="27"/>
        </w:rPr>
        <w:tab/>
        <w:t>2</w:t>
      </w:r>
      <w:r>
        <w:rPr>
          <w:szCs w:val="27"/>
        </w:rPr>
        <w:t>月</w:t>
      </w:r>
      <w:r>
        <w:rPr>
          <w:szCs w:val="27"/>
        </w:rPr>
        <w:t>24</w:t>
      </w:r>
      <w:r>
        <w:rPr>
          <w:szCs w:val="27"/>
        </w:rPr>
        <w:t>日，他趁兩會時會見“北大人”，事前裝腔作勢，表示可以爭取限制自由行，亦表示知道香港市民承受的壓力等，將中央領導人“擺上檯”，假傳聖旨。他之後做不到，知道回來可能無面目解釋，所以將責任推卸到反自由行，冤枉反水貨客“拖篋”的行動壞大事。</w:t>
      </w:r>
    </w:p>
    <w:p>
      <w:pPr>
        <w:pStyle w:val="F21"/>
        <w:rPr>
          <w:szCs w:val="27"/>
        </w:rPr>
      </w:pPr>
      <w:r>
        <w:rPr>
          <w:szCs w:val="27"/>
        </w:rPr>
      </w:r>
    </w:p>
    <w:p>
      <w:pPr>
        <w:pStyle w:val="F21"/>
        <w:rPr>
          <w:szCs w:val="27"/>
        </w:rPr>
      </w:pPr>
      <w:r>
        <w:rPr>
          <w:szCs w:val="27"/>
        </w:rPr>
        <w:tab/>
      </w:r>
      <w:r>
        <w:rPr>
          <w:szCs w:val="27"/>
        </w:rPr>
        <w:t>反水貨客在上水、屯門、元朗的示威活動針對例如金鋪、藥房和雜貨店，但始作俑者是誰呢？梁振英“生安白造”，無限上綱，指責學者的思想誤導青少年，指責陳健文觸發學生醒覺。其實這些抗爭行動令我們不禁想起，梁振英在禮賓府內發生的家暴問題。他家中發生家暴甚至也可以說是保護女兒，大家可想而知，他找警察打反水貨客的人也可以說是保護他們，以“慈母”的姿態踢走他不想看到的人。</w:t>
      </w:r>
    </w:p>
    <w:p>
      <w:pPr>
        <w:pStyle w:val="F21"/>
        <w:rPr>
          <w:szCs w:val="27"/>
        </w:rPr>
      </w:pPr>
      <w:r>
        <w:rPr>
          <w:szCs w:val="27"/>
        </w:rPr>
      </w:r>
    </w:p>
    <w:p>
      <w:pPr>
        <w:pStyle w:val="F21"/>
        <w:rPr>
          <w:szCs w:val="27"/>
        </w:rPr>
      </w:pPr>
      <w:r>
        <w:rPr>
          <w:szCs w:val="27"/>
        </w:rPr>
        <w:tab/>
      </w:r>
      <w:r>
        <w:rPr>
          <w:szCs w:val="27"/>
        </w:rPr>
        <w:t>香港是一個彈丸之地，</w:t>
      </w:r>
      <w:r>
        <w:rPr>
          <w:szCs w:val="27"/>
        </w:rPr>
        <w:t>2014</w:t>
      </w:r>
      <w:r>
        <w:rPr>
          <w:szCs w:val="27"/>
        </w:rPr>
        <w:t>年我們有</w:t>
      </w:r>
      <w:r>
        <w:rPr>
          <w:szCs w:val="27"/>
        </w:rPr>
        <w:t>6 100</w:t>
      </w:r>
      <w:r>
        <w:rPr>
          <w:szCs w:val="27"/>
        </w:rPr>
        <w:t>萬名遊客，其實我們的接待能力已超過飽和點。所有設施，無論基建、鐵路、巴士、街道和店鋪，無一不是被內地遊客佔據。過去，我們只會在一些旅遊區才看到街上旅客人頭湧湧，擠得水泄不通，但現在連住宅區，包括屯門、元朗和北區等有很多基層市民生活和購物的地方，以及連中產居住的沙田也無法幸免。</w:t>
      </w:r>
    </w:p>
    <w:p>
      <w:pPr>
        <w:pStyle w:val="F21"/>
        <w:rPr>
          <w:szCs w:val="27"/>
        </w:rPr>
      </w:pPr>
      <w:r>
        <w:rPr>
          <w:szCs w:val="27"/>
        </w:rPr>
      </w:r>
    </w:p>
    <w:p>
      <w:pPr>
        <w:pStyle w:val="F21"/>
        <w:rPr>
          <w:szCs w:val="27"/>
        </w:rPr>
      </w:pPr>
      <w:r>
        <w:rPr>
          <w:szCs w:val="27"/>
        </w:rPr>
        <w:tab/>
      </w:r>
      <w:r>
        <w:rPr>
          <w:szCs w:val="27"/>
        </w:rPr>
        <w:t>我們要思考更深層次的問題是，在這</w:t>
      </w:r>
      <w:r>
        <w:rPr>
          <w:szCs w:val="27"/>
        </w:rPr>
        <w:t>6 100</w:t>
      </w:r>
      <w:r>
        <w:rPr>
          <w:szCs w:val="27"/>
        </w:rPr>
        <w:t>萬人中，原來有</w:t>
      </w:r>
      <w:r>
        <w:rPr>
          <w:szCs w:val="27"/>
        </w:rPr>
        <w:t>4 700</w:t>
      </w:r>
      <w:r>
        <w:rPr>
          <w:szCs w:val="27"/>
        </w:rPr>
        <w:t>萬人是國內遊客，佔超過</w:t>
      </w:r>
      <w:r>
        <w:rPr>
          <w:szCs w:val="27"/>
        </w:rPr>
        <w:t>77%</w:t>
      </w:r>
      <w:r>
        <w:rPr>
          <w:szCs w:val="27"/>
        </w:rPr>
        <w:t>；這個比例在</w:t>
      </w:r>
      <w:r>
        <w:rPr>
          <w:szCs w:val="27"/>
        </w:rPr>
        <w:t>2002</w:t>
      </w:r>
      <w:r>
        <w:rPr>
          <w:szCs w:val="27"/>
        </w:rPr>
        <w:t>年只有</w:t>
      </w:r>
      <w:r>
        <w:rPr>
          <w:szCs w:val="27"/>
        </w:rPr>
        <w:t>41%</w:t>
      </w:r>
      <w:r>
        <w:rPr>
          <w:szCs w:val="27"/>
        </w:rPr>
        <w:t>。這些遊客當中有</w:t>
      </w:r>
      <w:r>
        <w:rPr>
          <w:szCs w:val="27"/>
        </w:rPr>
        <w:t>2 800</w:t>
      </w:r>
      <w:r>
        <w:rPr>
          <w:szCs w:val="27"/>
        </w:rPr>
        <w:t>萬人是即日來回，不在香港過夜。其實，我也不知道應否稱他們為旅客，全世界沒有旅遊城市會歡迎不過夜，入境後即日便離開的旅客，而且也沒有能力接待這些旅客。根據估計，這些旅客的人數可能在今年會由</w:t>
      </w:r>
      <w:r>
        <w:rPr>
          <w:szCs w:val="27"/>
        </w:rPr>
        <w:t>2 800</w:t>
      </w:r>
      <w:r>
        <w:rPr>
          <w:szCs w:val="27"/>
        </w:rPr>
        <w:t>萬上升至超過</w:t>
      </w:r>
      <w:r>
        <w:rPr>
          <w:szCs w:val="27"/>
        </w:rPr>
        <w:t>3 000</w:t>
      </w:r>
      <w:r>
        <w:rPr>
          <w:szCs w:val="27"/>
        </w:rPr>
        <w:t>萬，他們來香港購物，部分人走私水貨，購買各種糧食、日用品和香港人買不起的珠寶和名錶。</w:t>
      </w:r>
    </w:p>
    <w:p>
      <w:pPr>
        <w:pStyle w:val="F21"/>
        <w:spacing w:lineRule="atLeast" w:line="380"/>
        <w:rPr>
          <w:szCs w:val="27"/>
        </w:rPr>
      </w:pPr>
      <w:r>
        <w:rPr>
          <w:szCs w:val="27"/>
        </w:rPr>
      </w:r>
    </w:p>
    <w:p>
      <w:pPr>
        <w:pStyle w:val="F21"/>
        <w:spacing w:lineRule="atLeast" w:line="380"/>
        <w:rPr>
          <w:szCs w:val="27"/>
        </w:rPr>
      </w:pPr>
      <w:r>
        <w:rPr>
          <w:szCs w:val="27"/>
        </w:rPr>
        <w:tab/>
      </w:r>
      <w:r>
        <w:rPr>
          <w:szCs w:val="27"/>
        </w:rPr>
        <w:t>當然，我們亦要想想，始作俑者，可能是國內售賣黑心食品和毒奶粉的人，以及大陸有很多先富起來的貪官、豪客在香港購買名錶、炒樓或洗黑錢所致。很多人因為在大陸無法購買令他們感到放心的食品而要來港搶奶粉。我們聽到連有名的中央領導人如王光亞等，也要為其孫兒在香港搶購奶粉，作為中國人，這些情況令我們感到相當羞愧。甚至商務部部長也承認國內的產品沒有信心保證，我覺得這可說是國耻。</w:t>
      </w:r>
    </w:p>
    <w:p>
      <w:pPr>
        <w:pStyle w:val="F21"/>
        <w:spacing w:lineRule="atLeast" w:line="380"/>
        <w:rPr>
          <w:szCs w:val="27"/>
        </w:rPr>
      </w:pPr>
      <w:r>
        <w:rPr>
          <w:szCs w:val="27"/>
        </w:rPr>
      </w:r>
    </w:p>
    <w:p>
      <w:pPr>
        <w:pStyle w:val="F21"/>
        <w:spacing w:lineRule="atLeast" w:line="380"/>
        <w:rPr>
          <w:szCs w:val="27"/>
        </w:rPr>
      </w:pPr>
      <w:r>
        <w:rPr>
          <w:szCs w:val="27"/>
        </w:rPr>
        <w:tab/>
      </w:r>
      <w:r>
        <w:rPr>
          <w:szCs w:val="27"/>
        </w:rPr>
        <w:t>對香港來說，這些行為影響我們所有的街道，也令鋪租飆升，但很多時候，受益於這些自由行遊客的，當然不是普通的售貨員，而只是少數擁有物業、店鋪或大型商場的地產商。他們可能在梁振英的豪宅內一起吃飯，“圍威喂”。他們可以在梁振英的禮賓府內吃大餐，然後勸居住“劏房”、無路可走的小市民忍耐，就好像局長所說，只是遲一班車而已，但事實上，他們是連</w:t>
      </w:r>
      <w:r>
        <w:rPr>
          <w:szCs w:val="27"/>
        </w:rPr>
        <w:t>7</w:t>
      </w:r>
      <w:r>
        <w:rPr>
          <w:szCs w:val="27"/>
        </w:rPr>
        <w:t>班車也無法登上。禮賓府的好客之道，是迎大款、迎有錢人、迎靠近國內營生的人，但對於那些在外面捱窮、買不到日用品、捱貴鋪租的人，政府有沒有稍為看顧他們？</w:t>
      </w:r>
    </w:p>
    <w:p>
      <w:pPr>
        <w:pStyle w:val="F21"/>
        <w:spacing w:lineRule="atLeast" w:line="380"/>
        <w:rPr>
          <w:szCs w:val="27"/>
        </w:rPr>
      </w:pPr>
      <w:r>
        <w:rPr>
          <w:szCs w:val="27"/>
        </w:rPr>
      </w:r>
    </w:p>
    <w:p>
      <w:pPr>
        <w:pStyle w:val="F21"/>
        <w:spacing w:lineRule="atLeast" w:line="380"/>
        <w:rPr>
          <w:szCs w:val="27"/>
        </w:rPr>
      </w:pPr>
      <w:r>
        <w:rPr>
          <w:szCs w:val="27"/>
        </w:rPr>
        <w:tab/>
      </w:r>
      <w:r>
        <w:rPr>
          <w:szCs w:val="27"/>
        </w:rPr>
        <w:t>對於方剛議員的原議案只側重於平衡服務業，我認為有必要作出修正。其實最重要的是，梁振英須根據</w:t>
      </w:r>
      <w:r>
        <w:rPr>
          <w:color w:val="000000"/>
          <w:szCs w:val="27"/>
        </w:rPr>
        <w:t>《基本法》</w:t>
      </w:r>
      <w:r>
        <w:rPr>
          <w:szCs w:val="27"/>
        </w:rPr>
        <w:t>第二十二條第四款的規定，“中國其他地區的人進入香港特別行政區須辦理批准手續”，以及</w:t>
      </w:r>
      <w:r>
        <w:rPr>
          <w:color w:val="000000"/>
          <w:szCs w:val="27"/>
        </w:rPr>
        <w:t>《基本法》</w:t>
      </w:r>
      <w:r>
        <w:rPr>
          <w:szCs w:val="27"/>
        </w:rPr>
        <w:t>第一百五十四條第二款的規定，“實行出入境管制”。這些是香港可自行處理的事務，亦是《基本法》賦予香港“高度自治”、“港人治港”的範圍內要做的事，不過梁振英卻推搪這責任，沒有把他要做的事做好。</w:t>
      </w:r>
    </w:p>
    <w:p>
      <w:pPr>
        <w:pStyle w:val="F21"/>
        <w:spacing w:lineRule="atLeast" w:line="380"/>
        <w:rPr>
          <w:szCs w:val="27"/>
        </w:rPr>
      </w:pPr>
      <w:r>
        <w:rPr>
          <w:szCs w:val="27"/>
        </w:rPr>
      </w:r>
    </w:p>
    <w:p>
      <w:pPr>
        <w:pStyle w:val="F21"/>
        <w:spacing w:lineRule="atLeast" w:line="380"/>
        <w:rPr>
          <w:szCs w:val="27"/>
        </w:rPr>
      </w:pPr>
      <w:r>
        <w:rPr>
          <w:szCs w:val="27"/>
        </w:rPr>
        <w:tab/>
      </w:r>
      <w:r>
        <w:rPr>
          <w:szCs w:val="27"/>
        </w:rPr>
        <w:t>主席，今天討論的一簽多行其實是一項假命題，實際上，一簽多行是“一簽無限行”，即無論</w:t>
      </w:r>
      <w:r>
        <w:rPr>
          <w:szCs w:val="27"/>
        </w:rPr>
        <w:t>1</w:t>
      </w:r>
      <w:r>
        <w:rPr>
          <w:szCs w:val="27"/>
        </w:rPr>
        <w:t>天進出多少次都沒有問題。所以，我們要指出，從今天開始，我們必須妥善處理自由行帶來的一些惡果，試問有哪一個好客的地方，每天會因為水貨客或自由行遊客而出現互相衝突的場面？如果無法解決這種衝突，而政府仍然堅持視而不見，只一直唸咒語，就像梁振英那樣視而不見的話，我相信這類衝突只會不斷增加，試問這樣我們又怎能作旅客之都？無辜受害的，當然是很多真的有心來港旅遊的人客，包括內地、東南亞以至歐美國家的遊客，但大家也知道，香港無法承受這麼大量的旅客，無法任由自由行及這些“一簽無限行”的政策一直延續下去。所以，我都同意，如果商界能放大目光，應敦促政府一定要決心解決“一簽無限行”這問題。我亦聽到方剛議員同意我今天提出的修正案中徵收陸路離境稅的建議，亦要立即停止擴大自由行。</w:t>
      </w:r>
    </w:p>
    <w:p>
      <w:pPr>
        <w:pStyle w:val="F21"/>
        <w:rPr>
          <w:szCs w:val="27"/>
        </w:rPr>
      </w:pPr>
      <w:r>
        <w:rPr>
          <w:szCs w:val="27"/>
        </w:rPr>
      </w:r>
    </w:p>
    <w:p>
      <w:pPr>
        <w:pStyle w:val="F21"/>
        <w:rPr>
          <w:szCs w:val="27"/>
        </w:rPr>
      </w:pPr>
      <w:r>
        <w:rPr>
          <w:szCs w:val="27"/>
        </w:rPr>
        <w:tab/>
      </w:r>
      <w:r>
        <w:rPr>
          <w:szCs w:val="27"/>
        </w:rPr>
        <w:t>還有一點，是有關水貨客帶來的一些執法問題，連國內</w:t>
      </w:r>
      <w:r>
        <w:rPr>
          <w:szCs w:val="27"/>
        </w:rPr>
        <w:t>(</w:t>
      </w:r>
      <w:r>
        <w:rPr>
          <w:szCs w:val="27"/>
        </w:rPr>
        <w:t>包括深圳市市長</w:t>
      </w:r>
      <w:r>
        <w:rPr>
          <w:szCs w:val="27"/>
        </w:rPr>
        <w:t>)</w:t>
      </w:r>
      <w:r>
        <w:rPr>
          <w:szCs w:val="27"/>
        </w:rPr>
        <w:t>也承認中國海關有貪腐的情況，這是多麼羞耻的事！一個國家的海關出現貪腐，市長除了承認外，無法做任何事情。所以，我覺得自由行和水貨客的問題並非不能解決，只要特區政府梁振英做實事，中央政府明白香港人正承受甚麼痛苦，以及消除這些貪腐情況，其實我們是有路可走的。</w:t>
      </w:r>
    </w:p>
    <w:p>
      <w:pPr>
        <w:pStyle w:val="F21"/>
        <w:rPr>
          <w:szCs w:val="27"/>
        </w:rPr>
      </w:pPr>
      <w:r>
        <w:rPr>
          <w:szCs w:val="27"/>
        </w:rPr>
      </w:r>
    </w:p>
    <w:p>
      <w:pPr>
        <w:pStyle w:val="F21"/>
        <w:rPr>
          <w:szCs w:val="27"/>
        </w:rPr>
      </w:pPr>
      <w:r>
        <w:rPr>
          <w:szCs w:val="27"/>
        </w:rPr>
        <w:tab/>
      </w:r>
      <w:r>
        <w:rPr>
          <w:szCs w:val="27"/>
        </w:rPr>
        <w:t>我謹此陳辭，多謝主席。</w:t>
      </w:r>
      <w:r>
        <w:rPr>
          <w:i/>
          <w:szCs w:val="27"/>
        </w:rPr>
        <w:t>(</w:t>
      </w:r>
      <w:r>
        <w:rPr>
          <w:i/>
          <w:szCs w:val="27"/>
        </w:rPr>
        <w:t>計時器響起</w:t>
      </w:r>
      <w:r>
        <w:rPr>
          <w:i/>
          <w:szCs w:val="27"/>
        </w:rPr>
        <w:t>)</w:t>
      </w:r>
    </w:p>
    <w:p>
      <w:pPr>
        <w:pStyle w:val="F21"/>
        <w:rPr>
          <w:rFonts w:cs="Times New Roman"/>
        </w:rPr>
      </w:pPr>
      <w:r>
        <w:rPr>
          <w:rFonts w:cs="Times New Roman"/>
        </w:rPr>
      </w:r>
    </w:p>
    <w:p>
      <w:pPr>
        <w:pStyle w:val="F21"/>
        <w:rPr>
          <w:rFonts w:cs="Times New Roman"/>
        </w:rPr>
      </w:pPr>
      <w:r>
        <w:rPr>
          <w:rFonts w:cs="Times New Roman"/>
        </w:rPr>
      </w:r>
    </w:p>
    <w:p>
      <w:pPr>
        <w:pStyle w:val="F21"/>
        <w:rPr/>
      </w:pPr>
      <w:r>
        <w:rPr>
          <w:rFonts w:ascii="華康中黑體" w:hAnsi="華康中黑體" w:eastAsia="華康中黑體"/>
          <w:b/>
        </w:rPr>
        <w:t>毛孟靜議員</w:t>
      </w:r>
      <w:r>
        <w:rPr/>
        <w:t>：主席，今天很感謝方剛議員提出這項議案，雖然這項議案辯論沒有法律約束力，大家在此都是“為講而講”，但仍然希望梁振英能夠真的聽到。</w:t>
      </w:r>
    </w:p>
    <w:p>
      <w:pPr>
        <w:pStyle w:val="F21"/>
        <w:rPr/>
      </w:pPr>
      <w:r>
        <w:rPr/>
      </w:r>
    </w:p>
    <w:p>
      <w:pPr>
        <w:pStyle w:val="F21"/>
        <w:rPr/>
      </w:pPr>
      <w:r>
        <w:rPr/>
        <w:tab/>
      </w:r>
      <w:r>
        <w:rPr/>
        <w:t>然而，我對方剛議員提出的原議案甚有意見。首先，他表示“有人以暴力騷擾‘看似’來自內地的遊客及本地市民”。有關事發過程，我在此不再敍述，這亦不是辯論的議題。他認為發生這些事件，“已損害香港建立了半世紀的購物天堂美譽”，這點我絕對不同意。我們的購物天堂美譽不是一、兩個電視畫面便可以被打倒。尤其是大陸遊客為何那麼喜歡來香港購物？歸根究底，他們已經完全失去在中國大陸消費的信心，不僅是奶粉，連豉油的品質也令人害怕；購買金飾，也不知道是否足金。所以，香港的金飾店鋪真的如雨後春筍般盛開。</w:t>
      </w:r>
    </w:p>
    <w:p>
      <w:pPr>
        <w:pStyle w:val="F21"/>
        <w:rPr/>
      </w:pPr>
      <w:r>
        <w:rPr/>
      </w:r>
    </w:p>
    <w:p>
      <w:pPr>
        <w:pStyle w:val="F21"/>
        <w:rPr/>
      </w:pPr>
      <w:r>
        <w:rPr/>
        <w:tab/>
      </w:r>
      <w:r>
        <w:rPr/>
        <w:t>第二，方剛議員的說法是，我們要再增加旅遊和零售等設施。不要搞了，我們已經吃不消，香港再增加設施，只會再吸引更多遊客來港，我們怎樣吃得消。我們當然非常歡迎任何的遊客來港消費，他們來港消費，我們怎會不歡迎？但是，人數是一個問題。</w:t>
      </w:r>
    </w:p>
    <w:p>
      <w:pPr>
        <w:pStyle w:val="F21"/>
        <w:spacing w:lineRule="atLeast" w:line="380"/>
        <w:rPr/>
      </w:pPr>
      <w:r>
        <w:rPr/>
      </w:r>
    </w:p>
    <w:p>
      <w:pPr>
        <w:pStyle w:val="F21"/>
        <w:spacing w:lineRule="atLeast" w:line="380"/>
        <w:rPr/>
      </w:pPr>
      <w:r>
        <w:rPr/>
        <w:tab/>
      </w:r>
      <w:r>
        <w:rPr/>
        <w:t>方剛的想法將內地遊客和本地市民分流，我一聽到就更被嚇倒。如何分流？難道這裏只准遊客遊覽，香港人不要來，或這裏只准香港人入內，遊客止步？不可以的，這說法很有問題，因為違背了一種精神，甚至隨時會有人“上綱上線”說，這簡直是一種歧視，是歧視遊客，還是歧視香港人呢？說到底，香港是我家，我在香港喜歡去哪裏就去哪裏，除非政府立例訂明那裏是禁區，未得准許，不可擅自進入。我喜歡去購物城，而邊境設有購物城，為甚麼不讓我前往？這些分流的理念是出於好意，但真的不可行。</w:t>
      </w:r>
    </w:p>
    <w:p>
      <w:pPr>
        <w:pStyle w:val="F21"/>
        <w:spacing w:lineRule="atLeast" w:line="366"/>
        <w:rPr/>
      </w:pPr>
      <w:r>
        <w:rPr/>
      </w:r>
    </w:p>
    <w:p>
      <w:pPr>
        <w:pStyle w:val="F21"/>
        <w:spacing w:lineRule="atLeast" w:line="366"/>
        <w:rPr/>
      </w:pPr>
      <w:r>
        <w:rPr/>
        <w:tab/>
      </w:r>
      <w:r>
        <w:rPr/>
        <w:t>同時，整項議案的措辭是倒果為因，就是由於我們完全無法承受龐大的遊客人數，才會有反水貨行動，甚至如報章標題所用字眼，出現大混亂的情況，警察要使用胡椒噴霧。所以，我以自己的一套說法修正方剛議員的原議案。</w:t>
      </w:r>
    </w:p>
    <w:p>
      <w:pPr>
        <w:pStyle w:val="F21"/>
        <w:spacing w:lineRule="atLeast" w:line="366"/>
        <w:rPr/>
      </w:pPr>
      <w:r>
        <w:rPr/>
      </w:r>
    </w:p>
    <w:p>
      <w:pPr>
        <w:pStyle w:val="F21"/>
        <w:spacing w:lineRule="atLeast" w:line="366"/>
        <w:rPr/>
      </w:pPr>
      <w:r>
        <w:rPr/>
        <w:tab/>
      </w:r>
      <w:r>
        <w:rPr/>
        <w:t>我剛才提到梁振英躲在他的“梁粉”俱樂部總部，即禮賓府，不是設下鴻門夜宴，我懷疑不是太豪華的，只是星期日的下午茶敍而已。梁振英點名指控我，主席，你是立法會主席，請問如果梁振英真的想指控我，是否首先應該堂堂正正拿出證據公開指控，然後找我對質？</w:t>
      </w:r>
    </w:p>
    <w:p>
      <w:pPr>
        <w:pStyle w:val="F21"/>
        <w:spacing w:lineRule="atLeast" w:line="366"/>
        <w:rPr/>
      </w:pPr>
      <w:r>
        <w:rPr/>
      </w:r>
    </w:p>
    <w:p>
      <w:pPr>
        <w:pStyle w:val="F21"/>
        <w:spacing w:lineRule="atLeast" w:line="366"/>
        <w:rPr/>
      </w:pPr>
      <w:r>
        <w:rPr/>
        <w:tab/>
      </w:r>
      <w:r>
        <w:rPr/>
        <w:t>梁振英不是這樣，他躲在自己的私人聚會中竊竊私語。有人說他只是在聊天而已，事情不是這樣的，記者朋友跟我說，他們問行政長官辦公室取得特首發言的正式紀錄，有</w:t>
      </w:r>
      <w:r>
        <w:rPr/>
        <w:t>transcript</w:t>
      </w:r>
      <w:r>
        <w:rPr/>
        <w:t>，即逐字紀錄本。如果特首隨便說說個人的感覺，他可以跟賓客說：我們是私人聚會，不對外引述。但是，他又不這樣說。</w:t>
      </w:r>
    </w:p>
    <w:p>
      <w:pPr>
        <w:pStyle w:val="F21"/>
        <w:spacing w:lineRule="atLeast" w:line="366"/>
        <w:rPr/>
      </w:pPr>
      <w:r>
        <w:rPr/>
      </w:r>
    </w:p>
    <w:p>
      <w:pPr>
        <w:pStyle w:val="F21"/>
        <w:spacing w:lineRule="atLeast" w:line="366"/>
        <w:rPr/>
      </w:pPr>
      <w:r>
        <w:rPr/>
        <w:tab/>
      </w:r>
      <w:r>
        <w:rPr/>
        <w:t>梁振英指控我帶頭“拖篋反水貨客”，我真是呆了一呆，我何時帶頭？何時“拖篋”？何時反水貨客呢？主席，事實上過去</w:t>
      </w:r>
      <w:r>
        <w:rPr/>
        <w:t>3</w:t>
      </w:r>
      <w:r>
        <w:rPr/>
        <w:t>個月，我連新界也未曾到訪，我最後一次到新界是去年除夕，即</w:t>
      </w:r>
      <w:r>
        <w:rPr/>
        <w:t>12</w:t>
      </w:r>
      <w:r>
        <w:rPr/>
        <w:t>月</w:t>
      </w:r>
      <w:r>
        <w:rPr/>
        <w:t>31</w:t>
      </w:r>
      <w:r>
        <w:rPr/>
        <w:t>日，我到屯門的女童院探望那名被控用粉筆在牆上塗鴉的女孩。這牽涉行政與立法的關係，我亦希望主席可以留意，不過，我不會離題，我看見你在皺眉頭了，我不會離題。</w:t>
      </w:r>
    </w:p>
    <w:p>
      <w:pPr>
        <w:pStyle w:val="F21"/>
        <w:spacing w:lineRule="atLeast" w:line="366"/>
        <w:rPr/>
      </w:pPr>
      <w:r>
        <w:rPr/>
      </w:r>
    </w:p>
    <w:p>
      <w:pPr>
        <w:pStyle w:val="F21"/>
        <w:spacing w:lineRule="atLeast" w:line="366"/>
        <w:rPr/>
      </w:pPr>
      <w:r>
        <w:rPr/>
        <w:tab/>
      </w:r>
      <w:r>
        <w:rPr/>
        <w:t xml:space="preserve">整件事告訴大家，梁振英不單無法管治香港，在一個小型聚會中，他與他人談天說地的內容都可以說得亂七八糟，最後他更正說，不單毛孟靜議員，還有范國威議員，香港本土那兩位議員，在尖沙咀柏麗大道 </w:t>
      </w:r>
      <w:r>
        <w:rPr>
          <w:rFonts w:ascii="Symbol" w:hAnsi="Symbol" w:cs="Symbol" w:eastAsia="Symbol"/>
        </w:rPr>
        <w:t></w:t>
      </w:r>
      <w:r>
        <w:rPr/>
        <w:t xml:space="preserve"> 他以為自己說得十分準確 </w:t>
      </w:r>
      <w:r>
        <w:rPr>
          <w:rFonts w:ascii="Symbol" w:hAnsi="Symbol" w:cs="Symbol" w:eastAsia="Symbol"/>
        </w:rPr>
        <w:t></w:t>
      </w:r>
      <w:r>
        <w:rPr/>
        <w:t xml:space="preserve"> 在那裏“拖篋”，反的並非水貨客。他竟然說我們反內地遊客，這是否真的完全是在說夢話。他甚麼話都能說出來，就正如他在某天吃飯後說謊，然後誣衊某人。吃飯一定有，有否說謊呢？是否誣衊某人呢？這是不負責任的。</w:t>
      </w:r>
      <w:r>
        <w:br w:type="page"/>
      </w:r>
    </w:p>
    <w:p>
      <w:pPr>
        <w:pStyle w:val="F21"/>
        <w:rPr/>
      </w:pPr>
      <w:r>
        <w:rPr/>
        <w:tab/>
      </w:r>
      <w:r>
        <w:rPr/>
        <w:t>在這項議題上，大家尤其看到梁振英的虛怯，就是因為虛怯，他完全失控，胡說八道。為何如此虛怯？就是因為他在兩會舉行之前虛張聲勢，說水貨客方面可能有些問題，也想探討一下，看看有甚麼可以做，有怎樣作出調整。然而，他回港後甚麼也沒有做到，完全“交白卷”，他甚麼也做不到便隨意點名批評最明顯的這幾個人。“拖篋”是民間運動，以往亦曾發生。在去年</w:t>
      </w:r>
      <w:r>
        <w:rPr/>
        <w:t>3</w:t>
      </w:r>
      <w:r>
        <w:rPr/>
        <w:t>月之前，不論旺角行人專用區或是沙田，都有正式的民間“拖篋”活動，反對太多自由行遊客。這樣下去，香港早晚會陸沉。</w:t>
      </w:r>
    </w:p>
    <w:p>
      <w:pPr>
        <w:pStyle w:val="F21"/>
        <w:rPr/>
      </w:pPr>
      <w:r>
        <w:rPr/>
      </w:r>
    </w:p>
    <w:p>
      <w:pPr>
        <w:pStyle w:val="F21"/>
        <w:rPr/>
      </w:pPr>
      <w:r>
        <w:rPr/>
        <w:tab/>
      </w:r>
      <w:r>
        <w:rPr/>
        <w:t>我們設置街站時，問一些媽媽敢不敢帶孩子往海洋公園，她們全都撒手搖頭，苦笑以對。即使是新移民的導遊，專門為內地旅行團作嚮導的，在接受電視台訪問時都說“自由行真的多了一點，水貨客也真是猖獗了一點。”人是有人性的，公道自在人心，但梁振英卻反其道而行，他最喜歡與民為敵，硬要將香港人認為是對的東西反過來說成是錯的，說自由行沒有問題、水貨客沒有問題。原本天下太平、國泰民安、花好月圓，沒有事情發生，只因有搞事的人才有事情發生，這是很不負責任的態度。現時連澳門特首崔世安也說他會與北京談談可否調整、優化一下自由行的安排，連澳門都覺得真的開始吃不消，香港反而只是坐着，把槍口倒轉，指香港人不知進取，人家以往曾幫助你，現在你們卻不懂感激。然而，這是數字的問題，香港是一個城市，每年接待的遊客人數，例如去年是</w:t>
      </w:r>
      <w:r>
        <w:rPr/>
        <w:t>6 000</w:t>
      </w:r>
      <w:r>
        <w:rPr/>
        <w:t>萬人，有</w:t>
      </w:r>
      <w:r>
        <w:rPr/>
        <w:t>5 000</w:t>
      </w:r>
      <w:r>
        <w:rPr/>
        <w:t>萬人來自內地，而當中不過夜的遊客高達</w:t>
      </w:r>
      <w:r>
        <w:rPr/>
        <w:t>3 000</w:t>
      </w:r>
      <w:r>
        <w:rPr/>
        <w:t>萬人，這些數字比英國整個國家的遊客多出</w:t>
      </w:r>
      <w:r>
        <w:rPr/>
        <w:t>1</w:t>
      </w:r>
      <w:r>
        <w:rPr/>
        <w:t>倍，比南韓、日本的遊客多出</w:t>
      </w:r>
      <w:r>
        <w:rPr/>
        <w:t>4</w:t>
      </w:r>
      <w:r>
        <w:rPr/>
        <w:t>至</w:t>
      </w:r>
      <w:r>
        <w:rPr/>
        <w:t>5</w:t>
      </w:r>
      <w:r>
        <w:rPr/>
        <w:t>倍，比整個澳洲更多至</w:t>
      </w:r>
      <w:r>
        <w:rPr/>
        <w:t>9</w:t>
      </w:r>
      <w:r>
        <w:rPr/>
        <w:t>倍，我們怎能吃得消呢？多謝。</w:t>
      </w:r>
    </w:p>
    <w:p>
      <w:pPr>
        <w:pStyle w:val="F21"/>
        <w:rPr>
          <w:rFonts w:cs="Times New Roman"/>
        </w:rPr>
      </w:pPr>
      <w:r>
        <w:rPr>
          <w:rFonts w:cs="Times New Roman"/>
        </w:rPr>
      </w:r>
    </w:p>
    <w:p>
      <w:pPr>
        <w:pStyle w:val="F21"/>
        <w:rPr>
          <w:rFonts w:cs="Times New Roman"/>
        </w:rPr>
      </w:pPr>
      <w:r>
        <w:rPr>
          <w:rFonts w:cs="Times New Roman"/>
        </w:rPr>
      </w:r>
    </w:p>
    <w:p>
      <w:pPr>
        <w:pStyle w:val="F21"/>
        <w:rPr>
          <w:szCs w:val="27"/>
        </w:rPr>
      </w:pPr>
      <w:r>
        <w:rPr>
          <w:rFonts w:ascii="華康中黑體" w:hAnsi="華康中黑體" w:cs="華康中黑體" w:eastAsia="華康中黑體"/>
          <w:b/>
          <w:szCs w:val="27"/>
        </w:rPr>
        <w:t>范國威議員</w:t>
      </w:r>
      <w:r>
        <w:rPr>
          <w:szCs w:val="27"/>
        </w:rPr>
        <w:t>：主席，多謝方剛</w:t>
      </w:r>
      <w:r>
        <w:rPr>
          <w:rFonts w:ascii="華康細明體" w:hAnsi="華康細明體" w:cs="華康細明體"/>
          <w:szCs w:val="27"/>
        </w:rPr>
        <w:t>議員</w:t>
      </w:r>
      <w:r>
        <w:rPr>
          <w:szCs w:val="27"/>
        </w:rPr>
        <w:t>提出這項議案辯論，讓我們各抒己見。雖然我不會就方剛</w:t>
      </w:r>
      <w:r>
        <w:rPr>
          <w:rFonts w:ascii="華康細明體" w:hAnsi="華康細明體" w:cs="華康細明體"/>
          <w:szCs w:val="27"/>
        </w:rPr>
        <w:t>議員</w:t>
      </w:r>
      <w:r>
        <w:rPr>
          <w:szCs w:val="27"/>
        </w:rPr>
        <w:t>的原議案投贊成票，但方剛</w:t>
      </w:r>
      <w:r>
        <w:rPr>
          <w:rFonts w:ascii="華康細明體" w:hAnsi="華康細明體" w:cs="華康細明體"/>
          <w:szCs w:val="27"/>
        </w:rPr>
        <w:t>議員</w:t>
      </w:r>
      <w:r>
        <w:rPr>
          <w:szCs w:val="27"/>
        </w:rPr>
        <w:t>剛才提出一個非常重要的原則。對於自由行政策引起的問題，政府要負最大責任，因為這項政策是由政府制訂的。</w:t>
      </w:r>
    </w:p>
    <w:p>
      <w:pPr>
        <w:pStyle w:val="F21"/>
        <w:rPr>
          <w:szCs w:val="27"/>
        </w:rPr>
      </w:pPr>
      <w:r>
        <w:rPr>
          <w:szCs w:val="27"/>
        </w:rPr>
      </w:r>
    </w:p>
    <w:p>
      <w:pPr>
        <w:pStyle w:val="F21"/>
        <w:rPr>
          <w:szCs w:val="27"/>
        </w:rPr>
      </w:pPr>
      <w:r>
        <w:rPr>
          <w:szCs w:val="27"/>
        </w:rPr>
        <w:tab/>
      </w:r>
      <w:r>
        <w:rPr>
          <w:szCs w:val="27"/>
        </w:rPr>
        <w:t>主席，自從特區政府在</w:t>
      </w:r>
      <w:r>
        <w:rPr>
          <w:szCs w:val="27"/>
        </w:rPr>
        <w:t>2003</w:t>
      </w:r>
      <w:r>
        <w:rPr>
          <w:szCs w:val="27"/>
        </w:rPr>
        <w:t>年開放自由行，並在</w:t>
      </w:r>
      <w:r>
        <w:rPr>
          <w:szCs w:val="27"/>
        </w:rPr>
        <w:t>2009</w:t>
      </w:r>
      <w:r>
        <w:rPr>
          <w:szCs w:val="27"/>
        </w:rPr>
        <w:t>年開放深圳戶籍居民以一簽多行來港，越來越多大陸旅客蜂擁而至。特首梁振英上任近</w:t>
      </w:r>
      <w:r>
        <w:rPr>
          <w:szCs w:val="27"/>
        </w:rPr>
        <w:t>3</w:t>
      </w:r>
      <w:r>
        <w:rPr>
          <w:szCs w:val="27"/>
        </w:rPr>
        <w:t>年以來，</w:t>
      </w:r>
      <w:r>
        <w:rPr>
          <w:szCs w:val="27"/>
        </w:rPr>
        <w:t>2014</w:t>
      </w:r>
      <w:r>
        <w:rPr>
          <w:szCs w:val="27"/>
        </w:rPr>
        <w:t>年大陸訪港旅客人次達</w:t>
      </w:r>
      <w:r>
        <w:rPr>
          <w:szCs w:val="27"/>
        </w:rPr>
        <w:t>4 700</w:t>
      </w:r>
      <w:r>
        <w:rPr>
          <w:szCs w:val="27"/>
        </w:rPr>
        <w:t>多萬，相比</w:t>
      </w:r>
      <w:r>
        <w:rPr>
          <w:szCs w:val="27"/>
        </w:rPr>
        <w:t>2011</w:t>
      </w:r>
      <w:r>
        <w:rPr>
          <w:szCs w:val="27"/>
        </w:rPr>
        <w:t>年增幅達</w:t>
      </w:r>
      <w:r>
        <w:rPr>
          <w:szCs w:val="27"/>
        </w:rPr>
        <w:t>68%</w:t>
      </w:r>
      <w:r>
        <w:rPr>
          <w:szCs w:val="27"/>
        </w:rPr>
        <w:t>。相反，來自其他國家的旅客人次，不論短途的日本、新加坡、台灣或長途的加拿大、美國、法國，全部都錄得下跌。過分依賴大陸旅客的旅遊業逐漸單一化，正是影響旅遊業正常、平衡和健康發展的最大禍因。</w:t>
      </w:r>
      <w:r>
        <w:br w:type="page"/>
      </w:r>
    </w:p>
    <w:p>
      <w:pPr>
        <w:pStyle w:val="F21"/>
        <w:spacing w:lineRule="atLeast" w:line="350"/>
        <w:rPr>
          <w:szCs w:val="27"/>
        </w:rPr>
      </w:pPr>
      <w:r>
        <w:rPr>
          <w:szCs w:val="27"/>
        </w:rPr>
        <w:tab/>
      </w:r>
      <w:r>
        <w:rPr>
          <w:szCs w:val="27"/>
        </w:rPr>
        <w:t>主席，香港只是一個有</w:t>
      </w:r>
      <w:r>
        <w:rPr>
          <w:szCs w:val="27"/>
        </w:rPr>
        <w:t>700</w:t>
      </w:r>
      <w:r>
        <w:rPr>
          <w:szCs w:val="27"/>
        </w:rPr>
        <w:t>多萬人口的城市，但去年卻接待了多達</w:t>
      </w:r>
      <w:r>
        <w:rPr>
          <w:szCs w:val="27"/>
        </w:rPr>
        <w:t>6 000</w:t>
      </w:r>
      <w:r>
        <w:rPr>
          <w:szCs w:val="27"/>
        </w:rPr>
        <w:t>萬人次的旅客，比很多國家還要多。例如，香港的競爭對手、有</w:t>
      </w:r>
      <w:r>
        <w:rPr>
          <w:szCs w:val="27"/>
        </w:rPr>
        <w:t>500</w:t>
      </w:r>
      <w:r>
        <w:rPr>
          <w:szCs w:val="27"/>
        </w:rPr>
        <w:t>多萬人口的新加坡，上年的旅客人次只是</w:t>
      </w:r>
      <w:r>
        <w:rPr>
          <w:szCs w:val="27"/>
        </w:rPr>
        <w:t>1 500</w:t>
      </w:r>
      <w:r>
        <w:rPr>
          <w:szCs w:val="27"/>
        </w:rPr>
        <w:t>萬，整個日本那麼大，</w:t>
      </w:r>
      <w:r>
        <w:rPr>
          <w:szCs w:val="27"/>
        </w:rPr>
        <w:t>1</w:t>
      </w:r>
      <w:r>
        <w:rPr>
          <w:szCs w:val="27"/>
        </w:rPr>
        <w:t>年的旅客亦少於</w:t>
      </w:r>
      <w:r>
        <w:rPr>
          <w:szCs w:val="27"/>
        </w:rPr>
        <w:t>1 500</w:t>
      </w:r>
      <w:r>
        <w:rPr>
          <w:szCs w:val="27"/>
        </w:rPr>
        <w:t>萬人次，有</w:t>
      </w:r>
      <w:r>
        <w:rPr>
          <w:szCs w:val="27"/>
        </w:rPr>
        <w:t>13</w:t>
      </w:r>
      <w:r>
        <w:rPr>
          <w:szCs w:val="27"/>
        </w:rPr>
        <w:t>億人口的中國，</w:t>
      </w:r>
      <w:r>
        <w:rPr>
          <w:szCs w:val="27"/>
        </w:rPr>
        <w:t>1</w:t>
      </w:r>
      <w:r>
        <w:rPr>
          <w:szCs w:val="27"/>
        </w:rPr>
        <w:t>年也只是接待約</w:t>
      </w:r>
      <w:r>
        <w:rPr>
          <w:szCs w:val="27"/>
        </w:rPr>
        <w:t>5 600</w:t>
      </w:r>
      <w:r>
        <w:rPr>
          <w:szCs w:val="27"/>
        </w:rPr>
        <w:t>萬名旅客，但新加坡人均生產總值仍然遠遠拋離香港，數字是不會騙人的。主席，過多的旅客人數逐漸在多方面影響香港人的生活，但特區政府一直坐視不理，沒有盡力爭取對自由行旅客數量的審批權，只能夠被動地、盲目地接受由大陸當局審批出境的旅客。</w:t>
      </w:r>
    </w:p>
    <w:p>
      <w:pPr>
        <w:pStyle w:val="F21"/>
        <w:spacing w:lineRule="atLeast" w:line="350"/>
        <w:rPr>
          <w:szCs w:val="27"/>
        </w:rPr>
      </w:pPr>
      <w:r>
        <w:rPr>
          <w:szCs w:val="27"/>
        </w:rPr>
      </w:r>
    </w:p>
    <w:p>
      <w:pPr>
        <w:pStyle w:val="F21"/>
        <w:spacing w:lineRule="atLeast" w:line="350"/>
        <w:rPr>
          <w:szCs w:val="27"/>
        </w:rPr>
      </w:pPr>
      <w:r>
        <w:rPr>
          <w:szCs w:val="27"/>
        </w:rPr>
        <w:tab/>
      </w:r>
      <w:r>
        <w:rPr>
          <w:szCs w:val="27"/>
        </w:rPr>
        <w:t>特區政府過去多次表示會與大陸當局商議及檢討自由行，梁振英在去年七一遊行之前，更放風表示要研究削減自由行人數兩成。商務及經濟發展局局長蘇錦樑在今年</w:t>
      </w:r>
      <w:r>
        <w:rPr>
          <w:szCs w:val="27"/>
        </w:rPr>
        <w:t>2</w:t>
      </w:r>
      <w:r>
        <w:rPr>
          <w:szCs w:val="27"/>
        </w:rPr>
        <w:t>月</w:t>
      </w:r>
      <w:r>
        <w:rPr>
          <w:szCs w:val="27"/>
        </w:rPr>
        <w:t>11</w:t>
      </w:r>
      <w:r>
        <w:rPr>
          <w:szCs w:val="27"/>
        </w:rPr>
        <w:t>日回答立法會的書面質詢時說得很清楚，自由行政策屬於由北京政府決定的政策，就所有削減旅客人數和改變旅客結構的政策，特區政府只能夠向北京反映意見，無法自行決定。即使就開徵陸路入境稅這些有效限制入境人數的行政措施建議，梁振英亦批評香港人不可以未富先驕。很明顯，特首梁振英只顧及北京政府及大陸居民的感受，不惜犧牲香港人的切身利益。</w:t>
      </w:r>
    </w:p>
    <w:p>
      <w:pPr>
        <w:pStyle w:val="F21"/>
        <w:spacing w:lineRule="atLeast" w:line="350"/>
        <w:rPr>
          <w:szCs w:val="27"/>
        </w:rPr>
      </w:pPr>
      <w:r>
        <w:rPr>
          <w:szCs w:val="27"/>
        </w:rPr>
      </w:r>
    </w:p>
    <w:p>
      <w:pPr>
        <w:pStyle w:val="F21"/>
        <w:spacing w:lineRule="atLeast" w:line="350"/>
        <w:rPr>
          <w:szCs w:val="27"/>
        </w:rPr>
      </w:pPr>
      <w:r>
        <w:rPr>
          <w:szCs w:val="27"/>
        </w:rPr>
        <w:tab/>
      </w:r>
      <w:r>
        <w:rPr>
          <w:szCs w:val="27"/>
        </w:rPr>
        <w:t>梁振英誇言自己是“自由行之父”，但他看到自由行政策日漸變質，影響港人的日常生活，卻無力領導特區政府修改政策。為了掩飾自己的無能，他多次採取烏賊策略，抹黑他人及轉移視線。正如毛孟靜</w:t>
      </w:r>
      <w:r>
        <w:rPr>
          <w:rFonts w:ascii="華康細明體" w:hAnsi="華康細明體" w:cs="華康細明體"/>
          <w:szCs w:val="27"/>
        </w:rPr>
        <w:t>議員</w:t>
      </w:r>
      <w:r>
        <w:rPr>
          <w:szCs w:val="27"/>
        </w:rPr>
        <w:t>剛才所說，梁振英在剛過去的星期日高調批評毛</w:t>
      </w:r>
      <w:r>
        <w:rPr>
          <w:rFonts w:ascii="華康細明體" w:hAnsi="華康細明體" w:cs="華康細明體"/>
          <w:szCs w:val="27"/>
        </w:rPr>
        <w:t>議員</w:t>
      </w:r>
      <w:r>
        <w:rPr>
          <w:szCs w:val="27"/>
        </w:rPr>
        <w:t>和我組成的“香港本土”，是反走私水貨客行動的始作俑者。梁振英倒果為因，莫此為甚，純粹為了掩飾特區政府多年來對打擊走私水貨問題毫無作為，以及持續任由一簽多行旅客來港，才是激起民憤的主因。</w:t>
      </w:r>
    </w:p>
    <w:p>
      <w:pPr>
        <w:pStyle w:val="F21"/>
        <w:spacing w:lineRule="atLeast" w:line="350"/>
        <w:rPr>
          <w:szCs w:val="27"/>
        </w:rPr>
      </w:pPr>
      <w:r>
        <w:rPr>
          <w:szCs w:val="27"/>
        </w:rPr>
      </w:r>
    </w:p>
    <w:p>
      <w:pPr>
        <w:pStyle w:val="F21"/>
        <w:spacing w:lineRule="atLeast" w:line="350"/>
        <w:rPr>
          <w:szCs w:val="27"/>
        </w:rPr>
      </w:pPr>
      <w:r>
        <w:rPr>
          <w:szCs w:val="27"/>
        </w:rPr>
        <w:tab/>
      </w:r>
      <w:r>
        <w:rPr>
          <w:szCs w:val="27"/>
        </w:rPr>
        <w:t>主席，本月初人大政協兩會會議舉行之前，梁振英再次信誓旦旦地表示會與北京商討，研究有否收緊自由行及一簽多行的空間，但他會見完京官回港之後，立即改口說要兼顧大陸居民來港的需要。有傳媒早前引述政府內部文件指，</w:t>
      </w:r>
      <w:r>
        <w:rPr>
          <w:szCs w:val="27"/>
        </w:rPr>
        <w:t>2014</w:t>
      </w:r>
      <w:r>
        <w:rPr>
          <w:szCs w:val="27"/>
        </w:rPr>
        <w:t>年以一簽多行來港的深圳居民高達</w:t>
      </w:r>
      <w:r>
        <w:rPr>
          <w:szCs w:val="27"/>
        </w:rPr>
        <w:t>150</w:t>
      </w:r>
      <w:r>
        <w:rPr>
          <w:szCs w:val="27"/>
        </w:rPr>
        <w:t>萬人，當中有</w:t>
      </w:r>
      <w:r>
        <w:rPr>
          <w:szCs w:val="27"/>
        </w:rPr>
        <w:t>2</w:t>
      </w:r>
      <w:r>
        <w:rPr>
          <w:szCs w:val="27"/>
        </w:rPr>
        <w:t>萬人在</w:t>
      </w:r>
      <w:r>
        <w:rPr>
          <w:szCs w:val="27"/>
        </w:rPr>
        <w:t>1</w:t>
      </w:r>
      <w:r>
        <w:rPr>
          <w:szCs w:val="27"/>
        </w:rPr>
        <w:t>年間入境香港多達</w:t>
      </w:r>
      <w:r>
        <w:rPr>
          <w:szCs w:val="27"/>
        </w:rPr>
        <w:t>52</w:t>
      </w:r>
      <w:r>
        <w:rPr>
          <w:szCs w:val="27"/>
        </w:rPr>
        <w:t>至</w:t>
      </w:r>
      <w:r>
        <w:rPr>
          <w:szCs w:val="27"/>
        </w:rPr>
        <w:t>99</w:t>
      </w:r>
      <w:r>
        <w:rPr>
          <w:szCs w:val="27"/>
        </w:rPr>
        <w:t>次，更有</w:t>
      </w:r>
      <w:r>
        <w:rPr>
          <w:szCs w:val="27"/>
        </w:rPr>
        <w:t>1</w:t>
      </w:r>
      <w:r>
        <w:rPr>
          <w:szCs w:val="27"/>
        </w:rPr>
        <w:t>萬人入境</w:t>
      </w:r>
      <w:r>
        <w:rPr>
          <w:szCs w:val="27"/>
        </w:rPr>
        <w:t>100</w:t>
      </w:r>
      <w:r>
        <w:rPr>
          <w:szCs w:val="27"/>
        </w:rPr>
        <w:t>次或以上，因此累計入境次數實際或已高達</w:t>
      </w:r>
      <w:r>
        <w:rPr>
          <w:szCs w:val="27"/>
        </w:rPr>
        <w:t>300</w:t>
      </w:r>
      <w:r>
        <w:rPr>
          <w:szCs w:val="27"/>
        </w:rPr>
        <w:t>萬人次。這些深圳居民來港的目的當然不是為了旅遊，他們更不是旅客，只是從事走私水貨的活動。可是，特區政府沒有認真對待這些可以量化的影響，令大量香港人非常憤怒。</w:t>
      </w:r>
    </w:p>
    <w:p>
      <w:pPr>
        <w:pStyle w:val="F21"/>
        <w:spacing w:lineRule="atLeast" w:line="350"/>
        <w:rPr>
          <w:szCs w:val="27"/>
        </w:rPr>
      </w:pPr>
      <w:r>
        <w:rPr>
          <w:szCs w:val="27"/>
        </w:rPr>
      </w:r>
    </w:p>
    <w:p>
      <w:pPr>
        <w:pStyle w:val="F21"/>
        <w:spacing w:lineRule="atLeast" w:line="350"/>
        <w:rPr>
          <w:szCs w:val="27"/>
        </w:rPr>
      </w:pPr>
      <w:r>
        <w:rPr>
          <w:szCs w:val="27"/>
        </w:rPr>
        <w:tab/>
      </w:r>
      <w:r>
        <w:rPr>
          <w:szCs w:val="27"/>
        </w:rPr>
        <w:t>一簽多行政策吸引大量深圳居民來港走私水貨及搜購日用品，帶來種種問題，對鄰近邊境的社區造成非常沉重的負擔。政府口中所說的帶動經濟，到頭來只令不少地區小店被迫結業，租金被推高，造成物價高漲及商品單一化。邊境零售商店的結構亦出現顯著的轉變，只有藥房、連鎖化妝品店和走私水貨店才可繼續生存，至於在市場上經營多年的小店卻要結業。上水、粉嶺和屯門的商場已變成專為大陸走私水貨客而設的購物城。</w:t>
      </w:r>
    </w:p>
    <w:p>
      <w:pPr>
        <w:pStyle w:val="F21"/>
        <w:rPr>
          <w:szCs w:val="27"/>
        </w:rPr>
      </w:pPr>
      <w:r>
        <w:rPr>
          <w:szCs w:val="27"/>
        </w:rPr>
      </w:r>
    </w:p>
    <w:p>
      <w:pPr>
        <w:pStyle w:val="F21"/>
        <w:rPr>
          <w:szCs w:val="27"/>
        </w:rPr>
      </w:pPr>
      <w:r>
        <w:rPr>
          <w:szCs w:val="27"/>
        </w:rPr>
        <w:tab/>
      </w:r>
      <w:r>
        <w:rPr>
          <w:szCs w:val="27"/>
        </w:rPr>
        <w:t>主席，立法會去年</w:t>
      </w:r>
      <w:r>
        <w:rPr>
          <w:szCs w:val="27"/>
        </w:rPr>
        <w:t>5</w:t>
      </w:r>
      <w:r>
        <w:rPr>
          <w:szCs w:val="27"/>
        </w:rPr>
        <w:t>月發表的自由行研究簡報，引述政府統計處的資料，分析</w:t>
      </w:r>
      <w:r>
        <w:rPr>
          <w:szCs w:val="27"/>
        </w:rPr>
        <w:t>2004</w:t>
      </w:r>
      <w:r>
        <w:rPr>
          <w:szCs w:val="27"/>
        </w:rPr>
        <w:t>年至</w:t>
      </w:r>
      <w:r>
        <w:rPr>
          <w:szCs w:val="27"/>
        </w:rPr>
        <w:t>2013</w:t>
      </w:r>
      <w:r>
        <w:rPr>
          <w:szCs w:val="27"/>
        </w:rPr>
        <w:t>年本港零售商店的結構。售賣化妝品及個人護理用品的店鋪的數量竟然激增達</w:t>
      </w:r>
      <w:r>
        <w:rPr>
          <w:szCs w:val="27"/>
        </w:rPr>
        <w:t>1 500%</w:t>
      </w:r>
      <w:r>
        <w:rPr>
          <w:szCs w:val="27"/>
        </w:rPr>
        <w:t>，而售賣成衣、鐘錶、珠寶首飾等高檔產品的商店的數量亦大幅增加</w:t>
      </w:r>
      <w:r>
        <w:rPr>
          <w:szCs w:val="27"/>
        </w:rPr>
        <w:t>30%</w:t>
      </w:r>
      <w:r>
        <w:rPr>
          <w:szCs w:val="27"/>
        </w:rPr>
        <w:t>至</w:t>
      </w:r>
      <w:r>
        <w:rPr>
          <w:szCs w:val="27"/>
        </w:rPr>
        <w:t>40%</w:t>
      </w:r>
      <w:r>
        <w:rPr>
          <w:szCs w:val="27"/>
        </w:rPr>
        <w:t>。相反，賣書報和文具等小店的數量在</w:t>
      </w:r>
      <w:r>
        <w:rPr>
          <w:szCs w:val="27"/>
        </w:rPr>
        <w:t>10</w:t>
      </w:r>
      <w:r>
        <w:rPr>
          <w:szCs w:val="27"/>
        </w:rPr>
        <w:t>年間下跌</w:t>
      </w:r>
      <w:r>
        <w:rPr>
          <w:szCs w:val="27"/>
        </w:rPr>
        <w:t>25%</w:t>
      </w:r>
      <w:r>
        <w:rPr>
          <w:szCs w:val="27"/>
        </w:rPr>
        <w:t>。這些數據顯示香港零售店的結構向大陸旅客嚴重傾斜，香港原有特色和商店結構受到影響。</w:t>
      </w:r>
    </w:p>
    <w:p>
      <w:pPr>
        <w:pStyle w:val="F21"/>
        <w:rPr>
          <w:szCs w:val="27"/>
        </w:rPr>
      </w:pPr>
      <w:r>
        <w:rPr>
          <w:szCs w:val="27"/>
        </w:rPr>
      </w:r>
    </w:p>
    <w:p>
      <w:pPr>
        <w:pStyle w:val="F21"/>
        <w:rPr>
          <w:szCs w:val="27"/>
        </w:rPr>
      </w:pPr>
      <w:r>
        <w:rPr>
          <w:szCs w:val="27"/>
        </w:rPr>
        <w:tab/>
      </w:r>
      <w:r>
        <w:rPr>
          <w:szCs w:val="27"/>
        </w:rPr>
        <w:t>香港過去有購物天堂的美譽，價廉物美又選擇繁多，現在香港這個購物天堂變成專售藥品、化妝品、奶粉及走私水貨客專攻的活乳酸產品、即食</w:t>
      </w:r>
      <w:r>
        <w:rPr>
          <w:rFonts w:ascii="Batang" w:hAnsi="Batang" w:eastAsia="Batang"/>
          <w:szCs w:val="27"/>
        </w:rPr>
        <w:t>麪</w:t>
      </w:r>
      <w:r>
        <w:rPr>
          <w:szCs w:val="27"/>
        </w:rPr>
        <w:t>、檸檬茶等水貨的天堂，嚴重侮辱了香港旅遊天堂的美譽，也對本港旅遊業和零售業造成不健康的影響。</w:t>
      </w:r>
    </w:p>
    <w:p>
      <w:pPr>
        <w:pStyle w:val="F21"/>
        <w:rPr>
          <w:szCs w:val="27"/>
        </w:rPr>
      </w:pPr>
      <w:r>
        <w:rPr>
          <w:szCs w:val="27"/>
        </w:rPr>
      </w:r>
    </w:p>
    <w:p>
      <w:pPr>
        <w:pStyle w:val="F21"/>
        <w:rPr>
          <w:szCs w:val="27"/>
        </w:rPr>
      </w:pPr>
      <w:r>
        <w:rPr>
          <w:szCs w:val="27"/>
        </w:rPr>
        <w:tab/>
      </w:r>
      <w:r>
        <w:rPr>
          <w:szCs w:val="27"/>
        </w:rPr>
        <w:t>主席，這些零售店鋪的結構改變，顯示一簽多行帶來的影響。除了走私水貨客問題外，特區政府亦企圖推行“深港同城化”的區域融合策略。一簽多行把香港納入深圳居民的</w:t>
      </w:r>
      <w:r>
        <w:rPr>
          <w:szCs w:val="27"/>
        </w:rPr>
        <w:t>1</w:t>
      </w:r>
      <w:r>
        <w:rPr>
          <w:szCs w:val="27"/>
        </w:rPr>
        <w:t>小時生活圈，鄰近邊境的地區如上水、屯門成為深圳居民購物和消遣的地方。他們來港搜購日用品，還佔用香港人的社區文康設施，例如公眾泳池和運動場等。我們必須知道，香港的城市設計及公共設施規劃是要迎合香港人的需要，從未預計會有大量外來人士使用。所以，一簽多行帶來很多問題，蠶食了北區、屯門和鄰近邊境的地區的居民的生活空間，社會代價高昂。</w:t>
      </w:r>
    </w:p>
    <w:p>
      <w:pPr>
        <w:pStyle w:val="F21"/>
        <w:rPr>
          <w:szCs w:val="27"/>
        </w:rPr>
      </w:pPr>
      <w:r>
        <w:rPr>
          <w:szCs w:val="27"/>
        </w:rPr>
      </w:r>
    </w:p>
    <w:p>
      <w:pPr>
        <w:pStyle w:val="F21"/>
        <w:rPr>
          <w:szCs w:val="27"/>
        </w:rPr>
      </w:pPr>
      <w:r>
        <w:rPr>
          <w:szCs w:val="27"/>
        </w:rPr>
        <w:tab/>
      </w:r>
      <w:r>
        <w:rPr>
          <w:szCs w:val="27"/>
        </w:rPr>
        <w:t>主席，正如我的修正案所述，以一簽多行來港的深圳居民來港的目的有別於一般遊客，香港人正面對“深港同城化”帶來的巨大轉變，這種轉變不是通過包容或局長所說的“多等數班車”便能解決，這更不是爭論歧視定義或批評抗爭手法的時機。方剛議員的原議案和保皇黨議員的修正案，只針對最近的光復行動作出批評，鄧家彪議員甚至用“嚴厲譴責”的字眼，協助政府轉移視線。</w:t>
      </w:r>
    </w:p>
    <w:p>
      <w:pPr>
        <w:pStyle w:val="F21"/>
        <w:rPr>
          <w:szCs w:val="27"/>
        </w:rPr>
      </w:pPr>
      <w:r>
        <w:rPr>
          <w:szCs w:val="27"/>
        </w:rPr>
      </w:r>
    </w:p>
    <w:p>
      <w:pPr>
        <w:pStyle w:val="F21"/>
        <w:rPr>
          <w:szCs w:val="27"/>
        </w:rPr>
      </w:pPr>
      <w:r>
        <w:rPr>
          <w:szCs w:val="27"/>
        </w:rPr>
        <w:tab/>
      </w:r>
      <w:r>
        <w:rPr>
          <w:szCs w:val="27"/>
        </w:rPr>
        <w:t>此外，民建聯竟然在</w:t>
      </w:r>
      <w:r>
        <w:rPr>
          <w:szCs w:val="27"/>
        </w:rPr>
        <w:t>2010</w:t>
      </w:r>
      <w:r>
        <w:rPr>
          <w:szCs w:val="27"/>
        </w:rPr>
        <w:t>年於兩會期間要求把一簽多行擴展至全廣東省和福建省。這是小罵大幫忙、幫倒忙，未能針對問題。主席，當局從未就“深港同城化”策略諮詢香港市民，市民也未進行充分討論。作為“深港同城化”策略的始作俑者，特區政府必須重新論證，而且要獲得民意授權，從而決定香港未來</w:t>
      </w:r>
      <w:r>
        <w:rPr>
          <w:szCs w:val="27"/>
        </w:rPr>
        <w:t>10</w:t>
      </w:r>
      <w:r>
        <w:rPr>
          <w:szCs w:val="27"/>
        </w:rPr>
        <w:t>至</w:t>
      </w:r>
      <w:r>
        <w:rPr>
          <w:szCs w:val="27"/>
        </w:rPr>
        <w:t>20</w:t>
      </w:r>
      <w:r>
        <w:rPr>
          <w:szCs w:val="27"/>
        </w:rPr>
        <w:t>年的走向，而非把現有問題簡化成旅遊政策。</w:t>
      </w:r>
    </w:p>
    <w:p>
      <w:pPr>
        <w:pStyle w:val="F21"/>
        <w:rPr>
          <w:rFonts w:cs="Times New Roman"/>
        </w:rPr>
      </w:pPr>
      <w:r>
        <w:rPr>
          <w:rFonts w:cs="Times New Roman"/>
        </w:rPr>
      </w:r>
    </w:p>
    <w:p>
      <w:pPr>
        <w:pStyle w:val="F21"/>
        <w:rPr>
          <w:rFonts w:cs="Times New Roman"/>
        </w:rPr>
      </w:pPr>
      <w:r>
        <w:rPr>
          <w:rFonts w:cs="Times New Roman"/>
        </w:rPr>
      </w:r>
    </w:p>
    <w:p>
      <w:pPr>
        <w:pStyle w:val="F21"/>
        <w:rPr/>
      </w:pPr>
      <w:r>
        <w:rPr>
          <w:rFonts w:ascii="華康中黑體" w:hAnsi="華康中黑體" w:eastAsia="華康中黑體"/>
          <w:b/>
        </w:rPr>
        <w:t>鄧家彪議員</w:t>
      </w:r>
      <w:r>
        <w:rPr/>
        <w:t>：主席，首先，藉着方剛議員提出的議案辯論，我代表工聯會及相關工會嚴厲譴責。過去數月有激進政治團體以“反水貨客”名義，透過極不文明的言行，騷擾、欺凌及指罵旅客、在金鋪內的市民、推着手推車的街坊，以及店員。他們採用的仇視字句令聽者痛心及心寒。這些反水貨客的激進行為，實質上是“鳩嗚團”的延伸，旨在推銷極端本土主張。有學者批評，這些散播仇恨的組織就如美國的</w:t>
      </w:r>
      <w:r>
        <w:rPr/>
        <w:t>3K</w:t>
      </w:r>
      <w:r>
        <w:rPr/>
        <w:t>黨。</w:t>
      </w:r>
    </w:p>
    <w:p>
      <w:pPr>
        <w:pStyle w:val="F21"/>
        <w:rPr/>
      </w:pPr>
      <w:r>
        <w:rPr/>
      </w:r>
    </w:p>
    <w:p>
      <w:pPr>
        <w:pStyle w:val="F21"/>
        <w:rPr/>
      </w:pPr>
      <w:r>
        <w:rPr/>
        <w:tab/>
      </w:r>
      <w:r>
        <w:rPr/>
        <w:t>政府和社會都要警惕這些仇恨組織的崛起和散布，在這場辯論中，提出修正案的泛民議員竟然不認為過去的反水貨客行動帶有暴力騷擾成分，因而刪除了原議案中“暴力騷擾”的字眼。我想請他們解釋何謂暴力。</w:t>
      </w:r>
    </w:p>
    <w:p>
      <w:pPr>
        <w:pStyle w:val="F21"/>
        <w:rPr/>
      </w:pPr>
      <w:r>
        <w:rPr/>
      </w:r>
    </w:p>
    <w:p>
      <w:pPr>
        <w:pStyle w:val="F21"/>
        <w:rPr/>
      </w:pPr>
      <w:r>
        <w:rPr/>
        <w:tab/>
      </w:r>
      <w:r>
        <w:rPr/>
        <w:t>連串騷擾旅客的不文明行動和事件已成為國際新聞，嚴重損害香港社會的形象。在旅客眼中，彷彿戴上口罩的香港人都懷有敵意。所以，香港再不是大家口中的“好客之都”，反而是“趕客之都”。</w:t>
      </w:r>
    </w:p>
    <w:p>
      <w:pPr>
        <w:pStyle w:val="F21"/>
        <w:rPr/>
      </w:pPr>
      <w:r>
        <w:rPr/>
      </w:r>
    </w:p>
    <w:p>
      <w:pPr>
        <w:pStyle w:val="F21"/>
        <w:rPr/>
      </w:pPr>
      <w:r>
        <w:rPr/>
        <w:tab/>
      </w:r>
      <w:r>
        <w:rPr/>
        <w:t>據香港旅遊聯業工會聯會反映，近月收到不少從業員求助，表示他們在工作時遇上反水貨客人士，心理受到極大困擾。他們擔心人身安全會受影響，也害怕收入受損從而影響家庭生計。</w:t>
      </w:r>
    </w:p>
    <w:p>
      <w:pPr>
        <w:pStyle w:val="F21"/>
        <w:rPr/>
      </w:pPr>
      <w:r>
        <w:rPr/>
      </w:r>
    </w:p>
    <w:p>
      <w:pPr>
        <w:pStyle w:val="F21"/>
        <w:rPr/>
      </w:pPr>
      <w:r>
        <w:rPr/>
        <w:tab/>
      </w:r>
      <w:r>
        <w:rPr/>
        <w:t>就人身安全而言，他們憂慮會受到所謂反水貨客人士直接衝擊，過去有些反水貨客人士在店鋪外叫囂，這些人近日甚至走進店內指罵顧客和店員。這些行為會否發展為直接肢體碰撞和襲擊？這些情況令從業員和工會十分擔憂。</w:t>
      </w:r>
    </w:p>
    <w:p>
      <w:pPr>
        <w:pStyle w:val="F21"/>
        <w:rPr/>
      </w:pPr>
      <w:r>
        <w:rPr/>
      </w:r>
    </w:p>
    <w:p>
      <w:pPr>
        <w:pStyle w:val="F21"/>
        <w:rPr/>
      </w:pPr>
      <w:r>
        <w:rPr/>
        <w:tab/>
      </w:r>
      <w:r>
        <w:rPr/>
        <w:t>不過，業內人士敢怒不敢言，他們擔心反水貨客人士會用“人肉搜尋”方式把他們“起底”，在網上對員工及其家人進行騷擾和人格侮辱。這變相造成寒蟬效應，連基本人權也受到剝削。所以，工會對連串反水貨客行動中使用的手法表示憂慮。</w:t>
      </w:r>
    </w:p>
    <w:p>
      <w:pPr>
        <w:pStyle w:val="F21"/>
        <w:rPr/>
      </w:pPr>
      <w:r>
        <w:rPr/>
      </w:r>
    </w:p>
    <w:p>
      <w:pPr>
        <w:pStyle w:val="F21"/>
        <w:rPr/>
      </w:pPr>
      <w:r>
        <w:rPr/>
        <w:tab/>
      </w:r>
      <w:r>
        <w:rPr/>
        <w:t>其實，反水貨客人士的行為不單直接影響零售業，也影響整個旅遊業及數十萬與旅遊業相關的行業從業員的福祉，包括百貨、零售、酒店、飲食和交通運輸業等。這些行業創造超過</w:t>
      </w:r>
      <w:r>
        <w:rPr/>
        <w:t>70</w:t>
      </w:r>
      <w:r>
        <w:rPr/>
        <w:t>萬個中層和基層職位。</w:t>
      </w:r>
      <w:r>
        <w:br w:type="page"/>
      </w:r>
    </w:p>
    <w:p>
      <w:pPr>
        <w:pStyle w:val="F21"/>
        <w:spacing w:lineRule="atLeast" w:line="370"/>
        <w:rPr/>
      </w:pPr>
      <w:r>
        <w:rPr/>
        <w:tab/>
      </w:r>
      <w:r>
        <w:rPr/>
        <w:t>過去半年，香港社會經歷很多風風雨雨，旅遊業呈現倒退危機。酒店入住率、零售業</w:t>
      </w:r>
      <w:r>
        <w:rPr/>
        <w:t>(</w:t>
      </w:r>
      <w:r>
        <w:rPr/>
        <w:t>包括售賣高檔或中低檔商品的店鋪</w:t>
      </w:r>
      <w:r>
        <w:rPr/>
        <w:t>)</w:t>
      </w:r>
      <w:r>
        <w:rPr/>
        <w:t>的業績，甚至主題公園入場人數也在下跌，日後香港能否保持大家視為常態的</w:t>
      </w:r>
      <w:r>
        <w:rPr/>
        <w:t>3.3%</w:t>
      </w:r>
      <w:r>
        <w:rPr/>
        <w:t>失業率，即接近全民就業？工會有點擔心。除了工會，業界同樣感到憂心，市民是否察覺這個隱憂？</w:t>
      </w:r>
    </w:p>
    <w:p>
      <w:pPr>
        <w:pStyle w:val="F21"/>
        <w:spacing w:lineRule="atLeast" w:line="370"/>
        <w:rPr/>
      </w:pPr>
      <w:r>
        <w:rPr/>
      </w:r>
    </w:p>
    <w:p>
      <w:pPr>
        <w:pStyle w:val="F21"/>
        <w:spacing w:lineRule="atLeast" w:line="370"/>
        <w:rPr/>
      </w:pPr>
      <w:r>
        <w:rPr/>
        <w:tab/>
      </w:r>
      <w:r>
        <w:rPr/>
        <w:t>歸根究底，水貨客問題源於內地與香港兩地貨幣的兌換價值及關稅差異。還有港貨以誠信和質量打造的金漆招牌，難道我們要讓港貨自絕於遊客和內地？要處理水貨客問題，應集中討論如何加強行政執法。正如方剛議員剛才所說，只有蘇局長在席並不足夠。內地海關必須嚴格把關，截查攜帶大量非自用商品的訪港內地遊客和沒收有關商品。香港入境處亦應以違反逗留條件為由，向持旅行證件的內地遊客執法，地政總署和食環署亦要加強就街道管理和大廈用途進行聯合執法，杜絕或阻遏水貨活動。更重要的是，相關的區議會，例如北區區議會和元朗區議會，已就道路管理成立專責小組。究竟不同的政府部門有沒有重視這些問題，有沒有把這些地區的聲音視為夥伴？當局是否純粹從旅遊角度回應這些問題？</w:t>
      </w:r>
    </w:p>
    <w:p>
      <w:pPr>
        <w:pStyle w:val="F21"/>
        <w:spacing w:lineRule="atLeast" w:line="370"/>
        <w:rPr/>
      </w:pPr>
      <w:r>
        <w:rPr/>
      </w:r>
    </w:p>
    <w:p>
      <w:pPr>
        <w:pStyle w:val="F21"/>
        <w:spacing w:lineRule="atLeast" w:line="370"/>
        <w:rPr/>
      </w:pPr>
      <w:r>
        <w:rPr/>
        <w:tab/>
      </w:r>
      <w:r>
        <w:rPr/>
        <w:t>為了避免民情被極端組織牽動，我們衷心呼籲政府正視這些問題，這不只是旅遊政策那麼簡單。</w:t>
      </w:r>
    </w:p>
    <w:p>
      <w:pPr>
        <w:pStyle w:val="F21"/>
        <w:spacing w:lineRule="atLeast" w:line="370"/>
        <w:rPr/>
      </w:pPr>
      <w:r>
        <w:rPr/>
      </w:r>
    </w:p>
    <w:p>
      <w:pPr>
        <w:pStyle w:val="F21"/>
        <w:spacing w:lineRule="atLeast" w:line="370"/>
        <w:rPr/>
      </w:pPr>
      <w:r>
        <w:rPr/>
        <w:tab/>
      </w:r>
      <w:r>
        <w:rPr/>
        <w:t>我認為有必要檢討一簽多行，並考慮就一簽多行的每天入境次數設限。但是，沒有人能夠否認，部分香港居民亦曾參與水貨活動，上星期保安局局長已提供有關的數據。在過去被捕和已確認有罪的違反</w:t>
      </w:r>
      <w:r>
        <w:rPr>
          <w:szCs w:val="27"/>
        </w:rPr>
        <w:t>“</w:t>
      </w:r>
      <w:r>
        <w:rPr/>
        <w:t>限奶令</w:t>
      </w:r>
      <w:r>
        <w:rPr>
          <w:szCs w:val="27"/>
        </w:rPr>
        <w:t>”</w:t>
      </w:r>
      <w:r>
        <w:rPr/>
        <w:t>的人當中，</w:t>
      </w:r>
      <w:r>
        <w:rPr/>
        <w:t>35%</w:t>
      </w:r>
      <w:r>
        <w:rPr/>
        <w:t>是香港居民，這是實際數字。</w:t>
      </w:r>
    </w:p>
    <w:p>
      <w:pPr>
        <w:pStyle w:val="F21"/>
        <w:spacing w:lineRule="atLeast" w:line="370"/>
        <w:rPr/>
      </w:pPr>
      <w:r>
        <w:rPr/>
      </w:r>
    </w:p>
    <w:p>
      <w:pPr>
        <w:pStyle w:val="F21"/>
        <w:spacing w:lineRule="atLeast" w:line="370"/>
        <w:rPr/>
      </w:pPr>
      <w:r>
        <w:rPr/>
        <w:tab/>
      </w:r>
      <w:r>
        <w:rPr/>
        <w:t>即使當局就一簽多行的入境次數採取措施，是否便會出現零水貨客活動？沒有人能夠保證。正如我剛才所說，鑒於香港的經濟發展、以誠信打造的金漆招牌及兩地匯價有很大的差距，這些情況會繼續出現。</w:t>
      </w:r>
    </w:p>
    <w:p>
      <w:pPr>
        <w:pStyle w:val="F21"/>
        <w:spacing w:lineRule="atLeast" w:line="370"/>
        <w:rPr/>
      </w:pPr>
      <w:r>
        <w:rPr/>
      </w:r>
    </w:p>
    <w:p>
      <w:pPr>
        <w:pStyle w:val="F21"/>
        <w:spacing w:lineRule="atLeast" w:line="370"/>
        <w:rPr/>
      </w:pPr>
      <w:r>
        <w:rPr/>
        <w:tab/>
      </w:r>
      <w:r>
        <w:rPr/>
        <w:t>我希望當局可以多管齊下，除了考慮就一簽多行設限外，亦要加強行政措施。更佳的做法是不要後知後覺，應盡快在鄰近邊境的不同地區建設大型購物城。有某些團體和民間組織現已在落馬洲地區積極進行相關工作，也得到政府積極配合。除了落馬洲，應否考慮在其他地區進行相關工作？如在有人投訴後才鼓勵進行相關工作，已經為時已晚。</w:t>
      </w:r>
      <w:r>
        <w:br w:type="page"/>
      </w:r>
    </w:p>
    <w:p>
      <w:pPr>
        <w:pStyle w:val="F21"/>
        <w:rPr/>
      </w:pPr>
      <w:r>
        <w:rPr/>
        <w:tab/>
      </w:r>
      <w:r>
        <w:rPr/>
        <w:t>讓我舉出港珠澳大橋為例，由於港珠澳大橋可能在</w:t>
      </w:r>
      <w:r>
        <w:rPr/>
        <w:t>2017</w:t>
      </w:r>
      <w:r>
        <w:rPr/>
        <w:t>年以後才能通車，當局可否在港珠澳大橋佔地</w:t>
      </w:r>
      <w:r>
        <w:rPr/>
        <w:t>130</w:t>
      </w:r>
      <w:r>
        <w:rPr/>
        <w:t>公頃的人工島上或鼓勵民間建設購物城？這樣，只想來港購買用品的旅客便能在購物後盡快回到內地，從而避免太多旅客在市區或不同社區聚集，以致造成擠擁。</w:t>
      </w:r>
    </w:p>
    <w:p>
      <w:pPr>
        <w:pStyle w:val="F21"/>
        <w:rPr/>
      </w:pPr>
      <w:r>
        <w:rPr/>
      </w:r>
    </w:p>
    <w:p>
      <w:pPr>
        <w:pStyle w:val="F21"/>
        <w:rPr/>
      </w:pPr>
      <w:r>
        <w:rPr/>
        <w:tab/>
      </w:r>
      <w:r>
        <w:rPr/>
        <w:t>所以，我希望特區政府全面交代一簽多行政策在行政管理方面如何加強執法，以及如何鼓勵鄰近邊境的地區設置購物城。如果政府仍然作出一些虛無或模棱兩可的回應，我相信議會中不分黨派的議員都認為難以接受。</w:t>
      </w:r>
    </w:p>
    <w:p>
      <w:pPr>
        <w:pStyle w:val="F21"/>
        <w:rPr/>
      </w:pPr>
      <w:r>
        <w:rPr/>
      </w:r>
    </w:p>
    <w:p>
      <w:pPr>
        <w:pStyle w:val="F21"/>
        <w:rPr/>
      </w:pPr>
      <w:r>
        <w:rPr/>
        <w:tab/>
      </w:r>
      <w:r>
        <w:rPr/>
        <w:t>對於徵收入境或離境稅的建議，工聯會表示有所保留。因為每天約有</w:t>
      </w:r>
      <w:r>
        <w:rPr/>
        <w:t>18</w:t>
      </w:r>
      <w:r>
        <w:rPr/>
        <w:t>萬香港居民前往內地，如果我們單方面徵稅，內地又向本港居民徵稅，當局有沒有深入評估這樣做所造成的損失或居民的承受能力？我們對此有所保留。</w:t>
      </w:r>
    </w:p>
    <w:p>
      <w:pPr>
        <w:pStyle w:val="F21"/>
        <w:rPr/>
      </w:pPr>
      <w:r>
        <w:rPr/>
      </w:r>
    </w:p>
    <w:p>
      <w:pPr>
        <w:pStyle w:val="F21"/>
        <w:rPr/>
      </w:pPr>
      <w:r>
        <w:rPr/>
        <w:tab/>
      </w:r>
      <w:r>
        <w:rPr/>
        <w:t>最後，我想回應方剛議員開始發言時批評特區政府在</w:t>
      </w:r>
      <w:r>
        <w:rPr/>
        <w:t>2013</w:t>
      </w:r>
      <w:r>
        <w:rPr/>
        <w:t>年年初宣布實施的</w:t>
      </w:r>
      <w:r>
        <w:rPr>
          <w:szCs w:val="27"/>
        </w:rPr>
        <w:t>“</w:t>
      </w:r>
      <w:r>
        <w:rPr/>
        <w:t>限奶令</w:t>
      </w:r>
      <w:r>
        <w:rPr>
          <w:szCs w:val="27"/>
        </w:rPr>
        <w:t>”</w:t>
      </w:r>
      <w:r>
        <w:rPr/>
        <w:t>。工聯會再次重申，</w:t>
      </w:r>
      <w:r>
        <w:rPr>
          <w:szCs w:val="27"/>
        </w:rPr>
        <w:t>“</w:t>
      </w:r>
      <w:r>
        <w:rPr/>
        <w:t>限奶令</w:t>
      </w:r>
      <w:r>
        <w:rPr>
          <w:szCs w:val="27"/>
        </w:rPr>
        <w:t>”</w:t>
      </w:r>
      <w:r>
        <w:rPr/>
        <w:t>對香港社會及香港經濟帶來莫大裨益，香港父母為新生嬰兒購買奶粉時會感到比較安心。我們肯定</w:t>
      </w:r>
      <w:r>
        <w:rPr>
          <w:szCs w:val="27"/>
        </w:rPr>
        <w:t>“</w:t>
      </w:r>
      <w:r>
        <w:rPr/>
        <w:t>限奶令</w:t>
      </w:r>
      <w:r>
        <w:rPr>
          <w:szCs w:val="27"/>
        </w:rPr>
        <w:t>”</w:t>
      </w:r>
      <w:r>
        <w:rPr/>
        <w:t>的功用，亦呼籲政府繼續實施</w:t>
      </w:r>
      <w:r>
        <w:rPr>
          <w:szCs w:val="27"/>
        </w:rPr>
        <w:t>“</w:t>
      </w:r>
      <w:r>
        <w:rPr/>
        <w:t>限奶令</w:t>
      </w:r>
      <w:r>
        <w:rPr>
          <w:szCs w:val="27"/>
        </w:rPr>
        <w:t>”</w:t>
      </w:r>
      <w:r>
        <w:rPr/>
        <w:t>，直至整體社會情況有所轉變。</w:t>
      </w:r>
    </w:p>
    <w:p>
      <w:pPr>
        <w:pStyle w:val="F21"/>
        <w:rPr/>
      </w:pPr>
      <w:r>
        <w:rPr/>
      </w:r>
    </w:p>
    <w:p>
      <w:pPr>
        <w:pStyle w:val="F21"/>
        <w:rPr/>
      </w:pPr>
      <w:r>
        <w:rPr/>
        <w:tab/>
      </w:r>
      <w:r>
        <w:rPr/>
        <w:t>最後，我呼籲香港政府和社會各界都應想方設法，重建香港好客之都的文化。</w:t>
      </w:r>
    </w:p>
    <w:p>
      <w:pPr>
        <w:pStyle w:val="F21"/>
        <w:rPr/>
      </w:pPr>
      <w:r>
        <w:rPr/>
      </w:r>
    </w:p>
    <w:p>
      <w:pPr>
        <w:pStyle w:val="F21"/>
        <w:rPr/>
      </w:pPr>
      <w:r>
        <w:rPr/>
        <w:tab/>
      </w:r>
      <w:r>
        <w:rPr/>
        <w:t>我謹此陳辭。</w:t>
      </w:r>
    </w:p>
    <w:p>
      <w:pPr>
        <w:pStyle w:val="F21"/>
        <w:rPr>
          <w:rFonts w:cs="Times New Roman"/>
        </w:rPr>
      </w:pPr>
      <w:r>
        <w:rPr>
          <w:rFonts w:cs="Times New Roman"/>
        </w:rPr>
      </w:r>
    </w:p>
    <w:p>
      <w:pPr>
        <w:pStyle w:val="F21"/>
        <w:rPr>
          <w:rFonts w:cs="Times New Roman"/>
        </w:rPr>
      </w:pPr>
      <w:r>
        <w:rPr>
          <w:rFonts w:cs="Times New Roman"/>
        </w:rPr>
      </w:r>
    </w:p>
    <w:p>
      <w:pPr>
        <w:pStyle w:val="F21"/>
        <w:rPr>
          <w:szCs w:val="27"/>
        </w:rPr>
      </w:pPr>
      <w:r>
        <w:rPr>
          <w:rFonts w:ascii="華康中黑體" w:hAnsi="華康中黑體" w:cs="華康中黑體" w:eastAsia="華康中黑體"/>
          <w:b/>
          <w:szCs w:val="27"/>
        </w:rPr>
        <w:t>單仲偕議員</w:t>
      </w:r>
      <w:r>
        <w:rPr>
          <w:szCs w:val="27"/>
        </w:rPr>
        <w:t>：主席，多謝方剛議員提出這項議案，讓我們有機會討論自由行帶來的問題，特別是水貨客問題，其中一個重要問題與一簽多行有關。</w:t>
      </w:r>
    </w:p>
    <w:p>
      <w:pPr>
        <w:pStyle w:val="F21"/>
        <w:rPr>
          <w:szCs w:val="27"/>
        </w:rPr>
      </w:pPr>
      <w:r>
        <w:rPr>
          <w:szCs w:val="27"/>
        </w:rPr>
      </w:r>
    </w:p>
    <w:p>
      <w:pPr>
        <w:pStyle w:val="F21"/>
        <w:rPr>
          <w:szCs w:val="27"/>
        </w:rPr>
      </w:pPr>
      <w:r>
        <w:rPr>
          <w:szCs w:val="27"/>
        </w:rPr>
        <w:tab/>
      </w:r>
      <w:r>
        <w:rPr>
          <w:szCs w:val="27"/>
        </w:rPr>
        <w:t>我相信一簽多行是最核心的問題，過去數年，水貨客問題嚴重困擾香港，可惜政府對此視而不見、充耳不聞。即使政府聽到，也想不到解決方法。今天我們討論的是如何解決當前問題，避免中港矛盾繼續惡化，以防爆發針對大陸客的激烈衝突。</w:t>
      </w:r>
    </w:p>
    <w:p>
      <w:pPr>
        <w:pStyle w:val="F21"/>
        <w:rPr>
          <w:szCs w:val="27"/>
        </w:rPr>
      </w:pPr>
      <w:r>
        <w:rPr>
          <w:szCs w:val="27"/>
        </w:rPr>
      </w:r>
    </w:p>
    <w:p>
      <w:pPr>
        <w:pStyle w:val="F21"/>
        <w:rPr>
          <w:szCs w:val="27"/>
        </w:rPr>
      </w:pPr>
      <w:r>
        <w:rPr>
          <w:szCs w:val="27"/>
        </w:rPr>
        <w:tab/>
      </w:r>
      <w:r>
        <w:rPr>
          <w:szCs w:val="27"/>
        </w:rPr>
        <w:t xml:space="preserve">立法會曾就水貨、旅遊旺區被“迫爆”及中港關係等問題進行多次辯論。很可惜，政府一直 </w:t>
      </w:r>
      <w:r>
        <w:rPr>
          <w:rFonts w:ascii="Symbol" w:hAnsi="Symbol" w:cs="Symbol" w:eastAsia="Symbol"/>
          <w:szCs w:val="27"/>
        </w:rPr>
        <w:t></w:t>
      </w:r>
      <w:r>
        <w:rPr>
          <w:szCs w:val="27"/>
        </w:rPr>
        <w:t xml:space="preserve"> 我不知道應否說政府採用“拖字訣” </w:t>
      </w:r>
      <w:r>
        <w:rPr>
          <w:rFonts w:ascii="Symbol" w:hAnsi="Symbol" w:cs="Symbol" w:eastAsia="Symbol"/>
          <w:szCs w:val="27"/>
        </w:rPr>
        <w:t></w:t>
      </w:r>
      <w:r>
        <w:rPr>
          <w:rFonts w:ascii="華康細明體" w:hAnsi="華康細明體" w:cs="華康細明體"/>
          <w:szCs w:val="27"/>
        </w:rPr>
        <w:t xml:space="preserve"> </w:t>
      </w:r>
      <w:r>
        <w:rPr>
          <w:szCs w:val="27"/>
        </w:rPr>
        <w:t>沒有任何辦法。今屆及上屆立法會均曾就自由行造成的各種社會問題進行辯論。</w:t>
      </w:r>
    </w:p>
    <w:p>
      <w:pPr>
        <w:pStyle w:val="F21"/>
        <w:spacing w:lineRule="atLeast" w:line="370"/>
        <w:rPr>
          <w:szCs w:val="27"/>
        </w:rPr>
      </w:pPr>
      <w:r>
        <w:rPr>
          <w:szCs w:val="27"/>
        </w:rPr>
      </w:r>
    </w:p>
    <w:p>
      <w:pPr>
        <w:pStyle w:val="F21"/>
        <w:spacing w:lineRule="atLeast" w:line="370"/>
        <w:rPr>
          <w:szCs w:val="27"/>
        </w:rPr>
      </w:pPr>
      <w:r>
        <w:rPr>
          <w:szCs w:val="27"/>
        </w:rPr>
        <w:tab/>
      </w:r>
      <w:r>
        <w:rPr>
          <w:szCs w:val="27"/>
        </w:rPr>
        <w:t>民主黨提出</w:t>
      </w:r>
      <w:r>
        <w:rPr>
          <w:szCs w:val="27"/>
        </w:rPr>
        <w:t>7</w:t>
      </w:r>
      <w:r>
        <w:rPr>
          <w:szCs w:val="27"/>
        </w:rPr>
        <w:t>項措施，希望能夠減低這個問題造成的影響。第一，我們倡議開徵陸路旅客的入境稅。我們強調，這個稅項只針對陸路入境旅客。我多次強調，乘搭飛機的旅客要繳付</w:t>
      </w:r>
      <w:r>
        <w:rPr>
          <w:szCs w:val="27"/>
        </w:rPr>
        <w:t>120</w:t>
      </w:r>
      <w:r>
        <w:rPr>
          <w:szCs w:val="27"/>
        </w:rPr>
        <w:t>元離境稅；乘船的旅客要繳付</w:t>
      </w:r>
      <w:r>
        <w:rPr>
          <w:szCs w:val="27"/>
        </w:rPr>
        <w:t>11</w:t>
      </w:r>
      <w:r>
        <w:rPr>
          <w:szCs w:val="27"/>
        </w:rPr>
        <w:t>元離境稅。如要制訂對稱的政策，便應向所有人徵收離境稅。但香港人</w:t>
      </w:r>
      <w:r>
        <w:rPr>
          <w:szCs w:val="27"/>
        </w:rPr>
        <w:t>......</w:t>
      </w:r>
      <w:r>
        <w:rPr>
          <w:szCs w:val="27"/>
        </w:rPr>
        <w:t>如向所有離境人士徵稅，便會造成很大滋擾，所以，我們建議徵收入境稅。</w:t>
      </w:r>
    </w:p>
    <w:p>
      <w:pPr>
        <w:pStyle w:val="F21"/>
        <w:spacing w:lineRule="atLeast" w:line="370"/>
        <w:rPr>
          <w:szCs w:val="27"/>
        </w:rPr>
      </w:pPr>
      <w:r>
        <w:rPr>
          <w:szCs w:val="27"/>
        </w:rPr>
      </w:r>
    </w:p>
    <w:p>
      <w:pPr>
        <w:pStyle w:val="F21"/>
        <w:spacing w:lineRule="atLeast" w:line="370"/>
        <w:rPr>
          <w:szCs w:val="27"/>
        </w:rPr>
      </w:pPr>
      <w:r>
        <w:rPr>
          <w:szCs w:val="27"/>
        </w:rPr>
        <w:tab/>
      </w:r>
      <w:r>
        <w:rPr>
          <w:szCs w:val="27"/>
        </w:rPr>
        <w:t>剛才有工聯會的同事說，對方也會採取相稱的應對措施，向香港人徵稅。我相信大多數被徵稅的人都是水貨客，三成半水貨客要承受這個結果。當然，大多數來港上學的人都是香港人，他們不會受到影響。這是向陸路入境旅客徵收的稅項。</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我們建議取消一簽多行，也建議當局與內地商討，特別是深圳當局，把一簽多行改為“一年八行”。根據媒體報道，每年深圳旅客來港的平均次數為</w:t>
      </w:r>
      <w:r>
        <w:rPr>
          <w:szCs w:val="27"/>
        </w:rPr>
        <w:t>8</w:t>
      </w:r>
      <w:r>
        <w:rPr>
          <w:szCs w:val="27"/>
        </w:rPr>
        <w:t>次。如果改為“一簽八行”，便足以滿足正常遊客的需求；來港次數多於這個平均數的人，有可能是從事水貨活動的旅客。</w:t>
      </w:r>
    </w:p>
    <w:p>
      <w:pPr>
        <w:pStyle w:val="F21"/>
        <w:spacing w:lineRule="atLeast" w:line="370"/>
        <w:rPr>
          <w:szCs w:val="27"/>
        </w:rPr>
      </w:pPr>
      <w:r>
        <w:rPr>
          <w:szCs w:val="27"/>
        </w:rPr>
      </w:r>
    </w:p>
    <w:p>
      <w:pPr>
        <w:pStyle w:val="F21"/>
        <w:spacing w:lineRule="atLeast" w:line="370"/>
        <w:rPr>
          <w:szCs w:val="27"/>
        </w:rPr>
      </w:pPr>
      <w:r>
        <w:rPr>
          <w:szCs w:val="27"/>
        </w:rPr>
        <w:tab/>
      </w:r>
      <w:r>
        <w:rPr>
          <w:szCs w:val="27"/>
        </w:rPr>
        <w:t>當然，最佳做法是深圳自行把一簽多行改為“一簽八行”。這是一項入境措施，如旅客手持一簽多行簽證，我們可以對他們施加限制。他們是從深圳出境，假如深圳當局不想限制他們的出境自由，我們可以對他們施加入境限制，只准他們每年來港</w:t>
      </w:r>
      <w:r>
        <w:rPr>
          <w:szCs w:val="27"/>
        </w:rPr>
        <w:t>8</w:t>
      </w:r>
      <w:r>
        <w:rPr>
          <w:szCs w:val="27"/>
        </w:rPr>
        <w:t>次。我覺得這項措施能夠紓緩這個問題。</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們亦提議限制入境旅客“一日一行”。方剛議員說，“一日一行”的意思是首次來港的不徵稅，同日第二次來港的便要徵稅。這是涉及收費的措施，但當局也可採用行政措施處理“一日一行”。當然，我們針對的對象並非商務旅客。我們建議的旅客入境稅，與方剛議員所說的“一日多次入境稅”相似，不過可能他建議的稅項涵蓋的範圍較窄，只針對“一日多次入境”的旅客。我們建議的稅項涵蓋的層面較為廣闊。</w:t>
      </w:r>
    </w:p>
    <w:p>
      <w:pPr>
        <w:pStyle w:val="F21"/>
        <w:spacing w:lineRule="atLeast" w:line="370"/>
        <w:rPr>
          <w:szCs w:val="27"/>
        </w:rPr>
      </w:pPr>
      <w:r>
        <w:rPr>
          <w:szCs w:val="27"/>
        </w:rPr>
      </w:r>
    </w:p>
    <w:p>
      <w:pPr>
        <w:pStyle w:val="F21"/>
        <w:spacing w:lineRule="atLeast" w:line="370"/>
        <w:rPr>
          <w:szCs w:val="27"/>
        </w:rPr>
      </w:pPr>
      <w:r>
        <w:rPr>
          <w:szCs w:val="27"/>
        </w:rPr>
        <w:tab/>
      </w:r>
      <w:r>
        <w:rPr>
          <w:szCs w:val="27"/>
        </w:rPr>
        <w:t>至於陸路旅客的入境稅的好處，大家都知道乘搭飛機來港的旅客消費較高，陸路來港旅客的消費模式可能限於購買日常用品如洗頭水等。</w:t>
      </w:r>
      <w:r>
        <w:rPr>
          <w:rFonts w:ascii="華康細明體" w:hAnsi="華康細明體" w:cs="華康細明體"/>
          <w:szCs w:val="27"/>
        </w:rPr>
        <w:t>黃定光議員</w:t>
      </w:r>
      <w:r>
        <w:rPr>
          <w:szCs w:val="27"/>
        </w:rPr>
        <w:t>發起興建所謂邊境購物中心，這也是我們的其中一項建議。邊境購物中心與內地擬在深圳前海開設的“港貨城”都屬相同的概念，認為那些人前往香港或深圳前海購買港貨便可以解決問題。</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我們認為開放中英街等措施可以紓緩某些人對港貨的殷切需求。大家多次提及一海之隔的澳門，崔世安在本星期一宣讀施政報告時表示，“政府高度重視旅客承載力的問題</w:t>
      </w:r>
      <w:r>
        <w:rPr>
          <w:szCs w:val="27"/>
        </w:rPr>
        <w:t>......</w:t>
      </w:r>
      <w:r>
        <w:rPr>
          <w:szCs w:val="27"/>
        </w:rPr>
        <w:t>將向中央政府提交報告</w:t>
      </w:r>
      <w:r>
        <w:rPr>
          <w:szCs w:val="27"/>
        </w:rPr>
        <w:t>......</w:t>
      </w:r>
      <w:r>
        <w:rPr>
          <w:szCs w:val="27"/>
        </w:rPr>
        <w:t>優化調整‘自由行’政策”，“確保澳門居民生活質素不會下降”。澳門政府亦知道，不應只為了吸引內地旅客而犧牲市民的生活質素，香港政府不能繼續不知不覺。</w:t>
      </w:r>
    </w:p>
    <w:p>
      <w:pPr>
        <w:pStyle w:val="F21"/>
        <w:spacing w:lineRule="atLeast" w:line="370"/>
        <w:rPr>
          <w:szCs w:val="27"/>
        </w:rPr>
      </w:pPr>
      <w:r>
        <w:rPr>
          <w:szCs w:val="27"/>
        </w:rPr>
      </w:r>
    </w:p>
    <w:p>
      <w:pPr>
        <w:pStyle w:val="F21"/>
        <w:spacing w:lineRule="atLeast" w:line="370"/>
        <w:rPr>
          <w:szCs w:val="27"/>
        </w:rPr>
      </w:pPr>
      <w:r>
        <w:rPr>
          <w:szCs w:val="27"/>
        </w:rPr>
        <w:tab/>
      </w:r>
      <w:r>
        <w:rPr>
          <w:szCs w:val="27"/>
        </w:rPr>
        <w:t>然而，梁振英只強調平衡內地和本港居民的需要。這種說法聽來相當正確，但由於現時已失去平衡，正在高呼救命，當局便應做一點工夫。局長不是第一次回答這個問題，他是第二次作答。除了我剛才所說的“一日一行”、取消一簽多行或改為“一年八行”，還可徵收旅客入境稅。民主黨期望內地不要繼續開放更多來港自由行的城市，反而應凍結來港自由行的城市數目。這些措施均有助解決問題。</w:t>
      </w:r>
    </w:p>
    <w:p>
      <w:pPr>
        <w:pStyle w:val="F21"/>
        <w:spacing w:lineRule="atLeast" w:line="370"/>
        <w:rPr>
          <w:szCs w:val="27"/>
        </w:rPr>
      </w:pPr>
      <w:r>
        <w:rPr>
          <w:szCs w:val="27"/>
        </w:rPr>
      </w:r>
    </w:p>
    <w:p>
      <w:pPr>
        <w:pStyle w:val="F21"/>
        <w:spacing w:lineRule="atLeast" w:line="370"/>
        <w:rPr>
          <w:szCs w:val="27"/>
        </w:rPr>
      </w:pPr>
      <w:r>
        <w:rPr>
          <w:szCs w:val="27"/>
        </w:rPr>
        <w:tab/>
      </w:r>
      <w:r>
        <w:rPr>
          <w:szCs w:val="27"/>
        </w:rPr>
        <w:t>過去</w:t>
      </w:r>
      <w:r>
        <w:rPr>
          <w:szCs w:val="27"/>
        </w:rPr>
        <w:t>1</w:t>
      </w:r>
      <w:r>
        <w:rPr>
          <w:szCs w:val="27"/>
        </w:rPr>
        <w:t>年多，大家都曾討論這個問題，但政府卻未能“交貨”。去年人大委員長張德江指示港澳辦主任王光亞及國家旅遊局研究香港接待旅客的承受量。去年</w:t>
      </w:r>
      <w:r>
        <w:rPr>
          <w:szCs w:val="27"/>
        </w:rPr>
        <w:t>5</w:t>
      </w:r>
      <w:r>
        <w:rPr>
          <w:szCs w:val="27"/>
        </w:rPr>
        <w:t>月，梁振英說要就削減自由行兩成諮詢策略發展委員會。然而，不知何故，</w:t>
      </w:r>
      <w:r>
        <w:rPr>
          <w:szCs w:val="27"/>
        </w:rPr>
        <w:t>1</w:t>
      </w:r>
      <w:r>
        <w:rPr>
          <w:szCs w:val="27"/>
        </w:rPr>
        <w:t>年多過去了，局長似乎仍“交白卷”。</w:t>
      </w:r>
    </w:p>
    <w:p>
      <w:pPr>
        <w:pStyle w:val="F21"/>
        <w:spacing w:lineRule="atLeast" w:line="370"/>
        <w:rPr>
          <w:szCs w:val="27"/>
        </w:rPr>
      </w:pPr>
      <w:r>
        <w:rPr>
          <w:szCs w:val="27"/>
        </w:rPr>
      </w:r>
    </w:p>
    <w:p>
      <w:pPr>
        <w:pStyle w:val="F21"/>
        <w:spacing w:lineRule="atLeast" w:line="370"/>
        <w:rPr>
          <w:szCs w:val="27"/>
        </w:rPr>
      </w:pPr>
      <w:r>
        <w:rPr>
          <w:szCs w:val="27"/>
        </w:rPr>
        <w:tab/>
      </w:r>
      <w:r>
        <w:rPr>
          <w:szCs w:val="27"/>
        </w:rPr>
        <w:t>現時問題到了一個臨界點，如特首不再多做工夫，只會令矛盾加深。最近一、兩星期，情況稍為平靜些，但也許這是暴風雨來臨前的平靜。如問題依然未能解決，有可能會繼續惡化。我們希望特首切實考慮各種措施。</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們還要提出兩點。關於公共交通的行李限制，問題涉及行政上的細節，只要香港鐵路有限公司嚴格執行公共交通工具的行李限制，並研究增設東鐵線過境旅客的行李附加費等，便有助打擊水貨客。這些措施既可打擊水貨客，還可減少對本地居民的滋擾。此外，我們希望政府研究東鐵線人貨分流，訂明攜帶重型行李旅客只能使用某些指定車廂，減少對居民的滋擾。我們希望這些行政措施能減少對香港市民的滋擾。我們重申，我們對使用暴力滋擾內地訪港旅客的人予以譴責。</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我謹此陳辭。</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rPr/>
      </w:pPr>
      <w:r>
        <w:rPr>
          <w:rFonts w:ascii="華康中黑體" w:hAnsi="華康中黑體" w:cs="華康中黑體" w:eastAsia="華康中黑體"/>
          <w:b/>
        </w:rPr>
        <w:t>陳志全議員</w:t>
      </w:r>
      <w:r>
        <w:rPr/>
        <w:t xml:space="preserve">：主席，對於方剛議員今天提出的原議案措辭，以及他剛才發言的內容，我有很多地方都不同意，故此我們亦提出了修正案。但是，方議員剛才發言的第一段說話，我非常同意，水貨客成災、自由行泛濫，責任 </w:t>
      </w:r>
      <w:r>
        <w:rPr>
          <w:rFonts w:ascii="Symbol" w:hAnsi="Symbol" w:cs="Symbol" w:eastAsia="Symbol"/>
        </w:rPr>
        <w:t></w:t>
      </w:r>
      <w:r>
        <w:rPr/>
        <w:t xml:space="preserve"> 最大的責任 </w:t>
      </w:r>
      <w:r>
        <w:rPr>
          <w:rFonts w:ascii="Symbol" w:hAnsi="Symbol" w:cs="Symbol" w:eastAsia="Symbol"/>
        </w:rPr>
        <w:t></w:t>
      </w:r>
      <w:r>
        <w:rPr/>
        <w:t xml:space="preserve"> 在於特區政府，罪魁禍首是特區政府，雖然方剛議員沒有把這些寫進原議案內，但他已清楚表明這一點。我提出的修正案有以下內容：“不滿內地水貨客及自由行遊客泛濫的光復行動；歸根究底，問題在於特區政府對內地水貨客持續滋擾地區居民視若無睹，以及對取消一簽多行政策有心無力，香港市民惟有採取自力救濟的方法向特區政府施壓；就此，本會嚴正譴責特區政府盲目舔共，向內地機關利益傾斜、無視社會怨憤及分化香港，並追究警方以粗暴濫權的手段，驅趕、逮捕及扣留抗爭者”。</w:t>
      </w:r>
    </w:p>
    <w:p>
      <w:pPr>
        <w:pStyle w:val="F21"/>
        <w:rPr/>
      </w:pPr>
      <w:r>
        <w:rPr/>
      </w:r>
    </w:p>
    <w:p>
      <w:pPr>
        <w:pStyle w:val="F21"/>
        <w:rPr/>
      </w:pPr>
      <w:r>
        <w:rPr/>
        <w:tab/>
      </w:r>
      <w:r>
        <w:rPr/>
        <w:t>主席，其實水貨成災這問題已不是近</w:t>
      </w:r>
      <w:r>
        <w:rPr/>
        <w:t>1</w:t>
      </w:r>
      <w:r>
        <w:rPr/>
        <w:t>年才出現，今天提出這項議案，有些保皇黨議員當然如獲至寶，趁機把最大責任歸咎於反水貨行動的示威者，正如剛才鄧家彪議員或有提出修正案的葉劉淑儀議員一樣。如果他們真是這樣想，便是對錯目標，這種思維是大陸化的思維。其實，政府應該處理市民面對的困難，以及處理市民提出的問題，但他們卻要處理提出問題的市民，提出問題的市民出來示威，他們就拘捕他們、打他們，致令他們不敢走出來示威，不再提出問題，問題便解決了，因為沒有問題了，這便是大陸的思維。我亦認為這是特區政府的思維，亦是部分建制派議員的思維。</w:t>
      </w:r>
    </w:p>
    <w:p>
      <w:pPr>
        <w:pStyle w:val="F21"/>
        <w:rPr/>
      </w:pPr>
      <w:r>
        <w:rPr/>
      </w:r>
    </w:p>
    <w:p>
      <w:pPr>
        <w:pStyle w:val="F21"/>
        <w:rPr/>
      </w:pPr>
      <w:r>
        <w:rPr/>
        <w:tab/>
      </w:r>
      <w:r>
        <w:rPr/>
        <w:t>其實，水貨客問題並非近</w:t>
      </w:r>
      <w:r>
        <w:rPr/>
        <w:t>1</w:t>
      </w:r>
      <w:r>
        <w:rPr/>
        <w:t>年才出現。我未在</w:t>
      </w:r>
      <w:r>
        <w:rPr/>
        <w:t>2012</w:t>
      </w:r>
      <w:r>
        <w:rPr/>
        <w:t>年參選議員前，已很關注北區受到水貨客滋擾，對居民生活造成諸多不便。當時只是不便，但今天已達到忍無可忍的地步。水貨活動阻礙居民出入和交通，不滿意水貨客攜帶大型物件而引發的衝突亦無日無之，究竟政府做了些甚麼？其實，政府可以透過政策處理，雖然未必能夠將問題根治，但對於我們提出取消一簽多行及徵收陸路入境稅等建議，政府卻遲遲不肯考慮。梁振英甚至反口覆舌，他在出席兩會之前是一個模樣，兩會之後又是另一個模樣，表示有關問題很難處理。但是，市民真的忍無可忍了，有些北區居民逼不得已採取自力救濟的方法，向特區政府施壓，甚或直接向水貨客施壓。當然有人會說這些行動會擦槍走火，我甚至覺得有部分人走火入魔，我親眼目睹有些青年人呼喝一些操普通話／國語的人，當時我身邊也有些義工出言糾正，指出操國語有可能是台灣人或新加坡人，我也會問，即使是大陸遊客又如何？大陸遊客中亦有優質旅客。但確實有很多人，尤其是青年人，開始有這種思維。我們看到這種情況，應教導、糾正他們，而不是像特區政府般袖手旁觀，坐視不理，然後待民怨爆發時，就去譴責市民。</w:t>
      </w:r>
      <w:r>
        <w:br w:type="page"/>
      </w:r>
    </w:p>
    <w:p>
      <w:pPr>
        <w:pStyle w:val="F21"/>
        <w:spacing w:lineRule="atLeast" w:line="370"/>
        <w:rPr/>
      </w:pPr>
      <w:r>
        <w:rPr/>
        <w:tab/>
      </w:r>
      <w:r>
        <w:rPr/>
        <w:t>今天有議員在修正案提出增設邊境購物城，以及要求帶貨旅客使用指定車卡，我認為這些建議都不太可行。事實上，現時香港日用品貨源比過往緊張。我記得兩年前推出“限奶令”的目的是要阻止大陸人毫無節制地搶購香港人的奶粉，令香港的嬰兒和母親找不到奶粉。雖然現在這項措施已實施一段時間，成效亦不錯，但奶粉供應仍然不時缺貨，就好像今年年初消費者委員會進行的全港</w:t>
      </w:r>
      <w:r>
        <w:rPr/>
        <w:t>10</w:t>
      </w:r>
      <w:r>
        <w:rPr/>
        <w:t>個地區</w:t>
      </w:r>
      <w:r>
        <w:rPr/>
        <w:t>(</w:t>
      </w:r>
      <w:r>
        <w:rPr/>
        <w:t>共</w:t>
      </w:r>
      <w:r>
        <w:rPr/>
        <w:t>206</w:t>
      </w:r>
      <w:r>
        <w:rPr/>
        <w:t>間零售店</w:t>
      </w:r>
      <w:r>
        <w:rPr/>
        <w:t>)</w:t>
      </w:r>
      <w:r>
        <w:rPr/>
        <w:t>的調查發現，將軍澳寶琳區奶粉缺貨率高達</w:t>
      </w:r>
      <w:r>
        <w:rPr/>
        <w:t>20%</w:t>
      </w:r>
      <w:r>
        <w:rPr/>
        <w:t>，差不多成為全港之冠。事實證明，雖然走水貨的範圍表面上是集中在北區，但由於貨源有限，批發商便把大部分貨品運往旺區銷售，致使一些邊緣地區缺貨。當我們提出興建邊境購物城，但沒有“限奶令”配合，並把所有奶粉運往購物城，這做法只是把水貨客問題放在看不見的地方，“眼不見為乾淨”，這樣問題便沒有了。但是，地區上缺貨、價格提升的問題始終沒有解決。至於專用車卡，我覺得更無法解決問題，人貨分流，目的是要減少在車廂中的衝突，即使車廂中沒有衝突，但月台呢？車站呢？車站附近的街道呢？這些地方亦同樣會發生衝突。</w:t>
      </w:r>
    </w:p>
    <w:p>
      <w:pPr>
        <w:pStyle w:val="F21"/>
        <w:spacing w:lineRule="atLeast" w:line="370"/>
        <w:rPr/>
      </w:pPr>
      <w:r>
        <w:rPr/>
      </w:r>
    </w:p>
    <w:p>
      <w:pPr>
        <w:pStyle w:val="F21"/>
        <w:spacing w:lineRule="atLeast" w:line="370"/>
        <w:rPr/>
      </w:pPr>
      <w:r>
        <w:rPr/>
        <w:tab/>
      </w:r>
      <w:r>
        <w:rPr/>
        <w:t>至於徵收行李附加費</w:t>
      </w:r>
      <w:r>
        <w:rPr/>
        <w:t>......</w:t>
      </w:r>
      <w:r>
        <w:rPr/>
        <w:t>我上星期曾詢問保安局局長，港鐵職員因為執行《香港鐵路附例》中有關運載行李的條文而受傷的個案數目，獲知過去</w:t>
      </w:r>
      <w:r>
        <w:rPr/>
        <w:t>3</w:t>
      </w:r>
      <w:r>
        <w:rPr/>
        <w:t>年，有超過</w:t>
      </w:r>
      <w:r>
        <w:rPr/>
        <w:t>50</w:t>
      </w:r>
      <w:r>
        <w:rPr/>
        <w:t>名港鐵職員因此受傷，超過</w:t>
      </w:r>
      <w:r>
        <w:rPr/>
        <w:t>500</w:t>
      </w:r>
      <w:r>
        <w:rPr/>
        <w:t>宗需要報警求助個案，但這些也只是冰山一角。曾有維持秩序的職員親口告訴我，他們很難做，那些“水貨佬”警告港鐵職員不要阻礙他們活動，並表示認得他們，知道他們住在哪裏，導致有些職員不敢執法。</w:t>
      </w:r>
    </w:p>
    <w:p>
      <w:pPr>
        <w:pStyle w:val="F21"/>
        <w:spacing w:lineRule="atLeast" w:line="370"/>
        <w:rPr/>
      </w:pPr>
      <w:r>
        <w:rPr/>
      </w:r>
    </w:p>
    <w:p>
      <w:pPr>
        <w:pStyle w:val="F21"/>
        <w:spacing w:lineRule="atLeast" w:line="370"/>
        <w:rPr/>
      </w:pPr>
      <w:r>
        <w:rPr/>
        <w:tab/>
      </w:r>
      <w:r>
        <w:rPr/>
        <w:t>此外，我上星期亦向保安局局長查詢，水貨客的中港人數比例，當時他用</w:t>
      </w:r>
      <w:r>
        <w:rPr>
          <w:szCs w:val="27"/>
        </w:rPr>
        <w:t>“</w:t>
      </w:r>
      <w:r>
        <w:rPr/>
        <w:t>限奶令</w:t>
      </w:r>
      <w:r>
        <w:rPr>
          <w:szCs w:val="27"/>
        </w:rPr>
        <w:t>”</w:t>
      </w:r>
      <w:r>
        <w:rPr/>
        <w:t>作例子，說六成半比三成半，於是我問為何有些政府高官、行政會議成員出來說，水貨客以香港人佔多？他能否提供具體數字？原來他沒有具體的數字，他稱大陸海關說香港人佔七成，本港海關說香港人佔三成多，平均來說便是五成，原來只是純屬估計。特區政府的官員不相信自己的證據，聽到大陸海關說多少便取一個平均數，說現在是五五之比。請一眾政府高官、行政會議成員不要再說走水貨是香港人偏多。大家都知道為何大陸說七成是香港人。因為有貪腐，市長也承認，付錢後便可以過關，他們過關後，海關便拘捕香港人，於是香港人變成大多數，情況便是這樣。</w:t>
      </w:r>
    </w:p>
    <w:p>
      <w:pPr>
        <w:pStyle w:val="F21"/>
        <w:spacing w:lineRule="atLeast" w:line="370"/>
        <w:rPr/>
      </w:pPr>
      <w:r>
        <w:rPr/>
      </w:r>
    </w:p>
    <w:p>
      <w:pPr>
        <w:pStyle w:val="F21"/>
        <w:spacing w:lineRule="atLeast" w:line="370"/>
        <w:rPr/>
      </w:pPr>
      <w:r>
        <w:rPr/>
        <w:tab/>
      </w:r>
      <w:r>
        <w:rPr/>
        <w:t>方剛</w:t>
      </w:r>
      <w:r>
        <w:rPr>
          <w:rFonts w:ascii="華康細明體" w:hAnsi="華康細明體" w:cs="華康細明體"/>
        </w:rPr>
        <w:t>議員</w:t>
      </w:r>
      <w:r>
        <w:rPr/>
        <w:t>原議案最後一句是促請政府“依法處理擾亂公眾地方及騷擾遊客和本地市民的人士”，究竟現時執法部門如何執法？今天黎棟國局長沒有出席會議，我希望他聽到我以下一段說話，現時特區政府便是用“有殺錯、無放過”的方法來執法，寧枉毋縱，“捉到你驚，囚到你怕”，令眾人下次不敢出來搞事、不敢出來示威。</w:t>
      </w:r>
    </w:p>
    <w:p>
      <w:pPr>
        <w:pStyle w:val="F21"/>
        <w:rPr/>
      </w:pPr>
      <w:r>
        <w:rPr/>
      </w:r>
    </w:p>
    <w:p>
      <w:pPr>
        <w:pStyle w:val="F21"/>
        <w:rPr/>
      </w:pPr>
      <w:r>
        <w:rPr/>
        <w:tab/>
      </w:r>
      <w:r>
        <w:rPr/>
        <w:t>我親身處理過一宗個案，被告人是兩名年青人，一名</w:t>
      </w:r>
      <w:r>
        <w:rPr/>
        <w:t>18</w:t>
      </w:r>
      <w:r>
        <w:rPr/>
        <w:t>歲，一名</w:t>
      </w:r>
      <w:r>
        <w:rPr/>
        <w:t>19</w:t>
      </w:r>
      <w:r>
        <w:rPr/>
        <w:t>歲。他們晚上在上水水貨黑點的後巷被警察拘捕，他們甚麼都沒有做，一人身上有打火機，另一人連打火機都沒有，最後怎樣？一人被控涉嫌縱火，另一人被控串謀企圖縱火，不准保釋，在壁屋囚禁了</w:t>
      </w:r>
      <w:r>
        <w:rPr/>
        <w:t>3</w:t>
      </w:r>
      <w:r>
        <w:rPr/>
        <w:t>個多星期，最後在高院獲准保釋。之後又怎樣？數天前，控方決定撤銷所有控罪。拘捕沒有成本，監禁亦沒有成本，只是一句涉嫌縱火，便可把他拘禁。另一人更無辜，他連打火機都沒有，只是陪人到後巷逛逛，便被控串謀企圖縱火，同樣被捕。究竟當局是要將人拘捕到怕，還是要令這些被囚禁</w:t>
      </w:r>
      <w:r>
        <w:rPr/>
        <w:t>3</w:t>
      </w:r>
      <w:r>
        <w:rPr/>
        <w:t>個多星期，連過年也無法回家的年青人從此改變思維，覺得和平行動沒有用，變得更激烈呢？我不敢說。我會約見這些年青人討論一下，連打火機都沒有便被政府冤枉，被囚禁</w:t>
      </w:r>
      <w:r>
        <w:rPr/>
        <w:t>3</w:t>
      </w:r>
      <w:r>
        <w:rPr/>
        <w:t>個多星期不准保釋的年青人，以後會憎恨特區政府，還是愛慕特區政府？</w:t>
      </w:r>
    </w:p>
    <w:p>
      <w:pPr>
        <w:pStyle w:val="F21"/>
        <w:rPr>
          <w:rFonts w:cs="Times New Roman"/>
        </w:rPr>
      </w:pPr>
      <w:r>
        <w:rPr>
          <w:rFonts w:cs="Times New Roman"/>
        </w:rPr>
      </w:r>
    </w:p>
    <w:p>
      <w:pPr>
        <w:pStyle w:val="F21"/>
        <w:rPr>
          <w:rFonts w:cs="Times New Roman"/>
        </w:rPr>
      </w:pPr>
      <w:r>
        <w:rPr>
          <w:rFonts w:cs="Times New Roman"/>
        </w:rPr>
      </w:r>
    </w:p>
    <w:p>
      <w:pPr>
        <w:pStyle w:val="F21"/>
        <w:rPr>
          <w:szCs w:val="27"/>
        </w:rPr>
      </w:pPr>
      <w:r>
        <w:rPr>
          <w:rFonts w:eastAsia="華康中黑體"/>
          <w:b/>
          <w:szCs w:val="27"/>
        </w:rPr>
        <w:t>姚思榮議員</w:t>
      </w:r>
      <w:r>
        <w:rPr>
          <w:szCs w:val="27"/>
        </w:rPr>
        <w:t>：主席，香港一直被遊客譽為購物天堂、好客之都，香港人一直引以為傲。但是，從前年年底開始的“驅蝗行動”，到近期反水貨客的示威暴行，有數以百計的示威者將行動升級，在商場、店鋪，街道辱罵，甚至動粗滋擾遊客和途人，部分過程被傳媒及現場的遊人拍下並廣泛報道，傳播內地以至全世界。香港以往給人好客、禮貌、文明、治安好的印象可以說是“一鋪清袋”。</w:t>
      </w:r>
    </w:p>
    <w:p>
      <w:pPr>
        <w:pStyle w:val="F21"/>
        <w:rPr>
          <w:szCs w:val="27"/>
        </w:rPr>
      </w:pPr>
      <w:r>
        <w:rPr>
          <w:szCs w:val="27"/>
        </w:rPr>
      </w:r>
    </w:p>
    <w:p>
      <w:pPr>
        <w:pStyle w:val="F21"/>
        <w:rPr>
          <w:szCs w:val="27"/>
        </w:rPr>
      </w:pPr>
      <w:r>
        <w:rPr>
          <w:szCs w:val="27"/>
        </w:rPr>
        <w:tab/>
      </w:r>
      <w:r>
        <w:rPr>
          <w:szCs w:val="27"/>
        </w:rPr>
        <w:t>最近一連串針對內地遊客及水貨客的暴力行為已經開始影響到旅遊業。根據旅遊業議會提供的數字，</w:t>
      </w:r>
      <w:r>
        <w:rPr>
          <w:szCs w:val="27"/>
        </w:rPr>
        <w:t>3</w:t>
      </w:r>
      <w:r>
        <w:rPr>
          <w:szCs w:val="27"/>
        </w:rPr>
        <w:t>月上旬來港的內地團由去年同期每天平均</w:t>
      </w:r>
      <w:r>
        <w:rPr>
          <w:szCs w:val="27"/>
        </w:rPr>
        <w:t>470</w:t>
      </w:r>
      <w:r>
        <w:rPr>
          <w:szCs w:val="27"/>
        </w:rPr>
        <w:t>團，跌至今年的</w:t>
      </w:r>
      <w:r>
        <w:rPr>
          <w:szCs w:val="27"/>
        </w:rPr>
        <w:t>198</w:t>
      </w:r>
      <w:r>
        <w:rPr>
          <w:szCs w:val="27"/>
        </w:rPr>
        <w:t>團，跌幅近</w:t>
      </w:r>
      <w:r>
        <w:rPr>
          <w:szCs w:val="27"/>
        </w:rPr>
        <w:t>60%</w:t>
      </w:r>
      <w:r>
        <w:rPr>
          <w:szCs w:val="27"/>
        </w:rPr>
        <w:t>，近期示威行動有所收歛，旅行團數目亦有所回升，平均每天有</w:t>
      </w:r>
      <w:r>
        <w:rPr>
          <w:szCs w:val="27"/>
        </w:rPr>
        <w:t>300</w:t>
      </w:r>
      <w:r>
        <w:rPr>
          <w:szCs w:val="27"/>
        </w:rPr>
        <w:t>多團，可見旅客對香港安全環境反應非常敏感。除了內地之外，東南亞市場亦存隱患，據業界反映，最近接到不少東南亞華僑及台灣同胞查詢香港是否安全，擔心自己說普通話亦會被示威者衝擊，要求取消來港行程。</w:t>
      </w:r>
    </w:p>
    <w:p>
      <w:pPr>
        <w:pStyle w:val="F21"/>
        <w:rPr>
          <w:szCs w:val="27"/>
        </w:rPr>
      </w:pPr>
      <w:r>
        <w:rPr>
          <w:szCs w:val="27"/>
        </w:rPr>
      </w:r>
    </w:p>
    <w:p>
      <w:pPr>
        <w:pStyle w:val="F21"/>
        <w:rPr>
          <w:szCs w:val="27"/>
        </w:rPr>
      </w:pPr>
      <w:r>
        <w:rPr>
          <w:szCs w:val="27"/>
        </w:rPr>
        <w:tab/>
      </w:r>
      <w:r>
        <w:rPr>
          <w:szCs w:val="27"/>
        </w:rPr>
        <w:t>在酒店方面，近兩月的酒店收入平均下跌</w:t>
      </w:r>
      <w:r>
        <w:rPr>
          <w:szCs w:val="27"/>
        </w:rPr>
        <w:t>20%</w:t>
      </w:r>
      <w:r>
        <w:rPr>
          <w:szCs w:val="27"/>
        </w:rPr>
        <w:t>，賓館的情況更差，下跌更近</w:t>
      </w:r>
      <w:r>
        <w:rPr>
          <w:szCs w:val="27"/>
        </w:rPr>
        <w:t>40%</w:t>
      </w:r>
      <w:r>
        <w:rPr>
          <w:szCs w:val="27"/>
        </w:rPr>
        <w:t>。新春期間，香港五大景點：海洋公園、迪士尼樂園、昂坪</w:t>
      </w:r>
      <w:r>
        <w:rPr>
          <w:szCs w:val="27"/>
        </w:rPr>
        <w:t>360</w:t>
      </w:r>
      <w:r>
        <w:rPr>
          <w:szCs w:val="27"/>
        </w:rPr>
        <w:t>、山頂纜車及蠟像館，入場人次均錄得跌幅在一至兩成之間，剛公布的海洋公園的</w:t>
      </w:r>
      <w:r>
        <w:rPr>
          <w:szCs w:val="27"/>
        </w:rPr>
        <w:t>3</w:t>
      </w:r>
      <w:r>
        <w:rPr>
          <w:szCs w:val="27"/>
        </w:rPr>
        <w:t>月份接待數字跌幅更達到三成。如果目前的緊張氣氛持續，極小部分人將粗暴的示威行動變成為每周例行活動，今年香港的入境旅遊業務難免會進入寒冬。</w:t>
      </w:r>
      <w:r>
        <w:br w:type="page"/>
      </w:r>
    </w:p>
    <w:p>
      <w:pPr>
        <w:pStyle w:val="F21"/>
        <w:rPr>
          <w:szCs w:val="27"/>
        </w:rPr>
      </w:pPr>
      <w:r>
        <w:rPr>
          <w:szCs w:val="27"/>
        </w:rPr>
        <w:tab/>
      </w:r>
      <w:r>
        <w:rPr>
          <w:szCs w:val="27"/>
        </w:rPr>
        <w:t>主席，由於兩地貨品價格有差別，加上香港商品質量有保證，內地客來港購物本來是正常現象，但現在問題關鍵在於當天往返購物的旅客，尤其是香港及內地數以萬計的水貨客所造成的滋擾，影響了上水、落馬洲、元朗等靠近陸路市鎮居民的日常生活。但是，問題發生了數年，政府一直無具體的根治方案，只有間歇措施，成效不大。部分激進的、包括有“港獨”背景的團體，利用當地居民的怨氣，製造事端。他們的目的是挑起內地人與香港人之間矛盾，其實他們並無誠意解決當前的問題。</w:t>
      </w:r>
    </w:p>
    <w:p>
      <w:pPr>
        <w:pStyle w:val="F21"/>
        <w:rPr>
          <w:szCs w:val="27"/>
        </w:rPr>
      </w:pPr>
      <w:r>
        <w:rPr>
          <w:szCs w:val="27"/>
        </w:rPr>
      </w:r>
    </w:p>
    <w:p>
      <w:pPr>
        <w:pStyle w:val="F21"/>
        <w:rPr>
          <w:szCs w:val="27"/>
        </w:rPr>
      </w:pPr>
      <w:r>
        <w:rPr>
          <w:szCs w:val="27"/>
        </w:rPr>
        <w:tab/>
      </w:r>
      <w:r>
        <w:rPr>
          <w:szCs w:val="27"/>
        </w:rPr>
        <w:t>為解決水貨客問題，有議員及社會人士提議取消一簽多行和徵收陸路離境稅，對這兩點我持有不同看法。根據深圳海關提供的數字，水貨客當中內地人及香港人差不多各佔一半，約有</w:t>
      </w:r>
      <w:r>
        <w:rPr>
          <w:szCs w:val="27"/>
        </w:rPr>
        <w:t>3</w:t>
      </w:r>
      <w:r>
        <w:rPr>
          <w:szCs w:val="27"/>
        </w:rPr>
        <w:t>萬人左右，佔</w:t>
      </w:r>
      <w:r>
        <w:rPr>
          <w:szCs w:val="27"/>
        </w:rPr>
        <w:t>150</w:t>
      </w:r>
      <w:r>
        <w:rPr>
          <w:szCs w:val="27"/>
        </w:rPr>
        <w:t>萬人持一簽多行證件的深圳居民始終是一個小數。限制一簽多行可以降低部分經常來港購物自用的深圳居民來港的意欲，對減少人流有一定的幫助，但對遏止水貨客的活動作用不大。水貨集團可以改聘港人帶貨，根本無法解決現時上水、落馬洲等地區被水貨客滋擾的問題。因此，一刀切取消一簽多行政策不但不能解決水貨客問題，只會令內地人以為香港歧視他們，令到消費能力較強的中產不來香港，而轉向對內地旅客入境政策寬鬆的國家或地區旅遊消費。</w:t>
      </w:r>
    </w:p>
    <w:p>
      <w:pPr>
        <w:pStyle w:val="F21"/>
        <w:rPr>
          <w:szCs w:val="27"/>
        </w:rPr>
      </w:pPr>
      <w:r>
        <w:rPr>
          <w:szCs w:val="27"/>
        </w:rPr>
      </w:r>
    </w:p>
    <w:p>
      <w:pPr>
        <w:pStyle w:val="F21"/>
        <w:rPr>
          <w:szCs w:val="27"/>
        </w:rPr>
      </w:pPr>
      <w:r>
        <w:rPr>
          <w:szCs w:val="27"/>
        </w:rPr>
        <w:tab/>
      </w:r>
      <w:r>
        <w:rPr>
          <w:szCs w:val="27"/>
        </w:rPr>
        <w:t>主席，方剛議員的原議案提出，特區政府應增加旅遊、交通和零售設施，以便分流遊客，我是贊同的。至於向內地旅客徵收陸路離境稅的建議，我有不同看法，我認為只要將一簽多行改為一日一行或“一簽若干行”，已足可減少內地水貨客的影響問題。況且，內地政府如果看到香港徵稅，為了向自己市民負責，極有可能向香港旅客徵收同樣稅項，香港人每年通過陸路口岸前往大陸的人數約有</w:t>
      </w:r>
      <w:r>
        <w:rPr>
          <w:szCs w:val="27"/>
        </w:rPr>
        <w:t>6 000</w:t>
      </w:r>
      <w:r>
        <w:rPr>
          <w:szCs w:val="27"/>
        </w:rPr>
        <w:t>多萬，內地徵收陸路離境稅會令經常往返內地的香港人增加開支，增添出入境的麻煩。</w:t>
      </w:r>
    </w:p>
    <w:p>
      <w:pPr>
        <w:pStyle w:val="F21"/>
        <w:rPr>
          <w:szCs w:val="27"/>
        </w:rPr>
      </w:pPr>
      <w:r>
        <w:rPr>
          <w:szCs w:val="27"/>
        </w:rPr>
      </w:r>
    </w:p>
    <w:p>
      <w:pPr>
        <w:pStyle w:val="F21"/>
        <w:rPr>
          <w:szCs w:val="27"/>
        </w:rPr>
      </w:pPr>
      <w:r>
        <w:rPr>
          <w:szCs w:val="27"/>
        </w:rPr>
        <w:tab/>
      </w:r>
      <w:r>
        <w:rPr>
          <w:szCs w:val="27"/>
        </w:rPr>
        <w:t>為了令內地人來港旅遊能持續健康發展，我有以下的建議：</w:t>
      </w:r>
    </w:p>
    <w:p>
      <w:pPr>
        <w:pStyle w:val="F21"/>
        <w:rPr>
          <w:szCs w:val="27"/>
        </w:rPr>
      </w:pPr>
      <w:r>
        <w:rPr>
          <w:szCs w:val="27"/>
        </w:rPr>
      </w:r>
    </w:p>
    <w:p>
      <w:pPr>
        <w:pStyle w:val="F21"/>
        <w:rPr>
          <w:szCs w:val="27"/>
        </w:rPr>
      </w:pPr>
      <w:r>
        <w:rPr>
          <w:szCs w:val="27"/>
        </w:rPr>
        <w:tab/>
      </w:r>
      <w:r>
        <w:rPr>
          <w:szCs w:val="27"/>
        </w:rPr>
        <w:t>第一，全面檢討自由行政策。</w:t>
      </w:r>
      <w:r>
        <w:rPr>
          <w:szCs w:val="27"/>
        </w:rPr>
        <w:t>2003</w:t>
      </w:r>
      <w:r>
        <w:rPr>
          <w:szCs w:val="27"/>
        </w:rPr>
        <w:t>年中央政府為支持</w:t>
      </w:r>
      <w:r>
        <w:rPr>
          <w:szCs w:val="27"/>
        </w:rPr>
        <w:t>SARS</w:t>
      </w:r>
      <w:r>
        <w:rPr>
          <w:szCs w:val="27"/>
        </w:rPr>
        <w:t>後的香港經濟，應特區政府要求，逐步開放內地</w:t>
      </w:r>
      <w:r>
        <w:rPr>
          <w:szCs w:val="27"/>
        </w:rPr>
        <w:t>49</w:t>
      </w:r>
      <w:r>
        <w:rPr>
          <w:szCs w:val="27"/>
        </w:rPr>
        <w:t>個城市讓居民自由行來港，</w:t>
      </w:r>
      <w:r>
        <w:rPr>
          <w:szCs w:val="27"/>
        </w:rPr>
        <w:t>2009</w:t>
      </w:r>
      <w:r>
        <w:rPr>
          <w:szCs w:val="27"/>
        </w:rPr>
        <w:t>年又因應特區政府要求，進一步開放讓有深圳戶籍的人民可藉一簽多行來港。兩項政策已推行多年，有需要作出全面檢討。如果只檢討或取消一簽多行政策，只會令內地民眾認為我們歧視深圳居民，以致有能力出外旅遊的內地中產和商務旅客會因而轉往其他地方旅遊或縮短來港的時間，直接衝擊與旅遊業相關的行業。因此，我建議特區政府在與內地有關部門商討優化一簽多行政策的同時，應該研究進一步擴大</w:t>
      </w:r>
      <w:r>
        <w:rPr>
          <w:szCs w:val="27"/>
        </w:rPr>
        <w:t>49</w:t>
      </w:r>
      <w:r>
        <w:rPr>
          <w:szCs w:val="27"/>
        </w:rPr>
        <w:t>個自由行城市的範圍。兩地全面檢討出入境旅遊政策是非常自然的事，既能顧及兩地民眾的感情，亦有利香港旅遊業的健康發展。</w:t>
      </w:r>
    </w:p>
    <w:p>
      <w:pPr>
        <w:pStyle w:val="F21"/>
        <w:rPr>
          <w:szCs w:val="27"/>
        </w:rPr>
      </w:pPr>
      <w:r>
        <w:rPr>
          <w:szCs w:val="27"/>
        </w:rPr>
      </w:r>
    </w:p>
    <w:p>
      <w:pPr>
        <w:pStyle w:val="F21"/>
        <w:rPr>
          <w:szCs w:val="27"/>
        </w:rPr>
      </w:pPr>
      <w:r>
        <w:rPr>
          <w:szCs w:val="27"/>
        </w:rPr>
        <w:tab/>
      </w:r>
      <w:r>
        <w:rPr>
          <w:szCs w:val="27"/>
        </w:rPr>
        <w:t>第二，多管齊下打擊水貨活動。我在修正案提出，打擊水貨活動要與內地海關一起合作，因為香港是自由港，在正常情況下攜帶貨物出境並不違法，水貨客攜帶大量貨物進入內地，才有可能觸犯內地的海關法例。我建議當局主動與內地海關合作，要求他們加強執法，定期檢討，令水貨集團知難而退。除此之外，特區政府應根據現行法例，加強檢控違反逗留條件的內地水貨客；對水貨集團阻街、違規泊車及上落貨物引致道路交通擠塞或滋擾等違法行為加大檢控力度，並繼續加強檢控違例使用工廠大廈進行水貨活動的單位，希望通過各種行政措施，盡量減低水貨活動對當地居民造成的影響。</w:t>
      </w:r>
    </w:p>
    <w:p>
      <w:pPr>
        <w:pStyle w:val="F21"/>
        <w:rPr>
          <w:szCs w:val="27"/>
        </w:rPr>
      </w:pPr>
      <w:r>
        <w:rPr>
          <w:szCs w:val="27"/>
        </w:rPr>
      </w:r>
    </w:p>
    <w:p>
      <w:pPr>
        <w:pStyle w:val="F21"/>
        <w:rPr>
          <w:szCs w:val="27"/>
        </w:rPr>
      </w:pPr>
      <w:r>
        <w:rPr>
          <w:szCs w:val="27"/>
        </w:rPr>
        <w:tab/>
      </w:r>
      <w:r>
        <w:rPr>
          <w:szCs w:val="27"/>
        </w:rPr>
        <w:t>第三，應該盡快興建邊境購物城。旅客到當區消費，本來是有利地區經濟發展、增加就業機會的，但現在問題的關鍵是人流過多影響區內居民日常生活。如果政府能夠在合理安排下盡快在落馬洲、深圳灣、羅湖、沙頭角等邊境附近覓地，並鼓勵商界參與興建邊境購物城，我相信購物城建成後一定可以分流當天往返真正來港消費的內地旅客，減少他們對新界居民的滋擾。</w:t>
      </w:r>
    </w:p>
    <w:p>
      <w:pPr>
        <w:pStyle w:val="F21"/>
        <w:rPr>
          <w:szCs w:val="27"/>
        </w:rPr>
      </w:pPr>
      <w:r>
        <w:rPr>
          <w:szCs w:val="27"/>
        </w:rPr>
      </w:r>
    </w:p>
    <w:p>
      <w:pPr>
        <w:pStyle w:val="F21"/>
        <w:rPr>
          <w:szCs w:val="27"/>
        </w:rPr>
      </w:pPr>
      <w:r>
        <w:rPr>
          <w:szCs w:val="27"/>
        </w:rPr>
        <w:tab/>
      </w:r>
      <w:r>
        <w:rPr>
          <w:szCs w:val="27"/>
        </w:rPr>
        <w:t>最後，我期望當局除作出針對性的分流措施外，對漠視法紀、不顧後果參與非理性反水貨客的示威暴民要嚴厲執法，依法檢控。如果姑息違法者，只會令他們有恃無恐，變本加厲，變相鼓勵更多更激進的示威活動，對香港的對外形象及經濟只有百害而無一利。</w:t>
      </w:r>
    </w:p>
    <w:p>
      <w:pPr>
        <w:pStyle w:val="F21"/>
        <w:rPr>
          <w:szCs w:val="27"/>
        </w:rPr>
      </w:pPr>
      <w:r>
        <w:rPr>
          <w:szCs w:val="27"/>
        </w:rPr>
      </w:r>
    </w:p>
    <w:p>
      <w:pPr>
        <w:pStyle w:val="F21"/>
        <w:rPr>
          <w:szCs w:val="27"/>
        </w:rPr>
      </w:pPr>
      <w:r>
        <w:rPr>
          <w:szCs w:val="27"/>
        </w:rPr>
        <w:tab/>
      </w:r>
      <w:r>
        <w:rPr>
          <w:szCs w:val="27"/>
        </w:rPr>
        <w:t>主席，我謹此陳辭。</w:t>
      </w:r>
    </w:p>
    <w:p>
      <w:pPr>
        <w:pStyle w:val="F21"/>
        <w:rPr>
          <w:rFonts w:cs="Times New Roman"/>
        </w:rPr>
      </w:pPr>
      <w:r>
        <w:rPr>
          <w:rFonts w:cs="Times New Roman"/>
        </w:rPr>
      </w:r>
    </w:p>
    <w:p>
      <w:pPr>
        <w:pStyle w:val="F21"/>
        <w:rPr>
          <w:rFonts w:cs="Times New Roman"/>
        </w:rPr>
      </w:pPr>
      <w:r>
        <w:rPr>
          <w:rFonts w:cs="Times New Roman"/>
        </w:rPr>
      </w:r>
    </w:p>
    <w:p>
      <w:pPr>
        <w:pStyle w:val="F21"/>
        <w:rPr/>
      </w:pPr>
      <w:r>
        <w:rPr>
          <w:rFonts w:ascii="華康中黑體" w:hAnsi="華康中黑體" w:eastAsia="華康中黑體"/>
          <w:b/>
        </w:rPr>
        <w:t>黃定光議員</w:t>
      </w:r>
      <w:r>
        <w:rPr/>
        <w:t>：主席，旅遊業是香港的經濟支柱，而內地旅客是旅遊業的重要收入來源，多年來為香港帶來顯著的收益。零售業、餐飲、酒店等各行各業亦因而蓬勃興旺。</w:t>
      </w:r>
    </w:p>
    <w:p>
      <w:pPr>
        <w:pStyle w:val="F21"/>
        <w:rPr/>
      </w:pPr>
      <w:r>
        <w:rPr/>
      </w:r>
    </w:p>
    <w:p>
      <w:pPr>
        <w:pStyle w:val="F21"/>
        <w:rPr/>
      </w:pPr>
      <w:r>
        <w:rPr/>
        <w:tab/>
      </w:r>
      <w:r>
        <w:rPr/>
        <w:t>但是，香港始終是彈丸之地，隨着越來越多的內地旅客來香港，香港的接待能力亦未能應付，導致上水、元朗、沙田、旺角、尖沙咀、銅鑼灣等區域，無論乘車還是逛街都感到人山人海。內地旅客大量購買奶粉、紙尿片、藥物等貨品，導致商鋪的租金瘋狂飆升，物價上漲。此外，部分內地旅客的生活習慣與香港市民有點不同，產生了摩擦。這些問題均令香港市民日常生活受到影響，久而久之便產生不滿。</w:t>
      </w:r>
    </w:p>
    <w:p>
      <w:pPr>
        <w:pStyle w:val="F21"/>
        <w:rPr/>
      </w:pPr>
      <w:r>
        <w:rPr/>
      </w:r>
    </w:p>
    <w:p>
      <w:pPr>
        <w:pStyle w:val="F21"/>
        <w:rPr/>
      </w:pPr>
      <w:r>
        <w:rPr/>
        <w:tab/>
      </w:r>
      <w:r>
        <w:rPr/>
        <w:t>然而，香港是法治文明的城市，我們不可以將怨氣發泄在這些旅客身上。早前有人在各區發動一些衝擊行動，騷擾內地旅客，甚至連貌似內地旅客的本港市民也不放過，這一小撮暴徒對老弱婦孺出言恐嚇，甚至出手推撞，極之可耻；而更卑劣的是，這些暴徒全都戴上口罩行兇，沒有膽子以真面目示人，正是“又要威，又要戴鋼盔”。</w:t>
      </w:r>
    </w:p>
    <w:p>
      <w:pPr>
        <w:pStyle w:val="F21"/>
        <w:rPr/>
      </w:pPr>
      <w:r>
        <w:rPr/>
      </w:r>
    </w:p>
    <w:p>
      <w:pPr>
        <w:pStyle w:val="F21"/>
        <w:rPr/>
      </w:pPr>
      <w:r>
        <w:rPr/>
        <w:tab/>
      </w:r>
      <w:r>
        <w:rPr/>
        <w:t>對於這些可耻和卑劣的衝擊行為，我們必須嚴詞譴責，亦期望警方果斷執法。雖然這些搞事分子只是極少數的害羣之馬，絕不代表香港人，但香港的形象受到他們拖累，我們的零售業亦面臨倒退的危機。特區政府應該及早補救，向內地和海外宣傳香港仍然是好客之都，同時向香港的市民加強推廣好客意識，避免類似的暴行再次發生。</w:t>
      </w:r>
    </w:p>
    <w:p>
      <w:pPr>
        <w:pStyle w:val="F21"/>
        <w:rPr/>
      </w:pPr>
      <w:r>
        <w:rPr/>
      </w:r>
    </w:p>
    <w:p>
      <w:pPr>
        <w:pStyle w:val="F21"/>
        <w:rPr/>
      </w:pPr>
      <w:r>
        <w:rPr/>
        <w:tab/>
      </w:r>
      <w:r>
        <w:rPr/>
        <w:t>當然，香港接待能力不足是一個嚴重的問題，為了保住旅遊業這根支柱，同時減少市民日常生活遭受影響，我們必須要擴闊空間，增設旅遊設施，提高香港的接待能力。對於客量過多的巴士和列車路線，政府應該要求營辦商增加班次，同時亦要嚴格執行行李體積限制，避免車廂過於擠迫。此外，對於旅客集中在某些地區購物所帶來的問題，民建聯早期已經建議在邊境地區建立購物中心，分散這些旺區的人流，亦可以於所在的購物中心地區製造就業崗位。</w:t>
      </w:r>
    </w:p>
    <w:p>
      <w:pPr>
        <w:pStyle w:val="F21"/>
        <w:rPr/>
      </w:pPr>
      <w:r>
        <w:rPr/>
      </w:r>
    </w:p>
    <w:p>
      <w:pPr>
        <w:pStyle w:val="F21"/>
        <w:rPr/>
      </w:pPr>
      <w:r>
        <w:rPr/>
        <w:tab/>
      </w:r>
      <w:r>
        <w:rPr/>
        <w:t>過去兩年多，在很多方面的合作推動下，落馬洲邊境購物城即將如期啟用，期望政府能夠推廣，並且完善交通配套，讓購物城為香港充分發揮效益。政府亦應充分擔任促進者的角色，鼓勵各方面在其他邊境地區建立更多的購物中心，加強分散人流的作用。</w:t>
      </w:r>
    </w:p>
    <w:p>
      <w:pPr>
        <w:pStyle w:val="F21"/>
        <w:rPr/>
      </w:pPr>
      <w:r>
        <w:rPr/>
      </w:r>
    </w:p>
    <w:p>
      <w:pPr>
        <w:pStyle w:val="F21"/>
        <w:rPr/>
      </w:pPr>
      <w:r>
        <w:rPr/>
        <w:tab/>
      </w:r>
      <w:r>
        <w:rPr/>
        <w:t>對於旅客過多的問題，今天不少修正案均提出“一刀切”取消一簽多行及實施入境稅或離境稅。我反對這些做法。</w:t>
      </w:r>
    </w:p>
    <w:p>
      <w:pPr>
        <w:pStyle w:val="F21"/>
        <w:rPr/>
      </w:pPr>
      <w:r>
        <w:rPr/>
      </w:r>
    </w:p>
    <w:p>
      <w:pPr>
        <w:pStyle w:val="F21"/>
        <w:rPr/>
      </w:pPr>
      <w:r>
        <w:rPr/>
        <w:tab/>
      </w:r>
      <w:r>
        <w:rPr/>
        <w:t>無可否認，一簽多行大大方便深圳旅客來香港，亦是今天旅客過多的部分原因，由</w:t>
      </w:r>
      <w:r>
        <w:rPr/>
        <w:t>2009</w:t>
      </w:r>
      <w:r>
        <w:rPr/>
        <w:t>年至</w:t>
      </w:r>
      <w:r>
        <w:rPr/>
        <w:t>2014</w:t>
      </w:r>
      <w:r>
        <w:rPr/>
        <w:t>年這</w:t>
      </w:r>
      <w:r>
        <w:rPr/>
        <w:t>5</w:t>
      </w:r>
      <w:r>
        <w:rPr/>
        <w:t>年間，一簽多行的旅客人次增加</w:t>
      </w:r>
      <w:r>
        <w:rPr/>
        <w:t>10</w:t>
      </w:r>
      <w:r>
        <w:rPr/>
        <w:t>倍，達到</w:t>
      </w:r>
      <w:r>
        <w:rPr/>
        <w:t>1 400</w:t>
      </w:r>
      <w:r>
        <w:rPr/>
        <w:t>多萬，過多的旅客不單影響香港市民的生活，亦影響旅客本身的旅遊體驗，所以我認為，在香港成功擴容增量前，適度調整一簽多行的安排是合理的。我們民建聯的人大常委會代表和政協委員在中華人民共和國全國人民代表大會和中國人民政治協商會議</w:t>
      </w:r>
      <w:r>
        <w:rPr/>
        <w:t>(</w:t>
      </w:r>
      <w:r>
        <w:rPr/>
        <w:t>下稱“兩會”</w:t>
      </w:r>
      <w:r>
        <w:rPr/>
        <w:t>)</w:t>
      </w:r>
      <w:r>
        <w:rPr/>
        <w:t>期間，亦提議將一簽多行改為“一簽若干行”，具體次數由內地和香港按照實際情況制訂，對於有一些接送子女上學，在生活上有需要的深圳居民則可作寬免。</w:t>
      </w:r>
    </w:p>
    <w:p>
      <w:pPr>
        <w:pStyle w:val="F21"/>
        <w:spacing w:lineRule="atLeast" w:line="380"/>
        <w:rPr/>
      </w:pPr>
      <w:r>
        <w:rPr/>
      </w:r>
    </w:p>
    <w:p>
      <w:pPr>
        <w:pStyle w:val="F21"/>
        <w:spacing w:lineRule="atLeast" w:line="380"/>
        <w:rPr/>
      </w:pPr>
      <w:r>
        <w:rPr/>
        <w:tab/>
      </w:r>
      <w:r>
        <w:rPr/>
        <w:t>調整一簽多行，並不等於“一刀切”取消這項措施。現在的情況好像一間小型的店鋪，生意應接不暇，我們只能夠一邊擴充店堂，一邊疏導顧客。我們怎能一下子把客人趕走，甚至“落閘放狗”呢？這種做法等於自斷生計。我認為徵收入境稅或離境稅更是不合理。現時每日有接近</w:t>
      </w:r>
      <w:r>
        <w:rPr/>
        <w:t>20</w:t>
      </w:r>
      <w:r>
        <w:rPr/>
        <w:t>萬香港居民前往內地旅行、探親或上班，若香港對內地旅客徵收入境稅或離境稅，我們又怎能期望內地不會依樣畫葫蘆，向香港人徵稅呢？由此可見，提出這些措施或許能博得一時的關注，甚至自以為能贏得一些選票，但事實上毫無用處。</w:t>
      </w:r>
    </w:p>
    <w:p>
      <w:pPr>
        <w:pStyle w:val="F21"/>
        <w:spacing w:lineRule="atLeast" w:line="380"/>
        <w:rPr/>
      </w:pPr>
      <w:r>
        <w:rPr/>
      </w:r>
    </w:p>
    <w:p>
      <w:pPr>
        <w:pStyle w:val="F21"/>
        <w:spacing w:lineRule="atLeast" w:line="380"/>
        <w:rPr/>
      </w:pPr>
      <w:r>
        <w:rPr/>
        <w:tab/>
      </w:r>
      <w:r>
        <w:rPr/>
        <w:t>現時市民不滿意旅客過多，影響生活，這很大程度上是水貨客冒充旅客，影響居民的生活。我們不能拿旅客出氣，卻必須正視水貨客泛濫的問題。在上水、元朗、屯門等鄰近邊境的地區，水貨客頻繁採購日用品，再帶往內地轉售圖利，這種水貨活動本身就有違法之嫌。在內地，攜帶超額的個人用品入境而不繳稅已屬觸及走私犯罪。至於在香港，旅客從事水貨活動可能違反逗留條件，在街頭處理貨物亦可能干犯阻街罪；在工廠大廈賣貨也可能違反了大廈公契，攜帶超額奶粉出境更是觸犯了《進出口條例》。既然大規模的水貨活動在兩地都可屬違法，兩地便應加強情報交流，嚴打水貨活動。香港的執法機關亦應加強巡查，果斷打擊水貨活動衍生的違法行為，讓市民免受水貨活動的滋擾。</w:t>
      </w:r>
    </w:p>
    <w:p>
      <w:pPr>
        <w:pStyle w:val="F21"/>
        <w:spacing w:lineRule="atLeast" w:line="380"/>
        <w:rPr/>
      </w:pPr>
      <w:r>
        <w:rPr/>
      </w:r>
    </w:p>
    <w:p>
      <w:pPr>
        <w:pStyle w:val="F21"/>
        <w:spacing w:lineRule="atLeast" w:line="380"/>
        <w:rPr/>
      </w:pPr>
      <w:r>
        <w:rPr/>
        <w:tab/>
      </w:r>
      <w:r>
        <w:rPr/>
        <w:t>主席，今天這項議案有</w:t>
      </w:r>
      <w:r>
        <w:rPr/>
        <w:t>11</w:t>
      </w:r>
      <w:r>
        <w:rPr/>
        <w:t>項修正案，必會引起熱烈討論。我在此先行表態：由於之前提到的原因，凡是提出“一刀切”取消一簽多行、徵收陸路入境稅或離境稅的修正案，我都會反對。范國威議員和陳志全議員的修正案更是無稽。范國威議員和陳志全議員都表示是政府做得不好，所以才會出現衝擊事件。這簡直是顛倒黑白。我們要明白，暴行就是暴行，不能以政府做得不好為藉口，來把暴行說成是合理的事。否則，將來有人打劫，他便可以說是政府無能，解決不了貧富懸殊的問題，所以他才打劫；如果將來有人放火，也可以說是政府的防火設施做得不好，所以放火有理。</w:t>
      </w:r>
    </w:p>
    <w:p>
      <w:pPr>
        <w:pStyle w:val="F21"/>
        <w:spacing w:lineRule="atLeast" w:line="380"/>
        <w:rPr/>
      </w:pPr>
      <w:r>
        <w:rPr/>
      </w:r>
    </w:p>
    <w:p>
      <w:pPr>
        <w:pStyle w:val="F21"/>
        <w:spacing w:lineRule="atLeast" w:line="380"/>
        <w:rPr/>
      </w:pPr>
      <w:r>
        <w:rPr/>
        <w:tab/>
      </w:r>
      <w:r>
        <w:rPr/>
        <w:t>陳志全議員罵政府盲目舔共，罵警方粗暴濫權。這種只求發泄、不講理據的謾罵行為已令聽者生厭。我明白陳志全議員要向激進派選民“交功課”，但我忍不住要插一句話，便是你能認真一點做這份“功課”嗎？把它做好一點可以嗎？</w:t>
      </w:r>
    </w:p>
    <w:p>
      <w:pPr>
        <w:pStyle w:val="F21"/>
        <w:rPr/>
      </w:pPr>
      <w:r>
        <w:rPr/>
      </w:r>
    </w:p>
    <w:p>
      <w:pPr>
        <w:pStyle w:val="F21"/>
        <w:rPr/>
      </w:pPr>
      <w:r>
        <w:rPr/>
        <w:tab/>
      </w:r>
      <w:r>
        <w:rPr/>
        <w:t>還有，郭家麒議員說梁振英星期天會舉行“豪門夜宴”，真不知他從哪裏得到的消息？根本是清茶一杯，純粹聊天而已。他更指斥梁振英的愛國醜態</w:t>
      </w:r>
      <w:r>
        <w:rPr>
          <w:i/>
        </w:rPr>
        <w:t>(</w:t>
      </w:r>
      <w:r>
        <w:rPr>
          <w:i/>
        </w:rPr>
        <w:t>計時器響起</w:t>
      </w:r>
      <w:r>
        <w:rPr>
          <w:i/>
        </w:rPr>
        <w:t>)</w:t>
      </w:r>
      <w:r>
        <w:rPr/>
        <w:t>......</w:t>
      </w:r>
      <w:r>
        <w:rPr/>
        <w:t>郭家麒議員才是賣國醜態！</w:t>
      </w:r>
    </w:p>
    <w:p>
      <w:pPr>
        <w:pStyle w:val="F21"/>
        <w:rPr/>
      </w:pPr>
      <w:r>
        <w:rPr/>
      </w:r>
    </w:p>
    <w:p>
      <w:pPr>
        <w:pStyle w:val="F21"/>
        <w:rPr/>
      </w:pPr>
      <w:r>
        <w:rPr/>
      </w:r>
    </w:p>
    <w:p>
      <w:pPr>
        <w:pStyle w:val="F21"/>
        <w:rPr/>
      </w:pPr>
      <w:r>
        <w:rPr>
          <w:rFonts w:ascii="華康中黑體" w:hAnsi="華康中黑體" w:eastAsia="華康中黑體"/>
          <w:b/>
        </w:rPr>
        <w:t>主席</w:t>
      </w:r>
      <w:r>
        <w:rPr/>
        <w:t>：黃議員，發言時限到了。</w:t>
      </w:r>
    </w:p>
    <w:p>
      <w:pPr>
        <w:pStyle w:val="F21"/>
        <w:rPr>
          <w:rFonts w:cs="Times New Roman"/>
        </w:rPr>
      </w:pPr>
      <w:r>
        <w:rPr>
          <w:rFonts w:cs="Times New Roman"/>
        </w:rPr>
      </w:r>
    </w:p>
    <w:p>
      <w:pPr>
        <w:pStyle w:val="F21"/>
        <w:rPr>
          <w:rFonts w:cs="Times New Roman"/>
        </w:rPr>
      </w:pPr>
      <w:r>
        <w:rPr>
          <w:rFonts w:cs="Times New Roman"/>
        </w:rPr>
      </w:r>
    </w:p>
    <w:p>
      <w:pPr>
        <w:pStyle w:val="F21"/>
        <w:rPr/>
      </w:pPr>
      <w:r>
        <w:rPr>
          <w:rFonts w:ascii="華康中黑體" w:hAnsi="華康中黑體" w:cs="華康中黑體" w:eastAsia="華康中黑體"/>
          <w:b/>
        </w:rPr>
        <w:t>張超雄議員</w:t>
      </w:r>
      <w:r>
        <w:rPr/>
        <w:t>：主席，我不是不願意以真面目示人，只是患上感冒。水貨或自由行嚴重失衡的情況，我想只有生活在水星之中的官員才會感覺不到和看不到，才會導致他們對嚴重影響香港人的基本生活、購物、日常外出及交通等的情況，拖了這麼久仍然一事無成，基本上是視而不見。更甚的是，他們仍繼續擺出姿態，指現時的光復活動及事件對香港購物天堂的形象造成影響，又指這是執法問題。</w:t>
      </w:r>
    </w:p>
    <w:p>
      <w:pPr>
        <w:pStyle w:val="F21"/>
        <w:rPr/>
      </w:pPr>
      <w:r>
        <w:rPr/>
      </w:r>
    </w:p>
    <w:p>
      <w:pPr>
        <w:pStyle w:val="F21"/>
        <w:rPr/>
      </w:pPr>
      <w:r>
        <w:rPr/>
        <w:tab/>
      </w:r>
      <w:r>
        <w:rPr/>
        <w:t>對不起，我並不覺得這樣便可以將中港矛盾的其中一個環節</w:t>
      </w:r>
      <w:r>
        <w:rPr>
          <w:rFonts w:cs="Times New Roman"/>
        </w:rPr>
        <w:t> </w:t>
      </w:r>
      <w:r>
        <w:rPr>
          <w:rFonts w:ascii="Symbol" w:hAnsi="Symbol" w:cs="Symbol" w:eastAsia="Symbol"/>
        </w:rPr>
        <w:t></w:t>
      </w:r>
      <w:r>
        <w:rPr/>
        <w:t xml:space="preserve"> 即在香港旅遊購物 </w:t>
      </w:r>
      <w:r>
        <w:rPr>
          <w:rFonts w:ascii="Symbol" w:hAnsi="Symbol" w:cs="Symbol" w:eastAsia="Symbol"/>
        </w:rPr>
        <w:t></w:t>
      </w:r>
      <w:r>
        <w:rPr/>
        <w:t xml:space="preserve"> 簡化成為執法或有人過激的問題。試問現時香港有哪一個環節不受特區政府要求中港“同城化”及促進兩地交流的影響？香港要放棄本身的資源和利益，令到在香港土生土長或熱愛香港的人，均感到在購物、教育或其他生活空間方面被佔領，一切都不是為香港人而設。</w:t>
      </w:r>
    </w:p>
    <w:p>
      <w:pPr>
        <w:pStyle w:val="F21"/>
        <w:rPr/>
      </w:pPr>
      <w:r>
        <w:rPr/>
      </w:r>
    </w:p>
    <w:p>
      <w:pPr>
        <w:pStyle w:val="F21"/>
        <w:rPr/>
      </w:pPr>
      <w:r>
        <w:rPr/>
        <w:tab/>
      </w:r>
      <w:r>
        <w:rPr/>
        <w:t>過去發生很多衝突事件，我們當然並不認同。任何不文明的行為或以語言、肢體暴力對付任何人，我們也不認同。然而，這些背後卻反映了龐大的利益衝突，各個社區的商鋪、街道及交通工具，都因為自由行或水貨客而受到衝擊。位於邊境的北區及元朗區受到巨大的影響不在話下，很多屋苑亦受影響，大家從領匯出售的二、三線商場多麼受歡迎便可知一二。這是否亦在考慮範圍內呢？</w:t>
      </w:r>
    </w:p>
    <w:p>
      <w:pPr>
        <w:pStyle w:val="F21"/>
        <w:rPr/>
      </w:pPr>
      <w:r>
        <w:rPr/>
      </w:r>
    </w:p>
    <w:p>
      <w:pPr>
        <w:pStyle w:val="F21"/>
        <w:rPr/>
      </w:pPr>
      <w:r>
        <w:rPr/>
        <w:tab/>
      </w:r>
      <w:r>
        <w:rPr/>
        <w:t>我在香港南區的鴨脷洲居住，那裏的商場同樣希望出售以供開設名店批發場。主席，試想想，連南區居民的生活亦受影響，現在我們走到街上想購買一些基本的東西，例如報章，都只可以到連鎖店購買，連報紙檔也沒有了，連相片沖曬店或銀行也快要消失了。雖然情況已經失控，但政府卻不予批評，反而批評光復行動失控。我們對兩者皆不贊同，因為更大的問題是政府的管治。大家認為當中涉及多少利益？黎廣德在較早前發表的一篇文章中作了一項統計，指一年內有</w:t>
      </w:r>
      <w:r>
        <w:rPr/>
        <w:t>720</w:t>
      </w:r>
      <w:r>
        <w:rPr/>
        <w:t>億港元的貨物在水貨市場流通，而當中逃稅的款額更高達</w:t>
      </w:r>
      <w:r>
        <w:rPr/>
        <w:t>160</w:t>
      </w:r>
      <w:r>
        <w:rPr/>
        <w:t>億港元。究竟這</w:t>
      </w:r>
      <w:r>
        <w:rPr/>
        <w:t>160</w:t>
      </w:r>
      <w:r>
        <w:rPr/>
        <w:t>億元如何攤分？當中的水貨客集團十分了不起，他們疏通內地官員、安排批發，連深圳市市委書記王榮也承認存在貪腐活動。他們如何分贓？根據</w:t>
      </w:r>
      <w:r>
        <w:rPr/>
        <w:t>9</w:t>
      </w:r>
      <w:r>
        <w:rPr/>
        <w:t>月“大公網”轉載《華夏時報》偵查報道，當中牽涉皇崗海關涉嫌放縱走私案，以及</w:t>
      </w:r>
      <w:r>
        <w:rPr/>
        <w:t>11</w:t>
      </w:r>
      <w:r>
        <w:rPr/>
        <w:t>月披露的沙頭角海關受賄案。水貨集團與海關官員早已實施聯網經營，而且列明價目，走私一輛汽車的賄費是多少及如何攤分。按照統一分配，科長佔</w:t>
      </w:r>
      <w:r>
        <w:rPr/>
        <w:t>12%</w:t>
      </w:r>
      <w:r>
        <w:rPr/>
        <w:t>、值班副科長佔</w:t>
      </w:r>
      <w:r>
        <w:rPr/>
        <w:t>17%</w:t>
      </w:r>
      <w:r>
        <w:rPr/>
        <w:t>、不值班副科長佔</w:t>
      </w:r>
      <w:r>
        <w:rPr/>
        <w:t>5%</w:t>
      </w:r>
      <w:r>
        <w:rPr/>
        <w:t>、負責查驗的關員佔</w:t>
      </w:r>
      <w:r>
        <w:rPr/>
        <w:t>15%</w:t>
      </w:r>
      <w:r>
        <w:rPr/>
        <w:t>，以及聯絡人如何分贓，全都已有規定。這個利益集團不單牽涉內地海關，還有水貨集團，是否亦與香港有關呢？</w:t>
      </w:r>
    </w:p>
    <w:p>
      <w:pPr>
        <w:pStyle w:val="F21"/>
        <w:spacing w:lineRule="atLeast" w:line="370"/>
        <w:rPr/>
      </w:pPr>
      <w:r>
        <w:rPr/>
      </w:r>
    </w:p>
    <w:p>
      <w:pPr>
        <w:pStyle w:val="F21"/>
        <w:spacing w:lineRule="atLeast" w:line="370"/>
        <w:rPr/>
      </w:pPr>
      <w:r>
        <w:rPr/>
        <w:tab/>
      </w:r>
      <w:r>
        <w:rPr/>
        <w:t>在最近元朗的光復行動中，大家在名為“奶粉批發城”的地標聚集。最近有傳媒查到，原來這個奶粉批發城隸屬於上市公司金天醫藥集團，主席金東濤更具有軍方背景，是解放軍預備役中校。這個奶粉批發城甚至標榜可將所購物品郵寄至全國，當中又有多少人牽涉其中？</w:t>
      </w:r>
    </w:p>
    <w:p>
      <w:pPr>
        <w:pStyle w:val="F21"/>
        <w:spacing w:lineRule="atLeast" w:line="370"/>
        <w:rPr/>
      </w:pPr>
      <w:r>
        <w:rPr/>
      </w:r>
    </w:p>
    <w:p>
      <w:pPr>
        <w:pStyle w:val="F21"/>
        <w:spacing w:lineRule="atLeast" w:line="370"/>
        <w:rPr/>
      </w:pPr>
      <w:r>
        <w:rPr/>
        <w:tab/>
      </w:r>
      <w:r>
        <w:rPr/>
        <w:t>我們不斷強調零售業和旅遊業對香港很重要，養活很多人，那麼我們是否要將香港定位成為讓內地人購物、娛樂、集資、購買豪宅保值、讓家人居住及有空便來遊玩的地方？是否還要興建更多商場？是否還要在九龍公園、維園及香港公園之下挖洞，將我們的“市肺”填滿，同時興建人工島及大力發展大嶼山，務求將整個香港變成商場？是否這樣便能解決問題？香港的將來是否除了金錢外，就只有內地的貪腐？</w:t>
      </w:r>
    </w:p>
    <w:p>
      <w:pPr>
        <w:pStyle w:val="F21"/>
        <w:spacing w:lineRule="atLeast" w:line="370"/>
        <w:rPr/>
      </w:pPr>
      <w:r>
        <w:rPr/>
      </w:r>
    </w:p>
    <w:p>
      <w:pPr>
        <w:pStyle w:val="F21"/>
        <w:spacing w:lineRule="atLeast" w:line="370"/>
        <w:rPr/>
      </w:pPr>
      <w:r>
        <w:rPr/>
        <w:tab/>
      </w:r>
      <w:r>
        <w:rPr/>
        <w:t xml:space="preserve">市民實在不知如何是好，提出訴求多年，政府依然沒有行動。梁振英自詡為“自由行之父”，但今天眼見這麼多衝突 </w:t>
      </w:r>
      <w:r>
        <w:rPr>
          <w:rFonts w:ascii="Symbol" w:hAnsi="Symbol" w:cs="Symbol" w:eastAsia="Symbol"/>
        </w:rPr>
        <w:t></w:t>
      </w:r>
      <w:r>
        <w:rPr/>
        <w:t xml:space="preserve"> 我們是絕對不認同的 </w:t>
      </w:r>
      <w:r>
        <w:rPr>
          <w:rFonts w:ascii="Symbol" w:hAnsi="Symbol" w:cs="Symbol" w:eastAsia="Symbol"/>
        </w:rPr>
        <w:t></w:t>
      </w:r>
      <w:r>
        <w:rPr/>
        <w:t xml:space="preserve"> 政府才表示要正視。即使內地官員也認為有必要檢討，並對自由行設限及考慮承載量。事實上，旅客人次早已超出承載量，較其他國家的人口還要多，但政府依然不肯收手，還說要繼續開放，並提供更多空間。香港是否要這樣發展下去，繼續漠視環境及其他問題？是否所有香港人都要為旅遊業“打工”？</w:t>
      </w:r>
    </w:p>
    <w:p>
      <w:pPr>
        <w:pStyle w:val="F21"/>
        <w:spacing w:lineRule="atLeast" w:line="370"/>
        <w:rPr/>
      </w:pPr>
      <w:r>
        <w:rPr/>
      </w:r>
    </w:p>
    <w:p>
      <w:pPr>
        <w:pStyle w:val="F21"/>
        <w:spacing w:lineRule="atLeast" w:line="370"/>
        <w:rPr/>
      </w:pPr>
      <w:r>
        <w:rPr/>
        <w:tab/>
      </w:r>
      <w:r>
        <w:rPr/>
        <w:t>如果政府是要將香港定位成為這樣的城市，更加不會給予我們民主，因為如果香港人真的可以作主，我相信大家都不想香港變成一個大商場。整件事根本是管治的問題，是香港定位的問題，是香港不能只有經濟發展硬道理的問題。香港必須有多元化發展，而市民亦要有機會發聲。</w:t>
      </w:r>
    </w:p>
    <w:p>
      <w:pPr>
        <w:pStyle w:val="F21"/>
        <w:rPr/>
      </w:pPr>
      <w:r>
        <w:rPr/>
      </w:r>
    </w:p>
    <w:p>
      <w:pPr>
        <w:pStyle w:val="F21"/>
        <w:rPr/>
      </w:pPr>
      <w:r>
        <w:rPr/>
        <w:tab/>
      </w:r>
      <w:r>
        <w:rPr/>
        <w:t>今天的衝突源自一羣既得利益者壟斷市場和權力，他們要繼續發達，令市民無路可逃。我希望過去多宗衝突就像一盆冷水，令大家清醒一下，不要再只顧賺錢，不要再把香港的社區變成商場。自由行必須受到限制及必須叫停一簽多行，整個問題不止是旅遊業或零售業的發展，而是香港應該如何定位，以及特區政府是否還會以香港人的最佳利益作為所有政策的考慮。</w:t>
      </w:r>
    </w:p>
    <w:p>
      <w:pPr>
        <w:pStyle w:val="F21"/>
        <w:rPr/>
      </w:pPr>
      <w:r>
        <w:rPr/>
      </w:r>
    </w:p>
    <w:p>
      <w:pPr>
        <w:pStyle w:val="F21"/>
        <w:rPr/>
      </w:pPr>
      <w:r>
        <w:rPr/>
        <w:tab/>
      </w:r>
      <w:r>
        <w:rPr/>
        <w:t>謹此陳辭。</w:t>
      </w:r>
    </w:p>
    <w:p>
      <w:pPr>
        <w:pStyle w:val="F21"/>
        <w:rPr>
          <w:rFonts w:cs="Times New Roman"/>
        </w:rPr>
      </w:pPr>
      <w:r>
        <w:rPr>
          <w:rFonts w:cs="Times New Roman"/>
        </w:rPr>
      </w:r>
    </w:p>
    <w:p>
      <w:pPr>
        <w:pStyle w:val="F21"/>
        <w:rPr>
          <w:rFonts w:cs="Times New Roman"/>
        </w:rPr>
      </w:pPr>
      <w:r>
        <w:rPr>
          <w:rFonts w:cs="Times New Roman"/>
        </w:rPr>
      </w:r>
    </w:p>
    <w:p>
      <w:pPr>
        <w:pStyle w:val="F21"/>
        <w:rPr/>
      </w:pPr>
      <w:r>
        <w:rPr>
          <w:rFonts w:ascii="華康中黑體" w:hAnsi="華康中黑體" w:cs="華康中黑體" w:eastAsia="華康中黑體"/>
          <w:b/>
        </w:rPr>
        <w:t>梁君彥議員</w:t>
      </w:r>
      <w:r>
        <w:rPr/>
        <w:t>：主席，我多謝方剛議員提出一項嚴重困擾香港的問題，讓大家在立法會會議上討論。近期，新界各區出現一些反水貨客的示威，有報道指有部分泛民議員亦有參加，對居民和商戶構成滋擾，嚴重打擊香港多年來購物天堂的聲譽，亦影響本地零售、酒店、旅遊、飲食等行業，也破壞了香港的法治和社會安寧。</w:t>
      </w:r>
    </w:p>
    <w:p>
      <w:pPr>
        <w:pStyle w:val="F21"/>
        <w:rPr/>
      </w:pPr>
      <w:r>
        <w:rPr/>
      </w:r>
    </w:p>
    <w:p>
      <w:pPr>
        <w:pStyle w:val="F21"/>
        <w:rPr/>
      </w:pPr>
      <w:r>
        <w:rPr/>
        <w:tab/>
      </w:r>
      <w:r>
        <w:rPr/>
        <w:t>旅遊業對香港經濟甚為重要，我相信在座各位都很清楚，財政司司長在最新一份財政預算案中提到，旅遊業佔本地生產總值約</w:t>
      </w:r>
      <w:r>
        <w:rPr/>
        <w:t>5%</w:t>
      </w:r>
      <w:r>
        <w:rPr/>
        <w:t>，帶動零售及飲食等多個行業發展，聘用最少</w:t>
      </w:r>
      <w:r>
        <w:rPr/>
        <w:t>27</w:t>
      </w:r>
      <w:r>
        <w:rPr/>
        <w:t>萬人。</w:t>
      </w:r>
      <w:r>
        <w:rPr/>
        <w:t>2014</w:t>
      </w:r>
      <w:r>
        <w:rPr/>
        <w:t>年訪港旅客達</w:t>
      </w:r>
      <w:r>
        <w:rPr/>
        <w:t>6 000</w:t>
      </w:r>
      <w:r>
        <w:rPr/>
        <w:t>萬人次，按年增加</w:t>
      </w:r>
      <w:r>
        <w:rPr/>
        <w:t>12%</w:t>
      </w:r>
      <w:r>
        <w:rPr/>
        <w:t>，總消費亦較前一年增長</w:t>
      </w:r>
      <w:r>
        <w:rPr/>
        <w:t>9%</w:t>
      </w:r>
      <w:r>
        <w:rPr/>
        <w:t>，超過</w:t>
      </w:r>
      <w:r>
        <w:rPr/>
        <w:t>3,500</w:t>
      </w:r>
      <w:r>
        <w:rPr/>
        <w:t>億元。</w:t>
      </w:r>
    </w:p>
    <w:p>
      <w:pPr>
        <w:pStyle w:val="F21"/>
        <w:rPr/>
      </w:pPr>
      <w:r>
        <w:rPr/>
      </w:r>
    </w:p>
    <w:p>
      <w:pPr>
        <w:pStyle w:val="F21"/>
        <w:rPr/>
      </w:pPr>
      <w:r>
        <w:rPr/>
        <w:tab/>
      </w:r>
      <w:r>
        <w:rPr/>
        <w:t>過去一年，旅遊和零售業界可謂經歷了漫長的深秋。無論是去年的五一黃金周、端午節假期，以至今年的農曆新年假期，內地旅客數字均錄得按年下跌，即使去年的十一黃金周數字上升，但升幅亦是近數年新低。內地旅行團在</w:t>
      </w:r>
      <w:r>
        <w:rPr/>
        <w:t>2014</w:t>
      </w:r>
      <w:r>
        <w:rPr/>
        <w:t>年全年按年下跌</w:t>
      </w:r>
      <w:r>
        <w:rPr/>
        <w:t>1.8%</w:t>
      </w:r>
      <w:r>
        <w:rPr/>
        <w:t>，</w:t>
      </w:r>
      <w:r>
        <w:rPr/>
        <w:t>2015</w:t>
      </w:r>
      <w:r>
        <w:rPr/>
        <w:t>年首兩個月亦較去年同期下跌</w:t>
      </w:r>
      <w:r>
        <w:rPr/>
        <w:t>4.5%</w:t>
      </w:r>
      <w:r>
        <w:rPr/>
        <w:t>。</w:t>
      </w:r>
    </w:p>
    <w:p>
      <w:pPr>
        <w:pStyle w:val="F21"/>
        <w:rPr/>
      </w:pPr>
      <w:r>
        <w:rPr/>
      </w:r>
    </w:p>
    <w:p>
      <w:pPr>
        <w:pStyle w:val="F21"/>
        <w:rPr/>
      </w:pPr>
      <w:r>
        <w:rPr/>
        <w:tab/>
      </w:r>
      <w:r>
        <w:rPr/>
        <w:t>加上近年很多國家，例如英國、日本、歐洲，甚至美國，都簡化了中國旅客到當地旅遊的簽證安排，因為他們看到中國的出境旅客是未來全球旅遊市場的新增長力量，出境旅遊已成為中國中高端家庭的重要活動，超過</w:t>
      </w:r>
      <w:r>
        <w:rPr/>
        <w:t>70%</w:t>
      </w:r>
      <w:r>
        <w:rPr/>
        <w:t>家庭每年最少安排一次境外遊。</w:t>
      </w:r>
    </w:p>
    <w:p>
      <w:pPr>
        <w:pStyle w:val="F21"/>
        <w:rPr/>
      </w:pPr>
      <w:r>
        <w:rPr/>
      </w:r>
    </w:p>
    <w:p>
      <w:pPr>
        <w:pStyle w:val="F21"/>
        <w:rPr/>
      </w:pPr>
      <w:r>
        <w:rPr/>
        <w:tab/>
      </w:r>
      <w:r>
        <w:rPr/>
        <w:t>零售總銷貨額方面，繼去年年初連續</w:t>
      </w:r>
      <w:r>
        <w:rPr/>
        <w:t>6</w:t>
      </w:r>
      <w:r>
        <w:rPr/>
        <w:t>個月錄得下跌後，今年</w:t>
      </w:r>
      <w:r>
        <w:rPr/>
        <w:t>1</w:t>
      </w:r>
      <w:r>
        <w:rPr/>
        <w:t>月又按年下跌</w:t>
      </w:r>
      <w:r>
        <w:rPr/>
        <w:t>14.6%</w:t>
      </w:r>
      <w:r>
        <w:rPr/>
        <w:t>。海洋公園主席孔令成日前也透露，</w:t>
      </w:r>
      <w:r>
        <w:rPr/>
        <w:t>3</w:t>
      </w:r>
      <w:r>
        <w:rPr/>
        <w:t>月的入場人次按年下跌三成，主要由於澳元、日圓及韓圜等匯率低，被這些國家“吸走”了部分遊客，令整體訪港旅客減少。</w:t>
      </w:r>
    </w:p>
    <w:p>
      <w:pPr>
        <w:pStyle w:val="F21"/>
        <w:spacing w:lineRule="atLeast" w:line="370"/>
        <w:rPr/>
      </w:pPr>
      <w:r>
        <w:rPr/>
      </w:r>
    </w:p>
    <w:p>
      <w:pPr>
        <w:pStyle w:val="F21"/>
        <w:spacing w:lineRule="atLeast" w:line="370"/>
        <w:rPr/>
      </w:pPr>
      <w:r>
        <w:rPr/>
        <w:tab/>
      </w:r>
      <w:r>
        <w:rPr/>
        <w:t>由此可見，香港的旅遊和零售業已面對內憂外患，倘若香港決定為內地旅客人數設限，旅遊和零售業將會面對更大困難，恐怕有部分業界從業員會飯碗不保。</w:t>
      </w:r>
    </w:p>
    <w:p>
      <w:pPr>
        <w:pStyle w:val="F21"/>
        <w:spacing w:lineRule="atLeast" w:line="370"/>
        <w:rPr/>
      </w:pPr>
      <w:r>
        <w:rPr/>
      </w:r>
    </w:p>
    <w:p>
      <w:pPr>
        <w:pStyle w:val="F21"/>
        <w:spacing w:lineRule="atLeast" w:line="370"/>
        <w:rPr/>
      </w:pPr>
      <w:r>
        <w:rPr/>
        <w:tab/>
      </w:r>
      <w:r>
        <w:rPr/>
        <w:t>社會上有聲音指出，香港應着力開拓內地以外的客源，以扭轉過分倚賴內地旅客的局面。其實，我們無必要把兩者置於對立面。事實上，政府和旅遊發展局多年來積極投入推廣新興市場，亦在舉辦各項盛事及增加吸引力方面下了不少工夫，但卻面對一定局限。</w:t>
      </w:r>
    </w:p>
    <w:p>
      <w:pPr>
        <w:pStyle w:val="F21"/>
        <w:spacing w:lineRule="atLeast" w:line="370"/>
        <w:rPr/>
      </w:pPr>
      <w:r>
        <w:rPr/>
      </w:r>
    </w:p>
    <w:p>
      <w:pPr>
        <w:pStyle w:val="F21"/>
        <w:spacing w:lineRule="atLeast" w:line="370"/>
        <w:rPr/>
      </w:pPr>
      <w:r>
        <w:rPr/>
        <w:tab/>
      </w:r>
      <w:r>
        <w:rPr/>
        <w:t>舉例而言，自從迪士尼樂園和昂坪</w:t>
      </w:r>
      <w:r>
        <w:rPr/>
        <w:t>360</w:t>
      </w:r>
      <w:r>
        <w:rPr/>
        <w:t>落成後，這</w:t>
      </w:r>
      <w:r>
        <w:rPr/>
        <w:t>10</w:t>
      </w:r>
      <w:r>
        <w:rPr/>
        <w:t>年間香港沒有添加大型全新景點。酒店方面，過去</w:t>
      </w:r>
      <w:r>
        <w:rPr/>
        <w:t>5</w:t>
      </w:r>
      <w:r>
        <w:rPr/>
        <w:t>年，我們的過夜旅客數目上升了</w:t>
      </w:r>
      <w:r>
        <w:rPr/>
        <w:t>64%</w:t>
      </w:r>
      <w:r>
        <w:rPr/>
        <w:t>，但酒店房間數目只增加了</w:t>
      </w:r>
      <w:r>
        <w:rPr/>
        <w:t>22%</w:t>
      </w:r>
      <w:r>
        <w:rPr/>
        <w:t>，一直未能追上旅客的增長。我們的配套設施亦有很多可以改善的地方，內地年輕中產家庭近年開始流行帶小朋友出國旅行，當局可以考慮增加家庭友善的元素，為旅客提供舒適的旅遊體驗，亦可減少旅客與本地居民之間的種種摩擦。</w:t>
      </w:r>
    </w:p>
    <w:p>
      <w:pPr>
        <w:pStyle w:val="F21"/>
        <w:spacing w:lineRule="atLeast" w:line="370"/>
        <w:rPr/>
      </w:pPr>
      <w:r>
        <w:rPr/>
      </w:r>
    </w:p>
    <w:p>
      <w:pPr>
        <w:pStyle w:val="F21"/>
        <w:spacing w:lineRule="atLeast" w:line="370"/>
        <w:rPr/>
      </w:pPr>
      <w:r>
        <w:rPr/>
        <w:tab/>
      </w:r>
      <w:r>
        <w:rPr/>
        <w:t>主席，雖然財政司司長在今年財政預算案推出了多項支援措施，包括豁免牌照費用、延長或完善中小企融資擔保計劃和中小企業市場推廣基金等，但對於從事零售業的中小企，特別是經營街鋪的微企，面對猶如打游擊戰的反水貨客示威，店鋪只能自認倒楣，默默承受商業損失。</w:t>
      </w:r>
    </w:p>
    <w:p>
      <w:pPr>
        <w:pStyle w:val="F21"/>
        <w:spacing w:lineRule="atLeast" w:line="370"/>
        <w:rPr/>
      </w:pPr>
      <w:r>
        <w:rPr/>
      </w:r>
    </w:p>
    <w:p>
      <w:pPr>
        <w:pStyle w:val="F21"/>
        <w:spacing w:lineRule="atLeast" w:line="370"/>
        <w:rPr/>
      </w:pPr>
      <w:r>
        <w:rPr/>
        <w:tab/>
      </w:r>
      <w:r>
        <w:rPr/>
        <w:t>不少評論認為要妥善處理自由行及一簽多行政策帶來的問題，應該在旅客購物和本地民生之間取得平衡，區分水貨客和其他旅客，並優化及定期檢討一簽多行政策，但正如之前很多議員所說，水貨活動最大的問題在於兩地貨品的價格差異，以及對產品質素的信心問題。大量水貨客滋擾及影響市民日常生活的問題，北區居民首當其衝。然而，香港是一個自由港，水貨在香港並不犯法。保安局局長黎棟國上周回答議員質詢時已指出，從事水貨活動的人士，香港與內地人各佔一半。經民聯認為，如果我們限制內地水貨客，只會令更多香港人投入水貨行業，當水貨客，運送水貨回內地，水貨問題在短期內無法完全解決。儘管如此，政府應在這方面多下工夫，例如加強巡查，與內地有關部門合作，制訂“懷疑水貨客監察名單”，以及作出拘捕和檢控等。</w:t>
      </w:r>
      <w:r>
        <w:br w:type="page"/>
      </w:r>
    </w:p>
    <w:p>
      <w:pPr>
        <w:pStyle w:val="F21"/>
        <w:spacing w:lineRule="atLeast" w:line="370"/>
        <w:rPr/>
      </w:pPr>
      <w:r>
        <w:rPr/>
        <w:tab/>
      </w:r>
      <w:r>
        <w:rPr/>
        <w:t>上述措施都只是治標不治本。要治本，便要為旅客和香港市民提供多些購物的地方。商務及經濟發展局局長早前接受訪問時，表示支持邊境興建購物城，藉以增加本港接待旅客的能力。事實上，經民聯一直提出有關建議，既可方便內地居民購物，紓緩對本地社區的壓力，亦可以把優質創新的本地品牌集中於一地，發揮推廣作用。當然，長遠而言，經民聯認為香港需要增加零售和商業樓面的供應，這才是解決問題的根本。</w:t>
      </w:r>
    </w:p>
    <w:p>
      <w:pPr>
        <w:pStyle w:val="F21"/>
        <w:spacing w:lineRule="atLeast" w:line="370"/>
        <w:rPr/>
      </w:pPr>
      <w:r>
        <w:rPr/>
      </w:r>
    </w:p>
    <w:p>
      <w:pPr>
        <w:pStyle w:val="F21"/>
        <w:spacing w:lineRule="atLeast" w:line="370"/>
        <w:rPr/>
      </w:pPr>
      <w:r>
        <w:rPr/>
        <w:tab/>
      </w:r>
      <w:r>
        <w:rPr/>
        <w:t>經民聯認為，對於任何限制旅客的建議，都必須審慎處理，一旦落實對一簽多行設限，即使用意是打擊走水貨行為，但對於着重形象和信譽的旅遊服務業而言，無可避免會令部分內地旅客收到一個負面信息，就是香港不再歡迎他們。試問這又怎能令他們信服香港仍是好客之都、購物天堂？當局應該與內地政府商討，開放更多自由行城市，以吸引更多高消費力的過夜旅客來港，但任何優化自由行的措施都要顧及中港兩地市民的感受。內地旅客的成分固然複雜，單靠這種二分法亦未必完全準確反映現況，甚至有機會因此而藥石錯投，令業界受累。</w:t>
      </w:r>
    </w:p>
    <w:p>
      <w:pPr>
        <w:pStyle w:val="F21"/>
        <w:spacing w:lineRule="atLeast" w:line="370"/>
        <w:rPr/>
      </w:pPr>
      <w:r>
        <w:rPr/>
      </w:r>
    </w:p>
    <w:p>
      <w:pPr>
        <w:pStyle w:val="F21"/>
        <w:spacing w:lineRule="atLeast" w:line="370"/>
        <w:rPr/>
      </w:pPr>
      <w:r>
        <w:rPr/>
        <w:tab/>
      </w:r>
      <w:r>
        <w:rPr/>
        <w:t>主席，我提出修正案是因為想令原議案更清晰及容易理解。我支持方剛議員發言時所提及，希望當局會在邊境地區提供更多購物地點，減少純購物旅客帶來的負面影響，亦不會影響市民的日常生活，但並非如字面所說般將內地遊客和本地市民分流。試想一想，如果我們到法國巴黎去，也不希望跟當地市民分流，看不到他們。另一方面，內地居民來港購物，確實令到本地零售業受惠，所以我們必須審慎思考，如何在打擊非法走水貨活動的同時，亦要維持香港旅遊業的可持續發展，保住</w:t>
      </w:r>
      <w:r>
        <w:rPr/>
        <w:t>27</w:t>
      </w:r>
      <w:r>
        <w:rPr/>
        <w:t>萬從業員的飯碗。</w:t>
      </w:r>
    </w:p>
    <w:p>
      <w:pPr>
        <w:pStyle w:val="F21"/>
        <w:spacing w:lineRule="atLeast" w:line="370"/>
        <w:rPr/>
      </w:pPr>
      <w:r>
        <w:rPr/>
      </w:r>
    </w:p>
    <w:p>
      <w:pPr>
        <w:pStyle w:val="F21"/>
        <w:spacing w:lineRule="atLeast" w:line="370"/>
        <w:rPr/>
      </w:pPr>
      <w:r>
        <w:rPr/>
        <w:tab/>
      </w:r>
      <w:r>
        <w:rPr/>
        <w:t>最後，經民聯期望社會各界能就香港旅遊業的發展作出理性討論，小心評估一簽多行的政策調整對各界，尤其是中小企，的影響。作為香港人，大家應當秉承好客精神，團結一致，為香港的共同福祉努力。</w:t>
      </w:r>
    </w:p>
    <w:p>
      <w:pPr>
        <w:pStyle w:val="F21"/>
        <w:spacing w:lineRule="atLeast" w:line="370"/>
        <w:rPr/>
      </w:pPr>
      <w:r>
        <w:rPr/>
      </w:r>
    </w:p>
    <w:p>
      <w:pPr>
        <w:pStyle w:val="F21"/>
        <w:spacing w:lineRule="atLeast" w:line="370"/>
        <w:rPr/>
      </w:pPr>
      <w:r>
        <w:rPr/>
        <w:tab/>
      </w:r>
      <w:r>
        <w:rPr/>
        <w:t>經民聯認為，政府應制訂長遠的旅遊規劃，進一步提升旅客接待能力，從而把餅造大，創造更多經濟價值，切合不同旅客的需要，吸引高端旅客。</w:t>
      </w:r>
    </w:p>
    <w:p>
      <w:pPr>
        <w:pStyle w:val="F21"/>
        <w:spacing w:lineRule="atLeast" w:line="370"/>
        <w:rPr/>
      </w:pPr>
      <w:r>
        <w:rPr/>
      </w:r>
    </w:p>
    <w:p>
      <w:pPr>
        <w:pStyle w:val="F21"/>
        <w:spacing w:lineRule="atLeast" w:line="370"/>
        <w:rPr/>
      </w:pPr>
      <w:r>
        <w:rPr/>
        <w:tab/>
      </w:r>
      <w:r>
        <w:rPr/>
        <w:t>主席，我謹此陳辭。</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spacing w:lineRule="atLeast" w:line="370"/>
        <w:rPr/>
      </w:pPr>
      <w:r>
        <w:rPr>
          <w:rFonts w:eastAsia="華康中黑體"/>
          <w:b/>
        </w:rPr>
        <w:t>葉劉淑儀議員</w:t>
      </w:r>
      <w:r>
        <w:rPr/>
        <w:t>：主席，瘋狂的水貨客行動有如螞蟻搬家，對鄰近邊境地區的居民造成不便，近年的確困擾香港社會。尤其是最近一連串粗暴反水貨行為，令這個問題成為社會的焦點。今天本會就這議題進行議案辯論，而修正案亦多達</w:t>
      </w:r>
      <w:r>
        <w:rPr/>
        <w:t>11</w:t>
      </w:r>
      <w:r>
        <w:rPr/>
        <w:t>項。</w:t>
      </w:r>
    </w:p>
    <w:p>
      <w:pPr>
        <w:pStyle w:val="F21"/>
        <w:spacing w:lineRule="atLeast" w:line="370"/>
        <w:rPr/>
      </w:pPr>
      <w:r>
        <w:rPr/>
      </w:r>
    </w:p>
    <w:p>
      <w:pPr>
        <w:pStyle w:val="F21"/>
        <w:spacing w:lineRule="atLeast" w:line="370"/>
        <w:rPr/>
      </w:pPr>
      <w:r>
        <w:rPr/>
        <w:tab/>
      </w:r>
      <w:r>
        <w:rPr/>
        <w:t>主席，我們必須認清數點，第一，水貨這種生意的本質；第二，剛才很多同事提出措施，例如“一刀切”取消一簽多行、限制自由行、“一簽若干行”，或徵收入境稅和離境稅等，我認為他們都未能客觀理性地分析水貨問題。</w:t>
      </w:r>
    </w:p>
    <w:p>
      <w:pPr>
        <w:pStyle w:val="F21"/>
        <w:spacing w:lineRule="atLeast" w:line="370"/>
        <w:rPr/>
      </w:pPr>
      <w:r>
        <w:rPr/>
      </w:r>
    </w:p>
    <w:p>
      <w:pPr>
        <w:pStyle w:val="F21"/>
        <w:spacing w:lineRule="atLeast" w:line="370"/>
        <w:rPr/>
      </w:pPr>
      <w:r>
        <w:rPr/>
        <w:tab/>
      </w:r>
      <w:r>
        <w:rPr/>
        <w:t>首先，我們要明白水貨是自由貿易的一部分，人人都買過水貨。誘發香港出現大量瘋狂水貨貿易現象的因素是兩地的貨物有差價，加上人民幣強勢及香港貨品商譽好，水貨活動更甚。其實，對於香港貨品商譽好，能夠吸引顧客，我們應引以為傲。</w:t>
      </w:r>
    </w:p>
    <w:p>
      <w:pPr>
        <w:pStyle w:val="F21"/>
        <w:spacing w:lineRule="atLeast" w:line="370"/>
        <w:rPr/>
      </w:pPr>
      <w:r>
        <w:rPr/>
      </w:r>
    </w:p>
    <w:p>
      <w:pPr>
        <w:pStyle w:val="F21"/>
        <w:spacing w:lineRule="atLeast" w:line="370"/>
        <w:rPr/>
      </w:pPr>
      <w:r>
        <w:rPr/>
        <w:tab/>
      </w:r>
      <w:r>
        <w:rPr/>
        <w:t>第二，我覺得多位同事提出的建議，把數個大問題混為一談，包括自由行、一簽多行、打壓水貨的有效措施、香港旅遊業有否足夠承載力，以及區域合作。首先，我們要清晰了解，在一簽多行旅客中，多少人從事水貨活動。如我們“一刀切”取消一簽多行或限制他們每天或每年來港的次數，讓內地人或深圳人不能來港，難道香港人不會從事水貨活動？</w:t>
      </w:r>
    </w:p>
    <w:p>
      <w:pPr>
        <w:pStyle w:val="F21"/>
        <w:spacing w:lineRule="atLeast" w:line="370"/>
        <w:rPr/>
      </w:pPr>
      <w:r>
        <w:rPr/>
      </w:r>
    </w:p>
    <w:p>
      <w:pPr>
        <w:pStyle w:val="F21"/>
        <w:spacing w:lineRule="atLeast" w:line="370"/>
        <w:rPr/>
      </w:pPr>
      <w:r>
        <w:rPr/>
      </w:r>
    </w:p>
    <w:p>
      <w:pPr>
        <w:pStyle w:val="Normal"/>
        <w:widowControl/>
        <w:spacing w:lineRule="atLeast" w:line="370"/>
        <w:jc w:val="left"/>
        <w:rPr>
          <w:spacing w:val="20"/>
          <w:sz w:val="27"/>
          <w:szCs w:val="27"/>
        </w:rPr>
      </w:pPr>
      <w:r>
        <w:rPr>
          <w:spacing w:val="20"/>
          <w:sz w:val="27"/>
          <w:szCs w:val="27"/>
        </w:rPr>
        <w:t>(</w:t>
      </w:r>
      <w:r>
        <w:rPr>
          <w:spacing w:val="20"/>
          <w:sz w:val="27"/>
          <w:szCs w:val="27"/>
        </w:rPr>
        <w:t>代理主席梁君彥議員代為主持會議</w:t>
      </w:r>
      <w:r>
        <w:rPr>
          <w:spacing w:val="20"/>
          <w:sz w:val="27"/>
          <w:szCs w:val="27"/>
        </w:rPr>
        <w:t>)</w:t>
      </w:r>
    </w:p>
    <w:p>
      <w:pPr>
        <w:pStyle w:val="F21"/>
        <w:spacing w:lineRule="atLeast" w:line="370"/>
        <w:rPr>
          <w:szCs w:val="26"/>
        </w:rPr>
      </w:pPr>
      <w:r>
        <w:rPr>
          <w:szCs w:val="26"/>
        </w:rPr>
      </w:r>
    </w:p>
    <w:p>
      <w:pPr>
        <w:pStyle w:val="F21"/>
        <w:spacing w:lineRule="atLeast" w:line="370"/>
        <w:rPr/>
      </w:pPr>
      <w:r>
        <w:rPr/>
      </w:r>
    </w:p>
    <w:p>
      <w:pPr>
        <w:pStyle w:val="F21"/>
        <w:spacing w:lineRule="atLeast" w:line="370"/>
        <w:rPr/>
      </w:pPr>
      <w:r>
        <w:rPr/>
        <w:tab/>
      </w:r>
      <w:r>
        <w:rPr/>
        <w:t>在過往經濟低迷及失業率高企的時候，很多香港市民從事水貨活動。過往、現在及將來的情況都一樣。如遏止內地人從事水貨行為，卻適逢經濟欠佳，失業率高企，居住在上水或鄰近邊境地方的婦女、失業人士或工作量不足的人都會從事水貨行為，何樂而不為？“長毛”議員說過，不要打擊水貨客，因為他們都是香港的弱勢社羣。</w:t>
      </w:r>
    </w:p>
    <w:p>
      <w:pPr>
        <w:pStyle w:val="F21"/>
        <w:spacing w:lineRule="atLeast" w:line="370"/>
        <w:rPr/>
      </w:pPr>
      <w:r>
        <w:rPr/>
      </w:r>
    </w:p>
    <w:p>
      <w:pPr>
        <w:pStyle w:val="F21"/>
        <w:spacing w:lineRule="atLeast" w:line="370"/>
        <w:rPr/>
      </w:pPr>
      <w:r>
        <w:rPr/>
        <w:tab/>
      </w:r>
      <w:r>
        <w:rPr/>
        <w:t>即使取消一簽多行，能否完全遏止內地人因有利可圖而來港做水貨生意？我相信姚思榮議員亦知道，內地近年流行一種“</w:t>
      </w:r>
      <w:r>
        <w:rPr/>
        <w:t>L</w:t>
      </w:r>
      <w:r>
        <w:rPr/>
        <w:t xml:space="preserve">簽注” </w:t>
      </w:r>
      <w:r>
        <w:rPr>
          <w:rFonts w:ascii="Symbol" w:hAnsi="Symbol" w:cs="Symbol" w:eastAsia="Symbol"/>
        </w:rPr>
        <w:t></w:t>
      </w:r>
      <w:r>
        <w:rPr/>
        <w:t xml:space="preserve"> </w:t>
      </w:r>
      <w:r>
        <w:rPr>
          <w:szCs w:val="27"/>
        </w:rPr>
        <w:t>“</w:t>
      </w:r>
      <w:r>
        <w:rPr/>
        <w:t>旅遊簽注</w:t>
      </w:r>
      <w:r>
        <w:rPr>
          <w:i/>
        </w:rPr>
        <w:t>(</w:t>
      </w:r>
      <w:r>
        <w:rPr>
          <w:i/>
        </w:rPr>
        <w:t>普通話</w:t>
      </w:r>
      <w:r>
        <w:rPr>
          <w:i/>
        </w:rPr>
        <w:t>)</w:t>
      </w:r>
      <w:r>
        <w:rPr>
          <w:szCs w:val="27"/>
        </w:rPr>
        <w:t>”</w:t>
      </w:r>
      <w:r>
        <w:rPr/>
        <w:t xml:space="preserve"> </w:t>
      </w:r>
      <w:r>
        <w:rPr>
          <w:rFonts w:eastAsia="Symbol" w:cs="Symbol" w:ascii="Symbol" w:hAnsi="Symbol"/>
        </w:rPr>
        <w:t></w:t>
      </w:r>
      <w:r>
        <w:rPr/>
        <w:t xml:space="preserve"> </w:t>
      </w:r>
      <w:r>
        <w:rPr/>
        <w:t>不足</w:t>
      </w:r>
      <w:r>
        <w:rPr/>
        <w:t>3</w:t>
      </w:r>
      <w:r>
        <w:rPr/>
        <w:t>人也能成團。現時深圳口岸相當寬鬆，一人亦可持“</w:t>
      </w:r>
      <w:r>
        <w:rPr/>
        <w:t>L</w:t>
      </w:r>
      <w:r>
        <w:rPr/>
        <w:t>簽注”來港，手續已經簡化。水貨活動以另一種形式復活，難道當局又要打壓？</w:t>
      </w:r>
      <w:r>
        <w:br w:type="page"/>
      </w:r>
    </w:p>
    <w:p>
      <w:pPr>
        <w:pStyle w:val="F21"/>
        <w:rPr/>
      </w:pPr>
      <w:r>
        <w:rPr/>
        <w:tab/>
      </w:r>
      <w:r>
        <w:rPr/>
        <w:t>徵收離境稅或入境稅的建議更不可行。十多年前香港政府出現財赤，當時的財政司司長梁錦松先生提出徵收離境稅。多個部門在進行深入研究後都認為這種收費並不可行，也會影響很多香港居民。我們不可歧視性地規定香港人獲豁免，只向內地人徵稅。</w:t>
      </w:r>
    </w:p>
    <w:p>
      <w:pPr>
        <w:pStyle w:val="F21"/>
        <w:rPr/>
      </w:pPr>
      <w:r>
        <w:rPr/>
      </w:r>
    </w:p>
    <w:p>
      <w:pPr>
        <w:pStyle w:val="F21"/>
        <w:rPr/>
      </w:pPr>
      <w:r>
        <w:rPr/>
        <w:tab/>
      </w:r>
      <w:r>
        <w:rPr/>
        <w:t>徵收入境稅是</w:t>
      </w:r>
      <w:r>
        <w:rPr/>
        <w:t>100</w:t>
      </w:r>
      <w:r>
        <w:rPr/>
        <w:t>多年來從沒在香港發生的事。我覺得此舉有嚴重歧視性，我強烈反對徵收入境稅。正如黃定光議員所說，如香港要徵收入境稅，深圳也會向香港居民徵收入境稅，這樣做才平等。既然大家都奉信人權平等，為何深圳不能向香港居民徵收入境稅？所以，這的確是一個餿主意。</w:t>
      </w:r>
    </w:p>
    <w:p>
      <w:pPr>
        <w:pStyle w:val="F21"/>
        <w:rPr/>
      </w:pPr>
      <w:r>
        <w:rPr/>
      </w:r>
    </w:p>
    <w:p>
      <w:pPr>
        <w:pStyle w:val="F21"/>
        <w:rPr/>
      </w:pPr>
      <w:r>
        <w:rPr/>
        <w:tab/>
      </w:r>
      <w:r>
        <w:rPr/>
        <w:t>至於興建邊境購物城或開放沙頭角，我認為這只是短期權宜措施，不能有效分流。剛才建制派議員與方剛議員討論可否將內地旅客和港人分流。我相信有關人士做到昏迷也未能達致預期效果。如我們在邊境興建購物城或把沙頭角作為水貨集散地，在政策上會出現矛盾。</w:t>
      </w:r>
    </w:p>
    <w:p>
      <w:pPr>
        <w:pStyle w:val="F21"/>
        <w:rPr/>
      </w:pPr>
      <w:r>
        <w:rPr/>
      </w:r>
    </w:p>
    <w:p>
      <w:pPr>
        <w:pStyle w:val="F21"/>
        <w:rPr/>
      </w:pPr>
      <w:r>
        <w:rPr/>
        <w:tab/>
      </w:r>
      <w:r>
        <w:rPr/>
        <w:t>首先，我們要想想，我們的旅遊政策或長遠經濟發展策略，是要增加還是減少水貨生意？從擾民的角度來看，我們要遏止還是增加水貨生意？如擴大水貨貿易的範圍，無論開放沙頭角或在落馬洲或其他地方興建購物城，我們會否加強或擴大水貨行為？對討厭這些水貨客的人來說，這種安排是否妥善？</w:t>
      </w:r>
    </w:p>
    <w:p>
      <w:pPr>
        <w:pStyle w:val="F21"/>
        <w:rPr/>
      </w:pPr>
      <w:r>
        <w:rPr/>
      </w:r>
    </w:p>
    <w:p>
      <w:pPr>
        <w:pStyle w:val="F21"/>
        <w:rPr/>
      </w:pPr>
      <w:r>
        <w:rPr/>
        <w:tab/>
      </w:r>
      <w:r>
        <w:rPr/>
        <w:t>就香港長遠經濟發展而言，水貨貿易是低增值行為，只因目前內地與香港的貨物有差價及香港商譽好才出現這種行為。我相信這種競爭優勢不能長期維持。正如剛才多位議員所說，包括梁君彥議員和姚思榮議員，香港的旅遊業正在走下坡，酒店、旅館及零售方面的數字都正在下跌。</w:t>
      </w:r>
    </w:p>
    <w:p>
      <w:pPr>
        <w:pStyle w:val="F21"/>
        <w:rPr/>
      </w:pPr>
      <w:r>
        <w:rPr/>
      </w:r>
    </w:p>
    <w:p>
      <w:pPr>
        <w:pStyle w:val="F21"/>
        <w:rPr/>
      </w:pPr>
      <w:r>
        <w:rPr/>
        <w:tab/>
      </w:r>
      <w:r>
        <w:rPr/>
        <w:t>昨天，《南華早報》刊登了一篇很有趣的文章，當中分析內地旅客的旅遊消費模式，並表示內地旅客不像我們一樣會拾級而上。我記得小時候，母親先帶我去廣州或澳門旅遊，後來才去新加坡，長大後我便去英國和美國。但現時的內地遊客或中產人士不會這樣做。第一，他們很喜歡在網上自助購票，內地有很多這類網頁。第二，他們富起來了，便喜歡到一些發達國家，如歐洲旅遊。根據昨天《南華早報》的文章對內地旅客數字的分析，對內地旅客來說，香港唯一還有吸引力的地方只是</w:t>
      </w:r>
      <w:r>
        <w:rPr/>
        <w:t>shopping</w:t>
      </w:r>
      <w:r>
        <w:rPr/>
        <w:t>。只有</w:t>
      </w:r>
      <w:r>
        <w:rPr/>
        <w:t>11.6%</w:t>
      </w:r>
      <w:r>
        <w:rPr/>
        <w:t>的內地旅客來港，去年最受歡迎內地旅客的第二個旅遊地點是巴黎，然後是曼谷。</w:t>
      </w:r>
      <w:r>
        <w:br w:type="page"/>
      </w:r>
    </w:p>
    <w:p>
      <w:pPr>
        <w:pStyle w:val="F21"/>
        <w:spacing w:lineRule="atLeast" w:line="370"/>
        <w:rPr/>
      </w:pPr>
      <w:r>
        <w:rPr/>
        <w:tab/>
      </w:r>
      <w:r>
        <w:rPr/>
        <w:t>如香港人再多採取一些趕客措施或歧視別人，我認為水貨問題或自由行造成擠迫、得罪香港人的問題可能已經見頂，不久便會自然解決。有人告訴我，近日內地網頁有一篇很受歡迎的文章，題為“香港是個不值一去地方”。這篇文章的閱覽人數超過</w:t>
      </w:r>
      <w:r>
        <w:rPr/>
        <w:t>500</w:t>
      </w:r>
      <w:r>
        <w:rPr/>
        <w:t>萬，被轉發了</w:t>
      </w:r>
      <w:r>
        <w:rPr/>
        <w:t>24 000</w:t>
      </w:r>
      <w:r>
        <w:rPr/>
        <w:t>次，相關評論近</w:t>
      </w:r>
      <w:r>
        <w:rPr/>
        <w:t>9 000</w:t>
      </w:r>
      <w:r>
        <w:rPr/>
        <w:t>條。我們的歧視、粗暴、踢人行李箱等趕客行為，已在內地引起很大回響。</w:t>
      </w:r>
    </w:p>
    <w:p>
      <w:pPr>
        <w:pStyle w:val="F21"/>
        <w:spacing w:lineRule="atLeast" w:line="370"/>
        <w:rPr/>
      </w:pPr>
      <w:r>
        <w:rPr/>
      </w:r>
    </w:p>
    <w:p>
      <w:pPr>
        <w:pStyle w:val="F21"/>
        <w:spacing w:lineRule="atLeast" w:line="370"/>
        <w:rPr/>
      </w:pPr>
      <w:r>
        <w:rPr/>
        <w:tab/>
      </w:r>
      <w:r>
        <w:rPr/>
        <w:t>社會人士是否真的強烈反對？我們應分辨出在網上看到的激進行為是少數本土派在網上發動的，他們討論自由行和水貨等負面行為，並鼓勵網民提出反對、標籤一些商鋪及組織遊行路線。究竟有多少市民真的罔顧後果，為了一些不便而歧視我們的同胞，要“一刀切”趕絕自由行，罔顧這樣做對經濟造成的打擊？我相信失去理智的市民不多。</w:t>
      </w:r>
    </w:p>
    <w:p>
      <w:pPr>
        <w:pStyle w:val="F21"/>
        <w:spacing w:lineRule="atLeast" w:line="370"/>
        <w:rPr/>
      </w:pPr>
      <w:r>
        <w:rPr/>
      </w:r>
    </w:p>
    <w:p>
      <w:pPr>
        <w:pStyle w:val="F21"/>
        <w:spacing w:lineRule="atLeast" w:line="370"/>
        <w:rPr/>
      </w:pPr>
      <w:r>
        <w:rPr/>
        <w:tab/>
      </w:r>
      <w:r>
        <w:rPr/>
        <w:t>我想提出一些建議；我去年曾就處理水貨和自由行旅遊問題向政府提出建議。第一，特區政府應有長遠和多管齊下的旅遊策略，除了</w:t>
      </w:r>
      <w:r>
        <w:rPr/>
        <w:t>shopping</w:t>
      </w:r>
      <w:r>
        <w:rPr/>
        <w:t>，香港還要發掘一些新景點及新亮點，讓來港的內地同胞不單購買水貨。即使沒有水貨生意，我們還可以做其他旅遊生意。</w:t>
      </w:r>
    </w:p>
    <w:p>
      <w:pPr>
        <w:pStyle w:val="F21"/>
        <w:spacing w:lineRule="atLeast" w:line="370"/>
        <w:rPr/>
      </w:pPr>
      <w:r>
        <w:rPr/>
      </w:r>
    </w:p>
    <w:p>
      <w:pPr>
        <w:pStyle w:val="F21"/>
        <w:spacing w:lineRule="atLeast" w:line="370"/>
        <w:rPr/>
      </w:pPr>
      <w:r>
        <w:rPr/>
        <w:tab/>
      </w:r>
      <w:r>
        <w:rPr/>
        <w:t>第二，關於處理自由行或一簽多行造成擠迫的問題，我們應多利用資訊科技，根據大數據進行分析，以及利用網頁向內地發放消息，讓內地旅客了解並自動分流到他們適合去的地方。第三，對於水貨問題，與其在邊境興建臨時購物城，我們應利用內地很想與我們進行合作的一個平台。廣東省跨境電子商務行業協會多次聯絡我，表示希望與香港對接。他們有補稅區，如把香港貨物賣到那裏，</w:t>
      </w:r>
      <w:r>
        <w:rPr/>
        <w:t>800</w:t>
      </w:r>
      <w:r>
        <w:rPr/>
        <w:t>元以下的商品免稅，還有行遊稅。透過這個平台便可建立龐大的跨境網購生意，當中涉及很多商機，包括電子交收、電子結算、電子認證，還可建立新的物流網絡。這樣做為我們的中小企提供很多商機。長遠來說，不單可以把我們的商品賣去廣東的補稅區，甚至可以賣到全國，甚至寧夏。我們應積極考慮這些新思維。</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pPr>
      <w:r>
        <w:rPr>
          <w:rFonts w:ascii="華康中黑體" w:hAnsi="華康中黑體" w:cs="華康中黑體" w:eastAsia="華康中黑體"/>
          <w:b/>
        </w:rPr>
        <w:t>商務及經濟發展局局長</w:t>
      </w:r>
      <w:r>
        <w:rPr/>
        <w:t>：代理主席，我聆聽了方剛議員及其他議員的意見。方剛議員的議案和數位議員提出的修正案涉及多個政策範疇，包括有關反水貨客示威的執法行動、打擊水貨活動的執法行動、旅遊業發展、交通及零售配套等。儘管當中相當部分的建議並不屬商務及經濟發展局負責的範疇，但我會細心聆聽各位議員的意見，包括在稍後時間的發言，然後代表特區政府作出綜合的回應，以及於會後向相關政策局轉達各位的意見。</w:t>
      </w:r>
    </w:p>
    <w:p>
      <w:pPr>
        <w:pStyle w:val="F21"/>
        <w:rPr/>
      </w:pPr>
      <w:r>
        <w:rPr/>
      </w:r>
    </w:p>
    <w:p>
      <w:pPr>
        <w:pStyle w:val="F21"/>
        <w:spacing w:lineRule="atLeast" w:line="380"/>
        <w:rPr/>
      </w:pPr>
      <w:r>
        <w:rPr/>
        <w:tab/>
      </w:r>
      <w:r>
        <w:rPr/>
        <w:t>首先，關於反水貨客示威行動對旅遊業的影響。旅遊業是本港四大支柱產業之一，佔本地生產總值</w:t>
      </w:r>
      <w:r>
        <w:rPr/>
        <w:t>5%</w:t>
      </w:r>
      <w:r>
        <w:rPr/>
        <w:t>，帶動多個行業發展，聘用</w:t>
      </w:r>
      <w:r>
        <w:rPr/>
        <w:t>27</w:t>
      </w:r>
      <w:r>
        <w:rPr/>
        <w:t>萬人。</w:t>
      </w:r>
      <w:r>
        <w:rPr/>
        <w:t>2014</w:t>
      </w:r>
      <w:r>
        <w:rPr/>
        <w:t>年訪港旅客人數超過</w:t>
      </w:r>
      <w:r>
        <w:rPr/>
        <w:t>6 000</w:t>
      </w:r>
      <w:r>
        <w:rPr/>
        <w:t>萬，較上一年增加</w:t>
      </w:r>
      <w:r>
        <w:rPr/>
        <w:t>12%</w:t>
      </w:r>
      <w:r>
        <w:rPr/>
        <w:t>，總消費增長</w:t>
      </w:r>
      <w:r>
        <w:rPr/>
        <w:t>9%</w:t>
      </w:r>
      <w:r>
        <w:rPr/>
        <w:t>，超過</w:t>
      </w:r>
      <w:r>
        <w:rPr/>
        <w:t>3,500</w:t>
      </w:r>
      <w:r>
        <w:rPr/>
        <w:t>億元。</w:t>
      </w:r>
    </w:p>
    <w:p>
      <w:pPr>
        <w:pStyle w:val="F21"/>
        <w:spacing w:lineRule="atLeast" w:line="380"/>
        <w:rPr/>
      </w:pPr>
      <w:r>
        <w:rPr/>
      </w:r>
    </w:p>
    <w:p>
      <w:pPr>
        <w:pStyle w:val="F21"/>
        <w:spacing w:lineRule="atLeast" w:line="380"/>
        <w:rPr/>
      </w:pPr>
      <w:r>
        <w:rPr/>
        <w:tab/>
      </w:r>
      <w:r>
        <w:rPr/>
        <w:t>旅遊業既然是香港其中一個重要產業，特區政府當然十分重視香港旅遊業的長遠健康發展；與此同時，我們也明白香港社會對於旅客數字持續增長對民生影響的關注，亦尊重市民表達意見的權利。但我們絕不能容忍以暴力行為表達訴求，以致影響市民生活，破壞公眾秩序。正如保安局局長早前於</w:t>
      </w:r>
      <w:r>
        <w:rPr/>
        <w:t>3</w:t>
      </w:r>
      <w:r>
        <w:rPr/>
        <w:t>月</w:t>
      </w:r>
      <w:r>
        <w:rPr/>
        <w:t>9</w:t>
      </w:r>
      <w:r>
        <w:rPr/>
        <w:t>日回應反水貨客示威行動時表示，示威者所採取的行為，包括對路人辱罵、拍打、腳踢及查看隨行物品，以及阻止巴士正常運作等，是完全濫用表達意見的自由，超越法律容許的底線。特區政府對於示威人士的破壞社會秩序行為予以最嚴厲譴責。</w:t>
      </w:r>
    </w:p>
    <w:p>
      <w:pPr>
        <w:pStyle w:val="F21"/>
        <w:spacing w:lineRule="atLeast" w:line="380"/>
        <w:rPr/>
      </w:pPr>
      <w:r>
        <w:rPr/>
      </w:r>
    </w:p>
    <w:p>
      <w:pPr>
        <w:pStyle w:val="F21"/>
        <w:spacing w:lineRule="atLeast" w:line="380"/>
        <w:rPr/>
      </w:pPr>
      <w:r>
        <w:rPr/>
        <w:tab/>
      </w:r>
      <w:r>
        <w:rPr/>
        <w:t>旅遊業界普遍認為，近月反水貨客示威行動已影響旅客來港意欲，嚴重打擊本港的旅遊聲譽。業界同時亦擔心若反水貨客示威行動持續，會令旅客卻步或退團，最終亦會影響本地導遊生計。事實上，有業界人士表示，示威行動已影響了東南亞旅客的訪港意欲。有主要接待東南亞旅客的旅行社表示，今年</w:t>
      </w:r>
      <w:r>
        <w:rPr/>
        <w:t>2</w:t>
      </w:r>
      <w:r>
        <w:rPr/>
        <w:t>月接待旅客按年下跌約兩至三成。香港旅遊業議會近月亦接獲不少東南亞旅行社同業查詢，對最近反水貨客示威行動表示擔憂。酒店業方面，有業界表示在</w:t>
      </w:r>
      <w:r>
        <w:rPr/>
        <w:t>2</w:t>
      </w:r>
      <w:r>
        <w:rPr/>
        <w:t>月至</w:t>
      </w:r>
      <w:r>
        <w:rPr/>
        <w:t>3</w:t>
      </w:r>
      <w:r>
        <w:rPr/>
        <w:t>月期間酒店入住率較去年下跌兩至三成；而以內地旅客為主要客源的賓館，在農曆新年後的入住率更大幅下跌五至六成。零售業方面，有業界人士表示零售業跌幅早於去年逐步浮現，在反水貨客示威影響下，</w:t>
      </w:r>
      <w:r>
        <w:rPr/>
        <w:t>3</w:t>
      </w:r>
      <w:r>
        <w:rPr/>
        <w:t>月至今人流更見疏落；若市道持續低迷，可能要考慮凍薪、凍結人手、甚至關閉店鋪，承受最終打擊的或會是前線銷售人員。</w:t>
      </w:r>
    </w:p>
    <w:p>
      <w:pPr>
        <w:pStyle w:val="F21"/>
        <w:spacing w:lineRule="atLeast" w:line="380"/>
        <w:rPr/>
      </w:pPr>
      <w:r>
        <w:rPr/>
      </w:r>
    </w:p>
    <w:p>
      <w:pPr>
        <w:pStyle w:val="F21"/>
        <w:spacing w:lineRule="atLeast" w:line="380"/>
        <w:rPr/>
      </w:pPr>
      <w:r>
        <w:rPr/>
        <w:tab/>
      </w:r>
      <w:r>
        <w:rPr/>
        <w:t>在政府打擊水貨活動方面，特區政府一直十分關注水貨活動對市民的生活帶來滋擾。有關執法部門已採取多項措施，改善鐵路和口岸的秩序，並因應水貨客的作業模式調整行動策略。香港鐵路有限公司亦全力配合政府的執法工作，並已採取一系列措施限制水貨活動，包括限制乘客攜帶的行李尺寸及重量。</w:t>
      </w:r>
      <w:r>
        <w:br w:type="page"/>
      </w:r>
    </w:p>
    <w:p>
      <w:pPr>
        <w:pStyle w:val="F21"/>
        <w:spacing w:lineRule="atLeast" w:line="380"/>
        <w:rPr/>
      </w:pPr>
      <w:r>
        <w:rPr/>
        <w:tab/>
      </w:r>
      <w:r>
        <w:rPr/>
        <w:t>在增加旅遊、交通及零售設施方面，為了讓旅客能在不同區域、不同角度享受香港，而不會過分集中於傳統旅遊區，我們正根據</w:t>
      </w:r>
      <w:r>
        <w:rPr/>
        <w:t>2013</w:t>
      </w:r>
      <w:r>
        <w:rPr/>
        <w:t>年完成的《香港承受及接待旅客能力評估報告》的建議，積極增加香港的接待能力，當中包括兩個主題公園的擴建及透過推動本港郵輪旅遊的發展，讓旅客有多元化的體驗。我們亦會繼續多管齊下增加酒店房間的供應。我們會繼續密切注視香港各方面的情況，包括訪港旅客數字、各個相關行業，例如零售業、餐飲服務業及酒店業等，以及各個別地區的承受能力等。</w:t>
      </w:r>
    </w:p>
    <w:p>
      <w:pPr>
        <w:pStyle w:val="F21"/>
        <w:spacing w:lineRule="atLeast" w:line="380"/>
        <w:rPr/>
      </w:pPr>
      <w:r>
        <w:rPr/>
      </w:r>
    </w:p>
    <w:p>
      <w:pPr>
        <w:pStyle w:val="F21"/>
        <w:spacing w:lineRule="atLeast" w:line="380"/>
        <w:rPr/>
      </w:pPr>
      <w:r>
        <w:rPr/>
        <w:tab/>
      </w:r>
      <w:r>
        <w:rPr/>
        <w:t>此外，我們亦明白各位議員及市民大眾都十分關心有關優化和完善</w:t>
      </w:r>
      <w:r>
        <w:rPr>
          <w:szCs w:val="27"/>
        </w:rPr>
        <w:t>“</w:t>
      </w:r>
      <w:r>
        <w:rPr/>
        <w:t>個人遊</w:t>
      </w:r>
      <w:r>
        <w:rPr>
          <w:szCs w:val="27"/>
        </w:rPr>
        <w:t>”</w:t>
      </w:r>
      <w:r>
        <w:rPr/>
        <w:t>計劃的工作進度。</w:t>
      </w:r>
    </w:p>
    <w:p>
      <w:pPr>
        <w:pStyle w:val="F21"/>
        <w:spacing w:lineRule="atLeast" w:line="380"/>
        <w:rPr/>
      </w:pPr>
      <w:r>
        <w:rPr/>
      </w:r>
    </w:p>
    <w:p>
      <w:pPr>
        <w:pStyle w:val="F21"/>
        <w:spacing w:lineRule="atLeast" w:line="380"/>
        <w:rPr/>
      </w:pPr>
      <w:r>
        <w:rPr/>
        <w:tab/>
      </w:r>
      <w:r>
        <w:rPr/>
        <w:t>有關優化和完善的措施，由於涉及內地居民的出境政策，特區政府不斷與中央商討，並會繼續向中央政府全面、充分地反映香港社會各方面的意見及最新的情況，包括內地旅客來港的人數、香港整體和各地區的承受能力等，以符合香港的長遠和整體利益。</w:t>
      </w:r>
    </w:p>
    <w:p>
      <w:pPr>
        <w:pStyle w:val="F21"/>
        <w:spacing w:lineRule="atLeast" w:line="380"/>
        <w:rPr/>
      </w:pPr>
      <w:r>
        <w:rPr/>
      </w:r>
    </w:p>
    <w:p>
      <w:pPr>
        <w:pStyle w:val="F21"/>
        <w:spacing w:lineRule="atLeast" w:line="380"/>
        <w:rPr/>
      </w:pPr>
      <w:r>
        <w:rPr/>
        <w:tab/>
      </w:r>
      <w:r>
        <w:rPr/>
        <w:t>接下來，我會細心聆聽各位議員的意見，然後代表政府作出綜合的回應，以及於會後向相關政策局轉達各位的意見。</w:t>
      </w:r>
    </w:p>
    <w:p>
      <w:pPr>
        <w:pStyle w:val="F21"/>
        <w:spacing w:lineRule="atLeast" w:line="380"/>
        <w:rPr/>
      </w:pPr>
      <w:r>
        <w:rPr/>
      </w:r>
    </w:p>
    <w:p>
      <w:pPr>
        <w:pStyle w:val="F21"/>
        <w:spacing w:lineRule="atLeast" w:line="380"/>
        <w:rPr/>
      </w:pPr>
      <w:r>
        <w:rPr/>
        <w:tab/>
      </w:r>
      <w:r>
        <w:rPr/>
        <w:t>不過，代理主席，我想先回應郭家麒議員剛才的部分發言，雖然郭議員現時不在議會內。剛才郭家麒議員針對行政長官的家庭狀況，竟然可以與今天的議題，即“平衡旅遊業對香港經濟和市民的影響”扯上關連。這種論述連個人家庭成員健康狀況也不肯放過，是不必要的。這種論述是否貶低了議員的身份？這是否卑劣的攻擊，即英文所說的</w:t>
      </w:r>
      <w:r>
        <w:rPr/>
        <w:t>cheap shot</w:t>
      </w:r>
      <w:r>
        <w:rPr/>
        <w:t>呢？我請郭家麒議員好好反省。</w:t>
      </w:r>
    </w:p>
    <w:p>
      <w:pPr>
        <w:pStyle w:val="F21"/>
        <w:spacing w:lineRule="atLeast" w:line="380"/>
        <w:rPr/>
      </w:pPr>
      <w:r>
        <w:rPr/>
      </w:r>
    </w:p>
    <w:p>
      <w:pPr>
        <w:pStyle w:val="F21"/>
        <w:spacing w:lineRule="atLeast" w:line="380"/>
        <w:rPr/>
      </w:pPr>
      <w:r>
        <w:rPr/>
        <w:tab/>
      </w:r>
      <w:r>
        <w:rPr/>
        <w:t>多謝代理主席。</w:t>
      </w:r>
    </w:p>
    <w:p>
      <w:pPr>
        <w:pStyle w:val="F21"/>
        <w:spacing w:lineRule="atLeast" w:line="380"/>
        <w:rPr>
          <w:rFonts w:cs="Times New Roman"/>
        </w:rPr>
      </w:pPr>
      <w:r>
        <w:rPr>
          <w:rFonts w:cs="Times New Roman"/>
        </w:rPr>
      </w:r>
    </w:p>
    <w:p>
      <w:pPr>
        <w:pStyle w:val="F21"/>
        <w:spacing w:lineRule="atLeast" w:line="380"/>
        <w:rPr>
          <w:rFonts w:cs="Times New Roman"/>
        </w:rPr>
      </w:pPr>
      <w:r>
        <w:rPr>
          <w:rFonts w:cs="Times New Roman"/>
        </w:rPr>
      </w:r>
    </w:p>
    <w:p>
      <w:pPr>
        <w:pStyle w:val="F21"/>
        <w:spacing w:lineRule="atLeast" w:line="380"/>
        <w:rPr/>
      </w:pPr>
      <w:r>
        <w:rPr>
          <w:rFonts w:ascii="華康中黑體" w:hAnsi="華康中黑體" w:eastAsia="華康中黑體"/>
          <w:b/>
        </w:rPr>
        <w:t>葛珮帆議員</w:t>
      </w:r>
      <w:r>
        <w:rPr/>
        <w:t>：代理主席，香港一直被譽為購物天堂和一級旅遊城市，旅客人數因而年年創新高，亦帶動旅遊業和周邊行業的蓬勃發展。不過，我擔憂上述優勢很快便會減退，因為在近期的反水貨客示威中，示威者先後到旺角、沙田、屯門及元朗等地搗亂，騷擾商店，辱罵旅客，甚至用手推、用腳踢，這些暴力行為已令香港的聲譽大大受損。旅客覺得香港不歡迎他們，他們還會再來嗎？</w:t>
      </w:r>
      <w:r>
        <w:br w:type="page"/>
      </w:r>
    </w:p>
    <w:p>
      <w:pPr>
        <w:pStyle w:val="F21"/>
        <w:rPr/>
      </w:pPr>
      <w:r>
        <w:rPr/>
        <w:tab/>
      </w:r>
      <w:r>
        <w:rPr/>
        <w:t>旅遊業是香港的支柱產業之一，直接支持超過</w:t>
      </w:r>
      <w:r>
        <w:rPr/>
        <w:t>24</w:t>
      </w:r>
      <w:r>
        <w:rPr/>
        <w:t>萬就業人口，對香港的經濟非常重要。驅逐遊客會嚴重影響香港各行各業，如果職位有所減少，受害的只會是香港人。</w:t>
      </w:r>
    </w:p>
    <w:p>
      <w:pPr>
        <w:pStyle w:val="F21"/>
        <w:rPr/>
      </w:pPr>
      <w:r>
        <w:rPr/>
      </w:r>
    </w:p>
    <w:p>
      <w:pPr>
        <w:pStyle w:val="F21"/>
        <w:rPr/>
      </w:pPr>
      <w:r>
        <w:rPr/>
        <w:tab/>
      </w:r>
      <w:r>
        <w:rPr/>
        <w:t>早前一連串的暴力反水貨示威行動，即所謂的“光復行動”，用盡一切方法將旅客趕走，所作所為已令香港大眾忍無可忍，覺得非常厭惡及憤怒。這批反水貨示威者走進藥房叫囂指罵，亦進入商鋪騷擾經營，令店鋪要落閘暫停營業，而每次看到疑似內地旅客便破口大罵及驅趕他們。最令人髮指的是，有人拉扯女警的頭髮、將一對母女團團圍住不停指罵，令該名小孩哭個不停。</w:t>
      </w:r>
    </w:p>
    <w:p>
      <w:pPr>
        <w:pStyle w:val="F21"/>
        <w:rPr/>
      </w:pPr>
      <w:r>
        <w:rPr/>
      </w:r>
    </w:p>
    <w:p>
      <w:pPr>
        <w:pStyle w:val="F21"/>
        <w:rPr/>
      </w:pPr>
      <w:r>
        <w:rPr/>
        <w:tab/>
      </w:r>
      <w:r>
        <w:rPr/>
        <w:t>我強烈譴責這批暴徒的所作所為，他們連長者婦孺都不放過，令香港人蒙羞。雖然他們表面上是反水貨客，但他們一貫本土、“港獨”的言論已顯示，真正的目的是挑起中港矛盾，破壞兩地交流。我再次促請警方嚴正執法，不要放過任何破壞香港治安的不法之徒。</w:t>
      </w:r>
    </w:p>
    <w:p>
      <w:pPr>
        <w:pStyle w:val="F21"/>
        <w:rPr/>
      </w:pPr>
      <w:r>
        <w:rPr/>
      </w:r>
    </w:p>
    <w:p>
      <w:pPr>
        <w:pStyle w:val="F21"/>
        <w:rPr/>
      </w:pPr>
      <w:r>
        <w:rPr/>
        <w:tab/>
      </w:r>
      <w:r>
        <w:rPr/>
        <w:t>代理主席，很無奈，這一連串反水貨示威對經濟造成的影響已逐漸浮現。在過去兩個月，內地入境團較去年同期減少了</w:t>
      </w:r>
      <w:r>
        <w:rPr/>
        <w:t>32%</w:t>
      </w:r>
      <w:r>
        <w:rPr/>
        <w:t>，而酒店入住率亦不斷下跌。有零售店鋪表示，生意已下跌</w:t>
      </w:r>
      <w:r>
        <w:rPr/>
        <w:t>30%</w:t>
      </w:r>
      <w:r>
        <w:rPr/>
        <w:t>至</w:t>
      </w:r>
      <w:r>
        <w:rPr/>
        <w:t>50%</w:t>
      </w:r>
      <w:r>
        <w:rPr/>
        <w:t>，不少商店可能即將倒閉。可是，同期到澳門的內地旅客卻仍然上升，可見旅客不來香港並非完全是由於經濟或內地打貪所致。加上美元持續強勢，歐元和日圓匯率屢創新低，歐洲和日本已經吸走大批內地旅客，如果香港再不想辦法，未來旅遊業可能難免會步入寒冬，直接影響很多家庭的生計。</w:t>
      </w:r>
    </w:p>
    <w:p>
      <w:pPr>
        <w:pStyle w:val="F21"/>
        <w:rPr/>
      </w:pPr>
      <w:r>
        <w:rPr/>
      </w:r>
    </w:p>
    <w:p>
      <w:pPr>
        <w:pStyle w:val="F21"/>
        <w:rPr/>
      </w:pPr>
      <w:r>
        <w:rPr/>
        <w:tab/>
      </w:r>
      <w:r>
        <w:rPr/>
        <w:t>代理主席，泛民議員在屯門反水貨示威後高調召開記者會，斥責示威者使用暴力。范國威議員表示反水貨示威出現“點錯相、鬧錯人”和“誤中副車”的情況，是“幫倒忙”，又說罵錯人便應該道歉，不應“死撐”。我真的想問范國威議員，他的意思是否只要是在香港的內地人，我們便應該圍着他們罵，甚至用暴力將他們趕走？</w:t>
      </w:r>
    </w:p>
    <w:p>
      <w:pPr>
        <w:pStyle w:val="F21"/>
        <w:rPr/>
      </w:pPr>
      <w:r>
        <w:rPr/>
      </w:r>
    </w:p>
    <w:p>
      <w:pPr>
        <w:pStyle w:val="F21"/>
        <w:rPr/>
      </w:pPr>
      <w:r>
        <w:rPr/>
        <w:tab/>
      </w:r>
      <w:r>
        <w:rPr/>
        <w:t>如果那對被圍着指罵的母女真的有購買日用品返回內地，是否便應該受到指罵及恐嚇，而無須向她們道歉呢？范議員的說法等於認同和鼓勵其他人使用暴力，是最不負責任的行為。</w:t>
      </w:r>
    </w:p>
    <w:p>
      <w:pPr>
        <w:pStyle w:val="F21"/>
        <w:rPr/>
      </w:pPr>
      <w:r>
        <w:rPr/>
      </w:r>
    </w:p>
    <w:p>
      <w:pPr>
        <w:pStyle w:val="F21"/>
        <w:rPr/>
      </w:pPr>
      <w:r>
        <w:rPr/>
        <w:tab/>
      </w:r>
      <w:r>
        <w:rPr/>
        <w:t>毛孟靜議員剛才亦表示，這些反水貨暴力行動與她無關，但她忘記了她在</w:t>
      </w:r>
      <w:r>
        <w:rPr/>
        <w:t>2013</w:t>
      </w:r>
      <w:r>
        <w:rPr/>
        <w:t>年與范國威議員成立“香港本土</w:t>
      </w:r>
      <w:bookmarkStart w:id="94" w:name="_GoBack"/>
      <w:bookmarkEnd w:id="94"/>
      <w:r>
        <w:rPr/>
        <w:t>”時，曾組織一些拖行李箱反自由行的行動，又登報控訴自由行和“雙非”，說要從“源頭減人”。這些針對個別羣體、挑起中港矛盾的抗議手法，便是當天所種的因。其後發生佔領運動，香港逐漸演變出一套無視法治、破壞秩序的示威手法，由佔領馬路開始，越來越激進，越來越暴力。</w:t>
      </w:r>
    </w:p>
    <w:p>
      <w:pPr>
        <w:pStyle w:val="F21"/>
        <w:spacing w:lineRule="atLeast" w:line="390"/>
        <w:rPr/>
      </w:pPr>
      <w:r>
        <w:rPr/>
      </w:r>
    </w:p>
    <w:p>
      <w:pPr>
        <w:pStyle w:val="F21"/>
        <w:spacing w:lineRule="atLeast" w:line="390"/>
        <w:rPr/>
      </w:pPr>
      <w:r>
        <w:rPr/>
        <w:tab/>
      </w:r>
      <w:r>
        <w:rPr/>
        <w:t>支持非法佔領運動的泛民主派議員，正是他們有份促成和助長這些激進暴力的示威文化。今天走出來要劃清界線，無疑於點了一把火後離開，然後表示與他們無關，推說不知道那把火會燒毀整個森林。難道這樣便可以撇清他們的責任？</w:t>
      </w:r>
    </w:p>
    <w:p>
      <w:pPr>
        <w:pStyle w:val="F21"/>
        <w:spacing w:lineRule="atLeast" w:line="390"/>
        <w:rPr/>
      </w:pPr>
      <w:r>
        <w:rPr/>
      </w:r>
    </w:p>
    <w:p>
      <w:pPr>
        <w:pStyle w:val="F21"/>
        <w:spacing w:lineRule="atLeast" w:line="390"/>
        <w:rPr/>
      </w:pPr>
      <w:r>
        <w:rPr/>
        <w:tab/>
      </w:r>
      <w:r>
        <w:rPr/>
        <w:t>代理主席，訪港旅客和水貨客影響香港人的日常生活，當然應該檢討和調整，但驅趕遊客又是否解決方法呢？民建聯認為政府可以跟內地協商，將一簽多行改為“一簽若干行”，減少水貨客來港的次數。對於不在港留宿並主要是一天來回購物的旅客，民建聯認為應該興建邊境購物城，分流購物人士。此外，黃定光議員剛才發言時亦提出了民建聯的一系列建議，希望平衡旅遊業的發展和對居民的影響。代理主席，試問暴力和仇恨怎可以解決問題？我們應該回歸理性，從政策層面疏導自由行衍生的影響，做好長遠的旅遊規劃和配套，提高我們的接待能力，吸引高端旅客，這才是長遠之道。</w:t>
      </w:r>
    </w:p>
    <w:p>
      <w:pPr>
        <w:pStyle w:val="F21"/>
        <w:spacing w:lineRule="atLeast" w:line="390"/>
        <w:rPr/>
      </w:pPr>
      <w:r>
        <w:rPr/>
      </w:r>
    </w:p>
    <w:p>
      <w:pPr>
        <w:pStyle w:val="F21"/>
        <w:spacing w:lineRule="atLeast" w:line="390"/>
        <w:rPr/>
      </w:pPr>
      <w:r>
        <w:rPr/>
        <w:tab/>
      </w:r>
      <w:r>
        <w:rPr/>
        <w:t>代理主席，除了很多市民擔憂香港的旅遊業受到打擊外，亦有很多市民擔憂香港的治安和法治問題。面對佔中和反水貨等非法暴力行為，有市民向我表示，認為警方拘捕違法人士的行動太慢，律政司的檢控速度亦太慢，而法官所處的刑罰亦過輕，他們開始對香港的法治和司法制度失去信心。香港的法治基石正被一些法律界學者及知法犯法的議員撼動，這也是社會應該正視的大問題。</w:t>
      </w:r>
    </w:p>
    <w:p>
      <w:pPr>
        <w:pStyle w:val="F21"/>
        <w:spacing w:lineRule="atLeast" w:line="390"/>
        <w:rPr/>
      </w:pPr>
      <w:r>
        <w:rPr/>
      </w:r>
    </w:p>
    <w:p>
      <w:pPr>
        <w:pStyle w:val="F21"/>
        <w:spacing w:lineRule="atLeast" w:line="390"/>
        <w:rPr/>
      </w:pPr>
      <w:r>
        <w:rPr/>
        <w:tab/>
      </w:r>
      <w:r>
        <w:rPr/>
        <w:t>香港的旅遊業和今天的繁榮都是經過數代人努力建設而創造的，得來不易。任何人不論政見如何或對現屆政府甚至國家有任何不滿，都不可以隨便用非法暴力行為破壞香港，守法是每名香港公民的責任。</w:t>
      </w:r>
    </w:p>
    <w:p>
      <w:pPr>
        <w:pStyle w:val="F21"/>
        <w:spacing w:lineRule="atLeast" w:line="390"/>
        <w:rPr/>
      </w:pPr>
      <w:r>
        <w:rPr/>
      </w:r>
    </w:p>
    <w:p>
      <w:pPr>
        <w:pStyle w:val="F21"/>
        <w:spacing w:lineRule="atLeast" w:line="390"/>
        <w:rPr/>
      </w:pPr>
      <w:r>
        <w:rPr/>
        <w:tab/>
      </w:r>
      <w:r>
        <w:rPr/>
        <w:t>破壞容易，建設難，香港人只有珍惜、團結和務實，香港的明天才有希望。</w:t>
      </w:r>
    </w:p>
    <w:p>
      <w:pPr>
        <w:pStyle w:val="F21"/>
        <w:spacing w:lineRule="atLeast" w:line="390"/>
        <w:rPr/>
      </w:pPr>
      <w:r>
        <w:rPr/>
      </w:r>
    </w:p>
    <w:p>
      <w:pPr>
        <w:pStyle w:val="F21"/>
        <w:spacing w:lineRule="atLeast" w:line="390"/>
        <w:rPr/>
      </w:pPr>
      <w:r>
        <w:rPr/>
        <w:tab/>
      </w:r>
      <w:r>
        <w:rPr/>
        <w:t>代理主席，我謹此陳辭。</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rPr/>
      </w:pPr>
      <w:r>
        <w:rPr>
          <w:rFonts w:ascii="華康中黑體" w:hAnsi="華康中黑體" w:cs="華康中黑體" w:eastAsia="華康中黑體"/>
          <w:b/>
        </w:rPr>
        <w:t>潘兆平議員</w:t>
      </w:r>
      <w:r>
        <w:rPr/>
        <w:t>：代理主席，最近元朗及上水一帶有示威者衝擊水貨客，而其他地區亦發生針對內地旅客的行動，在社會引起很大回響。我不支持過激的行動，並譴責當中的暴力行為，但“冰封三呎，非一日之寒”，我們在批評示威者暴力行為的同時，亦必須了解問題的癥結，否則無補於事。</w:t>
      </w:r>
    </w:p>
    <w:p>
      <w:pPr>
        <w:pStyle w:val="F21"/>
        <w:rPr/>
      </w:pPr>
      <w:r>
        <w:rPr/>
      </w:r>
    </w:p>
    <w:p>
      <w:pPr>
        <w:pStyle w:val="F21"/>
        <w:rPr/>
      </w:pPr>
      <w:r>
        <w:rPr/>
        <w:tab/>
      </w:r>
      <w:r>
        <w:rPr/>
        <w:t>早在唐英年先生擔任政務司司長並出席立法會內務委員會的特別會議時，我所屬的港九勞工社團聯會的前立法會議員李鳳英便曾問唐英年先生，大意是政府會否檢討自由行的落實情況，評估自由行對香港市民生活以至中港融合的影響，當時唐英年先生只簡單地回答不會有問題。及後自由行計劃越加發展，至今已擴及全國</w:t>
      </w:r>
      <w:r>
        <w:rPr/>
        <w:t>49</w:t>
      </w:r>
      <w:r>
        <w:rPr/>
        <w:t>個城市，深圳市更實施一簽多行政策。內地人大量來港旅遊，成為香港旅遊業的支柱，並對社會民生造成極大困擾，而這些困擾甚至被人引導成為另一波中港矛盾，從更高層面損害中港關係。</w:t>
      </w:r>
    </w:p>
    <w:p>
      <w:pPr>
        <w:pStyle w:val="F21"/>
        <w:rPr/>
      </w:pPr>
      <w:r>
        <w:rPr/>
      </w:r>
    </w:p>
    <w:p>
      <w:pPr>
        <w:pStyle w:val="F21"/>
        <w:rPr/>
      </w:pPr>
      <w:r>
        <w:rPr/>
        <w:tab/>
      </w:r>
      <w:r>
        <w:rPr/>
        <w:t>現時，社會上有不少意見要求檢討自由行和一簽多行政策，認為香港接待旅客的能力已接近飽和，因此，要限制內地旅客訪港人數，但這說法並不準確。今年</w:t>
      </w:r>
      <w:r>
        <w:rPr/>
        <w:t>1</w:t>
      </w:r>
      <w:r>
        <w:rPr/>
        <w:t>月，商務及經濟發展局局長蘇錦樑先生訪問日本，推廣香港的旅遊業，並擴闊香港旅遊業的客源。當時我們沒有聽到社會批評香港接待旅客的能力已接近飽和，認為商務及經濟發展局局長不應跑到日本開拓旅遊業。讓我們看看</w:t>
      </w:r>
      <w:r>
        <w:rPr>
          <w:rFonts w:cs="新細明體"/>
        </w:rPr>
        <w:t>香港</w:t>
      </w:r>
      <w:r>
        <w:rPr/>
        <w:t>旅遊業的統計資料，</w:t>
      </w:r>
      <w:r>
        <w:rPr/>
        <w:t>2013</w:t>
      </w:r>
      <w:r>
        <w:rPr/>
        <w:t>年共有</w:t>
      </w:r>
      <w:r>
        <w:rPr/>
        <w:t>5 430</w:t>
      </w:r>
      <w:r>
        <w:rPr/>
        <w:t>萬名旅客訪港，去年增至</w:t>
      </w:r>
      <w:r>
        <w:rPr/>
        <w:t>6 080</w:t>
      </w:r>
      <w:r>
        <w:rPr/>
        <w:t>萬人，增加了</w:t>
      </w:r>
      <w:r>
        <w:rPr/>
        <w:t>650</w:t>
      </w:r>
      <w:r>
        <w:rPr/>
        <w:t>萬人。商務及經濟發展局局長在日本接受傳媒訪問時說，歷年來香港的非內地旅客人數維持在</w:t>
      </w:r>
      <w:r>
        <w:rPr/>
        <w:t>1 400</w:t>
      </w:r>
      <w:r>
        <w:rPr/>
        <w:t>萬人，相對穩定。換言之，現時訪港旅客有超過七成半是來自內地，而每年增長的旅客數目亦是來自內地。因此，我們說要檢討自由行，並不是因為香港接待旅客的能力已接近飽和，而是訪港旅客過分單一地集中於內地旅客，造成旅遊業極不健康的發展。市場為迎合內地旅客的需要，與民生相關的商場店鋪亦起了急劇變化，加上內地旅客的生活習慣與香港有異，市民的抵觸情緒自然而生。</w:t>
      </w:r>
    </w:p>
    <w:p>
      <w:pPr>
        <w:pStyle w:val="F21"/>
        <w:rPr/>
      </w:pPr>
      <w:r>
        <w:rPr/>
      </w:r>
    </w:p>
    <w:p>
      <w:pPr>
        <w:pStyle w:val="F21"/>
        <w:rPr>
          <w:rFonts w:cs="新細明體"/>
        </w:rPr>
      </w:pPr>
      <w:r>
        <w:rPr/>
        <w:tab/>
      </w:r>
      <w:r>
        <w:rPr/>
        <w:t>我並不反對國家的自由行政策，這是國家走向開放的必然之路。事</w:t>
      </w:r>
      <w:r>
        <w:rPr>
          <w:rFonts w:cs="新細明體"/>
        </w:rPr>
        <w:t>實上，內地與香港都在自由行政策下互惠互利，問題是如何達至一個適當的比例。國家和香港均在自由行政策下獲得最大的好處，這並不是一項有良好意願，但在實行時卻得到相反效果的政策。</w:t>
      </w:r>
    </w:p>
    <w:p>
      <w:pPr>
        <w:pStyle w:val="F21"/>
        <w:rPr>
          <w:rFonts w:cs="新細明體"/>
        </w:rPr>
      </w:pPr>
      <w:r>
        <w:rPr>
          <w:rFonts w:cs="新細明體"/>
        </w:rPr>
      </w:r>
    </w:p>
    <w:p>
      <w:pPr>
        <w:pStyle w:val="F21"/>
        <w:rPr>
          <w:rFonts w:cs="新細明體"/>
        </w:rPr>
      </w:pPr>
      <w:r>
        <w:rPr>
          <w:rFonts w:cs="新細明體"/>
        </w:rPr>
        <w:tab/>
      </w:r>
      <w:r>
        <w:rPr>
          <w:rFonts w:cs="新細明體"/>
        </w:rPr>
        <w:t>代理主席，一簽多行是便利擁有深圳戶籍的居民來港的措施，這是自由行政策的延伸，亦是港深區域融合的重要一步。區域融合是大勢所趨，社會可以討論如何促進區域融合，共創雙贏，但不能逆時勢而行，築起高牆，把鄰近地區拒諸門外。水貨問題是區域融合中區域經濟差異衍生的自然現象，而水貨活動影響市民的日常生活也是事實。國家工商行政管理總局局長張茅在本月初向傳媒表示，“水貨客的大量採購，既給香港的民眾生活帶來不便，也擠壓了合法企業經營的空間，同時擾亂了內地市場秩序。”換言之，現時的水貨活動對中港兩地均造成損害。</w:t>
      </w:r>
    </w:p>
    <w:p>
      <w:pPr>
        <w:pStyle w:val="F21"/>
        <w:spacing w:lineRule="atLeast" w:line="370"/>
        <w:rPr>
          <w:rFonts w:cs="新細明體"/>
        </w:rPr>
      </w:pPr>
      <w:r>
        <w:rPr>
          <w:rFonts w:cs="新細明體"/>
        </w:rPr>
      </w:r>
    </w:p>
    <w:p>
      <w:pPr>
        <w:pStyle w:val="F21"/>
        <w:spacing w:lineRule="atLeast" w:line="370"/>
        <w:rPr>
          <w:rFonts w:cs="新細明體"/>
        </w:rPr>
      </w:pPr>
      <w:r>
        <w:rPr>
          <w:rFonts w:cs="新細明體"/>
        </w:rPr>
        <w:tab/>
      </w:r>
      <w:r>
        <w:rPr>
          <w:rFonts w:cs="新細明體"/>
        </w:rPr>
        <w:t>代理主席，香港人並不反對水貨，最常見是不少市民到商鋪購買電器，都會選擇購買較便宜的水貨。事實上，現時在港深兩地從事水貨活動的並非全是內地人，也有香港市民。對香港而言，打擊水貨就是要減少走水貨對民生的滋擾，因此，必須加強中港兩地海關通報，攜手合作。最近傳媒報道，有團體打算向城市規劃委員會申請在落馬洲設立邊境購物城，若計劃成功，將可產生分流效應，減少走水貨對民生的滋擾，是一件好事。</w:t>
      </w:r>
    </w:p>
    <w:p>
      <w:pPr>
        <w:pStyle w:val="F21"/>
        <w:spacing w:lineRule="atLeast" w:line="370"/>
        <w:rPr>
          <w:rFonts w:cs="新細明體"/>
        </w:rPr>
      </w:pPr>
      <w:r>
        <w:rPr>
          <w:rFonts w:cs="新細明體"/>
        </w:rPr>
      </w:r>
    </w:p>
    <w:p>
      <w:pPr>
        <w:pStyle w:val="F21"/>
        <w:spacing w:lineRule="atLeast" w:line="370"/>
        <w:rPr>
          <w:rFonts w:cs="Times New Roman"/>
        </w:rPr>
      </w:pPr>
      <w:r>
        <w:rPr>
          <w:rFonts w:cs="新細明體"/>
        </w:rPr>
        <w:tab/>
      </w:r>
      <w:r>
        <w:rPr>
          <w:rFonts w:cs="新細明體"/>
        </w:rPr>
        <w:t>代理主席，我謹此陳辭。</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szCs w:val="27"/>
        </w:rPr>
      </w:pPr>
      <w:r>
        <w:rPr>
          <w:rFonts w:ascii="華康中黑體" w:hAnsi="華康中黑體" w:cs="華康中黑體" w:eastAsia="華康中黑體"/>
          <w:b/>
          <w:szCs w:val="27"/>
        </w:rPr>
        <w:t>田北俊議員</w:t>
      </w:r>
      <w:r>
        <w:rPr>
          <w:szCs w:val="27"/>
        </w:rPr>
        <w:t>：代理主席，香港不少政策當然需要全方位考慮，我對很多事情都抱有比較中庸的看法，不會因我是商界的一分子，或曾出任旅發局主席</w:t>
      </w:r>
      <w:r>
        <w:rPr>
          <w:szCs w:val="27"/>
        </w:rPr>
        <w:t>6</w:t>
      </w:r>
      <w:r>
        <w:rPr>
          <w:szCs w:val="27"/>
        </w:rPr>
        <w:t>年，並考慮到旅發局當年曾大力推廣自由行和一簽多行而站在旅客的一方。我亦是新界東的直選議員，上水、粉嶺的居民全是我的選民，但我亦不會只站在選民一方，單純地認為旅客對香港造成不便而反過來“趕客”。</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覺得旅遊政策應從數個層次來考慮，第一個層次是經濟效益，旅遊業的經濟效益有多大？我認為並非如張超雄議員剛才所說，利益全歸財團所有，或做生意的人賺了很多錢。代理主席，旅遊業是唯一比金融業、地產業</w:t>
      </w:r>
      <w:r>
        <w:rPr>
          <w:szCs w:val="27"/>
        </w:rPr>
        <w:t>(</w:t>
      </w:r>
      <w:r>
        <w:rPr>
          <w:szCs w:val="27"/>
        </w:rPr>
        <w:t>即我經營的行業</w:t>
      </w:r>
      <w:r>
        <w:rPr>
          <w:szCs w:val="27"/>
        </w:rPr>
        <w:t>)</w:t>
      </w:r>
      <w:r>
        <w:rPr>
          <w:szCs w:val="27"/>
        </w:rPr>
        <w:t>或出入口業為基層</w:t>
      </w:r>
      <w:r>
        <w:rPr/>
        <w:t>“</w:t>
      </w:r>
      <w:r>
        <w:rPr>
          <w:szCs w:val="27"/>
        </w:rPr>
        <w:t>打工仔”製造更多就業機會的行業。旅遊從業員不需要擁有高學歷，也不需要豐富的經驗便能入行。為何全球都在推廣旅遊，都希望仿效香港？因為這筆錢最容易賺，而所賺的錢並不是全歸財團所有。有些泛民議員指商場或財團從租金上賺得最多利潤，但我希望他們不要忽略，事實上</w:t>
      </w:r>
      <w:r>
        <w:rPr/>
        <w:t>“</w:t>
      </w:r>
      <w:r>
        <w:rPr>
          <w:szCs w:val="27"/>
        </w:rPr>
        <w:t>打工仔”的底薪加佣金也是一筆可觀的收入。旅遊業亦令整體社會只有</w:t>
      </w:r>
      <w:r>
        <w:rPr>
          <w:szCs w:val="27"/>
        </w:rPr>
        <w:t>3.3%</w:t>
      </w:r>
      <w:r>
        <w:rPr>
          <w:szCs w:val="27"/>
        </w:rPr>
        <w:t>的失業率。財團、業主收到的租金都要納稅，令政府有公帑推行政策。因此，我認為旅遊業為香港帶來的經濟效益非常大。</w:t>
      </w:r>
      <w:r>
        <w:br w:type="page"/>
      </w:r>
    </w:p>
    <w:p>
      <w:pPr>
        <w:pStyle w:val="F21"/>
        <w:spacing w:lineRule="atLeast" w:line="380"/>
        <w:rPr>
          <w:szCs w:val="27"/>
        </w:rPr>
      </w:pPr>
      <w:r>
        <w:rPr>
          <w:szCs w:val="27"/>
        </w:rPr>
        <w:tab/>
        <w:t>2009</w:t>
      </w:r>
      <w:r>
        <w:rPr>
          <w:szCs w:val="27"/>
        </w:rPr>
        <w:t>年，當時我還是旅發局主席，政府表示，除開放</w:t>
      </w:r>
      <w:r>
        <w:rPr>
          <w:szCs w:val="27"/>
        </w:rPr>
        <w:t>49</w:t>
      </w:r>
      <w:r>
        <w:rPr>
          <w:szCs w:val="27"/>
        </w:rPr>
        <w:t>個自由行城市外，由於深圳居民與香港有密切關係，地理位置又非常接近，是否應該有一些特殊安排，令他們能經常前來香港，不需要在自由行的框架內，每</w:t>
      </w:r>
      <w:r>
        <w:rPr>
          <w:szCs w:val="27"/>
        </w:rPr>
        <w:t>3</w:t>
      </w:r>
      <w:r>
        <w:rPr>
          <w:szCs w:val="27"/>
        </w:rPr>
        <w:t>個月來港兩次或</w:t>
      </w:r>
      <w:r>
        <w:rPr>
          <w:szCs w:val="27"/>
        </w:rPr>
        <w:t>6</w:t>
      </w:r>
      <w:r>
        <w:rPr>
          <w:szCs w:val="27"/>
        </w:rPr>
        <w:t>個月來港</w:t>
      </w:r>
      <w:r>
        <w:rPr>
          <w:szCs w:val="27"/>
        </w:rPr>
        <w:t>4</w:t>
      </w:r>
      <w:r>
        <w:rPr>
          <w:szCs w:val="27"/>
        </w:rPr>
        <w:t>次。全國有</w:t>
      </w:r>
      <w:r>
        <w:rPr>
          <w:szCs w:val="27"/>
        </w:rPr>
        <w:t>49</w:t>
      </w:r>
      <w:r>
        <w:rPr>
          <w:szCs w:val="27"/>
        </w:rPr>
        <w:t>個城市納入自由行計劃內，但是否可以對深圳永久性居民作出特別安排？深圳永久性居民約有</w:t>
      </w:r>
      <w:r>
        <w:rPr>
          <w:szCs w:val="27"/>
        </w:rPr>
        <w:t>250</w:t>
      </w:r>
      <w:r>
        <w:rPr>
          <w:szCs w:val="27"/>
        </w:rPr>
        <w:t>萬人，現時有大約</w:t>
      </w:r>
      <w:r>
        <w:rPr>
          <w:szCs w:val="27"/>
        </w:rPr>
        <w:t>150</w:t>
      </w:r>
      <w:r>
        <w:rPr>
          <w:szCs w:val="27"/>
        </w:rPr>
        <w:t>萬人已取得這種簽證。然而，政府表示，以一簽多行來港購物的內地人，最多也是</w:t>
      </w:r>
      <w:r>
        <w:rPr>
          <w:szCs w:val="27"/>
        </w:rPr>
        <w:t>30</w:t>
      </w:r>
      <w:r>
        <w:rPr>
          <w:szCs w:val="27"/>
        </w:rPr>
        <w:t>萬至</w:t>
      </w:r>
      <w:r>
        <w:rPr>
          <w:szCs w:val="27"/>
        </w:rPr>
        <w:t>40</w:t>
      </w:r>
      <w:r>
        <w:rPr>
          <w:szCs w:val="27"/>
        </w:rPr>
        <w:t>萬人，其餘的</w:t>
      </w:r>
      <w:r>
        <w:rPr>
          <w:szCs w:val="27"/>
        </w:rPr>
        <w:t>100</w:t>
      </w:r>
      <w:r>
        <w:rPr>
          <w:szCs w:val="27"/>
        </w:rPr>
        <w:t>多萬取得簽證的人並非人人都是水貨客，每天出入境數次。</w:t>
      </w:r>
    </w:p>
    <w:p>
      <w:pPr>
        <w:pStyle w:val="F21"/>
        <w:spacing w:lineRule="atLeast" w:line="380"/>
        <w:rPr>
          <w:szCs w:val="27"/>
        </w:rPr>
      </w:pPr>
      <w:r>
        <w:rPr>
          <w:szCs w:val="27"/>
        </w:rPr>
      </w:r>
    </w:p>
    <w:p>
      <w:pPr>
        <w:pStyle w:val="F21"/>
        <w:spacing w:lineRule="atLeast" w:line="380"/>
        <w:rPr>
          <w:szCs w:val="27"/>
        </w:rPr>
      </w:pPr>
      <w:r>
        <w:rPr>
          <w:szCs w:val="27"/>
        </w:rPr>
        <w:tab/>
      </w:r>
      <w:r>
        <w:rPr>
          <w:szCs w:val="27"/>
        </w:rPr>
        <w:t>然而，我們也留意到最新的數字顯示，</w:t>
      </w:r>
      <w:r>
        <w:rPr>
          <w:szCs w:val="27"/>
        </w:rPr>
        <w:t>2014</w:t>
      </w:r>
      <w:r>
        <w:rPr>
          <w:szCs w:val="27"/>
        </w:rPr>
        <w:t>年的不過夜內地旅客已達</w:t>
      </w:r>
      <w:r>
        <w:rPr>
          <w:szCs w:val="27"/>
        </w:rPr>
        <w:t>2 800</w:t>
      </w:r>
      <w:r>
        <w:rPr>
          <w:szCs w:val="27"/>
        </w:rPr>
        <w:t>萬名，相比</w:t>
      </w:r>
      <w:r>
        <w:rPr>
          <w:szCs w:val="27"/>
        </w:rPr>
        <w:t>1 900</w:t>
      </w:r>
      <w:r>
        <w:rPr>
          <w:szCs w:val="27"/>
        </w:rPr>
        <w:t>萬名過夜內地旅客還要多。不過夜的</w:t>
      </w:r>
      <w:r>
        <w:rPr>
          <w:szCs w:val="27"/>
        </w:rPr>
        <w:t>2 800‍</w:t>
      </w:r>
      <w:r>
        <w:rPr>
          <w:szCs w:val="27"/>
        </w:rPr>
        <w:t>萬名旅客中，來自深圳的旅客佔</w:t>
      </w:r>
      <w:r>
        <w:rPr>
          <w:szCs w:val="27"/>
        </w:rPr>
        <w:t>1 500</w:t>
      </w:r>
      <w:r>
        <w:rPr>
          <w:szCs w:val="27"/>
        </w:rPr>
        <w:t>萬人次，我認為這是我們需要正視的現象。因為在這組數字中，估計約有</w:t>
      </w:r>
      <w:r>
        <w:rPr>
          <w:szCs w:val="27"/>
        </w:rPr>
        <w:t>1 000</w:t>
      </w:r>
      <w:r>
        <w:rPr>
          <w:szCs w:val="27"/>
        </w:rPr>
        <w:t>萬人是不過夜，純粹是水貨客。對於這一點，自由黨認為應盡量把這</w:t>
      </w:r>
      <w:r>
        <w:rPr>
          <w:szCs w:val="27"/>
        </w:rPr>
        <w:t>1 000</w:t>
      </w:r>
      <w:r>
        <w:rPr>
          <w:szCs w:val="27"/>
        </w:rPr>
        <w:t>萬的數字減至最低。這次人大和政協在北京開會，多位自由黨議員提出一簽十行的提案。為何是十行呢？因為根據內地部門的資料，內地旅客來港的平均數字是一年</w:t>
      </w:r>
      <w:r>
        <w:rPr>
          <w:szCs w:val="27"/>
        </w:rPr>
        <w:t>10</w:t>
      </w:r>
      <w:r>
        <w:rPr>
          <w:szCs w:val="27"/>
        </w:rPr>
        <w:t>次。當然，有些人一年才來數次，有些人卻是一天往來數次，平均數字是一簽十行，而不是一天一行。如果平均一個月也來不了一次，我相信深圳方面會有意見，因為次數太少。究竟中央政府最後的決定為何，我覺得現在要與深圳方面談一談，大家是鄰近城市，香港千萬不要閉門造車，無視深圳，甚至要封殺深圳旅客。若是如此，我們與深圳的關係就不會好。在這方面，希望深圳也能體諒我們，即使不要一年十行，究竟要多少呢？其實，一天一行不算少了，一年有</w:t>
      </w:r>
      <w:r>
        <w:rPr>
          <w:szCs w:val="27"/>
        </w:rPr>
        <w:t>365</w:t>
      </w:r>
      <w:r>
        <w:rPr>
          <w:szCs w:val="27"/>
        </w:rPr>
        <w:t>天，如果每天來一次，我相信香港居民也會有很大意見。</w:t>
      </w:r>
    </w:p>
    <w:p>
      <w:pPr>
        <w:pStyle w:val="F21"/>
        <w:spacing w:lineRule="atLeast" w:line="380"/>
        <w:rPr>
          <w:szCs w:val="27"/>
        </w:rPr>
      </w:pPr>
      <w:r>
        <w:rPr>
          <w:szCs w:val="27"/>
        </w:rPr>
      </w:r>
    </w:p>
    <w:p>
      <w:pPr>
        <w:pStyle w:val="F21"/>
        <w:spacing w:lineRule="atLeast" w:line="380"/>
        <w:rPr>
          <w:szCs w:val="27"/>
        </w:rPr>
      </w:pPr>
      <w:r>
        <w:rPr>
          <w:szCs w:val="27"/>
        </w:rPr>
        <w:tab/>
      </w:r>
      <w:r>
        <w:rPr>
          <w:szCs w:val="27"/>
        </w:rPr>
        <w:t>此外，我非常支持方剛議員所說，要設立邊境購物城。當年我擔任旅發局主席時，為何沒有考慮這些事情呢？因為當時我們希望旅客來香港後能四處遊覽和消費，而不是集中“帶旺”一個地方。但</w:t>
      </w:r>
      <w:r>
        <w:rPr>
          <w:szCs w:val="27"/>
        </w:rPr>
        <w:t>10</w:t>
      </w:r>
      <w:r>
        <w:rPr>
          <w:szCs w:val="27"/>
        </w:rPr>
        <w:t>多年後的今天，香港的情況又有所不同，現在是過分興旺，社會有這些需要，我們當然要進行修訂。修訂後，我們是否可以把購買日常用品的所謂水貨客轉移到邊境購物？這個基本問題，我相信短期內都不能解決，因為內地所有物品的品質令當地居民毫無信心，他們總擔心買回來的東西質量出現問題，即假貨，這並不是價錢問題。所以，我覺得若購物城的建議能被接納，生意將源源不絕，不會數年後就無法繼續經營。</w:t>
      </w:r>
      <w:r>
        <w:br w:type="page"/>
      </w:r>
    </w:p>
    <w:p>
      <w:pPr>
        <w:pStyle w:val="F21"/>
        <w:spacing w:lineRule="atLeast" w:line="370"/>
        <w:rPr>
          <w:szCs w:val="27"/>
        </w:rPr>
      </w:pPr>
      <w:r>
        <w:rPr>
          <w:szCs w:val="27"/>
        </w:rPr>
        <w:tab/>
      </w:r>
      <w:r>
        <w:rPr>
          <w:szCs w:val="27"/>
        </w:rPr>
        <w:t>最後，我想代方剛議員向大家解釋一下，他剛才說的分流不是毛孟靜議員所說，有錢的香港人分流到某處購物，沒錢的內地人則分流到另一地方購物，方議員的提議並非那個概念。方剛議員所說的分流，正是他剛才說的，把水貨客分流到邊境購物，其他真正的自由行旅客，不論是來自上海還是北京，都將繼續在香港社區內，包括中環、銅鑼灣等地區購物，就是這個概念。多謝代理主席。</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pPr>
      <w:r>
        <w:rPr>
          <w:rFonts w:ascii="華康中黑體" w:hAnsi="華康中黑體" w:cs="華康中黑體" w:eastAsia="華康中黑體"/>
          <w:b/>
        </w:rPr>
        <w:t>林健鋒議員</w:t>
      </w:r>
      <w:r>
        <w:rPr/>
        <w:t>：代理主席，我們最近經常聽到水貨客為香港帶來問題，有些人將水貨客的問題完全歸咎於一簽多行和自由行，甚至要求“一刀切”取消一簽多行。</w:t>
      </w:r>
    </w:p>
    <w:p>
      <w:pPr>
        <w:pStyle w:val="F21"/>
        <w:spacing w:lineRule="atLeast" w:line="370"/>
        <w:rPr/>
      </w:pPr>
      <w:r>
        <w:rPr/>
      </w:r>
    </w:p>
    <w:p>
      <w:pPr>
        <w:pStyle w:val="F21"/>
        <w:spacing w:lineRule="atLeast" w:line="370"/>
        <w:rPr/>
      </w:pPr>
      <w:r>
        <w:rPr/>
        <w:tab/>
      </w:r>
      <w:r>
        <w:rPr/>
        <w:t>水貨客無疑影響了本港部分地區居民的生活，政府應該正視和解決有關問題。但是，我們不應該將水貨客與旅客或遊客混為一談。可是，有些別有用心的人和激進組織故意混淆視聽，他們根本不是想解決水貨客現時帶來的問題，而只是想以水貨客的問題來離間港人和內地人的感情。他們的目的，有些只是想攪亂香港，有些是想搞“港獨”。大家看得很清楚，他們這些行為不但影響香港居民，而且最終會令香港的經濟和旅遊業受到損害。大家不要忘記，香港有超過</w:t>
      </w:r>
      <w:r>
        <w:rPr/>
        <w:t>20</w:t>
      </w:r>
      <w:r>
        <w:rPr/>
        <w:t>萬名旅遊從業員，他們的生計會因為這些事件而受影響。</w:t>
      </w:r>
    </w:p>
    <w:p>
      <w:pPr>
        <w:pStyle w:val="F21"/>
        <w:spacing w:lineRule="atLeast" w:line="370"/>
        <w:rPr/>
      </w:pPr>
      <w:r>
        <w:rPr/>
      </w:r>
    </w:p>
    <w:p>
      <w:pPr>
        <w:pStyle w:val="F21"/>
        <w:spacing w:lineRule="atLeast" w:line="370"/>
        <w:rPr/>
      </w:pPr>
      <w:r>
        <w:rPr/>
        <w:tab/>
      </w:r>
      <w:r>
        <w:rPr/>
        <w:t>代理主席，滋事組織將水貨客事件政治化，說自己的行動是光復行動，實際上，他們惹事生非，令遊客不快，滋擾商鋪。他們不管對方是遊客或香港人，見行李箱便踢，見人便罵，連老弱婦孺也不放過，簡直過分。他們的目的，只是要離間港人和內地人的感情，搞分裂，希望令本港和內地切割。香港人身為中國人的一分子，對於這些粗暴的行為，應該予以譴責。</w:t>
      </w:r>
    </w:p>
    <w:p>
      <w:pPr>
        <w:pStyle w:val="F21"/>
        <w:spacing w:lineRule="atLeast" w:line="370"/>
        <w:rPr/>
      </w:pPr>
      <w:r>
        <w:rPr/>
      </w:r>
    </w:p>
    <w:p>
      <w:pPr>
        <w:pStyle w:val="F21"/>
        <w:spacing w:lineRule="atLeast" w:line="370"/>
        <w:rPr/>
      </w:pPr>
      <w:r>
        <w:rPr/>
        <w:tab/>
      </w:r>
      <w:r>
        <w:rPr/>
        <w:t>代理主席，這些人一直以來以水貨客的問題在本港不同的地區搞事，例如示威遊行，高舉龍獅旗，高叫包括“中國人滾返中國”的口號。其實，他們不要忘記，香港是中國的一部分，提出“香港建國”等口號不是搞“港獨”嗎？作為香港人，我們不能接受這種做法；作為中國人，更不能接受他們今次借題發揮，粗暴針對內地遊客的行為。這些行為不但影響社會秩序和香港市民的生活，而且破壞本港的營商環境和好客之都的美譽。如果情況繼續，不但內地遊客不來香港，甚至東南亞，以及全世界的人從電視或網絡上看到香港人會如此對待遊客，人人也會害怕，誰敢來香港？</w:t>
      </w:r>
      <w:r>
        <w:br w:type="page"/>
      </w:r>
    </w:p>
    <w:p>
      <w:pPr>
        <w:pStyle w:val="F21"/>
        <w:spacing w:lineRule="atLeast" w:line="350"/>
        <w:rPr/>
      </w:pPr>
      <w:r>
        <w:rPr/>
        <w:tab/>
      </w:r>
      <w:r>
        <w:rPr/>
        <w:t>商界、旅遊、零售和飲食業等多個行業，以及大部分香港市民也強烈譴責這些行為。那些人以反水貨客為名，攪亂本港為實，我相信他們以這些粗暴，甚至可能是違法的方式來搞事，警方一定要嚴正執法，將他們繩之於法。</w:t>
      </w:r>
    </w:p>
    <w:p>
      <w:pPr>
        <w:pStyle w:val="F21"/>
        <w:spacing w:lineRule="atLeast" w:line="350"/>
        <w:rPr/>
      </w:pPr>
      <w:r>
        <w:rPr/>
      </w:r>
    </w:p>
    <w:p>
      <w:pPr>
        <w:pStyle w:val="F21"/>
        <w:spacing w:lineRule="atLeast" w:line="350"/>
        <w:rPr/>
      </w:pPr>
      <w:r>
        <w:rPr/>
        <w:tab/>
      </w:r>
      <w:r>
        <w:rPr/>
        <w:t>代理主席，自由行是中央在我們最艱苦的時候給我們的，多年來，這項政策有助本港經濟和旅遊業發展，這個事實大家有目共睹。政策在發展過程中出現問題不足為奇，但我們應該針對問題作出改善，各方應該在和諧氣氛中解決問題，避免將問題政治化。至於“一刀切”取消一簽多行的建議，是因噎廢食的做法，只會為香港的經濟帶來很大衝擊。本港無論旅遊、飲食、零食等行業，當中大部分也是中小企，涉及眾多從業員，他們的生計十分依靠旅客的支持。</w:t>
      </w:r>
    </w:p>
    <w:p>
      <w:pPr>
        <w:pStyle w:val="F21"/>
        <w:spacing w:lineRule="atLeast" w:line="350"/>
        <w:rPr/>
      </w:pPr>
      <w:r>
        <w:rPr/>
      </w:r>
    </w:p>
    <w:p>
      <w:pPr>
        <w:pStyle w:val="F21"/>
        <w:spacing w:lineRule="atLeast" w:line="350"/>
        <w:rPr/>
      </w:pPr>
      <w:r>
        <w:rPr/>
        <w:tab/>
      </w:r>
      <w:r>
        <w:rPr/>
        <w:t>代理主席，在北京舉行兩會期間，我曾與國家旅遊局局長碰面，並向他表達我和香港旅遊界對自由行的意見，我相信他們正積極與特區政府、廣東省當局等商討一些方法來解決大家關注的問題。</w:t>
      </w:r>
    </w:p>
    <w:p>
      <w:pPr>
        <w:pStyle w:val="F21"/>
        <w:spacing w:lineRule="atLeast" w:line="350"/>
        <w:rPr/>
      </w:pPr>
      <w:r>
        <w:rPr/>
      </w:r>
    </w:p>
    <w:p>
      <w:pPr>
        <w:pStyle w:val="F21"/>
        <w:spacing w:lineRule="atLeast" w:line="350"/>
        <w:rPr/>
      </w:pPr>
      <w:r>
        <w:rPr/>
        <w:tab/>
      </w:r>
      <w:r>
        <w:rPr/>
        <w:t>代理主席，自由行對香港的影響一直是正面的，自由行應該向前行，而不應走回頭路。我認為本港應該積極配合自由行所衍生的需求，通過加強基礎配套設施來紓緩和解決現時自由行為香港帶來的壓力。</w:t>
      </w:r>
    </w:p>
    <w:p>
      <w:pPr>
        <w:pStyle w:val="F21"/>
        <w:spacing w:lineRule="atLeast" w:line="350"/>
        <w:rPr/>
      </w:pPr>
      <w:r>
        <w:rPr/>
      </w:r>
    </w:p>
    <w:p>
      <w:pPr>
        <w:pStyle w:val="F21"/>
        <w:spacing w:lineRule="atLeast" w:line="350"/>
        <w:rPr/>
      </w:pPr>
      <w:r>
        <w:rPr/>
        <w:tab/>
      </w:r>
      <w:r>
        <w:rPr/>
        <w:t>數天前，有本港發展商建議在邊境地區興建一個購物城，我覺得這個方法有助解決現時面對的一些問題。對於當局對一簽多行“封頂”的說法，我認為一旦就一簽多行制訂限制措施，無可避免地會令部分內地遊客有負面的想法，認為香港不歡迎他們。試問屆時又怎會令他們覺得香港是好客之都，內地當局又會否設下限制，不讓我們前往內地呢？這些問題我們要考慮，既要顧及自己，亦要為別人設想。</w:t>
      </w:r>
    </w:p>
    <w:p>
      <w:pPr>
        <w:pStyle w:val="F21"/>
        <w:spacing w:lineRule="atLeast" w:line="350"/>
        <w:rPr/>
      </w:pPr>
      <w:r>
        <w:rPr/>
      </w:r>
    </w:p>
    <w:p>
      <w:pPr>
        <w:pStyle w:val="F21"/>
        <w:spacing w:lineRule="atLeast" w:line="350"/>
        <w:rPr/>
      </w:pPr>
      <w:r>
        <w:rPr/>
        <w:tab/>
      </w:r>
      <w:r>
        <w:rPr/>
        <w:t>代理主席，其實很多自由行旅客來港一次之後，短期內也不會再來。我們需要想辦法開拓新客源，可以要求中央考慮開放更多城市，例如大連、青島等，吸引高消費和過夜客來港，把香港的旅遊業推向更高增值的方向。</w:t>
      </w:r>
    </w:p>
    <w:p>
      <w:pPr>
        <w:pStyle w:val="F21"/>
        <w:spacing w:lineRule="atLeast" w:line="350"/>
        <w:rPr/>
      </w:pPr>
      <w:r>
        <w:rPr/>
      </w:r>
    </w:p>
    <w:p>
      <w:pPr>
        <w:pStyle w:val="F21"/>
        <w:spacing w:lineRule="atLeast" w:line="350"/>
        <w:rPr/>
      </w:pPr>
      <w:r>
        <w:rPr/>
        <w:tab/>
      </w:r>
      <w:r>
        <w:rPr/>
        <w:t>代理主席，我們也要考慮一下，如果取消自由行，會對香港的經濟、旅遊業和就業帶來甚麼影響。大家應該坐下來解決這個問題，而不是以粗暴的行為對待香港市民和遊客。</w:t>
      </w:r>
    </w:p>
    <w:p>
      <w:pPr>
        <w:pStyle w:val="F21"/>
        <w:spacing w:lineRule="atLeast" w:line="350"/>
        <w:rPr/>
      </w:pPr>
      <w:r>
        <w:rPr/>
      </w:r>
    </w:p>
    <w:p>
      <w:pPr>
        <w:pStyle w:val="F21"/>
        <w:spacing w:lineRule="atLeast" w:line="350"/>
        <w:rPr/>
      </w:pPr>
      <w:r>
        <w:rPr/>
        <w:tab/>
      </w:r>
      <w:r>
        <w:rPr/>
        <w:t>多謝代理主席，我謹此陳辭。</w:t>
      </w:r>
    </w:p>
    <w:p>
      <w:pPr>
        <w:pStyle w:val="F21"/>
        <w:spacing w:lineRule="exact" w:line="20"/>
        <w:rPr>
          <w:rFonts w:cs="Times New Roman"/>
        </w:rPr>
      </w:pPr>
      <w:r>
        <w:rPr>
          <w:rFonts w:cs="Times New Roman"/>
        </w:rPr>
      </w:r>
    </w:p>
    <w:p>
      <w:pPr>
        <w:pStyle w:val="Normal"/>
        <w:widowControl/>
        <w:tabs>
          <w:tab w:val="clear" w:pos="720"/>
        </w:tabs>
        <w:spacing w:lineRule="exact" w:line="20"/>
        <w:jc w:val="left"/>
        <w:rPr>
          <w:spacing w:val="20"/>
          <w:sz w:val="27"/>
          <w:szCs w:val="22"/>
          <w:lang w:val="en-US"/>
        </w:rPr>
      </w:pPr>
      <w:r>
        <w:rPr>
          <w:spacing w:val="20"/>
          <w:sz w:val="27"/>
          <w:szCs w:val="22"/>
          <w:lang w:val="en-US"/>
        </w:rPr>
      </w:r>
      <w:r>
        <w:br w:type="page"/>
      </w:r>
    </w:p>
    <w:p>
      <w:pPr>
        <w:pStyle w:val="F21"/>
        <w:rPr>
          <w:szCs w:val="27"/>
        </w:rPr>
      </w:pPr>
      <w:r>
        <w:rPr>
          <w:rFonts w:ascii="華康中黑體" w:hAnsi="華康中黑體" w:cs="華康中黑體" w:eastAsia="華康中黑體"/>
          <w:b/>
          <w:szCs w:val="27"/>
        </w:rPr>
        <w:t>易志明議員</w:t>
      </w:r>
      <w:r>
        <w:rPr>
          <w:szCs w:val="27"/>
        </w:rPr>
        <w:t>：代理主席，旅遊業是香港四大經濟支柱之一，近年訪港旅客持續增長，</w:t>
      </w:r>
      <w:r>
        <w:rPr>
          <w:szCs w:val="27"/>
        </w:rPr>
        <w:t>2014</w:t>
      </w:r>
      <w:r>
        <w:rPr>
          <w:szCs w:val="27"/>
        </w:rPr>
        <w:t>年整體訪港旅客人數再創新高，達</w:t>
      </w:r>
      <w:r>
        <w:rPr>
          <w:szCs w:val="27"/>
        </w:rPr>
        <w:t>6 000</w:t>
      </w:r>
      <w:r>
        <w:rPr>
          <w:szCs w:val="27"/>
        </w:rPr>
        <w:t>多萬人次，較</w:t>
      </w:r>
      <w:r>
        <w:rPr>
          <w:szCs w:val="27"/>
        </w:rPr>
        <w:t>2013</w:t>
      </w:r>
      <w:r>
        <w:rPr>
          <w:szCs w:val="27"/>
        </w:rPr>
        <w:t>年增加一成多。正如田北俊議員剛才所說，旅遊業蓬勃發展會直接及間接地帶動其他行業的發展，例如零售業、餐飲業，以及我所屬的運輸及物流業，對刺激經濟至為重要。經濟學者林本利先生去年曾就旅遊業的貢獻撰文，指出訪港旅客為香港帶來的經濟貢獻，除了巨額外匯外，更重要的是其所帶來的連鎖效應，進一步刺激私人消費和</w:t>
      </w:r>
      <w:r>
        <w:rPr>
          <w:szCs w:val="27"/>
        </w:rPr>
        <w:t>GDP</w:t>
      </w:r>
      <w:r>
        <w:rPr>
          <w:szCs w:val="27"/>
        </w:rPr>
        <w:t>增長。</w:t>
      </w:r>
    </w:p>
    <w:p>
      <w:pPr>
        <w:pStyle w:val="F21"/>
        <w:rPr>
          <w:szCs w:val="27"/>
        </w:rPr>
      </w:pPr>
      <w:r>
        <w:rPr>
          <w:szCs w:val="27"/>
        </w:rPr>
      </w:r>
    </w:p>
    <w:p>
      <w:pPr>
        <w:pStyle w:val="F21"/>
        <w:rPr>
          <w:szCs w:val="27"/>
        </w:rPr>
      </w:pPr>
      <w:r>
        <w:rPr>
          <w:szCs w:val="27"/>
        </w:rPr>
      </w:r>
    </w:p>
    <w:p>
      <w:pPr>
        <w:pStyle w:val="F21"/>
        <w:rPr>
          <w:szCs w:val="27"/>
        </w:rPr>
      </w:pPr>
      <w:r>
        <w:rPr>
          <w:szCs w:val="27"/>
        </w:rPr>
        <w:t>(</w:t>
      </w:r>
      <w:r>
        <w:rPr>
          <w:szCs w:val="27"/>
        </w:rPr>
        <w:t>主席恢復主持會議</w:t>
      </w:r>
      <w:r>
        <w:rPr>
          <w:szCs w:val="27"/>
        </w:rPr>
        <w:t>)</w:t>
      </w:r>
    </w:p>
    <w:p>
      <w:pPr>
        <w:pStyle w:val="F21"/>
        <w:rPr>
          <w:szCs w:val="27"/>
        </w:rPr>
      </w:pPr>
      <w:r>
        <w:rPr>
          <w:szCs w:val="27"/>
        </w:rPr>
      </w:r>
    </w:p>
    <w:p>
      <w:pPr>
        <w:pStyle w:val="F21"/>
        <w:rPr>
          <w:szCs w:val="27"/>
        </w:rPr>
      </w:pPr>
      <w:r>
        <w:rPr>
          <w:szCs w:val="27"/>
        </w:rPr>
      </w:r>
    </w:p>
    <w:p>
      <w:pPr>
        <w:pStyle w:val="F21"/>
        <w:rPr>
          <w:szCs w:val="27"/>
        </w:rPr>
      </w:pPr>
      <w:r>
        <w:rPr>
          <w:szCs w:val="27"/>
        </w:rPr>
        <w:tab/>
      </w:r>
      <w:r>
        <w:rPr>
          <w:szCs w:val="27"/>
        </w:rPr>
        <w:t>但是，近數星期以來，一些打着旗號針對內地旅客、自由行或水貨客的激進示威行為，不單對旅客造成滋擾，更嚴重打擊香港的國際聲譽及旅遊形象。事實上，該等激進和不文明的行為已令部分旅客對香港卻步，近日內地旅客連帶其他國家的旅客人數均顯著減少，購物區的零售店鋪亦明顯較以前冷清。如果旅客持續減少，將對本港的經濟發展及就業市場帶來負面影響。</w:t>
      </w:r>
    </w:p>
    <w:p>
      <w:pPr>
        <w:pStyle w:val="F21"/>
        <w:rPr>
          <w:szCs w:val="27"/>
        </w:rPr>
      </w:pPr>
      <w:r>
        <w:rPr>
          <w:szCs w:val="27"/>
        </w:rPr>
      </w:r>
    </w:p>
    <w:p>
      <w:pPr>
        <w:pStyle w:val="F21"/>
        <w:rPr>
          <w:szCs w:val="27"/>
        </w:rPr>
      </w:pPr>
      <w:r>
        <w:rPr>
          <w:szCs w:val="27"/>
        </w:rPr>
        <w:tab/>
      </w:r>
      <w:r>
        <w:rPr>
          <w:szCs w:val="27"/>
        </w:rPr>
        <w:t>對於違法的滋事分子，警方固然要加強執法，以保障旅客安全；與此同時，正如方剛議員所說，政府有必要盡快改善旅遊相關設施。事實上，鑒於旅遊業對經濟帶來的貢獻，鄰近地區均積極發展旅遊業，藉以在旅遊市場分一杯羹。香港既然擁有購物天堂及美食之都的美譽，亦具有發展旅遊業的條件，我們應努力提升香港的旅遊競爭力，並增加承載量及接待能力。我們沒有理由把旅客拒諸門外，把香港作為區內旅遊樞紐的地位拱手相讓。</w:t>
      </w:r>
    </w:p>
    <w:p>
      <w:pPr>
        <w:pStyle w:val="F21"/>
        <w:rPr>
          <w:szCs w:val="27"/>
        </w:rPr>
      </w:pPr>
      <w:r>
        <w:rPr>
          <w:szCs w:val="27"/>
        </w:rPr>
      </w:r>
    </w:p>
    <w:p>
      <w:pPr>
        <w:pStyle w:val="F21"/>
        <w:rPr>
          <w:szCs w:val="27"/>
        </w:rPr>
      </w:pPr>
      <w:r>
        <w:rPr>
          <w:szCs w:val="27"/>
        </w:rPr>
        <w:tab/>
      </w:r>
      <w:r>
        <w:rPr>
          <w:szCs w:val="27"/>
        </w:rPr>
        <w:t>近年，環球經濟不景，歐洲及美國的經濟發展步伐緩慢，在經濟發展東移下，內地成為全球經濟發展的焦點。國家不斷推動經濟發展，內地居民的消費力亦相應提升，世界各國均視內地旅客為推動經濟的動力，為了爭奪這個擁有</w:t>
      </w:r>
      <w:r>
        <w:rPr>
          <w:szCs w:val="27"/>
        </w:rPr>
        <w:t>13</w:t>
      </w:r>
      <w:r>
        <w:rPr>
          <w:szCs w:val="27"/>
        </w:rPr>
        <w:t>億人口的旅遊客源，亦相繼放寬對內地旅客的簽證限制。由於香港與內地的緊密關係，香港才能在早於</w:t>
      </w:r>
      <w:r>
        <w:rPr>
          <w:szCs w:val="27"/>
        </w:rPr>
        <w:t>2003</w:t>
      </w:r>
      <w:r>
        <w:rPr>
          <w:szCs w:val="27"/>
        </w:rPr>
        <w:t>年便受惠於內地推出的個人遊計劃，亦令當時本港低迷的經濟迅速從谷底反彈。</w:t>
      </w:r>
    </w:p>
    <w:p>
      <w:pPr>
        <w:pStyle w:val="F21"/>
        <w:rPr>
          <w:szCs w:val="27"/>
        </w:rPr>
      </w:pPr>
      <w:r>
        <w:rPr>
          <w:szCs w:val="27"/>
        </w:rPr>
      </w:r>
    </w:p>
    <w:p>
      <w:pPr>
        <w:pStyle w:val="F21"/>
        <w:rPr>
          <w:szCs w:val="27"/>
        </w:rPr>
      </w:pPr>
      <w:r>
        <w:rPr>
          <w:szCs w:val="27"/>
        </w:rPr>
        <w:tab/>
      </w:r>
      <w:r>
        <w:rPr>
          <w:szCs w:val="27"/>
        </w:rPr>
        <w:t>個人遊計劃推出至今已</w:t>
      </w:r>
      <w:r>
        <w:rPr>
          <w:szCs w:val="27"/>
        </w:rPr>
        <w:t>10</w:t>
      </w:r>
      <w:r>
        <w:rPr>
          <w:szCs w:val="27"/>
        </w:rPr>
        <w:t>多年，所涵蓋的內地城市不斷增加至今天的</w:t>
      </w:r>
      <w:r>
        <w:rPr>
          <w:szCs w:val="27"/>
        </w:rPr>
        <w:t>49</w:t>
      </w:r>
      <w:r>
        <w:rPr>
          <w:szCs w:val="27"/>
        </w:rPr>
        <w:t>個。該計劃在</w:t>
      </w:r>
      <w:r>
        <w:rPr>
          <w:szCs w:val="27"/>
        </w:rPr>
        <w:t>2009</w:t>
      </w:r>
      <w:r>
        <w:rPr>
          <w:szCs w:val="27"/>
        </w:rPr>
        <w:t>年更進一步放寬，讓合資格的深圳戶籍居民可透過一簽多行多次來港，令個人遊旅客佔內地訪港旅客由不足一成增至現時近七成。今天本港的內地旅客人數佔整體旅客人數七成七，是本港旅遊業最龐大的客源，但內地旅客來港人數的增幅、留港時間及人均消費均有放緩跡象，可見香港對內地旅客的吸引力正逐漸消減。</w:t>
      </w:r>
    </w:p>
    <w:p>
      <w:pPr>
        <w:pStyle w:val="F21"/>
        <w:spacing w:lineRule="atLeast" w:line="370"/>
        <w:rPr>
          <w:szCs w:val="27"/>
        </w:rPr>
      </w:pPr>
      <w:r>
        <w:rPr>
          <w:szCs w:val="27"/>
        </w:rPr>
      </w:r>
    </w:p>
    <w:p>
      <w:pPr>
        <w:pStyle w:val="F21"/>
        <w:spacing w:lineRule="atLeast" w:line="370"/>
        <w:rPr>
          <w:szCs w:val="27"/>
        </w:rPr>
      </w:pPr>
      <w:r>
        <w:rPr>
          <w:szCs w:val="27"/>
        </w:rPr>
        <w:tab/>
      </w:r>
      <w:r>
        <w:rPr>
          <w:szCs w:val="27"/>
        </w:rPr>
        <w:t>事實上，自由黨過往已多次向政府表示需要增加旅遊景點，例如在大嶼山興建一個綜合消閒博彩娛樂中心、增加新主題公園等，藉以對不斷增加的旅客起分流作用，亦令旅客的消費多元化，而非只集中於購物。可是，政府沒有接納這些建議，而增設新旅遊景點的步伐又極度緩慢，導致香港欠缺旅遊設施，來來去去只有香港迪士尼樂園和海洋公園這兩大主題公園。反觀我們的競爭對手新加坡，當年政府沒有採納的賭場及環球影城，現已落戶新加坡，為其旅遊產品增添元素。由於新加坡積極發展旅遊配套，現時它在全球旅遊業可持續發展排行第三位，而香港只是排行第三十七位，實在望塵莫及。</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在眾多內地旅客之中，只有一少撮人從事水貨活動，我們實在不應為內地水貨客和內地旅客劃上等號，並採取“一刀切”措施，取消一簽多行。但是，香港的旅遊基建及配套不足亦是不爭事實，甚至可以說是落後於其他毗鄰地區。因此，當局必須急起直追，開拓更多新旅遊景點；與此同時，政府應就旅客的增長進行全面評估，再就問題對症下藥，為香港的旅遊業作長遠規劃，才能有效地提升香港的旅遊競爭力，促進經濟發展，並減少矛盾衝突的發生。</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主席，我謹此陳辭。</w:t>
      </w:r>
    </w:p>
    <w:p>
      <w:pPr>
        <w:pStyle w:val="F21"/>
        <w:spacing w:lineRule="atLeast" w:line="370"/>
        <w:rPr>
          <w:rFonts w:cs="Times New Roman"/>
        </w:rPr>
      </w:pPr>
      <w:r>
        <w:rPr>
          <w:rFonts w:cs="Times New Roman"/>
        </w:rPr>
      </w:r>
    </w:p>
    <w:p>
      <w:pPr>
        <w:pStyle w:val="F21"/>
        <w:spacing w:lineRule="atLeast" w:line="370"/>
        <w:rPr>
          <w:rFonts w:cs="Times New Roman"/>
        </w:rPr>
      </w:pPr>
      <w:r>
        <w:rPr>
          <w:rFonts w:cs="Times New Roman"/>
        </w:rPr>
      </w:r>
    </w:p>
    <w:p>
      <w:pPr>
        <w:pStyle w:val="F21"/>
        <w:spacing w:lineRule="atLeast" w:line="370"/>
        <w:rPr/>
      </w:pPr>
      <w:r>
        <w:rPr>
          <w:rFonts w:ascii="華康中黑體" w:hAnsi="華康中黑體" w:cs="華康中黑體" w:eastAsia="華康中黑體"/>
          <w:b/>
        </w:rPr>
        <w:t>李卓人議員</w:t>
      </w:r>
      <w:r>
        <w:rPr/>
        <w:t>：主席，我們工黨的修正案，即張超雄議員的修正案，刪除了原議案開頭的一大段文字。建制派議員在發言時往往會提及相關意思，就是“過去一年，香港屢次發生針對內地遊客的事件，而近期更有人以暴力騷擾‘看似’來自內地的遊客及本地市民；事件已損害香港建立了半世紀的購物天堂美譽”。他們總想把公眾的視線轉移到衝擊行為上，這亦是蘇錦樑局長剛才的技倆，他剛才亦重複提到要譴責衝擊及暴力行為。</w:t>
      </w:r>
    </w:p>
    <w:p>
      <w:pPr>
        <w:pStyle w:val="F21"/>
        <w:spacing w:lineRule="atLeast" w:line="370"/>
        <w:rPr/>
      </w:pPr>
      <w:r>
        <w:rPr/>
      </w:r>
    </w:p>
    <w:p>
      <w:pPr>
        <w:pStyle w:val="F21"/>
        <w:spacing w:lineRule="atLeast" w:line="370"/>
        <w:rPr/>
      </w:pPr>
      <w:r>
        <w:rPr/>
        <w:tab/>
      </w:r>
      <w:r>
        <w:rPr/>
        <w:t>工黨當然不認同該等行為，但大家要思考的其實是問題何在。他們硬要扭曲整件事，把焦點轉移到衝擊行為上，但卻沒有思考深層次矛盾的問題。他們不去討論深層次矛盾，卻把視線轉移到衝擊行為上。深層次矛盾究竟是甚麼呢？答案是很清楚的，這裏所有人都知道，只是不肯承認吧了，而梁振英根本無法解決深層次矛盾的問題。</w:t>
      </w:r>
    </w:p>
    <w:p>
      <w:pPr>
        <w:pStyle w:val="F21"/>
        <w:spacing w:lineRule="atLeast" w:line="370"/>
        <w:rPr/>
      </w:pPr>
      <w:r>
        <w:rPr/>
      </w:r>
    </w:p>
    <w:p>
      <w:pPr>
        <w:pStyle w:val="F21"/>
        <w:spacing w:lineRule="atLeast" w:line="370"/>
        <w:rPr/>
      </w:pPr>
      <w:r>
        <w:rPr/>
        <w:tab/>
      </w:r>
      <w:r>
        <w:rPr/>
        <w:t>水貨問題導致天怒人怨，大家都知道原因何在。試看看元朗的壽富街，街頭街尾都是售賣奶粉的店鋪，市民以往前來購物，還有一些本地或其他多元化的商品可供選擇，但現在整條街都在售賣奶粉。此外，元朗區以至香港所有旺區均變得非常擠迫，途人根本無立足之地；港鐵擠迫，行人路亦擠迫，放眼全香港只見處處“拖篋”，只見遊客，只見排隊，但香港人想購物卻也買不到。</w:t>
      </w:r>
    </w:p>
    <w:p>
      <w:pPr>
        <w:pStyle w:val="F21"/>
        <w:spacing w:lineRule="atLeast" w:line="370"/>
        <w:rPr/>
      </w:pPr>
      <w:r>
        <w:rPr/>
      </w:r>
    </w:p>
    <w:p>
      <w:pPr>
        <w:pStyle w:val="F21"/>
        <w:spacing w:lineRule="atLeast" w:line="370"/>
        <w:rPr/>
      </w:pPr>
      <w:r>
        <w:rPr/>
        <w:tab/>
      </w:r>
      <w:r>
        <w:rPr/>
        <w:t>除了擠迫外，還有另一大問題，就是百物騰貴。原因何在？自然是因為有需求，以致物價上升，租金也上升。租金上升，業主當然賺大錢，而為了應付上升的租金，各行各業的經營者也要加價。然而，即使物價上升，亦有人購買，因為有大量內地人繼續來港排隊購物。那麼本地人怎麼辦？貧窮人便負擔不來，因為百物騰貴，所有物品都加價。即使是領匯的商場，現時也擠滿內地遊客，須知領匯商場大多數設於住宅屋邨，原意是方便市民購買日用品，但現在全部物價都上漲。</w:t>
      </w:r>
    </w:p>
    <w:p>
      <w:pPr>
        <w:pStyle w:val="F21"/>
        <w:spacing w:lineRule="atLeast" w:line="370"/>
        <w:rPr/>
      </w:pPr>
      <w:r>
        <w:rPr/>
      </w:r>
    </w:p>
    <w:p>
      <w:pPr>
        <w:pStyle w:val="F21"/>
        <w:spacing w:lineRule="atLeast" w:line="370"/>
        <w:rPr/>
      </w:pPr>
      <w:r>
        <w:rPr/>
        <w:tab/>
      </w:r>
      <w:r>
        <w:rPr/>
        <w:t>走水貨引致道路擠迫、物價上漲等問題，他們隻字不提，只想轉移視線到所謂衝擊行為上。但是，最基本的問題，即整個制度對香港市民造成的壓迫，他們卻不去面對。梁振英根本是無能，在這個問題上交白卷，然後轉移視線，希望市民不要想到他本身無能或交白卷的問題。建制派議員今天只是在“大合唱”，繼續幫政府轉移視線。所以，工黨提醒大家不要轉移視線，我們應返回原點，探討如何解決問題。</w:t>
      </w:r>
    </w:p>
    <w:p>
      <w:pPr>
        <w:pStyle w:val="F21"/>
        <w:spacing w:lineRule="atLeast" w:line="370"/>
        <w:rPr/>
      </w:pPr>
      <w:r>
        <w:rPr/>
      </w:r>
    </w:p>
    <w:p>
      <w:pPr>
        <w:pStyle w:val="F21"/>
        <w:spacing w:lineRule="atLeast" w:line="370"/>
        <w:rPr/>
      </w:pPr>
      <w:r>
        <w:rPr/>
        <w:tab/>
      </w:r>
      <w:r>
        <w:rPr/>
        <w:t>對於解決方法，商界的議員時常說這是一個關乎設施的問題，香港設施不足，所以興建多些酒店和購物城，問題自然迎刃而解。可是，他們忽略了最重要的一點，便是香港確實無法承受更大負擔，若興建更多設施，只會更負擔不來。大家必須先解決“無法負擔”的問題，試想想，香港一個小小地方，每年接待</w:t>
      </w:r>
      <w:r>
        <w:rPr/>
        <w:t>6 000</w:t>
      </w:r>
      <w:r>
        <w:rPr/>
        <w:t>多萬人次遊客，當中</w:t>
      </w:r>
      <w:r>
        <w:rPr/>
        <w:t>4 000</w:t>
      </w:r>
      <w:r>
        <w:rPr/>
        <w:t>多萬人次是內地旅客，</w:t>
      </w:r>
      <w:r>
        <w:rPr/>
        <w:t>1 000</w:t>
      </w:r>
      <w:r>
        <w:rPr/>
        <w:t>多萬人次是一簽多行的旅客。單是一簽多行的旅客便有</w:t>
      </w:r>
      <w:r>
        <w:rPr/>
        <w:t>1 000</w:t>
      </w:r>
      <w:r>
        <w:rPr/>
        <w:t>多萬人次，這是多麼龐大的流動人口。如果大家不認真面對這些問題，只是不斷提出興建設施，根本無補於事。我們認為解決方法不應只從商界利益作為出發點，例如說一定要撐起旅遊業或增建酒店。</w:t>
      </w:r>
      <w:r>
        <w:br w:type="page"/>
      </w:r>
    </w:p>
    <w:p>
      <w:pPr>
        <w:pStyle w:val="F21"/>
        <w:rPr/>
      </w:pPr>
      <w:r>
        <w:rPr/>
        <w:tab/>
      </w:r>
      <w:r>
        <w:rPr/>
        <w:t>對於剛才有些商界朋友的建議，我們是同意的，例如增加不同類型的旅遊設施，不止是吸引遊客來香港純粹“鳩嗚”</w:t>
      </w:r>
      <w:r>
        <w:rPr/>
        <w:t>(“</w:t>
      </w:r>
      <w:r>
        <w:rPr/>
        <w:t>購物”的普通話發音</w:t>
      </w:r>
      <w:r>
        <w:rPr/>
        <w:t>)</w:t>
      </w:r>
      <w:r>
        <w:rPr/>
        <w:t>。“鳩嗚”不應是香港唯一吸引遊客的因素，我們贊成有更多元化的吸引力。但是，令香港有不同、多元化的吸引力，並不代表能夠解決“無法負擔”或承載力的問題。要解決問題，始終必須返回原點，即一簽多行及自由行人數的問題。如果不作出任何限制，問題只會一直繼續，永無止境。</w:t>
      </w:r>
    </w:p>
    <w:p>
      <w:pPr>
        <w:pStyle w:val="F21"/>
        <w:rPr/>
      </w:pPr>
      <w:r>
        <w:rPr/>
      </w:r>
    </w:p>
    <w:p>
      <w:pPr>
        <w:pStyle w:val="F21"/>
        <w:rPr/>
      </w:pPr>
      <w:r>
        <w:rPr/>
        <w:tab/>
      </w:r>
      <w:r>
        <w:rPr/>
        <w:t>我亦想談談水貨的問題，其實這是一個通稱，大家可能有所混淆。有些問題不只涉及走水貨，而是根本有太多人來香港購物，他們未必是走水貨，可能是自由行或一簽多行的旅客，一星期來香港購物一次，但大家將這些旅客通稱為走水貨。所以，工黨在修正案中清楚指出，一定要取消一簽多行，只有“家庭團聚”的內地人才可以一簽多行來香港，因為很多持雙程證人士有需要照顧在香港的子女。但是，整個一簽多行政策，基本上應要取消。</w:t>
      </w:r>
    </w:p>
    <w:p>
      <w:pPr>
        <w:pStyle w:val="F21"/>
        <w:rPr/>
      </w:pPr>
      <w:r>
        <w:rPr/>
      </w:r>
    </w:p>
    <w:p>
      <w:pPr>
        <w:pStyle w:val="F21"/>
        <w:rPr/>
      </w:pPr>
      <w:r>
        <w:rPr/>
        <w:tab/>
      </w:r>
      <w:r>
        <w:rPr/>
        <w:t>另一方面，我們亦要求減少自由行的人數。有些議員更離譜，田北辰議員竟然提出增加自由行城市的數目，這樣豈不是令情況變得更糟糕？減少自由行亦是另一個改革方向，但可惜政府無能，無法解決這兩個問題，建制派和人大代表亦是完全沒用的。多謝主席。</w:t>
      </w:r>
    </w:p>
    <w:p>
      <w:pPr>
        <w:pStyle w:val="F21"/>
        <w:rPr>
          <w:rFonts w:cs="Times New Roman"/>
        </w:rPr>
      </w:pPr>
      <w:r>
        <w:rPr>
          <w:rFonts w:cs="Times New Roman"/>
        </w:rPr>
      </w:r>
    </w:p>
    <w:p>
      <w:pPr>
        <w:pStyle w:val="F21"/>
        <w:rPr>
          <w:rFonts w:cs="Times New Roman"/>
        </w:rPr>
      </w:pPr>
      <w:r>
        <w:rPr>
          <w:rFonts w:cs="Times New Roman"/>
        </w:rPr>
      </w:r>
    </w:p>
    <w:p>
      <w:pPr>
        <w:pStyle w:val="F21"/>
        <w:rPr>
          <w:szCs w:val="27"/>
        </w:rPr>
      </w:pPr>
      <w:r>
        <w:rPr>
          <w:rFonts w:eastAsia="華康中黑體"/>
          <w:b/>
          <w:szCs w:val="27"/>
        </w:rPr>
        <w:t>馮檢基議員</w:t>
      </w:r>
      <w:r>
        <w:rPr>
          <w:szCs w:val="27"/>
        </w:rPr>
        <w:t>：主席，香港人實在受夠了，大陸旅客的密集程度和水貨客的滋擾，已經令香港人透不過氣，寸步難行。可惜的是，經過這一、兩年社會上的強烈反應，“</w:t>
      </w:r>
      <w:r>
        <w:rPr>
          <w:szCs w:val="27"/>
        </w:rPr>
        <w:t>689”</w:t>
      </w:r>
      <w:r>
        <w:rPr>
          <w:szCs w:val="27"/>
        </w:rPr>
        <w:t>仍然不聞不問，並以檢討為理由一直拖延。市民要求政府停一停、想一想，收緊自由行和一簽多行政策，以換取香港人一個喘息空間。</w:t>
      </w:r>
    </w:p>
    <w:p>
      <w:pPr>
        <w:pStyle w:val="F21"/>
        <w:rPr>
          <w:szCs w:val="27"/>
        </w:rPr>
      </w:pPr>
      <w:r>
        <w:rPr>
          <w:szCs w:val="27"/>
        </w:rPr>
      </w:r>
    </w:p>
    <w:p>
      <w:pPr>
        <w:pStyle w:val="F21"/>
        <w:rPr>
          <w:szCs w:val="27"/>
        </w:rPr>
      </w:pPr>
      <w:r>
        <w:rPr>
          <w:szCs w:val="27"/>
        </w:rPr>
        <w:tab/>
      </w:r>
      <w:r>
        <w:rPr>
          <w:szCs w:val="27"/>
        </w:rPr>
        <w:t>但是，政府一直採取拖字訣，完全沒有作出跟進及制訂應對措施。猶記得政府高官不斷出口術，叫市民“忍一忍，多等一、兩班港鐵沒有甚麼大不了，大家應以大局為重”。之後還加上一個好鬥的“</w:t>
      </w:r>
      <w:r>
        <w:rPr>
          <w:szCs w:val="27"/>
        </w:rPr>
        <w:t>689”</w:t>
      </w:r>
      <w:r>
        <w:rPr>
          <w:szCs w:val="27"/>
        </w:rPr>
        <w:t>火上加油，將有異議、有切膚之痛的市民統統打成為未富先驕的刁民。他對市民的親身感受置若罔聞，完全無視大量內地旅客帶來的負面影響。</w:t>
      </w:r>
    </w:p>
    <w:p>
      <w:pPr>
        <w:pStyle w:val="F21"/>
        <w:rPr>
          <w:szCs w:val="27"/>
        </w:rPr>
      </w:pPr>
      <w:r>
        <w:rPr>
          <w:szCs w:val="27"/>
        </w:rPr>
      </w:r>
    </w:p>
    <w:p>
      <w:pPr>
        <w:pStyle w:val="F21"/>
        <w:rPr>
          <w:szCs w:val="27"/>
        </w:rPr>
      </w:pPr>
      <w:r>
        <w:rPr>
          <w:szCs w:val="27"/>
        </w:rPr>
        <w:tab/>
      </w:r>
      <w:r>
        <w:rPr>
          <w:szCs w:val="27"/>
        </w:rPr>
        <w:t>主事者怕得罪大陸，選擇背棄港人的利益，政府制訂政策也要顧及內地人感受，一面倒向內地靠攏；為了融合，把原本是互惠互利的中港關係變成從屬關係，但“</w:t>
      </w:r>
      <w:r>
        <w:rPr>
          <w:szCs w:val="27"/>
        </w:rPr>
        <w:t>689”</w:t>
      </w:r>
      <w:r>
        <w:rPr>
          <w:szCs w:val="27"/>
        </w:rPr>
        <w:t>連據理力爭都不敢，令情況不斷惡化。市民最終忍無可忍，導致近來一連串激烈的光復行動，並出現多番衝突場面。</w:t>
      </w:r>
    </w:p>
    <w:p>
      <w:pPr>
        <w:pStyle w:val="F21"/>
        <w:spacing w:lineRule="exact" w:line="340"/>
        <w:rPr>
          <w:szCs w:val="27"/>
        </w:rPr>
      </w:pPr>
      <w:r>
        <w:rPr>
          <w:szCs w:val="27"/>
        </w:rPr>
      </w:r>
    </w:p>
    <w:p>
      <w:pPr>
        <w:pStyle w:val="F21"/>
        <w:spacing w:lineRule="exact" w:line="340"/>
        <w:rPr>
          <w:szCs w:val="27"/>
        </w:rPr>
      </w:pPr>
      <w:r>
        <w:rPr>
          <w:szCs w:val="27"/>
        </w:rPr>
        <w:tab/>
      </w:r>
      <w:r>
        <w:rPr>
          <w:szCs w:val="27"/>
        </w:rPr>
        <w:t>當然，社會上不願意看到一些激烈的行動。任何過火的行為只會令親者痛、仇者快，既模糊了問題的焦點，亦容易變成捨本逐末，更加有利於好鬥的“</w:t>
      </w:r>
      <w:r>
        <w:rPr>
          <w:szCs w:val="27"/>
        </w:rPr>
        <w:t>689”</w:t>
      </w:r>
      <w:r>
        <w:rPr>
          <w:szCs w:val="27"/>
        </w:rPr>
        <w:t>轉移視線，並以此作為打擊異見者的籌碼。今天他對一些所謂暴力行為加以譴責，明天便找一些代罪羔羊，無緣無故責罵毛孟靜議員和范國威議員為始作俑者，一心只想引入傳統共產黨的矛盾鬥爭思維，搞政治鬥爭，還要搞到人所共知，這完全違反了管治現代國際都市的理念。主席，這是為甚麼呢？明眼人一看便知道，這是二、三流的誣衊技倆，根本掩飾不到“</w:t>
      </w:r>
      <w:r>
        <w:rPr>
          <w:szCs w:val="27"/>
        </w:rPr>
        <w:t>689”</w:t>
      </w:r>
      <w:r>
        <w:rPr>
          <w:szCs w:val="27"/>
        </w:rPr>
        <w:t>的“走數”和無能，對檢討和收緊自由行及一簽多行政策，完全束手無策。</w:t>
      </w:r>
    </w:p>
    <w:p>
      <w:pPr>
        <w:pStyle w:val="F21"/>
        <w:spacing w:lineRule="exact" w:line="340"/>
        <w:rPr>
          <w:szCs w:val="27"/>
        </w:rPr>
      </w:pPr>
      <w:r>
        <w:rPr>
          <w:szCs w:val="27"/>
        </w:rPr>
      </w:r>
    </w:p>
    <w:p>
      <w:pPr>
        <w:pStyle w:val="F21"/>
        <w:spacing w:lineRule="exact" w:line="340"/>
        <w:rPr>
          <w:szCs w:val="27"/>
        </w:rPr>
      </w:pPr>
      <w:r>
        <w:rPr>
          <w:szCs w:val="27"/>
        </w:rPr>
        <w:tab/>
      </w:r>
      <w:r>
        <w:rPr>
          <w:szCs w:val="27"/>
        </w:rPr>
        <w:t>民協認為對光復行動某些過火行為或對警方的過分執法作出譴責，是對錯焦點，無助解決當前大量內地旅客所衍生的問題。這種譴責亦只會跌入“</w:t>
      </w:r>
      <w:r>
        <w:rPr>
          <w:szCs w:val="27"/>
        </w:rPr>
        <w:t>689”</w:t>
      </w:r>
      <w:r>
        <w:rPr>
          <w:szCs w:val="27"/>
        </w:rPr>
        <w:t>的政治鬥爭圈套。歸根究底，我們應該將焦點重置於檢討和收緊自由行及一簽多行政策，並以香港的承受力為指標，按分階段、分程度的做法執行限制自由行和一簽多行的措施，由近到遠、由輕到重，先檢視各種措施的效果，然後再決定是否需要進一步升級。</w:t>
      </w:r>
    </w:p>
    <w:p>
      <w:pPr>
        <w:pStyle w:val="F21"/>
        <w:spacing w:lineRule="exact" w:line="340"/>
        <w:rPr>
          <w:szCs w:val="27"/>
        </w:rPr>
      </w:pPr>
      <w:r>
        <w:rPr>
          <w:szCs w:val="27"/>
        </w:rPr>
      </w:r>
    </w:p>
    <w:p>
      <w:pPr>
        <w:pStyle w:val="F21"/>
        <w:spacing w:lineRule="exact" w:line="340"/>
        <w:rPr>
          <w:szCs w:val="27"/>
        </w:rPr>
      </w:pPr>
      <w:r>
        <w:rPr>
          <w:szCs w:val="27"/>
        </w:rPr>
        <w:tab/>
      </w:r>
      <w:r>
        <w:rPr>
          <w:szCs w:val="27"/>
        </w:rPr>
        <w:t>舉例而言，由限制深圳戶藉居民“一簽若干行”或一日兩行作為起點，以限制水貨活動。相關政府部門同時應做好協調工作，加強打擊水貨活動，例如海關要嚴厲執法，食環署要加強檢控貨物阻街的情況，而地政總署亦要巡查和懲處涉嫌違反土地契約的單位業主。在自由行方面，由停止增加自由行城市數目開始，逐步由近至遠為各地自由行遊客人數設上限。進一步來說，當局亦要研究對訪港遊客徵收陸路入境稅。</w:t>
      </w:r>
    </w:p>
    <w:p>
      <w:pPr>
        <w:pStyle w:val="F21"/>
        <w:spacing w:lineRule="exact" w:line="340"/>
        <w:rPr>
          <w:szCs w:val="27"/>
        </w:rPr>
      </w:pPr>
      <w:r>
        <w:rPr>
          <w:szCs w:val="27"/>
        </w:rPr>
      </w:r>
    </w:p>
    <w:p>
      <w:pPr>
        <w:pStyle w:val="F21"/>
        <w:spacing w:lineRule="exact" w:line="340"/>
        <w:rPr>
          <w:szCs w:val="27"/>
        </w:rPr>
      </w:pPr>
      <w:r>
        <w:rPr>
          <w:szCs w:val="27"/>
        </w:rPr>
        <w:tab/>
      </w:r>
      <w:r>
        <w:rPr>
          <w:szCs w:val="27"/>
        </w:rPr>
        <w:t>民協對於今天這項議案持開放態度。不論是民主派也好，建制派也好，任何就自由行和一簽多行政策提出具體建議的修正案，都能產生所謂“腦震盪”的作用，我都會支持。對於一些顧左右而言他，以“阿爺”為馬首是瞻，知道中央未有動作，就連具體建議都不敢碰一碰的修正案，我便反對。民協認為要解決這個問題，必須對準焦點，向政府施壓，不容“</w:t>
      </w:r>
      <w:r>
        <w:rPr>
          <w:szCs w:val="27"/>
        </w:rPr>
        <w:t>689”</w:t>
      </w:r>
      <w:r>
        <w:rPr>
          <w:szCs w:val="27"/>
        </w:rPr>
        <w:t>再轉移視線，“走完數”又卸責。</w:t>
      </w:r>
    </w:p>
    <w:p>
      <w:pPr>
        <w:pStyle w:val="F21"/>
        <w:spacing w:lineRule="exact" w:line="340"/>
        <w:rPr>
          <w:szCs w:val="27"/>
        </w:rPr>
      </w:pPr>
      <w:r>
        <w:rPr>
          <w:szCs w:val="27"/>
        </w:rPr>
      </w:r>
    </w:p>
    <w:p>
      <w:pPr>
        <w:pStyle w:val="F21"/>
        <w:spacing w:lineRule="exact" w:line="340"/>
        <w:rPr>
          <w:szCs w:val="27"/>
        </w:rPr>
      </w:pPr>
      <w:r>
        <w:rPr>
          <w:szCs w:val="27"/>
        </w:rPr>
        <w:tab/>
      </w:r>
      <w:r>
        <w:rPr>
          <w:szCs w:val="27"/>
        </w:rPr>
        <w:t>主席，我認為香港必須認真檢視旅遊業的長遠發展。過去那種大小通吃、只求數量、“蟻多摟死象”、計量不計質，全面靠攏大陸旅客的低增長模式，實在令我們社會無法承受。政府和商家總不能慣性地倚靠大陸，彷彿中了中港經濟融合的“毒癮”，認為只要有北面的大水喉便“冇有怕”，只有着數，沒有後果。這種一面倒靠攏大陸的思維，其惡果最後要由市民來“埋單”，並不斷侵蝕我們的國際化視野和優良制度，養懶了政府和商界，令到大家不假思索，不思進取。</w:t>
      </w:r>
    </w:p>
    <w:p>
      <w:pPr>
        <w:pStyle w:val="F21"/>
        <w:spacing w:lineRule="exact" w:line="340"/>
        <w:rPr>
          <w:szCs w:val="27"/>
        </w:rPr>
      </w:pPr>
      <w:r>
        <w:rPr>
          <w:szCs w:val="27"/>
        </w:rPr>
      </w:r>
    </w:p>
    <w:p>
      <w:pPr>
        <w:pStyle w:val="F21"/>
        <w:spacing w:lineRule="exact" w:line="340"/>
        <w:rPr>
          <w:szCs w:val="27"/>
        </w:rPr>
      </w:pPr>
      <w:r>
        <w:rPr>
          <w:szCs w:val="27"/>
        </w:rPr>
        <w:tab/>
      </w:r>
      <w:r>
        <w:rPr>
          <w:szCs w:val="27"/>
        </w:rPr>
        <w:t>主席，今次普羅市民作出反彈，社會亦出現強烈反應，正好讓從政者和商家思索一下，香港的社會發展的模式和定位。我們絕不應為遷就一個旅客羣而削足就履，將自己貶低成為一個國內的城市；我們應以國際化的定位、優良制度和傳統及自由空氣，以吸引世界的眼光，從而發展香港的旅遊業。</w:t>
      </w:r>
    </w:p>
    <w:p>
      <w:pPr>
        <w:pStyle w:val="F21"/>
        <w:spacing w:lineRule="exact" w:line="340"/>
        <w:rPr>
          <w:szCs w:val="27"/>
        </w:rPr>
      </w:pPr>
      <w:r>
        <w:rPr>
          <w:szCs w:val="27"/>
        </w:rPr>
      </w:r>
    </w:p>
    <w:p>
      <w:pPr>
        <w:pStyle w:val="F21"/>
        <w:spacing w:lineRule="exact" w:line="340"/>
        <w:rPr>
          <w:szCs w:val="27"/>
        </w:rPr>
      </w:pPr>
      <w:r>
        <w:rPr>
          <w:szCs w:val="27"/>
        </w:rPr>
        <w:tab/>
      </w:r>
      <w:r>
        <w:rPr>
          <w:szCs w:val="27"/>
        </w:rPr>
        <w:t>主席，我謹此陳辭。</w:t>
      </w:r>
    </w:p>
    <w:p>
      <w:pPr>
        <w:pStyle w:val="F21"/>
        <w:spacing w:lineRule="exact" w:line="340"/>
        <w:rPr>
          <w:rFonts w:cs="Times New Roman"/>
        </w:rPr>
      </w:pPr>
      <w:r>
        <w:rPr>
          <w:rFonts w:cs="Times New Roman"/>
        </w:rPr>
      </w:r>
    </w:p>
    <w:p>
      <w:pPr>
        <w:pStyle w:val="F21"/>
        <w:spacing w:lineRule="exact" w:line="340"/>
        <w:rPr>
          <w:rFonts w:cs="Times New Roman"/>
        </w:rPr>
      </w:pPr>
      <w:r>
        <w:rPr>
          <w:rFonts w:cs="Times New Roman"/>
        </w:rPr>
      </w:r>
    </w:p>
    <w:p>
      <w:pPr>
        <w:pStyle w:val="F21"/>
        <w:spacing w:lineRule="exact" w:line="340"/>
        <w:rPr/>
      </w:pPr>
      <w:r>
        <w:rPr>
          <w:rFonts w:eastAsia="華康中黑體"/>
          <w:b/>
        </w:rPr>
        <w:t>葉國謙</w:t>
      </w:r>
      <w:r>
        <w:rPr>
          <w:rFonts w:ascii="華康中黑體" w:hAnsi="華康中黑體" w:cs="華康中黑體" w:eastAsia="華康中黑體"/>
          <w:b/>
        </w:rPr>
        <w:t>議員</w:t>
      </w:r>
      <w:r>
        <w:rPr/>
        <w:t xml:space="preserve">：主席，近日連串針對水貨客的所謂“光復行動”，最終演變為欺凌弱小的暴力事件，不僅破壞香港的營商環境，更擾亂香港社會的治安。最令人吃驚的是，這些暴力示威行動竟有不少年輕學生參與，他們目無法紀的行為可說是佔領行動的遺禍。在這場佔領動亂中，在反對派政客歪理的煽動下，青年人的法治觀念被扭曲，以為公民抗命是至高無上，可以為所欲為。更令人吃驚的是，在這些暴力事件發生後，有反對派立法會議員召開記者會，表面上是譴責暴力，但卻將矛頭直指梁振英和特區政府，指這些暴力行為是被迫出來的、官逼民反，企圖將暴力合法化。馮檢基議員剛才的發言 </w:t>
      </w:r>
      <w:r>
        <w:rPr>
          <w:rFonts w:ascii="Symbol" w:hAnsi="Symbol" w:cs="Symbol" w:eastAsia="Symbol"/>
        </w:rPr>
        <w:t></w:t>
      </w:r>
      <w:r>
        <w:rPr/>
        <w:t xml:space="preserve"> 他剛好又不在席 </w:t>
      </w:r>
      <w:r>
        <w:rPr>
          <w:rFonts w:ascii="Symbol" w:hAnsi="Symbol" w:cs="Symbol" w:eastAsia="Symbol"/>
        </w:rPr>
        <w:t></w:t>
      </w:r>
      <w:r>
        <w:rPr/>
        <w:t xml:space="preserve"> 大罵行政長官，把事實扭曲，希望市民可以透過他的發言知道他真實的想法。 </w:t>
      </w:r>
    </w:p>
    <w:p>
      <w:pPr>
        <w:pStyle w:val="F21"/>
        <w:spacing w:lineRule="exact" w:line="340"/>
        <w:rPr/>
      </w:pPr>
      <w:r>
        <w:rPr/>
      </w:r>
    </w:p>
    <w:p>
      <w:pPr>
        <w:pStyle w:val="F21"/>
        <w:spacing w:lineRule="exact" w:line="340"/>
        <w:rPr/>
      </w:pPr>
      <w:r>
        <w:rPr/>
        <w:tab/>
      </w:r>
      <w:r>
        <w:rPr/>
        <w:t>特首梁振英最近點名批評在席議員，包括毛孟靜議員，指她牽頭煽動市民反水貨客，但毛議員卻擺出一副被冤枉的模樣，要求梁振英拿出證據。事實上，毛議員及她的盟友范國威議員打着“香港本土”的旗幟，不斷煽動市民反對內地旅客，可謂證據確鑿、不容抵賴。毛、范兩位議員不單在尖沙咀拖行李箱示威反對內地旅客，更曾在台灣一份有“台獨”背景的報章刊登廣告，打出“反自由行”、“反中國化”、“反赤化”的口號，將香港的自由行及一簽多行的問題政治化。其實，本土意識不一定排外，但如果本土意識被操作成為一種政治主張，例如所謂“反大陸化”、“反赤化”及排斥同胞，這是極度危險的事情。可是，毛孟靜議員及范國威議員卻樂此不疲，其反中央政府及離間港人與內地關係的目的昭然若揭。</w:t>
      </w:r>
    </w:p>
    <w:p>
      <w:pPr>
        <w:pStyle w:val="F21"/>
        <w:spacing w:lineRule="exact" w:line="340"/>
        <w:rPr/>
      </w:pPr>
      <w:r>
        <w:rPr/>
      </w:r>
    </w:p>
    <w:p>
      <w:pPr>
        <w:pStyle w:val="F21"/>
        <w:spacing w:lineRule="exact" w:line="340"/>
        <w:rPr/>
      </w:pPr>
      <w:r>
        <w:rPr/>
        <w:tab/>
      </w:r>
      <w:r>
        <w:rPr/>
        <w:t>主席，自由行及一簽多行分別在</w:t>
      </w:r>
      <w:r>
        <w:rPr/>
        <w:t>2003</w:t>
      </w:r>
      <w:r>
        <w:rPr/>
        <w:t>年及</w:t>
      </w:r>
      <w:r>
        <w:rPr/>
        <w:t>2009</w:t>
      </w:r>
      <w:r>
        <w:rPr/>
        <w:t>年實施。如果大家不善忘便應該記得，這是特區政府為了應對當年</w:t>
      </w:r>
      <w:r>
        <w:rPr/>
        <w:t>SARS</w:t>
      </w:r>
      <w:r>
        <w:rPr/>
        <w:t>及金融海嘯的衝擊、挽救疲弱的香港經濟而向中央政府爭取的。這兩項措施對促進香港經濟繁榮有着非常重大的作用，但與此同時亦造成一些社會民生問題，包括公共交通工具變得擠迫、街道出現“人篋爭路”的情況、店鋪租金飆升及傳統小店消失，並衍生水貨客的問題，其中以新界北區及屯門、元朗一帶的居民所受的影響最大。然而，只要我們理性地仔細分析，便會發現不應將問題全部歸咎於自由行及一簽多行。</w:t>
      </w:r>
    </w:p>
    <w:p>
      <w:pPr>
        <w:pStyle w:val="F21"/>
        <w:spacing w:lineRule="atLeast" w:line="300"/>
        <w:rPr/>
      </w:pPr>
      <w:r>
        <w:rPr/>
      </w:r>
    </w:p>
    <w:p>
      <w:pPr>
        <w:pStyle w:val="F21"/>
        <w:spacing w:lineRule="atLeast" w:line="300"/>
        <w:rPr/>
      </w:pPr>
      <w:r>
        <w:rPr/>
        <w:tab/>
      </w:r>
      <w:r>
        <w:rPr/>
        <w:t>有一點更值得注意的是，香港人口分布的格局在過去二、三十年出現了很大的變化。自上世紀</w:t>
      </w:r>
      <w:r>
        <w:rPr/>
        <w:t>70</w:t>
      </w:r>
      <w:r>
        <w:rPr/>
        <w:t>年代以來，政府積極發展新界新市鎮，令新界人口高速增長。香港目前有一半人口居於新界，據規劃署預測，在</w:t>
      </w:r>
      <w:r>
        <w:rPr/>
        <w:t>2021</w:t>
      </w:r>
      <w:r>
        <w:rPr/>
        <w:t>年，新界人口將會突破</w:t>
      </w:r>
      <w:r>
        <w:rPr/>
        <w:t>400</w:t>
      </w:r>
      <w:r>
        <w:rPr/>
        <w:t>萬。所以，交通運輸工具近年越來越擠迫，內地旅客在鐵路沿線地區購物是其中一個原因，但同時亦是新界區人口不斷增加所致。這是城市化過程的必然結果，即使沒有實施自由行及一簽多行，但隨着居住人口增加，交通擠迫、店鋪租金上升及小店被淘汱的情況仍然會發生。最近，我有很深的體會，就是自港島西線通車後，堅尼地城區發生很大的變化，見證了我剛才所描述的情況，在在都是城市發展的結果。因此，只有開發更多土地，避免人口過分集中，才是解決問題的根本方法。</w:t>
      </w:r>
    </w:p>
    <w:p>
      <w:pPr>
        <w:pStyle w:val="F21"/>
        <w:spacing w:lineRule="atLeast" w:line="300"/>
        <w:rPr/>
      </w:pPr>
      <w:r>
        <w:rPr/>
      </w:r>
    </w:p>
    <w:p>
      <w:pPr>
        <w:pStyle w:val="F21"/>
        <w:spacing w:lineRule="atLeast" w:line="300"/>
        <w:rPr/>
      </w:pPr>
      <w:r>
        <w:rPr/>
        <w:tab/>
      </w:r>
      <w:r>
        <w:rPr/>
        <w:t>對於自由行及一簽多行衍生出來的問題，社會上有不同的聲音，有些人</w:t>
      </w:r>
      <w:r>
        <w:rPr/>
        <w:t>(</w:t>
      </w:r>
      <w:r>
        <w:rPr/>
        <w:t>尤其是反對派</w:t>
      </w:r>
      <w:r>
        <w:rPr/>
        <w:t>)</w:t>
      </w:r>
      <w:r>
        <w:rPr/>
        <w:t>認為只有收緊自由行及取消一簽多行，才能解決問題。可是，我對這種看法實在無法認同，因為水貨客以香港人居多，即使取消一簽多行亦無助解決問題。事實上，自由行及一簽多行有助香港發展區域經濟。因此，為了長遠的經濟發展，有關政策只適宜優化而不宜“一刀切”的收緊及取消，這樣才可以實質地解決問題。</w:t>
      </w:r>
    </w:p>
    <w:p>
      <w:pPr>
        <w:pStyle w:val="F21"/>
        <w:spacing w:lineRule="atLeast" w:line="300"/>
        <w:rPr/>
      </w:pPr>
      <w:r>
        <w:rPr/>
      </w:r>
    </w:p>
    <w:p>
      <w:pPr>
        <w:pStyle w:val="F21"/>
        <w:spacing w:lineRule="atLeast" w:line="300"/>
        <w:rPr/>
      </w:pPr>
      <w:r>
        <w:rPr/>
        <w:tab/>
      </w:r>
      <w:r>
        <w:rPr/>
        <w:t>我謹此陳辭。</w:t>
      </w:r>
    </w:p>
    <w:p>
      <w:pPr>
        <w:pStyle w:val="F21"/>
        <w:spacing w:lineRule="atLeast" w:line="300"/>
        <w:rPr>
          <w:rFonts w:cs="Times New Roman"/>
        </w:rPr>
      </w:pPr>
      <w:r>
        <w:rPr>
          <w:rFonts w:cs="Times New Roman"/>
        </w:rPr>
      </w:r>
    </w:p>
    <w:p>
      <w:pPr>
        <w:pStyle w:val="F21"/>
        <w:spacing w:lineRule="atLeast" w:line="300"/>
        <w:rPr>
          <w:rFonts w:cs="Times New Roman"/>
        </w:rPr>
      </w:pPr>
      <w:r>
        <w:rPr>
          <w:rFonts w:cs="Times New Roman"/>
        </w:rPr>
      </w:r>
    </w:p>
    <w:p>
      <w:pPr>
        <w:pStyle w:val="Normal"/>
        <w:tabs>
          <w:tab w:val="left" w:pos="567" w:leader="none"/>
          <w:tab w:val="left" w:pos="720" w:leader="none"/>
        </w:tabs>
        <w:snapToGrid w:val="false"/>
        <w:spacing w:lineRule="atLeast" w:line="300"/>
        <w:rPr>
          <w:rFonts w:eastAsia="華康中黑體"/>
          <w:b/>
          <w:b/>
          <w:spacing w:val="20"/>
          <w:sz w:val="27"/>
        </w:rPr>
      </w:pPr>
      <w:bookmarkStart w:id="95" w:name="som"/>
      <w:r>
        <w:rPr>
          <w:rFonts w:eastAsia="華康中黑體"/>
          <w:b/>
          <w:spacing w:val="20"/>
        </w:rPr>
        <w:t>暫停會議</w:t>
      </w:r>
    </w:p>
    <w:p>
      <w:pPr>
        <w:pStyle w:val="Normal"/>
        <w:snapToGrid w:val="false"/>
        <w:spacing w:lineRule="atLeast" w:line="300"/>
        <w:rPr>
          <w:b/>
          <w:b/>
        </w:rPr>
      </w:pPr>
      <w:bookmarkStart w:id="96" w:name="som"/>
      <w:r>
        <w:rPr>
          <w:b/>
        </w:rPr>
        <w:t>SUSPENSION OF MEETING</w:t>
      </w:r>
      <w:bookmarkEnd w:id="96"/>
    </w:p>
    <w:p>
      <w:pPr>
        <w:pStyle w:val="Normal"/>
        <w:tabs>
          <w:tab w:val="left" w:pos="567" w:leader="none"/>
          <w:tab w:val="left" w:pos="720" w:leader="none"/>
        </w:tabs>
        <w:snapToGrid w:val="false"/>
        <w:spacing w:lineRule="atLeast" w:line="300"/>
        <w:rPr>
          <w:spacing w:val="20"/>
          <w:sz w:val="27"/>
          <w:szCs w:val="22"/>
        </w:rPr>
      </w:pPr>
      <w:r>
        <w:rPr>
          <w:spacing w:val="20"/>
          <w:sz w:val="27"/>
          <w:szCs w:val="22"/>
        </w:rPr>
      </w:r>
    </w:p>
    <w:p>
      <w:pPr>
        <w:pStyle w:val="Normal"/>
        <w:tabs>
          <w:tab w:val="left" w:pos="567" w:leader="none"/>
          <w:tab w:val="left" w:pos="720" w:leader="none"/>
        </w:tabs>
        <w:snapToGrid w:val="false"/>
        <w:spacing w:lineRule="atLeast" w:line="300"/>
        <w:rPr>
          <w:spacing w:val="20"/>
          <w:sz w:val="27"/>
        </w:rPr>
      </w:pPr>
      <w:r>
        <w:rPr>
          <w:rFonts w:eastAsia="華康中黑體"/>
          <w:b/>
          <w:spacing w:val="20"/>
          <w:sz w:val="27"/>
        </w:rPr>
        <w:t>主席</w:t>
      </w:r>
      <w:r>
        <w:rPr>
          <w:spacing w:val="20"/>
          <w:sz w:val="27"/>
        </w:rPr>
        <w:t>：我現在宣布會議暫停。明天上午</w:t>
      </w:r>
      <w:r>
        <w:rPr>
          <w:spacing w:val="20"/>
          <w:sz w:val="27"/>
        </w:rPr>
        <w:t>9</w:t>
      </w:r>
      <w:r>
        <w:rPr>
          <w:spacing w:val="20"/>
          <w:sz w:val="27"/>
        </w:rPr>
        <w:t>時</w:t>
      </w:r>
      <w:r>
        <w:rPr>
          <w:spacing w:val="20"/>
          <w:sz w:val="27"/>
        </w:rPr>
        <w:t>15</w:t>
      </w:r>
      <w:r>
        <w:rPr>
          <w:spacing w:val="20"/>
          <w:sz w:val="27"/>
        </w:rPr>
        <w:t>分至</w:t>
      </w:r>
      <w:r>
        <w:rPr>
          <w:spacing w:val="20"/>
          <w:sz w:val="27"/>
        </w:rPr>
        <w:t>10</w:t>
      </w:r>
      <w:r>
        <w:rPr>
          <w:spacing w:val="20"/>
          <w:sz w:val="27"/>
        </w:rPr>
        <w:t>時</w:t>
      </w:r>
      <w:r>
        <w:rPr>
          <w:spacing w:val="20"/>
          <w:sz w:val="27"/>
        </w:rPr>
        <w:t>45</w:t>
      </w:r>
      <w:r>
        <w:rPr>
          <w:spacing w:val="20"/>
          <w:sz w:val="27"/>
        </w:rPr>
        <w:t>分將舉行行政長官答問會，本會在下午</w:t>
      </w:r>
      <w:r>
        <w:rPr>
          <w:spacing w:val="20"/>
          <w:sz w:val="27"/>
        </w:rPr>
        <w:t>2</w:t>
      </w:r>
      <w:r>
        <w:rPr>
          <w:spacing w:val="20"/>
          <w:sz w:val="27"/>
        </w:rPr>
        <w:t>時</w:t>
      </w:r>
      <w:r>
        <w:rPr>
          <w:spacing w:val="20"/>
          <w:sz w:val="27"/>
        </w:rPr>
        <w:t>30</w:t>
      </w:r>
      <w:r>
        <w:rPr>
          <w:spacing w:val="20"/>
          <w:sz w:val="27"/>
        </w:rPr>
        <w:t>分恢復會議，繼續處理議程上餘下的事項。</w:t>
      </w:r>
    </w:p>
    <w:p>
      <w:pPr>
        <w:pStyle w:val="Normal"/>
        <w:tabs>
          <w:tab w:val="left" w:pos="567" w:leader="none"/>
          <w:tab w:val="left" w:pos="720" w:leader="none"/>
        </w:tabs>
        <w:snapToGrid w:val="false"/>
        <w:spacing w:lineRule="atLeast" w:line="300"/>
        <w:rPr>
          <w:spacing w:val="20"/>
          <w:sz w:val="27"/>
        </w:rPr>
      </w:pPr>
      <w:r>
        <w:rPr>
          <w:spacing w:val="20"/>
          <w:sz w:val="27"/>
        </w:rPr>
      </w:r>
    </w:p>
    <w:p>
      <w:pPr>
        <w:pStyle w:val="Normal"/>
        <w:tabs>
          <w:tab w:val="left" w:pos="567" w:leader="none"/>
          <w:tab w:val="left" w:pos="720" w:leader="none"/>
        </w:tabs>
        <w:snapToGrid w:val="false"/>
        <w:spacing w:lineRule="atLeast" w:line="300"/>
        <w:rPr>
          <w:i/>
          <w:i/>
          <w:spacing w:val="20"/>
          <w:sz w:val="27"/>
        </w:rPr>
      </w:pPr>
      <w:r>
        <w:rPr>
          <w:i/>
          <w:spacing w:val="20"/>
          <w:sz w:val="27"/>
        </w:rPr>
        <w:t>立法會遂於晚上</w:t>
      </w:r>
      <w:r>
        <w:rPr>
          <w:i/>
          <w:spacing w:val="20"/>
          <w:sz w:val="27"/>
        </w:rPr>
        <w:t>7</w:t>
      </w:r>
      <w:r>
        <w:rPr>
          <w:i/>
          <w:spacing w:val="20"/>
          <w:sz w:val="27"/>
        </w:rPr>
        <w:t>時</w:t>
      </w:r>
      <w:r>
        <w:rPr>
          <w:i/>
          <w:spacing w:val="20"/>
          <w:sz w:val="27"/>
        </w:rPr>
        <w:t>57</w:t>
      </w:r>
      <w:r>
        <w:rPr>
          <w:i/>
          <w:spacing w:val="20"/>
          <w:sz w:val="27"/>
        </w:rPr>
        <w:t>分暫停會議。</w:t>
      </w:r>
    </w:p>
    <w:p>
      <w:pPr>
        <w:pStyle w:val="Normal"/>
        <w:snapToGrid w:val="false"/>
        <w:spacing w:lineRule="atLeast" w:line="300"/>
        <w:rPr/>
      </w:pPr>
      <w:r>
        <w:rPr>
          <w:i/>
        </w:rPr>
        <w:t xml:space="preserve">Suspended accordingly at </w:t>
      </w:r>
      <w:r>
        <w:rPr>
          <w:i/>
          <w:lang w:eastAsia="zh-CN"/>
        </w:rPr>
        <w:t>7.57</w:t>
      </w:r>
      <w:r>
        <w:rPr>
          <w:i/>
        </w:rPr>
        <w:t xml:space="preserve"> pm.</w:t>
      </w:r>
    </w:p>
    <w:p>
      <w:pPr>
        <w:pStyle w:val="Normal"/>
        <w:widowControl/>
        <w:tabs>
          <w:tab w:val="clear" w:pos="720"/>
        </w:tabs>
        <w:spacing w:lineRule="auto" w:line="276" w:before="0" w:after="200"/>
        <w:jc w:val="left"/>
        <w:rPr>
          <w:rFonts w:cs="" w:cstheme="minorBidi"/>
          <w:i/>
          <w:i/>
          <w:spacing w:val="20"/>
          <w:sz w:val="27"/>
          <w:szCs w:val="22"/>
          <w:lang w:val="en-US"/>
        </w:rPr>
      </w:pPr>
      <w:r>
        <w:rPr>
          <w:rFonts w:cs="" w:cstheme="minorBidi"/>
          <w:i/>
          <w:spacing w:val="20"/>
          <w:sz w:val="27"/>
          <w:szCs w:val="22"/>
          <w:lang w:val="en-US"/>
        </w:rPr>
      </w:r>
      <w:r>
        <w:br w:type="page"/>
      </w:r>
    </w:p>
    <w:p>
      <w:pPr>
        <w:pStyle w:val="Normal"/>
        <w:widowControl/>
        <w:overflowPunct w:val="true"/>
        <w:jc w:val="right"/>
        <w:rPr>
          <w:rFonts w:eastAsia="華康中黑體"/>
          <w:b/>
          <w:b/>
          <w:spacing w:val="20"/>
          <w:sz w:val="27"/>
          <w:szCs w:val="27"/>
        </w:rPr>
      </w:pPr>
      <w:bookmarkStart w:id="97" w:name="anx01"/>
      <w:r>
        <w:rPr>
          <w:rFonts w:eastAsia="華康中黑體"/>
          <w:b/>
          <w:spacing w:val="20"/>
          <w:sz w:val="27"/>
          <w:szCs w:val="27"/>
        </w:rPr>
        <w:t>附件</w:t>
      </w:r>
      <w:r>
        <w:rPr>
          <w:rFonts w:eastAsia="華康中黑體"/>
          <w:b/>
          <w:spacing w:val="20"/>
          <w:sz w:val="27"/>
          <w:szCs w:val="27"/>
        </w:rPr>
        <w:t>I</w:t>
      </w:r>
      <w:bookmarkEnd w:id="97"/>
    </w:p>
    <w:p>
      <w:pPr>
        <w:pStyle w:val="Normal"/>
        <w:widowControl/>
        <w:overflowPunct w:val="true"/>
        <w:rPr>
          <w:szCs w:val="28"/>
        </w:rPr>
      </w:pPr>
      <w:r>
        <w:rPr>
          <w:szCs w:val="28"/>
        </w:rPr>
      </w:r>
    </w:p>
    <w:p>
      <w:pPr>
        <w:pStyle w:val="Normal"/>
        <w:widowControl/>
        <w:overflowPunct w:val="true"/>
        <w:jc w:val="center"/>
        <w:rPr/>
      </w:pPr>
      <w:r>
        <w:rPr/>
        <w:drawing>
          <wp:inline distT="0" distB="0" distL="0" distR="0">
            <wp:extent cx="2479675" cy="1631315"/>
            <wp:effectExtent l="0" t="0" r="0" b="0"/>
            <wp:docPr id="1" name="圖片 10" descr="描述: G:\ti_hansd\14-15\CSA\150325\532_District Cooling Services Bill\CSA-SEN-c_頁面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0" descr="描述: G:\ti_hansd\14-15\CSA\150325\532_District Cooling Services Bill\CSA-SEN-c_頁面_1.tiff"/>
                    <pic:cNvPicPr>
                      <a:picLocks noChangeAspect="1" noChangeArrowheads="1"/>
                    </pic:cNvPicPr>
                  </pic:nvPicPr>
                  <pic:blipFill>
                    <a:blip r:embed="rId2"/>
                    <a:srcRect l="31616" t="8806" r="32211" b="74344"/>
                    <a:stretch>
                      <a:fillRect/>
                    </a:stretch>
                  </pic:blipFill>
                  <pic:spPr bwMode="auto">
                    <a:xfrm>
                      <a:off x="0" y="0"/>
                      <a:ext cx="2479675" cy="1631315"/>
                    </a:xfrm>
                    <a:prstGeom prst="rect">
                      <a:avLst/>
                    </a:prstGeom>
                  </pic:spPr>
                </pic:pic>
              </a:graphicData>
            </a:graphic>
          </wp:inline>
        </w:drawing>
      </w:r>
    </w:p>
    <w:p>
      <w:pPr>
        <w:pStyle w:val="Normal"/>
        <w:widowControl/>
        <w:overflowPunct w:val="true"/>
        <w:rPr/>
      </w:pPr>
      <w:r>
        <w:rPr/>
        <w:drawing>
          <wp:inline distT="0" distB="0" distL="0" distR="0">
            <wp:extent cx="5588635" cy="5544820"/>
            <wp:effectExtent l="0" t="0" r="0" b="0"/>
            <wp:docPr id="2" name="圖片 9" descr="描述: G:\ti_hansd\14-15\CSA\150325\532_District Cooling Services Bill\CSA-SEN-c_頁面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9" descr="描述: G:\ti_hansd\14-15\CSA\150325\532_District Cooling Services Bill\CSA-SEN-c_頁面_1.tiff"/>
                    <pic:cNvPicPr>
                      <a:picLocks noChangeAspect="1" noChangeArrowheads="1"/>
                    </pic:cNvPicPr>
                  </pic:nvPicPr>
                  <pic:blipFill>
                    <a:blip r:embed="rId3"/>
                    <a:srcRect l="11181" t="24129" r="7943" b="19118"/>
                    <a:stretch>
                      <a:fillRect/>
                    </a:stretch>
                  </pic:blipFill>
                  <pic:spPr bwMode="auto">
                    <a:xfrm>
                      <a:off x="0" y="0"/>
                      <a:ext cx="5588635" cy="5544820"/>
                    </a:xfrm>
                    <a:prstGeom prst="rect">
                      <a:avLst/>
                    </a:prstGeom>
                  </pic:spPr>
                </pic:pic>
              </a:graphicData>
            </a:graphic>
          </wp:inline>
        </w:drawing>
      </w:r>
    </w:p>
    <w:p>
      <w:pPr>
        <w:pStyle w:val="Normal"/>
        <w:widowControl/>
        <w:overflowPunct w:val="true"/>
        <w:rPr/>
      </w:pPr>
      <w:r>
        <w:rPr/>
      </w:r>
    </w:p>
    <w:p>
      <w:pPr>
        <w:pStyle w:val="Normal"/>
        <w:widowControl/>
        <w:overflowPunct w:val="true"/>
        <w:rPr/>
      </w:pPr>
      <w:r>
        <w:rPr/>
      </w:r>
    </w:p>
    <w:p>
      <w:pPr>
        <w:pStyle w:val="Normal"/>
        <w:widowControl/>
        <w:tabs>
          <w:tab w:val="left" w:pos="480" w:leader="none"/>
          <w:tab w:val="left" w:pos="720" w:leader="none"/>
        </w:tabs>
        <w:spacing w:lineRule="auto" w:line="240"/>
        <w:jc w:val="left"/>
        <w:rPr/>
      </w:pPr>
      <w:r>
        <w:rPr/>
      </w:r>
      <w:r>
        <w:br w:type="page"/>
      </w:r>
    </w:p>
    <w:p>
      <w:pPr>
        <w:pStyle w:val="Normal"/>
        <w:widowControl/>
        <w:tabs>
          <w:tab w:val="left" w:pos="480" w:leader="none"/>
          <w:tab w:val="left" w:pos="720" w:leader="none"/>
        </w:tabs>
        <w:spacing w:lineRule="auto" w:line="240"/>
        <w:jc w:val="left"/>
        <w:rPr/>
      </w:pPr>
      <w:r>
        <w:rPr/>
        <w:drawing>
          <wp:inline distT="0" distB="0" distL="0" distR="0">
            <wp:extent cx="5478780" cy="7198360"/>
            <wp:effectExtent l="0" t="0" r="0" b="0"/>
            <wp:docPr id="3" name="圖片 8" descr="描述: G:\ti_hansd\14-15\CSA\150325\532_District Cooling Services Bill\CSA-SEN-c_頁面_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8" descr="描述: G:\ti_hansd\14-15\CSA\150325\532_District Cooling Services Bill\CSA-SEN-c_頁面_2.tiff"/>
                    <pic:cNvPicPr>
                      <a:picLocks noChangeAspect="1" noChangeArrowheads="1"/>
                    </pic:cNvPicPr>
                  </pic:nvPicPr>
                  <pic:blipFill>
                    <a:blip r:embed="rId4"/>
                    <a:srcRect l="10946" t="8588" r="9843" b="17848"/>
                    <a:stretch>
                      <a:fillRect/>
                    </a:stretch>
                  </pic:blipFill>
                  <pic:spPr bwMode="auto">
                    <a:xfrm>
                      <a:off x="0" y="0"/>
                      <a:ext cx="5478780" cy="7198360"/>
                    </a:xfrm>
                    <a:prstGeom prst="rect">
                      <a:avLst/>
                    </a:prstGeom>
                  </pic:spPr>
                </pic:pic>
              </a:graphicData>
            </a:graphic>
          </wp:inline>
        </w:drawing>
      </w:r>
    </w:p>
    <w:p>
      <w:pPr>
        <w:pStyle w:val="Normal"/>
        <w:widowControl/>
        <w:tabs>
          <w:tab w:val="left" w:pos="480" w:leader="none"/>
          <w:tab w:val="left" w:pos="720" w:leader="none"/>
        </w:tabs>
        <w:spacing w:lineRule="auto" w:line="240"/>
        <w:jc w:val="left"/>
        <w:rPr/>
      </w:pPr>
      <w:r>
        <w:rPr/>
      </w:r>
    </w:p>
    <w:p>
      <w:pPr>
        <w:pStyle w:val="Normal"/>
        <w:widowControl/>
        <w:tabs>
          <w:tab w:val="left" w:pos="480" w:leader="none"/>
          <w:tab w:val="left" w:pos="720" w:leader="none"/>
        </w:tabs>
        <w:spacing w:lineRule="auto" w:line="240"/>
        <w:jc w:val="left"/>
        <w:rPr/>
      </w:pPr>
      <w:r>
        <w:rPr/>
      </w:r>
    </w:p>
    <w:p>
      <w:pPr>
        <w:pStyle w:val="Normal"/>
        <w:widowControl/>
        <w:tabs>
          <w:tab w:val="left" w:pos="480" w:leader="none"/>
          <w:tab w:val="left" w:pos="720" w:leader="none"/>
        </w:tabs>
        <w:spacing w:lineRule="auto" w:line="240"/>
        <w:jc w:val="left"/>
        <w:rPr/>
      </w:pPr>
      <w:r>
        <w:rPr/>
      </w:r>
      <w:r>
        <w:br w:type="page"/>
      </w:r>
    </w:p>
    <w:p>
      <w:pPr>
        <w:pStyle w:val="Normal"/>
        <w:widowControl/>
        <w:tabs>
          <w:tab w:val="left" w:pos="480" w:leader="none"/>
          <w:tab w:val="left" w:pos="720" w:leader="none"/>
        </w:tabs>
        <w:spacing w:lineRule="auto" w:line="240"/>
        <w:jc w:val="left"/>
        <w:rPr/>
      </w:pPr>
      <w:r>
        <w:rPr/>
        <w:drawing>
          <wp:inline distT="0" distB="0" distL="0" distR="0">
            <wp:extent cx="5464175" cy="1851025"/>
            <wp:effectExtent l="0" t="0" r="0" b="0"/>
            <wp:docPr id="4" name="圖片 7" descr="描述: G:\ti_hansd\14-15\CSA\150325\532_District Cooling Services Bill\CSA-SEN-c_頁面_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7" descr="描述: G:\ti_hansd\14-15\CSA\150325\532_District Cooling Services Bill\CSA-SEN-c_頁面_3.tiff"/>
                    <pic:cNvPicPr>
                      <a:picLocks noChangeAspect="1" noChangeArrowheads="1"/>
                    </pic:cNvPicPr>
                  </pic:nvPicPr>
                  <pic:blipFill>
                    <a:blip r:embed="rId5"/>
                    <a:srcRect l="10577" t="8326" r="10327" b="72725"/>
                    <a:stretch>
                      <a:fillRect/>
                    </a:stretch>
                  </pic:blipFill>
                  <pic:spPr bwMode="auto">
                    <a:xfrm>
                      <a:off x="0" y="0"/>
                      <a:ext cx="5464175" cy="1851025"/>
                    </a:xfrm>
                    <a:prstGeom prst="rect">
                      <a:avLst/>
                    </a:prstGeom>
                  </pic:spPr>
                </pic:pic>
              </a:graphicData>
            </a:graphic>
          </wp:inline>
        </w:drawing>
      </w:r>
    </w:p>
    <w:p>
      <w:pPr>
        <w:pStyle w:val="Normal"/>
        <w:widowControl/>
        <w:tabs>
          <w:tab w:val="left" w:pos="480" w:leader="none"/>
          <w:tab w:val="left" w:pos="720" w:leader="none"/>
        </w:tabs>
        <w:spacing w:lineRule="auto" w:line="240"/>
        <w:jc w:val="left"/>
        <w:rPr/>
      </w:pPr>
      <w:r>
        <w:rPr/>
      </w:r>
    </w:p>
    <w:p>
      <w:pPr>
        <w:pStyle w:val="Normal"/>
        <w:widowControl/>
        <w:tabs>
          <w:tab w:val="left" w:pos="480" w:leader="none"/>
          <w:tab w:val="left" w:pos="720" w:leader="none"/>
        </w:tabs>
        <w:spacing w:lineRule="auto" w:line="240"/>
        <w:jc w:val="left"/>
        <w:rPr/>
      </w:pPr>
      <w:r>
        <w:rPr/>
      </w:r>
    </w:p>
    <w:p>
      <w:pPr>
        <w:pStyle w:val="Normal"/>
        <w:widowControl/>
        <w:tabs>
          <w:tab w:val="left" w:pos="480" w:leader="none"/>
          <w:tab w:val="left" w:pos="720" w:leader="none"/>
        </w:tabs>
        <w:spacing w:lineRule="auto" w:line="240"/>
        <w:jc w:val="left"/>
        <w:rPr/>
      </w:pPr>
      <w:r>
        <w:rPr/>
      </w:r>
      <w:r>
        <w:br w:type="page"/>
      </w:r>
    </w:p>
    <w:p>
      <w:pPr>
        <w:pStyle w:val="Normal"/>
        <w:widowControl/>
        <w:overflowPunct w:val="true"/>
        <w:jc w:val="right"/>
        <w:rPr>
          <w:b/>
          <w:b/>
        </w:rPr>
      </w:pPr>
      <w:r>
        <w:rPr>
          <w:b/>
        </w:rPr>
        <w:t>Annex I</w:t>
      </w:r>
    </w:p>
    <w:p>
      <w:pPr>
        <w:pStyle w:val="Normal"/>
        <w:widowControl/>
        <w:overflowPunct w:val="true"/>
        <w:jc w:val="left"/>
        <w:rPr/>
      </w:pPr>
      <w:r>
        <w:rPr/>
      </w:r>
    </w:p>
    <w:p>
      <w:pPr>
        <w:pStyle w:val="Normal"/>
        <w:widowControl/>
        <w:overflowPunct w:val="true"/>
        <w:jc w:val="center"/>
        <w:rPr>
          <w:b/>
          <w:b/>
        </w:rPr>
      </w:pPr>
      <w:r>
        <w:rPr/>
        <w:drawing>
          <wp:inline distT="0" distB="0" distL="0" distR="0">
            <wp:extent cx="2296795" cy="1207135"/>
            <wp:effectExtent l="0" t="0" r="0" b="0"/>
            <wp:docPr id="5" name="圖片 6" descr="描述: G:\ti_hansd\14-15\CSA\150325\532_District Cooling Services Bill\CSA-SEN-e_頁面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6" descr="描述: G:\ti_hansd\14-15\CSA\150325\532_District Cooling Services Bill\CSA-SEN-e_頁面_1.tiff"/>
                    <pic:cNvPicPr>
                      <a:picLocks noChangeAspect="1" noChangeArrowheads="1"/>
                    </pic:cNvPicPr>
                  </pic:nvPicPr>
                  <pic:blipFill>
                    <a:blip r:embed="rId6"/>
                    <a:srcRect l="34014" t="13001" r="34252" b="75108"/>
                    <a:stretch>
                      <a:fillRect/>
                    </a:stretch>
                  </pic:blipFill>
                  <pic:spPr bwMode="auto">
                    <a:xfrm>
                      <a:off x="0" y="0"/>
                      <a:ext cx="2296795" cy="1207135"/>
                    </a:xfrm>
                    <a:prstGeom prst="rect">
                      <a:avLst/>
                    </a:prstGeom>
                  </pic:spPr>
                </pic:pic>
              </a:graphicData>
            </a:graphic>
          </wp:inline>
        </w:drawing>
      </w:r>
    </w:p>
    <w:p>
      <w:pPr>
        <w:pStyle w:val="Normal"/>
        <w:widowControl/>
        <w:overflowPunct w:val="true"/>
        <w:jc w:val="center"/>
        <w:rPr>
          <w:rFonts w:eastAsia="Times New Roman"/>
          <w:color w:val="000000"/>
          <w:w w:val="1"/>
          <w:sz w:val="2"/>
          <w:szCs w:val="2"/>
          <w:highlight w:val="black"/>
          <w:lang w:eastAsia="x-none" w:bidi="x-none"/>
        </w:rPr>
      </w:pPr>
      <w:r>
        <w:rPr/>
        <w:drawing>
          <wp:inline distT="0" distB="0" distL="0" distR="0">
            <wp:extent cx="1002030" cy="343535"/>
            <wp:effectExtent l="0" t="0" r="0" b="0"/>
            <wp:docPr id="6" name="圖片 5" descr="描述: G:\ti_hansd\14-15\CSA\150325\532_District Cooling Services Bill\CSA-SEN-e_頁面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描述: G:\ti_hansd\14-15\CSA\150325\532_District Cooling Services Bill\CSA-SEN-e_頁面_1.tiff"/>
                    <pic:cNvPicPr>
                      <a:picLocks noChangeAspect="1" noChangeArrowheads="1"/>
                    </pic:cNvPicPr>
                  </pic:nvPicPr>
                  <pic:blipFill>
                    <a:blip r:embed="rId7"/>
                    <a:srcRect l="18519" t="24976" r="67660" b="71704"/>
                    <a:stretch>
                      <a:fillRect/>
                    </a:stretch>
                  </pic:blipFill>
                  <pic:spPr bwMode="auto">
                    <a:xfrm>
                      <a:off x="0" y="0"/>
                      <a:ext cx="1002030" cy="343535"/>
                    </a:xfrm>
                    <a:prstGeom prst="rect">
                      <a:avLst/>
                    </a:prstGeom>
                  </pic:spPr>
                </pic:pic>
              </a:graphicData>
            </a:graphic>
          </wp:inline>
        </w:drawing>
      </w:r>
      <w:r>
        <w:rPr/>
        <w:drawing>
          <wp:inline distT="0" distB="0" distL="0" distR="0">
            <wp:extent cx="3175000" cy="336550"/>
            <wp:effectExtent l="0" t="0" r="0" b="0"/>
            <wp:docPr id="7" name="圖片 4" descr="描述: G:\ti_hansd\14-15\CSA\150325\532_District Cooling Services Bill\CSA-SEN-e_頁面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4" descr="描述: G:\ti_hansd\14-15\CSA\150325\532_District Cooling Services Bill\CSA-SEN-e_頁面_1.tiff"/>
                    <pic:cNvPicPr>
                      <a:picLocks noChangeAspect="1" noChangeArrowheads="1"/>
                    </pic:cNvPicPr>
                  </pic:nvPicPr>
                  <pic:blipFill>
                    <a:blip r:embed="rId8"/>
                    <a:srcRect l="37511" t="25018" r="18494" b="71706"/>
                    <a:stretch>
                      <a:fillRect/>
                    </a:stretch>
                  </pic:blipFill>
                  <pic:spPr bwMode="auto">
                    <a:xfrm>
                      <a:off x="0" y="0"/>
                      <a:ext cx="3175000" cy="336550"/>
                    </a:xfrm>
                    <a:prstGeom prst="rect">
                      <a:avLst/>
                    </a:prstGeom>
                  </pic:spPr>
                </pic:pic>
              </a:graphicData>
            </a:graphic>
          </wp:inline>
        </w:drawing>
      </w:r>
    </w:p>
    <w:p>
      <w:pPr>
        <w:pStyle w:val="Normal"/>
        <w:widowControl/>
        <w:overflowPunct w:val="true"/>
        <w:jc w:val="center"/>
        <w:rPr>
          <w:rFonts w:eastAsia="Times New Roman"/>
          <w:color w:val="000000"/>
          <w:w w:val="1"/>
          <w:sz w:val="2"/>
          <w:szCs w:val="2"/>
          <w:highlight w:val="black"/>
          <w:lang w:eastAsia="x-none" w:bidi="x-none"/>
        </w:rPr>
      </w:pPr>
      <w:r>
        <w:rPr>
          <w:rFonts w:eastAsia="Times New Roman"/>
          <w:color w:val="000000"/>
          <w:w w:val="1"/>
          <w:sz w:val="2"/>
          <w:szCs w:val="2"/>
          <w:shd w:fill="000000" w:val="clear"/>
          <w:lang w:eastAsia="x-none" w:bidi="x-none"/>
        </w:rPr>
      </w:r>
    </w:p>
    <w:p>
      <w:pPr>
        <w:pStyle w:val="Normal"/>
        <w:widowControl/>
        <w:overflowPunct w:val="true"/>
        <w:jc w:val="center"/>
        <w:rPr>
          <w:rFonts w:eastAsia="Times New Roman"/>
          <w:color w:val="000000"/>
          <w:w w:val="1"/>
          <w:sz w:val="2"/>
          <w:szCs w:val="2"/>
          <w:highlight w:val="black"/>
          <w:lang w:eastAsia="x-none" w:bidi="x-none"/>
        </w:rPr>
      </w:pPr>
      <w:r>
        <w:rPr>
          <w:rFonts w:eastAsia="Times New Roman"/>
          <w:color w:val="000000"/>
          <w:w w:val="1"/>
          <w:sz w:val="2"/>
          <w:szCs w:val="2"/>
          <w:shd w:fill="000000" w:val="clear"/>
          <w:lang w:eastAsia="x-none" w:bidi="x-none"/>
        </w:rPr>
      </w:r>
    </w:p>
    <w:p>
      <w:pPr>
        <w:pStyle w:val="Normal"/>
        <w:widowControl/>
        <w:overflowPunct w:val="true"/>
        <w:jc w:val="left"/>
        <w:rPr>
          <w:b/>
          <w:b/>
          <w:szCs w:val="28"/>
        </w:rPr>
      </w:pPr>
      <w:r>
        <w:rPr/>
        <w:drawing>
          <wp:inline distT="0" distB="0" distL="0" distR="0">
            <wp:extent cx="5706110" cy="4886325"/>
            <wp:effectExtent l="0" t="0" r="0" b="0"/>
            <wp:docPr id="8" name="圖片 3" descr="描述: G:\ti_hansd\14-15\CSA\150325\532_District Cooling Services Bill\CSA-SEN-e_頁面_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3" descr="描述: G:\ti_hansd\14-15\CSA\150325\532_District Cooling Services Bill\CSA-SEN-e_頁面_1.tiff"/>
                    <pic:cNvPicPr>
                      <a:picLocks noChangeAspect="1" noChangeArrowheads="1"/>
                    </pic:cNvPicPr>
                  </pic:nvPicPr>
                  <pic:blipFill>
                    <a:blip r:embed="rId9"/>
                    <a:srcRect l="13705" t="31351" r="7321" b="20820"/>
                    <a:stretch>
                      <a:fillRect/>
                    </a:stretch>
                  </pic:blipFill>
                  <pic:spPr bwMode="auto">
                    <a:xfrm>
                      <a:off x="0" y="0"/>
                      <a:ext cx="5706110" cy="4886325"/>
                    </a:xfrm>
                    <a:prstGeom prst="rect">
                      <a:avLst/>
                    </a:prstGeom>
                  </pic:spPr>
                </pic:pic>
              </a:graphicData>
            </a:graphic>
          </wp:inline>
        </w:drawing>
      </w:r>
    </w:p>
    <w:p>
      <w:pPr>
        <w:pStyle w:val="Normal"/>
        <w:widowControl/>
        <w:overflowPunct w:val="true"/>
        <w:jc w:val="left"/>
        <w:rPr>
          <w:b/>
          <w:b/>
        </w:rPr>
      </w:pPr>
      <w:r>
        <w:rPr>
          <w:b/>
        </w:rPr>
      </w:r>
    </w:p>
    <w:p>
      <w:pPr>
        <w:pStyle w:val="Normal"/>
        <w:widowControl/>
        <w:overflowPunct w:val="true"/>
        <w:jc w:val="left"/>
        <w:rPr>
          <w:b/>
          <w:b/>
        </w:rPr>
      </w:pPr>
      <w:r>
        <w:rPr>
          <w:b/>
        </w:rPr>
      </w:r>
    </w:p>
    <w:p>
      <w:pPr>
        <w:pStyle w:val="Normal"/>
        <w:widowControl/>
        <w:tabs>
          <w:tab w:val="left" w:pos="480" w:leader="none"/>
          <w:tab w:val="left" w:pos="720" w:leader="none"/>
        </w:tabs>
        <w:spacing w:lineRule="auto" w:line="240"/>
        <w:jc w:val="left"/>
        <w:rPr>
          <w:b/>
          <w:b/>
        </w:rPr>
      </w:pPr>
      <w:r>
        <w:rPr>
          <w:b/>
        </w:rPr>
      </w:r>
      <w:r>
        <w:br w:type="page"/>
      </w:r>
    </w:p>
    <w:p>
      <w:pPr>
        <w:pStyle w:val="Normal"/>
        <w:widowControl/>
        <w:overflowPunct w:val="true"/>
        <w:jc w:val="left"/>
        <w:rPr>
          <w:b/>
          <w:b/>
        </w:rPr>
      </w:pPr>
      <w:r>
        <w:rPr/>
        <w:drawing>
          <wp:inline distT="0" distB="0" distL="0" distR="0">
            <wp:extent cx="5735320" cy="7658735"/>
            <wp:effectExtent l="0" t="0" r="0" b="0"/>
            <wp:docPr id="9" name="圖片 2" descr="描述: G:\ti_hansd\14-15\CSA\150325\532_District Cooling Services Bill\CSA-SEN-e_頁面_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2" descr="描述: G:\ti_hansd\14-15\CSA\150325\532_District Cooling Services Bill\CSA-SEN-e_頁面_2.tiff"/>
                    <pic:cNvPicPr>
                      <a:picLocks noChangeAspect="1" noChangeArrowheads="1"/>
                    </pic:cNvPicPr>
                  </pic:nvPicPr>
                  <pic:blipFill>
                    <a:blip r:embed="rId10"/>
                    <a:srcRect l="13944" t="7728" r="6603" b="17248"/>
                    <a:stretch>
                      <a:fillRect/>
                    </a:stretch>
                  </pic:blipFill>
                  <pic:spPr bwMode="auto">
                    <a:xfrm>
                      <a:off x="0" y="0"/>
                      <a:ext cx="5735320" cy="7658735"/>
                    </a:xfrm>
                    <a:prstGeom prst="rect">
                      <a:avLst/>
                    </a:prstGeom>
                  </pic:spPr>
                </pic:pic>
              </a:graphicData>
            </a:graphic>
          </wp:inline>
        </w:drawing>
      </w:r>
    </w:p>
    <w:p>
      <w:pPr>
        <w:pStyle w:val="Normal"/>
        <w:widowControl/>
        <w:overflowPunct w:val="true"/>
        <w:jc w:val="left"/>
        <w:rPr>
          <w:b/>
          <w:b/>
        </w:rPr>
      </w:pPr>
      <w:r>
        <w:rPr>
          <w:b/>
        </w:rPr>
      </w:r>
    </w:p>
    <w:p>
      <w:pPr>
        <w:pStyle w:val="Normal"/>
        <w:widowControl/>
        <w:overflowPunct w:val="true"/>
        <w:jc w:val="left"/>
        <w:rPr>
          <w:b/>
          <w:b/>
        </w:rPr>
      </w:pPr>
      <w:r>
        <w:rPr>
          <w:b/>
        </w:rPr>
      </w:r>
    </w:p>
    <w:p>
      <w:pPr>
        <w:pStyle w:val="Normal"/>
        <w:widowControl/>
        <w:tabs>
          <w:tab w:val="left" w:pos="480" w:leader="none"/>
          <w:tab w:val="left" w:pos="720" w:leader="none"/>
        </w:tabs>
        <w:spacing w:lineRule="auto" w:line="240"/>
        <w:jc w:val="left"/>
        <w:rPr>
          <w:b/>
          <w:b/>
        </w:rPr>
      </w:pPr>
      <w:r>
        <w:rPr>
          <w:b/>
        </w:rPr>
      </w:r>
      <w:r>
        <w:br w:type="page"/>
      </w:r>
    </w:p>
    <w:p>
      <w:pPr>
        <w:pStyle w:val="Normal"/>
        <w:widowControl/>
        <w:overflowPunct w:val="true"/>
        <w:jc w:val="left"/>
        <w:rPr>
          <w:b/>
          <w:b/>
        </w:rPr>
      </w:pPr>
      <w:r>
        <w:rPr/>
        <w:drawing>
          <wp:inline distT="0" distB="0" distL="0" distR="0">
            <wp:extent cx="5706110" cy="4981575"/>
            <wp:effectExtent l="0" t="0" r="0" b="0"/>
            <wp:docPr id="10" name="圖片 1" descr="描述: G:\ti_hansd\14-15\CSA\150325\532_District Cooling Services Bill\CSA-SEN-e_頁面_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 descr="描述: G:\ti_hansd\14-15\CSA\150325\532_District Cooling Services Bill\CSA-SEN-e_頁面_3.tiff"/>
                    <pic:cNvPicPr>
                      <a:picLocks noChangeAspect="1" noChangeArrowheads="1"/>
                    </pic:cNvPicPr>
                  </pic:nvPicPr>
                  <pic:blipFill>
                    <a:blip r:embed="rId11"/>
                    <a:srcRect l="13466" t="8246" r="7560" b="42992"/>
                    <a:stretch>
                      <a:fillRect/>
                    </a:stretch>
                  </pic:blipFill>
                  <pic:spPr bwMode="auto">
                    <a:xfrm>
                      <a:off x="0" y="0"/>
                      <a:ext cx="5706110" cy="4981575"/>
                    </a:xfrm>
                    <a:prstGeom prst="rect">
                      <a:avLst/>
                    </a:prstGeom>
                  </pic:spPr>
                </pic:pic>
              </a:graphicData>
            </a:graphic>
          </wp:inline>
        </w:drawing>
      </w:r>
    </w:p>
    <w:p>
      <w:pPr>
        <w:pStyle w:val="Normal"/>
        <w:widowControl/>
        <w:overflowPunct w:val="true"/>
        <w:jc w:val="left"/>
        <w:rPr>
          <w:b/>
          <w:b/>
        </w:rPr>
      </w:pPr>
      <w:r>
        <w:rPr>
          <w:b/>
        </w:rPr>
      </w:r>
    </w:p>
    <w:p>
      <w:pPr>
        <w:pStyle w:val="Normal"/>
        <w:widowControl/>
        <w:overflowPunct w:val="true"/>
        <w:jc w:val="left"/>
        <w:rPr>
          <w:b/>
          <w:b/>
        </w:rPr>
      </w:pPr>
      <w:r>
        <w:rPr>
          <w:b/>
        </w:rPr>
      </w:r>
    </w:p>
    <w:p>
      <w:pPr>
        <w:pStyle w:val="Normal"/>
        <w:widowControl/>
        <w:tabs>
          <w:tab w:val="clear" w:pos="720"/>
        </w:tabs>
        <w:spacing w:lineRule="auto" w:line="276" w:before="0" w:after="200"/>
        <w:jc w:val="left"/>
        <w:rPr>
          <w:rFonts w:cs="" w:cstheme="minorBidi"/>
          <w:i/>
          <w:i/>
          <w:spacing w:val="20"/>
          <w:sz w:val="27"/>
          <w:szCs w:val="22"/>
          <w:lang w:val="en-US"/>
        </w:rPr>
      </w:pPr>
      <w:r>
        <w:rPr/>
      </w:r>
    </w:p>
    <w:sectPr>
      <w:headerReference w:type="default" r:id="rId12"/>
      <w:footnotePr>
        <w:numFmt w:val="decimal"/>
        <w:numRestart w:val="eachPage"/>
      </w:footnotePr>
      <w:type w:val="nextPage"/>
      <w:pgSz w:w="11906" w:h="16838"/>
      <w:pgMar w:left="1361" w:right="1332" w:header="907" w:top="964" w:footer="0" w:bottom="1077" w:gutter="0"/>
      <w:pgNumType w:fmt="decimal"/>
      <w:formProt w:val="false"/>
      <w:textDirection w:val="lrTb"/>
      <w:docGrid w:type="default" w:linePitch="367"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 w:name="Verdana">
    <w:charset w:val="01"/>
    <w:family w:val="roman"/>
    <w:pitch w:val="variable"/>
  </w:font>
  <w:font w:name="新細明體">
    <w:charset w:val="01"/>
    <w:family w:val="roman"/>
    <w:pitch w:val="variable"/>
  </w:font>
  <w:font w:name="華康中黑體">
    <w:charset w:val="01"/>
    <w:family w:val="roman"/>
    <w:pitch w:val="variable"/>
  </w:font>
  <w:font w:name="華康細明體">
    <w:charset w:val="01"/>
    <w:family w:val="roman"/>
    <w:pitch w:val="variable"/>
  </w:font>
  <w:font w:name="CG Times">
    <w:charset w:val="01"/>
    <w:family w:val="roman"/>
    <w:pitch w:val="variable"/>
  </w:font>
  <w:font w:name="Batang">
    <w:altName w:val="바탕"/>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Normal"/>
        <w:snapToGrid w:val="false"/>
        <w:spacing w:lineRule="auto" w:line="240"/>
        <w:ind w:left="567" w:hanging="567"/>
        <w:rPr>
          <w:spacing w:val="20"/>
          <w:sz w:val="20"/>
          <w:szCs w:val="20"/>
        </w:rPr>
      </w:pPr>
      <w:r>
        <w:rPr>
          <w:rStyle w:val="FootnoteCharacters"/>
        </w:rPr>
        <w:footnoteRef/>
      </w:r>
      <w:r>
        <w:rPr>
          <w:spacing w:val="20"/>
          <w:sz w:val="20"/>
        </w:rPr>
        <w:tab/>
        <w:t>()</w:t>
      </w:r>
      <w:r>
        <w:rPr>
          <w:spacing w:val="20"/>
          <w:sz w:val="20"/>
        </w:rPr>
        <w:t>根據有關的扣分制度，當承辦商不履行在工資、每天准予工作時數上限、與其僱用以執行政府合約的非技術工人</w:t>
      </w:r>
      <w:r>
        <w:rPr>
          <w:spacing w:val="20"/>
          <w:sz w:val="20"/>
        </w:rPr>
        <w:t>(</w:t>
      </w:r>
      <w:r>
        <w:rPr>
          <w:spacing w:val="20"/>
          <w:sz w:val="20"/>
        </w:rPr>
        <w:t>臨時替假人員除外</w:t>
      </w:r>
      <w:r>
        <w:rPr>
          <w:spacing w:val="20"/>
          <w:sz w:val="20"/>
        </w:rPr>
        <w:t>)</w:t>
      </w:r>
      <w:r>
        <w:rPr>
          <w:spacing w:val="20"/>
          <w:sz w:val="20"/>
        </w:rPr>
        <w:t>簽訂標準僱傭合約，以及以自動轉帳方式支付工資方面的合約責任，會被發出失責通知書，並會被扣</w:t>
      </w:r>
      <w:r>
        <w:rPr>
          <w:spacing w:val="20"/>
          <w:sz w:val="20"/>
        </w:rPr>
        <w:t>1</w:t>
      </w:r>
      <w:r>
        <w:rPr>
          <w:spacing w:val="20"/>
          <w:sz w:val="20"/>
        </w:rPr>
        <w:t>分。如在</w:t>
      </w:r>
      <w:r>
        <w:rPr>
          <w:spacing w:val="20"/>
          <w:sz w:val="20"/>
        </w:rPr>
        <w:t>36</w:t>
      </w:r>
      <w:r>
        <w:rPr>
          <w:spacing w:val="20"/>
          <w:sz w:val="20"/>
        </w:rPr>
        <w:t>個月內被扣滿</w:t>
      </w:r>
      <w:r>
        <w:rPr>
          <w:spacing w:val="20"/>
          <w:sz w:val="20"/>
        </w:rPr>
        <w:t>3</w:t>
      </w:r>
      <w:r>
        <w:rPr>
          <w:spacing w:val="20"/>
          <w:sz w:val="20"/>
        </w:rPr>
        <w:t>分，其投標建議在扣滿</w:t>
      </w:r>
      <w:r>
        <w:rPr>
          <w:spacing w:val="20"/>
          <w:sz w:val="20"/>
        </w:rPr>
        <w:t>3</w:t>
      </w:r>
      <w:r>
        <w:rPr>
          <w:spacing w:val="20"/>
          <w:sz w:val="20"/>
        </w:rPr>
        <w:t>分當日起計的</w:t>
      </w:r>
      <w:r>
        <w:rPr>
          <w:spacing w:val="20"/>
          <w:sz w:val="20"/>
        </w:rPr>
        <w:t>5</w:t>
      </w:r>
      <w:r>
        <w:rPr>
          <w:spacing w:val="20"/>
          <w:sz w:val="20"/>
        </w:rPr>
        <w:t>年內，將不獲考慮。</w:t>
      </w:r>
    </w:p>
  </w:footnote>
  <w:footnote w:id="3">
    <w:p>
      <w:pPr>
        <w:pStyle w:val="Footnote"/>
        <w:snapToGrid w:val="false"/>
        <w:spacing w:lineRule="auto" w:line="240"/>
        <w:ind w:left="567" w:hanging="567"/>
        <w:rPr>
          <w:spacing w:val="20"/>
        </w:rPr>
      </w:pPr>
      <w:r>
        <w:rPr>
          <w:rStyle w:val="FootnoteCharacters"/>
        </w:rPr>
        <w:footnoteRef/>
      </w:r>
      <w:r>
        <w:rPr>
          <w:spacing w:val="20"/>
        </w:rPr>
        <w:tab/>
        <w:t>()</w:t>
      </w:r>
      <w:r>
        <w:rPr>
          <w:spacing w:val="20"/>
        </w:rPr>
        <w:t>比率為畢業學員於畢業後</w:t>
      </w:r>
      <w:r>
        <w:rPr>
          <w:spacing w:val="20"/>
        </w:rPr>
        <w:t>3</w:t>
      </w:r>
      <w:r>
        <w:rPr>
          <w:spacing w:val="20"/>
        </w:rPr>
        <w:t>個月成功就業比率。</w:t>
      </w:r>
    </w:p>
    <w:p>
      <w:pPr>
        <w:pStyle w:val="Footnote"/>
        <w:snapToGrid w:val="false"/>
        <w:spacing w:lineRule="auto" w:line="240"/>
        <w:ind w:left="567" w:hanging="567"/>
        <w:rPr>
          <w:spacing w:val="20"/>
        </w:rPr>
      </w:pPr>
      <w:r>
        <w:rPr/>
      </w:r>
    </w:p>
  </w:footnote>
  <w:footnote w:id="4">
    <w:p>
      <w:pPr>
        <w:pStyle w:val="Footnote"/>
        <w:snapToGrid w:val="false"/>
        <w:spacing w:lineRule="auto" w:line="240"/>
        <w:ind w:left="567" w:hanging="567"/>
        <w:rPr/>
      </w:pPr>
      <w:r>
        <w:rPr>
          <w:rStyle w:val="FootnoteCharacters"/>
        </w:rPr>
        <w:footnoteRef/>
      </w:r>
      <w:r>
        <w:rPr>
          <w:spacing w:val="20"/>
        </w:rPr>
        <w:tab/>
        <w:t>()</w:t>
      </w:r>
      <w:r>
        <w:rPr>
          <w:spacing w:val="20"/>
        </w:rPr>
        <w:t>參考議會於</w:t>
      </w:r>
      <w:r>
        <w:rPr>
          <w:spacing w:val="20"/>
        </w:rPr>
        <w:t>2015</w:t>
      </w:r>
      <w:r>
        <w:rPr>
          <w:spacing w:val="20"/>
        </w:rPr>
        <w:t>年</w:t>
      </w:r>
      <w:r>
        <w:rPr>
          <w:spacing w:val="20"/>
        </w:rPr>
        <w:t>1</w:t>
      </w:r>
      <w:r>
        <w:rPr>
          <w:spacing w:val="20"/>
        </w:rPr>
        <w:t>月公布的就業調查，議會定期調查畢業學員於畢業後</w:t>
      </w:r>
      <w:r>
        <w:rPr>
          <w:spacing w:val="20"/>
        </w:rPr>
        <w:t>3</w:t>
      </w:r>
      <w:r>
        <w:rPr>
          <w:spacing w:val="20"/>
        </w:rPr>
        <w:t>個月、</w:t>
      </w:r>
      <w:r>
        <w:rPr>
          <w:spacing w:val="20"/>
        </w:rPr>
        <w:t>6</w:t>
      </w:r>
      <w:r>
        <w:rPr>
          <w:spacing w:val="20"/>
        </w:rPr>
        <w:t>個月及</w:t>
      </w:r>
      <w:r>
        <w:rPr>
          <w:spacing w:val="20"/>
        </w:rPr>
        <w:t>12</w:t>
      </w:r>
      <w:r>
        <w:rPr>
          <w:spacing w:val="20"/>
        </w:rPr>
        <w:t>個月後的留職率。</w:t>
      </w:r>
    </w:p>
  </w:footnote>
  <w:footnote w:id="5">
    <w:p>
      <w:pPr>
        <w:pStyle w:val="Footnote"/>
        <w:tabs>
          <w:tab w:val="clear" w:pos="720"/>
        </w:tabs>
        <w:spacing w:lineRule="auto" w:line="240"/>
        <w:ind w:left="567" w:hanging="567"/>
        <w:rPr>
          <w:spacing w:val="20"/>
        </w:rPr>
      </w:pPr>
      <w:r>
        <w:rPr>
          <w:rStyle w:val="FootnoteCharacters"/>
        </w:rPr>
        <w:t>(1)</w:t>
      </w:r>
      <w:r>
        <w:rPr>
          <w:rStyle w:val="FootnoteCharacters"/>
          <w:position w:val="0"/>
          <w:sz w:val="20"/>
          <w:vertAlign w:val="baseline"/>
        </w:rPr>
        <w:tab/>
        <w:t>(1)</w:t>
      </w:r>
      <w:r>
        <w:rPr>
          <w:spacing w:val="20"/>
        </w:rPr>
        <w:t>詳情可參照</w:t>
      </w:r>
      <w:r>
        <w:rPr>
          <w:spacing w:val="20"/>
        </w:rPr>
        <w:t>&lt;http://www.emsd.gov.hk/emsd/chi/sgi/lpg_pub_price.shtml&gt;</w:t>
      </w:r>
    </w:p>
  </w:footnote>
  <w:footnote w:id="6">
    <w:p>
      <w:pPr>
        <w:pStyle w:val="Style13"/>
        <w:spacing w:lineRule="auto" w:line="240"/>
        <w:ind w:left="0" w:hanging="0"/>
        <w:rPr>
          <w:i w:val="false"/>
          <w:i w:val="false"/>
          <w:sz w:val="20"/>
          <w:szCs w:val="20"/>
        </w:rPr>
      </w:pPr>
      <w:r>
        <w:rPr>
          <w:rStyle w:val="FootnoteCharacters"/>
        </w:rPr>
        <w:t>(2)</w:t>
      </w:r>
      <w:r>
        <w:rPr>
          <w:rStyle w:val="FootnoteCharacters"/>
          <w:i w:val="false"/>
          <w:position w:val="0"/>
          <w:sz w:val="20"/>
          <w:sz w:val="20"/>
          <w:szCs w:val="20"/>
          <w:vertAlign w:val="baseline"/>
        </w:rPr>
        <w:t>(2)</w:t>
      </w:r>
      <w:r>
        <w:rPr>
          <w:i w:val="false"/>
          <w:sz w:val="20"/>
          <w:szCs w:val="20"/>
        </w:rPr>
        <w:tab/>
      </w:r>
      <w:r>
        <w:rPr>
          <w:i w:val="false"/>
          <w:sz w:val="20"/>
          <w:szCs w:val="20"/>
        </w:rPr>
        <w:t>詳情可參照立法會文件編號</w:t>
      </w:r>
      <w:r>
        <w:rPr>
          <w:i w:val="false"/>
          <w:sz w:val="20"/>
          <w:szCs w:val="20"/>
        </w:rPr>
        <w:t>CB(4)433/14-15(01)</w:t>
      </w:r>
    </w:p>
  </w:footnote>
  <w:footnote w:id="7">
    <w:p>
      <w:pPr>
        <w:pStyle w:val="Normal"/>
        <w:tabs>
          <w:tab w:val="clear" w:pos="720"/>
        </w:tabs>
        <w:spacing w:lineRule="auto" w:line="240"/>
        <w:rPr>
          <w:spacing w:val="20"/>
          <w:sz w:val="20"/>
          <w:szCs w:val="20"/>
        </w:rPr>
      </w:pPr>
      <w:r>
        <w:rPr>
          <w:rStyle w:val="FootnoteCharacters"/>
        </w:rPr>
        <w:t>(1)</w:t>
      </w:r>
      <w:r>
        <w:rPr>
          <w:spacing w:val="20"/>
          <w:sz w:val="20"/>
        </w:rPr>
        <w:t>(1)</w:t>
        <w:tab/>
      </w:r>
      <w:r>
        <w:rPr>
          <w:spacing w:val="20"/>
          <w:sz w:val="20"/>
        </w:rPr>
        <w:t>彩明苑</w:t>
      </w:r>
      <w:r>
        <w:rPr>
          <w:rFonts w:ascii="華康細明體" w:hAnsi="華康細明體"/>
          <w:spacing w:val="20"/>
          <w:sz w:val="20"/>
        </w:rPr>
        <w:t>─</w:t>
      </w:r>
      <w:r>
        <w:rPr>
          <w:spacing w:val="20"/>
          <w:sz w:val="20"/>
        </w:rPr>
        <w:t>4</w:t>
      </w:r>
      <w:r>
        <w:rPr>
          <w:spacing w:val="20"/>
          <w:sz w:val="20"/>
        </w:rPr>
        <w:t>座公屋及</w:t>
      </w:r>
      <w:r>
        <w:rPr>
          <w:spacing w:val="20"/>
          <w:sz w:val="20"/>
        </w:rPr>
        <w:t>6</w:t>
      </w:r>
      <w:r>
        <w:rPr>
          <w:spacing w:val="20"/>
          <w:sz w:val="20"/>
        </w:rPr>
        <w:t>座居屋</w:t>
      </w:r>
    </w:p>
  </w:footnote>
  <w:footnote w:id="8">
    <w:p>
      <w:pPr>
        <w:pStyle w:val="Normal"/>
        <w:tabs>
          <w:tab w:val="clear" w:pos="720"/>
        </w:tabs>
        <w:snapToGrid w:val="false"/>
        <w:spacing w:lineRule="auto" w:line="240"/>
        <w:rPr>
          <w:spacing w:val="20"/>
          <w:sz w:val="20"/>
        </w:rPr>
      </w:pPr>
      <w:r>
        <w:rPr>
          <w:rStyle w:val="FootnoteCharacters"/>
        </w:rPr>
        <w:t>(2)</w:t>
      </w:r>
      <w:r>
        <w:rPr>
          <w:rStyle w:val="FootnoteCharacters"/>
          <w:spacing w:val="20"/>
          <w:position w:val="0"/>
          <w:sz w:val="20"/>
          <w:sz w:val="20"/>
          <w:vertAlign w:val="baseline"/>
        </w:rPr>
        <w:t>(2)</w:t>
      </w:r>
      <w:r>
        <w:rPr>
          <w:spacing w:val="20"/>
          <w:sz w:val="20"/>
        </w:rPr>
        <w:tab/>
      </w:r>
      <w:r>
        <w:rPr>
          <w:spacing w:val="20"/>
          <w:sz w:val="20"/>
        </w:rPr>
        <w:t>海富苑</w:t>
      </w:r>
      <w:r>
        <w:rPr>
          <w:rFonts w:ascii="華康細明體" w:hAnsi="華康細明體"/>
          <w:spacing w:val="20"/>
          <w:sz w:val="20"/>
        </w:rPr>
        <w:t>─</w:t>
      </w:r>
      <w:r>
        <w:rPr>
          <w:spacing w:val="20"/>
          <w:sz w:val="20"/>
        </w:rPr>
        <w:t>5</w:t>
      </w:r>
      <w:r>
        <w:rPr>
          <w:spacing w:val="20"/>
          <w:sz w:val="20"/>
        </w:rPr>
        <w:t>座公屋及</w:t>
      </w:r>
      <w:r>
        <w:rPr>
          <w:spacing w:val="20"/>
          <w:sz w:val="20"/>
        </w:rPr>
        <w:t>1</w:t>
      </w:r>
      <w:r>
        <w:rPr>
          <w:spacing w:val="20"/>
          <w:sz w:val="20"/>
        </w:rPr>
        <w:t>座可租可買計劃及重建置業計劃</w:t>
      </w:r>
    </w:p>
    <w:p>
      <w:pPr>
        <w:pStyle w:val="Footnote"/>
        <w:tabs>
          <w:tab w:val="clear" w:pos="720"/>
        </w:tabs>
        <w:spacing w:lineRule="auto" w:line="240"/>
        <w:rPr>
          <w:rFonts w:ascii="CG Times" w:hAnsi="CG Times"/>
          <w:spacing w:val="20"/>
          <w:kern w:val="2"/>
        </w:rPr>
      </w:pPr>
      <w:r>
        <w:rPr/>
      </w:r>
    </w:p>
  </w:footnote>
  <w:footnote w:id="9">
    <w:p>
      <w:pPr>
        <w:pStyle w:val="Normal"/>
        <w:tabs>
          <w:tab w:val="clear" w:pos="720"/>
        </w:tabs>
        <w:snapToGrid w:val="false"/>
        <w:spacing w:lineRule="auto" w:line="240"/>
        <w:rPr>
          <w:sz w:val="20"/>
        </w:rPr>
      </w:pPr>
      <w:r>
        <w:rPr>
          <w:rStyle w:val="FootnoteCharacters"/>
        </w:rPr>
        <w:t>(3)</w:t>
      </w:r>
      <w:r>
        <w:rPr>
          <w:rStyle w:val="FootnoteCharacters"/>
          <w:spacing w:val="20"/>
          <w:position w:val="0"/>
          <w:sz w:val="20"/>
          <w:sz w:val="20"/>
          <w:vertAlign w:val="baseline"/>
        </w:rPr>
        <w:t>(3)</w:t>
      </w:r>
      <w:r>
        <w:rPr>
          <w:spacing w:val="20"/>
          <w:sz w:val="20"/>
        </w:rPr>
        <w:tab/>
      </w:r>
      <w:r>
        <w:rPr>
          <w:spacing w:val="20"/>
          <w:sz w:val="20"/>
        </w:rPr>
        <w:t>雍盛苑</w:t>
      </w:r>
      <w:r>
        <w:rPr>
          <w:rFonts w:ascii="華康細明體" w:hAnsi="華康細明體"/>
          <w:spacing w:val="20"/>
          <w:sz w:val="20"/>
        </w:rPr>
        <w:t>─</w:t>
      </w:r>
      <w:r>
        <w:rPr>
          <w:spacing w:val="20"/>
          <w:sz w:val="20"/>
        </w:rPr>
        <w:t>3</w:t>
      </w:r>
      <w:r>
        <w:rPr>
          <w:spacing w:val="20"/>
          <w:sz w:val="20"/>
        </w:rPr>
        <w:t>座公屋及</w:t>
      </w:r>
      <w:r>
        <w:rPr>
          <w:spacing w:val="20"/>
          <w:sz w:val="20"/>
        </w:rPr>
        <w:t>1</w:t>
      </w:r>
      <w:r>
        <w:rPr>
          <w:spacing w:val="20"/>
          <w:sz w:val="20"/>
        </w:rPr>
        <w:t>座可租可買計劃及重建置業計劃</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21"/>
      <w:ind w:right="-28" w:hanging="0"/>
      <w:jc w:val="center"/>
      <w:rPr>
        <w:rFonts w:cs="Times New Roman"/>
      </w:rPr>
    </w:pPr>
    <w:r>
      <w:rPr/>
      <w:t xml:space="preserve">立法會 ─ </w:t>
    </w:r>
    <w:r>
      <w:rPr>
        <w:rFonts w:eastAsia="華康中黑體" w:cs="Times New Roman"/>
        <w:b/>
      </w:rPr>
      <w:t>2015</w:t>
    </w:r>
    <w:r>
      <w:rPr>
        <w:rFonts w:cs="Times New Roman" w:eastAsia="華康中黑體"/>
        <w:b/>
      </w:rPr>
      <w:t>年</w:t>
    </w:r>
    <w:r>
      <w:rPr>
        <w:rFonts w:eastAsia="華康中黑體" w:cs="Times New Roman"/>
        <w:b/>
      </w:rPr>
      <w:t>3</w:t>
    </w:r>
    <w:r>
      <w:rPr>
        <w:rFonts w:cs="Times New Roman" w:eastAsia="華康中黑體"/>
        <w:b/>
      </w:rPr>
      <w:t>月</w:t>
    </w:r>
    <w:r>
      <w:rPr>
        <w:rFonts w:eastAsia="華康中黑體" w:cs="Times New Roman"/>
        <w:b/>
      </w:rPr>
      <w:t>25</w:t>
    </w:r>
    <w:r>
      <w:rPr>
        <w:rFonts w:cs="Times New Roman" w:eastAsia="華康中黑體"/>
        <w:b/>
      </w:rPr>
      <w:t>日</w:t>
    </w:r>
    <w:r>
      <mc:AlternateContent>
        <mc:Choice Requires="wps">
          <w:drawing>
            <wp:anchor behindDoc="0" distT="0" distB="0" distL="0" distR="0" simplePos="0" locked="0" layoutInCell="1" allowOverlap="1" relativeHeight="355">
              <wp:simplePos x="0" y="0"/>
              <wp:positionH relativeFrom="margin">
                <wp:align>outside</wp:align>
              </wp:positionH>
              <wp:positionV relativeFrom="paragraph">
                <wp:posOffset>216535</wp:posOffset>
              </wp:positionV>
              <wp:extent cx="273685" cy="228600"/>
              <wp:effectExtent l="0" t="0" r="0" b="0"/>
              <wp:wrapSquare wrapText="largest"/>
              <wp:docPr id="11" name="Frame1"/>
              <a:graphic xmlns:a="http://schemas.openxmlformats.org/drawingml/2006/main">
                <a:graphicData uri="http://schemas.microsoft.com/office/word/2010/wordprocessingShape">
                  <wps:wsp>
                    <wps:cNvSpPr txBox="1"/>
                    <wps:spPr>
                      <a:xfrm>
                        <a:off x="0" y="0"/>
                        <a:ext cx="273685" cy="228600"/>
                      </a:xfrm>
                      <a:prstGeom prst="rect"/>
                      <a:solidFill>
                        <a:srgbClr val="FFFFFF">
                          <a:alpha val="0"/>
                        </a:srgbClr>
                      </a:solidFill>
                    </wps:spPr>
                    <wps:txbx>
                      <w:txbxContent>
                        <w:p>
                          <w:pPr>
                            <w:pStyle w:val="Header"/>
                            <w:pBdr/>
                            <w:rPr>
                              <w:rStyle w:val="Pagenumber"/>
                              <w:spacing w:val="20"/>
                              <w:sz w:val="26"/>
                            </w:rPr>
                          </w:pPr>
                          <w:r>
                            <w:rPr>
                              <w:rStyle w:val="Pagenumber"/>
                              <w:spacing w:val="20"/>
                              <w:sz w:val="26"/>
                            </w:rPr>
                            <w:fldChar w:fldCharType="begin"/>
                          </w:r>
                          <w:r>
                            <w:rPr>
                              <w:rStyle w:val="Pagenumber"/>
                              <w:sz w:val="26"/>
                              <w:spacing w:val="20"/>
                            </w:rPr>
                            <w:instrText> PAGE </w:instrText>
                          </w:r>
                          <w:r>
                            <w:rPr>
                              <w:rStyle w:val="Pagenumber"/>
                              <w:sz w:val="26"/>
                              <w:spacing w:val="20"/>
                            </w:rPr>
                            <w:fldChar w:fldCharType="separate"/>
                          </w:r>
                          <w:r>
                            <w:rPr>
                              <w:rStyle w:val="Pagenumber"/>
                              <w:sz w:val="26"/>
                              <w:spacing w:val="20"/>
                            </w:rPr>
                            <w:t>344</w:t>
                          </w:r>
                          <w:r>
                            <w:rPr>
                              <w:rStyle w:val="Pagenumber"/>
                              <w:sz w:val="26"/>
                              <w:spacing w:val="20"/>
                            </w:rPr>
                            <w:fldChar w:fldCharType="end"/>
                          </w:r>
                        </w:p>
                      </w:txbxContent>
                    </wps:txbx>
                    <wps:bodyPr anchor="t" lIns="0" tIns="0" rIns="0" bIns="0">
                      <a:spAutoFit/>
                    </wps:bodyPr>
                  </wps:wsp>
                </a:graphicData>
              </a:graphic>
            </wp:anchor>
          </w:drawing>
        </mc:Choice>
        <mc:Fallback>
          <w:pict>
            <v:rect fillcolor="#FFFFFF" style="position:absolute;rotation:0;width:21.55pt;height:18pt;mso-wrap-distance-left:0pt;mso-wrap-distance-right:0pt;mso-wrap-distance-top:0pt;mso-wrap-distance-bottom:0pt;margin-top:17.05pt;mso-position-vertical-relative:text;margin-left:0pt;mso-position-horizontal:outside;mso-position-horizontal-relative:margin">
              <v:fill opacity="0f"/>
              <v:textbox inset="0in,0in,0in,0in">
                <w:txbxContent>
                  <w:p>
                    <w:pPr>
                      <w:pStyle w:val="Header"/>
                      <w:pBdr/>
                      <w:rPr>
                        <w:rStyle w:val="Pagenumber"/>
                        <w:spacing w:val="20"/>
                        <w:sz w:val="26"/>
                      </w:rPr>
                    </w:pPr>
                    <w:r>
                      <w:rPr>
                        <w:rStyle w:val="Pagenumber"/>
                        <w:spacing w:val="20"/>
                        <w:sz w:val="26"/>
                      </w:rPr>
                      <w:fldChar w:fldCharType="begin"/>
                    </w:r>
                    <w:r>
                      <w:rPr>
                        <w:rStyle w:val="Pagenumber"/>
                        <w:sz w:val="26"/>
                        <w:spacing w:val="20"/>
                      </w:rPr>
                      <w:instrText> PAGE </w:instrText>
                    </w:r>
                    <w:r>
                      <w:rPr>
                        <w:rStyle w:val="Pagenumber"/>
                        <w:sz w:val="26"/>
                        <w:spacing w:val="20"/>
                      </w:rPr>
                      <w:fldChar w:fldCharType="separate"/>
                    </w:r>
                    <w:r>
                      <w:rPr>
                        <w:rStyle w:val="Pagenumber"/>
                        <w:sz w:val="26"/>
                        <w:spacing w:val="20"/>
                      </w:rPr>
                      <w:t>344</w:t>
                    </w:r>
                    <w:r>
                      <w:rPr>
                        <w:rStyle w:val="Pagenumber"/>
                        <w:sz w:val="26"/>
                        <w:spacing w:val="20"/>
                      </w:rPr>
                      <w:fldChar w:fldCharType="end"/>
                    </w:r>
                  </w:p>
                </w:txbxContent>
              </v:textbox>
              <w10:wrap type="square" side="largest"/>
            </v:rect>
          </w:pict>
        </mc:Fallback>
      </mc:AlternateContent>
    </w:r>
  </w:p>
  <w:p>
    <w:pPr>
      <w:pStyle w:val="Normal"/>
      <w:ind w:right="-26" w:hanging="0"/>
      <w:jc w:val="center"/>
      <w:rPr/>
    </w:pPr>
    <w:r>
      <w:rPr/>
      <w:t xml:space="preserve">LEGISLATIVE COUNCIL ─ </w:t>
    </w:r>
    <w:r>
      <w:rPr>
        <w:b/>
      </w:rPr>
      <w:t>25 March 2015</w:t>
    </w:r>
  </w:p>
  <w:p>
    <w:pPr>
      <w:pStyle w:val="Normal"/>
      <w:pBdr>
        <w:top w:val="single" w:sz="6" w:space="1" w:color="000000"/>
      </w:pBdr>
      <w:rPr/>
    </w:pPr>
    <w:r>
      <w:rPr/>
    </w:r>
  </w:p>
</w:hdr>
</file>

<file path=word/settings.xml><?xml version="1.0" encoding="utf-8"?>
<w:settings xmlns:w="http://schemas.openxmlformats.org/wordprocessingml/2006/main">
  <w:zoom w:percent="130"/>
  <w:mirrorMargins/>
  <w:embedSystemFonts/>
  <w:defaultTabStop w:val="567"/>
  <w:compat>
    <w:doNotExpandShiftReturn/>
  </w:compat>
  <w:autoHyphenation w:val="true"/>
  <w:footnotePr>
    <w:numFmt w:val="decimal"/>
    <w:numRestart w:val="eachPage"/>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szCs w:val="22"/>
        <w:lang w:val="en-US" w:eastAsia="zh-TW" w:bidi="ar-SA"/>
      </w:rPr>
    </w:rPrDefault>
    <w:pPrDefault>
      <w:pPr>
        <w:suppressAutoHyphens w:val="true"/>
      </w:pPr>
    </w:pPrDefault>
  </w:docDefaults>
  <w:latentStyles w:defLockedState="0" w:defUIPriority="0" w:defSemiHidden="0" w:defUnhideWhenUsed="0" w:defQFormat="0" w:count="267">
    <w:lsdException w:name="Normal"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caption" w:uiPriority="35" w:semiHidden="1" w:unhideWhenUsed="1" w:qFormat="1"/>
    <w:lsdException w:name="page number" w:uiPriority="99"/>
    <w:lsdException w:name="Title" w:uiPriority="10" w:qFormat="1"/>
    <w:lsdException w:name="Subtitle" w:uiPriority="11" w:qFormat="1"/>
    <w:lsdException w:name="Strong" w:uiPriority="22" w:qFormat="1"/>
    <w:lsdException w:name="Emphasis" w:uiPriority="20" w:qFormat="1"/>
    <w:lsdException w:name="No List"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3d2fe8"/>
    <w:pPr>
      <w:widowControl w:val="false"/>
      <w:tabs>
        <w:tab w:val="clear" w:pos="567"/>
        <w:tab w:val="left" w:pos="720" w:leader="none"/>
      </w:tabs>
      <w:bidi w:val="0"/>
      <w:spacing w:lineRule="atLeast" w:line="360" w:before="0" w:after="0"/>
      <w:jc w:val="both"/>
    </w:pPr>
    <w:rPr>
      <w:rFonts w:ascii="Times New Roman" w:hAnsi="Times New Roman" w:eastAsia="華康細明體" w:cs="Times New Roman"/>
      <w:color w:val="auto"/>
      <w:kern w:val="0"/>
      <w:sz w:val="28"/>
      <w:szCs w:val="26"/>
      <w:lang w:val="en-GB" w:eastAsia="zh-TW" w:bidi="ar-SA"/>
    </w:rPr>
  </w:style>
  <w:style w:type="paragraph" w:styleId="Heading1">
    <w:name w:val="Heading 1"/>
    <w:basedOn w:val="Normal"/>
    <w:next w:val="Normal"/>
    <w:link w:val="10"/>
    <w:uiPriority w:val="9"/>
    <w:qFormat/>
    <w:rsid w:val="00a61997"/>
    <w:pPr>
      <w:keepNext w:val="true"/>
      <w:keepLines/>
      <w:spacing w:before="480" w:after="0"/>
      <w:outlineLvl w:val="0"/>
    </w:pPr>
    <w:rPr>
      <w:rFonts w:ascii="Cambria" w:hAnsi="Cambria" w:eastAsia="新細明體" w:cs="" w:asciiTheme="majorHAnsi" w:cstheme="majorBidi" w:eastAsiaTheme="majorEastAsia" w:hAnsiTheme="majorHAnsi"/>
      <w:b/>
      <w:bCs/>
      <w:color w:val="365F91" w:themeColor="accent1" w:themeShade="bf"/>
      <w:szCs w:val="28"/>
    </w:rPr>
  </w:style>
  <w:style w:type="paragraph" w:styleId="Heading2">
    <w:name w:val="Heading 2"/>
    <w:basedOn w:val="Normal"/>
    <w:next w:val="Normal"/>
    <w:link w:val="20"/>
    <w:uiPriority w:val="9"/>
    <w:semiHidden/>
    <w:unhideWhenUsed/>
    <w:qFormat/>
    <w:rsid w:val="00a61997"/>
    <w:pPr>
      <w:keepNext w:val="true"/>
      <w:keepLines/>
      <w:spacing w:before="200" w:after="0"/>
      <w:outlineLvl w:val="1"/>
    </w:pPr>
    <w:rPr>
      <w:rFonts w:ascii="Cambria" w:hAnsi="Cambria" w:eastAsia="新細明體" w:cs="" w:asciiTheme="majorHAnsi" w:cstheme="majorBidi" w:eastAsiaTheme="majorEastAsia" w:hAnsiTheme="majorHAnsi"/>
      <w:b/>
      <w:bCs/>
      <w:color w:val="4F81BD" w:themeColor="accent1"/>
      <w:sz w:val="26"/>
    </w:rPr>
  </w:style>
  <w:style w:type="paragraph" w:styleId="Heading3">
    <w:name w:val="Heading 3"/>
    <w:basedOn w:val="Normal"/>
    <w:next w:val="Normal"/>
    <w:link w:val="30"/>
    <w:uiPriority w:val="9"/>
    <w:semiHidden/>
    <w:unhideWhenUsed/>
    <w:qFormat/>
    <w:rsid w:val="00a61997"/>
    <w:pPr>
      <w:keepNext w:val="true"/>
      <w:keepLines/>
      <w:spacing w:before="200" w:after="0"/>
      <w:outlineLvl w:val="2"/>
    </w:pPr>
    <w:rPr>
      <w:rFonts w:ascii="Cambria" w:hAnsi="Cambria" w:eastAsia="新細明體" w:cs="" w:asciiTheme="majorHAnsi" w:cstheme="majorBidi" w:eastAsiaTheme="majorEastAsia" w:hAnsiTheme="majorHAnsi"/>
      <w:b/>
      <w:bCs/>
      <w:color w:val="4F81BD" w:themeColor="accent1"/>
    </w:rPr>
  </w:style>
  <w:style w:type="paragraph" w:styleId="Heading4">
    <w:name w:val="Heading 4"/>
    <w:basedOn w:val="Normal"/>
    <w:next w:val="Normal"/>
    <w:link w:val="40"/>
    <w:uiPriority w:val="9"/>
    <w:semiHidden/>
    <w:unhideWhenUsed/>
    <w:qFormat/>
    <w:rsid w:val="00a61997"/>
    <w:pPr>
      <w:keepNext w:val="true"/>
      <w:keepLines/>
      <w:spacing w:before="200" w:after="0"/>
      <w:outlineLvl w:val="3"/>
    </w:pPr>
    <w:rPr>
      <w:rFonts w:ascii="Cambria" w:hAnsi="Cambria" w:eastAsia="新細明體" w:cs="" w:asciiTheme="majorHAnsi" w:cstheme="majorBidi" w:eastAsiaTheme="majorEastAsia" w:hAnsiTheme="majorHAnsi"/>
      <w:b/>
      <w:bCs/>
      <w:i/>
      <w:iCs/>
      <w:color w:val="4F81BD" w:themeColor="accent1"/>
    </w:rPr>
  </w:style>
  <w:style w:type="paragraph" w:styleId="Heading5">
    <w:name w:val="Heading 5"/>
    <w:basedOn w:val="Normal"/>
    <w:next w:val="Normal"/>
    <w:link w:val="50"/>
    <w:uiPriority w:val="9"/>
    <w:semiHidden/>
    <w:unhideWhenUsed/>
    <w:qFormat/>
    <w:rsid w:val="00a61997"/>
    <w:pPr>
      <w:keepNext w:val="true"/>
      <w:keepLines/>
      <w:spacing w:before="200" w:after="0"/>
      <w:outlineLvl w:val="4"/>
    </w:pPr>
    <w:rPr>
      <w:rFonts w:ascii="Cambria" w:hAnsi="Cambria" w:eastAsia="新細明體" w:cs="" w:asciiTheme="majorHAnsi" w:cstheme="majorBidi" w:eastAsiaTheme="majorEastAsia" w:hAnsiTheme="majorHAnsi"/>
      <w:color w:val="243F60" w:themeColor="accent1" w:themeShade="7f"/>
    </w:rPr>
  </w:style>
  <w:style w:type="paragraph" w:styleId="Heading6">
    <w:name w:val="Heading 6"/>
    <w:basedOn w:val="Normal"/>
    <w:next w:val="Normal"/>
    <w:link w:val="60"/>
    <w:uiPriority w:val="9"/>
    <w:semiHidden/>
    <w:unhideWhenUsed/>
    <w:qFormat/>
    <w:rsid w:val="00a61997"/>
    <w:pPr>
      <w:keepNext w:val="true"/>
      <w:keepLines/>
      <w:spacing w:before="200" w:after="0"/>
      <w:outlineLvl w:val="5"/>
    </w:pPr>
    <w:rPr>
      <w:rFonts w:ascii="Cambria" w:hAnsi="Cambria" w:eastAsia="新細明體" w:cs="" w:asciiTheme="majorHAnsi" w:cstheme="majorBidi" w:eastAsiaTheme="majorEastAsia" w:hAnsiTheme="majorHAnsi"/>
      <w:i/>
      <w:iCs/>
      <w:color w:val="243F60" w:themeColor="accent1" w:themeShade="7f"/>
    </w:rPr>
  </w:style>
  <w:style w:type="paragraph" w:styleId="Heading7">
    <w:name w:val="Heading 7"/>
    <w:basedOn w:val="Normal"/>
    <w:next w:val="Normal"/>
    <w:link w:val="70"/>
    <w:uiPriority w:val="9"/>
    <w:semiHidden/>
    <w:unhideWhenUsed/>
    <w:qFormat/>
    <w:rsid w:val="00a61997"/>
    <w:pPr>
      <w:keepNext w:val="true"/>
      <w:keepLines/>
      <w:spacing w:before="200" w:after="0"/>
      <w:outlineLvl w:val="6"/>
    </w:pPr>
    <w:rPr>
      <w:rFonts w:ascii="Cambria" w:hAnsi="Cambria" w:eastAsia="新細明體" w:cs="" w:asciiTheme="majorHAnsi" w:cstheme="majorBidi" w:eastAsiaTheme="majorEastAsia" w:hAnsiTheme="majorHAnsi"/>
      <w:i/>
      <w:iCs/>
      <w:color w:val="404040" w:themeColor="text1" w:themeTint="bf"/>
    </w:rPr>
  </w:style>
  <w:style w:type="paragraph" w:styleId="Heading8">
    <w:name w:val="Heading 8"/>
    <w:basedOn w:val="Normal"/>
    <w:next w:val="Normal"/>
    <w:link w:val="80"/>
    <w:uiPriority w:val="9"/>
    <w:semiHidden/>
    <w:unhideWhenUsed/>
    <w:qFormat/>
    <w:rsid w:val="00a61997"/>
    <w:pPr>
      <w:keepNext w:val="true"/>
      <w:keepLines/>
      <w:spacing w:before="200" w:after="0"/>
      <w:outlineLvl w:val="7"/>
    </w:pPr>
    <w:rPr>
      <w:rFonts w:ascii="Cambria" w:hAnsi="Cambria" w:eastAsia="新細明體" w:cs="" w:asciiTheme="majorHAnsi" w:cstheme="majorBidi" w:eastAsiaTheme="majorEastAsia" w:hAnsiTheme="majorHAnsi"/>
      <w:color w:val="4F81BD" w:themeColor="accent1"/>
      <w:sz w:val="20"/>
      <w:szCs w:val="20"/>
    </w:rPr>
  </w:style>
  <w:style w:type="paragraph" w:styleId="Heading9">
    <w:name w:val="Heading 9"/>
    <w:basedOn w:val="Normal"/>
    <w:next w:val="Normal"/>
    <w:link w:val="90"/>
    <w:uiPriority w:val="9"/>
    <w:semiHidden/>
    <w:unhideWhenUsed/>
    <w:qFormat/>
    <w:rsid w:val="00a61997"/>
    <w:pPr>
      <w:keepNext w:val="true"/>
      <w:keepLines/>
      <w:spacing w:before="200" w:after="0"/>
      <w:outlineLvl w:val="8"/>
    </w:pPr>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VisitedInternetLink">
    <w:name w:val="FollowedHyperlink"/>
    <w:basedOn w:val="DefaultParagraphFont"/>
    <w:rsid w:val="00cb77d0"/>
    <w:rPr>
      <w:color w:val="auto"/>
      <w:u w:val="none"/>
    </w:rPr>
  </w:style>
  <w:style w:type="character" w:styleId="InternetLink">
    <w:name w:val="Hyperlink"/>
    <w:basedOn w:val="DefaultParagraphFont"/>
    <w:rsid w:val="00cb77d0"/>
    <w:rPr>
      <w:color w:val="auto"/>
      <w:u w:val="none"/>
    </w:rPr>
  </w:style>
  <w:style w:type="character" w:styleId="1" w:customStyle="1">
    <w:name w:val="標題 1 字元"/>
    <w:basedOn w:val="DefaultParagraphFont"/>
    <w:link w:val="1"/>
    <w:uiPriority w:val="9"/>
    <w:qFormat/>
    <w:rsid w:val="00a61997"/>
    <w:rPr>
      <w:rFonts w:ascii="Cambria" w:hAnsi="Cambria" w:eastAsia="新細明體" w:cs="" w:asciiTheme="majorHAnsi" w:cstheme="majorBidi" w:eastAsiaTheme="majorEastAsia" w:hAnsiTheme="majorHAnsi"/>
      <w:b/>
      <w:bCs/>
      <w:color w:val="365F91" w:themeColor="accent1" w:themeShade="bf"/>
      <w:sz w:val="28"/>
      <w:szCs w:val="28"/>
    </w:rPr>
  </w:style>
  <w:style w:type="character" w:styleId="2" w:customStyle="1">
    <w:name w:val="標題 2 字元"/>
    <w:basedOn w:val="DefaultParagraphFont"/>
    <w:link w:val="2"/>
    <w:uiPriority w:val="9"/>
    <w:semiHidden/>
    <w:qFormat/>
    <w:rsid w:val="00a61997"/>
    <w:rPr>
      <w:rFonts w:ascii="Cambria" w:hAnsi="Cambria" w:eastAsia="新細明體" w:cs="" w:asciiTheme="majorHAnsi" w:cstheme="majorBidi" w:eastAsiaTheme="majorEastAsia" w:hAnsiTheme="majorHAnsi"/>
      <w:b/>
      <w:bCs/>
      <w:color w:val="4F81BD" w:themeColor="accent1"/>
      <w:sz w:val="26"/>
      <w:szCs w:val="26"/>
    </w:rPr>
  </w:style>
  <w:style w:type="character" w:styleId="3" w:customStyle="1">
    <w:name w:val="標題 3 字元"/>
    <w:basedOn w:val="DefaultParagraphFont"/>
    <w:link w:val="3"/>
    <w:uiPriority w:val="9"/>
    <w:semiHidden/>
    <w:qFormat/>
    <w:rsid w:val="00a61997"/>
    <w:rPr>
      <w:rFonts w:ascii="Cambria" w:hAnsi="Cambria" w:eastAsia="新細明體" w:cs="" w:asciiTheme="majorHAnsi" w:cstheme="majorBidi" w:eastAsiaTheme="majorEastAsia" w:hAnsiTheme="majorHAnsi"/>
      <w:b/>
      <w:bCs/>
      <w:color w:val="4F81BD" w:themeColor="accent1"/>
    </w:rPr>
  </w:style>
  <w:style w:type="character" w:styleId="4" w:customStyle="1">
    <w:name w:val="標題 4 字元"/>
    <w:basedOn w:val="DefaultParagraphFont"/>
    <w:link w:val="4"/>
    <w:uiPriority w:val="9"/>
    <w:semiHidden/>
    <w:qFormat/>
    <w:rsid w:val="00a61997"/>
    <w:rPr>
      <w:rFonts w:ascii="Cambria" w:hAnsi="Cambria" w:eastAsia="新細明體" w:cs="" w:asciiTheme="majorHAnsi" w:cstheme="majorBidi" w:eastAsiaTheme="majorEastAsia" w:hAnsiTheme="majorHAnsi"/>
      <w:b/>
      <w:bCs/>
      <w:i/>
      <w:iCs/>
      <w:color w:val="4F81BD" w:themeColor="accent1"/>
    </w:rPr>
  </w:style>
  <w:style w:type="character" w:styleId="5" w:customStyle="1">
    <w:name w:val="標題 5 字元"/>
    <w:basedOn w:val="DefaultParagraphFont"/>
    <w:link w:val="5"/>
    <w:uiPriority w:val="9"/>
    <w:semiHidden/>
    <w:qFormat/>
    <w:rsid w:val="00a61997"/>
    <w:rPr>
      <w:rFonts w:ascii="Cambria" w:hAnsi="Cambria" w:eastAsia="新細明體" w:cs="" w:asciiTheme="majorHAnsi" w:cstheme="majorBidi" w:eastAsiaTheme="majorEastAsia" w:hAnsiTheme="majorHAnsi"/>
      <w:color w:val="243F60" w:themeColor="accent1" w:themeShade="7f"/>
    </w:rPr>
  </w:style>
  <w:style w:type="character" w:styleId="6" w:customStyle="1">
    <w:name w:val="標題 6 字元"/>
    <w:basedOn w:val="DefaultParagraphFont"/>
    <w:link w:val="6"/>
    <w:uiPriority w:val="9"/>
    <w:semiHidden/>
    <w:qFormat/>
    <w:rsid w:val="00a61997"/>
    <w:rPr>
      <w:rFonts w:ascii="Cambria" w:hAnsi="Cambria" w:eastAsia="新細明體" w:cs="" w:asciiTheme="majorHAnsi" w:cstheme="majorBidi" w:eastAsiaTheme="majorEastAsia" w:hAnsiTheme="majorHAnsi"/>
      <w:i/>
      <w:iCs/>
      <w:color w:val="243F60" w:themeColor="accent1" w:themeShade="7f"/>
    </w:rPr>
  </w:style>
  <w:style w:type="character" w:styleId="7" w:customStyle="1">
    <w:name w:val="標題 7 字元"/>
    <w:basedOn w:val="DefaultParagraphFont"/>
    <w:link w:val="7"/>
    <w:uiPriority w:val="9"/>
    <w:semiHidden/>
    <w:qFormat/>
    <w:rsid w:val="00a61997"/>
    <w:rPr>
      <w:rFonts w:ascii="Cambria" w:hAnsi="Cambria" w:eastAsia="新細明體" w:cs="" w:asciiTheme="majorHAnsi" w:cstheme="majorBidi" w:eastAsiaTheme="majorEastAsia" w:hAnsiTheme="majorHAnsi"/>
      <w:i/>
      <w:iCs/>
      <w:color w:val="404040" w:themeColor="text1" w:themeTint="bf"/>
    </w:rPr>
  </w:style>
  <w:style w:type="character" w:styleId="8" w:customStyle="1">
    <w:name w:val="標題 8 字元"/>
    <w:basedOn w:val="DefaultParagraphFont"/>
    <w:link w:val="8"/>
    <w:uiPriority w:val="9"/>
    <w:semiHidden/>
    <w:qFormat/>
    <w:rsid w:val="00a61997"/>
    <w:rPr>
      <w:rFonts w:ascii="Cambria" w:hAnsi="Cambria" w:eastAsia="新細明體" w:cs="" w:asciiTheme="majorHAnsi" w:cstheme="majorBidi" w:eastAsiaTheme="majorEastAsia" w:hAnsiTheme="majorHAnsi"/>
      <w:color w:val="4F81BD" w:themeColor="accent1"/>
      <w:sz w:val="20"/>
      <w:szCs w:val="20"/>
    </w:rPr>
  </w:style>
  <w:style w:type="character" w:styleId="9" w:customStyle="1">
    <w:name w:val="標題 9 字元"/>
    <w:basedOn w:val="DefaultParagraphFont"/>
    <w:link w:val="9"/>
    <w:uiPriority w:val="9"/>
    <w:semiHidden/>
    <w:qFormat/>
    <w:rsid w:val="00a61997"/>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Style5" w:customStyle="1">
    <w:name w:val="標題 字元"/>
    <w:basedOn w:val="DefaultParagraphFont"/>
    <w:link w:val="ab"/>
    <w:uiPriority w:val="10"/>
    <w:qFormat/>
    <w:rsid w:val="00a61997"/>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character" w:styleId="Style6" w:customStyle="1">
    <w:name w:val="副標題 字元"/>
    <w:basedOn w:val="DefaultParagraphFont"/>
    <w:link w:val="ad"/>
    <w:uiPriority w:val="11"/>
    <w:qFormat/>
    <w:rsid w:val="00a61997"/>
    <w:rPr>
      <w:rFonts w:ascii="Cambria" w:hAnsi="Cambria" w:eastAsia="新細明體" w:cs="" w:asciiTheme="majorHAnsi" w:cstheme="majorBidi" w:eastAsiaTheme="majorEastAsia" w:hAnsiTheme="majorHAnsi"/>
      <w:i/>
      <w:iCs/>
      <w:color w:val="4F81BD" w:themeColor="accent1"/>
      <w:spacing w:val="15"/>
      <w:sz w:val="24"/>
      <w:szCs w:val="24"/>
    </w:rPr>
  </w:style>
  <w:style w:type="character" w:styleId="Strong">
    <w:name w:val="Strong"/>
    <w:basedOn w:val="DefaultParagraphFont"/>
    <w:uiPriority w:val="22"/>
    <w:qFormat/>
    <w:rsid w:val="00a61997"/>
    <w:rPr>
      <w:b/>
      <w:bCs/>
    </w:rPr>
  </w:style>
  <w:style w:type="character" w:styleId="Emphasis">
    <w:name w:val="Emphasis"/>
    <w:basedOn w:val="DefaultParagraphFont"/>
    <w:uiPriority w:val="20"/>
    <w:qFormat/>
    <w:rsid w:val="00a61997"/>
    <w:rPr>
      <w:i/>
      <w:iCs/>
    </w:rPr>
  </w:style>
  <w:style w:type="character" w:styleId="Style7" w:customStyle="1">
    <w:name w:val="引文 字元"/>
    <w:basedOn w:val="DefaultParagraphFont"/>
    <w:link w:val="af3"/>
    <w:uiPriority w:val="29"/>
    <w:qFormat/>
    <w:rsid w:val="00a61997"/>
    <w:rPr>
      <w:i/>
      <w:iCs/>
      <w:color w:val="000000" w:themeColor="text1"/>
    </w:rPr>
  </w:style>
  <w:style w:type="character" w:styleId="Style8" w:customStyle="1">
    <w:name w:val="鮮明引文 字元"/>
    <w:basedOn w:val="DefaultParagraphFont"/>
    <w:link w:val="af5"/>
    <w:uiPriority w:val="30"/>
    <w:qFormat/>
    <w:rsid w:val="00a61997"/>
    <w:rPr>
      <w:b/>
      <w:bCs/>
      <w:i/>
      <w:iCs/>
      <w:color w:val="4F81BD" w:themeColor="accent1"/>
    </w:rPr>
  </w:style>
  <w:style w:type="character" w:styleId="SubtleEmphasis">
    <w:name w:val="Subtle Emphasis"/>
    <w:basedOn w:val="DefaultParagraphFont"/>
    <w:uiPriority w:val="19"/>
    <w:qFormat/>
    <w:rsid w:val="00a61997"/>
    <w:rPr>
      <w:i/>
      <w:iCs/>
      <w:color w:val="808080" w:themeColor="text1" w:themeTint="7f"/>
    </w:rPr>
  </w:style>
  <w:style w:type="character" w:styleId="IntenseEmphasis">
    <w:name w:val="Intense Emphasis"/>
    <w:basedOn w:val="DefaultParagraphFont"/>
    <w:uiPriority w:val="21"/>
    <w:qFormat/>
    <w:rsid w:val="00a61997"/>
    <w:rPr>
      <w:b/>
      <w:bCs/>
      <w:i/>
      <w:iCs/>
      <w:color w:val="4F81BD" w:themeColor="accent1"/>
    </w:rPr>
  </w:style>
  <w:style w:type="character" w:styleId="SubtleReference">
    <w:name w:val="Subtle Reference"/>
    <w:basedOn w:val="DefaultParagraphFont"/>
    <w:uiPriority w:val="31"/>
    <w:qFormat/>
    <w:rsid w:val="00a61997"/>
    <w:rPr>
      <w:smallCaps/>
      <w:color w:val="C0504D" w:themeColor="accent2"/>
      <w:u w:val="single"/>
    </w:rPr>
  </w:style>
  <w:style w:type="character" w:styleId="IntenseReference">
    <w:name w:val="Intense Reference"/>
    <w:basedOn w:val="DefaultParagraphFont"/>
    <w:uiPriority w:val="32"/>
    <w:qFormat/>
    <w:rsid w:val="00a61997"/>
    <w:rPr>
      <w:b/>
      <w:bCs/>
      <w:smallCaps/>
      <w:color w:val="C0504D" w:themeColor="accent2"/>
      <w:spacing w:val="5"/>
      <w:u w:val="single"/>
    </w:rPr>
  </w:style>
  <w:style w:type="character" w:styleId="BookTitle">
    <w:name w:val="Book Title"/>
    <w:basedOn w:val="DefaultParagraphFont"/>
    <w:uiPriority w:val="33"/>
    <w:qFormat/>
    <w:rsid w:val="00a61997"/>
    <w:rPr>
      <w:b/>
      <w:bCs/>
      <w:smallCaps/>
      <w:spacing w:val="5"/>
    </w:rPr>
  </w:style>
  <w:style w:type="character" w:styleId="Style9" w:customStyle="1">
    <w:name w:val="註腳文字 字元"/>
    <w:basedOn w:val="DefaultParagraphFont"/>
    <w:link w:val="afd"/>
    <w:qFormat/>
    <w:rsid w:val="003d2fe8"/>
    <w:rPr>
      <w:rFonts w:ascii="Times New Roman" w:hAnsi="Times New Roman" w:eastAsia="華康細明體" w:cs="Times New Roman"/>
      <w:sz w:val="20"/>
      <w:szCs w:val="20"/>
      <w:lang w:val="en-GB"/>
    </w:rPr>
  </w:style>
  <w:style w:type="character" w:styleId="FootnoteCharacters">
    <w:name w:val="Footnote Characters"/>
    <w:basedOn w:val="DefaultParagraphFont"/>
    <w:qFormat/>
    <w:rsid w:val="003d2fe8"/>
    <w:rPr>
      <w:rFonts w:cs="Times New Roman"/>
      <w:vertAlign w:val="superscript"/>
    </w:rPr>
  </w:style>
  <w:style w:type="character" w:styleId="FootnoteAnchor">
    <w:name w:val="Footnote Anchor"/>
    <w:rPr>
      <w:rFonts w:cs="Times New Roman"/>
      <w:vertAlign w:val="superscript"/>
    </w:rPr>
  </w:style>
  <w:style w:type="character" w:styleId="Style10" w:customStyle="1">
    <w:name w:val="頁首 字元"/>
    <w:basedOn w:val="DefaultParagraphFont"/>
    <w:link w:val="a5"/>
    <w:qFormat/>
    <w:locked/>
    <w:rsid w:val="003d2fe8"/>
    <w:rPr>
      <w:sz w:val="20"/>
    </w:rPr>
  </w:style>
  <w:style w:type="character" w:styleId="Style11" w:customStyle="1">
    <w:name w:val="頁尾 字元"/>
    <w:basedOn w:val="DefaultParagraphFont"/>
    <w:link w:val="a7"/>
    <w:qFormat/>
    <w:locked/>
    <w:rsid w:val="003d2fe8"/>
    <w:rPr>
      <w:sz w:val="20"/>
    </w:rPr>
  </w:style>
  <w:style w:type="character" w:styleId="Pagenumber">
    <w:name w:val="page number"/>
    <w:basedOn w:val="DefaultParagraphFont"/>
    <w:uiPriority w:val="99"/>
    <w:qFormat/>
    <w:rsid w:val="003d2fe8"/>
    <w:rPr>
      <w:rFonts w:cs="Times New Roman"/>
    </w:rPr>
  </w:style>
  <w:style w:type="character" w:styleId="F2" w:customStyle="1">
    <w:name w:val="華康細明F2 字元"/>
    <w:basedOn w:val="DefaultParagraphFont"/>
    <w:link w:val="F2"/>
    <w:qFormat/>
    <w:locked/>
    <w:rsid w:val="002e7f0c"/>
    <w:rPr>
      <w:rFonts w:ascii="Times New Roman" w:hAnsi="Times New Roman" w:eastAsia="華康細明體"/>
      <w:spacing w:val="20"/>
      <w:sz w:val="27"/>
    </w:rPr>
  </w:style>
  <w:style w:type="character" w:styleId="Style12" w:customStyle="1">
    <w:name w:val="註解方塊文字 字元"/>
    <w:basedOn w:val="DefaultParagraphFont"/>
    <w:link w:val="aff2"/>
    <w:qFormat/>
    <w:rsid w:val="003d659e"/>
    <w:rPr>
      <w:rFonts w:ascii="Cambria" w:hAnsi="Cambria" w:eastAsia="新細明體" w:cs="" w:asciiTheme="majorHAnsi" w:cstheme="majorBidi" w:eastAsiaTheme="majorEastAsia" w:hAnsiTheme="majorHAnsi"/>
      <w:sz w:val="18"/>
      <w:szCs w:val="18"/>
      <w:lang w:val="en-GB"/>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21" w:customStyle="1">
    <w:name w:val="華康細明F2"/>
    <w:link w:val="F20"/>
    <w:qFormat/>
    <w:rsid w:val="002e7f0c"/>
    <w:pPr>
      <w:widowControl w:val="false"/>
      <w:tabs>
        <w:tab w:val="left" w:pos="567" w:leader="none"/>
      </w:tabs>
      <w:bidi w:val="0"/>
      <w:spacing w:lineRule="atLeast" w:line="360" w:before="0" w:after="0"/>
      <w:jc w:val="both"/>
    </w:pPr>
    <w:rPr>
      <w:rFonts w:ascii="Times New Roman" w:hAnsi="Times New Roman" w:eastAsia="華康細明體" w:cs="" w:cstheme="minorBidi"/>
      <w:color w:val="auto"/>
      <w:spacing w:val="20"/>
      <w:kern w:val="0"/>
      <w:sz w:val="27"/>
      <w:szCs w:val="22"/>
      <w:lang w:val="en-US" w:eastAsia="zh-TW" w:bidi="ar-SA"/>
    </w:rPr>
  </w:style>
  <w:style w:type="paragraph" w:styleId="11" w:customStyle="1">
    <w:name w:val="樣式1"/>
    <w:basedOn w:val="Normal"/>
    <w:qFormat/>
    <w:pPr/>
    <w:rPr/>
  </w:style>
  <w:style w:type="paragraph" w:styleId="HeaderandFooter">
    <w:name w:val="Header and Footer"/>
    <w:basedOn w:val="Normal"/>
    <w:qFormat/>
    <w:pPr/>
    <w:rPr/>
  </w:style>
  <w:style w:type="paragraph" w:styleId="Header">
    <w:name w:val="Header"/>
    <w:basedOn w:val="Normal"/>
    <w:link w:val="a6"/>
    <w:pPr>
      <w:tabs>
        <w:tab w:val="left" w:pos="720" w:leader="none"/>
        <w:tab w:val="center" w:pos="4153" w:leader="none"/>
        <w:tab w:val="right" w:pos="8306" w:leader="none"/>
      </w:tabs>
      <w:snapToGrid w:val="false"/>
    </w:pPr>
    <w:rPr>
      <w:sz w:val="20"/>
    </w:rPr>
  </w:style>
  <w:style w:type="paragraph" w:styleId="Footer">
    <w:name w:val="Footer"/>
    <w:basedOn w:val="Normal"/>
    <w:link w:val="a8"/>
    <w:pPr>
      <w:tabs>
        <w:tab w:val="left" w:pos="720" w:leader="none"/>
        <w:tab w:val="center" w:pos="4153" w:leader="none"/>
        <w:tab w:val="right" w:pos="8306" w:leader="none"/>
      </w:tabs>
      <w:snapToGrid w:val="false"/>
    </w:pPr>
    <w:rPr>
      <w:sz w:val="20"/>
    </w:rPr>
  </w:style>
  <w:style w:type="paragraph" w:styleId="Caption1">
    <w:name w:val="caption"/>
    <w:basedOn w:val="Normal"/>
    <w:next w:val="Normal"/>
    <w:uiPriority w:val="35"/>
    <w:semiHidden/>
    <w:unhideWhenUsed/>
    <w:qFormat/>
    <w:rsid w:val="00a61997"/>
    <w:pPr>
      <w:spacing w:lineRule="auto" w:line="240"/>
    </w:pPr>
    <w:rPr>
      <w:b/>
      <w:bCs/>
      <w:color w:val="4F81BD" w:themeColor="accent1"/>
      <w:sz w:val="18"/>
      <w:szCs w:val="18"/>
    </w:rPr>
  </w:style>
  <w:style w:type="paragraph" w:styleId="Title">
    <w:name w:val="Title"/>
    <w:basedOn w:val="Normal"/>
    <w:next w:val="Normal"/>
    <w:link w:val="ac"/>
    <w:uiPriority w:val="10"/>
    <w:qFormat/>
    <w:rsid w:val="00a61997"/>
    <w:pPr>
      <w:pBdr>
        <w:bottom w:val="single" w:sz="8" w:space="4" w:color="4F81BD"/>
      </w:pBdr>
      <w:spacing w:lineRule="auto" w:line="240" w:before="0" w:after="300"/>
      <w:contextualSpacing/>
    </w:pPr>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ae"/>
    <w:uiPriority w:val="11"/>
    <w:qFormat/>
    <w:rsid w:val="00a61997"/>
    <w:pPr/>
    <w:rPr>
      <w:rFonts w:ascii="Cambria" w:hAnsi="Cambria" w:eastAsia="新細明體" w:cs="" w:asciiTheme="majorHAnsi" w:cstheme="majorBidi" w:eastAsiaTheme="majorEastAsia" w:hAnsiTheme="majorHAnsi"/>
      <w:i/>
      <w:iCs/>
      <w:color w:val="4F81BD" w:themeColor="accent1"/>
      <w:spacing w:val="15"/>
      <w:sz w:val="24"/>
      <w:szCs w:val="24"/>
    </w:rPr>
  </w:style>
  <w:style w:type="paragraph" w:styleId="NoSpacing">
    <w:name w:val="No Spacing"/>
    <w:uiPriority w:val="1"/>
    <w:qFormat/>
    <w:rsid w:val="00a61997"/>
    <w:pPr>
      <w:widowControl/>
      <w:bidi w:val="0"/>
      <w:spacing w:lineRule="auto" w:line="240" w:before="0" w:after="0"/>
      <w:jc w:val="left"/>
    </w:pPr>
    <w:rPr>
      <w:rFonts w:ascii="Calibri" w:hAnsi="Calibri" w:eastAsia="新細明體" w:cs="" w:asciiTheme="minorHAnsi" w:cstheme="minorBidi" w:eastAsiaTheme="minorEastAsia" w:hAnsiTheme="minorHAnsi"/>
      <w:color w:val="auto"/>
      <w:kern w:val="0"/>
      <w:sz w:val="28"/>
      <w:szCs w:val="22"/>
      <w:lang w:val="en-US" w:eastAsia="zh-TW" w:bidi="ar-SA"/>
    </w:rPr>
  </w:style>
  <w:style w:type="paragraph" w:styleId="ListParagraph">
    <w:name w:val="List Paragraph"/>
    <w:basedOn w:val="Normal"/>
    <w:uiPriority w:val="34"/>
    <w:qFormat/>
    <w:rsid w:val="00a61997"/>
    <w:pPr>
      <w:spacing w:before="0" w:after="0"/>
      <w:ind w:left="720" w:hanging="0"/>
      <w:contextualSpacing/>
    </w:pPr>
    <w:rPr/>
  </w:style>
  <w:style w:type="paragraph" w:styleId="Quote">
    <w:name w:val="Quote"/>
    <w:basedOn w:val="Normal"/>
    <w:next w:val="Normal"/>
    <w:link w:val="af4"/>
    <w:uiPriority w:val="29"/>
    <w:qFormat/>
    <w:rsid w:val="00a61997"/>
    <w:pPr/>
    <w:rPr>
      <w:i/>
      <w:iCs/>
      <w:color w:val="000000" w:themeColor="text1"/>
    </w:rPr>
  </w:style>
  <w:style w:type="paragraph" w:styleId="IntenseQuote">
    <w:name w:val="Intense Quote"/>
    <w:basedOn w:val="Normal"/>
    <w:next w:val="Normal"/>
    <w:link w:val="af6"/>
    <w:uiPriority w:val="30"/>
    <w:qFormat/>
    <w:rsid w:val="00a61997"/>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a61997"/>
    <w:pPr/>
    <w:rPr/>
  </w:style>
  <w:style w:type="paragraph" w:styleId="Footnote">
    <w:name w:val="Footnote Text"/>
    <w:basedOn w:val="Normal"/>
    <w:link w:val="afe"/>
    <w:rsid w:val="003d2fe8"/>
    <w:pPr/>
    <w:rPr>
      <w:sz w:val="20"/>
      <w:szCs w:val="20"/>
    </w:rPr>
  </w:style>
  <w:style w:type="paragraph" w:styleId="Style13" w:customStyle="1">
    <w:name w:val="質詢凸排"/>
    <w:basedOn w:val="F21"/>
    <w:qFormat/>
    <w:rsid w:val="003d2fe8"/>
    <w:pPr>
      <w:ind w:left="1418" w:hanging="851"/>
    </w:pPr>
    <w:rPr>
      <w:rFonts w:cs="華康細明體"/>
      <w:i/>
      <w:szCs w:val="26"/>
    </w:rPr>
  </w:style>
  <w:style w:type="paragraph" w:styleId="CharChar1" w:customStyle="1">
    <w:name w:val="Char Char1"/>
    <w:basedOn w:val="Normal"/>
    <w:qFormat/>
    <w:rsid w:val="00d5761e"/>
    <w:pPr>
      <w:widowControl/>
      <w:tabs>
        <w:tab w:val="clear" w:pos="720"/>
      </w:tabs>
      <w:spacing w:lineRule="exact" w:line="240" w:before="0" w:after="160"/>
      <w:jc w:val="left"/>
    </w:pPr>
    <w:rPr>
      <w:rFonts w:ascii="Verdana" w:hAnsi="Verdana" w:eastAsia="Times New Roman"/>
      <w:sz w:val="20"/>
      <w:szCs w:val="20"/>
      <w:lang w:val="en-US" w:eastAsia="en-US"/>
    </w:rPr>
  </w:style>
  <w:style w:type="paragraph" w:styleId="Default" w:customStyle="1">
    <w:name w:val="Default"/>
    <w:qFormat/>
    <w:rsid w:val="003624a0"/>
    <w:pPr>
      <w:widowControl w:val="false"/>
      <w:bidi w:val="0"/>
      <w:spacing w:lineRule="auto" w:line="240" w:before="0" w:after="0"/>
      <w:jc w:val="left"/>
    </w:pPr>
    <w:rPr>
      <w:rFonts w:ascii="新細明體" w:hAnsi="新細明體" w:eastAsia="新細明體" w:cs="新細明體"/>
      <w:color w:val="000000"/>
      <w:kern w:val="0"/>
      <w:sz w:val="24"/>
      <w:szCs w:val="24"/>
      <w:lang w:val="en-US" w:eastAsia="zh-TW" w:bidi="ar-SA"/>
    </w:rPr>
  </w:style>
  <w:style w:type="paragraph" w:styleId="BalloonText">
    <w:name w:val="Balloon Text"/>
    <w:basedOn w:val="Normal"/>
    <w:link w:val="aff3"/>
    <w:qFormat/>
    <w:rsid w:val="003d659e"/>
    <w:pPr>
      <w:spacing w:lineRule="auto" w:line="240"/>
    </w:pPr>
    <w:rPr>
      <w:rFonts w:ascii="Cambria" w:hAnsi="Cambria" w:eastAsia="新細明體" w:cs="" w:asciiTheme="majorHAnsi" w:cstheme="majorBidi" w:eastAsiaTheme="majorEastAsia" w:hAnsiTheme="majorHAnsi"/>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9">
    <w:name w:val="Table Grid"/>
    <w:basedOn w:val="a1"/>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notes" Target="footnotes.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6DB11-0B7E-4E4E-B263-A223F3F1C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Application>LibreOffice/6.4.7.2$Linux_X86_64 LibreOffice_project/40$Build-2</Application>
  <Pages>153</Pages>
  <Words>36285</Words>
  <Characters>36754</Characters>
  <CharactersWithSpaces>37021</CharactersWithSpaces>
  <Paragraphs>239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2015-03-31T08:39:00Z</dcterms:created>
  <dc:creator>whlung</dc:creator>
  <dc:description/>
  <dc:language>en-HK</dc:language>
  <cp:lastModifiedBy>Ruby</cp:lastModifiedBy>
  <cp:lastPrinted>2015-04-14T09:15:00Z</cp:lastPrinted>
  <dcterms:modified xsi:type="dcterms:W3CDTF">2015-04-14T09:15:00Z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