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tif" ContentType="image/tiff"/>
  <Override PartName="/word/media/image2.tif" ContentType="image/tiff"/>
  <Override PartName="/word/media/image3.tif" ContentType="image/tiff"/>
  <Override PartName="/word/media/image4.tif" ContentType="image/tiff"/>
  <Override PartName="/word/media/image5.tif" ContentType="image/tiff"/>
  <Override PartName="/word/media/image10.tif" ContentType="image/tiff"/>
  <Override PartName="/word/media/image6.tif" ContentType="image/tiff"/>
  <Override PartName="/word/media/image11.tif" ContentType="image/tiff"/>
  <Override PartName="/word/media/image7.tif" ContentType="image/tiff"/>
  <Override PartName="/word/media/image8.tif" ContentType="image/tiff"/>
  <Override PartName="/word/media/image9.tif" ContentType="image/tiff"/>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notes.xml" ContentType="application/vnd.openxmlformats-officedocument.wordprocessingml.footnotes+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overflowPunct w:val="true"/>
        <w:jc w:val="left"/>
        <w:rPr/>
      </w:pPr>
      <w:r>
        <w:rPr/>
      </w:r>
    </w:p>
    <w:p>
      <w:pPr>
        <w:pStyle w:val="F21"/>
        <w:overflowPunct w:val="true"/>
        <w:jc w:val="center"/>
        <w:rPr>
          <w:rFonts w:eastAsia="華康中黑體" w:cs="Times New Roman"/>
          <w:sz w:val="40"/>
          <w:szCs w:val="40"/>
        </w:rPr>
      </w:pPr>
      <w:r>
        <w:rPr>
          <w:rFonts w:cs="Times New Roman" w:eastAsia="華康中黑體"/>
          <w:sz w:val="40"/>
          <w:szCs w:val="40"/>
        </w:rPr>
        <w:t>會議過程正式紀錄</w:t>
      </w:r>
    </w:p>
    <w:p>
      <w:pPr>
        <w:pStyle w:val="Normal"/>
        <w:overflowPunct w:val="true"/>
        <w:jc w:val="center"/>
        <w:rPr>
          <w:b/>
          <w:b/>
          <w:sz w:val="40"/>
          <w:szCs w:val="40"/>
        </w:rPr>
      </w:pPr>
      <w:r>
        <w:rPr>
          <w:b/>
          <w:sz w:val="40"/>
          <w:szCs w:val="40"/>
        </w:rPr>
        <w:t>OFFICIAL RECORD OF PROCEEDINGS</w:t>
      </w:r>
    </w:p>
    <w:p>
      <w:pPr>
        <w:pStyle w:val="Normal"/>
        <w:tabs>
          <w:tab w:val="left" w:pos="720" w:leader="none"/>
          <w:tab w:val="left" w:pos="2415" w:leader="none"/>
        </w:tabs>
        <w:overflowPunct w:val="true"/>
        <w:jc w:val="center"/>
        <w:rPr>
          <w:sz w:val="27"/>
          <w:szCs w:val="27"/>
        </w:rPr>
      </w:pPr>
      <w:r>
        <w:rPr>
          <w:sz w:val="27"/>
          <w:szCs w:val="27"/>
        </w:rPr>
      </w:r>
    </w:p>
    <w:p>
      <w:pPr>
        <w:pStyle w:val="F21"/>
        <w:overflowPunct w:val="true"/>
        <w:jc w:val="center"/>
        <w:rPr>
          <w:rFonts w:eastAsia="華康中黑體" w:cs="Times New Roman"/>
          <w:b/>
          <w:b/>
          <w:sz w:val="28"/>
          <w:szCs w:val="28"/>
        </w:rPr>
      </w:pPr>
      <w:r>
        <w:rPr>
          <w:rFonts w:eastAsia="華康中黑體" w:cs="Times New Roman"/>
          <w:b/>
          <w:sz w:val="28"/>
          <w:szCs w:val="28"/>
        </w:rPr>
        <w:t>2019</w:t>
      </w:r>
      <w:r>
        <w:rPr>
          <w:rFonts w:cs="Times New Roman" w:eastAsia="華康中黑體"/>
          <w:b/>
          <w:sz w:val="28"/>
          <w:szCs w:val="28"/>
        </w:rPr>
        <w:t>年</w:t>
      </w:r>
      <w:r>
        <w:rPr>
          <w:rFonts w:eastAsia="華康中黑體" w:cs="Times New Roman"/>
          <w:b/>
          <w:sz w:val="28"/>
          <w:szCs w:val="28"/>
        </w:rPr>
        <w:t>4</w:t>
      </w:r>
      <w:r>
        <w:rPr>
          <w:rFonts w:cs="Times New Roman" w:eastAsia="華康中黑體"/>
          <w:b/>
          <w:sz w:val="28"/>
          <w:szCs w:val="28"/>
        </w:rPr>
        <w:t>月</w:t>
      </w:r>
      <w:r>
        <w:rPr>
          <w:rFonts w:eastAsia="華康中黑體" w:cs="Times New Roman"/>
          <w:b/>
          <w:sz w:val="28"/>
          <w:szCs w:val="28"/>
        </w:rPr>
        <w:t>3</w:t>
      </w:r>
      <w:r>
        <w:rPr>
          <w:rFonts w:cs="Times New Roman" w:eastAsia="華康中黑體"/>
          <w:b/>
          <w:sz w:val="28"/>
          <w:szCs w:val="28"/>
        </w:rPr>
        <w:t>日星期三</w:t>
      </w:r>
    </w:p>
    <w:p>
      <w:pPr>
        <w:pStyle w:val="Normal"/>
        <w:overflowPunct w:val="true"/>
        <w:jc w:val="center"/>
        <w:rPr>
          <w:b/>
          <w:b/>
          <w:sz w:val="40"/>
          <w:szCs w:val="40"/>
        </w:rPr>
      </w:pPr>
      <w:r>
        <w:rPr>
          <w:b/>
          <w:sz w:val="40"/>
          <w:szCs w:val="40"/>
        </w:rPr>
        <w:t>Wednesday, 3 April 2019</w:t>
      </w:r>
    </w:p>
    <w:p>
      <w:pPr>
        <w:pStyle w:val="Normal"/>
        <w:overflowPunct w:val="true"/>
        <w:jc w:val="center"/>
        <w:rPr>
          <w:szCs w:val="28"/>
        </w:rPr>
      </w:pPr>
      <w:r>
        <w:rPr>
          <w:szCs w:val="28"/>
        </w:rPr>
      </w:r>
    </w:p>
    <w:p>
      <w:pPr>
        <w:pStyle w:val="F21"/>
        <w:overflowPunct w:val="true"/>
        <w:jc w:val="center"/>
        <w:rPr>
          <w:rFonts w:eastAsia="華康中黑體" w:cs="Times New Roman"/>
          <w:b/>
          <w:b/>
          <w:sz w:val="28"/>
          <w:szCs w:val="28"/>
        </w:rPr>
      </w:pPr>
      <w:r>
        <w:rPr>
          <w:rFonts w:cs="Times New Roman" w:eastAsia="華康中黑體"/>
          <w:b/>
          <w:sz w:val="28"/>
          <w:szCs w:val="28"/>
        </w:rPr>
        <w:t>上午</w:t>
      </w:r>
      <w:r>
        <w:rPr>
          <w:rFonts w:eastAsia="華康中黑體" w:cs="Times New Roman"/>
          <w:b/>
          <w:sz w:val="28"/>
          <w:szCs w:val="28"/>
        </w:rPr>
        <w:t>11</w:t>
      </w:r>
      <w:r>
        <w:rPr>
          <w:rFonts w:cs="Times New Roman" w:eastAsia="華康中黑體"/>
          <w:b/>
          <w:sz w:val="28"/>
          <w:szCs w:val="28"/>
        </w:rPr>
        <w:t>時</w:t>
      </w:r>
      <w:r>
        <w:rPr>
          <w:rFonts w:eastAsia="華康中黑體" w:cs="Times New Roman"/>
          <w:b/>
          <w:sz w:val="28"/>
          <w:szCs w:val="28"/>
        </w:rPr>
        <w:t>31</w:t>
      </w:r>
      <w:r>
        <w:rPr>
          <w:rFonts w:cs="Times New Roman" w:eastAsia="華康中黑體"/>
          <w:b/>
          <w:sz w:val="28"/>
          <w:szCs w:val="28"/>
        </w:rPr>
        <w:t>分會議開始</w:t>
      </w:r>
    </w:p>
    <w:p>
      <w:pPr>
        <w:pStyle w:val="Normal"/>
        <w:overflowPunct w:val="true"/>
        <w:jc w:val="center"/>
        <w:rPr>
          <w:b/>
          <w:b/>
          <w:sz w:val="40"/>
          <w:szCs w:val="40"/>
        </w:rPr>
      </w:pPr>
      <w:r>
        <w:rPr>
          <w:b/>
          <w:sz w:val="40"/>
          <w:szCs w:val="40"/>
        </w:rPr>
        <w:t>The Council met at</w:t>
      </w:r>
    </w:p>
    <w:p>
      <w:pPr>
        <w:pStyle w:val="Normal"/>
        <w:overflowPunct w:val="true"/>
        <w:jc w:val="center"/>
        <w:rPr>
          <w:b/>
          <w:b/>
          <w:sz w:val="40"/>
          <w:szCs w:val="40"/>
        </w:rPr>
      </w:pPr>
      <w:r>
        <w:rPr>
          <w:b/>
          <w:sz w:val="40"/>
          <w:szCs w:val="40"/>
        </w:rPr>
        <w:t>thirty-one minutes past Eleven o'clock</w:t>
      </w:r>
    </w:p>
    <w:p>
      <w:pPr>
        <w:pStyle w:val="F21"/>
        <w:overflowPunct w:val="true"/>
        <w:rPr>
          <w:rFonts w:cs="Times New Roman"/>
        </w:rPr>
      </w:pPr>
      <w:r>
        <w:rPr>
          <w:rFonts w:cs="Times New Roman"/>
        </w:rPr>
      </w:r>
    </w:p>
    <w:p>
      <w:pPr>
        <w:pStyle w:val="F21"/>
        <w:overflowPunct w:val="true"/>
        <w:rPr>
          <w:rFonts w:cs="Times New Roman"/>
        </w:rPr>
      </w:pPr>
      <w:r>
        <w:rPr>
          <w:rFonts w:cs="Times New Roman"/>
        </w:rPr>
      </w:r>
    </w:p>
    <w:p>
      <w:pPr>
        <w:pStyle w:val="F21"/>
        <w:overflowPunct w:val="true"/>
        <w:rPr>
          <w:rFonts w:eastAsia="華康中黑體" w:cs="Times New Roman"/>
          <w:sz w:val="36"/>
          <w:szCs w:val="36"/>
        </w:rPr>
      </w:pPr>
      <w:bookmarkStart w:id="0" w:name="mbp"/>
      <w:r>
        <w:rPr>
          <w:rFonts w:cs="Times New Roman" w:eastAsia="華康中黑體"/>
          <w:sz w:val="36"/>
          <w:szCs w:val="36"/>
        </w:rPr>
        <w:t>出席議員：</w:t>
      </w:r>
    </w:p>
    <w:p>
      <w:pPr>
        <w:pStyle w:val="Normal"/>
        <w:overflowPunct w:val="true"/>
        <w:rPr>
          <w:b/>
          <w:b/>
          <w:sz w:val="36"/>
          <w:szCs w:val="36"/>
        </w:rPr>
      </w:pPr>
      <w:bookmarkStart w:id="1" w:name="mbp"/>
      <w:r>
        <w:rPr>
          <w:b/>
          <w:sz w:val="36"/>
          <w:szCs w:val="36"/>
        </w:rPr>
        <w:t>MEMBERS PRESENT:</w:t>
      </w:r>
      <w:bookmarkEnd w:id="1"/>
    </w:p>
    <w:p>
      <w:pPr>
        <w:pStyle w:val="Normal"/>
        <w:overflowPunct w:val="true"/>
        <w:rPr>
          <w:sz w:val="27"/>
          <w:szCs w:val="27"/>
        </w:rPr>
      </w:pPr>
      <w:r>
        <w:rPr>
          <w:sz w:val="27"/>
          <w:szCs w:val="27"/>
        </w:rPr>
      </w:r>
    </w:p>
    <w:p>
      <w:pPr>
        <w:pStyle w:val="F21"/>
        <w:overflowPunct w:val="true"/>
        <w:rPr>
          <w:rFonts w:cs="Times New Roman"/>
          <w:spacing w:val="0"/>
          <w:sz w:val="28"/>
          <w:szCs w:val="28"/>
          <w:lang w:val="en-GB"/>
        </w:rPr>
      </w:pPr>
      <w:r>
        <w:rPr>
          <w:rFonts w:cs="Times New Roman"/>
        </w:rPr>
        <w:t>主席</w:t>
      </w:r>
      <w:r>
        <w:rPr>
          <w:caps/>
        </w:rPr>
        <w:t>梁君彥議員</w:t>
      </w:r>
      <w:r>
        <w:rPr>
          <w:caps/>
          <w:spacing w:val="0"/>
          <w:sz w:val="28"/>
          <w:szCs w:val="28"/>
        </w:rPr>
        <w:t>, G.B.S., J.P.</w:t>
      </w:r>
    </w:p>
    <w:p>
      <w:pPr>
        <w:pStyle w:val="Normal"/>
        <w:overflowPunct w:val="true"/>
        <w:rPr>
          <w:szCs w:val="28"/>
        </w:rPr>
      </w:pPr>
      <w:r>
        <w:rPr>
          <w:szCs w:val="28"/>
        </w:rPr>
        <w:t>THE PRESIDENT</w:t>
      </w:r>
    </w:p>
    <w:p>
      <w:pPr>
        <w:pStyle w:val="Normal"/>
        <w:tabs>
          <w:tab w:val="left" w:pos="336" w:leader="none"/>
          <w:tab w:val="left" w:pos="720" w:leader="none"/>
          <w:tab w:val="left" w:pos="2126" w:leader="none"/>
        </w:tabs>
        <w:overflowPunct w:val="true"/>
        <w:rPr>
          <w:caps/>
          <w:szCs w:val="28"/>
          <w:lang w:val="en-US"/>
        </w:rPr>
      </w:pPr>
      <w:r>
        <w:rPr>
          <w:caps/>
          <w:szCs w:val="28"/>
          <w:lang w:val="en-US"/>
        </w:rPr>
        <w:t>THE HONOURABLE Andrew LEUNG Kwan-yuen, G.B.S., J.P.</w:t>
      </w:r>
    </w:p>
    <w:p>
      <w:pPr>
        <w:pStyle w:val="Normal"/>
        <w:overflowPunct w:val="true"/>
        <w:rPr>
          <w:sz w:val="27"/>
          <w:szCs w:val="27"/>
          <w:lang w:val="en-US"/>
        </w:rPr>
      </w:pPr>
      <w:r>
        <w:rPr>
          <w:sz w:val="27"/>
          <w:szCs w:val="27"/>
          <w:lang w:val="en-US"/>
        </w:rPr>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t>涂謹申議員</w:t>
      </w:r>
    </w:p>
    <w:p>
      <w:pPr>
        <w:pStyle w:val="Normal"/>
        <w:tabs>
          <w:tab w:val="left" w:pos="336" w:leader="none"/>
          <w:tab w:val="left" w:pos="720" w:leader="none"/>
          <w:tab w:val="left" w:pos="2126" w:leader="none"/>
        </w:tabs>
        <w:overflowPunct w:val="true"/>
        <w:rPr>
          <w:caps/>
          <w:szCs w:val="28"/>
          <w:lang w:val="en-US"/>
        </w:rPr>
      </w:pPr>
      <w:r>
        <w:rPr>
          <w:caps/>
          <w:szCs w:val="28"/>
          <w:lang w:val="en-US"/>
        </w:rPr>
        <w:t>THE HONOURABLE James TO Kun-sun</w:t>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t>梁耀忠議員</w:t>
      </w:r>
    </w:p>
    <w:p>
      <w:pPr>
        <w:pStyle w:val="Normal"/>
        <w:tabs>
          <w:tab w:val="left" w:pos="336" w:leader="none"/>
          <w:tab w:val="left" w:pos="720" w:leader="none"/>
          <w:tab w:val="left" w:pos="2126" w:leader="none"/>
        </w:tabs>
        <w:overflowPunct w:val="true"/>
        <w:rPr>
          <w:caps/>
          <w:szCs w:val="28"/>
          <w:lang w:val="en-US"/>
        </w:rPr>
      </w:pPr>
      <w:r>
        <w:rPr>
          <w:caps/>
          <w:szCs w:val="28"/>
          <w:lang w:val="en-US"/>
        </w:rPr>
        <w:t>THE HONOURABLE LEUNG Yiu-chung</w:t>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r>
    </w:p>
    <w:p>
      <w:pPr>
        <w:pStyle w:val="Normal"/>
        <w:tabs>
          <w:tab w:val="left" w:pos="336" w:leader="none"/>
          <w:tab w:val="left" w:pos="720" w:leader="none"/>
          <w:tab w:val="left" w:pos="2126" w:leader="none"/>
        </w:tabs>
        <w:overflowPunct w:val="true"/>
        <w:rPr>
          <w:caps/>
          <w:szCs w:val="28"/>
          <w:lang w:val="en-US"/>
        </w:rPr>
      </w:pPr>
      <w:r>
        <w:rPr>
          <w:spacing w:val="20"/>
          <w:sz w:val="27"/>
          <w:szCs w:val="22"/>
          <w:lang w:val="en-US"/>
        </w:rPr>
        <w:t>石禮謙議員</w:t>
      </w:r>
      <w:r>
        <w:rPr>
          <w:szCs w:val="28"/>
          <w:lang w:val="en-US"/>
        </w:rPr>
        <w:t>,</w:t>
      </w:r>
      <w:r>
        <w:rPr>
          <w:caps/>
          <w:szCs w:val="28"/>
          <w:lang w:val="en-US"/>
        </w:rPr>
        <w:t xml:space="preserve"> G.B.S., J.P.</w:t>
      </w:r>
    </w:p>
    <w:p>
      <w:pPr>
        <w:pStyle w:val="Normal"/>
        <w:tabs>
          <w:tab w:val="left" w:pos="336" w:leader="none"/>
          <w:tab w:val="left" w:pos="720" w:leader="none"/>
          <w:tab w:val="left" w:pos="2126" w:leader="none"/>
        </w:tabs>
        <w:overflowPunct w:val="true"/>
        <w:rPr>
          <w:caps/>
          <w:szCs w:val="28"/>
          <w:lang w:val="en-US"/>
        </w:rPr>
      </w:pPr>
      <w:r>
        <w:rPr>
          <w:caps/>
          <w:szCs w:val="28"/>
          <w:lang w:val="en-US"/>
        </w:rPr>
        <w:t>THE HONOURABLE Abraham SHEK Lai-him, G.B.S., J.P.</w:t>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r>
    </w:p>
    <w:p>
      <w:pPr>
        <w:pStyle w:val="Normal"/>
        <w:tabs>
          <w:tab w:val="left" w:pos="336" w:leader="none"/>
          <w:tab w:val="left" w:pos="720" w:leader="none"/>
          <w:tab w:val="left" w:pos="2126" w:leader="none"/>
        </w:tabs>
        <w:overflowPunct w:val="true"/>
        <w:rPr>
          <w:caps/>
          <w:spacing w:val="20"/>
          <w:szCs w:val="28"/>
          <w:lang w:val="en-US"/>
        </w:rPr>
      </w:pPr>
      <w:r>
        <w:rPr>
          <w:caps/>
          <w:spacing w:val="20"/>
          <w:sz w:val="27"/>
          <w:szCs w:val="22"/>
          <w:lang w:val="en-US"/>
        </w:rPr>
        <w:t>張宇人議員</w:t>
      </w:r>
      <w:r>
        <w:rPr>
          <w:caps/>
          <w:szCs w:val="28"/>
          <w:lang w:val="en-US"/>
        </w:rPr>
        <w:t>, G.B.S., J.P.</w:t>
      </w:r>
    </w:p>
    <w:p>
      <w:pPr>
        <w:pStyle w:val="Normal"/>
        <w:tabs>
          <w:tab w:val="left" w:pos="336" w:leader="none"/>
          <w:tab w:val="left" w:pos="720" w:leader="none"/>
          <w:tab w:val="left" w:pos="2126" w:leader="none"/>
        </w:tabs>
        <w:overflowPunct w:val="true"/>
        <w:rPr>
          <w:caps/>
          <w:szCs w:val="28"/>
          <w:lang w:val="en-US"/>
        </w:rPr>
      </w:pPr>
      <w:r>
        <w:rPr>
          <w:caps/>
          <w:szCs w:val="28"/>
          <w:lang w:val="en-US"/>
        </w:rPr>
        <w:t>THE HONOURABLE Tommy CHEUNG Yu-yan, G.B.S., J.P.</w:t>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r>
    </w:p>
    <w:p>
      <w:pPr>
        <w:pStyle w:val="Normal"/>
        <w:tabs>
          <w:tab w:val="left" w:pos="336" w:leader="none"/>
          <w:tab w:val="left" w:pos="720" w:leader="none"/>
          <w:tab w:val="left" w:pos="2126" w:leader="none"/>
        </w:tabs>
        <w:overflowPunct w:val="true"/>
        <w:rPr>
          <w:caps/>
          <w:szCs w:val="28"/>
          <w:lang w:val="en-US"/>
        </w:rPr>
      </w:pPr>
      <w:r>
        <w:rPr>
          <w:caps/>
          <w:spacing w:val="20"/>
          <w:sz w:val="27"/>
          <w:szCs w:val="22"/>
          <w:lang w:val="en-US"/>
        </w:rPr>
        <w:t>李國麟議員</w:t>
      </w:r>
      <w:r>
        <w:rPr>
          <w:caps/>
          <w:szCs w:val="28"/>
          <w:lang w:val="en-US"/>
        </w:rPr>
        <w:t>, S.B.S., J.P.</w:t>
      </w:r>
    </w:p>
    <w:p>
      <w:pPr>
        <w:pStyle w:val="Normal"/>
        <w:tabs>
          <w:tab w:val="left" w:pos="336" w:leader="none"/>
          <w:tab w:val="left" w:pos="720" w:leader="none"/>
          <w:tab w:val="left" w:pos="2126" w:leader="none"/>
        </w:tabs>
        <w:overflowPunct w:val="true"/>
        <w:rPr>
          <w:caps/>
          <w:szCs w:val="28"/>
          <w:lang w:val="en-US"/>
        </w:rPr>
      </w:pPr>
      <w:r>
        <w:rPr>
          <w:caps/>
          <w:szCs w:val="28"/>
          <w:lang w:val="en-US"/>
        </w:rPr>
        <w:t>Prof THE HONOURABLE Joseph LEE Kok-long, S.B.S., J.P.</w:t>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r>
    </w:p>
    <w:p>
      <w:pPr>
        <w:pStyle w:val="Normal"/>
        <w:tabs>
          <w:tab w:val="left" w:pos="336" w:leader="none"/>
          <w:tab w:val="left" w:pos="720" w:leader="none"/>
          <w:tab w:val="left" w:pos="2126" w:leader="none"/>
        </w:tabs>
        <w:overflowPunct w:val="true"/>
        <w:rPr>
          <w:caps/>
          <w:szCs w:val="28"/>
          <w:lang w:val="en-US"/>
        </w:rPr>
      </w:pPr>
      <w:r>
        <w:rPr>
          <w:caps/>
          <w:spacing w:val="20"/>
          <w:sz w:val="27"/>
          <w:szCs w:val="22"/>
          <w:lang w:val="en-US"/>
        </w:rPr>
        <w:t>林健鋒議員</w:t>
      </w:r>
      <w:r>
        <w:rPr>
          <w:caps/>
          <w:szCs w:val="28"/>
          <w:lang w:val="en-US"/>
        </w:rPr>
        <w:t>, G.B.S., J.P.</w:t>
      </w:r>
    </w:p>
    <w:p>
      <w:pPr>
        <w:pStyle w:val="Normal"/>
        <w:tabs>
          <w:tab w:val="left" w:pos="336" w:leader="none"/>
          <w:tab w:val="left" w:pos="720" w:leader="none"/>
          <w:tab w:val="left" w:pos="2126" w:leader="none"/>
        </w:tabs>
        <w:overflowPunct w:val="true"/>
        <w:rPr>
          <w:caps/>
          <w:szCs w:val="28"/>
          <w:lang w:val="en-US"/>
        </w:rPr>
      </w:pPr>
      <w:r>
        <w:rPr>
          <w:caps/>
          <w:szCs w:val="28"/>
          <w:lang w:val="en-US"/>
        </w:rPr>
        <w:t>THE HONOURABLE Jeffrey LAM Kin-fung, G.B.S., J.P.</w:t>
      </w:r>
      <w:r>
        <w:br w:type="page"/>
      </w:r>
    </w:p>
    <w:p>
      <w:pPr>
        <w:pStyle w:val="Normal"/>
        <w:tabs>
          <w:tab w:val="left" w:pos="336" w:leader="none"/>
          <w:tab w:val="left" w:pos="720" w:leader="none"/>
          <w:tab w:val="left" w:pos="2126" w:leader="none"/>
        </w:tabs>
        <w:overflowPunct w:val="true"/>
        <w:rPr>
          <w:caps/>
          <w:szCs w:val="28"/>
          <w:lang w:val="en-US"/>
        </w:rPr>
      </w:pPr>
      <w:r>
        <w:rPr>
          <w:caps/>
          <w:spacing w:val="20"/>
          <w:sz w:val="27"/>
          <w:szCs w:val="22"/>
          <w:lang w:val="en-US"/>
        </w:rPr>
        <w:t>黃定光議員</w:t>
      </w:r>
      <w:r>
        <w:rPr>
          <w:caps/>
          <w:szCs w:val="28"/>
          <w:lang w:val="en-US"/>
        </w:rPr>
        <w:t>, G.B.S., J.P.</w:t>
      </w:r>
    </w:p>
    <w:p>
      <w:pPr>
        <w:pStyle w:val="Normal"/>
        <w:tabs>
          <w:tab w:val="left" w:pos="336" w:leader="none"/>
          <w:tab w:val="left" w:pos="720" w:leader="none"/>
          <w:tab w:val="left" w:pos="2126" w:leader="none"/>
        </w:tabs>
        <w:overflowPunct w:val="true"/>
        <w:rPr>
          <w:caps/>
          <w:szCs w:val="28"/>
          <w:lang w:val="en-US"/>
        </w:rPr>
      </w:pPr>
      <w:r>
        <w:rPr>
          <w:caps/>
          <w:szCs w:val="28"/>
          <w:lang w:val="en-US"/>
        </w:rPr>
        <w:t>THE HONOURABLE WONG Ting-kwong,</w:t>
      </w:r>
      <w:r>
        <w:rPr/>
        <w:t xml:space="preserve"> </w:t>
      </w:r>
      <w:r>
        <w:rPr>
          <w:caps/>
          <w:szCs w:val="28"/>
          <w:lang w:val="en-US"/>
        </w:rPr>
        <w:t>G.B.S., J.P.</w:t>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r>
    </w:p>
    <w:p>
      <w:pPr>
        <w:pStyle w:val="Normal"/>
        <w:tabs>
          <w:tab w:val="left" w:pos="336" w:leader="none"/>
          <w:tab w:val="left" w:pos="720" w:leader="none"/>
          <w:tab w:val="left" w:pos="2126" w:leader="none"/>
        </w:tabs>
        <w:overflowPunct w:val="true"/>
        <w:rPr>
          <w:caps/>
          <w:szCs w:val="28"/>
          <w:lang w:val="en-US"/>
        </w:rPr>
      </w:pPr>
      <w:r>
        <w:rPr>
          <w:caps/>
          <w:spacing w:val="20"/>
          <w:sz w:val="27"/>
          <w:szCs w:val="22"/>
          <w:lang w:val="en-US"/>
        </w:rPr>
        <w:t>李慧琼議員</w:t>
      </w:r>
      <w:r>
        <w:rPr>
          <w:caps/>
          <w:szCs w:val="28"/>
          <w:lang w:val="en-US"/>
        </w:rPr>
        <w:t>, S.B.S., J.P.</w:t>
      </w:r>
    </w:p>
    <w:p>
      <w:pPr>
        <w:pStyle w:val="Normal"/>
        <w:tabs>
          <w:tab w:val="left" w:pos="336" w:leader="none"/>
          <w:tab w:val="left" w:pos="720" w:leader="none"/>
          <w:tab w:val="left" w:pos="2126" w:leader="none"/>
        </w:tabs>
        <w:overflowPunct w:val="true"/>
        <w:rPr>
          <w:caps/>
          <w:szCs w:val="28"/>
          <w:lang w:val="en-US"/>
        </w:rPr>
      </w:pPr>
      <w:r>
        <w:rPr>
          <w:caps/>
          <w:szCs w:val="28"/>
          <w:lang w:val="en-US"/>
        </w:rPr>
        <w:t>THE HONOURABLE Starry LEE Wai-king, S.B.S., J.P.</w:t>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r>
    </w:p>
    <w:p>
      <w:pPr>
        <w:pStyle w:val="Normal"/>
        <w:tabs>
          <w:tab w:val="left" w:pos="336" w:leader="none"/>
          <w:tab w:val="left" w:pos="720" w:leader="none"/>
          <w:tab w:val="left" w:pos="2126" w:leader="none"/>
        </w:tabs>
        <w:overflowPunct w:val="true"/>
        <w:rPr>
          <w:caps/>
          <w:szCs w:val="28"/>
          <w:lang w:val="en-US"/>
        </w:rPr>
      </w:pPr>
      <w:r>
        <w:rPr>
          <w:caps/>
          <w:spacing w:val="20"/>
          <w:sz w:val="27"/>
          <w:szCs w:val="22"/>
          <w:lang w:val="en-US"/>
        </w:rPr>
        <w:t>陳克勤議員</w:t>
      </w:r>
      <w:r>
        <w:rPr>
          <w:caps/>
          <w:szCs w:val="28"/>
          <w:lang w:val="en-US"/>
        </w:rPr>
        <w:t>, B.B.S., J.P.</w:t>
      </w:r>
    </w:p>
    <w:p>
      <w:pPr>
        <w:pStyle w:val="Normal"/>
        <w:tabs>
          <w:tab w:val="left" w:pos="336" w:leader="none"/>
          <w:tab w:val="left" w:pos="720" w:leader="none"/>
          <w:tab w:val="left" w:pos="2126" w:leader="none"/>
        </w:tabs>
        <w:overflowPunct w:val="true"/>
        <w:rPr>
          <w:caps/>
          <w:szCs w:val="28"/>
          <w:lang w:val="en-US"/>
        </w:rPr>
      </w:pPr>
      <w:r>
        <w:rPr>
          <w:caps/>
          <w:szCs w:val="28"/>
          <w:lang w:val="en-US"/>
        </w:rPr>
        <w:t>THE HONOURABLE CHAN Hak-kan, B.B.S., J.P.</w:t>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r>
    </w:p>
    <w:p>
      <w:pPr>
        <w:pStyle w:val="Normal"/>
        <w:tabs>
          <w:tab w:val="left" w:pos="336" w:leader="none"/>
          <w:tab w:val="left" w:pos="720" w:leader="none"/>
          <w:tab w:val="left" w:pos="2126" w:leader="none"/>
        </w:tabs>
        <w:overflowPunct w:val="true"/>
        <w:rPr>
          <w:caps/>
          <w:szCs w:val="28"/>
          <w:lang w:val="en-US"/>
        </w:rPr>
      </w:pPr>
      <w:r>
        <w:rPr>
          <w:caps/>
          <w:spacing w:val="20"/>
          <w:sz w:val="27"/>
          <w:szCs w:val="22"/>
          <w:lang w:val="en-US"/>
        </w:rPr>
        <w:t>陳健波議員</w:t>
      </w:r>
      <w:r>
        <w:rPr>
          <w:caps/>
          <w:szCs w:val="28"/>
          <w:lang w:val="en-US"/>
        </w:rPr>
        <w:t>, G.B.S., J.P.</w:t>
      </w:r>
    </w:p>
    <w:p>
      <w:pPr>
        <w:pStyle w:val="Normal"/>
        <w:tabs>
          <w:tab w:val="left" w:pos="336" w:leader="none"/>
          <w:tab w:val="left" w:pos="720" w:leader="none"/>
          <w:tab w:val="left" w:pos="2126" w:leader="none"/>
        </w:tabs>
        <w:overflowPunct w:val="true"/>
        <w:rPr>
          <w:caps/>
          <w:szCs w:val="28"/>
          <w:lang w:val="en-US"/>
        </w:rPr>
      </w:pPr>
      <w:r>
        <w:rPr>
          <w:caps/>
          <w:szCs w:val="28"/>
          <w:lang w:val="en-US"/>
        </w:rPr>
        <w:t>THE HONOURABLE CHAN Kin-por, G.B.S., J.P.</w:t>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r>
    </w:p>
    <w:p>
      <w:pPr>
        <w:pStyle w:val="Normal"/>
        <w:tabs>
          <w:tab w:val="left" w:pos="336" w:leader="none"/>
          <w:tab w:val="left" w:pos="720" w:leader="none"/>
          <w:tab w:val="left" w:pos="2126" w:leader="none"/>
        </w:tabs>
        <w:overflowPunct w:val="true"/>
        <w:rPr>
          <w:caps/>
          <w:szCs w:val="28"/>
          <w:lang w:val="en-US"/>
        </w:rPr>
      </w:pPr>
      <w:r>
        <w:rPr>
          <w:caps/>
          <w:spacing w:val="20"/>
          <w:sz w:val="27"/>
          <w:szCs w:val="22"/>
          <w:lang w:val="en-US"/>
        </w:rPr>
        <w:t>梁美芬議員</w:t>
      </w:r>
      <w:r>
        <w:rPr>
          <w:caps/>
          <w:szCs w:val="28"/>
          <w:lang w:val="en-US"/>
        </w:rPr>
        <w:t>, S.B.S., J.P.</w:t>
      </w:r>
    </w:p>
    <w:p>
      <w:pPr>
        <w:pStyle w:val="Normal"/>
        <w:tabs>
          <w:tab w:val="left" w:pos="336" w:leader="none"/>
          <w:tab w:val="left" w:pos="720" w:leader="none"/>
          <w:tab w:val="left" w:pos="2126" w:leader="none"/>
        </w:tabs>
        <w:overflowPunct w:val="true"/>
        <w:rPr>
          <w:caps/>
          <w:szCs w:val="28"/>
          <w:lang w:val="en-US"/>
        </w:rPr>
      </w:pPr>
      <w:r>
        <w:rPr>
          <w:caps/>
          <w:szCs w:val="28"/>
          <w:lang w:val="en-US"/>
        </w:rPr>
        <w:t>Dr THE HONOURABLE Priscilla LEUNG Mei-fun, S.B.S., J.P.</w:t>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r>
    </w:p>
    <w:p>
      <w:pPr>
        <w:pStyle w:val="Normal"/>
        <w:tabs>
          <w:tab w:val="left" w:pos="336" w:leader="none"/>
          <w:tab w:val="left" w:pos="720" w:leader="none"/>
          <w:tab w:val="left" w:pos="2126" w:leader="none"/>
        </w:tabs>
        <w:overflowPunct w:val="true"/>
        <w:rPr>
          <w:caps/>
          <w:szCs w:val="28"/>
          <w:lang w:val="en-US"/>
        </w:rPr>
      </w:pPr>
      <w:r>
        <w:rPr>
          <w:caps/>
          <w:spacing w:val="20"/>
          <w:sz w:val="27"/>
          <w:szCs w:val="22"/>
          <w:lang w:val="en-US"/>
        </w:rPr>
        <w:t>黃國健議員</w:t>
      </w:r>
      <w:r>
        <w:rPr>
          <w:caps/>
          <w:szCs w:val="28"/>
          <w:lang w:val="en-US"/>
        </w:rPr>
        <w:t>, S.B.S., J.P.</w:t>
      </w:r>
    </w:p>
    <w:p>
      <w:pPr>
        <w:pStyle w:val="Normal"/>
        <w:tabs>
          <w:tab w:val="left" w:pos="336" w:leader="none"/>
          <w:tab w:val="left" w:pos="720" w:leader="none"/>
          <w:tab w:val="left" w:pos="2126" w:leader="none"/>
        </w:tabs>
        <w:overflowPunct w:val="true"/>
        <w:rPr>
          <w:caps/>
          <w:szCs w:val="28"/>
          <w:lang w:val="en-US"/>
        </w:rPr>
      </w:pPr>
      <w:r>
        <w:rPr>
          <w:caps/>
          <w:szCs w:val="28"/>
          <w:lang w:val="en-US"/>
        </w:rPr>
        <w:t>THE HONOURABLE WONG Kwok-kin, S.B.S., J.P.</w:t>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r>
    </w:p>
    <w:p>
      <w:pPr>
        <w:pStyle w:val="Normal"/>
        <w:tabs>
          <w:tab w:val="left" w:pos="336" w:leader="none"/>
          <w:tab w:val="left" w:pos="720" w:leader="none"/>
          <w:tab w:val="left" w:pos="2126" w:leader="none"/>
        </w:tabs>
        <w:overflowPunct w:val="true"/>
        <w:rPr>
          <w:caps/>
          <w:szCs w:val="28"/>
          <w:lang w:val="en-US"/>
        </w:rPr>
      </w:pPr>
      <w:r>
        <w:rPr>
          <w:caps/>
          <w:spacing w:val="20"/>
          <w:sz w:val="27"/>
          <w:szCs w:val="22"/>
          <w:lang w:val="en-US"/>
        </w:rPr>
        <w:t>葉劉淑儀議員</w:t>
      </w:r>
      <w:r>
        <w:rPr>
          <w:caps/>
          <w:szCs w:val="28"/>
          <w:lang w:val="en-US"/>
        </w:rPr>
        <w:t>, G.B.S., J.P.</w:t>
      </w:r>
    </w:p>
    <w:p>
      <w:pPr>
        <w:pStyle w:val="Normal"/>
        <w:tabs>
          <w:tab w:val="left" w:pos="336" w:leader="none"/>
          <w:tab w:val="left" w:pos="720" w:leader="none"/>
          <w:tab w:val="left" w:pos="2126" w:leader="none"/>
        </w:tabs>
        <w:overflowPunct w:val="true"/>
        <w:rPr>
          <w:caps/>
          <w:szCs w:val="28"/>
          <w:lang w:val="en-US"/>
        </w:rPr>
      </w:pPr>
      <w:r>
        <w:rPr>
          <w:caps/>
          <w:szCs w:val="28"/>
          <w:lang w:val="en-US"/>
        </w:rPr>
        <w:t>THE HONOURABLE Mrs Regina IP LAU Suk-yee, G.B.S., J.P.</w:t>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r>
    </w:p>
    <w:p>
      <w:pPr>
        <w:pStyle w:val="Normal"/>
        <w:tabs>
          <w:tab w:val="left" w:pos="336" w:leader="none"/>
          <w:tab w:val="left" w:pos="720" w:leader="none"/>
          <w:tab w:val="left" w:pos="2126" w:leader="none"/>
        </w:tabs>
        <w:overflowPunct w:val="true"/>
        <w:rPr>
          <w:caps/>
          <w:szCs w:val="28"/>
          <w:lang w:val="en-US"/>
        </w:rPr>
      </w:pPr>
      <w:r>
        <w:rPr>
          <w:caps/>
          <w:spacing w:val="20"/>
          <w:sz w:val="27"/>
          <w:szCs w:val="22"/>
          <w:lang w:val="en-US"/>
        </w:rPr>
        <w:t>謝偉俊議員</w:t>
      </w:r>
      <w:r>
        <w:rPr>
          <w:caps/>
          <w:szCs w:val="28"/>
          <w:lang w:val="en-US"/>
        </w:rPr>
        <w:t>, J.P.</w:t>
      </w:r>
    </w:p>
    <w:p>
      <w:pPr>
        <w:pStyle w:val="Normal"/>
        <w:tabs>
          <w:tab w:val="left" w:pos="336" w:leader="none"/>
          <w:tab w:val="left" w:pos="720" w:leader="none"/>
          <w:tab w:val="left" w:pos="2126" w:leader="none"/>
        </w:tabs>
        <w:overflowPunct w:val="true"/>
        <w:rPr>
          <w:caps/>
          <w:szCs w:val="28"/>
          <w:lang w:val="en-US"/>
        </w:rPr>
      </w:pPr>
      <w:r>
        <w:rPr>
          <w:caps/>
          <w:szCs w:val="28"/>
          <w:lang w:val="en-US"/>
        </w:rPr>
        <w:t>THE HONOURABLE Paul TSE Wai-chun, J.P.</w:t>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t>毛孟靜議員</w:t>
      </w:r>
    </w:p>
    <w:p>
      <w:pPr>
        <w:pStyle w:val="Normal"/>
        <w:tabs>
          <w:tab w:val="left" w:pos="336" w:leader="none"/>
          <w:tab w:val="left" w:pos="720" w:leader="none"/>
          <w:tab w:val="left" w:pos="2126" w:leader="none"/>
        </w:tabs>
        <w:overflowPunct w:val="true"/>
        <w:rPr>
          <w:caps/>
          <w:szCs w:val="28"/>
          <w:lang w:val="en-US"/>
        </w:rPr>
      </w:pPr>
      <w:r>
        <w:rPr>
          <w:caps/>
          <w:szCs w:val="28"/>
          <w:lang w:val="en-US"/>
        </w:rPr>
        <w:t>THE HONOURABLE Claudia MO</w:t>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r>
    </w:p>
    <w:p>
      <w:pPr>
        <w:pStyle w:val="Normal"/>
        <w:tabs>
          <w:tab w:val="left" w:pos="336" w:leader="none"/>
          <w:tab w:val="left" w:pos="720" w:leader="none"/>
          <w:tab w:val="left" w:pos="2126" w:leader="none"/>
        </w:tabs>
        <w:overflowPunct w:val="true"/>
        <w:rPr>
          <w:caps/>
          <w:szCs w:val="28"/>
          <w:lang w:val="en-US"/>
        </w:rPr>
      </w:pPr>
      <w:r>
        <w:rPr>
          <w:caps/>
          <w:spacing w:val="20"/>
          <w:sz w:val="27"/>
          <w:szCs w:val="22"/>
          <w:lang w:val="en-US"/>
        </w:rPr>
        <w:t>田北辰議員</w:t>
      </w:r>
      <w:r>
        <w:rPr>
          <w:caps/>
          <w:szCs w:val="28"/>
          <w:lang w:val="en-US"/>
        </w:rPr>
        <w:t>, B.B.S., J.P.</w:t>
      </w:r>
    </w:p>
    <w:p>
      <w:pPr>
        <w:pStyle w:val="Normal"/>
        <w:tabs>
          <w:tab w:val="left" w:pos="336" w:leader="none"/>
          <w:tab w:val="left" w:pos="720" w:leader="none"/>
          <w:tab w:val="left" w:pos="2126" w:leader="none"/>
        </w:tabs>
        <w:overflowPunct w:val="true"/>
        <w:rPr>
          <w:caps/>
          <w:szCs w:val="28"/>
          <w:lang w:val="en-US"/>
        </w:rPr>
      </w:pPr>
      <w:r>
        <w:rPr>
          <w:caps/>
          <w:szCs w:val="28"/>
          <w:lang w:val="en-US"/>
        </w:rPr>
        <w:t>THE HONOURABLE Michael TIEN Puk-sun, B.B.S., J.P.</w:t>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r>
    </w:p>
    <w:p>
      <w:pPr>
        <w:pStyle w:val="Normal"/>
        <w:tabs>
          <w:tab w:val="left" w:pos="336" w:leader="none"/>
          <w:tab w:val="left" w:pos="720" w:leader="none"/>
          <w:tab w:val="left" w:pos="2126" w:leader="none"/>
        </w:tabs>
        <w:overflowPunct w:val="true"/>
        <w:rPr>
          <w:caps/>
          <w:szCs w:val="28"/>
          <w:lang w:val="en-US"/>
        </w:rPr>
      </w:pPr>
      <w:r>
        <w:rPr>
          <w:caps/>
          <w:spacing w:val="20"/>
          <w:sz w:val="27"/>
          <w:szCs w:val="22"/>
          <w:lang w:val="en-US"/>
        </w:rPr>
        <w:t>何俊賢議員</w:t>
      </w:r>
      <w:r>
        <w:rPr>
          <w:caps/>
          <w:szCs w:val="28"/>
          <w:lang w:val="en-US"/>
        </w:rPr>
        <w:t>, B.B.S.</w:t>
      </w:r>
    </w:p>
    <w:p>
      <w:pPr>
        <w:pStyle w:val="Normal"/>
        <w:tabs>
          <w:tab w:val="left" w:pos="336" w:leader="none"/>
          <w:tab w:val="left" w:pos="720" w:leader="none"/>
          <w:tab w:val="left" w:pos="2126" w:leader="none"/>
        </w:tabs>
        <w:overflowPunct w:val="true"/>
        <w:rPr>
          <w:caps/>
          <w:szCs w:val="28"/>
          <w:lang w:val="en-US"/>
        </w:rPr>
      </w:pPr>
      <w:r>
        <w:rPr>
          <w:caps/>
          <w:szCs w:val="28"/>
          <w:lang w:val="en-US"/>
        </w:rPr>
        <w:t>THE HONOURABLE Steven HO Chun-yin, B.B.S.</w:t>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r>
    </w:p>
    <w:p>
      <w:pPr>
        <w:pStyle w:val="Normal"/>
        <w:tabs>
          <w:tab w:val="left" w:pos="336" w:leader="none"/>
          <w:tab w:val="left" w:pos="720" w:leader="none"/>
          <w:tab w:val="left" w:pos="2126" w:leader="none"/>
        </w:tabs>
        <w:overflowPunct w:val="true"/>
        <w:rPr>
          <w:caps/>
          <w:szCs w:val="28"/>
          <w:lang w:val="en-US"/>
        </w:rPr>
      </w:pPr>
      <w:r>
        <w:rPr>
          <w:caps/>
          <w:spacing w:val="20"/>
          <w:sz w:val="27"/>
          <w:szCs w:val="22"/>
          <w:lang w:val="en-US"/>
        </w:rPr>
        <w:t>易志明議員</w:t>
      </w:r>
      <w:r>
        <w:rPr>
          <w:caps/>
          <w:szCs w:val="28"/>
          <w:lang w:val="en-US"/>
        </w:rPr>
        <w:t>, S.B.S., J.P.</w:t>
      </w:r>
    </w:p>
    <w:p>
      <w:pPr>
        <w:pStyle w:val="Normal"/>
        <w:tabs>
          <w:tab w:val="left" w:pos="336" w:leader="none"/>
          <w:tab w:val="left" w:pos="720" w:leader="none"/>
          <w:tab w:val="left" w:pos="2126" w:leader="none"/>
        </w:tabs>
        <w:overflowPunct w:val="true"/>
        <w:rPr>
          <w:caps/>
          <w:szCs w:val="28"/>
          <w:lang w:val="en-US"/>
        </w:rPr>
      </w:pPr>
      <w:r>
        <w:rPr>
          <w:caps/>
          <w:szCs w:val="28"/>
          <w:lang w:val="en-US"/>
        </w:rPr>
        <w:t>THE HONOURABLE Frankie YICK Chi-ming, S.B.S., J.P.</w:t>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r>
    </w:p>
    <w:p>
      <w:pPr>
        <w:pStyle w:val="Normal"/>
        <w:tabs>
          <w:tab w:val="left" w:pos="336" w:leader="none"/>
          <w:tab w:val="left" w:pos="720" w:leader="none"/>
          <w:tab w:val="left" w:pos="2126" w:leader="none"/>
        </w:tabs>
        <w:overflowPunct w:val="true"/>
        <w:rPr>
          <w:caps/>
          <w:szCs w:val="28"/>
          <w:lang w:val="en-US"/>
        </w:rPr>
      </w:pPr>
      <w:r>
        <w:rPr>
          <w:caps/>
          <w:spacing w:val="20"/>
          <w:sz w:val="27"/>
          <w:szCs w:val="22"/>
          <w:lang w:val="en-US"/>
        </w:rPr>
        <w:t>胡志偉議員</w:t>
      </w:r>
      <w:r>
        <w:rPr>
          <w:caps/>
          <w:szCs w:val="28"/>
          <w:lang w:val="en-US"/>
        </w:rPr>
        <w:t>, M.H.</w:t>
      </w:r>
    </w:p>
    <w:p>
      <w:pPr>
        <w:pStyle w:val="Normal"/>
        <w:tabs>
          <w:tab w:val="left" w:pos="336" w:leader="none"/>
          <w:tab w:val="left" w:pos="720" w:leader="none"/>
          <w:tab w:val="left" w:pos="2126" w:leader="none"/>
        </w:tabs>
        <w:overflowPunct w:val="true"/>
        <w:rPr>
          <w:caps/>
          <w:szCs w:val="28"/>
          <w:lang w:val="en-US"/>
        </w:rPr>
      </w:pPr>
      <w:r>
        <w:rPr>
          <w:caps/>
          <w:szCs w:val="28"/>
          <w:lang w:val="en-US"/>
        </w:rPr>
        <w:t>THE HONOURABLE WU Chi-wai, M.H.</w:t>
      </w:r>
      <w:r>
        <w:br w:type="page"/>
      </w:r>
    </w:p>
    <w:p>
      <w:pPr>
        <w:pStyle w:val="Normal"/>
        <w:tabs>
          <w:tab w:val="left" w:pos="336" w:leader="none"/>
          <w:tab w:val="left" w:pos="720" w:leader="none"/>
          <w:tab w:val="left" w:pos="2126" w:leader="none"/>
        </w:tabs>
        <w:overflowPunct w:val="true"/>
        <w:rPr>
          <w:caps/>
          <w:szCs w:val="28"/>
          <w:lang w:val="en-US"/>
        </w:rPr>
      </w:pPr>
      <w:r>
        <w:rPr>
          <w:caps/>
          <w:spacing w:val="20"/>
          <w:sz w:val="27"/>
          <w:szCs w:val="22"/>
          <w:lang w:val="en-US"/>
        </w:rPr>
        <w:t>姚思榮議員</w:t>
      </w:r>
      <w:r>
        <w:rPr>
          <w:caps/>
          <w:szCs w:val="28"/>
          <w:lang w:val="en-US"/>
        </w:rPr>
        <w:t>, B.B.S.</w:t>
      </w:r>
    </w:p>
    <w:p>
      <w:pPr>
        <w:pStyle w:val="Normal"/>
        <w:tabs>
          <w:tab w:val="left" w:pos="336" w:leader="none"/>
          <w:tab w:val="left" w:pos="720" w:leader="none"/>
          <w:tab w:val="left" w:pos="2126" w:leader="none"/>
        </w:tabs>
        <w:overflowPunct w:val="true"/>
        <w:rPr>
          <w:caps/>
          <w:szCs w:val="28"/>
          <w:lang w:val="en-US"/>
        </w:rPr>
      </w:pPr>
      <w:r>
        <w:rPr>
          <w:caps/>
          <w:szCs w:val="28"/>
          <w:lang w:val="en-US"/>
        </w:rPr>
        <w:t>THE HONOURABLE YIU Si-wing, B.B.S.</w:t>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r>
    </w:p>
    <w:p>
      <w:pPr>
        <w:pStyle w:val="Normal"/>
        <w:tabs>
          <w:tab w:val="left" w:pos="336" w:leader="none"/>
          <w:tab w:val="left" w:pos="720" w:leader="none"/>
          <w:tab w:val="left" w:pos="2126" w:leader="none"/>
        </w:tabs>
        <w:overflowPunct w:val="true"/>
        <w:rPr>
          <w:caps/>
          <w:szCs w:val="28"/>
          <w:lang w:val="en-US"/>
        </w:rPr>
      </w:pPr>
      <w:r>
        <w:rPr>
          <w:caps/>
          <w:spacing w:val="20"/>
          <w:sz w:val="27"/>
          <w:szCs w:val="22"/>
          <w:lang w:val="en-US"/>
        </w:rPr>
        <w:t>馬逢國議員</w:t>
      </w:r>
      <w:r>
        <w:rPr>
          <w:caps/>
          <w:szCs w:val="28"/>
          <w:lang w:val="en-US"/>
        </w:rPr>
        <w:t>, S.B.S., J.P.</w:t>
      </w:r>
    </w:p>
    <w:p>
      <w:pPr>
        <w:pStyle w:val="Normal"/>
        <w:tabs>
          <w:tab w:val="left" w:pos="336" w:leader="none"/>
          <w:tab w:val="left" w:pos="720" w:leader="none"/>
          <w:tab w:val="left" w:pos="2126" w:leader="none"/>
        </w:tabs>
        <w:overflowPunct w:val="true"/>
        <w:rPr>
          <w:caps/>
          <w:szCs w:val="28"/>
          <w:lang w:val="en-US"/>
        </w:rPr>
      </w:pPr>
      <w:r>
        <w:rPr>
          <w:caps/>
          <w:szCs w:val="28"/>
          <w:lang w:val="en-US"/>
        </w:rPr>
        <w:t>THE HONOURABLE MA Fung-kwok, S.B.S., J.P.</w:t>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r>
    </w:p>
    <w:p>
      <w:pPr>
        <w:pStyle w:val="Normal"/>
        <w:tabs>
          <w:tab w:val="left" w:pos="336" w:leader="none"/>
          <w:tab w:val="left" w:pos="720" w:leader="none"/>
          <w:tab w:val="left" w:pos="2126" w:leader="none"/>
        </w:tabs>
        <w:overflowPunct w:val="true"/>
        <w:rPr>
          <w:caps/>
          <w:szCs w:val="28"/>
          <w:lang w:val="en-US"/>
        </w:rPr>
      </w:pPr>
      <w:r>
        <w:rPr>
          <w:caps/>
          <w:spacing w:val="20"/>
          <w:sz w:val="27"/>
          <w:szCs w:val="22"/>
          <w:lang w:val="en-US"/>
        </w:rPr>
        <w:t>莫乃光議員</w:t>
      </w:r>
      <w:r>
        <w:rPr>
          <w:caps/>
          <w:szCs w:val="28"/>
          <w:lang w:val="en-US"/>
        </w:rPr>
        <w:t>, J.P.</w:t>
      </w:r>
    </w:p>
    <w:p>
      <w:pPr>
        <w:pStyle w:val="Normal"/>
        <w:tabs>
          <w:tab w:val="left" w:pos="336" w:leader="none"/>
          <w:tab w:val="left" w:pos="720" w:leader="none"/>
          <w:tab w:val="left" w:pos="2126" w:leader="none"/>
        </w:tabs>
        <w:overflowPunct w:val="true"/>
        <w:rPr>
          <w:caps/>
          <w:szCs w:val="28"/>
          <w:lang w:val="en-US"/>
        </w:rPr>
      </w:pPr>
      <w:r>
        <w:rPr>
          <w:caps/>
          <w:szCs w:val="28"/>
          <w:lang w:val="en-US"/>
        </w:rPr>
        <w:t>THE HONOURABLE Charles Peter MOK, J.P.</w:t>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t>陳志全議員</w:t>
      </w:r>
    </w:p>
    <w:p>
      <w:pPr>
        <w:pStyle w:val="Normal"/>
        <w:tabs>
          <w:tab w:val="left" w:pos="336" w:leader="none"/>
          <w:tab w:val="left" w:pos="720" w:leader="none"/>
          <w:tab w:val="left" w:pos="2126" w:leader="none"/>
        </w:tabs>
        <w:overflowPunct w:val="true"/>
        <w:rPr>
          <w:caps/>
          <w:szCs w:val="28"/>
          <w:lang w:val="en-US"/>
        </w:rPr>
      </w:pPr>
      <w:r>
        <w:rPr>
          <w:caps/>
          <w:szCs w:val="28"/>
          <w:lang w:val="en-US"/>
        </w:rPr>
        <w:t>THE HONOURABLE CHAN Chi-chuen</w:t>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r>
    </w:p>
    <w:p>
      <w:pPr>
        <w:pStyle w:val="Normal"/>
        <w:tabs>
          <w:tab w:val="left" w:pos="336" w:leader="none"/>
          <w:tab w:val="left" w:pos="720" w:leader="none"/>
          <w:tab w:val="left" w:pos="2126" w:leader="none"/>
        </w:tabs>
        <w:overflowPunct w:val="true"/>
        <w:rPr>
          <w:caps/>
          <w:szCs w:val="28"/>
          <w:lang w:val="en-US"/>
        </w:rPr>
      </w:pPr>
      <w:r>
        <w:rPr>
          <w:caps/>
          <w:spacing w:val="20"/>
          <w:sz w:val="27"/>
          <w:szCs w:val="22"/>
          <w:lang w:val="en-US"/>
        </w:rPr>
        <w:t>陳恒鑌議員</w:t>
      </w:r>
      <w:r>
        <w:rPr>
          <w:caps/>
          <w:szCs w:val="28"/>
          <w:lang w:val="en-US"/>
        </w:rPr>
        <w:t>, B.B.S., J.P.</w:t>
      </w:r>
    </w:p>
    <w:p>
      <w:pPr>
        <w:pStyle w:val="Normal"/>
        <w:tabs>
          <w:tab w:val="left" w:pos="336" w:leader="none"/>
          <w:tab w:val="left" w:pos="720" w:leader="none"/>
          <w:tab w:val="left" w:pos="2126" w:leader="none"/>
        </w:tabs>
        <w:overflowPunct w:val="true"/>
        <w:rPr>
          <w:caps/>
          <w:szCs w:val="28"/>
          <w:lang w:val="en-US"/>
        </w:rPr>
      </w:pPr>
      <w:r>
        <w:rPr>
          <w:caps/>
          <w:szCs w:val="28"/>
          <w:lang w:val="en-US"/>
        </w:rPr>
        <w:t>THE HONOURABLE CHAN Han-pan, B.B.S., J.P.</w:t>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t>梁繼昌議員</w:t>
      </w:r>
    </w:p>
    <w:p>
      <w:pPr>
        <w:pStyle w:val="Normal"/>
        <w:tabs>
          <w:tab w:val="left" w:pos="336" w:leader="none"/>
          <w:tab w:val="left" w:pos="720" w:leader="none"/>
          <w:tab w:val="left" w:pos="2126" w:leader="none"/>
        </w:tabs>
        <w:overflowPunct w:val="true"/>
        <w:rPr>
          <w:caps/>
          <w:szCs w:val="28"/>
          <w:lang w:val="en-US"/>
        </w:rPr>
      </w:pPr>
      <w:r>
        <w:rPr>
          <w:caps/>
          <w:szCs w:val="28"/>
          <w:lang w:val="en-US"/>
        </w:rPr>
        <w:t>THE HONOURABLE Kenneth LEUNG</w:t>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r>
    </w:p>
    <w:p>
      <w:pPr>
        <w:pStyle w:val="Normal"/>
        <w:tabs>
          <w:tab w:val="left" w:pos="336" w:leader="none"/>
          <w:tab w:val="left" w:pos="720" w:leader="none"/>
          <w:tab w:val="left" w:pos="2126" w:leader="none"/>
        </w:tabs>
        <w:overflowPunct w:val="true"/>
        <w:rPr>
          <w:caps/>
          <w:szCs w:val="28"/>
          <w:lang w:val="en-US"/>
        </w:rPr>
      </w:pPr>
      <w:r>
        <w:rPr>
          <w:caps/>
          <w:spacing w:val="20"/>
          <w:sz w:val="27"/>
          <w:szCs w:val="22"/>
          <w:lang w:val="en-US"/>
        </w:rPr>
        <w:t>麥美娟議員</w:t>
      </w:r>
      <w:r>
        <w:rPr>
          <w:caps/>
          <w:szCs w:val="28"/>
          <w:lang w:val="en-US"/>
        </w:rPr>
        <w:t>, B.B.S., J.P.</w:t>
      </w:r>
    </w:p>
    <w:p>
      <w:pPr>
        <w:pStyle w:val="Normal"/>
        <w:tabs>
          <w:tab w:val="left" w:pos="336" w:leader="none"/>
          <w:tab w:val="left" w:pos="720" w:leader="none"/>
          <w:tab w:val="left" w:pos="2126" w:leader="none"/>
        </w:tabs>
        <w:overflowPunct w:val="true"/>
        <w:rPr>
          <w:caps/>
          <w:szCs w:val="28"/>
          <w:lang w:val="en-US"/>
        </w:rPr>
      </w:pPr>
      <w:r>
        <w:rPr>
          <w:caps/>
          <w:szCs w:val="28"/>
          <w:lang w:val="en-US"/>
        </w:rPr>
        <w:t>THE HONOURABLE Alice MAK Mei-kuen, B.B.S., J.P.</w:t>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t>郭家麒議員</w:t>
      </w:r>
    </w:p>
    <w:p>
      <w:pPr>
        <w:pStyle w:val="Normal"/>
        <w:tabs>
          <w:tab w:val="left" w:pos="336" w:leader="none"/>
          <w:tab w:val="left" w:pos="720" w:leader="none"/>
          <w:tab w:val="left" w:pos="2126" w:leader="none"/>
        </w:tabs>
        <w:overflowPunct w:val="true"/>
        <w:rPr>
          <w:caps/>
          <w:szCs w:val="28"/>
          <w:lang w:val="en-US"/>
        </w:rPr>
      </w:pPr>
      <w:r>
        <w:rPr>
          <w:caps/>
          <w:szCs w:val="28"/>
          <w:lang w:val="en-US"/>
        </w:rPr>
        <w:t>Dr THE HONOURABLE KWOK Ka-ki</w:t>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t>郭偉强議員</w:t>
      </w:r>
      <w:r>
        <w:rPr>
          <w:caps/>
          <w:szCs w:val="28"/>
          <w:lang w:val="en-US"/>
        </w:rPr>
        <w:t>,</w:t>
      </w:r>
      <w:r>
        <w:rPr>
          <w:caps/>
          <w:spacing w:val="20"/>
          <w:sz w:val="27"/>
          <w:szCs w:val="22"/>
          <w:lang w:val="en-US"/>
        </w:rPr>
        <w:t xml:space="preserve"> </w:t>
      </w:r>
      <w:r>
        <w:rPr>
          <w:caps/>
          <w:szCs w:val="28"/>
          <w:lang w:val="en-US"/>
        </w:rPr>
        <w:t>J.P.</w:t>
      </w:r>
    </w:p>
    <w:p>
      <w:pPr>
        <w:pStyle w:val="Normal"/>
        <w:tabs>
          <w:tab w:val="left" w:pos="336" w:leader="none"/>
          <w:tab w:val="left" w:pos="720" w:leader="none"/>
          <w:tab w:val="left" w:pos="2126" w:leader="none"/>
        </w:tabs>
        <w:overflowPunct w:val="true"/>
        <w:rPr>
          <w:caps/>
          <w:szCs w:val="28"/>
          <w:lang w:val="en-US"/>
        </w:rPr>
      </w:pPr>
      <w:r>
        <w:rPr>
          <w:caps/>
          <w:szCs w:val="28"/>
          <w:lang w:val="en-US"/>
        </w:rPr>
        <w:t>THE HONOURABLE KWOK Wai-keung, J.P.</w:t>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t>郭榮鏗議員</w:t>
      </w:r>
    </w:p>
    <w:p>
      <w:pPr>
        <w:pStyle w:val="Normal"/>
        <w:tabs>
          <w:tab w:val="left" w:pos="336" w:leader="none"/>
          <w:tab w:val="left" w:pos="720" w:leader="none"/>
          <w:tab w:val="left" w:pos="2126" w:leader="none"/>
        </w:tabs>
        <w:overflowPunct w:val="true"/>
        <w:rPr>
          <w:caps/>
          <w:szCs w:val="28"/>
          <w:lang w:val="en-US"/>
        </w:rPr>
      </w:pPr>
      <w:r>
        <w:rPr>
          <w:caps/>
          <w:szCs w:val="28"/>
          <w:lang w:val="en-US"/>
        </w:rPr>
        <w:t>THE HONOURABLE Dennis KWOK Wing-hang</w:t>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r>
    </w:p>
    <w:p>
      <w:pPr>
        <w:pStyle w:val="Normal"/>
        <w:tabs>
          <w:tab w:val="left" w:pos="336" w:leader="none"/>
          <w:tab w:val="left" w:pos="720" w:leader="none"/>
          <w:tab w:val="left" w:pos="2126" w:leader="none"/>
        </w:tabs>
        <w:overflowPunct w:val="true"/>
        <w:rPr>
          <w:caps/>
          <w:szCs w:val="28"/>
          <w:lang w:val="en-US"/>
        </w:rPr>
      </w:pPr>
      <w:r>
        <w:rPr>
          <w:caps/>
          <w:spacing w:val="20"/>
          <w:sz w:val="27"/>
          <w:szCs w:val="22"/>
          <w:lang w:val="en-US"/>
        </w:rPr>
        <w:t>張華峰議員</w:t>
      </w:r>
      <w:r>
        <w:rPr>
          <w:caps/>
          <w:szCs w:val="28"/>
          <w:lang w:val="en-US"/>
        </w:rPr>
        <w:t>, S.B.S., J.P.</w:t>
      </w:r>
    </w:p>
    <w:p>
      <w:pPr>
        <w:pStyle w:val="Normal"/>
        <w:tabs>
          <w:tab w:val="left" w:pos="336" w:leader="none"/>
          <w:tab w:val="left" w:pos="720" w:leader="none"/>
          <w:tab w:val="left" w:pos="2126" w:leader="none"/>
        </w:tabs>
        <w:overflowPunct w:val="true"/>
        <w:rPr>
          <w:caps/>
          <w:szCs w:val="28"/>
          <w:lang w:val="en-US"/>
        </w:rPr>
      </w:pPr>
      <w:r>
        <w:rPr>
          <w:caps/>
          <w:szCs w:val="28"/>
          <w:lang w:val="en-US"/>
        </w:rPr>
        <w:t>THE HONOURABLE Christopher CHEUNG Wah-fung, S.B.S., J.P.</w:t>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t>張超雄議員</w:t>
      </w:r>
    </w:p>
    <w:p>
      <w:pPr>
        <w:pStyle w:val="Normal"/>
        <w:tabs>
          <w:tab w:val="left" w:pos="336" w:leader="none"/>
          <w:tab w:val="left" w:pos="720" w:leader="none"/>
          <w:tab w:val="left" w:pos="2126" w:leader="none"/>
        </w:tabs>
        <w:overflowPunct w:val="true"/>
        <w:rPr>
          <w:caps/>
          <w:szCs w:val="28"/>
          <w:lang w:val="en-US"/>
        </w:rPr>
      </w:pPr>
      <w:r>
        <w:rPr>
          <w:caps/>
          <w:szCs w:val="28"/>
          <w:lang w:val="en-US"/>
        </w:rPr>
        <w:t>Dr THE HONOURABLE Fernando CHEUNG Chiu-hung</w:t>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t>黃碧雲議員</w:t>
      </w:r>
    </w:p>
    <w:p>
      <w:pPr>
        <w:pStyle w:val="Normal"/>
        <w:tabs>
          <w:tab w:val="left" w:pos="336" w:leader="none"/>
          <w:tab w:val="left" w:pos="720" w:leader="none"/>
          <w:tab w:val="left" w:pos="2126" w:leader="none"/>
        </w:tabs>
        <w:overflowPunct w:val="true"/>
        <w:rPr>
          <w:caps/>
          <w:szCs w:val="28"/>
          <w:lang w:val="en-US"/>
        </w:rPr>
      </w:pPr>
      <w:r>
        <w:rPr>
          <w:caps/>
          <w:szCs w:val="28"/>
          <w:lang w:val="en-US"/>
        </w:rPr>
        <w:t>Dr THE HONOURABLE Helena WONG Pik-wan</w:t>
      </w:r>
      <w:r>
        <w:br w:type="page"/>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t>葉建源議員</w:t>
      </w:r>
    </w:p>
    <w:p>
      <w:pPr>
        <w:pStyle w:val="Normal"/>
        <w:tabs>
          <w:tab w:val="left" w:pos="336" w:leader="none"/>
          <w:tab w:val="left" w:pos="720" w:leader="none"/>
          <w:tab w:val="left" w:pos="2126" w:leader="none"/>
        </w:tabs>
        <w:overflowPunct w:val="true"/>
        <w:rPr>
          <w:caps/>
          <w:szCs w:val="28"/>
          <w:lang w:val="en-US"/>
        </w:rPr>
      </w:pPr>
      <w:r>
        <w:rPr>
          <w:caps/>
          <w:szCs w:val="28"/>
          <w:lang w:val="en-US"/>
        </w:rPr>
        <w:t>THE HONOURABLE IP Kin-yuen</w:t>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r>
    </w:p>
    <w:p>
      <w:pPr>
        <w:pStyle w:val="F21"/>
        <w:overflowPunct w:val="true"/>
        <w:rPr>
          <w:rFonts w:cs="Times New Roman"/>
          <w:caps/>
          <w:spacing w:val="0"/>
          <w:sz w:val="28"/>
          <w:szCs w:val="28"/>
        </w:rPr>
      </w:pPr>
      <w:r>
        <w:rPr>
          <w:rFonts w:cs="Times New Roman"/>
        </w:rPr>
        <w:t>葛珮帆議員</w:t>
      </w:r>
      <w:r>
        <w:rPr>
          <w:rFonts w:cs="Times New Roman"/>
          <w:caps/>
          <w:spacing w:val="0"/>
          <w:sz w:val="28"/>
          <w:szCs w:val="28"/>
        </w:rPr>
        <w:t xml:space="preserve">, </w:t>
      </w:r>
      <w:r>
        <w:rPr>
          <w:caps/>
          <w:spacing w:val="0"/>
          <w:sz w:val="28"/>
          <w:szCs w:val="28"/>
        </w:rPr>
        <w:t>B.B.S., J.P.</w:t>
      </w:r>
    </w:p>
    <w:p>
      <w:pPr>
        <w:pStyle w:val="Normal"/>
        <w:tabs>
          <w:tab w:val="left" w:pos="336" w:leader="none"/>
          <w:tab w:val="left" w:pos="720" w:leader="none"/>
          <w:tab w:val="left" w:pos="2126" w:leader="none"/>
        </w:tabs>
        <w:overflowPunct w:val="true"/>
        <w:rPr>
          <w:caps/>
          <w:szCs w:val="28"/>
          <w:lang w:val="en-US"/>
        </w:rPr>
      </w:pPr>
      <w:r>
        <w:rPr>
          <w:caps/>
          <w:szCs w:val="28"/>
          <w:lang w:val="en-US"/>
        </w:rPr>
        <w:t>Dr THE HONOURABLE Elizabeth QUAT, B.B.S., J.P.</w:t>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r>
    </w:p>
    <w:p>
      <w:pPr>
        <w:pStyle w:val="Normal"/>
        <w:tabs>
          <w:tab w:val="left" w:pos="336" w:leader="none"/>
          <w:tab w:val="left" w:pos="720" w:leader="none"/>
          <w:tab w:val="left" w:pos="2126" w:leader="none"/>
        </w:tabs>
        <w:overflowPunct w:val="true"/>
        <w:rPr>
          <w:caps/>
          <w:szCs w:val="28"/>
          <w:lang w:val="en-US"/>
        </w:rPr>
      </w:pPr>
      <w:r>
        <w:rPr>
          <w:caps/>
          <w:spacing w:val="20"/>
          <w:sz w:val="27"/>
          <w:szCs w:val="22"/>
          <w:lang w:val="en-US"/>
        </w:rPr>
        <w:t>廖長江議員</w:t>
      </w:r>
      <w:r>
        <w:rPr>
          <w:caps/>
          <w:szCs w:val="28"/>
          <w:lang w:val="en-US"/>
        </w:rPr>
        <w:t>, S.B.S., J.P.</w:t>
      </w:r>
    </w:p>
    <w:p>
      <w:pPr>
        <w:pStyle w:val="Normal"/>
        <w:tabs>
          <w:tab w:val="left" w:pos="336" w:leader="none"/>
          <w:tab w:val="left" w:pos="720" w:leader="none"/>
          <w:tab w:val="left" w:pos="2126" w:leader="none"/>
        </w:tabs>
        <w:overflowPunct w:val="true"/>
        <w:rPr>
          <w:caps/>
          <w:szCs w:val="28"/>
          <w:lang w:val="en-US"/>
        </w:rPr>
      </w:pPr>
      <w:r>
        <w:rPr>
          <w:caps/>
          <w:szCs w:val="28"/>
          <w:lang w:val="en-US"/>
        </w:rPr>
        <w:t>THE HONOURABLE Martin LIAO Cheung-kong, S.B.S., J.P.</w:t>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r>
    </w:p>
    <w:p>
      <w:pPr>
        <w:pStyle w:val="Normal"/>
        <w:tabs>
          <w:tab w:val="left" w:pos="336" w:leader="none"/>
          <w:tab w:val="left" w:pos="720" w:leader="none"/>
          <w:tab w:val="left" w:pos="2126" w:leader="none"/>
        </w:tabs>
        <w:overflowPunct w:val="true"/>
        <w:rPr>
          <w:caps/>
          <w:szCs w:val="28"/>
          <w:lang w:val="en-US"/>
        </w:rPr>
      </w:pPr>
      <w:r>
        <w:rPr>
          <w:caps/>
          <w:spacing w:val="20"/>
          <w:sz w:val="27"/>
          <w:szCs w:val="22"/>
          <w:lang w:val="en-US"/>
        </w:rPr>
        <w:t>潘兆平議員</w:t>
      </w:r>
      <w:r>
        <w:rPr>
          <w:caps/>
          <w:szCs w:val="28"/>
          <w:lang w:val="en-US"/>
        </w:rPr>
        <w:t>, B.B.S., M.H.</w:t>
      </w:r>
    </w:p>
    <w:p>
      <w:pPr>
        <w:pStyle w:val="Normal"/>
        <w:tabs>
          <w:tab w:val="left" w:pos="336" w:leader="none"/>
          <w:tab w:val="left" w:pos="720" w:leader="none"/>
          <w:tab w:val="left" w:pos="2126" w:leader="none"/>
        </w:tabs>
        <w:overflowPunct w:val="true"/>
        <w:rPr>
          <w:caps/>
          <w:szCs w:val="28"/>
          <w:lang w:val="en-US"/>
        </w:rPr>
      </w:pPr>
      <w:r>
        <w:rPr>
          <w:caps/>
          <w:szCs w:val="28"/>
          <w:lang w:val="en-US"/>
        </w:rPr>
        <w:t>THE HONOURABLE POON Siu-ping, B.B.S., M.H.</w:t>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r>
    </w:p>
    <w:p>
      <w:pPr>
        <w:pStyle w:val="Normal"/>
        <w:tabs>
          <w:tab w:val="left" w:pos="336" w:leader="none"/>
          <w:tab w:val="left" w:pos="720" w:leader="none"/>
          <w:tab w:val="left" w:pos="2126" w:leader="none"/>
        </w:tabs>
        <w:overflowPunct w:val="true"/>
        <w:rPr>
          <w:caps/>
          <w:szCs w:val="28"/>
          <w:lang w:val="en-US"/>
        </w:rPr>
      </w:pPr>
      <w:r>
        <w:rPr>
          <w:caps/>
          <w:spacing w:val="20"/>
          <w:sz w:val="27"/>
          <w:szCs w:val="22"/>
          <w:lang w:val="en-US"/>
        </w:rPr>
        <w:t>蔣麗芸議員</w:t>
      </w:r>
      <w:r>
        <w:rPr>
          <w:caps/>
          <w:szCs w:val="28"/>
          <w:lang w:val="en-US"/>
        </w:rPr>
        <w:t>, S.B.S., J.P.</w:t>
      </w:r>
    </w:p>
    <w:p>
      <w:pPr>
        <w:pStyle w:val="Normal"/>
        <w:tabs>
          <w:tab w:val="left" w:pos="336" w:leader="none"/>
          <w:tab w:val="left" w:pos="720" w:leader="none"/>
          <w:tab w:val="left" w:pos="2126" w:leader="none"/>
        </w:tabs>
        <w:overflowPunct w:val="true"/>
        <w:rPr>
          <w:caps/>
          <w:szCs w:val="28"/>
          <w:lang w:val="en-US"/>
        </w:rPr>
      </w:pPr>
      <w:r>
        <w:rPr>
          <w:caps/>
          <w:szCs w:val="28"/>
          <w:lang w:val="en-US"/>
        </w:rPr>
        <w:t>Dr THE HONOURABLE CHIANG Lai-wan, S.B.S., J.P.</w:t>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r>
    </w:p>
    <w:p>
      <w:pPr>
        <w:pStyle w:val="Normal"/>
        <w:tabs>
          <w:tab w:val="left" w:pos="336" w:leader="none"/>
          <w:tab w:val="left" w:pos="720" w:leader="none"/>
          <w:tab w:val="left" w:pos="2126" w:leader="none"/>
        </w:tabs>
        <w:overflowPunct w:val="true"/>
        <w:rPr>
          <w:caps/>
          <w:szCs w:val="28"/>
          <w:lang w:val="en-US"/>
        </w:rPr>
      </w:pPr>
      <w:r>
        <w:rPr>
          <w:caps/>
          <w:spacing w:val="20"/>
          <w:sz w:val="27"/>
          <w:szCs w:val="22"/>
          <w:lang w:val="en-US"/>
        </w:rPr>
        <w:t>盧偉國議員</w:t>
      </w:r>
      <w:r>
        <w:rPr>
          <w:caps/>
          <w:szCs w:val="28"/>
          <w:lang w:val="en-US"/>
        </w:rPr>
        <w:t>, S.B.S., M.H., J.P.</w:t>
      </w:r>
    </w:p>
    <w:p>
      <w:pPr>
        <w:pStyle w:val="Normal"/>
        <w:tabs>
          <w:tab w:val="left" w:pos="336" w:leader="none"/>
          <w:tab w:val="left" w:pos="720" w:leader="none"/>
          <w:tab w:val="left" w:pos="2126" w:leader="none"/>
        </w:tabs>
        <w:overflowPunct w:val="true"/>
        <w:rPr>
          <w:caps/>
          <w:szCs w:val="28"/>
          <w:lang w:val="en-US"/>
        </w:rPr>
      </w:pPr>
      <w:r>
        <w:rPr>
          <w:caps/>
          <w:szCs w:val="28"/>
          <w:lang w:val="en-US"/>
        </w:rPr>
        <w:t>Ir Dr THE HONOURABLE LO Wai-kwok, S.B.S., M.H., J.P.</w:t>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t>鍾國斌議員</w:t>
      </w:r>
    </w:p>
    <w:p>
      <w:pPr>
        <w:pStyle w:val="Normal"/>
        <w:tabs>
          <w:tab w:val="left" w:pos="336" w:leader="none"/>
          <w:tab w:val="left" w:pos="720" w:leader="none"/>
          <w:tab w:val="left" w:pos="2126" w:leader="none"/>
        </w:tabs>
        <w:overflowPunct w:val="true"/>
        <w:rPr>
          <w:caps/>
          <w:szCs w:val="28"/>
          <w:lang w:val="en-US"/>
        </w:rPr>
      </w:pPr>
      <w:r>
        <w:rPr>
          <w:caps/>
          <w:szCs w:val="28"/>
          <w:lang w:val="en-US"/>
        </w:rPr>
        <w:t>THE HONOURABLE CHUNG Kwok-pan</w:t>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t>楊岳橋議員</w:t>
      </w:r>
    </w:p>
    <w:p>
      <w:pPr>
        <w:pStyle w:val="Normal"/>
        <w:tabs>
          <w:tab w:val="left" w:pos="336" w:leader="none"/>
          <w:tab w:val="left" w:pos="720" w:leader="none"/>
          <w:tab w:val="left" w:pos="2126" w:leader="none"/>
        </w:tabs>
        <w:overflowPunct w:val="true"/>
        <w:rPr>
          <w:caps/>
          <w:szCs w:val="28"/>
          <w:lang w:val="en-US"/>
        </w:rPr>
      </w:pPr>
      <w:r>
        <w:rPr>
          <w:caps/>
          <w:szCs w:val="28"/>
          <w:lang w:val="en-US"/>
        </w:rPr>
        <w:t>THE HONOURABLE Alvin YEUNG</w:t>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t>尹兆堅議員</w:t>
      </w:r>
    </w:p>
    <w:p>
      <w:pPr>
        <w:pStyle w:val="Normal"/>
        <w:tabs>
          <w:tab w:val="left" w:pos="336" w:leader="none"/>
          <w:tab w:val="left" w:pos="720" w:leader="none"/>
          <w:tab w:val="left" w:pos="2126" w:leader="none"/>
        </w:tabs>
        <w:overflowPunct w:val="true"/>
        <w:rPr>
          <w:caps/>
          <w:szCs w:val="28"/>
          <w:lang w:val="en-US"/>
        </w:rPr>
      </w:pPr>
      <w:r>
        <w:rPr>
          <w:caps/>
          <w:szCs w:val="28"/>
          <w:lang w:val="en-US"/>
        </w:rPr>
        <w:t>THE HONOURABLE Andrew WAN Siu-kin</w:t>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t>朱凱廸議員</w:t>
      </w:r>
    </w:p>
    <w:p>
      <w:pPr>
        <w:pStyle w:val="Normal"/>
        <w:tabs>
          <w:tab w:val="left" w:pos="336" w:leader="none"/>
          <w:tab w:val="left" w:pos="720" w:leader="none"/>
          <w:tab w:val="left" w:pos="2126" w:leader="none"/>
        </w:tabs>
        <w:overflowPunct w:val="true"/>
        <w:rPr>
          <w:caps/>
          <w:szCs w:val="28"/>
          <w:lang w:val="en-US"/>
        </w:rPr>
      </w:pPr>
      <w:r>
        <w:rPr>
          <w:caps/>
          <w:szCs w:val="28"/>
          <w:lang w:val="en-US"/>
        </w:rPr>
        <w:t>THE HONOURABLE CHU Hoi-dick</w:t>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r>
    </w:p>
    <w:p>
      <w:pPr>
        <w:pStyle w:val="Normal"/>
        <w:tabs>
          <w:tab w:val="left" w:pos="336" w:leader="none"/>
          <w:tab w:val="left" w:pos="720" w:leader="none"/>
          <w:tab w:val="left" w:pos="2126" w:leader="none"/>
        </w:tabs>
        <w:overflowPunct w:val="true"/>
        <w:rPr>
          <w:caps/>
          <w:szCs w:val="28"/>
          <w:lang w:val="en-US"/>
        </w:rPr>
      </w:pPr>
      <w:r>
        <w:rPr>
          <w:caps/>
          <w:spacing w:val="20"/>
          <w:sz w:val="27"/>
          <w:szCs w:val="22"/>
          <w:lang w:val="en-US"/>
        </w:rPr>
        <w:t>吳永嘉議員</w:t>
      </w:r>
      <w:r>
        <w:rPr>
          <w:caps/>
          <w:szCs w:val="28"/>
          <w:lang w:val="en-US"/>
        </w:rPr>
        <w:t>, J.P.</w:t>
      </w:r>
    </w:p>
    <w:p>
      <w:pPr>
        <w:pStyle w:val="Normal"/>
        <w:tabs>
          <w:tab w:val="left" w:pos="336" w:leader="none"/>
          <w:tab w:val="left" w:pos="720" w:leader="none"/>
          <w:tab w:val="left" w:pos="2126" w:leader="none"/>
        </w:tabs>
        <w:overflowPunct w:val="true"/>
        <w:rPr>
          <w:caps/>
          <w:szCs w:val="28"/>
          <w:lang w:val="en-US"/>
        </w:rPr>
      </w:pPr>
      <w:r>
        <w:rPr>
          <w:caps/>
          <w:szCs w:val="28"/>
          <w:lang w:val="en-US"/>
        </w:rPr>
        <w:t>THE HONOURABLE Jimmy NG Wing-ka, J.P.</w:t>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r>
    </w:p>
    <w:p>
      <w:pPr>
        <w:pStyle w:val="Normal"/>
        <w:tabs>
          <w:tab w:val="left" w:pos="336" w:leader="none"/>
          <w:tab w:val="left" w:pos="720" w:leader="none"/>
          <w:tab w:val="left" w:pos="2126" w:leader="none"/>
        </w:tabs>
        <w:overflowPunct w:val="true"/>
        <w:rPr>
          <w:caps/>
          <w:szCs w:val="28"/>
          <w:lang w:val="en-US"/>
        </w:rPr>
      </w:pPr>
      <w:r>
        <w:rPr>
          <w:caps/>
          <w:spacing w:val="20"/>
          <w:sz w:val="27"/>
          <w:szCs w:val="22"/>
          <w:lang w:val="en-US"/>
        </w:rPr>
        <w:t>何君堯議員</w:t>
      </w:r>
      <w:r>
        <w:rPr>
          <w:caps/>
          <w:szCs w:val="28"/>
          <w:lang w:val="en-US"/>
        </w:rPr>
        <w:t>, J.P.</w:t>
      </w:r>
    </w:p>
    <w:p>
      <w:pPr>
        <w:pStyle w:val="Normal"/>
        <w:tabs>
          <w:tab w:val="left" w:pos="336" w:leader="none"/>
          <w:tab w:val="left" w:pos="720" w:leader="none"/>
          <w:tab w:val="left" w:pos="2126" w:leader="none"/>
        </w:tabs>
        <w:overflowPunct w:val="true"/>
        <w:rPr>
          <w:caps/>
          <w:szCs w:val="28"/>
          <w:lang w:val="en-US"/>
        </w:rPr>
      </w:pPr>
      <w:r>
        <w:rPr>
          <w:caps/>
          <w:szCs w:val="28"/>
          <w:lang w:val="en-US"/>
        </w:rPr>
        <w:t>DR THE HONOURABLE Junius HO Kwan-yiu, J.P.</w:t>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t>何啟明議員</w:t>
      </w:r>
    </w:p>
    <w:p>
      <w:pPr>
        <w:pStyle w:val="Normal"/>
        <w:tabs>
          <w:tab w:val="left" w:pos="336" w:leader="none"/>
          <w:tab w:val="left" w:pos="720" w:leader="none"/>
          <w:tab w:val="left" w:pos="2126" w:leader="none"/>
        </w:tabs>
        <w:overflowPunct w:val="true"/>
        <w:rPr>
          <w:caps/>
          <w:szCs w:val="28"/>
          <w:lang w:val="en-US"/>
        </w:rPr>
      </w:pPr>
      <w:r>
        <w:rPr>
          <w:caps/>
          <w:szCs w:val="28"/>
          <w:lang w:val="en-US"/>
        </w:rPr>
        <w:t>THE HONOURABLE HO Kai-ming</w:t>
      </w:r>
      <w:r>
        <w:br w:type="page"/>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t>林卓廷議員</w:t>
      </w:r>
    </w:p>
    <w:p>
      <w:pPr>
        <w:pStyle w:val="Normal"/>
        <w:tabs>
          <w:tab w:val="left" w:pos="336" w:leader="none"/>
          <w:tab w:val="left" w:pos="720" w:leader="none"/>
          <w:tab w:val="left" w:pos="2126" w:leader="none"/>
        </w:tabs>
        <w:overflowPunct w:val="true"/>
        <w:rPr>
          <w:caps/>
          <w:szCs w:val="28"/>
          <w:lang w:val="en-US"/>
        </w:rPr>
      </w:pPr>
      <w:r>
        <w:rPr>
          <w:caps/>
          <w:szCs w:val="28"/>
          <w:lang w:val="en-US"/>
        </w:rPr>
        <w:t>THE HONOURABLE LAM Cheuk-ting</w:t>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t>周浩鼎議員</w:t>
      </w:r>
    </w:p>
    <w:p>
      <w:pPr>
        <w:pStyle w:val="Normal"/>
        <w:tabs>
          <w:tab w:val="left" w:pos="336" w:leader="none"/>
          <w:tab w:val="left" w:pos="720" w:leader="none"/>
          <w:tab w:val="left" w:pos="2126" w:leader="none"/>
        </w:tabs>
        <w:overflowPunct w:val="true"/>
        <w:rPr>
          <w:caps/>
          <w:szCs w:val="28"/>
          <w:lang w:val="en-US"/>
        </w:rPr>
      </w:pPr>
      <w:r>
        <w:rPr>
          <w:caps/>
          <w:szCs w:val="28"/>
          <w:lang w:val="en-US"/>
        </w:rPr>
        <w:t>THE HONOURABLE Holden CHOW Ho-ding</w:t>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t>邵家輝議員</w:t>
      </w:r>
    </w:p>
    <w:p>
      <w:pPr>
        <w:pStyle w:val="Normal"/>
        <w:tabs>
          <w:tab w:val="left" w:pos="336" w:leader="none"/>
          <w:tab w:val="left" w:pos="720" w:leader="none"/>
          <w:tab w:val="left" w:pos="2126" w:leader="none"/>
        </w:tabs>
        <w:overflowPunct w:val="true"/>
        <w:rPr>
          <w:caps/>
          <w:szCs w:val="28"/>
          <w:lang w:val="en-US"/>
        </w:rPr>
      </w:pPr>
      <w:r>
        <w:rPr>
          <w:caps/>
          <w:szCs w:val="28"/>
          <w:lang w:val="en-US"/>
        </w:rPr>
        <w:t>THE HONOURABLE SHIU Ka-fai</w:t>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t>邵家臻議員</w:t>
      </w:r>
    </w:p>
    <w:p>
      <w:pPr>
        <w:pStyle w:val="Normal"/>
        <w:tabs>
          <w:tab w:val="left" w:pos="336" w:leader="none"/>
          <w:tab w:val="left" w:pos="720" w:leader="none"/>
          <w:tab w:val="left" w:pos="2126" w:leader="none"/>
        </w:tabs>
        <w:overflowPunct w:val="true"/>
        <w:rPr>
          <w:caps/>
          <w:szCs w:val="28"/>
          <w:lang w:val="en-US"/>
        </w:rPr>
      </w:pPr>
      <w:r>
        <w:rPr>
          <w:caps/>
          <w:szCs w:val="28"/>
          <w:lang w:val="en-US"/>
        </w:rPr>
        <w:t>THE HONOURABLE SHIU Ka-chun</w:t>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r>
    </w:p>
    <w:p>
      <w:pPr>
        <w:pStyle w:val="Normal"/>
        <w:tabs>
          <w:tab w:val="left" w:pos="336" w:leader="none"/>
          <w:tab w:val="left" w:pos="720" w:leader="none"/>
          <w:tab w:val="left" w:pos="2126" w:leader="none"/>
        </w:tabs>
        <w:overflowPunct w:val="true"/>
        <w:rPr>
          <w:caps/>
          <w:szCs w:val="28"/>
          <w:lang w:val="en-US"/>
        </w:rPr>
      </w:pPr>
      <w:r>
        <w:rPr>
          <w:caps/>
          <w:spacing w:val="20"/>
          <w:sz w:val="27"/>
          <w:szCs w:val="22"/>
          <w:lang w:val="en-US"/>
        </w:rPr>
        <w:t>柯創盛議員</w:t>
      </w:r>
      <w:r>
        <w:rPr>
          <w:caps/>
          <w:szCs w:val="28"/>
          <w:lang w:val="en-US"/>
        </w:rPr>
        <w:t>, M.H.</w:t>
      </w:r>
    </w:p>
    <w:p>
      <w:pPr>
        <w:pStyle w:val="Normal"/>
        <w:tabs>
          <w:tab w:val="left" w:pos="336" w:leader="none"/>
          <w:tab w:val="left" w:pos="720" w:leader="none"/>
          <w:tab w:val="left" w:pos="2126" w:leader="none"/>
        </w:tabs>
        <w:overflowPunct w:val="true"/>
        <w:rPr>
          <w:caps/>
          <w:szCs w:val="28"/>
          <w:lang w:val="en-US"/>
        </w:rPr>
      </w:pPr>
      <w:r>
        <w:rPr>
          <w:caps/>
          <w:szCs w:val="28"/>
          <w:lang w:val="en-US"/>
        </w:rPr>
        <w:t>THE HONOURABLE Wilson OR Chong-shing, M.H.</w:t>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t>容海恩議員</w:t>
      </w:r>
    </w:p>
    <w:p>
      <w:pPr>
        <w:pStyle w:val="Normal"/>
        <w:tabs>
          <w:tab w:val="left" w:pos="336" w:leader="none"/>
          <w:tab w:val="left" w:pos="720" w:leader="none"/>
          <w:tab w:val="left" w:pos="2126" w:leader="none"/>
        </w:tabs>
        <w:overflowPunct w:val="true"/>
        <w:rPr>
          <w:caps/>
          <w:szCs w:val="28"/>
          <w:lang w:val="en-US"/>
        </w:rPr>
      </w:pPr>
      <w:r>
        <w:rPr>
          <w:caps/>
          <w:szCs w:val="28"/>
          <w:lang w:val="en-US"/>
        </w:rPr>
        <w:t>THE HONOURABLE YUNG Hoi-yan</w:t>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t>陳沛然議員</w:t>
      </w:r>
    </w:p>
    <w:p>
      <w:pPr>
        <w:pStyle w:val="Normal"/>
        <w:tabs>
          <w:tab w:val="left" w:pos="336" w:leader="none"/>
          <w:tab w:val="left" w:pos="720" w:leader="none"/>
          <w:tab w:val="left" w:pos="2126" w:leader="none"/>
        </w:tabs>
        <w:overflowPunct w:val="true"/>
        <w:rPr>
          <w:caps/>
          <w:szCs w:val="28"/>
          <w:lang w:val="en-US"/>
        </w:rPr>
      </w:pPr>
      <w:r>
        <w:rPr>
          <w:caps/>
          <w:szCs w:val="28"/>
          <w:lang w:val="en-US"/>
        </w:rPr>
        <w:t>Dr THE HONOURABLE Pierre CHAN</w:t>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t>陳振英議員</w:t>
      </w:r>
      <w:r>
        <w:rPr>
          <w:caps/>
          <w:szCs w:val="28"/>
          <w:lang w:val="en-US"/>
        </w:rPr>
        <w:t>, J.P.</w:t>
      </w:r>
    </w:p>
    <w:p>
      <w:pPr>
        <w:pStyle w:val="Normal"/>
        <w:tabs>
          <w:tab w:val="left" w:pos="336" w:leader="none"/>
          <w:tab w:val="left" w:pos="720" w:leader="none"/>
          <w:tab w:val="left" w:pos="2126" w:leader="none"/>
        </w:tabs>
        <w:overflowPunct w:val="true"/>
        <w:rPr>
          <w:caps/>
          <w:szCs w:val="28"/>
          <w:lang w:val="en-US"/>
        </w:rPr>
      </w:pPr>
      <w:r>
        <w:rPr>
          <w:caps/>
          <w:szCs w:val="28"/>
          <w:lang w:val="en-US"/>
        </w:rPr>
        <w:t>THE HONOURABLE CHAN Chun-ying, J.P.</w:t>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t>陳淑莊議員</w:t>
      </w:r>
    </w:p>
    <w:p>
      <w:pPr>
        <w:pStyle w:val="Normal"/>
        <w:tabs>
          <w:tab w:val="left" w:pos="336" w:leader="none"/>
          <w:tab w:val="left" w:pos="720" w:leader="none"/>
          <w:tab w:val="left" w:pos="2126" w:leader="none"/>
        </w:tabs>
        <w:overflowPunct w:val="true"/>
        <w:rPr>
          <w:caps/>
          <w:szCs w:val="28"/>
          <w:lang w:val="en-US"/>
        </w:rPr>
      </w:pPr>
      <w:r>
        <w:rPr>
          <w:caps/>
          <w:szCs w:val="28"/>
          <w:lang w:val="en-US"/>
        </w:rPr>
        <w:t>THE HONOURABLE Tanya CHAN</w:t>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r>
    </w:p>
    <w:p>
      <w:pPr>
        <w:pStyle w:val="Normal"/>
        <w:tabs>
          <w:tab w:val="left" w:pos="336" w:leader="none"/>
          <w:tab w:val="left" w:pos="720" w:leader="none"/>
          <w:tab w:val="left" w:pos="2126" w:leader="none"/>
        </w:tabs>
        <w:overflowPunct w:val="true"/>
        <w:rPr>
          <w:caps/>
          <w:szCs w:val="28"/>
          <w:lang w:val="en-US"/>
        </w:rPr>
      </w:pPr>
      <w:r>
        <w:rPr>
          <w:caps/>
          <w:spacing w:val="20"/>
          <w:sz w:val="27"/>
          <w:szCs w:val="22"/>
          <w:lang w:val="en-US"/>
        </w:rPr>
        <w:t>張國鈞議員</w:t>
      </w:r>
      <w:r>
        <w:rPr>
          <w:caps/>
          <w:szCs w:val="28"/>
          <w:lang w:val="en-US"/>
        </w:rPr>
        <w:t>, J.P.</w:t>
      </w:r>
    </w:p>
    <w:p>
      <w:pPr>
        <w:pStyle w:val="Normal"/>
        <w:tabs>
          <w:tab w:val="left" w:pos="336" w:leader="none"/>
          <w:tab w:val="left" w:pos="720" w:leader="none"/>
          <w:tab w:val="left" w:pos="2126" w:leader="none"/>
        </w:tabs>
        <w:overflowPunct w:val="true"/>
        <w:rPr>
          <w:caps/>
          <w:szCs w:val="28"/>
          <w:lang w:val="en-US"/>
        </w:rPr>
      </w:pPr>
      <w:r>
        <w:rPr>
          <w:caps/>
          <w:szCs w:val="28"/>
          <w:lang w:val="en-US"/>
        </w:rPr>
        <w:t>THE HONOURABLE CHEUNG Kwok-kwan, J.P.</w:t>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t>許智峯議員</w:t>
      </w:r>
    </w:p>
    <w:p>
      <w:pPr>
        <w:pStyle w:val="Normal"/>
        <w:tabs>
          <w:tab w:val="left" w:pos="336" w:leader="none"/>
          <w:tab w:val="left" w:pos="720" w:leader="none"/>
          <w:tab w:val="left" w:pos="2126" w:leader="none"/>
        </w:tabs>
        <w:overflowPunct w:val="true"/>
        <w:rPr>
          <w:caps/>
          <w:szCs w:val="28"/>
          <w:lang w:val="en-US"/>
        </w:rPr>
      </w:pPr>
      <w:r>
        <w:rPr>
          <w:caps/>
          <w:szCs w:val="28"/>
          <w:lang w:val="en-US"/>
        </w:rPr>
        <w:t>THE HONOURABLE HUI Chi-fung</w:t>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t>陸頌雄議員</w:t>
      </w:r>
      <w:r>
        <w:rPr>
          <w:caps/>
          <w:szCs w:val="28"/>
          <w:lang w:val="en-US"/>
        </w:rPr>
        <w:t>, J.P.</w:t>
      </w:r>
    </w:p>
    <w:p>
      <w:pPr>
        <w:pStyle w:val="Normal"/>
        <w:tabs>
          <w:tab w:val="left" w:pos="336" w:leader="none"/>
          <w:tab w:val="left" w:pos="720" w:leader="none"/>
          <w:tab w:val="left" w:pos="2126" w:leader="none"/>
        </w:tabs>
        <w:overflowPunct w:val="true"/>
        <w:rPr>
          <w:caps/>
          <w:szCs w:val="28"/>
          <w:lang w:val="en-US"/>
        </w:rPr>
      </w:pPr>
      <w:r>
        <w:rPr>
          <w:caps/>
          <w:szCs w:val="28"/>
          <w:lang w:val="en-US"/>
        </w:rPr>
        <w:t>THE HONOURABLE LUK Chung-hung, J.P.</w:t>
      </w:r>
    </w:p>
    <w:p>
      <w:pPr>
        <w:pStyle w:val="Normal"/>
        <w:tabs>
          <w:tab w:val="left" w:pos="336" w:leader="none"/>
          <w:tab w:val="left" w:pos="720" w:leader="none"/>
          <w:tab w:val="left" w:pos="2126" w:leader="none"/>
        </w:tabs>
        <w:overflowPunct w:val="true"/>
        <w:rPr>
          <w:caps/>
          <w:spacing w:val="20"/>
          <w:sz w:val="27"/>
          <w:szCs w:val="22"/>
          <w:lang w:val="en-US"/>
        </w:rPr>
      </w:pPr>
      <w:r>
        <w:rPr>
          <w:caps/>
          <w:spacing w:val="20"/>
          <w:sz w:val="27"/>
          <w:szCs w:val="22"/>
          <w:lang w:val="en-US"/>
        </w:rPr>
      </w:r>
    </w:p>
    <w:p>
      <w:pPr>
        <w:pStyle w:val="Normal"/>
        <w:tabs>
          <w:tab w:val="left" w:pos="336" w:leader="none"/>
          <w:tab w:val="left" w:pos="720" w:leader="none"/>
          <w:tab w:val="left" w:pos="2126" w:leader="none"/>
        </w:tabs>
        <w:overflowPunct w:val="true"/>
        <w:rPr>
          <w:caps/>
          <w:szCs w:val="28"/>
          <w:lang w:val="en-US"/>
        </w:rPr>
      </w:pPr>
      <w:r>
        <w:rPr>
          <w:caps/>
          <w:spacing w:val="20"/>
          <w:sz w:val="27"/>
          <w:szCs w:val="22"/>
          <w:lang w:val="en-US"/>
        </w:rPr>
        <w:t>劉國勳議員</w:t>
      </w:r>
      <w:r>
        <w:rPr>
          <w:caps/>
          <w:szCs w:val="28"/>
          <w:lang w:val="en-US"/>
        </w:rPr>
        <w:t>, M.H.</w:t>
      </w:r>
    </w:p>
    <w:p>
      <w:pPr>
        <w:pStyle w:val="Normal"/>
        <w:tabs>
          <w:tab w:val="left" w:pos="336" w:leader="none"/>
          <w:tab w:val="left" w:pos="720" w:leader="none"/>
          <w:tab w:val="left" w:pos="2126" w:leader="none"/>
        </w:tabs>
        <w:overflowPunct w:val="true"/>
        <w:rPr>
          <w:caps/>
          <w:szCs w:val="28"/>
          <w:lang w:val="en-US"/>
        </w:rPr>
      </w:pPr>
      <w:r>
        <w:rPr>
          <w:caps/>
          <w:szCs w:val="28"/>
          <w:lang w:val="en-US"/>
        </w:rPr>
        <w:t>THE HONOURABLE LAU Kwok-fan, M.H.</w:t>
      </w:r>
      <w:r>
        <w:br w:type="page"/>
      </w:r>
    </w:p>
    <w:p>
      <w:pPr>
        <w:pStyle w:val="Normal"/>
        <w:tabs>
          <w:tab w:val="left" w:pos="336" w:leader="none"/>
          <w:tab w:val="left" w:pos="720" w:leader="none"/>
          <w:tab w:val="left" w:pos="2126" w:leader="none"/>
        </w:tabs>
        <w:overflowPunct w:val="true"/>
        <w:spacing w:lineRule="atLeast" w:line="380"/>
        <w:rPr>
          <w:caps/>
          <w:szCs w:val="28"/>
          <w:lang w:val="en-US"/>
        </w:rPr>
      </w:pPr>
      <w:r>
        <w:rPr>
          <w:caps/>
          <w:spacing w:val="20"/>
          <w:sz w:val="27"/>
          <w:szCs w:val="22"/>
          <w:lang w:val="en-US"/>
        </w:rPr>
        <w:t>劉業強議員</w:t>
      </w:r>
      <w:r>
        <w:rPr>
          <w:caps/>
          <w:szCs w:val="28"/>
          <w:lang w:val="en-US"/>
        </w:rPr>
        <w:t>, B.B.S., M.H., J.P.</w:t>
      </w:r>
    </w:p>
    <w:p>
      <w:pPr>
        <w:pStyle w:val="Normal"/>
        <w:tabs>
          <w:tab w:val="left" w:pos="336" w:leader="none"/>
          <w:tab w:val="left" w:pos="720" w:leader="none"/>
          <w:tab w:val="left" w:pos="2126" w:leader="none"/>
        </w:tabs>
        <w:overflowPunct w:val="true"/>
        <w:spacing w:lineRule="atLeast" w:line="380"/>
        <w:rPr>
          <w:caps/>
          <w:szCs w:val="28"/>
          <w:lang w:val="en-US"/>
        </w:rPr>
      </w:pPr>
      <w:r>
        <w:rPr>
          <w:caps/>
          <w:szCs w:val="28"/>
          <w:lang w:val="en-US"/>
        </w:rPr>
        <w:t>THE HONOURABLE Kenneth LAU Ip-keung, B.B.S., M.H., J.P.</w:t>
      </w:r>
    </w:p>
    <w:p>
      <w:pPr>
        <w:pStyle w:val="Normal"/>
        <w:tabs>
          <w:tab w:val="left" w:pos="336" w:leader="none"/>
          <w:tab w:val="left" w:pos="720" w:leader="none"/>
          <w:tab w:val="left" w:pos="2126" w:leader="none"/>
        </w:tabs>
        <w:overflowPunct w:val="true"/>
        <w:spacing w:lineRule="atLeast" w:line="380"/>
        <w:rPr>
          <w:caps/>
          <w:spacing w:val="20"/>
          <w:sz w:val="27"/>
          <w:szCs w:val="22"/>
          <w:lang w:val="en-US"/>
        </w:rPr>
      </w:pPr>
      <w:r>
        <w:rPr>
          <w:caps/>
          <w:spacing w:val="20"/>
          <w:sz w:val="27"/>
          <w:szCs w:val="22"/>
          <w:lang w:val="en-US"/>
        </w:rPr>
      </w:r>
    </w:p>
    <w:p>
      <w:pPr>
        <w:pStyle w:val="Normal"/>
        <w:tabs>
          <w:tab w:val="left" w:pos="336" w:leader="none"/>
          <w:tab w:val="left" w:pos="720" w:leader="none"/>
          <w:tab w:val="left" w:pos="2126" w:leader="none"/>
        </w:tabs>
        <w:overflowPunct w:val="true"/>
        <w:spacing w:lineRule="atLeast" w:line="380"/>
        <w:rPr>
          <w:caps/>
          <w:spacing w:val="20"/>
          <w:sz w:val="27"/>
          <w:szCs w:val="22"/>
          <w:lang w:val="en-US"/>
        </w:rPr>
      </w:pPr>
      <w:r>
        <w:rPr>
          <w:caps/>
          <w:spacing w:val="20"/>
          <w:sz w:val="27"/>
          <w:szCs w:val="22"/>
          <w:lang w:val="en-US"/>
        </w:rPr>
        <w:t>鄭松泰議員</w:t>
      </w:r>
    </w:p>
    <w:p>
      <w:pPr>
        <w:pStyle w:val="Normal"/>
        <w:tabs>
          <w:tab w:val="left" w:pos="336" w:leader="none"/>
          <w:tab w:val="left" w:pos="720" w:leader="none"/>
          <w:tab w:val="left" w:pos="2126" w:leader="none"/>
        </w:tabs>
        <w:overflowPunct w:val="true"/>
        <w:spacing w:lineRule="atLeast" w:line="380"/>
        <w:rPr>
          <w:caps/>
          <w:szCs w:val="28"/>
          <w:lang w:val="en-US"/>
        </w:rPr>
      </w:pPr>
      <w:r>
        <w:rPr>
          <w:caps/>
          <w:szCs w:val="28"/>
          <w:lang w:val="en-US"/>
        </w:rPr>
        <w:t>Dr THE HONOURABLE CHENG Chung-tai</w:t>
      </w:r>
    </w:p>
    <w:p>
      <w:pPr>
        <w:pStyle w:val="Normal"/>
        <w:tabs>
          <w:tab w:val="left" w:pos="336" w:leader="none"/>
          <w:tab w:val="left" w:pos="720" w:leader="none"/>
          <w:tab w:val="left" w:pos="2126" w:leader="none"/>
        </w:tabs>
        <w:overflowPunct w:val="true"/>
        <w:spacing w:lineRule="atLeast" w:line="380"/>
        <w:rPr>
          <w:caps/>
          <w:spacing w:val="20"/>
          <w:sz w:val="27"/>
          <w:szCs w:val="22"/>
          <w:lang w:val="en-US"/>
        </w:rPr>
      </w:pPr>
      <w:r>
        <w:rPr>
          <w:caps/>
          <w:spacing w:val="20"/>
          <w:sz w:val="27"/>
          <w:szCs w:val="22"/>
          <w:lang w:val="en-US"/>
        </w:rPr>
      </w:r>
    </w:p>
    <w:p>
      <w:pPr>
        <w:pStyle w:val="Normal"/>
        <w:tabs>
          <w:tab w:val="left" w:pos="336" w:leader="none"/>
          <w:tab w:val="left" w:pos="720" w:leader="none"/>
          <w:tab w:val="left" w:pos="2126" w:leader="none"/>
        </w:tabs>
        <w:overflowPunct w:val="true"/>
        <w:spacing w:lineRule="atLeast" w:line="380"/>
        <w:rPr>
          <w:caps/>
          <w:spacing w:val="20"/>
          <w:sz w:val="27"/>
          <w:szCs w:val="22"/>
          <w:lang w:val="en-US"/>
        </w:rPr>
      </w:pPr>
      <w:r>
        <w:rPr>
          <w:caps/>
          <w:spacing w:val="20"/>
          <w:sz w:val="27"/>
          <w:szCs w:val="22"/>
          <w:lang w:val="en-US"/>
        </w:rPr>
        <w:t>鄺俊宇議員</w:t>
      </w:r>
    </w:p>
    <w:p>
      <w:pPr>
        <w:pStyle w:val="Normal"/>
        <w:tabs>
          <w:tab w:val="left" w:pos="336" w:leader="none"/>
          <w:tab w:val="left" w:pos="720" w:leader="none"/>
          <w:tab w:val="left" w:pos="2126" w:leader="none"/>
        </w:tabs>
        <w:overflowPunct w:val="true"/>
        <w:spacing w:lineRule="atLeast" w:line="380"/>
        <w:rPr>
          <w:caps/>
          <w:szCs w:val="28"/>
          <w:lang w:val="en-US"/>
        </w:rPr>
      </w:pPr>
      <w:r>
        <w:rPr>
          <w:caps/>
          <w:szCs w:val="28"/>
          <w:lang w:val="en-US"/>
        </w:rPr>
        <w:t>THE HONOURABLE KWONG Chun-yu</w:t>
      </w:r>
    </w:p>
    <w:p>
      <w:pPr>
        <w:pStyle w:val="Normal"/>
        <w:tabs>
          <w:tab w:val="left" w:pos="336" w:leader="none"/>
          <w:tab w:val="left" w:pos="720" w:leader="none"/>
          <w:tab w:val="left" w:pos="2126" w:leader="none"/>
        </w:tabs>
        <w:overflowPunct w:val="true"/>
        <w:spacing w:lineRule="atLeast" w:line="380"/>
        <w:rPr>
          <w:caps/>
          <w:spacing w:val="20"/>
          <w:sz w:val="27"/>
          <w:szCs w:val="22"/>
          <w:lang w:val="en-US"/>
        </w:rPr>
      </w:pPr>
      <w:r>
        <w:rPr>
          <w:caps/>
          <w:spacing w:val="20"/>
          <w:sz w:val="27"/>
          <w:szCs w:val="22"/>
          <w:lang w:val="en-US"/>
        </w:rPr>
      </w:r>
    </w:p>
    <w:p>
      <w:pPr>
        <w:pStyle w:val="Normal"/>
        <w:tabs>
          <w:tab w:val="left" w:pos="336" w:leader="none"/>
          <w:tab w:val="left" w:pos="720" w:leader="none"/>
          <w:tab w:val="left" w:pos="2126" w:leader="none"/>
        </w:tabs>
        <w:overflowPunct w:val="true"/>
        <w:spacing w:lineRule="atLeast" w:line="380"/>
        <w:rPr>
          <w:caps/>
          <w:spacing w:val="20"/>
          <w:sz w:val="27"/>
          <w:szCs w:val="22"/>
          <w:lang w:val="en-US"/>
        </w:rPr>
      </w:pPr>
      <w:r>
        <w:rPr>
          <w:caps/>
          <w:spacing w:val="20"/>
          <w:sz w:val="27"/>
          <w:szCs w:val="22"/>
          <w:lang w:val="en-US"/>
        </w:rPr>
        <w:t>譚文豪議員</w:t>
      </w:r>
    </w:p>
    <w:p>
      <w:pPr>
        <w:pStyle w:val="Normal"/>
        <w:tabs>
          <w:tab w:val="left" w:pos="336" w:leader="none"/>
          <w:tab w:val="left" w:pos="720" w:leader="none"/>
          <w:tab w:val="left" w:pos="2126" w:leader="none"/>
        </w:tabs>
        <w:overflowPunct w:val="true"/>
        <w:spacing w:lineRule="atLeast" w:line="380"/>
        <w:rPr>
          <w:caps/>
          <w:szCs w:val="28"/>
          <w:lang w:val="en-US"/>
        </w:rPr>
      </w:pPr>
      <w:r>
        <w:rPr>
          <w:caps/>
          <w:szCs w:val="28"/>
          <w:lang w:val="en-US"/>
        </w:rPr>
        <w:t>THE HONOURABLE Jeremy TAM Man-ho</w:t>
      </w:r>
    </w:p>
    <w:p>
      <w:pPr>
        <w:pStyle w:val="Normal"/>
        <w:tabs>
          <w:tab w:val="left" w:pos="336" w:leader="none"/>
          <w:tab w:val="left" w:pos="720" w:leader="none"/>
          <w:tab w:val="left" w:pos="2126" w:leader="none"/>
        </w:tabs>
        <w:overflowPunct w:val="true"/>
        <w:spacing w:lineRule="atLeast" w:line="380"/>
        <w:rPr>
          <w:caps/>
          <w:spacing w:val="20"/>
          <w:sz w:val="27"/>
          <w:szCs w:val="22"/>
          <w:lang w:val="en-US"/>
        </w:rPr>
      </w:pPr>
      <w:r>
        <w:rPr>
          <w:caps/>
          <w:spacing w:val="20"/>
          <w:sz w:val="27"/>
          <w:szCs w:val="22"/>
          <w:lang w:val="en-US"/>
        </w:rPr>
      </w:r>
    </w:p>
    <w:p>
      <w:pPr>
        <w:pStyle w:val="Normal"/>
        <w:tabs>
          <w:tab w:val="left" w:pos="336" w:leader="none"/>
          <w:tab w:val="left" w:pos="720" w:leader="none"/>
          <w:tab w:val="left" w:pos="2126" w:leader="none"/>
        </w:tabs>
        <w:overflowPunct w:val="true"/>
        <w:spacing w:lineRule="atLeast" w:line="380"/>
        <w:rPr>
          <w:caps/>
          <w:spacing w:val="20"/>
          <w:sz w:val="27"/>
          <w:szCs w:val="22"/>
          <w:lang w:val="en-US"/>
        </w:rPr>
      </w:pPr>
      <w:r>
        <w:rPr>
          <w:caps/>
          <w:spacing w:val="20"/>
          <w:sz w:val="27"/>
          <w:szCs w:val="22"/>
          <w:lang w:val="en-US"/>
        </w:rPr>
        <w:t>范國威議員</w:t>
      </w:r>
    </w:p>
    <w:p>
      <w:pPr>
        <w:pStyle w:val="Normal"/>
        <w:tabs>
          <w:tab w:val="left" w:pos="336" w:leader="none"/>
          <w:tab w:val="left" w:pos="720" w:leader="none"/>
          <w:tab w:val="left" w:pos="2126" w:leader="none"/>
        </w:tabs>
        <w:overflowPunct w:val="true"/>
        <w:spacing w:lineRule="atLeast" w:line="380"/>
        <w:rPr>
          <w:caps/>
          <w:szCs w:val="28"/>
          <w:lang w:val="en-US"/>
        </w:rPr>
      </w:pPr>
      <w:r>
        <w:rPr>
          <w:caps/>
          <w:szCs w:val="28"/>
          <w:lang w:val="en-US"/>
        </w:rPr>
        <w:t>THE HONOURABLE Gary FAN Kwok-wai</w:t>
      </w:r>
    </w:p>
    <w:p>
      <w:pPr>
        <w:pStyle w:val="Normal"/>
        <w:tabs>
          <w:tab w:val="left" w:pos="336" w:leader="none"/>
          <w:tab w:val="left" w:pos="720" w:leader="none"/>
          <w:tab w:val="left" w:pos="2126" w:leader="none"/>
        </w:tabs>
        <w:overflowPunct w:val="true"/>
        <w:spacing w:lineRule="atLeast" w:line="380"/>
        <w:rPr>
          <w:caps/>
          <w:spacing w:val="20"/>
          <w:sz w:val="27"/>
          <w:szCs w:val="22"/>
          <w:lang w:val="en-US"/>
        </w:rPr>
      </w:pPr>
      <w:r>
        <w:rPr>
          <w:caps/>
          <w:spacing w:val="20"/>
          <w:sz w:val="27"/>
          <w:szCs w:val="22"/>
          <w:lang w:val="en-US"/>
        </w:rPr>
      </w:r>
    </w:p>
    <w:p>
      <w:pPr>
        <w:pStyle w:val="Normal"/>
        <w:tabs>
          <w:tab w:val="left" w:pos="336" w:leader="none"/>
          <w:tab w:val="left" w:pos="720" w:leader="none"/>
          <w:tab w:val="left" w:pos="2126" w:leader="none"/>
        </w:tabs>
        <w:overflowPunct w:val="true"/>
        <w:spacing w:lineRule="atLeast" w:line="380"/>
        <w:rPr>
          <w:caps/>
          <w:spacing w:val="20"/>
          <w:sz w:val="27"/>
          <w:szCs w:val="22"/>
          <w:lang w:val="en-US"/>
        </w:rPr>
      </w:pPr>
      <w:r>
        <w:rPr>
          <w:caps/>
          <w:spacing w:val="20"/>
          <w:sz w:val="27"/>
          <w:szCs w:val="22"/>
          <w:lang w:val="en-US"/>
        </w:rPr>
        <w:t>區諾軒議員</w:t>
      </w:r>
    </w:p>
    <w:p>
      <w:pPr>
        <w:pStyle w:val="Normal"/>
        <w:tabs>
          <w:tab w:val="left" w:pos="336" w:leader="none"/>
          <w:tab w:val="left" w:pos="720" w:leader="none"/>
          <w:tab w:val="left" w:pos="2126" w:leader="none"/>
        </w:tabs>
        <w:overflowPunct w:val="true"/>
        <w:spacing w:lineRule="atLeast" w:line="380"/>
        <w:rPr>
          <w:caps/>
          <w:szCs w:val="28"/>
          <w:lang w:val="en-US"/>
        </w:rPr>
      </w:pPr>
      <w:r>
        <w:rPr>
          <w:caps/>
          <w:szCs w:val="28"/>
          <w:lang w:val="en-US"/>
        </w:rPr>
        <w:t>THE HONOURABLE AU Nok-hin</w:t>
      </w:r>
    </w:p>
    <w:p>
      <w:pPr>
        <w:pStyle w:val="Normal"/>
        <w:tabs>
          <w:tab w:val="left" w:pos="336" w:leader="none"/>
          <w:tab w:val="left" w:pos="720" w:leader="none"/>
          <w:tab w:val="left" w:pos="2126" w:leader="none"/>
        </w:tabs>
        <w:overflowPunct w:val="true"/>
        <w:spacing w:lineRule="atLeast" w:line="380"/>
        <w:rPr>
          <w:caps/>
          <w:spacing w:val="20"/>
          <w:sz w:val="27"/>
          <w:szCs w:val="22"/>
          <w:lang w:val="en-US"/>
        </w:rPr>
      </w:pPr>
      <w:r>
        <w:rPr>
          <w:caps/>
          <w:spacing w:val="20"/>
          <w:sz w:val="27"/>
          <w:szCs w:val="22"/>
          <w:lang w:val="en-US"/>
        </w:rPr>
      </w:r>
    </w:p>
    <w:p>
      <w:pPr>
        <w:pStyle w:val="Normal"/>
        <w:tabs>
          <w:tab w:val="left" w:pos="336" w:leader="none"/>
          <w:tab w:val="left" w:pos="720" w:leader="none"/>
          <w:tab w:val="left" w:pos="2126" w:leader="none"/>
        </w:tabs>
        <w:overflowPunct w:val="true"/>
        <w:spacing w:lineRule="atLeast" w:line="380"/>
        <w:rPr>
          <w:caps/>
          <w:spacing w:val="20"/>
          <w:sz w:val="27"/>
          <w:szCs w:val="22"/>
          <w:lang w:val="en-US"/>
        </w:rPr>
      </w:pPr>
      <w:r>
        <w:rPr>
          <w:caps/>
          <w:spacing w:val="20"/>
          <w:sz w:val="27"/>
          <w:szCs w:val="22"/>
          <w:lang w:val="en-US"/>
        </w:rPr>
        <w:t>鄭泳舜議員</w:t>
      </w:r>
      <w:r>
        <w:rPr>
          <w:caps/>
          <w:szCs w:val="28"/>
          <w:lang w:val="en-US"/>
        </w:rPr>
        <w:t>, M.H.</w:t>
      </w:r>
    </w:p>
    <w:p>
      <w:pPr>
        <w:pStyle w:val="Normal"/>
        <w:tabs>
          <w:tab w:val="left" w:pos="336" w:leader="none"/>
          <w:tab w:val="left" w:pos="720" w:leader="none"/>
          <w:tab w:val="left" w:pos="2126" w:leader="none"/>
        </w:tabs>
        <w:overflowPunct w:val="true"/>
        <w:spacing w:lineRule="atLeast" w:line="380"/>
        <w:rPr>
          <w:caps/>
          <w:szCs w:val="28"/>
          <w:lang w:val="en-US"/>
        </w:rPr>
      </w:pPr>
      <w:r>
        <w:rPr>
          <w:caps/>
          <w:szCs w:val="28"/>
          <w:lang w:val="en-US"/>
        </w:rPr>
        <w:t>THE HONOURABLE Vincent CHENG Wing-shun, M.H.</w:t>
      </w:r>
    </w:p>
    <w:p>
      <w:pPr>
        <w:pStyle w:val="Normal"/>
        <w:tabs>
          <w:tab w:val="left" w:pos="336" w:leader="none"/>
          <w:tab w:val="left" w:pos="720" w:leader="none"/>
          <w:tab w:val="left" w:pos="2126" w:leader="none"/>
        </w:tabs>
        <w:overflowPunct w:val="true"/>
        <w:spacing w:lineRule="atLeast" w:line="380"/>
        <w:rPr>
          <w:caps/>
          <w:spacing w:val="20"/>
          <w:sz w:val="27"/>
          <w:szCs w:val="22"/>
          <w:lang w:val="en-US"/>
        </w:rPr>
      </w:pPr>
      <w:r>
        <w:rPr>
          <w:caps/>
          <w:spacing w:val="20"/>
          <w:sz w:val="27"/>
          <w:szCs w:val="22"/>
          <w:lang w:val="en-US"/>
        </w:rPr>
      </w:r>
    </w:p>
    <w:p>
      <w:pPr>
        <w:pStyle w:val="Normal"/>
        <w:tabs>
          <w:tab w:val="left" w:pos="336" w:leader="none"/>
          <w:tab w:val="left" w:pos="720" w:leader="none"/>
          <w:tab w:val="left" w:pos="2126" w:leader="none"/>
        </w:tabs>
        <w:overflowPunct w:val="true"/>
        <w:spacing w:lineRule="atLeast" w:line="380"/>
        <w:rPr>
          <w:caps/>
          <w:spacing w:val="20"/>
          <w:sz w:val="27"/>
          <w:szCs w:val="22"/>
          <w:lang w:val="en-US"/>
        </w:rPr>
      </w:pPr>
      <w:r>
        <w:rPr>
          <w:caps/>
          <w:spacing w:val="20"/>
          <w:sz w:val="27"/>
          <w:szCs w:val="22"/>
          <w:lang w:val="en-US"/>
        </w:rPr>
        <w:t>謝偉銓議員</w:t>
      </w:r>
      <w:r>
        <w:rPr>
          <w:caps/>
          <w:szCs w:val="28"/>
          <w:lang w:val="en-US"/>
        </w:rPr>
        <w:t>, B.B.S.</w:t>
      </w:r>
    </w:p>
    <w:p>
      <w:pPr>
        <w:pStyle w:val="Normal"/>
        <w:tabs>
          <w:tab w:val="left" w:pos="336" w:leader="none"/>
          <w:tab w:val="left" w:pos="720" w:leader="none"/>
          <w:tab w:val="left" w:pos="2126" w:leader="none"/>
        </w:tabs>
        <w:overflowPunct w:val="true"/>
        <w:spacing w:lineRule="atLeast" w:line="380"/>
        <w:rPr>
          <w:caps/>
          <w:szCs w:val="28"/>
          <w:lang w:val="en-US"/>
        </w:rPr>
      </w:pPr>
      <w:r>
        <w:rPr>
          <w:caps/>
          <w:szCs w:val="28"/>
          <w:lang w:val="en-US"/>
        </w:rPr>
        <w:t>THE HONOURABLE Tony TSE Wai-chuen, B.B.S.</w:t>
      </w:r>
    </w:p>
    <w:p>
      <w:pPr>
        <w:pStyle w:val="Normal"/>
        <w:tabs>
          <w:tab w:val="left" w:pos="336" w:leader="none"/>
          <w:tab w:val="left" w:pos="720" w:leader="none"/>
          <w:tab w:val="left" w:pos="2126" w:leader="none"/>
        </w:tabs>
        <w:overflowPunct w:val="true"/>
        <w:spacing w:lineRule="atLeast" w:line="380"/>
        <w:rPr>
          <w:caps/>
          <w:spacing w:val="20"/>
          <w:sz w:val="27"/>
          <w:szCs w:val="22"/>
          <w:lang w:val="en-US"/>
        </w:rPr>
      </w:pPr>
      <w:r>
        <w:rPr>
          <w:caps/>
          <w:spacing w:val="20"/>
          <w:sz w:val="27"/>
          <w:szCs w:val="22"/>
          <w:lang w:val="en-US"/>
        </w:rPr>
      </w:r>
    </w:p>
    <w:p>
      <w:pPr>
        <w:pStyle w:val="Normal"/>
        <w:tabs>
          <w:tab w:val="left" w:pos="336" w:leader="none"/>
          <w:tab w:val="left" w:pos="720" w:leader="none"/>
          <w:tab w:val="left" w:pos="2126" w:leader="none"/>
        </w:tabs>
        <w:overflowPunct w:val="true"/>
        <w:spacing w:lineRule="atLeast" w:line="380"/>
        <w:rPr>
          <w:caps/>
          <w:spacing w:val="20"/>
          <w:sz w:val="27"/>
          <w:szCs w:val="22"/>
          <w:lang w:val="en-US"/>
        </w:rPr>
      </w:pPr>
      <w:r>
        <w:rPr>
          <w:caps/>
          <w:spacing w:val="20"/>
          <w:sz w:val="27"/>
          <w:szCs w:val="22"/>
          <w:lang w:val="en-US"/>
        </w:rPr>
        <w:t>陳凱欣議員</w:t>
      </w:r>
    </w:p>
    <w:p>
      <w:pPr>
        <w:pStyle w:val="Normal"/>
        <w:tabs>
          <w:tab w:val="left" w:pos="336" w:leader="none"/>
          <w:tab w:val="left" w:pos="720" w:leader="none"/>
          <w:tab w:val="left" w:pos="2126" w:leader="none"/>
        </w:tabs>
        <w:overflowPunct w:val="true"/>
        <w:spacing w:lineRule="atLeast" w:line="380"/>
        <w:rPr>
          <w:caps/>
          <w:szCs w:val="28"/>
          <w:lang w:val="en-US"/>
        </w:rPr>
      </w:pPr>
      <w:r>
        <w:rPr>
          <w:caps/>
          <w:szCs w:val="28"/>
          <w:lang w:val="en-US"/>
        </w:rPr>
        <w:t>THE HONOURABLE CHAN HOI-YAN</w:t>
      </w:r>
    </w:p>
    <w:p>
      <w:pPr>
        <w:pStyle w:val="Normal"/>
        <w:tabs>
          <w:tab w:val="left" w:pos="336" w:leader="none"/>
          <w:tab w:val="left" w:pos="720" w:leader="none"/>
          <w:tab w:val="left" w:pos="2126" w:leader="none"/>
        </w:tabs>
        <w:overflowPunct w:val="true"/>
        <w:spacing w:lineRule="atLeast" w:line="380"/>
        <w:rPr>
          <w:caps/>
          <w:spacing w:val="20"/>
          <w:sz w:val="27"/>
          <w:szCs w:val="22"/>
          <w:lang w:val="en-US"/>
        </w:rPr>
      </w:pPr>
      <w:r>
        <w:rPr>
          <w:caps/>
          <w:spacing w:val="20"/>
          <w:sz w:val="27"/>
          <w:szCs w:val="22"/>
          <w:lang w:val="en-US"/>
        </w:rPr>
      </w:r>
    </w:p>
    <w:p>
      <w:pPr>
        <w:pStyle w:val="Normal"/>
        <w:tabs>
          <w:tab w:val="left" w:pos="336" w:leader="none"/>
          <w:tab w:val="left" w:pos="720" w:leader="none"/>
          <w:tab w:val="left" w:pos="2126" w:leader="none"/>
        </w:tabs>
        <w:overflowPunct w:val="true"/>
        <w:spacing w:lineRule="atLeast" w:line="380"/>
        <w:rPr>
          <w:caps/>
          <w:spacing w:val="20"/>
          <w:sz w:val="27"/>
          <w:szCs w:val="22"/>
          <w:lang w:val="en-US"/>
        </w:rPr>
      </w:pPr>
      <w:r>
        <w:rPr>
          <w:caps/>
          <w:spacing w:val="20"/>
          <w:sz w:val="27"/>
          <w:szCs w:val="22"/>
          <w:lang w:val="en-US"/>
        </w:rPr>
      </w:r>
    </w:p>
    <w:p>
      <w:pPr>
        <w:pStyle w:val="F21"/>
        <w:overflowPunct w:val="true"/>
        <w:spacing w:lineRule="atLeast" w:line="380"/>
        <w:rPr>
          <w:rFonts w:eastAsia="華康中黑體" w:cs="Times New Roman"/>
          <w:sz w:val="36"/>
          <w:szCs w:val="36"/>
        </w:rPr>
      </w:pPr>
      <w:bookmarkStart w:id="2" w:name="mba"/>
      <w:r>
        <w:rPr>
          <w:rFonts w:cs="Times New Roman" w:eastAsia="華康中黑體"/>
          <w:sz w:val="36"/>
          <w:szCs w:val="36"/>
        </w:rPr>
        <w:t>缺席議員：</w:t>
      </w:r>
    </w:p>
    <w:p>
      <w:pPr>
        <w:pStyle w:val="Normal"/>
        <w:overflowPunct w:val="true"/>
        <w:spacing w:lineRule="atLeast" w:line="380"/>
        <w:rPr>
          <w:b/>
          <w:b/>
          <w:sz w:val="36"/>
          <w:szCs w:val="36"/>
        </w:rPr>
      </w:pPr>
      <w:bookmarkStart w:id="3" w:name="mba"/>
      <w:r>
        <w:rPr>
          <w:b/>
          <w:sz w:val="36"/>
          <w:szCs w:val="36"/>
        </w:rPr>
        <w:t>MEMBER ABSENT:</w:t>
      </w:r>
      <w:bookmarkEnd w:id="3"/>
    </w:p>
    <w:p>
      <w:pPr>
        <w:pStyle w:val="F21"/>
        <w:overflowPunct w:val="true"/>
        <w:spacing w:lineRule="atLeast" w:line="380"/>
        <w:rPr>
          <w:rFonts w:cs="Times New Roman"/>
        </w:rPr>
      </w:pPr>
      <w:r>
        <w:rPr>
          <w:rFonts w:cs="Times New Roman"/>
        </w:rPr>
      </w:r>
    </w:p>
    <w:p>
      <w:pPr>
        <w:pStyle w:val="Normal"/>
        <w:tabs>
          <w:tab w:val="left" w:pos="336" w:leader="none"/>
          <w:tab w:val="left" w:pos="720" w:leader="none"/>
          <w:tab w:val="left" w:pos="2126" w:leader="none"/>
        </w:tabs>
        <w:overflowPunct w:val="true"/>
        <w:spacing w:lineRule="atLeast" w:line="380"/>
        <w:rPr>
          <w:caps/>
          <w:szCs w:val="28"/>
          <w:lang w:val="en-US"/>
        </w:rPr>
      </w:pPr>
      <w:r>
        <w:rPr>
          <w:caps/>
          <w:spacing w:val="20"/>
          <w:sz w:val="27"/>
          <w:szCs w:val="22"/>
          <w:lang w:val="en-US"/>
        </w:rPr>
        <w:t>梁志祥議員</w:t>
      </w:r>
      <w:r>
        <w:rPr>
          <w:caps/>
          <w:szCs w:val="28"/>
          <w:lang w:val="en-US"/>
        </w:rPr>
        <w:t>, S.B.S., M.H., J.P.</w:t>
      </w:r>
    </w:p>
    <w:p>
      <w:pPr>
        <w:pStyle w:val="Normal"/>
        <w:tabs>
          <w:tab w:val="left" w:pos="336" w:leader="none"/>
          <w:tab w:val="left" w:pos="720" w:leader="none"/>
          <w:tab w:val="left" w:pos="2126" w:leader="none"/>
        </w:tabs>
        <w:overflowPunct w:val="true"/>
        <w:spacing w:lineRule="atLeast" w:line="380"/>
        <w:rPr>
          <w:caps/>
          <w:szCs w:val="28"/>
          <w:lang w:val="en-US"/>
        </w:rPr>
      </w:pPr>
      <w:r>
        <w:rPr>
          <w:caps/>
          <w:szCs w:val="28"/>
          <w:lang w:val="en-US"/>
        </w:rPr>
        <w:t>THE HONOURABLE LEUNG Che-cheung, S.B.S., M.H., J.P.</w:t>
      </w:r>
    </w:p>
    <w:p>
      <w:pPr>
        <w:pStyle w:val="Normal"/>
        <w:widowControl/>
        <w:tabs>
          <w:tab w:val="clear" w:pos="720"/>
        </w:tabs>
        <w:snapToGrid w:val="true"/>
        <w:spacing w:lineRule="auto" w:line="276" w:before="0" w:after="200"/>
        <w:jc w:val="left"/>
        <w:rPr/>
      </w:pPr>
      <w:r>
        <w:rPr/>
      </w:r>
      <w:r>
        <w:br w:type="page"/>
      </w:r>
    </w:p>
    <w:p>
      <w:pPr>
        <w:pStyle w:val="F21"/>
        <w:overflowPunct w:val="true"/>
        <w:rPr>
          <w:rFonts w:eastAsia="華康中黑體" w:cs="Times New Roman"/>
          <w:sz w:val="36"/>
          <w:szCs w:val="36"/>
        </w:rPr>
      </w:pPr>
      <w:bookmarkStart w:id="4" w:name="poa"/>
      <w:r>
        <w:rPr>
          <w:rFonts w:cs="Times New Roman" w:eastAsia="華康中黑體"/>
          <w:sz w:val="36"/>
          <w:szCs w:val="36"/>
        </w:rPr>
        <w:t>出席政府官員：</w:t>
      </w:r>
    </w:p>
    <w:p>
      <w:pPr>
        <w:pStyle w:val="F21"/>
        <w:overflowPunct w:val="true"/>
        <w:rPr>
          <w:rFonts w:cs="Times New Roman"/>
          <w:b/>
          <w:b/>
          <w:spacing w:val="0"/>
          <w:sz w:val="36"/>
          <w:szCs w:val="36"/>
          <w:lang w:val="en-GB"/>
        </w:rPr>
      </w:pPr>
      <w:bookmarkStart w:id="5" w:name="poa"/>
      <w:r>
        <w:rPr>
          <w:rFonts w:cs="Times New Roman"/>
          <w:b/>
          <w:spacing w:val="0"/>
          <w:sz w:val="36"/>
          <w:szCs w:val="36"/>
          <w:lang w:val="en-GB"/>
        </w:rPr>
        <w:t>PUBLIC OFFICERS ATTENDING:</w:t>
      </w:r>
      <w:bookmarkEnd w:id="5"/>
    </w:p>
    <w:p>
      <w:pPr>
        <w:pStyle w:val="Normal"/>
        <w:overflowPunct w:val="true"/>
        <w:rPr>
          <w:sz w:val="27"/>
          <w:szCs w:val="27"/>
        </w:rPr>
      </w:pPr>
      <w:r>
        <w:rPr>
          <w:sz w:val="27"/>
          <w:szCs w:val="27"/>
        </w:rPr>
      </w:r>
    </w:p>
    <w:p>
      <w:pPr>
        <w:pStyle w:val="F21"/>
        <w:overflowPunct w:val="true"/>
        <w:rPr>
          <w:rFonts w:cs="Times New Roman"/>
          <w:spacing w:val="0"/>
          <w:sz w:val="28"/>
          <w:szCs w:val="28"/>
        </w:rPr>
      </w:pPr>
      <w:r>
        <w:rPr>
          <w:rFonts w:cs="Times New Roman"/>
        </w:rPr>
        <w:t>財經事務及庫務局局長劉怡翔先生</w:t>
      </w:r>
      <w:r>
        <w:rPr>
          <w:rFonts w:cs="Times New Roman"/>
          <w:spacing w:val="0"/>
          <w:sz w:val="28"/>
          <w:szCs w:val="28"/>
        </w:rPr>
        <w:t>, J.P.</w:t>
      </w:r>
    </w:p>
    <w:p>
      <w:pPr>
        <w:pStyle w:val="Normal"/>
        <w:overflowPunct w:val="true"/>
        <w:rPr>
          <w:caps/>
          <w:szCs w:val="22"/>
        </w:rPr>
      </w:pPr>
      <w:r>
        <w:rPr/>
        <w:t>THE HONOURABLE</w:t>
      </w:r>
      <w:r>
        <w:rPr>
          <w:szCs w:val="28"/>
        </w:rPr>
        <w:t xml:space="preserve"> </w:t>
      </w:r>
      <w:r>
        <w:rPr>
          <w:caps/>
          <w:szCs w:val="28"/>
        </w:rPr>
        <w:t>James Henry LAU Jr., J.P.</w:t>
      </w:r>
    </w:p>
    <w:p>
      <w:pPr>
        <w:pStyle w:val="Normal"/>
        <w:overflowPunct w:val="true"/>
        <w:rPr/>
      </w:pPr>
      <w:r>
        <w:rPr/>
        <w:t>SECRETARY FOR FINANCIAL SERVICES AND THE TREASURY</w:t>
      </w:r>
    </w:p>
    <w:p>
      <w:pPr>
        <w:pStyle w:val="F21"/>
        <w:overflowPunct w:val="true"/>
        <w:rPr>
          <w:rFonts w:cs="Times New Roman"/>
          <w:lang w:val="en-GB"/>
        </w:rPr>
      </w:pPr>
      <w:r>
        <w:rPr>
          <w:rFonts w:cs="Times New Roman"/>
          <w:lang w:val="en-GB"/>
        </w:rPr>
      </w:r>
    </w:p>
    <w:p>
      <w:pPr>
        <w:pStyle w:val="F21"/>
        <w:overflowPunct w:val="true"/>
        <w:rPr>
          <w:rFonts w:cs="Times New Roman"/>
          <w:spacing w:val="0"/>
          <w:sz w:val="28"/>
          <w:szCs w:val="28"/>
        </w:rPr>
      </w:pPr>
      <w:r>
        <w:rPr>
          <w:rFonts w:cs="Times New Roman"/>
        </w:rPr>
        <w:t>勞工及福利局局長羅致光博士</w:t>
      </w:r>
      <w:r>
        <w:rPr>
          <w:rFonts w:cs="Times New Roman"/>
          <w:spacing w:val="0"/>
          <w:sz w:val="28"/>
          <w:szCs w:val="28"/>
        </w:rPr>
        <w:t xml:space="preserve">, </w:t>
      </w:r>
      <w:r>
        <w:rPr>
          <w:spacing w:val="0"/>
          <w:sz w:val="28"/>
          <w:szCs w:val="28"/>
        </w:rPr>
        <w:t>G.B.S., J.P.</w:t>
      </w:r>
    </w:p>
    <w:p>
      <w:pPr>
        <w:pStyle w:val="Normal"/>
        <w:overflowPunct w:val="true"/>
        <w:rPr>
          <w:caps/>
          <w:lang w:val="en-US"/>
        </w:rPr>
      </w:pPr>
      <w:r>
        <w:rPr/>
        <w:t>DR THE HONOURABLE</w:t>
      </w:r>
      <w:r>
        <w:rPr>
          <w:caps/>
        </w:rPr>
        <w:t xml:space="preserve"> </w:t>
      </w:r>
      <w:r>
        <w:rPr>
          <w:szCs w:val="28"/>
        </w:rPr>
        <w:t>LAW</w:t>
      </w:r>
      <w:r>
        <w:rPr>
          <w:caps/>
          <w:szCs w:val="28"/>
        </w:rPr>
        <w:t xml:space="preserve"> Chi-kwong, </w:t>
      </w:r>
      <w:r>
        <w:rPr>
          <w:szCs w:val="28"/>
        </w:rPr>
        <w:t>G.B.S., J.P.</w:t>
      </w:r>
    </w:p>
    <w:p>
      <w:pPr>
        <w:pStyle w:val="Normal"/>
        <w:overflowPunct w:val="true"/>
        <w:rPr>
          <w:caps/>
        </w:rPr>
      </w:pPr>
      <w:r>
        <w:rPr>
          <w:caps/>
        </w:rPr>
        <w:t>Secretary for Labour and Welfare</w:t>
      </w:r>
    </w:p>
    <w:p>
      <w:pPr>
        <w:pStyle w:val="F21"/>
        <w:overflowPunct w:val="true"/>
        <w:rPr>
          <w:rFonts w:cs="Times New Roman"/>
        </w:rPr>
      </w:pPr>
      <w:r>
        <w:rPr>
          <w:rFonts w:cs="Times New Roman"/>
        </w:rPr>
      </w:r>
    </w:p>
    <w:p>
      <w:pPr>
        <w:pStyle w:val="F21"/>
        <w:overflowPunct w:val="true"/>
        <w:rPr>
          <w:rFonts w:cs="Times New Roman"/>
          <w:spacing w:val="0"/>
          <w:sz w:val="28"/>
          <w:szCs w:val="28"/>
        </w:rPr>
      </w:pPr>
      <w:r>
        <w:rPr>
          <w:rFonts w:cs="Times New Roman"/>
        </w:rPr>
        <w:t>公務員事務局局長</w:t>
      </w:r>
      <w:r>
        <w:rPr>
          <w:szCs w:val="27"/>
        </w:rPr>
        <w:t>羅智光先生</w:t>
      </w:r>
      <w:r>
        <w:rPr>
          <w:rFonts w:cs="Times New Roman"/>
          <w:spacing w:val="0"/>
          <w:sz w:val="28"/>
          <w:szCs w:val="28"/>
        </w:rPr>
        <w:t xml:space="preserve">, </w:t>
      </w:r>
      <w:r>
        <w:rPr>
          <w:rFonts w:eastAsia="Courier New"/>
          <w:caps/>
          <w:spacing w:val="0"/>
          <w:sz w:val="28"/>
          <w:szCs w:val="28"/>
        </w:rPr>
        <w:t xml:space="preserve">G.B.S., </w:t>
      </w:r>
      <w:r>
        <w:rPr>
          <w:rFonts w:eastAsia="Courier New"/>
          <w:spacing w:val="0"/>
          <w:sz w:val="28"/>
          <w:szCs w:val="28"/>
        </w:rPr>
        <w:t>J.P.</w:t>
      </w:r>
    </w:p>
    <w:p>
      <w:pPr>
        <w:pStyle w:val="Normal"/>
        <w:overflowPunct w:val="true"/>
        <w:rPr>
          <w:caps/>
        </w:rPr>
      </w:pPr>
      <w:r>
        <w:rPr>
          <w:caps/>
        </w:rPr>
        <w:t>The Honourable Joshua LAW Chi-kong, G.B.S., J.P.</w:t>
      </w:r>
    </w:p>
    <w:p>
      <w:pPr>
        <w:pStyle w:val="Normal"/>
        <w:overflowPunct w:val="true"/>
        <w:rPr>
          <w:caps/>
        </w:rPr>
      </w:pPr>
      <w:r>
        <w:rPr>
          <w:caps/>
        </w:rPr>
        <w:t>SECRETARY FOR THE CIVIL SERVICE</w:t>
      </w:r>
    </w:p>
    <w:p>
      <w:pPr>
        <w:pStyle w:val="F21"/>
        <w:overflowPunct w:val="true"/>
        <w:rPr>
          <w:rFonts w:cs="Times New Roman"/>
          <w:lang w:val="en-GB"/>
        </w:rPr>
      </w:pPr>
      <w:r>
        <w:rPr>
          <w:rFonts w:cs="Times New Roman"/>
          <w:lang w:val="en-GB"/>
        </w:rPr>
      </w:r>
    </w:p>
    <w:p>
      <w:pPr>
        <w:pStyle w:val="F21"/>
        <w:overflowPunct w:val="true"/>
        <w:rPr>
          <w:rFonts w:cs="Times New Roman"/>
          <w:spacing w:val="0"/>
          <w:sz w:val="28"/>
          <w:szCs w:val="28"/>
        </w:rPr>
      </w:pPr>
      <w:r>
        <w:rPr>
          <w:rFonts w:cs="Times New Roman"/>
        </w:rPr>
        <w:t>保安局局長</w:t>
      </w:r>
      <w:r>
        <w:rPr>
          <w:szCs w:val="27"/>
        </w:rPr>
        <w:t>李家超先生</w:t>
      </w:r>
      <w:r>
        <w:rPr>
          <w:rFonts w:cs="Times New Roman"/>
          <w:spacing w:val="0"/>
          <w:sz w:val="28"/>
          <w:szCs w:val="28"/>
        </w:rPr>
        <w:t xml:space="preserve">, </w:t>
      </w:r>
      <w:r>
        <w:rPr>
          <w:caps/>
          <w:spacing w:val="0"/>
          <w:sz w:val="28"/>
          <w:szCs w:val="28"/>
        </w:rPr>
        <w:t>S.B.S., P.D.S.M., J.P.</w:t>
      </w:r>
    </w:p>
    <w:p>
      <w:pPr>
        <w:pStyle w:val="Normal"/>
        <w:overflowPunct w:val="true"/>
        <w:rPr>
          <w:caps/>
        </w:rPr>
      </w:pPr>
      <w:r>
        <w:rPr>
          <w:caps/>
        </w:rPr>
        <w:t>The Honourable</w:t>
      </w:r>
      <w:r>
        <w:rPr/>
        <w:t xml:space="preserve"> </w:t>
      </w:r>
      <w:r>
        <w:rPr>
          <w:caps/>
          <w:szCs w:val="28"/>
        </w:rPr>
        <w:t>John LEE Ka-chiu, S.B.S., P.D.S.M., J.P.</w:t>
      </w:r>
    </w:p>
    <w:p>
      <w:pPr>
        <w:pStyle w:val="Normal"/>
        <w:overflowPunct w:val="true"/>
        <w:rPr/>
      </w:pPr>
      <w:r>
        <w:rPr/>
        <w:t>SECRETARY FOR SECURITY</w:t>
      </w:r>
    </w:p>
    <w:p>
      <w:pPr>
        <w:pStyle w:val="F21"/>
        <w:overflowPunct w:val="true"/>
        <w:rPr>
          <w:rFonts w:cs="Times New Roman"/>
          <w:lang w:val="en-GB"/>
        </w:rPr>
      </w:pPr>
      <w:r>
        <w:rPr>
          <w:rFonts w:cs="Times New Roman"/>
          <w:lang w:val="en-GB"/>
        </w:rPr>
      </w:r>
    </w:p>
    <w:p>
      <w:pPr>
        <w:pStyle w:val="F21"/>
        <w:overflowPunct w:val="true"/>
        <w:rPr>
          <w:rFonts w:cs="Times New Roman"/>
          <w:spacing w:val="0"/>
          <w:sz w:val="28"/>
          <w:szCs w:val="28"/>
        </w:rPr>
      </w:pPr>
      <w:r>
        <w:rPr>
          <w:rFonts w:cs="Times New Roman"/>
        </w:rPr>
        <w:t>運輸及房屋局局長陳帆先生</w:t>
      </w:r>
      <w:r>
        <w:rPr>
          <w:rFonts w:cs="Times New Roman"/>
          <w:spacing w:val="0"/>
          <w:sz w:val="28"/>
          <w:szCs w:val="28"/>
        </w:rPr>
        <w:t>, J.P.</w:t>
      </w:r>
    </w:p>
    <w:p>
      <w:pPr>
        <w:pStyle w:val="Normal"/>
        <w:overflowPunct w:val="true"/>
        <w:rPr>
          <w:caps/>
          <w:szCs w:val="22"/>
        </w:rPr>
      </w:pPr>
      <w:r>
        <w:rPr>
          <w:caps/>
        </w:rPr>
        <w:t>The Honourable</w:t>
      </w:r>
      <w:r>
        <w:rPr>
          <w:caps/>
          <w:szCs w:val="28"/>
        </w:rPr>
        <w:t xml:space="preserve"> Frank CHAN Fan, J.P.</w:t>
      </w:r>
    </w:p>
    <w:p>
      <w:pPr>
        <w:pStyle w:val="Normal"/>
        <w:overflowPunct w:val="true"/>
        <w:rPr/>
      </w:pPr>
      <w:r>
        <w:rPr/>
        <w:t>SECRETARY FOR TRANSPORT AND HOUSING</w:t>
      </w:r>
    </w:p>
    <w:p>
      <w:pPr>
        <w:pStyle w:val="Normal"/>
        <w:overflowPunct w:val="true"/>
        <w:rPr>
          <w:sz w:val="27"/>
          <w:szCs w:val="27"/>
        </w:rPr>
      </w:pPr>
      <w:r>
        <w:rPr>
          <w:sz w:val="27"/>
          <w:szCs w:val="27"/>
        </w:rPr>
      </w:r>
    </w:p>
    <w:p>
      <w:pPr>
        <w:pStyle w:val="F21"/>
        <w:overflowPunct w:val="true"/>
        <w:rPr>
          <w:rFonts w:cs="Times New Roman"/>
          <w:spacing w:val="0"/>
          <w:sz w:val="28"/>
          <w:szCs w:val="28"/>
        </w:rPr>
      </w:pPr>
      <w:r>
        <w:rPr>
          <w:rFonts w:cs="Times New Roman"/>
        </w:rPr>
        <w:t>食物及衞生局局長陳肇始教授</w:t>
      </w:r>
      <w:r>
        <w:rPr>
          <w:rFonts w:cs="Times New Roman"/>
          <w:spacing w:val="0"/>
          <w:sz w:val="28"/>
          <w:szCs w:val="28"/>
        </w:rPr>
        <w:t>,</w:t>
      </w:r>
      <w:r>
        <w:rPr>
          <w:rFonts w:cs="Times New Roman"/>
          <w:caps/>
          <w:spacing w:val="0"/>
          <w:sz w:val="28"/>
          <w:szCs w:val="28"/>
        </w:rPr>
        <w:t xml:space="preserve"> J.P.</w:t>
      </w:r>
    </w:p>
    <w:p>
      <w:pPr>
        <w:pStyle w:val="Normal"/>
        <w:overflowPunct w:val="true"/>
        <w:rPr>
          <w:caps/>
        </w:rPr>
      </w:pPr>
      <w:r>
        <w:rPr>
          <w:caps/>
        </w:rPr>
        <w:t>Prof the Honourable Sophia CHAN Siu-chee, J.P.</w:t>
      </w:r>
    </w:p>
    <w:p>
      <w:pPr>
        <w:pStyle w:val="Normal"/>
        <w:overflowPunct w:val="true"/>
        <w:rPr>
          <w:caps/>
        </w:rPr>
      </w:pPr>
      <w:r>
        <w:rPr>
          <w:caps/>
        </w:rPr>
        <w:t>SECRETARY FOR FOOD AND HEALTH</w:t>
      </w:r>
    </w:p>
    <w:p>
      <w:pPr>
        <w:pStyle w:val="F21"/>
        <w:overflowPunct w:val="true"/>
        <w:rPr>
          <w:rFonts w:cs="Times New Roman"/>
          <w:lang w:val="en-GB"/>
        </w:rPr>
      </w:pPr>
      <w:r>
        <w:rPr>
          <w:rFonts w:cs="Times New Roman"/>
          <w:lang w:val="en-GB"/>
        </w:rPr>
      </w:r>
    </w:p>
    <w:p>
      <w:pPr>
        <w:pStyle w:val="F21"/>
        <w:overflowPunct w:val="true"/>
        <w:rPr>
          <w:rFonts w:cs="Times New Roman"/>
          <w:lang w:val="en-GB"/>
        </w:rPr>
      </w:pPr>
      <w:r>
        <w:rPr>
          <w:rFonts w:cs="Times New Roman"/>
        </w:rPr>
        <w:t>商務及經濟發展局副局長兼任</w:t>
      </w:r>
    </w:p>
    <w:p>
      <w:pPr>
        <w:pStyle w:val="F21"/>
        <w:overflowPunct w:val="true"/>
        <w:rPr>
          <w:rFonts w:cs="Times New Roman"/>
          <w:spacing w:val="0"/>
          <w:sz w:val="28"/>
          <w:szCs w:val="28"/>
        </w:rPr>
      </w:pPr>
      <w:r>
        <w:rPr>
          <w:rFonts w:cs="Times New Roman"/>
        </w:rPr>
        <w:t>商務及經濟發展局局長陳百里博士</w:t>
      </w:r>
      <w:r>
        <w:rPr>
          <w:rFonts w:cs="Times New Roman"/>
          <w:spacing w:val="0"/>
          <w:sz w:val="28"/>
          <w:szCs w:val="28"/>
        </w:rPr>
        <w:t>, J.P.</w:t>
      </w:r>
    </w:p>
    <w:p>
      <w:pPr>
        <w:pStyle w:val="Normal"/>
        <w:overflowPunct w:val="true"/>
        <w:rPr>
          <w:caps/>
        </w:rPr>
      </w:pPr>
      <w:r>
        <w:rPr>
          <w:caps/>
        </w:rPr>
        <w:t>Dr Bernard CHAN Pak-li, J.P.</w:t>
      </w:r>
    </w:p>
    <w:p>
      <w:pPr>
        <w:pStyle w:val="Normal"/>
        <w:overflowPunct w:val="true"/>
        <w:rPr>
          <w:caps/>
        </w:rPr>
      </w:pPr>
      <w:r>
        <w:rPr>
          <w:caps/>
        </w:rPr>
        <w:t>Under Secretary for Commerce and Economic Development, AND</w:t>
      </w:r>
    </w:p>
    <w:p>
      <w:pPr>
        <w:pStyle w:val="Normal"/>
        <w:overflowPunct w:val="true"/>
        <w:rPr>
          <w:caps/>
        </w:rPr>
      </w:pPr>
      <w:r>
        <w:rPr>
          <w:caps/>
        </w:rPr>
        <w:t>SECRETARY FOR COMMERCE AND ECONOMIC DEVELOPMENT</w:t>
      </w:r>
    </w:p>
    <w:p>
      <w:pPr>
        <w:pStyle w:val="F21"/>
        <w:overflowPunct w:val="true"/>
        <w:rPr>
          <w:rFonts w:cs="Times New Roman"/>
          <w:lang w:val="en-GB"/>
        </w:rPr>
      </w:pPr>
      <w:r>
        <w:rPr>
          <w:rFonts w:cs="Times New Roman"/>
          <w:lang w:val="en-GB"/>
        </w:rPr>
      </w:r>
    </w:p>
    <w:p>
      <w:pPr>
        <w:pStyle w:val="F21"/>
        <w:overflowPunct w:val="true"/>
        <w:rPr>
          <w:rFonts w:cs="Times New Roman"/>
          <w:spacing w:val="0"/>
          <w:sz w:val="28"/>
          <w:szCs w:val="28"/>
        </w:rPr>
      </w:pPr>
      <w:r>
        <w:rPr>
          <w:rFonts w:cs="Times New Roman"/>
        </w:rPr>
        <w:t>發展局局長黃偉綸先生</w:t>
      </w:r>
      <w:r>
        <w:rPr>
          <w:rFonts w:cs="Times New Roman"/>
          <w:spacing w:val="0"/>
          <w:sz w:val="28"/>
          <w:szCs w:val="28"/>
        </w:rPr>
        <w:t>, J.P.</w:t>
      </w:r>
    </w:p>
    <w:p>
      <w:pPr>
        <w:pStyle w:val="Normal"/>
        <w:overflowPunct w:val="true"/>
        <w:rPr>
          <w:caps/>
        </w:rPr>
      </w:pPr>
      <w:r>
        <w:rPr>
          <w:caps/>
        </w:rPr>
        <w:t>THE HONOURABLE Michael WONG Wai-lun, J.P.</w:t>
      </w:r>
    </w:p>
    <w:p>
      <w:pPr>
        <w:pStyle w:val="Normal"/>
        <w:overflowPunct w:val="true"/>
        <w:rPr>
          <w:caps/>
        </w:rPr>
      </w:pPr>
      <w:r>
        <w:rPr>
          <w:caps/>
        </w:rPr>
        <w:t>Secretary for Development</w:t>
      </w:r>
      <w:r>
        <w:br w:type="page"/>
      </w:r>
    </w:p>
    <w:p>
      <w:pPr>
        <w:pStyle w:val="F21"/>
        <w:overflowPunct w:val="true"/>
        <w:rPr>
          <w:rFonts w:eastAsia="華康中黑體" w:cs="Times New Roman"/>
          <w:sz w:val="36"/>
          <w:szCs w:val="36"/>
        </w:rPr>
      </w:pPr>
      <w:bookmarkStart w:id="6" w:name="cia"/>
      <w:r>
        <w:rPr>
          <w:rFonts w:cs="Times New Roman" w:eastAsia="華康中黑體"/>
          <w:sz w:val="36"/>
          <w:szCs w:val="36"/>
        </w:rPr>
        <w:t>列席秘書：</w:t>
      </w:r>
    </w:p>
    <w:p>
      <w:pPr>
        <w:pStyle w:val="F21"/>
        <w:overflowPunct w:val="true"/>
        <w:rPr>
          <w:rFonts w:cs="Times New Roman"/>
          <w:b/>
          <w:b/>
          <w:spacing w:val="0"/>
          <w:sz w:val="36"/>
          <w:szCs w:val="36"/>
          <w:lang w:val="en-GB"/>
        </w:rPr>
      </w:pPr>
      <w:bookmarkStart w:id="7" w:name="cia"/>
      <w:r>
        <w:rPr>
          <w:rFonts w:cs="Times New Roman"/>
          <w:b/>
          <w:spacing w:val="0"/>
          <w:sz w:val="36"/>
          <w:szCs w:val="36"/>
          <w:lang w:val="en-GB"/>
        </w:rPr>
        <w:t>CLERKS IN ATTENDANCE:</w:t>
      </w:r>
      <w:bookmarkEnd w:id="7"/>
    </w:p>
    <w:p>
      <w:pPr>
        <w:pStyle w:val="Normal"/>
        <w:overflowPunct w:val="true"/>
        <w:rPr>
          <w:sz w:val="27"/>
          <w:szCs w:val="27"/>
        </w:rPr>
      </w:pPr>
      <w:r>
        <w:rPr>
          <w:sz w:val="27"/>
          <w:szCs w:val="27"/>
        </w:rPr>
      </w:r>
    </w:p>
    <w:p>
      <w:pPr>
        <w:pStyle w:val="F21"/>
        <w:overflowPunct w:val="true"/>
        <w:rPr>
          <w:rFonts w:cs="Times New Roman"/>
        </w:rPr>
      </w:pPr>
      <w:r>
        <w:rPr>
          <w:rFonts w:cs="Times New Roman"/>
        </w:rPr>
        <w:t>秘書長陳維安先生</w:t>
      </w:r>
      <w:r>
        <w:rPr>
          <w:rFonts w:cs="Times New Roman"/>
          <w:spacing w:val="0"/>
          <w:sz w:val="28"/>
        </w:rPr>
        <w:t xml:space="preserve">, </w:t>
      </w:r>
      <w:r>
        <w:rPr>
          <w:rFonts w:cs="Times New Roman"/>
          <w:caps/>
          <w:spacing w:val="0"/>
          <w:sz w:val="28"/>
          <w:szCs w:val="28"/>
        </w:rPr>
        <w:t>S.B.S.</w:t>
      </w:r>
    </w:p>
    <w:p>
      <w:pPr>
        <w:pStyle w:val="Normal"/>
        <w:overflowPunct w:val="true"/>
        <w:rPr/>
      </w:pPr>
      <w:r>
        <w:rPr/>
        <w:t>MR K</w:t>
      </w:r>
      <w:r>
        <w:rPr>
          <w:lang w:val="en-US"/>
        </w:rPr>
        <w:t>ENNETH</w:t>
      </w:r>
      <w:r>
        <w:rPr/>
        <w:t xml:space="preserve"> CHEN WEI-ON,</w:t>
      </w:r>
      <w:r>
        <w:rPr>
          <w:caps/>
        </w:rPr>
        <w:t xml:space="preserve"> S.B.S., </w:t>
      </w:r>
      <w:r>
        <w:rPr/>
        <w:t>SECRETARY GENERAL</w:t>
      </w:r>
    </w:p>
    <w:p>
      <w:pPr>
        <w:pStyle w:val="Normal"/>
        <w:overflowPunct w:val="true"/>
        <w:rPr>
          <w:sz w:val="27"/>
          <w:szCs w:val="27"/>
        </w:rPr>
      </w:pPr>
      <w:r>
        <w:rPr>
          <w:sz w:val="27"/>
          <w:szCs w:val="27"/>
        </w:rPr>
      </w:r>
    </w:p>
    <w:p>
      <w:pPr>
        <w:pStyle w:val="F21"/>
        <w:overflowPunct w:val="true"/>
        <w:rPr>
          <w:rFonts w:cs="Times New Roman"/>
        </w:rPr>
      </w:pPr>
      <w:r>
        <w:rPr>
          <w:rFonts w:cs="Times New Roman"/>
        </w:rPr>
        <w:t>副秘書長梁慶儀女士</w:t>
      </w:r>
    </w:p>
    <w:p>
      <w:pPr>
        <w:pStyle w:val="Normal"/>
        <w:overflowPunct w:val="true"/>
        <w:rPr/>
      </w:pPr>
      <w:r>
        <w:rPr/>
        <w:t>MISS ODELIA LEUNG HING-YEE, DEPUTY SECRETARY GENERAL</w:t>
      </w:r>
    </w:p>
    <w:p>
      <w:pPr>
        <w:pStyle w:val="Normal"/>
        <w:overflowPunct w:val="true"/>
        <w:rPr>
          <w:sz w:val="27"/>
          <w:szCs w:val="27"/>
        </w:rPr>
      </w:pPr>
      <w:r>
        <w:rPr>
          <w:sz w:val="27"/>
          <w:szCs w:val="27"/>
        </w:rPr>
      </w:r>
    </w:p>
    <w:p>
      <w:pPr>
        <w:pStyle w:val="F21"/>
        <w:overflowPunct w:val="true"/>
        <w:rPr>
          <w:rFonts w:cs="Times New Roman"/>
        </w:rPr>
      </w:pPr>
      <w:r>
        <w:rPr>
          <w:rFonts w:cs="Times New Roman"/>
        </w:rPr>
        <w:t>助理秘書長衛碧瑤女士</w:t>
      </w:r>
    </w:p>
    <w:p>
      <w:pPr>
        <w:pStyle w:val="Normal"/>
        <w:overflowPunct w:val="true"/>
        <w:rPr/>
      </w:pPr>
      <w:r>
        <w:rPr/>
        <w:t>MS DORA WAI, ASSISTANT SECRETARY GENERAL</w:t>
      </w:r>
    </w:p>
    <w:p>
      <w:pPr>
        <w:pStyle w:val="F21"/>
        <w:overflowPunct w:val="true"/>
        <w:rPr>
          <w:rFonts w:cs="Times New Roman"/>
        </w:rPr>
      </w:pPr>
      <w:r>
        <w:rPr>
          <w:rFonts w:cs="Times New Roman"/>
        </w:rPr>
      </w:r>
    </w:p>
    <w:p>
      <w:pPr>
        <w:pStyle w:val="F21"/>
        <w:overflowPunct w:val="true"/>
        <w:rPr>
          <w:rFonts w:cs="Times New Roman"/>
        </w:rPr>
      </w:pPr>
      <w:r>
        <w:rPr>
          <w:rFonts w:cs="Times New Roman"/>
        </w:rPr>
        <w:t>助理秘書長盧思源先生</w:t>
      </w:r>
    </w:p>
    <w:p>
      <w:pPr>
        <w:pStyle w:val="Normal"/>
        <w:overflowPunct w:val="true"/>
        <w:rPr/>
      </w:pPr>
      <w:r>
        <w:rPr/>
        <w:t>MR MATTHEW LOO, ASSISTANT SECRETARY GENERAL</w:t>
      </w:r>
    </w:p>
    <w:p>
      <w:pPr>
        <w:pStyle w:val="F21"/>
        <w:overflowPunct w:val="true"/>
        <w:spacing w:lineRule="atLeast" w:line="380"/>
        <w:rPr>
          <w:rFonts w:cs="Times New Roman"/>
          <w:b/>
          <w:b/>
          <w:spacing w:val="0"/>
          <w:sz w:val="28"/>
          <w:szCs w:val="28"/>
        </w:rPr>
      </w:pPr>
      <w:r>
        <w:rPr>
          <w:rFonts w:cs="Times New Roman"/>
          <w:b/>
          <w:spacing w:val="0"/>
          <w:sz w:val="28"/>
          <w:szCs w:val="28"/>
        </w:rPr>
      </w:r>
      <w:r>
        <w:br w:type="page"/>
      </w:r>
    </w:p>
    <w:p>
      <w:pPr>
        <w:pStyle w:val="F21"/>
        <w:overflowPunct w:val="true"/>
        <w:rPr>
          <w:rFonts w:cs="Times New Roman"/>
        </w:rPr>
      </w:pPr>
      <w:r>
        <w:rPr>
          <w:rFonts w:ascii="華康中黑體" w:hAnsi="華康中黑體" w:cs="華康中黑體" w:eastAsia="華康中黑體"/>
          <w:b/>
        </w:rPr>
        <w:t>主席</w:t>
      </w:r>
      <w:r>
        <w:rPr>
          <w:rFonts w:cs="Times New Roman"/>
        </w:rPr>
        <w:t>：現在舉行立法會例行會議。</w:t>
      </w:r>
    </w:p>
    <w:p>
      <w:pPr>
        <w:pStyle w:val="F21"/>
        <w:overflowPunct w:val="true"/>
        <w:rPr/>
      </w:pPr>
      <w:r>
        <w:rPr/>
      </w:r>
    </w:p>
    <w:p>
      <w:pPr>
        <w:pStyle w:val="F21"/>
        <w:overflowPunct w:val="true"/>
        <w:rPr/>
      </w:pPr>
      <w:r>
        <w:rPr/>
      </w:r>
    </w:p>
    <w:p>
      <w:pPr>
        <w:pStyle w:val="F21"/>
        <w:overflowPunct w:val="true"/>
        <w:rPr>
          <w:rFonts w:eastAsia="華康中黑體" w:cs="Times New Roman"/>
          <w:b/>
          <w:b/>
          <w:sz w:val="28"/>
          <w:szCs w:val="28"/>
        </w:rPr>
      </w:pPr>
      <w:bookmarkStart w:id="8" w:name="top"/>
      <w:r>
        <w:rPr>
          <w:rFonts w:cs="Times New Roman" w:eastAsia="華康中黑體"/>
          <w:b/>
          <w:sz w:val="28"/>
          <w:szCs w:val="28"/>
        </w:rPr>
        <w:t>提交本會省覽的文件</w:t>
      </w:r>
    </w:p>
    <w:p>
      <w:pPr>
        <w:pStyle w:val="Normal"/>
        <w:overflowPunct w:val="true"/>
        <w:rPr>
          <w:b/>
          <w:b/>
          <w:szCs w:val="28"/>
        </w:rPr>
      </w:pPr>
      <w:bookmarkStart w:id="9" w:name="top"/>
      <w:r>
        <w:rPr>
          <w:b/>
          <w:szCs w:val="28"/>
        </w:rPr>
        <w:t>PAPERS TO BE LAID ON THE TABLE OF THE COUNCIL</w:t>
      </w:r>
      <w:bookmarkEnd w:id="9"/>
    </w:p>
    <w:p>
      <w:pPr>
        <w:pStyle w:val="F21"/>
        <w:overflowPunct w:val="true"/>
        <w:rPr>
          <w:rFonts w:cs="Times New Roman"/>
        </w:rPr>
      </w:pPr>
      <w:r>
        <w:rPr>
          <w:rFonts w:cs="Times New Roman"/>
        </w:rPr>
      </w:r>
    </w:p>
    <w:p>
      <w:pPr>
        <w:pStyle w:val="F21"/>
        <w:overflowPunct w:val="true"/>
        <w:rPr>
          <w:rFonts w:cs="Times New Roman"/>
        </w:rPr>
      </w:pPr>
      <w:r>
        <w:rPr>
          <w:rFonts w:cs="Times New Roman"/>
        </w:rPr>
        <w:t>下列文件是根據《議事規則》第</w:t>
      </w:r>
      <w:r>
        <w:rPr>
          <w:rFonts w:cs="Times New Roman"/>
        </w:rPr>
        <w:t>21(2)</w:t>
      </w:r>
      <w:r>
        <w:rPr>
          <w:rFonts w:cs="Times New Roman"/>
        </w:rPr>
        <w:t>條的規定提交：</w:t>
      </w:r>
    </w:p>
    <w:p>
      <w:pPr>
        <w:pStyle w:val="Normal"/>
        <w:overflowPunct w:val="true"/>
        <w:rPr/>
      </w:pPr>
      <w:r>
        <w:rPr/>
        <w:t>The following papers were laid on the table under Rule 21(2) of the Rules of Procedure:</w:t>
      </w:r>
    </w:p>
    <w:p>
      <w:pPr>
        <w:pStyle w:val="F21"/>
        <w:overflowPunct w:val="true"/>
        <w:rPr>
          <w:rFonts w:cs="Times New Roman"/>
        </w:rPr>
      </w:pPr>
      <w:r>
        <w:rPr>
          <w:rFonts w:cs="Times New Roman"/>
        </w:rPr>
      </w:r>
    </w:p>
    <w:tbl>
      <w:tblPr>
        <w:tblW w:w="9234" w:type="dxa"/>
        <w:jc w:val="left"/>
        <w:tblInd w:w="0" w:type="dxa"/>
        <w:tblCellMar>
          <w:top w:w="0" w:type="dxa"/>
          <w:left w:w="0" w:type="dxa"/>
          <w:bottom w:w="0" w:type="dxa"/>
          <w:right w:w="0" w:type="dxa"/>
        </w:tblCellMar>
        <w:tblLook w:val="01e0" w:noHBand="0" w:noVBand="0" w:firstColumn="1" w:lastRow="1" w:lastColumn="1" w:firstRow="1"/>
      </w:tblPr>
      <w:tblGrid>
        <w:gridCol w:w="6803"/>
        <w:gridCol w:w="210"/>
        <w:gridCol w:w="2220"/>
      </w:tblGrid>
      <w:tr>
        <w:trPr/>
        <w:tc>
          <w:tcPr>
            <w:tcW w:w="6803" w:type="dxa"/>
            <w:tcBorders/>
          </w:tcPr>
          <w:p>
            <w:pPr>
              <w:pStyle w:val="F21"/>
              <w:tabs>
                <w:tab w:val="clear" w:pos="567"/>
                <w:tab w:val="right" w:pos="7139" w:leader="dot"/>
              </w:tabs>
              <w:overflowPunct w:val="true"/>
              <w:ind w:right="62" w:hanging="0"/>
              <w:jc w:val="left"/>
              <w:rPr>
                <w:rFonts w:cs="Times New Roman"/>
              </w:rPr>
            </w:pPr>
            <w:r>
              <w:rPr>
                <w:rFonts w:cs="Times New Roman"/>
              </w:rPr>
              <w:t>附屬法例</w:t>
            </w:r>
            <w:r>
              <w:rPr>
                <w:rFonts w:cs="Times New Roman" w:ascii="華康細明體" w:hAnsi="華康細明體"/>
                <w:szCs w:val="27"/>
              </w:rPr>
              <w:t>/</w:t>
            </w:r>
            <w:r>
              <w:rPr>
                <w:rFonts w:cs="Times New Roman"/>
              </w:rPr>
              <w:t>文書</w:t>
            </w:r>
          </w:p>
        </w:tc>
        <w:tc>
          <w:tcPr>
            <w:tcW w:w="2430" w:type="dxa"/>
            <w:gridSpan w:val="2"/>
            <w:tcBorders/>
          </w:tcPr>
          <w:p>
            <w:pPr>
              <w:pStyle w:val="F21"/>
              <w:tabs>
                <w:tab w:val="clear" w:pos="567"/>
              </w:tabs>
              <w:overflowPunct w:val="true"/>
              <w:jc w:val="right"/>
              <w:rPr>
                <w:rFonts w:cs="Times New Roman"/>
              </w:rPr>
            </w:pPr>
            <w:r>
              <w:rPr>
                <w:rFonts w:cs="Times New Roman"/>
                <w:i/>
              </w:rPr>
              <w:t>法律公告編號</w:t>
            </w:r>
          </w:p>
        </w:tc>
      </w:tr>
      <w:tr>
        <w:trPr/>
        <w:tc>
          <w:tcPr>
            <w:tcW w:w="6803" w:type="dxa"/>
            <w:tcBorders/>
          </w:tcPr>
          <w:p>
            <w:pPr>
              <w:pStyle w:val="F21"/>
              <w:tabs>
                <w:tab w:val="clear" w:pos="567"/>
                <w:tab w:val="right" w:pos="7139" w:leader="dot"/>
              </w:tabs>
              <w:overflowPunct w:val="true"/>
              <w:ind w:left="1531" w:right="62" w:hanging="964"/>
              <w:jc w:val="left"/>
              <w:rPr>
                <w:rFonts w:cs="Times New Roman"/>
              </w:rPr>
            </w:pPr>
            <w:r>
              <w:rPr>
                <w:rFonts w:cs="Times New Roman"/>
              </w:rPr>
            </w:r>
          </w:p>
        </w:tc>
        <w:tc>
          <w:tcPr>
            <w:tcW w:w="2430" w:type="dxa"/>
            <w:gridSpan w:val="2"/>
            <w:tcBorders/>
          </w:tcPr>
          <w:p>
            <w:pPr>
              <w:pStyle w:val="F21"/>
              <w:tabs>
                <w:tab w:val="clear" w:pos="567"/>
              </w:tabs>
              <w:overflowPunct w:val="true"/>
              <w:jc w:val="right"/>
              <w:rPr>
                <w:rFonts w:cs="Times New Roman"/>
              </w:rPr>
            </w:pPr>
            <w:r>
              <w:rPr>
                <w:rFonts w:cs="Times New Roman"/>
              </w:rPr>
            </w:r>
          </w:p>
        </w:tc>
      </w:tr>
      <w:tr>
        <w:trPr/>
        <w:tc>
          <w:tcPr>
            <w:tcW w:w="6803" w:type="dxa"/>
            <w:tcBorders/>
          </w:tcPr>
          <w:p>
            <w:pPr>
              <w:pStyle w:val="F21"/>
              <w:tabs>
                <w:tab w:val="clear" w:pos="567"/>
                <w:tab w:val="right" w:pos="6521" w:leader="dot"/>
              </w:tabs>
              <w:overflowPunct w:val="true"/>
              <w:ind w:left="1531" w:right="113" w:hanging="964"/>
              <w:jc w:val="left"/>
              <w:rPr>
                <w:rFonts w:cs="Times New Roman"/>
              </w:rPr>
            </w:pPr>
            <w:r>
              <w:rPr>
                <w:rFonts w:cs="Times New Roman"/>
              </w:rPr>
              <w:t>《</w:t>
            </w:r>
            <w:r>
              <w:rPr>
                <w:rFonts w:cs="Times New Roman"/>
              </w:rPr>
              <w:t>2019</w:t>
            </w:r>
            <w:r>
              <w:rPr>
                <w:rFonts w:cs="Times New Roman"/>
              </w:rPr>
              <w:t>年保險業</w:t>
            </w:r>
            <w:r>
              <w:rPr>
                <w:rFonts w:cs="Times New Roman"/>
              </w:rPr>
              <w:t>(</w:t>
            </w:r>
            <w:r>
              <w:rPr>
                <w:rFonts w:cs="Times New Roman"/>
              </w:rPr>
              <w:t>訂明費用</w:t>
            </w:r>
            <w:r>
              <w:rPr>
                <w:rFonts w:cs="Times New Roman"/>
              </w:rPr>
              <w:t>)(</w:t>
            </w:r>
            <w:r>
              <w:rPr>
                <w:rFonts w:cs="Times New Roman"/>
              </w:rPr>
              <w:t>修訂</w:t>
            </w:r>
            <w:r>
              <w:rPr>
                <w:rFonts w:cs="Times New Roman"/>
              </w:rPr>
              <w:t>)</w:t>
            </w:r>
            <w:r>
              <w:rPr>
                <w:rFonts w:cs="Times New Roman"/>
              </w:rPr>
              <w:t>規例》</w:t>
            </w:r>
            <w:r>
              <w:rPr>
                <w:rFonts w:cs="Times New Roman"/>
              </w:rPr>
              <w:tab/>
            </w:r>
          </w:p>
        </w:tc>
        <w:tc>
          <w:tcPr>
            <w:tcW w:w="2430" w:type="dxa"/>
            <w:gridSpan w:val="2"/>
            <w:tcBorders/>
          </w:tcPr>
          <w:p>
            <w:pPr>
              <w:pStyle w:val="F21"/>
              <w:tabs>
                <w:tab w:val="clear" w:pos="567"/>
              </w:tabs>
              <w:overflowPunct w:val="true"/>
              <w:jc w:val="right"/>
              <w:rPr>
                <w:rFonts w:cs="Times New Roman"/>
              </w:rPr>
            </w:pPr>
            <w:r>
              <w:rPr>
                <w:rFonts w:cs="Times New Roman"/>
              </w:rPr>
              <w:t>2019</w:t>
            </w:r>
            <w:r>
              <w:rPr>
                <w:rFonts w:cs="Times New Roman"/>
              </w:rPr>
              <w:t>年第</w:t>
            </w:r>
            <w:r>
              <w:rPr>
                <w:rFonts w:cs="Times New Roman"/>
              </w:rPr>
              <w:t>43</w:t>
            </w:r>
            <w:r>
              <w:rPr>
                <w:rFonts w:cs="Times New Roman"/>
              </w:rPr>
              <w:t>號</w:t>
            </w:r>
          </w:p>
        </w:tc>
      </w:tr>
      <w:tr>
        <w:trPr/>
        <w:tc>
          <w:tcPr>
            <w:tcW w:w="6803" w:type="dxa"/>
            <w:tcBorders/>
          </w:tcPr>
          <w:p>
            <w:pPr>
              <w:pStyle w:val="F21"/>
              <w:tabs>
                <w:tab w:val="clear" w:pos="567"/>
                <w:tab w:val="right" w:pos="6521" w:leader="dot"/>
              </w:tabs>
              <w:overflowPunct w:val="true"/>
              <w:ind w:left="1531" w:right="113" w:hanging="964"/>
              <w:jc w:val="left"/>
              <w:rPr>
                <w:rFonts w:cs="Times New Roman"/>
              </w:rPr>
            </w:pPr>
            <w:r>
              <w:rPr>
                <w:rFonts w:cs="Times New Roman"/>
              </w:rPr>
            </w:r>
          </w:p>
        </w:tc>
        <w:tc>
          <w:tcPr>
            <w:tcW w:w="2430" w:type="dxa"/>
            <w:gridSpan w:val="2"/>
            <w:tcBorders/>
          </w:tcPr>
          <w:p>
            <w:pPr>
              <w:pStyle w:val="F21"/>
              <w:tabs>
                <w:tab w:val="clear" w:pos="567"/>
              </w:tabs>
              <w:overflowPunct w:val="true"/>
              <w:jc w:val="right"/>
              <w:rPr>
                <w:rFonts w:cs="Times New Roman"/>
              </w:rPr>
            </w:pPr>
            <w:r>
              <w:rPr>
                <w:rFonts w:cs="Times New Roman"/>
              </w:rPr>
            </w:r>
          </w:p>
        </w:tc>
      </w:tr>
      <w:tr>
        <w:trPr/>
        <w:tc>
          <w:tcPr>
            <w:tcW w:w="6803" w:type="dxa"/>
            <w:tcBorders/>
          </w:tcPr>
          <w:p>
            <w:pPr>
              <w:pStyle w:val="F21"/>
              <w:tabs>
                <w:tab w:val="clear" w:pos="567"/>
                <w:tab w:val="right" w:pos="6521" w:leader="dot"/>
              </w:tabs>
              <w:overflowPunct w:val="true"/>
              <w:ind w:left="1531" w:right="62" w:hanging="964"/>
              <w:jc w:val="left"/>
              <w:rPr>
                <w:rFonts w:cs="Times New Roman"/>
              </w:rPr>
            </w:pPr>
            <w:r>
              <w:rPr>
                <w:rFonts w:cs="Times New Roman"/>
              </w:rPr>
              <w:t>《商船</w:t>
            </w:r>
            <w:r>
              <w:rPr>
                <w:rFonts w:cs="Times New Roman"/>
              </w:rPr>
              <w:t>(</w:t>
            </w:r>
            <w:r>
              <w:rPr>
                <w:rFonts w:cs="Times New Roman"/>
              </w:rPr>
              <w:t>安全</w:t>
            </w:r>
            <w:r>
              <w:rPr>
                <w:rFonts w:cs="Times New Roman"/>
              </w:rPr>
              <w:t>)(</w:t>
            </w:r>
            <w:r>
              <w:rPr>
                <w:rFonts w:cs="Times New Roman"/>
              </w:rPr>
              <w:t>極地水域操作船舶</w:t>
            </w:r>
            <w:r>
              <w:rPr>
                <w:rFonts w:cs="Times New Roman"/>
              </w:rPr>
              <w:t>)</w:t>
            </w:r>
            <w:r>
              <w:rPr>
                <w:rFonts w:cs="Times New Roman"/>
              </w:rPr>
              <w:t>規例》</w:t>
            </w:r>
            <w:r>
              <w:rPr>
                <w:rFonts w:cs="Times New Roman"/>
              </w:rPr>
              <w:tab/>
            </w:r>
          </w:p>
        </w:tc>
        <w:tc>
          <w:tcPr>
            <w:tcW w:w="2430" w:type="dxa"/>
            <w:gridSpan w:val="2"/>
            <w:tcBorders/>
          </w:tcPr>
          <w:p>
            <w:pPr>
              <w:pStyle w:val="F21"/>
              <w:tabs>
                <w:tab w:val="clear" w:pos="567"/>
              </w:tabs>
              <w:overflowPunct w:val="true"/>
              <w:jc w:val="right"/>
              <w:rPr>
                <w:rFonts w:cs="Times New Roman"/>
              </w:rPr>
            </w:pPr>
            <w:r>
              <w:rPr>
                <w:rFonts w:cs="Times New Roman"/>
              </w:rPr>
              <w:t>2019</w:t>
            </w:r>
            <w:r>
              <w:rPr>
                <w:rFonts w:cs="Times New Roman"/>
              </w:rPr>
              <w:t>年第</w:t>
            </w:r>
            <w:r>
              <w:rPr>
                <w:rFonts w:cs="Times New Roman"/>
              </w:rPr>
              <w:t>44</w:t>
            </w:r>
            <w:r>
              <w:rPr>
                <w:rFonts w:cs="Times New Roman"/>
              </w:rPr>
              <w:t>號</w:t>
            </w:r>
          </w:p>
        </w:tc>
      </w:tr>
      <w:tr>
        <w:trPr/>
        <w:tc>
          <w:tcPr>
            <w:tcW w:w="6803" w:type="dxa"/>
            <w:tcBorders/>
          </w:tcPr>
          <w:p>
            <w:pPr>
              <w:pStyle w:val="F21"/>
              <w:tabs>
                <w:tab w:val="clear" w:pos="567"/>
                <w:tab w:val="right" w:pos="6521" w:leader="dot"/>
              </w:tabs>
              <w:overflowPunct w:val="true"/>
              <w:ind w:left="1531" w:right="62" w:hanging="964"/>
              <w:jc w:val="left"/>
              <w:rPr>
                <w:rFonts w:cs="Times New Roman"/>
              </w:rPr>
            </w:pPr>
            <w:r>
              <w:rPr>
                <w:rFonts w:cs="Times New Roman"/>
              </w:rPr>
            </w:r>
          </w:p>
        </w:tc>
        <w:tc>
          <w:tcPr>
            <w:tcW w:w="2430" w:type="dxa"/>
            <w:gridSpan w:val="2"/>
            <w:tcBorders/>
          </w:tcPr>
          <w:p>
            <w:pPr>
              <w:pStyle w:val="F21"/>
              <w:tabs>
                <w:tab w:val="clear" w:pos="567"/>
              </w:tabs>
              <w:overflowPunct w:val="true"/>
              <w:jc w:val="right"/>
              <w:rPr>
                <w:rFonts w:cs="Times New Roman"/>
              </w:rPr>
            </w:pPr>
            <w:r>
              <w:rPr>
                <w:rFonts w:cs="Times New Roman"/>
              </w:rPr>
            </w:r>
          </w:p>
        </w:tc>
      </w:tr>
      <w:tr>
        <w:trPr/>
        <w:tc>
          <w:tcPr>
            <w:tcW w:w="6803" w:type="dxa"/>
            <w:tcBorders/>
          </w:tcPr>
          <w:p>
            <w:pPr>
              <w:pStyle w:val="F21"/>
              <w:tabs>
                <w:tab w:val="clear" w:pos="567"/>
                <w:tab w:val="right" w:pos="6521" w:leader="dot"/>
              </w:tabs>
              <w:overflowPunct w:val="true"/>
              <w:ind w:left="1531" w:right="62" w:hanging="964"/>
              <w:jc w:val="left"/>
              <w:rPr>
                <w:rFonts w:cs="Times New Roman"/>
              </w:rPr>
            </w:pPr>
            <w:r>
              <w:rPr>
                <w:rFonts w:cs="Times New Roman"/>
              </w:rPr>
              <w:t>《</w:t>
            </w:r>
            <w:r>
              <w:rPr>
                <w:rFonts w:cs="Times New Roman"/>
              </w:rPr>
              <w:t>2019</w:t>
            </w:r>
            <w:r>
              <w:rPr>
                <w:rFonts w:cs="Times New Roman"/>
              </w:rPr>
              <w:t>年商船</w:t>
            </w:r>
            <w:r>
              <w:rPr>
                <w:rFonts w:cs="Times New Roman"/>
              </w:rPr>
              <w:t>(</w:t>
            </w:r>
            <w:r>
              <w:rPr>
                <w:rFonts w:cs="Times New Roman"/>
              </w:rPr>
              <w:t>防止油類污染</w:t>
            </w:r>
            <w:r>
              <w:rPr>
                <w:rFonts w:cs="Times New Roman"/>
              </w:rPr>
              <w:t>)(</w:t>
            </w:r>
            <w:r>
              <w:rPr>
                <w:rFonts w:cs="Times New Roman"/>
              </w:rPr>
              <w:t>修訂</w:t>
            </w:r>
            <w:r>
              <w:rPr>
                <w:rFonts w:cs="Times New Roman"/>
              </w:rPr>
              <w:t>)</w:t>
              <w:br/>
            </w:r>
            <w:r>
              <w:rPr>
                <w:rFonts w:cs="Times New Roman"/>
              </w:rPr>
              <w:t>規例》</w:t>
            </w:r>
            <w:r>
              <w:rPr>
                <w:rFonts w:cs="Times New Roman"/>
              </w:rPr>
              <w:tab/>
            </w:r>
          </w:p>
        </w:tc>
        <w:tc>
          <w:tcPr>
            <w:tcW w:w="2430" w:type="dxa"/>
            <w:gridSpan w:val="2"/>
            <w:tcBorders/>
          </w:tcPr>
          <w:p>
            <w:pPr>
              <w:pStyle w:val="F21"/>
              <w:tabs>
                <w:tab w:val="clear" w:pos="567"/>
              </w:tabs>
              <w:overflowPunct w:val="true"/>
              <w:jc w:val="right"/>
              <w:rPr>
                <w:rFonts w:cs="Times New Roman"/>
              </w:rPr>
            </w:pPr>
            <w:r>
              <w:rPr>
                <w:rFonts w:cs="Times New Roman"/>
              </w:rPr>
            </w:r>
          </w:p>
          <w:p>
            <w:pPr>
              <w:pStyle w:val="F21"/>
              <w:tabs>
                <w:tab w:val="clear" w:pos="567"/>
              </w:tabs>
              <w:overflowPunct w:val="true"/>
              <w:jc w:val="right"/>
              <w:rPr>
                <w:rFonts w:cs="Times New Roman"/>
              </w:rPr>
            </w:pPr>
            <w:r>
              <w:rPr>
                <w:rFonts w:cs="Times New Roman"/>
              </w:rPr>
              <w:t>2019</w:t>
            </w:r>
            <w:r>
              <w:rPr>
                <w:rFonts w:cs="Times New Roman"/>
              </w:rPr>
              <w:t>年第</w:t>
            </w:r>
            <w:r>
              <w:rPr>
                <w:rFonts w:cs="Times New Roman"/>
              </w:rPr>
              <w:t>45</w:t>
            </w:r>
            <w:r>
              <w:rPr>
                <w:rFonts w:cs="Times New Roman"/>
              </w:rPr>
              <w:t>號</w:t>
            </w:r>
          </w:p>
        </w:tc>
      </w:tr>
      <w:tr>
        <w:trPr/>
        <w:tc>
          <w:tcPr>
            <w:tcW w:w="6803" w:type="dxa"/>
            <w:tcBorders/>
          </w:tcPr>
          <w:p>
            <w:pPr>
              <w:pStyle w:val="F21"/>
              <w:tabs>
                <w:tab w:val="clear" w:pos="567"/>
                <w:tab w:val="right" w:pos="6521" w:leader="dot"/>
              </w:tabs>
              <w:overflowPunct w:val="true"/>
              <w:ind w:left="1531" w:right="62" w:hanging="964"/>
              <w:jc w:val="left"/>
              <w:rPr>
                <w:rFonts w:cs="Times New Roman"/>
              </w:rPr>
            </w:pPr>
            <w:r>
              <w:rPr>
                <w:rFonts w:cs="Times New Roman"/>
              </w:rPr>
            </w:r>
          </w:p>
        </w:tc>
        <w:tc>
          <w:tcPr>
            <w:tcW w:w="2430" w:type="dxa"/>
            <w:gridSpan w:val="2"/>
            <w:tcBorders/>
          </w:tcPr>
          <w:p>
            <w:pPr>
              <w:pStyle w:val="F21"/>
              <w:tabs>
                <w:tab w:val="clear" w:pos="567"/>
              </w:tabs>
              <w:overflowPunct w:val="true"/>
              <w:jc w:val="right"/>
              <w:rPr>
                <w:rFonts w:cs="Times New Roman"/>
              </w:rPr>
            </w:pPr>
            <w:r>
              <w:rPr>
                <w:rFonts w:cs="Times New Roman"/>
              </w:rPr>
            </w:r>
          </w:p>
        </w:tc>
      </w:tr>
      <w:tr>
        <w:trPr/>
        <w:tc>
          <w:tcPr>
            <w:tcW w:w="6803" w:type="dxa"/>
            <w:tcBorders/>
          </w:tcPr>
          <w:p>
            <w:pPr>
              <w:pStyle w:val="F21"/>
              <w:tabs>
                <w:tab w:val="clear" w:pos="567"/>
                <w:tab w:val="right" w:pos="6521" w:leader="dot"/>
              </w:tabs>
              <w:overflowPunct w:val="true"/>
              <w:ind w:left="1531" w:right="62" w:hanging="964"/>
              <w:jc w:val="left"/>
              <w:rPr>
                <w:rFonts w:cs="Times New Roman"/>
              </w:rPr>
            </w:pPr>
            <w:r>
              <w:rPr>
                <w:rFonts w:cs="Times New Roman"/>
              </w:rPr>
              <w:t>《</w:t>
            </w:r>
            <w:r>
              <w:rPr>
                <w:rFonts w:cs="Times New Roman"/>
              </w:rPr>
              <w:t>2019</w:t>
            </w:r>
            <w:r>
              <w:rPr>
                <w:rFonts w:cs="Times New Roman"/>
              </w:rPr>
              <w:t>年商船</w:t>
            </w:r>
            <w:r>
              <w:rPr>
                <w:rFonts w:cs="Times New Roman"/>
              </w:rPr>
              <w:t>(</w:t>
            </w:r>
            <w:r>
              <w:rPr>
                <w:rFonts w:cs="Times New Roman"/>
              </w:rPr>
              <w:t>控制散裝有毒液體物質污染</w:t>
            </w:r>
            <w:r>
              <w:rPr>
                <w:rFonts w:cs="Times New Roman"/>
              </w:rPr>
              <w:t>)</w:t>
              <w:br/>
              <w:t>(</w:t>
            </w:r>
            <w:r>
              <w:rPr>
                <w:rFonts w:cs="Times New Roman"/>
              </w:rPr>
              <w:t>修訂</w:t>
            </w:r>
            <w:r>
              <w:rPr>
                <w:rFonts w:cs="Times New Roman"/>
              </w:rPr>
              <w:t>)</w:t>
            </w:r>
            <w:r>
              <w:rPr>
                <w:rFonts w:cs="Times New Roman"/>
              </w:rPr>
              <w:t>規例》</w:t>
            </w:r>
            <w:r>
              <w:rPr>
                <w:rFonts w:cs="Times New Roman"/>
              </w:rPr>
              <w:tab/>
            </w:r>
          </w:p>
        </w:tc>
        <w:tc>
          <w:tcPr>
            <w:tcW w:w="2430" w:type="dxa"/>
            <w:gridSpan w:val="2"/>
            <w:tcBorders/>
          </w:tcPr>
          <w:p>
            <w:pPr>
              <w:pStyle w:val="F21"/>
              <w:tabs>
                <w:tab w:val="clear" w:pos="567"/>
              </w:tabs>
              <w:overflowPunct w:val="true"/>
              <w:jc w:val="right"/>
              <w:rPr>
                <w:rFonts w:cs="Times New Roman"/>
              </w:rPr>
            </w:pPr>
            <w:r>
              <w:rPr>
                <w:rFonts w:cs="Times New Roman"/>
              </w:rPr>
            </w:r>
          </w:p>
          <w:p>
            <w:pPr>
              <w:pStyle w:val="F21"/>
              <w:tabs>
                <w:tab w:val="clear" w:pos="567"/>
              </w:tabs>
              <w:overflowPunct w:val="true"/>
              <w:jc w:val="right"/>
              <w:rPr>
                <w:rFonts w:cs="Times New Roman"/>
              </w:rPr>
            </w:pPr>
            <w:r>
              <w:rPr>
                <w:rFonts w:cs="Times New Roman"/>
              </w:rPr>
              <w:t>2019</w:t>
            </w:r>
            <w:r>
              <w:rPr>
                <w:rFonts w:cs="Times New Roman"/>
              </w:rPr>
              <w:t>年第</w:t>
            </w:r>
            <w:r>
              <w:rPr>
                <w:rFonts w:cs="Times New Roman"/>
              </w:rPr>
              <w:t>46</w:t>
            </w:r>
            <w:r>
              <w:rPr>
                <w:rFonts w:cs="Times New Roman"/>
              </w:rPr>
              <w:t>號</w:t>
            </w:r>
          </w:p>
        </w:tc>
      </w:tr>
      <w:tr>
        <w:trPr/>
        <w:tc>
          <w:tcPr>
            <w:tcW w:w="6803" w:type="dxa"/>
            <w:tcBorders/>
          </w:tcPr>
          <w:p>
            <w:pPr>
              <w:pStyle w:val="F21"/>
              <w:tabs>
                <w:tab w:val="clear" w:pos="567"/>
                <w:tab w:val="right" w:pos="6521" w:leader="dot"/>
              </w:tabs>
              <w:overflowPunct w:val="true"/>
              <w:ind w:left="1531" w:right="62" w:hanging="964"/>
              <w:jc w:val="left"/>
              <w:rPr>
                <w:rFonts w:cs="Times New Roman"/>
              </w:rPr>
            </w:pPr>
            <w:r>
              <w:rPr>
                <w:rFonts w:cs="Times New Roman"/>
              </w:rPr>
            </w:r>
          </w:p>
        </w:tc>
        <w:tc>
          <w:tcPr>
            <w:tcW w:w="2430" w:type="dxa"/>
            <w:gridSpan w:val="2"/>
            <w:tcBorders/>
          </w:tcPr>
          <w:p>
            <w:pPr>
              <w:pStyle w:val="F21"/>
              <w:tabs>
                <w:tab w:val="clear" w:pos="567"/>
              </w:tabs>
              <w:overflowPunct w:val="true"/>
              <w:jc w:val="right"/>
              <w:rPr>
                <w:rFonts w:cs="Times New Roman"/>
              </w:rPr>
            </w:pPr>
            <w:r>
              <w:rPr>
                <w:rFonts w:cs="Times New Roman"/>
              </w:rPr>
            </w:r>
          </w:p>
        </w:tc>
      </w:tr>
      <w:tr>
        <w:trPr/>
        <w:tc>
          <w:tcPr>
            <w:tcW w:w="6803" w:type="dxa"/>
            <w:tcBorders/>
          </w:tcPr>
          <w:p>
            <w:pPr>
              <w:pStyle w:val="F21"/>
              <w:tabs>
                <w:tab w:val="clear" w:pos="567"/>
                <w:tab w:val="right" w:pos="6521" w:leader="dot"/>
              </w:tabs>
              <w:overflowPunct w:val="true"/>
              <w:ind w:left="1531" w:right="62" w:hanging="964"/>
              <w:jc w:val="left"/>
              <w:rPr>
                <w:rFonts w:cs="Times New Roman"/>
              </w:rPr>
            </w:pPr>
            <w:r>
              <w:rPr>
                <w:rFonts w:cs="Times New Roman"/>
              </w:rPr>
              <w:t>《</w:t>
            </w:r>
            <w:r>
              <w:rPr>
                <w:rFonts w:cs="Times New Roman"/>
              </w:rPr>
              <w:t>2019</w:t>
            </w:r>
            <w:r>
              <w:rPr>
                <w:rFonts w:cs="Times New Roman"/>
              </w:rPr>
              <w:t>年商船</w:t>
            </w:r>
            <w:r>
              <w:rPr>
                <w:rFonts w:cs="Times New Roman"/>
              </w:rPr>
              <w:t>(</w:t>
            </w:r>
            <w:r>
              <w:rPr>
                <w:rFonts w:cs="Times New Roman"/>
              </w:rPr>
              <w:t>防止污水污染</w:t>
            </w:r>
            <w:r>
              <w:rPr>
                <w:rFonts w:cs="Times New Roman"/>
              </w:rPr>
              <w:t>)(</w:t>
            </w:r>
            <w:r>
              <w:rPr>
                <w:rFonts w:cs="Times New Roman"/>
              </w:rPr>
              <w:t>修訂</w:t>
            </w:r>
            <w:r>
              <w:rPr>
                <w:rFonts w:cs="Times New Roman"/>
              </w:rPr>
              <w:t>)</w:t>
              <w:br/>
            </w:r>
            <w:r>
              <w:rPr>
                <w:rFonts w:cs="Times New Roman"/>
              </w:rPr>
              <w:t>規例》</w:t>
            </w:r>
            <w:r>
              <w:rPr>
                <w:rFonts w:cs="Times New Roman"/>
              </w:rPr>
              <w:tab/>
            </w:r>
          </w:p>
        </w:tc>
        <w:tc>
          <w:tcPr>
            <w:tcW w:w="2430" w:type="dxa"/>
            <w:gridSpan w:val="2"/>
            <w:tcBorders/>
          </w:tcPr>
          <w:p>
            <w:pPr>
              <w:pStyle w:val="F21"/>
              <w:tabs>
                <w:tab w:val="clear" w:pos="567"/>
              </w:tabs>
              <w:overflowPunct w:val="true"/>
              <w:jc w:val="right"/>
              <w:rPr>
                <w:rFonts w:cs="Times New Roman"/>
              </w:rPr>
            </w:pPr>
            <w:r>
              <w:rPr>
                <w:rFonts w:cs="Times New Roman"/>
              </w:rPr>
            </w:r>
          </w:p>
          <w:p>
            <w:pPr>
              <w:pStyle w:val="F21"/>
              <w:tabs>
                <w:tab w:val="clear" w:pos="567"/>
              </w:tabs>
              <w:overflowPunct w:val="true"/>
              <w:jc w:val="right"/>
              <w:rPr>
                <w:rFonts w:cs="Times New Roman"/>
              </w:rPr>
            </w:pPr>
            <w:r>
              <w:rPr>
                <w:rFonts w:cs="Times New Roman"/>
              </w:rPr>
              <w:t>2019</w:t>
            </w:r>
            <w:r>
              <w:rPr>
                <w:rFonts w:cs="Times New Roman"/>
              </w:rPr>
              <w:t>年第</w:t>
            </w:r>
            <w:r>
              <w:rPr>
                <w:rFonts w:cs="Times New Roman"/>
              </w:rPr>
              <w:t>47</w:t>
            </w:r>
            <w:r>
              <w:rPr>
                <w:rFonts w:cs="Times New Roman"/>
              </w:rPr>
              <w:t>號</w:t>
            </w:r>
          </w:p>
        </w:tc>
      </w:tr>
      <w:tr>
        <w:trPr/>
        <w:tc>
          <w:tcPr>
            <w:tcW w:w="6803" w:type="dxa"/>
            <w:tcBorders/>
          </w:tcPr>
          <w:p>
            <w:pPr>
              <w:pStyle w:val="F21"/>
              <w:tabs>
                <w:tab w:val="clear" w:pos="567"/>
                <w:tab w:val="right" w:pos="6521" w:leader="dot"/>
              </w:tabs>
              <w:overflowPunct w:val="true"/>
              <w:ind w:left="1531" w:right="62" w:hanging="964"/>
              <w:jc w:val="left"/>
              <w:rPr>
                <w:rFonts w:cs="Times New Roman"/>
              </w:rPr>
            </w:pPr>
            <w:r>
              <w:rPr>
                <w:rFonts w:cs="Times New Roman"/>
              </w:rPr>
            </w:r>
          </w:p>
        </w:tc>
        <w:tc>
          <w:tcPr>
            <w:tcW w:w="2430" w:type="dxa"/>
            <w:gridSpan w:val="2"/>
            <w:tcBorders/>
          </w:tcPr>
          <w:p>
            <w:pPr>
              <w:pStyle w:val="F21"/>
              <w:tabs>
                <w:tab w:val="clear" w:pos="567"/>
              </w:tabs>
              <w:overflowPunct w:val="true"/>
              <w:jc w:val="right"/>
              <w:rPr>
                <w:rFonts w:cs="Times New Roman"/>
              </w:rPr>
            </w:pPr>
            <w:r>
              <w:rPr>
                <w:rFonts w:cs="Times New Roman"/>
              </w:rPr>
            </w:r>
          </w:p>
        </w:tc>
      </w:tr>
      <w:tr>
        <w:trPr/>
        <w:tc>
          <w:tcPr>
            <w:tcW w:w="6803" w:type="dxa"/>
            <w:tcBorders/>
          </w:tcPr>
          <w:p>
            <w:pPr>
              <w:pStyle w:val="F21"/>
              <w:tabs>
                <w:tab w:val="clear" w:pos="567"/>
                <w:tab w:val="right" w:pos="6521" w:leader="dot"/>
              </w:tabs>
              <w:overflowPunct w:val="true"/>
              <w:ind w:left="1531" w:right="62" w:hanging="964"/>
              <w:jc w:val="left"/>
              <w:rPr>
                <w:rFonts w:cs="Times New Roman"/>
              </w:rPr>
            </w:pPr>
            <w:r>
              <w:rPr>
                <w:rFonts w:cs="Times New Roman"/>
              </w:rPr>
              <w:t>《</w:t>
            </w:r>
            <w:r>
              <w:rPr>
                <w:rFonts w:cs="Times New Roman"/>
              </w:rPr>
              <w:t>2019</w:t>
            </w:r>
            <w:r>
              <w:rPr>
                <w:rFonts w:cs="Times New Roman"/>
              </w:rPr>
              <w:t>年商船</w:t>
            </w:r>
            <w:r>
              <w:rPr>
                <w:rFonts w:cs="Times New Roman"/>
              </w:rPr>
              <w:t>(</w:t>
            </w:r>
            <w:r>
              <w:rPr>
                <w:rFonts w:cs="Times New Roman"/>
              </w:rPr>
              <w:t>防止廢物污染</w:t>
            </w:r>
            <w:r>
              <w:rPr>
                <w:rFonts w:cs="Times New Roman"/>
              </w:rPr>
              <w:t>)(</w:t>
            </w:r>
            <w:r>
              <w:rPr>
                <w:rFonts w:cs="Times New Roman"/>
              </w:rPr>
              <w:t>修訂</w:t>
            </w:r>
            <w:r>
              <w:rPr>
                <w:rFonts w:cs="Times New Roman"/>
              </w:rPr>
              <w:t>)</w:t>
              <w:br/>
            </w:r>
            <w:r>
              <w:rPr>
                <w:rFonts w:cs="Times New Roman"/>
              </w:rPr>
              <w:t>規例》</w:t>
            </w:r>
            <w:r>
              <w:rPr>
                <w:rFonts w:cs="Times New Roman"/>
              </w:rPr>
              <w:tab/>
            </w:r>
          </w:p>
        </w:tc>
        <w:tc>
          <w:tcPr>
            <w:tcW w:w="2430" w:type="dxa"/>
            <w:gridSpan w:val="2"/>
            <w:tcBorders/>
          </w:tcPr>
          <w:p>
            <w:pPr>
              <w:pStyle w:val="F21"/>
              <w:tabs>
                <w:tab w:val="clear" w:pos="567"/>
              </w:tabs>
              <w:overflowPunct w:val="true"/>
              <w:jc w:val="right"/>
              <w:rPr>
                <w:rFonts w:cs="Times New Roman"/>
              </w:rPr>
            </w:pPr>
            <w:r>
              <w:rPr>
                <w:rFonts w:cs="Times New Roman"/>
              </w:rPr>
            </w:r>
          </w:p>
          <w:p>
            <w:pPr>
              <w:pStyle w:val="F21"/>
              <w:tabs>
                <w:tab w:val="clear" w:pos="567"/>
              </w:tabs>
              <w:overflowPunct w:val="true"/>
              <w:jc w:val="right"/>
              <w:rPr>
                <w:rFonts w:cs="Times New Roman"/>
              </w:rPr>
            </w:pPr>
            <w:r>
              <w:rPr>
                <w:rFonts w:cs="Times New Roman"/>
              </w:rPr>
              <w:t>2019</w:t>
            </w:r>
            <w:r>
              <w:rPr>
                <w:rFonts w:cs="Times New Roman"/>
              </w:rPr>
              <w:t>年第</w:t>
            </w:r>
            <w:r>
              <w:rPr>
                <w:rFonts w:cs="Times New Roman"/>
              </w:rPr>
              <w:t>48</w:t>
            </w:r>
            <w:r>
              <w:rPr>
                <w:rFonts w:cs="Times New Roman"/>
              </w:rPr>
              <w:t>號</w:t>
            </w:r>
          </w:p>
        </w:tc>
      </w:tr>
      <w:tr>
        <w:trPr/>
        <w:tc>
          <w:tcPr>
            <w:tcW w:w="6803" w:type="dxa"/>
            <w:tcBorders/>
          </w:tcPr>
          <w:p>
            <w:pPr>
              <w:pStyle w:val="F21"/>
              <w:tabs>
                <w:tab w:val="clear" w:pos="567"/>
                <w:tab w:val="right" w:pos="6521" w:leader="dot"/>
              </w:tabs>
              <w:overflowPunct w:val="true"/>
              <w:ind w:left="1531" w:right="62" w:hanging="964"/>
              <w:jc w:val="left"/>
              <w:rPr>
                <w:rFonts w:cs="Times New Roman"/>
              </w:rPr>
            </w:pPr>
            <w:r>
              <w:rPr>
                <w:rFonts w:cs="Times New Roman"/>
              </w:rPr>
            </w:r>
          </w:p>
        </w:tc>
        <w:tc>
          <w:tcPr>
            <w:tcW w:w="2430" w:type="dxa"/>
            <w:gridSpan w:val="2"/>
            <w:tcBorders/>
          </w:tcPr>
          <w:p>
            <w:pPr>
              <w:pStyle w:val="F21"/>
              <w:tabs>
                <w:tab w:val="clear" w:pos="567"/>
              </w:tabs>
              <w:overflowPunct w:val="true"/>
              <w:jc w:val="right"/>
              <w:rPr>
                <w:rFonts w:cs="Times New Roman"/>
              </w:rPr>
            </w:pPr>
            <w:r>
              <w:rPr>
                <w:rFonts w:cs="Times New Roman"/>
              </w:rPr>
            </w:r>
          </w:p>
        </w:tc>
      </w:tr>
      <w:tr>
        <w:trPr/>
        <w:tc>
          <w:tcPr>
            <w:tcW w:w="6803" w:type="dxa"/>
            <w:tcBorders/>
          </w:tcPr>
          <w:p>
            <w:pPr>
              <w:pStyle w:val="F21"/>
              <w:tabs>
                <w:tab w:val="clear" w:pos="567"/>
                <w:tab w:val="right" w:pos="6521" w:leader="dot"/>
              </w:tabs>
              <w:overflowPunct w:val="true"/>
              <w:ind w:left="1531" w:right="62" w:hanging="964"/>
              <w:jc w:val="left"/>
              <w:rPr>
                <w:rFonts w:cs="Times New Roman"/>
              </w:rPr>
            </w:pPr>
            <w:r>
              <w:rPr>
                <w:rFonts w:cs="Times New Roman"/>
              </w:rPr>
              <w:t>《</w:t>
            </w:r>
            <w:r>
              <w:rPr>
                <w:rFonts w:cs="Times New Roman"/>
              </w:rPr>
              <w:t>2019</w:t>
            </w:r>
            <w:r>
              <w:rPr>
                <w:rFonts w:cs="Times New Roman"/>
              </w:rPr>
              <w:t>年玩具及兒童產品安全條例</w:t>
            </w:r>
            <w:r>
              <w:rPr>
                <w:rFonts w:cs="Times New Roman"/>
              </w:rPr>
              <w:br/>
              <w:t>(</w:t>
            </w:r>
            <w:r>
              <w:rPr>
                <w:rFonts w:cs="Times New Roman"/>
              </w:rPr>
              <w:t>修訂附表</w:t>
            </w:r>
            <w:r>
              <w:rPr>
                <w:rFonts w:cs="Times New Roman"/>
              </w:rPr>
              <w:t>1</w:t>
            </w:r>
            <w:r>
              <w:rPr>
                <w:rFonts w:cs="Times New Roman"/>
              </w:rPr>
              <w:t>及</w:t>
            </w:r>
            <w:r>
              <w:rPr>
                <w:rFonts w:cs="Times New Roman"/>
              </w:rPr>
              <w:t>2)</w:t>
            </w:r>
            <w:r>
              <w:rPr>
                <w:rFonts w:cs="Times New Roman"/>
              </w:rPr>
              <w:t>公告》</w:t>
            </w:r>
            <w:r>
              <w:rPr>
                <w:rFonts w:cs="Times New Roman"/>
              </w:rPr>
              <w:tab/>
            </w:r>
          </w:p>
        </w:tc>
        <w:tc>
          <w:tcPr>
            <w:tcW w:w="2430" w:type="dxa"/>
            <w:gridSpan w:val="2"/>
            <w:tcBorders/>
          </w:tcPr>
          <w:p>
            <w:pPr>
              <w:pStyle w:val="F21"/>
              <w:tabs>
                <w:tab w:val="clear" w:pos="567"/>
              </w:tabs>
              <w:overflowPunct w:val="true"/>
              <w:jc w:val="right"/>
              <w:rPr>
                <w:rFonts w:cs="Times New Roman"/>
              </w:rPr>
            </w:pPr>
            <w:r>
              <w:rPr>
                <w:rFonts w:cs="Times New Roman"/>
              </w:rPr>
            </w:r>
          </w:p>
          <w:p>
            <w:pPr>
              <w:pStyle w:val="F21"/>
              <w:tabs>
                <w:tab w:val="clear" w:pos="567"/>
              </w:tabs>
              <w:overflowPunct w:val="true"/>
              <w:jc w:val="right"/>
              <w:rPr>
                <w:rFonts w:cs="Times New Roman"/>
              </w:rPr>
            </w:pPr>
            <w:r>
              <w:rPr>
                <w:rFonts w:cs="Times New Roman"/>
              </w:rPr>
              <w:t>2019</w:t>
            </w:r>
            <w:r>
              <w:rPr>
                <w:rFonts w:cs="Times New Roman"/>
              </w:rPr>
              <w:t>年第</w:t>
            </w:r>
            <w:r>
              <w:rPr>
                <w:rFonts w:cs="Times New Roman"/>
              </w:rPr>
              <w:t>49</w:t>
            </w:r>
            <w:r>
              <w:rPr>
                <w:rFonts w:cs="Times New Roman"/>
              </w:rPr>
              <w:t>號</w:t>
            </w:r>
          </w:p>
        </w:tc>
      </w:tr>
      <w:tr>
        <w:trPr/>
        <w:tc>
          <w:tcPr>
            <w:tcW w:w="6803" w:type="dxa"/>
            <w:tcBorders/>
          </w:tcPr>
          <w:p>
            <w:pPr>
              <w:pStyle w:val="F21"/>
              <w:tabs>
                <w:tab w:val="clear" w:pos="567"/>
                <w:tab w:val="right" w:pos="6521" w:leader="dot"/>
              </w:tabs>
              <w:overflowPunct w:val="true"/>
              <w:ind w:left="1531" w:right="62" w:hanging="964"/>
              <w:jc w:val="left"/>
              <w:rPr>
                <w:rFonts w:cs="Times New Roman"/>
              </w:rPr>
            </w:pPr>
            <w:r>
              <w:rPr>
                <w:rFonts w:cs="Times New Roman"/>
              </w:rPr>
            </w:r>
          </w:p>
        </w:tc>
        <w:tc>
          <w:tcPr>
            <w:tcW w:w="2430" w:type="dxa"/>
            <w:gridSpan w:val="2"/>
            <w:tcBorders/>
          </w:tcPr>
          <w:p>
            <w:pPr>
              <w:pStyle w:val="F21"/>
              <w:tabs>
                <w:tab w:val="clear" w:pos="567"/>
              </w:tabs>
              <w:overflowPunct w:val="true"/>
              <w:jc w:val="right"/>
              <w:rPr>
                <w:rFonts w:cs="Times New Roman"/>
              </w:rPr>
            </w:pPr>
            <w:r>
              <w:rPr>
                <w:rFonts w:cs="Times New Roman"/>
              </w:rPr>
            </w:r>
          </w:p>
        </w:tc>
      </w:tr>
      <w:tr>
        <w:trPr/>
        <w:tc>
          <w:tcPr>
            <w:tcW w:w="6803" w:type="dxa"/>
            <w:tcBorders/>
          </w:tcPr>
          <w:p>
            <w:pPr>
              <w:pStyle w:val="F21"/>
              <w:tabs>
                <w:tab w:val="clear" w:pos="567"/>
                <w:tab w:val="right" w:pos="6521" w:leader="dot"/>
              </w:tabs>
              <w:overflowPunct w:val="true"/>
              <w:ind w:left="1531" w:right="62" w:hanging="964"/>
              <w:jc w:val="left"/>
              <w:rPr>
                <w:rFonts w:cs="Times New Roman"/>
              </w:rPr>
            </w:pPr>
            <w:r>
              <w:rPr>
                <w:rFonts w:cs="Times New Roman"/>
                <w:spacing w:val="13"/>
              </w:rPr>
              <w:t>《</w:t>
            </w:r>
            <w:r>
              <w:rPr>
                <w:rFonts w:cs="Times New Roman"/>
                <w:spacing w:val="13"/>
              </w:rPr>
              <w:t>2019</w:t>
            </w:r>
            <w:r>
              <w:rPr>
                <w:rFonts w:cs="Times New Roman"/>
                <w:spacing w:val="13"/>
              </w:rPr>
              <w:t>年〈</w:t>
            </w:r>
            <w:r>
              <w:rPr>
                <w:rFonts w:cs="Times New Roman"/>
                <w:spacing w:val="13"/>
              </w:rPr>
              <w:t>2018</w:t>
            </w:r>
            <w:r>
              <w:rPr>
                <w:rFonts w:cs="Times New Roman"/>
                <w:spacing w:val="13"/>
              </w:rPr>
              <w:t>年人事登記</w:t>
            </w:r>
            <w:r>
              <w:rPr>
                <w:rFonts w:cs="Times New Roman"/>
                <w:spacing w:val="13"/>
              </w:rPr>
              <w:t>(</w:t>
            </w:r>
            <w:r>
              <w:rPr>
                <w:rFonts w:cs="Times New Roman"/>
                <w:spacing w:val="13"/>
              </w:rPr>
              <w:t>申請新身分證</w:t>
            </w:r>
            <w:r>
              <w:rPr>
                <w:rFonts w:cs="Times New Roman"/>
                <w:spacing w:val="13"/>
              </w:rPr>
              <w:t>)</w:t>
            </w:r>
            <w:r>
              <w:rPr>
                <w:rFonts w:cs="Times New Roman"/>
                <w:spacing w:val="13"/>
              </w:rPr>
              <w:t>令〉</w:t>
            </w:r>
            <w:r>
              <w:rPr>
                <w:rFonts w:cs="Times New Roman"/>
              </w:rPr>
              <w:t>(</w:t>
            </w:r>
            <w:r>
              <w:rPr>
                <w:rFonts w:cs="Times New Roman"/>
              </w:rPr>
              <w:t>修訂</w:t>
            </w:r>
            <w:r>
              <w:rPr>
                <w:rFonts w:cs="Times New Roman"/>
              </w:rPr>
              <w:t>)</w:t>
            </w:r>
            <w:r>
              <w:rPr>
                <w:rFonts w:cs="Times New Roman"/>
              </w:rPr>
              <w:t>令》</w:t>
            </w:r>
            <w:r>
              <w:rPr>
                <w:rFonts w:cs="Times New Roman"/>
              </w:rPr>
              <w:tab/>
            </w:r>
          </w:p>
        </w:tc>
        <w:tc>
          <w:tcPr>
            <w:tcW w:w="2430" w:type="dxa"/>
            <w:gridSpan w:val="2"/>
            <w:tcBorders/>
          </w:tcPr>
          <w:p>
            <w:pPr>
              <w:pStyle w:val="F21"/>
              <w:tabs>
                <w:tab w:val="clear" w:pos="567"/>
              </w:tabs>
              <w:overflowPunct w:val="true"/>
              <w:jc w:val="right"/>
              <w:rPr>
                <w:rFonts w:cs="Times New Roman"/>
              </w:rPr>
            </w:pPr>
            <w:r>
              <w:rPr>
                <w:rFonts w:cs="Times New Roman"/>
              </w:rPr>
            </w:r>
          </w:p>
          <w:p>
            <w:pPr>
              <w:pStyle w:val="F21"/>
              <w:tabs>
                <w:tab w:val="clear" w:pos="567"/>
              </w:tabs>
              <w:overflowPunct w:val="true"/>
              <w:jc w:val="right"/>
              <w:rPr>
                <w:rFonts w:cs="Times New Roman"/>
              </w:rPr>
            </w:pPr>
            <w:r>
              <w:rPr>
                <w:rFonts w:cs="Times New Roman"/>
              </w:rPr>
              <w:t>2019</w:t>
            </w:r>
            <w:r>
              <w:rPr>
                <w:rFonts w:cs="Times New Roman"/>
              </w:rPr>
              <w:t>年第</w:t>
            </w:r>
            <w:r>
              <w:rPr>
                <w:rFonts w:cs="Times New Roman"/>
              </w:rPr>
              <w:t>50</w:t>
            </w:r>
            <w:r>
              <w:rPr>
                <w:rFonts w:cs="Times New Roman"/>
              </w:rPr>
              <w:t>號</w:t>
            </w:r>
          </w:p>
        </w:tc>
      </w:tr>
      <w:tr>
        <w:trPr/>
        <w:tc>
          <w:tcPr>
            <w:tcW w:w="6803" w:type="dxa"/>
            <w:tcBorders/>
          </w:tcPr>
          <w:p>
            <w:pPr>
              <w:pStyle w:val="F21"/>
              <w:tabs>
                <w:tab w:val="clear" w:pos="567"/>
                <w:tab w:val="right" w:pos="6521" w:leader="dot"/>
              </w:tabs>
              <w:overflowPunct w:val="true"/>
              <w:ind w:left="1531" w:right="62" w:hanging="964"/>
              <w:jc w:val="left"/>
              <w:rPr>
                <w:rFonts w:cs="Times New Roman"/>
              </w:rPr>
            </w:pPr>
            <w:r>
              <w:rPr>
                <w:rFonts w:cs="Times New Roman"/>
              </w:rPr>
            </w:r>
          </w:p>
        </w:tc>
        <w:tc>
          <w:tcPr>
            <w:tcW w:w="2430" w:type="dxa"/>
            <w:gridSpan w:val="2"/>
            <w:tcBorders/>
          </w:tcPr>
          <w:p>
            <w:pPr>
              <w:pStyle w:val="F21"/>
              <w:tabs>
                <w:tab w:val="clear" w:pos="567"/>
              </w:tabs>
              <w:overflowPunct w:val="true"/>
              <w:jc w:val="right"/>
              <w:rPr>
                <w:rFonts w:cs="Times New Roman"/>
              </w:rPr>
            </w:pPr>
            <w:r>
              <w:rPr>
                <w:rFonts w:cs="Times New Roman"/>
              </w:rPr>
            </w:r>
          </w:p>
        </w:tc>
      </w:tr>
      <w:tr>
        <w:trPr/>
        <w:tc>
          <w:tcPr>
            <w:tcW w:w="6803" w:type="dxa"/>
            <w:tcBorders/>
          </w:tcPr>
          <w:p>
            <w:pPr>
              <w:pStyle w:val="F21"/>
              <w:tabs>
                <w:tab w:val="clear" w:pos="567"/>
                <w:tab w:val="right" w:pos="6521" w:leader="dot"/>
              </w:tabs>
              <w:overflowPunct w:val="true"/>
              <w:ind w:left="1531" w:right="62" w:hanging="964"/>
              <w:jc w:val="left"/>
              <w:rPr>
                <w:rFonts w:cs="Times New Roman"/>
              </w:rPr>
            </w:pPr>
            <w:r>
              <w:rPr>
                <w:rFonts w:cs="Times New Roman"/>
              </w:rPr>
              <w:t>《</w:t>
            </w:r>
            <w:r>
              <w:rPr>
                <w:rFonts w:cs="Times New Roman"/>
              </w:rPr>
              <w:t>2019</w:t>
            </w:r>
            <w:r>
              <w:rPr>
                <w:rFonts w:cs="Times New Roman"/>
              </w:rPr>
              <w:t>年律師</w:t>
            </w:r>
            <w:r>
              <w:rPr>
                <w:rFonts w:cs="Times New Roman"/>
              </w:rPr>
              <w:t>(</w:t>
            </w:r>
            <w:r>
              <w:rPr>
                <w:rFonts w:cs="Times New Roman"/>
              </w:rPr>
              <w:t>專業彌償</w:t>
            </w:r>
            <w:r>
              <w:rPr>
                <w:rFonts w:cs="Times New Roman"/>
              </w:rPr>
              <w:t>)(</w:t>
            </w:r>
            <w:r>
              <w:rPr>
                <w:rFonts w:cs="Times New Roman"/>
              </w:rPr>
              <w:t>修訂</w:t>
            </w:r>
            <w:r>
              <w:rPr>
                <w:rFonts w:cs="Times New Roman"/>
              </w:rPr>
              <w:t>)</w:t>
            </w:r>
            <w:r>
              <w:rPr>
                <w:rFonts w:cs="Times New Roman"/>
              </w:rPr>
              <w:t>規則》</w:t>
            </w:r>
            <w:r>
              <w:rPr>
                <w:rFonts w:cs="Times New Roman"/>
              </w:rPr>
              <w:tab/>
            </w:r>
          </w:p>
        </w:tc>
        <w:tc>
          <w:tcPr>
            <w:tcW w:w="2430" w:type="dxa"/>
            <w:gridSpan w:val="2"/>
            <w:tcBorders/>
          </w:tcPr>
          <w:p>
            <w:pPr>
              <w:pStyle w:val="F21"/>
              <w:tabs>
                <w:tab w:val="clear" w:pos="567"/>
              </w:tabs>
              <w:overflowPunct w:val="true"/>
              <w:jc w:val="right"/>
              <w:rPr>
                <w:rFonts w:cs="Times New Roman"/>
              </w:rPr>
            </w:pPr>
            <w:r>
              <w:rPr>
                <w:rFonts w:cs="Times New Roman"/>
              </w:rPr>
              <w:t>2019</w:t>
            </w:r>
            <w:r>
              <w:rPr>
                <w:rFonts w:cs="Times New Roman"/>
              </w:rPr>
              <w:t>年第</w:t>
            </w:r>
            <w:r>
              <w:rPr>
                <w:rFonts w:cs="Times New Roman"/>
              </w:rPr>
              <w:t>51</w:t>
            </w:r>
            <w:r>
              <w:rPr>
                <w:rFonts w:cs="Times New Roman"/>
              </w:rPr>
              <w:t>號</w:t>
            </w:r>
          </w:p>
        </w:tc>
      </w:tr>
      <w:tr>
        <w:trPr/>
        <w:tc>
          <w:tcPr>
            <w:tcW w:w="6803" w:type="dxa"/>
            <w:tcBorders/>
          </w:tcPr>
          <w:p>
            <w:pPr>
              <w:pStyle w:val="F21"/>
              <w:tabs>
                <w:tab w:val="clear" w:pos="567"/>
                <w:tab w:val="right" w:pos="6521" w:leader="dot"/>
              </w:tabs>
              <w:overflowPunct w:val="true"/>
              <w:ind w:left="1531" w:right="62" w:hanging="964"/>
              <w:jc w:val="left"/>
              <w:rPr>
                <w:rFonts w:cs="Times New Roman"/>
              </w:rPr>
            </w:pPr>
            <w:r>
              <w:rPr>
                <w:rFonts w:cs="Times New Roman"/>
              </w:rPr>
            </w:r>
          </w:p>
        </w:tc>
        <w:tc>
          <w:tcPr>
            <w:tcW w:w="2430" w:type="dxa"/>
            <w:gridSpan w:val="2"/>
            <w:tcBorders/>
          </w:tcPr>
          <w:p>
            <w:pPr>
              <w:pStyle w:val="F21"/>
              <w:tabs>
                <w:tab w:val="clear" w:pos="567"/>
              </w:tabs>
              <w:overflowPunct w:val="true"/>
              <w:jc w:val="right"/>
              <w:rPr>
                <w:rFonts w:cs="Times New Roman"/>
              </w:rPr>
            </w:pPr>
            <w:r>
              <w:rPr>
                <w:rFonts w:cs="Times New Roman"/>
              </w:rPr>
            </w:r>
          </w:p>
        </w:tc>
      </w:tr>
      <w:tr>
        <w:trPr/>
        <w:tc>
          <w:tcPr>
            <w:tcW w:w="6803" w:type="dxa"/>
            <w:tcBorders/>
          </w:tcPr>
          <w:p>
            <w:pPr>
              <w:pStyle w:val="F21"/>
              <w:tabs>
                <w:tab w:val="clear" w:pos="567"/>
                <w:tab w:val="right" w:pos="6521" w:leader="dot"/>
              </w:tabs>
              <w:overflowPunct w:val="true"/>
              <w:ind w:left="1531" w:right="62" w:hanging="964"/>
              <w:jc w:val="left"/>
              <w:rPr>
                <w:rFonts w:cs="Times New Roman"/>
              </w:rPr>
            </w:pPr>
            <w:r>
              <w:rPr>
                <w:rFonts w:cs="Times New Roman"/>
              </w:rPr>
              <w:t>《</w:t>
            </w:r>
            <w:r>
              <w:rPr>
                <w:rFonts w:cs="Times New Roman"/>
              </w:rPr>
              <w:t>2019</w:t>
            </w:r>
            <w:r>
              <w:rPr>
                <w:rFonts w:cs="Times New Roman"/>
              </w:rPr>
              <w:t>年律師</w:t>
            </w:r>
            <w:r>
              <w:rPr>
                <w:rFonts w:cs="Times New Roman"/>
              </w:rPr>
              <w:t>(</w:t>
            </w:r>
            <w:r>
              <w:rPr>
                <w:rFonts w:cs="Times New Roman"/>
              </w:rPr>
              <w:t>專業彌償</w:t>
            </w:r>
            <w:r>
              <w:rPr>
                <w:rFonts w:cs="Times New Roman"/>
              </w:rPr>
              <w:t>)(</w:t>
            </w:r>
            <w:r>
              <w:rPr>
                <w:rFonts w:cs="Times New Roman"/>
              </w:rPr>
              <w:t>修訂</w:t>
            </w:r>
            <w:r>
              <w:rPr>
                <w:rFonts w:cs="Times New Roman"/>
              </w:rPr>
              <w:t>)(</w:t>
            </w:r>
            <w:r>
              <w:rPr>
                <w:rFonts w:cs="Times New Roman"/>
              </w:rPr>
              <w:t>第</w:t>
            </w:r>
            <w:r>
              <w:rPr>
                <w:rFonts w:cs="Times New Roman"/>
              </w:rPr>
              <w:t>2</w:t>
            </w:r>
            <w:r>
              <w:rPr>
                <w:rFonts w:cs="Times New Roman"/>
              </w:rPr>
              <w:t>號</w:t>
            </w:r>
            <w:r>
              <w:rPr>
                <w:rFonts w:cs="Times New Roman"/>
              </w:rPr>
              <w:t>)</w:t>
              <w:br/>
            </w:r>
            <w:r>
              <w:rPr>
                <w:rFonts w:cs="Times New Roman"/>
              </w:rPr>
              <w:t>規則》</w:t>
            </w:r>
            <w:r>
              <w:rPr>
                <w:rFonts w:cs="Times New Roman"/>
              </w:rPr>
              <w:tab/>
            </w:r>
          </w:p>
        </w:tc>
        <w:tc>
          <w:tcPr>
            <w:tcW w:w="2430" w:type="dxa"/>
            <w:gridSpan w:val="2"/>
            <w:tcBorders/>
          </w:tcPr>
          <w:p>
            <w:pPr>
              <w:pStyle w:val="F21"/>
              <w:tabs>
                <w:tab w:val="clear" w:pos="567"/>
              </w:tabs>
              <w:overflowPunct w:val="true"/>
              <w:jc w:val="right"/>
              <w:rPr>
                <w:rFonts w:cs="Times New Roman"/>
              </w:rPr>
            </w:pPr>
            <w:r>
              <w:rPr>
                <w:rFonts w:cs="Times New Roman"/>
              </w:rPr>
            </w:r>
          </w:p>
          <w:p>
            <w:pPr>
              <w:pStyle w:val="F21"/>
              <w:tabs>
                <w:tab w:val="clear" w:pos="567"/>
              </w:tabs>
              <w:overflowPunct w:val="true"/>
              <w:jc w:val="right"/>
              <w:rPr>
                <w:rFonts w:cs="Times New Roman"/>
              </w:rPr>
            </w:pPr>
            <w:r>
              <w:rPr>
                <w:rFonts w:cs="Times New Roman"/>
              </w:rPr>
              <w:t>2019</w:t>
            </w:r>
            <w:r>
              <w:rPr>
                <w:rFonts w:cs="Times New Roman"/>
              </w:rPr>
              <w:t>年第</w:t>
            </w:r>
            <w:r>
              <w:rPr>
                <w:rFonts w:cs="Times New Roman"/>
              </w:rPr>
              <w:t>52</w:t>
            </w:r>
            <w:r>
              <w:rPr>
                <w:rFonts w:cs="Times New Roman"/>
              </w:rPr>
              <w:t>號</w:t>
            </w:r>
          </w:p>
        </w:tc>
      </w:tr>
      <w:tr>
        <w:trPr/>
        <w:tc>
          <w:tcPr>
            <w:tcW w:w="7013" w:type="dxa"/>
            <w:gridSpan w:val="2"/>
            <w:tcBorders/>
          </w:tcPr>
          <w:p>
            <w:pPr>
              <w:pStyle w:val="Normal"/>
              <w:tabs>
                <w:tab w:val="left" w:pos="720" w:leader="none"/>
                <w:tab w:val="right" w:pos="7201" w:leader="dot"/>
              </w:tabs>
              <w:overflowPunct w:val="true"/>
              <w:spacing w:lineRule="atLeast" w:line="340"/>
              <w:jc w:val="left"/>
              <w:rPr/>
            </w:pPr>
            <w:r>
              <w:rPr/>
              <w:t>Subsidiary Legislation/Instruments</w:t>
            </w:r>
          </w:p>
        </w:tc>
        <w:tc>
          <w:tcPr>
            <w:tcW w:w="2220" w:type="dxa"/>
            <w:tcBorders/>
            <w:vAlign w:val="bottom"/>
          </w:tcPr>
          <w:p>
            <w:pPr>
              <w:pStyle w:val="Normal"/>
              <w:tabs>
                <w:tab w:val="left" w:pos="720" w:leader="none"/>
                <w:tab w:val="right" w:pos="7201" w:leader="dot"/>
              </w:tabs>
              <w:overflowPunct w:val="true"/>
              <w:spacing w:lineRule="atLeast" w:line="340"/>
              <w:jc w:val="right"/>
              <w:rPr/>
            </w:pPr>
            <w:r>
              <w:rPr>
                <w:i/>
              </w:rPr>
              <w:t>Legal Notice No.</w:t>
            </w:r>
          </w:p>
        </w:tc>
      </w:tr>
      <w:tr>
        <w:trPr/>
        <w:tc>
          <w:tcPr>
            <w:tcW w:w="7013" w:type="dxa"/>
            <w:gridSpan w:val="2"/>
            <w:tcBorders/>
          </w:tcPr>
          <w:p>
            <w:pPr>
              <w:pStyle w:val="Normal"/>
              <w:tabs>
                <w:tab w:val="left" w:pos="720" w:leader="none"/>
                <w:tab w:val="right" w:pos="7201" w:leader="dot"/>
              </w:tabs>
              <w:overflowPunct w:val="true"/>
              <w:spacing w:lineRule="atLeast" w:line="340"/>
              <w:ind w:left="1571" w:hanging="851"/>
              <w:jc w:val="left"/>
              <w:rPr/>
            </w:pPr>
            <w:r>
              <w:rPr/>
            </w:r>
          </w:p>
        </w:tc>
        <w:tc>
          <w:tcPr>
            <w:tcW w:w="2220" w:type="dxa"/>
            <w:tcBorders/>
            <w:vAlign w:val="bottom"/>
          </w:tcPr>
          <w:p>
            <w:pPr>
              <w:pStyle w:val="Normal"/>
              <w:tabs>
                <w:tab w:val="left" w:pos="720" w:leader="none"/>
                <w:tab w:val="right" w:pos="7201" w:leader="dot"/>
              </w:tabs>
              <w:overflowPunct w:val="true"/>
              <w:spacing w:lineRule="atLeast" w:line="340"/>
              <w:jc w:val="right"/>
              <w:rPr/>
            </w:pPr>
            <w:r>
              <w:rPr/>
            </w:r>
          </w:p>
        </w:tc>
      </w:tr>
      <w:tr>
        <w:trPr/>
        <w:tc>
          <w:tcPr>
            <w:tcW w:w="7013" w:type="dxa"/>
            <w:gridSpan w:val="2"/>
            <w:tcBorders/>
          </w:tcPr>
          <w:p>
            <w:pPr>
              <w:pStyle w:val="Normal"/>
              <w:tabs>
                <w:tab w:val="left" w:pos="720" w:leader="none"/>
                <w:tab w:val="right" w:pos="6946" w:leader="dot"/>
              </w:tabs>
              <w:overflowPunct w:val="true"/>
              <w:spacing w:lineRule="atLeast" w:line="340"/>
              <w:ind w:left="1571" w:hanging="851"/>
              <w:jc w:val="left"/>
              <w:rPr/>
            </w:pPr>
            <w:r>
              <w:rPr/>
              <w:t>Insurance (Prescribed Fees) (Amendment)</w:t>
              <w:br/>
              <w:t>Regulation 2019</w:t>
              <w:tab/>
            </w:r>
          </w:p>
        </w:tc>
        <w:tc>
          <w:tcPr>
            <w:tcW w:w="2220" w:type="dxa"/>
            <w:tcBorders/>
            <w:vAlign w:val="bottom"/>
          </w:tcPr>
          <w:p>
            <w:pPr>
              <w:pStyle w:val="Normal"/>
              <w:tabs>
                <w:tab w:val="left" w:pos="720" w:leader="none"/>
                <w:tab w:val="right" w:pos="7201" w:leader="dot"/>
              </w:tabs>
              <w:overflowPunct w:val="true"/>
              <w:spacing w:lineRule="atLeast" w:line="340"/>
              <w:ind w:right="57" w:hanging="0"/>
              <w:jc w:val="right"/>
              <w:rPr/>
            </w:pPr>
            <w:r>
              <w:rPr/>
              <w:t>43 of 2019</w:t>
            </w:r>
          </w:p>
        </w:tc>
      </w:tr>
      <w:tr>
        <w:trPr/>
        <w:tc>
          <w:tcPr>
            <w:tcW w:w="7013" w:type="dxa"/>
            <w:gridSpan w:val="2"/>
            <w:tcBorders/>
          </w:tcPr>
          <w:p>
            <w:pPr>
              <w:pStyle w:val="Normal"/>
              <w:tabs>
                <w:tab w:val="left" w:pos="720" w:leader="none"/>
                <w:tab w:val="right" w:pos="6946" w:leader="dot"/>
              </w:tabs>
              <w:overflowPunct w:val="true"/>
              <w:spacing w:lineRule="atLeast" w:line="340"/>
              <w:ind w:left="1571" w:hanging="851"/>
              <w:jc w:val="left"/>
              <w:rPr/>
            </w:pPr>
            <w:r>
              <w:rPr/>
            </w:r>
          </w:p>
        </w:tc>
        <w:tc>
          <w:tcPr>
            <w:tcW w:w="2220" w:type="dxa"/>
            <w:tcBorders/>
            <w:vAlign w:val="bottom"/>
          </w:tcPr>
          <w:p>
            <w:pPr>
              <w:pStyle w:val="Normal"/>
              <w:tabs>
                <w:tab w:val="left" w:pos="720" w:leader="none"/>
                <w:tab w:val="right" w:pos="7201" w:leader="dot"/>
              </w:tabs>
              <w:overflowPunct w:val="true"/>
              <w:spacing w:lineRule="atLeast" w:line="340"/>
              <w:ind w:right="57" w:hanging="0"/>
              <w:jc w:val="right"/>
              <w:rPr/>
            </w:pPr>
            <w:r>
              <w:rPr/>
            </w:r>
          </w:p>
        </w:tc>
      </w:tr>
      <w:tr>
        <w:trPr/>
        <w:tc>
          <w:tcPr>
            <w:tcW w:w="7013" w:type="dxa"/>
            <w:gridSpan w:val="2"/>
            <w:tcBorders/>
          </w:tcPr>
          <w:p>
            <w:pPr>
              <w:pStyle w:val="Normal"/>
              <w:tabs>
                <w:tab w:val="left" w:pos="720" w:leader="none"/>
                <w:tab w:val="right" w:pos="6946" w:leader="dot"/>
              </w:tabs>
              <w:overflowPunct w:val="true"/>
              <w:spacing w:lineRule="atLeast" w:line="340"/>
              <w:ind w:left="1571" w:hanging="851"/>
              <w:jc w:val="left"/>
              <w:rPr/>
            </w:pPr>
            <w:r>
              <w:rPr/>
              <w:t>Merchant Shipping (Safety) (Ships Operating in</w:t>
              <w:br/>
              <w:t>Polar Waters) Regulation</w:t>
              <w:tab/>
            </w:r>
          </w:p>
        </w:tc>
        <w:tc>
          <w:tcPr>
            <w:tcW w:w="2220" w:type="dxa"/>
            <w:tcBorders/>
            <w:vAlign w:val="bottom"/>
          </w:tcPr>
          <w:p>
            <w:pPr>
              <w:pStyle w:val="Normal"/>
              <w:tabs>
                <w:tab w:val="left" w:pos="720" w:leader="none"/>
                <w:tab w:val="right" w:pos="7201" w:leader="dot"/>
              </w:tabs>
              <w:overflowPunct w:val="true"/>
              <w:spacing w:lineRule="atLeast" w:line="340"/>
              <w:ind w:right="57" w:hanging="0"/>
              <w:jc w:val="right"/>
              <w:rPr/>
            </w:pPr>
            <w:r>
              <w:rPr/>
              <w:t>44 of 2019</w:t>
            </w:r>
          </w:p>
        </w:tc>
      </w:tr>
      <w:tr>
        <w:trPr/>
        <w:tc>
          <w:tcPr>
            <w:tcW w:w="7013" w:type="dxa"/>
            <w:gridSpan w:val="2"/>
            <w:tcBorders/>
          </w:tcPr>
          <w:p>
            <w:pPr>
              <w:pStyle w:val="Normal"/>
              <w:tabs>
                <w:tab w:val="left" w:pos="720" w:leader="none"/>
                <w:tab w:val="right" w:pos="6946" w:leader="dot"/>
              </w:tabs>
              <w:overflowPunct w:val="true"/>
              <w:spacing w:lineRule="atLeast" w:line="340"/>
              <w:ind w:left="1571" w:hanging="851"/>
              <w:jc w:val="left"/>
              <w:rPr/>
            </w:pPr>
            <w:r>
              <w:rPr/>
            </w:r>
          </w:p>
        </w:tc>
        <w:tc>
          <w:tcPr>
            <w:tcW w:w="2220" w:type="dxa"/>
            <w:tcBorders/>
            <w:vAlign w:val="bottom"/>
          </w:tcPr>
          <w:p>
            <w:pPr>
              <w:pStyle w:val="Normal"/>
              <w:tabs>
                <w:tab w:val="left" w:pos="720" w:leader="none"/>
                <w:tab w:val="right" w:pos="7201" w:leader="dot"/>
              </w:tabs>
              <w:overflowPunct w:val="true"/>
              <w:spacing w:lineRule="atLeast" w:line="340"/>
              <w:ind w:right="57" w:hanging="0"/>
              <w:jc w:val="right"/>
              <w:rPr/>
            </w:pPr>
            <w:r>
              <w:rPr/>
            </w:r>
          </w:p>
        </w:tc>
      </w:tr>
      <w:tr>
        <w:trPr/>
        <w:tc>
          <w:tcPr>
            <w:tcW w:w="7013" w:type="dxa"/>
            <w:gridSpan w:val="2"/>
            <w:tcBorders/>
          </w:tcPr>
          <w:p>
            <w:pPr>
              <w:pStyle w:val="Normal"/>
              <w:tabs>
                <w:tab w:val="left" w:pos="720" w:leader="none"/>
                <w:tab w:val="right" w:pos="6946" w:leader="dot"/>
              </w:tabs>
              <w:overflowPunct w:val="true"/>
              <w:spacing w:lineRule="atLeast" w:line="340"/>
              <w:ind w:left="1571" w:hanging="851"/>
              <w:jc w:val="left"/>
              <w:rPr/>
            </w:pPr>
            <w:r>
              <w:rPr/>
              <w:t>Merchant Shipping (Prevention of Oil Pollution) (Amendment) Regulation 2019</w:t>
              <w:tab/>
            </w:r>
          </w:p>
        </w:tc>
        <w:tc>
          <w:tcPr>
            <w:tcW w:w="2220" w:type="dxa"/>
            <w:tcBorders/>
            <w:vAlign w:val="bottom"/>
          </w:tcPr>
          <w:p>
            <w:pPr>
              <w:pStyle w:val="Normal"/>
              <w:tabs>
                <w:tab w:val="left" w:pos="720" w:leader="none"/>
                <w:tab w:val="right" w:pos="7201" w:leader="dot"/>
              </w:tabs>
              <w:overflowPunct w:val="true"/>
              <w:spacing w:lineRule="atLeast" w:line="340"/>
              <w:ind w:right="57" w:hanging="0"/>
              <w:jc w:val="right"/>
              <w:rPr/>
            </w:pPr>
            <w:r>
              <w:rPr/>
              <w:t>45 of 2019</w:t>
            </w:r>
          </w:p>
        </w:tc>
      </w:tr>
      <w:tr>
        <w:trPr/>
        <w:tc>
          <w:tcPr>
            <w:tcW w:w="7013" w:type="dxa"/>
            <w:gridSpan w:val="2"/>
            <w:tcBorders/>
          </w:tcPr>
          <w:p>
            <w:pPr>
              <w:pStyle w:val="Normal"/>
              <w:tabs>
                <w:tab w:val="left" w:pos="720" w:leader="none"/>
                <w:tab w:val="right" w:pos="6946" w:leader="dot"/>
              </w:tabs>
              <w:overflowPunct w:val="true"/>
              <w:spacing w:lineRule="atLeast" w:line="340"/>
              <w:ind w:left="1571" w:hanging="851"/>
              <w:jc w:val="left"/>
              <w:rPr/>
            </w:pPr>
            <w:r>
              <w:rPr/>
            </w:r>
          </w:p>
        </w:tc>
        <w:tc>
          <w:tcPr>
            <w:tcW w:w="2220" w:type="dxa"/>
            <w:tcBorders/>
            <w:vAlign w:val="bottom"/>
          </w:tcPr>
          <w:p>
            <w:pPr>
              <w:pStyle w:val="Normal"/>
              <w:tabs>
                <w:tab w:val="left" w:pos="720" w:leader="none"/>
                <w:tab w:val="right" w:pos="7201" w:leader="dot"/>
              </w:tabs>
              <w:overflowPunct w:val="true"/>
              <w:spacing w:lineRule="atLeast" w:line="340"/>
              <w:ind w:right="57" w:hanging="0"/>
              <w:jc w:val="right"/>
              <w:rPr/>
            </w:pPr>
            <w:r>
              <w:rPr/>
            </w:r>
          </w:p>
        </w:tc>
      </w:tr>
      <w:tr>
        <w:trPr/>
        <w:tc>
          <w:tcPr>
            <w:tcW w:w="7013" w:type="dxa"/>
            <w:gridSpan w:val="2"/>
            <w:tcBorders/>
          </w:tcPr>
          <w:p>
            <w:pPr>
              <w:pStyle w:val="Normal"/>
              <w:tabs>
                <w:tab w:val="left" w:pos="720" w:leader="none"/>
                <w:tab w:val="right" w:pos="6946" w:leader="dot"/>
              </w:tabs>
              <w:overflowPunct w:val="true"/>
              <w:spacing w:lineRule="atLeast" w:line="340"/>
              <w:ind w:left="1571" w:hanging="851"/>
              <w:jc w:val="left"/>
              <w:rPr/>
            </w:pPr>
            <w:r>
              <w:rPr/>
              <w:t>Merchant Shipping (Control of Pollution by Noxious Liquid Substances in Bulk) (Amendment) Regulation 2019</w:t>
              <w:tab/>
            </w:r>
          </w:p>
        </w:tc>
        <w:tc>
          <w:tcPr>
            <w:tcW w:w="2220" w:type="dxa"/>
            <w:tcBorders/>
            <w:vAlign w:val="bottom"/>
          </w:tcPr>
          <w:p>
            <w:pPr>
              <w:pStyle w:val="Normal"/>
              <w:tabs>
                <w:tab w:val="left" w:pos="720" w:leader="none"/>
                <w:tab w:val="right" w:pos="7201" w:leader="dot"/>
              </w:tabs>
              <w:overflowPunct w:val="true"/>
              <w:spacing w:lineRule="atLeast" w:line="340"/>
              <w:ind w:right="57" w:hanging="0"/>
              <w:jc w:val="right"/>
              <w:rPr/>
            </w:pPr>
            <w:r>
              <w:rPr/>
              <w:t>46 of 2019</w:t>
            </w:r>
          </w:p>
        </w:tc>
      </w:tr>
      <w:tr>
        <w:trPr/>
        <w:tc>
          <w:tcPr>
            <w:tcW w:w="7013" w:type="dxa"/>
            <w:gridSpan w:val="2"/>
            <w:tcBorders/>
          </w:tcPr>
          <w:p>
            <w:pPr>
              <w:pStyle w:val="Normal"/>
              <w:tabs>
                <w:tab w:val="left" w:pos="720" w:leader="none"/>
                <w:tab w:val="right" w:pos="6946" w:leader="dot"/>
              </w:tabs>
              <w:overflowPunct w:val="true"/>
              <w:spacing w:lineRule="atLeast" w:line="340"/>
              <w:ind w:left="1571" w:hanging="851"/>
              <w:jc w:val="left"/>
              <w:rPr/>
            </w:pPr>
            <w:r>
              <w:rPr/>
            </w:r>
          </w:p>
        </w:tc>
        <w:tc>
          <w:tcPr>
            <w:tcW w:w="2220" w:type="dxa"/>
            <w:tcBorders/>
            <w:vAlign w:val="bottom"/>
          </w:tcPr>
          <w:p>
            <w:pPr>
              <w:pStyle w:val="Normal"/>
              <w:tabs>
                <w:tab w:val="left" w:pos="720" w:leader="none"/>
                <w:tab w:val="right" w:pos="7201" w:leader="dot"/>
              </w:tabs>
              <w:overflowPunct w:val="true"/>
              <w:spacing w:lineRule="atLeast" w:line="340"/>
              <w:ind w:right="57" w:hanging="0"/>
              <w:jc w:val="right"/>
              <w:rPr/>
            </w:pPr>
            <w:r>
              <w:rPr/>
            </w:r>
          </w:p>
        </w:tc>
      </w:tr>
      <w:tr>
        <w:trPr/>
        <w:tc>
          <w:tcPr>
            <w:tcW w:w="7013" w:type="dxa"/>
            <w:gridSpan w:val="2"/>
            <w:tcBorders/>
          </w:tcPr>
          <w:p>
            <w:pPr>
              <w:pStyle w:val="Normal"/>
              <w:tabs>
                <w:tab w:val="left" w:pos="720" w:leader="none"/>
                <w:tab w:val="right" w:pos="6946" w:leader="dot"/>
              </w:tabs>
              <w:overflowPunct w:val="true"/>
              <w:spacing w:lineRule="atLeast" w:line="340"/>
              <w:ind w:left="1571" w:hanging="851"/>
              <w:jc w:val="left"/>
              <w:rPr/>
            </w:pPr>
            <w:r>
              <w:rPr/>
              <w:t>Merchant Shipping (Prevention of Pollution by Sewage) (Amendment) Regulation 2019</w:t>
              <w:tab/>
            </w:r>
          </w:p>
        </w:tc>
        <w:tc>
          <w:tcPr>
            <w:tcW w:w="2220" w:type="dxa"/>
            <w:tcBorders/>
            <w:vAlign w:val="bottom"/>
          </w:tcPr>
          <w:p>
            <w:pPr>
              <w:pStyle w:val="Normal"/>
              <w:tabs>
                <w:tab w:val="left" w:pos="720" w:leader="none"/>
                <w:tab w:val="right" w:pos="7201" w:leader="dot"/>
              </w:tabs>
              <w:overflowPunct w:val="true"/>
              <w:spacing w:lineRule="atLeast" w:line="340"/>
              <w:ind w:right="57" w:hanging="0"/>
              <w:jc w:val="right"/>
              <w:rPr/>
            </w:pPr>
            <w:r>
              <w:rPr/>
              <w:t>47 of 2019</w:t>
            </w:r>
          </w:p>
        </w:tc>
      </w:tr>
      <w:tr>
        <w:trPr/>
        <w:tc>
          <w:tcPr>
            <w:tcW w:w="7013" w:type="dxa"/>
            <w:gridSpan w:val="2"/>
            <w:tcBorders/>
          </w:tcPr>
          <w:p>
            <w:pPr>
              <w:pStyle w:val="Normal"/>
              <w:tabs>
                <w:tab w:val="left" w:pos="720" w:leader="none"/>
                <w:tab w:val="right" w:pos="6946" w:leader="dot"/>
              </w:tabs>
              <w:overflowPunct w:val="true"/>
              <w:spacing w:lineRule="atLeast" w:line="340"/>
              <w:ind w:left="1571" w:hanging="851"/>
              <w:jc w:val="left"/>
              <w:rPr/>
            </w:pPr>
            <w:r>
              <w:rPr/>
            </w:r>
          </w:p>
        </w:tc>
        <w:tc>
          <w:tcPr>
            <w:tcW w:w="2220" w:type="dxa"/>
            <w:tcBorders/>
            <w:vAlign w:val="bottom"/>
          </w:tcPr>
          <w:p>
            <w:pPr>
              <w:pStyle w:val="Normal"/>
              <w:tabs>
                <w:tab w:val="left" w:pos="720" w:leader="none"/>
                <w:tab w:val="right" w:pos="7201" w:leader="dot"/>
              </w:tabs>
              <w:overflowPunct w:val="true"/>
              <w:spacing w:lineRule="atLeast" w:line="340"/>
              <w:ind w:right="57" w:hanging="0"/>
              <w:jc w:val="right"/>
              <w:rPr/>
            </w:pPr>
            <w:r>
              <w:rPr/>
            </w:r>
          </w:p>
        </w:tc>
      </w:tr>
      <w:tr>
        <w:trPr/>
        <w:tc>
          <w:tcPr>
            <w:tcW w:w="7013" w:type="dxa"/>
            <w:gridSpan w:val="2"/>
            <w:tcBorders/>
          </w:tcPr>
          <w:p>
            <w:pPr>
              <w:pStyle w:val="Normal"/>
              <w:tabs>
                <w:tab w:val="left" w:pos="720" w:leader="none"/>
                <w:tab w:val="right" w:pos="6946" w:leader="dot"/>
              </w:tabs>
              <w:overflowPunct w:val="true"/>
              <w:spacing w:lineRule="atLeast" w:line="340"/>
              <w:ind w:left="1571" w:hanging="851"/>
              <w:jc w:val="left"/>
              <w:rPr/>
            </w:pPr>
            <w:r>
              <w:rPr/>
              <w:t>Merchant Shipping (Prevention of Pollution by Garbage) (Amendment) Regulation 2019</w:t>
              <w:tab/>
            </w:r>
          </w:p>
        </w:tc>
        <w:tc>
          <w:tcPr>
            <w:tcW w:w="2220" w:type="dxa"/>
            <w:tcBorders/>
            <w:vAlign w:val="bottom"/>
          </w:tcPr>
          <w:p>
            <w:pPr>
              <w:pStyle w:val="Normal"/>
              <w:tabs>
                <w:tab w:val="left" w:pos="720" w:leader="none"/>
                <w:tab w:val="right" w:pos="7201" w:leader="dot"/>
              </w:tabs>
              <w:overflowPunct w:val="true"/>
              <w:spacing w:lineRule="atLeast" w:line="340"/>
              <w:ind w:right="57" w:hanging="0"/>
              <w:jc w:val="right"/>
              <w:rPr/>
            </w:pPr>
            <w:r>
              <w:rPr/>
              <w:t>48 of 2019</w:t>
            </w:r>
          </w:p>
        </w:tc>
      </w:tr>
      <w:tr>
        <w:trPr/>
        <w:tc>
          <w:tcPr>
            <w:tcW w:w="7013" w:type="dxa"/>
            <w:gridSpan w:val="2"/>
            <w:tcBorders/>
          </w:tcPr>
          <w:p>
            <w:pPr>
              <w:pStyle w:val="Normal"/>
              <w:tabs>
                <w:tab w:val="left" w:pos="720" w:leader="none"/>
                <w:tab w:val="right" w:pos="6946" w:leader="dot"/>
              </w:tabs>
              <w:overflowPunct w:val="true"/>
              <w:spacing w:lineRule="atLeast" w:line="340"/>
              <w:ind w:left="1571" w:hanging="851"/>
              <w:jc w:val="left"/>
              <w:rPr/>
            </w:pPr>
            <w:r>
              <w:rPr/>
            </w:r>
          </w:p>
        </w:tc>
        <w:tc>
          <w:tcPr>
            <w:tcW w:w="2220" w:type="dxa"/>
            <w:tcBorders/>
            <w:vAlign w:val="bottom"/>
          </w:tcPr>
          <w:p>
            <w:pPr>
              <w:pStyle w:val="Normal"/>
              <w:tabs>
                <w:tab w:val="left" w:pos="720" w:leader="none"/>
                <w:tab w:val="right" w:pos="7201" w:leader="dot"/>
              </w:tabs>
              <w:overflowPunct w:val="true"/>
              <w:spacing w:lineRule="atLeast" w:line="340"/>
              <w:ind w:right="57" w:hanging="0"/>
              <w:jc w:val="right"/>
              <w:rPr/>
            </w:pPr>
            <w:r>
              <w:rPr/>
            </w:r>
          </w:p>
        </w:tc>
      </w:tr>
      <w:tr>
        <w:trPr/>
        <w:tc>
          <w:tcPr>
            <w:tcW w:w="7013" w:type="dxa"/>
            <w:gridSpan w:val="2"/>
            <w:tcBorders/>
          </w:tcPr>
          <w:p>
            <w:pPr>
              <w:pStyle w:val="Normal"/>
              <w:tabs>
                <w:tab w:val="left" w:pos="720" w:leader="none"/>
                <w:tab w:val="right" w:pos="6946" w:leader="dot"/>
              </w:tabs>
              <w:overflowPunct w:val="true"/>
              <w:spacing w:lineRule="atLeast" w:line="340"/>
              <w:ind w:left="1571" w:hanging="851"/>
              <w:jc w:val="left"/>
              <w:rPr/>
            </w:pPr>
            <w:r>
              <w:rPr/>
              <w:t>Toys and Children's Products Safety Ordinance (Amendment of Schedules 1 and 2)</w:t>
              <w:br/>
              <w:t>Notice 2019</w:t>
              <w:tab/>
            </w:r>
          </w:p>
        </w:tc>
        <w:tc>
          <w:tcPr>
            <w:tcW w:w="2220" w:type="dxa"/>
            <w:tcBorders/>
            <w:vAlign w:val="bottom"/>
          </w:tcPr>
          <w:p>
            <w:pPr>
              <w:pStyle w:val="Normal"/>
              <w:tabs>
                <w:tab w:val="left" w:pos="720" w:leader="none"/>
                <w:tab w:val="right" w:pos="7201" w:leader="dot"/>
              </w:tabs>
              <w:overflowPunct w:val="true"/>
              <w:spacing w:lineRule="atLeast" w:line="340"/>
              <w:ind w:right="57" w:hanging="0"/>
              <w:jc w:val="right"/>
              <w:rPr/>
            </w:pPr>
            <w:r>
              <w:rPr/>
              <w:t>49 of 2019</w:t>
            </w:r>
          </w:p>
        </w:tc>
      </w:tr>
      <w:tr>
        <w:trPr/>
        <w:tc>
          <w:tcPr>
            <w:tcW w:w="7013" w:type="dxa"/>
            <w:gridSpan w:val="2"/>
            <w:tcBorders/>
          </w:tcPr>
          <w:p>
            <w:pPr>
              <w:pStyle w:val="Normal"/>
              <w:tabs>
                <w:tab w:val="left" w:pos="720" w:leader="none"/>
                <w:tab w:val="right" w:pos="6946" w:leader="dot"/>
              </w:tabs>
              <w:overflowPunct w:val="true"/>
              <w:spacing w:lineRule="atLeast" w:line="340"/>
              <w:ind w:left="1571" w:hanging="851"/>
              <w:jc w:val="left"/>
              <w:rPr/>
            </w:pPr>
            <w:r>
              <w:rPr/>
            </w:r>
          </w:p>
        </w:tc>
        <w:tc>
          <w:tcPr>
            <w:tcW w:w="2220" w:type="dxa"/>
            <w:tcBorders/>
            <w:vAlign w:val="bottom"/>
          </w:tcPr>
          <w:p>
            <w:pPr>
              <w:pStyle w:val="Normal"/>
              <w:tabs>
                <w:tab w:val="left" w:pos="720" w:leader="none"/>
                <w:tab w:val="right" w:pos="7201" w:leader="dot"/>
              </w:tabs>
              <w:overflowPunct w:val="true"/>
              <w:spacing w:lineRule="atLeast" w:line="340"/>
              <w:ind w:right="57" w:hanging="0"/>
              <w:jc w:val="right"/>
              <w:rPr/>
            </w:pPr>
            <w:r>
              <w:rPr/>
            </w:r>
          </w:p>
        </w:tc>
      </w:tr>
      <w:tr>
        <w:trPr/>
        <w:tc>
          <w:tcPr>
            <w:tcW w:w="7013" w:type="dxa"/>
            <w:gridSpan w:val="2"/>
            <w:tcBorders/>
          </w:tcPr>
          <w:p>
            <w:pPr>
              <w:pStyle w:val="Normal"/>
              <w:tabs>
                <w:tab w:val="left" w:pos="720" w:leader="none"/>
                <w:tab w:val="right" w:pos="6946" w:leader="dot"/>
              </w:tabs>
              <w:overflowPunct w:val="true"/>
              <w:spacing w:lineRule="atLeast" w:line="340"/>
              <w:ind w:left="1571" w:hanging="851"/>
              <w:jc w:val="left"/>
              <w:rPr>
                <w:spacing w:val="-2"/>
              </w:rPr>
            </w:pPr>
            <w:r>
              <w:rPr>
                <w:spacing w:val="-2"/>
              </w:rPr>
              <w:t>Registration of Persons (Application for New Identity Cards) Order 2018 (Amendment) Order 2019</w:t>
              <w:tab/>
            </w:r>
          </w:p>
        </w:tc>
        <w:tc>
          <w:tcPr>
            <w:tcW w:w="2220" w:type="dxa"/>
            <w:tcBorders/>
            <w:vAlign w:val="bottom"/>
          </w:tcPr>
          <w:p>
            <w:pPr>
              <w:pStyle w:val="Normal"/>
              <w:tabs>
                <w:tab w:val="left" w:pos="720" w:leader="none"/>
                <w:tab w:val="right" w:pos="7201" w:leader="dot"/>
              </w:tabs>
              <w:overflowPunct w:val="true"/>
              <w:spacing w:lineRule="atLeast" w:line="340"/>
              <w:ind w:right="57" w:hanging="0"/>
              <w:jc w:val="right"/>
              <w:rPr/>
            </w:pPr>
            <w:r>
              <w:rPr/>
              <w:t>50 of 2019</w:t>
            </w:r>
          </w:p>
        </w:tc>
      </w:tr>
      <w:tr>
        <w:trPr/>
        <w:tc>
          <w:tcPr>
            <w:tcW w:w="7013" w:type="dxa"/>
            <w:gridSpan w:val="2"/>
            <w:tcBorders/>
          </w:tcPr>
          <w:p>
            <w:pPr>
              <w:pStyle w:val="Normal"/>
              <w:tabs>
                <w:tab w:val="left" w:pos="720" w:leader="none"/>
                <w:tab w:val="right" w:pos="6946" w:leader="dot"/>
              </w:tabs>
              <w:overflowPunct w:val="true"/>
              <w:spacing w:lineRule="atLeast" w:line="340"/>
              <w:ind w:left="1571" w:hanging="851"/>
              <w:jc w:val="left"/>
              <w:rPr/>
            </w:pPr>
            <w:r>
              <w:rPr/>
            </w:r>
          </w:p>
        </w:tc>
        <w:tc>
          <w:tcPr>
            <w:tcW w:w="2220" w:type="dxa"/>
            <w:tcBorders/>
            <w:vAlign w:val="bottom"/>
          </w:tcPr>
          <w:p>
            <w:pPr>
              <w:pStyle w:val="Normal"/>
              <w:tabs>
                <w:tab w:val="left" w:pos="720" w:leader="none"/>
                <w:tab w:val="right" w:pos="7201" w:leader="dot"/>
              </w:tabs>
              <w:overflowPunct w:val="true"/>
              <w:spacing w:lineRule="atLeast" w:line="340"/>
              <w:ind w:right="57" w:hanging="0"/>
              <w:jc w:val="right"/>
              <w:rPr/>
            </w:pPr>
            <w:r>
              <w:rPr/>
            </w:r>
          </w:p>
        </w:tc>
      </w:tr>
      <w:tr>
        <w:trPr/>
        <w:tc>
          <w:tcPr>
            <w:tcW w:w="7013" w:type="dxa"/>
            <w:gridSpan w:val="2"/>
            <w:tcBorders/>
          </w:tcPr>
          <w:p>
            <w:pPr>
              <w:pStyle w:val="Normal"/>
              <w:tabs>
                <w:tab w:val="left" w:pos="720" w:leader="none"/>
                <w:tab w:val="right" w:pos="6946" w:leader="dot"/>
              </w:tabs>
              <w:overflowPunct w:val="true"/>
              <w:spacing w:lineRule="atLeast" w:line="340"/>
              <w:ind w:left="1571" w:hanging="851"/>
              <w:jc w:val="left"/>
              <w:rPr/>
            </w:pPr>
            <w:r>
              <w:rPr/>
              <w:t>Solicitors (Professional Indemnity) (Amendment)</w:t>
              <w:br/>
              <w:t>Rules 2019</w:t>
              <w:tab/>
            </w:r>
          </w:p>
        </w:tc>
        <w:tc>
          <w:tcPr>
            <w:tcW w:w="2220" w:type="dxa"/>
            <w:tcBorders/>
            <w:vAlign w:val="bottom"/>
          </w:tcPr>
          <w:p>
            <w:pPr>
              <w:pStyle w:val="Normal"/>
              <w:tabs>
                <w:tab w:val="left" w:pos="720" w:leader="none"/>
                <w:tab w:val="right" w:pos="7201" w:leader="dot"/>
              </w:tabs>
              <w:overflowPunct w:val="true"/>
              <w:spacing w:lineRule="atLeast" w:line="340"/>
              <w:ind w:right="57" w:hanging="0"/>
              <w:jc w:val="right"/>
              <w:rPr/>
            </w:pPr>
            <w:r>
              <w:rPr/>
              <w:t>51 of 2019</w:t>
            </w:r>
          </w:p>
        </w:tc>
      </w:tr>
      <w:tr>
        <w:trPr/>
        <w:tc>
          <w:tcPr>
            <w:tcW w:w="7013" w:type="dxa"/>
            <w:gridSpan w:val="2"/>
            <w:tcBorders/>
          </w:tcPr>
          <w:p>
            <w:pPr>
              <w:pStyle w:val="Normal"/>
              <w:tabs>
                <w:tab w:val="left" w:pos="720" w:leader="none"/>
                <w:tab w:val="right" w:pos="6946" w:leader="dot"/>
              </w:tabs>
              <w:overflowPunct w:val="true"/>
              <w:spacing w:lineRule="atLeast" w:line="340"/>
              <w:ind w:left="1571" w:hanging="851"/>
              <w:jc w:val="left"/>
              <w:rPr/>
            </w:pPr>
            <w:r>
              <w:rPr/>
            </w:r>
          </w:p>
        </w:tc>
        <w:tc>
          <w:tcPr>
            <w:tcW w:w="2220" w:type="dxa"/>
            <w:tcBorders/>
            <w:vAlign w:val="bottom"/>
          </w:tcPr>
          <w:p>
            <w:pPr>
              <w:pStyle w:val="Normal"/>
              <w:tabs>
                <w:tab w:val="left" w:pos="720" w:leader="none"/>
                <w:tab w:val="right" w:pos="7201" w:leader="dot"/>
              </w:tabs>
              <w:overflowPunct w:val="true"/>
              <w:spacing w:lineRule="atLeast" w:line="340"/>
              <w:ind w:right="57" w:hanging="0"/>
              <w:jc w:val="right"/>
              <w:rPr/>
            </w:pPr>
            <w:r>
              <w:rPr/>
            </w:r>
          </w:p>
        </w:tc>
      </w:tr>
      <w:tr>
        <w:trPr/>
        <w:tc>
          <w:tcPr>
            <w:tcW w:w="7013" w:type="dxa"/>
            <w:gridSpan w:val="2"/>
            <w:tcBorders/>
          </w:tcPr>
          <w:p>
            <w:pPr>
              <w:pStyle w:val="Normal"/>
              <w:tabs>
                <w:tab w:val="left" w:pos="720" w:leader="none"/>
                <w:tab w:val="right" w:pos="6946" w:leader="dot"/>
              </w:tabs>
              <w:overflowPunct w:val="true"/>
              <w:spacing w:lineRule="atLeast" w:line="340"/>
              <w:ind w:left="1571" w:hanging="851"/>
              <w:jc w:val="left"/>
              <w:rPr/>
            </w:pPr>
            <w:r>
              <w:rPr/>
              <w:t>Solicitors (Professional Indemnity) (Amendment)</w:t>
              <w:br/>
              <w:t>(No. 2) Rules 2019</w:t>
              <w:tab/>
            </w:r>
          </w:p>
        </w:tc>
        <w:tc>
          <w:tcPr>
            <w:tcW w:w="2220" w:type="dxa"/>
            <w:tcBorders/>
            <w:vAlign w:val="bottom"/>
          </w:tcPr>
          <w:p>
            <w:pPr>
              <w:pStyle w:val="Normal"/>
              <w:tabs>
                <w:tab w:val="left" w:pos="720" w:leader="none"/>
                <w:tab w:val="right" w:pos="7201" w:leader="dot"/>
              </w:tabs>
              <w:overflowPunct w:val="true"/>
              <w:spacing w:lineRule="atLeast" w:line="340"/>
              <w:ind w:right="57" w:hanging="0"/>
              <w:jc w:val="right"/>
              <w:rPr/>
            </w:pPr>
            <w:r>
              <w:rPr/>
              <w:t>52 of 2019</w:t>
            </w:r>
          </w:p>
        </w:tc>
      </w:tr>
    </w:tbl>
    <w:p>
      <w:pPr>
        <w:pStyle w:val="F21"/>
        <w:overflowPunct w:val="true"/>
        <w:rPr>
          <w:rFonts w:cs="Times New Roman"/>
        </w:rPr>
      </w:pPr>
      <w:r>
        <w:rPr>
          <w:rFonts w:cs="Times New Roman"/>
        </w:rPr>
      </w:r>
    </w:p>
    <w:p>
      <w:pPr>
        <w:pStyle w:val="F21"/>
        <w:overflowPunct w:val="true"/>
        <w:rPr>
          <w:rFonts w:cs="Times New Roman"/>
        </w:rPr>
      </w:pPr>
      <w:r>
        <w:rPr>
          <w:rFonts w:cs="Times New Roman"/>
        </w:rPr>
      </w:r>
    </w:p>
    <w:p>
      <w:pPr>
        <w:pStyle w:val="F21"/>
        <w:overflowPunct w:val="true"/>
        <w:rPr>
          <w:rFonts w:cs="Times New Roman"/>
        </w:rPr>
      </w:pPr>
      <w:r>
        <w:rPr>
          <w:rFonts w:cs="Times New Roman"/>
        </w:rPr>
        <w:t>其他文件</w:t>
      </w:r>
    </w:p>
    <w:p>
      <w:pPr>
        <w:pStyle w:val="F21"/>
        <w:overflowPunct w:val="true"/>
        <w:rPr>
          <w:rFonts w:cs="Times New Roman"/>
        </w:rPr>
      </w:pPr>
      <w:r>
        <w:rPr>
          <w:rFonts w:cs="Times New Roman"/>
        </w:rPr>
      </w:r>
    </w:p>
    <w:p>
      <w:pPr>
        <w:pStyle w:val="F21"/>
        <w:tabs>
          <w:tab w:val="left" w:pos="567" w:leader="none"/>
          <w:tab w:val="left" w:pos="1985" w:leader="none"/>
        </w:tabs>
        <w:overflowPunct w:val="true"/>
        <w:spacing w:lineRule="atLeast" w:line="380"/>
        <w:ind w:left="2552" w:hanging="1985"/>
        <w:rPr>
          <w:rFonts w:cs="Times New Roman"/>
        </w:rPr>
      </w:pPr>
      <w:r>
        <w:rPr>
          <w:rFonts w:cs="Times New Roman"/>
        </w:rPr>
        <w:t>優質教育基金</w:t>
      </w:r>
    </w:p>
    <w:p>
      <w:pPr>
        <w:pStyle w:val="F21"/>
        <w:tabs>
          <w:tab w:val="left" w:pos="567" w:leader="none"/>
          <w:tab w:val="left" w:pos="1985" w:leader="none"/>
        </w:tabs>
        <w:overflowPunct w:val="true"/>
        <w:spacing w:lineRule="atLeast" w:line="380"/>
        <w:ind w:left="2552" w:hanging="1985"/>
        <w:rPr>
          <w:rFonts w:cs="Times New Roman"/>
        </w:rPr>
      </w:pPr>
      <w:r>
        <w:rPr>
          <w:rFonts w:cs="Times New Roman"/>
        </w:rPr>
        <w:t>截至</w:t>
      </w:r>
      <w:r>
        <w:rPr>
          <w:rFonts w:cs="Times New Roman"/>
        </w:rPr>
        <w:t>2018</w:t>
      </w:r>
      <w:r>
        <w:rPr>
          <w:rFonts w:cs="Times New Roman"/>
        </w:rPr>
        <w:t>年</w:t>
      </w:r>
      <w:r>
        <w:rPr>
          <w:rFonts w:cs="Times New Roman"/>
        </w:rPr>
        <w:t>8</w:t>
      </w:r>
      <w:r>
        <w:rPr>
          <w:rFonts w:cs="Times New Roman"/>
        </w:rPr>
        <w:t>月</w:t>
      </w:r>
      <w:r>
        <w:rPr>
          <w:rFonts w:cs="Times New Roman"/>
        </w:rPr>
        <w:t>31</w:t>
      </w:r>
      <w:r>
        <w:rPr>
          <w:rFonts w:cs="Times New Roman"/>
        </w:rPr>
        <w:t>日止年度的財務報表</w:t>
      </w:r>
      <w:r>
        <w:rPr>
          <w:rFonts w:cs="Times New Roman"/>
        </w:rPr>
        <w:t>(</w:t>
      </w:r>
      <w:r>
        <w:rPr>
          <w:rFonts w:cs="Times New Roman"/>
        </w:rPr>
        <w:t>包括審計署署長報告</w:t>
      </w:r>
      <w:r>
        <w:rPr>
          <w:rFonts w:cs="Times New Roman"/>
        </w:rPr>
        <w:t>)</w:t>
      </w:r>
    </w:p>
    <w:p>
      <w:pPr>
        <w:pStyle w:val="Normal"/>
        <w:widowControl/>
        <w:tabs>
          <w:tab w:val="clear" w:pos="720"/>
        </w:tabs>
        <w:snapToGrid w:val="true"/>
        <w:spacing w:lineRule="exact" w:line="20"/>
        <w:jc w:val="left"/>
        <w:rPr>
          <w:spacing w:val="20"/>
          <w:sz w:val="27"/>
          <w:szCs w:val="22"/>
          <w:lang w:val="en-US"/>
        </w:rPr>
      </w:pPr>
      <w:r>
        <w:rPr>
          <w:spacing w:val="20"/>
          <w:sz w:val="27"/>
          <w:szCs w:val="22"/>
          <w:lang w:val="en-US"/>
        </w:rPr>
      </w:r>
      <w:r>
        <w:br w:type="page"/>
      </w:r>
    </w:p>
    <w:p>
      <w:pPr>
        <w:pStyle w:val="F21"/>
        <w:tabs>
          <w:tab w:val="left" w:pos="567" w:leader="none"/>
          <w:tab w:val="left" w:pos="1985" w:leader="none"/>
        </w:tabs>
        <w:overflowPunct w:val="true"/>
        <w:spacing w:lineRule="atLeast" w:line="380"/>
        <w:ind w:left="567" w:hanging="0"/>
        <w:rPr>
          <w:rFonts w:cs="Times New Roman"/>
        </w:rPr>
      </w:pPr>
      <w:r>
        <w:rPr>
          <w:rFonts w:cs="Times New Roman"/>
        </w:rPr>
        <w:t>教育發展基金</w:t>
      </w:r>
    </w:p>
    <w:p>
      <w:pPr>
        <w:pStyle w:val="F21"/>
        <w:tabs>
          <w:tab w:val="left" w:pos="567" w:leader="none"/>
          <w:tab w:val="left" w:pos="1985" w:leader="none"/>
        </w:tabs>
        <w:overflowPunct w:val="true"/>
        <w:spacing w:lineRule="atLeast" w:line="380"/>
        <w:ind w:left="567" w:hanging="0"/>
        <w:rPr>
          <w:rFonts w:cs="Times New Roman"/>
        </w:rPr>
      </w:pPr>
      <w:r>
        <w:rPr>
          <w:rFonts w:cs="Times New Roman"/>
        </w:rPr>
        <w:t>截至</w:t>
      </w:r>
      <w:r>
        <w:rPr>
          <w:rFonts w:cs="Times New Roman"/>
        </w:rPr>
        <w:t>2018</w:t>
      </w:r>
      <w:r>
        <w:rPr>
          <w:rFonts w:cs="Times New Roman"/>
        </w:rPr>
        <w:t>年</w:t>
      </w:r>
      <w:r>
        <w:rPr>
          <w:rFonts w:cs="Times New Roman"/>
        </w:rPr>
        <w:t>8</w:t>
      </w:r>
      <w:r>
        <w:rPr>
          <w:rFonts w:cs="Times New Roman"/>
        </w:rPr>
        <w:t>月</w:t>
      </w:r>
      <w:r>
        <w:rPr>
          <w:rFonts w:cs="Times New Roman"/>
        </w:rPr>
        <w:t>31</w:t>
      </w:r>
      <w:r>
        <w:rPr>
          <w:rFonts w:cs="Times New Roman"/>
        </w:rPr>
        <w:t>日止年度的財務報表</w:t>
      </w:r>
      <w:r>
        <w:rPr>
          <w:rFonts w:cs="Times New Roman"/>
        </w:rPr>
        <w:t>(</w:t>
      </w:r>
      <w:r>
        <w:rPr>
          <w:rFonts w:cs="Times New Roman"/>
        </w:rPr>
        <w:t>包括審計署署長報告</w:t>
      </w:r>
      <w:r>
        <w:rPr>
          <w:rFonts w:cs="Times New Roman"/>
        </w:rPr>
        <w:t>)</w:t>
      </w:r>
    </w:p>
    <w:p>
      <w:pPr>
        <w:pStyle w:val="F21"/>
        <w:tabs>
          <w:tab w:val="left" w:pos="567" w:leader="none"/>
          <w:tab w:val="left" w:pos="1985" w:leader="none"/>
        </w:tabs>
        <w:overflowPunct w:val="true"/>
        <w:spacing w:lineRule="atLeast" w:line="380"/>
        <w:ind w:left="567" w:hanging="0"/>
        <w:rPr>
          <w:rFonts w:cs="Times New Roman"/>
        </w:rPr>
      </w:pPr>
      <w:r>
        <w:rPr>
          <w:rFonts w:cs="Times New Roman"/>
        </w:rPr>
      </w:r>
    </w:p>
    <w:p>
      <w:pPr>
        <w:pStyle w:val="F21"/>
        <w:tabs>
          <w:tab w:val="left" w:pos="567" w:leader="none"/>
          <w:tab w:val="left" w:pos="1985" w:leader="none"/>
        </w:tabs>
        <w:overflowPunct w:val="true"/>
        <w:spacing w:lineRule="atLeast" w:line="380"/>
        <w:ind w:left="567" w:hanging="0"/>
        <w:rPr>
          <w:rFonts w:cs="Times New Roman"/>
        </w:rPr>
      </w:pPr>
      <w:r>
        <w:rPr>
          <w:rFonts w:cs="Times New Roman"/>
        </w:rPr>
        <w:t>《</w:t>
      </w:r>
      <w:r>
        <w:rPr>
          <w:rFonts w:cs="Times New Roman"/>
        </w:rPr>
        <w:t>2018</w:t>
      </w:r>
      <w:r>
        <w:rPr>
          <w:rFonts w:cs="Times New Roman"/>
        </w:rPr>
        <w:t>年專業會計師</w:t>
      </w:r>
      <w:r>
        <w:rPr>
          <w:rFonts w:cs="Times New Roman"/>
        </w:rPr>
        <w:t>(</w:t>
      </w:r>
      <w:r>
        <w:rPr>
          <w:rFonts w:cs="Times New Roman"/>
        </w:rPr>
        <w:t>修訂</w:t>
      </w:r>
      <w:r>
        <w:rPr>
          <w:rFonts w:cs="Times New Roman"/>
        </w:rPr>
        <w:t>)</w:t>
      </w:r>
      <w:r>
        <w:rPr>
          <w:rFonts w:cs="Times New Roman"/>
        </w:rPr>
        <w:t>條例草案》委員會報告</w:t>
      </w:r>
    </w:p>
    <w:p>
      <w:pPr>
        <w:pStyle w:val="F21"/>
        <w:overflowPunct w:val="true"/>
        <w:rPr>
          <w:rFonts w:cs="Times New Roman"/>
        </w:rPr>
      </w:pPr>
      <w:r>
        <w:rPr>
          <w:rFonts w:cs="Times New Roman"/>
        </w:rPr>
      </w:r>
    </w:p>
    <w:p>
      <w:pPr>
        <w:pStyle w:val="F21"/>
        <w:overflowPunct w:val="true"/>
        <w:rPr>
          <w:rFonts w:cs="Times New Roman"/>
        </w:rPr>
      </w:pPr>
      <w:r>
        <w:rPr>
          <w:rFonts w:cs="Times New Roman"/>
        </w:rPr>
      </w:r>
    </w:p>
    <w:p>
      <w:pPr>
        <w:pStyle w:val="Normal"/>
        <w:overflowPunct w:val="true"/>
        <w:rPr/>
      </w:pPr>
      <w:r>
        <w:rPr/>
        <w:t>Other Papers</w:t>
      </w:r>
    </w:p>
    <w:p>
      <w:pPr>
        <w:pStyle w:val="F21"/>
        <w:overflowPunct w:val="true"/>
        <w:rPr>
          <w:rFonts w:cs="Times New Roman"/>
        </w:rPr>
      </w:pPr>
      <w:r>
        <w:rPr>
          <w:rFonts w:cs="Times New Roman"/>
        </w:rPr>
      </w:r>
    </w:p>
    <w:tbl>
      <w:tblPr>
        <w:tblW w:w="8442" w:type="dxa"/>
        <w:jc w:val="left"/>
        <w:tblInd w:w="697" w:type="dxa"/>
        <w:tblCellMar>
          <w:top w:w="0" w:type="dxa"/>
          <w:left w:w="0" w:type="dxa"/>
          <w:bottom w:w="0" w:type="dxa"/>
          <w:right w:w="0" w:type="dxa"/>
        </w:tblCellMar>
        <w:tblLook w:val="01e0" w:noHBand="0" w:noVBand="0" w:firstColumn="1" w:lastRow="1" w:lastColumn="1" w:firstRow="1"/>
      </w:tblPr>
      <w:tblGrid>
        <w:gridCol w:w="8442"/>
      </w:tblGrid>
      <w:tr>
        <w:trPr/>
        <w:tc>
          <w:tcPr>
            <w:tcW w:w="8442" w:type="dxa"/>
            <w:tcBorders/>
          </w:tcPr>
          <w:p>
            <w:pPr>
              <w:pStyle w:val="Normal"/>
              <w:overflowPunct w:val="true"/>
              <w:spacing w:lineRule="atLeast" w:line="380"/>
              <w:ind w:right="57" w:hanging="0"/>
              <w:rPr/>
            </w:pPr>
            <w:r>
              <w:rPr/>
              <w:t>Quality Education Fund</w:t>
            </w:r>
          </w:p>
          <w:p>
            <w:pPr>
              <w:pStyle w:val="Normal"/>
              <w:overflowPunct w:val="true"/>
              <w:spacing w:lineRule="atLeast" w:line="380"/>
              <w:ind w:right="57" w:hanging="0"/>
              <w:rPr/>
            </w:pPr>
            <w:r>
              <w:rPr/>
              <w:t>Financial statements for the year ended 31 August 2018 (including Report of the Director of Audit)</w:t>
            </w:r>
          </w:p>
        </w:tc>
      </w:tr>
      <w:tr>
        <w:trPr/>
        <w:tc>
          <w:tcPr>
            <w:tcW w:w="8442" w:type="dxa"/>
            <w:tcBorders/>
          </w:tcPr>
          <w:p>
            <w:pPr>
              <w:pStyle w:val="Normal"/>
              <w:overflowPunct w:val="true"/>
              <w:spacing w:lineRule="atLeast" w:line="380"/>
              <w:ind w:right="57" w:hanging="0"/>
              <w:rPr/>
            </w:pPr>
            <w:r>
              <w:rPr/>
            </w:r>
          </w:p>
        </w:tc>
      </w:tr>
      <w:tr>
        <w:trPr/>
        <w:tc>
          <w:tcPr>
            <w:tcW w:w="8442" w:type="dxa"/>
            <w:tcBorders/>
          </w:tcPr>
          <w:p>
            <w:pPr>
              <w:pStyle w:val="Normal"/>
              <w:overflowPunct w:val="true"/>
              <w:spacing w:lineRule="atLeast" w:line="380"/>
              <w:ind w:right="57" w:hanging="0"/>
              <w:rPr/>
            </w:pPr>
            <w:r>
              <w:rPr/>
              <w:t>Education Development Fund</w:t>
            </w:r>
          </w:p>
          <w:p>
            <w:pPr>
              <w:pStyle w:val="Normal"/>
              <w:overflowPunct w:val="true"/>
              <w:spacing w:lineRule="atLeast" w:line="380"/>
              <w:ind w:right="57" w:hanging="0"/>
              <w:rPr/>
            </w:pPr>
            <w:r>
              <w:rPr/>
              <w:t>Financial statements for the year ended 31 August 2018 (including Report of the Director of Audit)</w:t>
            </w:r>
          </w:p>
        </w:tc>
      </w:tr>
      <w:tr>
        <w:trPr/>
        <w:tc>
          <w:tcPr>
            <w:tcW w:w="8442" w:type="dxa"/>
            <w:tcBorders/>
          </w:tcPr>
          <w:p>
            <w:pPr>
              <w:pStyle w:val="Normal"/>
              <w:overflowPunct w:val="true"/>
              <w:spacing w:lineRule="atLeast" w:line="380"/>
              <w:ind w:right="57" w:hanging="0"/>
              <w:rPr/>
            </w:pPr>
            <w:r>
              <w:rPr/>
            </w:r>
          </w:p>
        </w:tc>
      </w:tr>
      <w:tr>
        <w:trPr/>
        <w:tc>
          <w:tcPr>
            <w:tcW w:w="8442" w:type="dxa"/>
            <w:tcBorders/>
          </w:tcPr>
          <w:p>
            <w:pPr>
              <w:pStyle w:val="Normal"/>
              <w:overflowPunct w:val="true"/>
              <w:spacing w:lineRule="atLeast" w:line="380"/>
              <w:ind w:right="57" w:hanging="0"/>
              <w:rPr/>
            </w:pPr>
            <w:r>
              <w:rPr/>
              <w:t>Report of the Bills Committee on Professional Accountants (Amendment) Bill 2018</w:t>
            </w:r>
          </w:p>
        </w:tc>
      </w:tr>
    </w:tbl>
    <w:p>
      <w:pPr>
        <w:pStyle w:val="F21"/>
        <w:overflowPunct w:val="true"/>
        <w:rPr>
          <w:rFonts w:cs="Times New Roman"/>
        </w:rPr>
      </w:pPr>
      <w:r>
        <w:rPr>
          <w:rFonts w:cs="Times New Roman"/>
        </w:rPr>
      </w:r>
    </w:p>
    <w:p>
      <w:pPr>
        <w:pStyle w:val="F21"/>
        <w:overflowPunct w:val="true"/>
        <w:rPr>
          <w:rFonts w:cs="Times New Roman"/>
        </w:rPr>
      </w:pPr>
      <w:r>
        <w:rPr>
          <w:rFonts w:cs="Times New Roman"/>
        </w:rPr>
      </w:r>
    </w:p>
    <w:p>
      <w:pPr>
        <w:pStyle w:val="F21"/>
        <w:overflowPunct w:val="true"/>
        <w:rPr>
          <w:rFonts w:eastAsia="華康中黑體" w:cs="Times New Roman"/>
          <w:b/>
          <w:b/>
          <w:sz w:val="28"/>
          <w:szCs w:val="28"/>
        </w:rPr>
      </w:pPr>
      <w:bookmarkStart w:id="10" w:name="orq"/>
      <w:r>
        <w:rPr>
          <w:rFonts w:cs="Times New Roman" w:eastAsia="華康中黑體"/>
          <w:b/>
          <w:sz w:val="28"/>
          <w:szCs w:val="28"/>
        </w:rPr>
        <w:t>議員質詢的口頭答覆</w:t>
      </w:r>
    </w:p>
    <w:p>
      <w:pPr>
        <w:pStyle w:val="Normal"/>
        <w:overflowPunct w:val="true"/>
        <w:rPr>
          <w:b/>
          <w:b/>
          <w:spacing w:val="20"/>
          <w:sz w:val="27"/>
          <w:szCs w:val="27"/>
          <w:lang w:val="en-US"/>
        </w:rPr>
      </w:pPr>
      <w:bookmarkStart w:id="11" w:name="orq"/>
      <w:r>
        <w:rPr>
          <w:b/>
        </w:rPr>
        <w:t>ORAL ANSWERS TO QUESTIONS</w:t>
      </w:r>
      <w:bookmarkEnd w:id="11"/>
    </w:p>
    <w:p>
      <w:pPr>
        <w:pStyle w:val="F21"/>
        <w:overflowPunct w:val="true"/>
        <w:rPr>
          <w:rFonts w:cs="Times New Roman"/>
        </w:rPr>
      </w:pPr>
      <w:r>
        <w:rPr>
          <w:rFonts w:cs="Times New Roman"/>
        </w:rPr>
      </w:r>
    </w:p>
    <w:p>
      <w:pPr>
        <w:pStyle w:val="F21"/>
        <w:overflowPunct w:val="true"/>
        <w:rPr>
          <w:rFonts w:cs="Times New Roman"/>
        </w:rPr>
      </w:pPr>
      <w:r>
        <w:rPr>
          <w:rFonts w:cs="Times New Roman" w:eastAsia="華康中黑體"/>
          <w:b/>
        </w:rPr>
        <w:t>主席</w:t>
      </w:r>
      <w:r>
        <w:rPr>
          <w:rFonts w:cs="Times New Roman"/>
        </w:rPr>
        <w:t>：質詢。第一項質詢。</w:t>
      </w:r>
    </w:p>
    <w:p>
      <w:pPr>
        <w:pStyle w:val="F21"/>
        <w:overflowPunct w:val="true"/>
        <w:rPr>
          <w:rFonts w:cs="Times New Roman"/>
        </w:rPr>
      </w:pPr>
      <w:r>
        <w:rPr>
          <w:rFonts w:cs="Times New Roman"/>
        </w:rPr>
      </w:r>
    </w:p>
    <w:p>
      <w:pPr>
        <w:pStyle w:val="F21"/>
        <w:overflowPunct w:val="true"/>
        <w:rPr>
          <w:rFonts w:cs="Times New Roman"/>
        </w:rPr>
      </w:pPr>
      <w:r>
        <w:rPr>
          <w:rFonts w:cs="Times New Roman"/>
        </w:rPr>
      </w:r>
    </w:p>
    <w:p>
      <w:pPr>
        <w:pStyle w:val="F21"/>
        <w:overflowPunct w:val="true"/>
        <w:rPr>
          <w:rFonts w:eastAsia="華康中黑體" w:cs="Times New Roman"/>
          <w:b/>
          <w:b/>
        </w:rPr>
      </w:pPr>
      <w:bookmarkStart w:id="12" w:name="orq01"/>
      <w:r>
        <w:rPr>
          <w:rFonts w:cs="Times New Roman" w:eastAsia="華康中黑體"/>
          <w:b/>
        </w:rPr>
        <w:t>紀律部隊人員的薪酬待遇</w:t>
      </w:r>
    </w:p>
    <w:p>
      <w:pPr>
        <w:pStyle w:val="Normal"/>
        <w:overflowPunct w:val="true"/>
        <w:rPr>
          <w:b/>
          <w:b/>
        </w:rPr>
      </w:pPr>
      <w:bookmarkStart w:id="13" w:name="orq01"/>
      <w:r>
        <w:rPr>
          <w:b/>
        </w:rPr>
        <w:t>Remuneration packages for disciplined services staff</w:t>
      </w:r>
      <w:bookmarkEnd w:id="13"/>
    </w:p>
    <w:p>
      <w:pPr>
        <w:pStyle w:val="F21"/>
        <w:overflowPunct w:val="true"/>
        <w:rPr>
          <w:rFonts w:cs="Times New Roman"/>
        </w:rPr>
      </w:pPr>
      <w:r>
        <w:rPr>
          <w:rFonts w:cs="Times New Roman"/>
        </w:rPr>
      </w:r>
    </w:p>
    <w:p>
      <w:pPr>
        <w:pStyle w:val="F21"/>
        <w:rPr>
          <w:i/>
          <w:i/>
          <w:szCs w:val="27"/>
        </w:rPr>
      </w:pPr>
      <w:r>
        <w:rPr>
          <w:rFonts w:eastAsia="華康中黑體" w:cs="Times New Roman"/>
          <w:b/>
          <w:szCs w:val="27"/>
        </w:rPr>
        <w:t>1.</w:t>
        <w:tab/>
      </w:r>
      <w:r>
        <w:rPr>
          <w:rFonts w:cs="Times New Roman" w:eastAsia="華康中黑體"/>
          <w:b/>
          <w:szCs w:val="27"/>
        </w:rPr>
        <w:t>葛珮帆議員</w:t>
      </w:r>
      <w:r>
        <w:rPr>
          <w:szCs w:val="27"/>
        </w:rPr>
        <w:t>：</w:t>
      </w:r>
      <w:r>
        <w:rPr>
          <w:i/>
          <w:szCs w:val="27"/>
        </w:rPr>
        <w:t>主席，有紀律部隊人員表示，他們一直盡忠職守，使香港成為世界上最安全的城市之一。然而，紀律部隊人員的薪酬待遇並未合理地反映其貢獻，打擊他們的士氣和造成人才流失。就此，政府可否告知本會：</w:t>
      </w:r>
    </w:p>
    <w:p>
      <w:pPr>
        <w:pStyle w:val="F21"/>
        <w:rPr>
          <w:i/>
          <w:i/>
          <w:szCs w:val="27"/>
        </w:rPr>
      </w:pPr>
      <w:r>
        <w:rPr>
          <w:i/>
          <w:szCs w:val="27"/>
        </w:rPr>
      </w:r>
    </w:p>
    <w:p>
      <w:pPr>
        <w:pStyle w:val="F21"/>
        <w:ind w:left="1418" w:hanging="851"/>
        <w:rPr>
          <w:i/>
          <w:i/>
          <w:szCs w:val="27"/>
        </w:rPr>
      </w:pPr>
      <w:r>
        <w:rPr>
          <w:i/>
          <w:szCs w:val="27"/>
        </w:rPr>
        <w:t>(</w:t>
      </w:r>
      <w:r>
        <w:rPr>
          <w:i/>
          <w:szCs w:val="27"/>
        </w:rPr>
        <w:t>一</w:t>
      </w:r>
      <w:r>
        <w:rPr>
          <w:i/>
          <w:szCs w:val="27"/>
        </w:rPr>
        <w:t>)</w:t>
        <w:tab/>
      </w:r>
      <w:r>
        <w:rPr>
          <w:i/>
          <w:szCs w:val="27"/>
        </w:rPr>
        <w:t>鑒於紀律部隊工作的危險性較文職的為高，但一般紀律部隊</w:t>
      </w:r>
      <w:r>
        <w:rPr>
          <w:i/>
          <w:szCs w:val="27"/>
        </w:rPr>
        <w:t>(</w:t>
      </w:r>
      <w:r>
        <w:rPr>
          <w:i/>
          <w:szCs w:val="27"/>
        </w:rPr>
        <w:t>員佐級</w:t>
      </w:r>
      <w:r>
        <w:rPr>
          <w:i/>
          <w:szCs w:val="27"/>
        </w:rPr>
        <w:t>)</w:t>
      </w:r>
      <w:r>
        <w:rPr>
          <w:i/>
          <w:szCs w:val="27"/>
        </w:rPr>
        <w:t>薪級表中接連薪點之間的薪酬差距只有約百分之三，當局會否考慮上調該薪級表中接連薪點之間的薪酬差距至百分之六，與文職人員薪級表的看齊；如會，詳情及時間表為何；如否，原因為何；</w:t>
      </w:r>
    </w:p>
    <w:p>
      <w:pPr>
        <w:pStyle w:val="F21"/>
        <w:spacing w:lineRule="atLeast" w:line="370"/>
        <w:ind w:left="1418" w:hanging="851"/>
        <w:rPr>
          <w:i/>
          <w:i/>
          <w:szCs w:val="27"/>
        </w:rPr>
      </w:pPr>
      <w:r>
        <w:rPr>
          <w:i/>
          <w:szCs w:val="27"/>
        </w:rPr>
      </w:r>
    </w:p>
    <w:p>
      <w:pPr>
        <w:pStyle w:val="F21"/>
        <w:spacing w:lineRule="atLeast" w:line="370"/>
        <w:ind w:left="1418" w:hanging="851"/>
        <w:rPr>
          <w:i/>
          <w:i/>
          <w:szCs w:val="27"/>
        </w:rPr>
      </w:pPr>
      <w:r>
        <w:rPr>
          <w:i/>
          <w:szCs w:val="27"/>
        </w:rPr>
        <w:t>(</w:t>
      </w:r>
      <w:r>
        <w:rPr>
          <w:i/>
          <w:szCs w:val="27"/>
        </w:rPr>
        <w:t>二</w:t>
      </w:r>
      <w:r>
        <w:rPr>
          <w:i/>
          <w:szCs w:val="27"/>
        </w:rPr>
        <w:t>)</w:t>
        <w:tab/>
      </w:r>
      <w:r>
        <w:rPr>
          <w:i/>
          <w:szCs w:val="27"/>
        </w:rPr>
        <w:t>鑒於紀律部隊現時面對人手流失問題，以及有傳承經驗的需要，當局會否重新考慮，給予</w:t>
      </w:r>
      <w:r>
        <w:rPr>
          <w:i/>
          <w:szCs w:val="27"/>
        </w:rPr>
        <w:t>2000</w:t>
      </w:r>
      <w:r>
        <w:rPr>
          <w:i/>
          <w:szCs w:val="27"/>
        </w:rPr>
        <w:t>年</w:t>
      </w:r>
      <w:r>
        <w:rPr>
          <w:i/>
          <w:szCs w:val="27"/>
        </w:rPr>
        <w:t>6</w:t>
      </w:r>
      <w:r>
        <w:rPr>
          <w:i/>
          <w:szCs w:val="27"/>
        </w:rPr>
        <w:t>月前入職的紀律部隊人員延長退休年齡的選擇；如會，詳情為何；如否，原因為何；及</w:t>
      </w:r>
    </w:p>
    <w:p>
      <w:pPr>
        <w:pStyle w:val="F21"/>
        <w:spacing w:lineRule="atLeast" w:line="370"/>
        <w:ind w:left="1418" w:hanging="851"/>
        <w:rPr>
          <w:i/>
          <w:i/>
          <w:szCs w:val="27"/>
        </w:rPr>
      </w:pPr>
      <w:r>
        <w:rPr>
          <w:i/>
          <w:szCs w:val="27"/>
        </w:rPr>
      </w:r>
    </w:p>
    <w:p>
      <w:pPr>
        <w:pStyle w:val="F21"/>
        <w:spacing w:lineRule="atLeast" w:line="370"/>
        <w:ind w:left="1418" w:hanging="851"/>
        <w:rPr>
          <w:i/>
          <w:i/>
          <w:szCs w:val="27"/>
        </w:rPr>
      </w:pPr>
      <w:r>
        <w:rPr>
          <w:i/>
          <w:szCs w:val="27"/>
        </w:rPr>
        <w:t>(</w:t>
      </w:r>
      <w:r>
        <w:rPr>
          <w:i/>
          <w:szCs w:val="27"/>
        </w:rPr>
        <w:t>三</w:t>
      </w:r>
      <w:r>
        <w:rPr>
          <w:i/>
          <w:szCs w:val="27"/>
        </w:rPr>
        <w:t>)</w:t>
        <w:tab/>
      </w:r>
      <w:r>
        <w:rPr>
          <w:i/>
          <w:szCs w:val="27"/>
        </w:rPr>
        <w:t>鑒於目前紀律部隊的部門宿舍單位嚴重短缺，當局有何措施紓緩該情況；會否覓地興建新宿舍；如會，詳情及時間表為何；如否，原因為何？</w:t>
      </w:r>
    </w:p>
    <w:p>
      <w:pPr>
        <w:pStyle w:val="F21"/>
        <w:spacing w:lineRule="atLeast" w:line="370"/>
        <w:rPr>
          <w:szCs w:val="27"/>
        </w:rPr>
      </w:pPr>
      <w:r>
        <w:rPr>
          <w:szCs w:val="27"/>
        </w:rPr>
      </w:r>
    </w:p>
    <w:p>
      <w:pPr>
        <w:pStyle w:val="F21"/>
        <w:spacing w:lineRule="atLeast" w:line="370"/>
        <w:rPr>
          <w:szCs w:val="27"/>
        </w:rPr>
      </w:pPr>
      <w:r>
        <w:rPr>
          <w:szCs w:val="27"/>
        </w:rPr>
      </w:r>
    </w:p>
    <w:p>
      <w:pPr>
        <w:pStyle w:val="F21"/>
        <w:spacing w:lineRule="atLeast" w:line="370"/>
        <w:rPr>
          <w:szCs w:val="27"/>
        </w:rPr>
      </w:pPr>
      <w:r>
        <w:rPr>
          <w:rFonts w:ascii="華康中黑體" w:hAnsi="華康中黑體" w:eastAsia="華康中黑體"/>
          <w:b/>
          <w:szCs w:val="27"/>
        </w:rPr>
        <w:t>公務員事務局局長</w:t>
      </w:r>
      <w:r>
        <w:rPr>
          <w:szCs w:val="27"/>
        </w:rPr>
        <w:t>：主席，特區政府充分肯定各紀律部隊同事，一直在維持社會繁榮安定、保障市民性命和財產安全等領域所作的努力和貢獻。為了招聘合適的人才加入各紀律部隊，以及挽留現有人員，政府有關的政策是提供合適的薪酬待遇和支援。由於私人市場中難以找到可供與紀律部隊比較的職位和工種，而個別紀律部隊職系亦有出現招聘或挽留人才方面的困難，因此行政長官會同行政會議已決定為紀律部隊進行職系架構檢討，日後並會每隔</w:t>
      </w:r>
      <w:r>
        <w:rPr>
          <w:szCs w:val="27"/>
        </w:rPr>
        <w:t>10</w:t>
      </w:r>
      <w:r>
        <w:rPr>
          <w:szCs w:val="27"/>
        </w:rPr>
        <w:t>年進行一次，以確保紀律部隊的職系架構和薪酬待遇能有效吸引和挽留人才。</w:t>
      </w:r>
    </w:p>
    <w:p>
      <w:pPr>
        <w:pStyle w:val="F21"/>
        <w:spacing w:lineRule="atLeast" w:line="370"/>
        <w:rPr>
          <w:szCs w:val="27"/>
        </w:rPr>
      </w:pPr>
      <w:r>
        <w:rPr>
          <w:szCs w:val="27"/>
        </w:rPr>
      </w:r>
    </w:p>
    <w:p>
      <w:pPr>
        <w:pStyle w:val="F21"/>
        <w:spacing w:lineRule="atLeast" w:line="370"/>
        <w:rPr>
          <w:szCs w:val="27"/>
        </w:rPr>
      </w:pPr>
      <w:r>
        <w:rPr>
          <w:szCs w:val="27"/>
        </w:rPr>
        <w:tab/>
      </w:r>
      <w:r>
        <w:rPr>
          <w:szCs w:val="27"/>
        </w:rPr>
        <w:t>除此之外，政府亦按各紀律部隊的運作需要，在過去</w:t>
      </w:r>
      <w:r>
        <w:rPr>
          <w:szCs w:val="27"/>
        </w:rPr>
        <w:t>5</w:t>
      </w:r>
      <w:r>
        <w:rPr>
          <w:szCs w:val="27"/>
        </w:rPr>
        <w:t>年向紀律部隊合共增加了超過</w:t>
      </w:r>
      <w:r>
        <w:rPr>
          <w:szCs w:val="27"/>
        </w:rPr>
        <w:t>7 100</w:t>
      </w:r>
      <w:r>
        <w:rPr>
          <w:szCs w:val="27"/>
        </w:rPr>
        <w:t>個職位，又有為紀律部隊更新及增加裝備，提高他們的服務質素。我們亦為不同的紀律部隊新增和優化多項工作相關津貼、改善房屋福利和推進興建紀律部隊宿舍計劃等，確保他們的服務條件和福利能與時並進。</w:t>
      </w:r>
    </w:p>
    <w:p>
      <w:pPr>
        <w:pStyle w:val="F21"/>
        <w:spacing w:lineRule="atLeast" w:line="370"/>
        <w:rPr>
          <w:szCs w:val="27"/>
        </w:rPr>
      </w:pPr>
      <w:r>
        <w:rPr>
          <w:szCs w:val="27"/>
        </w:rPr>
      </w:r>
    </w:p>
    <w:p>
      <w:pPr>
        <w:pStyle w:val="F21"/>
        <w:spacing w:lineRule="atLeast" w:line="370"/>
        <w:ind w:left="567" w:hanging="567"/>
        <w:rPr>
          <w:szCs w:val="27"/>
        </w:rPr>
      </w:pPr>
      <w:r>
        <w:rPr>
          <w:szCs w:val="27"/>
        </w:rPr>
        <w:tab/>
      </w:r>
      <w:r>
        <w:rPr>
          <w:szCs w:val="27"/>
        </w:rPr>
        <w:t>就質詢的各部分，經諮詢其他相關政策局後，現綜合答覆如下：</w:t>
      </w:r>
    </w:p>
    <w:p>
      <w:pPr>
        <w:pStyle w:val="F21"/>
        <w:spacing w:lineRule="atLeast" w:line="370"/>
        <w:rPr>
          <w:szCs w:val="27"/>
        </w:rPr>
      </w:pPr>
      <w:r>
        <w:rPr>
          <w:szCs w:val="27"/>
        </w:rPr>
      </w:r>
    </w:p>
    <w:p>
      <w:pPr>
        <w:pStyle w:val="Style15"/>
        <w:spacing w:lineRule="atLeast" w:line="370"/>
        <w:rPr>
          <w:i w:val="false"/>
          <w:i w:val="false"/>
        </w:rPr>
      </w:pPr>
      <w:r>
        <w:rPr>
          <w:i w:val="false"/>
        </w:rPr>
        <w:t>(</w:t>
      </w:r>
      <w:r>
        <w:rPr>
          <w:i w:val="false"/>
        </w:rPr>
        <w:t>一</w:t>
      </w:r>
      <w:r>
        <w:rPr>
          <w:i w:val="false"/>
        </w:rPr>
        <w:t>)</w:t>
        <w:tab/>
      </w:r>
      <w:r>
        <w:rPr>
          <w:i w:val="false"/>
        </w:rPr>
        <w:t>適用於紀律部隊的薪級表與其他公務員薪級表一樣，都是經過多年逐步演變而成。每個薪級表內薪點間的薪距，以至不同薪級表之間薪點間的薪距，反映了過去不同時期所作檢討的累積結果，它們之間存在的內部對比關係亦並非可以透過簡單的公式計算出來。因此，單以紀律部隊薪級表與文職人員薪級表內薪點之間的薪距作比較，並不全面。</w:t>
      </w:r>
    </w:p>
    <w:p>
      <w:pPr>
        <w:pStyle w:val="Normal"/>
        <w:widowControl/>
        <w:tabs>
          <w:tab w:val="clear" w:pos="720"/>
        </w:tabs>
        <w:snapToGrid w:val="true"/>
        <w:spacing w:lineRule="auto" w:line="276" w:before="0" w:after="200"/>
        <w:jc w:val="left"/>
        <w:rPr>
          <w:rFonts w:cs="華康細明體"/>
          <w:spacing w:val="20"/>
          <w:sz w:val="27"/>
          <w:lang w:val="en-US"/>
        </w:rPr>
      </w:pPr>
      <w:r>
        <w:rPr>
          <w:rFonts w:cs="華康細明體"/>
          <w:spacing w:val="20"/>
          <w:sz w:val="27"/>
          <w:lang w:val="en-US"/>
        </w:rPr>
      </w:r>
      <w:r>
        <w:br w:type="page"/>
      </w:r>
    </w:p>
    <w:p>
      <w:pPr>
        <w:pStyle w:val="Style15"/>
        <w:spacing w:lineRule="atLeast" w:line="370"/>
        <w:rPr>
          <w:i w:val="false"/>
          <w:i w:val="false"/>
        </w:rPr>
      </w:pPr>
      <w:r>
        <w:rPr>
          <w:i w:val="false"/>
        </w:rPr>
        <w:tab/>
      </w:r>
      <w:r>
        <w:rPr>
          <w:i w:val="false"/>
        </w:rPr>
        <w:t>無論如何，紀律人員薪俸及服務條件常務委員會</w:t>
      </w:r>
      <w:r>
        <w:rPr>
          <w:i w:val="false"/>
        </w:rPr>
        <w:t>("</w:t>
      </w:r>
      <w:r>
        <w:rPr>
          <w:i w:val="false"/>
        </w:rPr>
        <w:t>紀常會</w:t>
      </w:r>
      <w:r>
        <w:rPr>
          <w:i w:val="false"/>
        </w:rPr>
        <w:t>")</w:t>
      </w:r>
      <w:r>
        <w:rPr>
          <w:i w:val="false"/>
        </w:rPr>
        <w:t>已接受政府邀請，為紀律部隊職系進行職系架構檢討。同時，首長級薪俸及服務條件常務委員會</w:t>
      </w:r>
      <w:r>
        <w:rPr>
          <w:i w:val="false"/>
        </w:rPr>
        <w:t>("</w:t>
      </w:r>
      <w:r>
        <w:rPr>
          <w:i w:val="false"/>
        </w:rPr>
        <w:t>首常會</w:t>
      </w:r>
      <w:r>
        <w:rPr>
          <w:i w:val="false"/>
        </w:rPr>
        <w:t>")</w:t>
      </w:r>
      <w:r>
        <w:rPr>
          <w:i w:val="false"/>
        </w:rPr>
        <w:t>亦同意就各紀律部隊首長的薪俸及服務條件提供意見。兩個諮詢委員會會獨立地進行檢討，並已開展工作。假如紀律部隊職方就個別職系的薪酬，或相關薪級表內薪點間的薪距有任何意見或建議，可以向紀常會和首常會提出。在檢討進行期間，兩個諮詢委員會會與紀律部隊管、職雙方保持溝通，並會充分考慮他們所提交的建議和聽取持份者的意見；</w:t>
      </w:r>
    </w:p>
    <w:p>
      <w:pPr>
        <w:pStyle w:val="Style15"/>
        <w:spacing w:lineRule="atLeast" w:line="370"/>
        <w:rPr>
          <w:i w:val="false"/>
          <w:i w:val="false"/>
        </w:rPr>
      </w:pPr>
      <w:r>
        <w:rPr>
          <w:i w:val="false"/>
        </w:rPr>
      </w:r>
    </w:p>
    <w:p>
      <w:pPr>
        <w:pStyle w:val="Style15"/>
        <w:spacing w:lineRule="atLeast" w:line="370"/>
        <w:rPr>
          <w:i w:val="false"/>
          <w:i w:val="false"/>
        </w:rPr>
      </w:pPr>
      <w:r>
        <w:rPr>
          <w:i w:val="false"/>
        </w:rPr>
        <w:t>(</w:t>
      </w:r>
      <w:r>
        <w:rPr>
          <w:i w:val="false"/>
        </w:rPr>
        <w:t>二</w:t>
      </w:r>
      <w:r>
        <w:rPr>
          <w:i w:val="false"/>
        </w:rPr>
        <w:t>)</w:t>
        <w:tab/>
      </w:r>
      <w:r>
        <w:rPr>
          <w:i w:val="false"/>
        </w:rPr>
        <w:t>為配合增加勞動力的目標和回應公務員同事的訴求，政府於</w:t>
      </w:r>
      <w:r>
        <w:rPr>
          <w:i w:val="false"/>
        </w:rPr>
        <w:t>2018</w:t>
      </w:r>
      <w:r>
        <w:rPr>
          <w:i w:val="false"/>
        </w:rPr>
        <w:t>年</w:t>
      </w:r>
      <w:r>
        <w:rPr>
          <w:i w:val="false"/>
        </w:rPr>
        <w:t>7</w:t>
      </w:r>
      <w:r>
        <w:rPr>
          <w:i w:val="false"/>
        </w:rPr>
        <w:t>月推出選擇延遲退休的方案，讓在</w:t>
      </w:r>
      <w:r>
        <w:rPr>
          <w:i w:val="false"/>
        </w:rPr>
        <w:t>2000</w:t>
      </w:r>
      <w:r>
        <w:rPr>
          <w:i w:val="false"/>
        </w:rPr>
        <w:t>年</w:t>
      </w:r>
      <w:r>
        <w:rPr>
          <w:i w:val="false"/>
        </w:rPr>
        <w:t>6</w:t>
      </w:r>
      <w:r>
        <w:rPr>
          <w:i w:val="false"/>
        </w:rPr>
        <w:t>月</w:t>
      </w:r>
      <w:r>
        <w:rPr>
          <w:i w:val="false"/>
        </w:rPr>
        <w:t>1</w:t>
      </w:r>
      <w:r>
        <w:rPr>
          <w:i w:val="false"/>
        </w:rPr>
        <w:t>日至</w:t>
      </w:r>
      <w:r>
        <w:rPr>
          <w:i w:val="false"/>
        </w:rPr>
        <w:t>2015</w:t>
      </w:r>
      <w:r>
        <w:rPr>
          <w:i w:val="false"/>
        </w:rPr>
        <w:t>年</w:t>
      </w:r>
      <w:r>
        <w:rPr>
          <w:i w:val="false"/>
        </w:rPr>
        <w:t>5</w:t>
      </w:r>
      <w:r>
        <w:rPr>
          <w:i w:val="false"/>
        </w:rPr>
        <w:t>月</w:t>
      </w:r>
      <w:r>
        <w:rPr>
          <w:i w:val="false"/>
        </w:rPr>
        <w:t>31</w:t>
      </w:r>
      <w:r>
        <w:rPr>
          <w:i w:val="false"/>
        </w:rPr>
        <w:t>日期間入職的文職及紀律部隊職系現職公務員，可以選擇分別延至</w:t>
      </w:r>
      <w:r>
        <w:rPr>
          <w:i w:val="false"/>
        </w:rPr>
        <w:t>65</w:t>
      </w:r>
      <w:r>
        <w:rPr>
          <w:i w:val="false"/>
        </w:rPr>
        <w:t>歲及</w:t>
      </w:r>
      <w:r>
        <w:rPr>
          <w:i w:val="false"/>
        </w:rPr>
        <w:t>60</w:t>
      </w:r>
      <w:r>
        <w:rPr>
          <w:i w:val="false"/>
        </w:rPr>
        <w:t>歲退休。</w:t>
      </w:r>
    </w:p>
    <w:p>
      <w:pPr>
        <w:pStyle w:val="Style15"/>
        <w:spacing w:lineRule="atLeast" w:line="370"/>
        <w:rPr>
          <w:i w:val="false"/>
          <w:i w:val="false"/>
        </w:rPr>
      </w:pPr>
      <w:r>
        <w:rPr>
          <w:i w:val="false"/>
        </w:rPr>
      </w:r>
    </w:p>
    <w:p>
      <w:pPr>
        <w:pStyle w:val="Style15"/>
        <w:spacing w:lineRule="atLeast" w:line="370"/>
        <w:rPr>
          <w:i w:val="false"/>
          <w:i w:val="false"/>
        </w:rPr>
      </w:pPr>
      <w:r>
        <w:rPr>
          <w:i w:val="false"/>
        </w:rPr>
        <w:tab/>
      </w:r>
      <w:r>
        <w:rPr>
          <w:i w:val="false"/>
        </w:rPr>
        <w:t>至於</w:t>
      </w:r>
      <w:r>
        <w:rPr>
          <w:i w:val="false"/>
        </w:rPr>
        <w:t>2000</w:t>
      </w:r>
      <w:r>
        <w:rPr>
          <w:i w:val="false"/>
        </w:rPr>
        <w:t>年</w:t>
      </w:r>
      <w:r>
        <w:rPr>
          <w:i w:val="false"/>
        </w:rPr>
        <w:t>6</w:t>
      </w:r>
      <w:r>
        <w:rPr>
          <w:i w:val="false"/>
        </w:rPr>
        <w:t>月</w:t>
      </w:r>
      <w:r>
        <w:rPr>
          <w:i w:val="false"/>
        </w:rPr>
        <w:t>1</w:t>
      </w:r>
      <w:r>
        <w:rPr>
          <w:i w:val="false"/>
        </w:rPr>
        <w:t>日前入職的公務員，由於他們大多會在未來</w:t>
      </w:r>
      <w:r>
        <w:rPr>
          <w:i w:val="false"/>
        </w:rPr>
        <w:t>10</w:t>
      </w:r>
      <w:r>
        <w:rPr>
          <w:i w:val="false"/>
        </w:rPr>
        <w:t>年左右達到現時適用的退休年齡，但整體勞動人口則預計到</w:t>
      </w:r>
      <w:r>
        <w:rPr>
          <w:i w:val="false"/>
        </w:rPr>
        <w:t>2030</w:t>
      </w:r>
      <w:r>
        <w:rPr>
          <w:i w:val="false"/>
        </w:rPr>
        <w:t>年才開始出現較嚴峻的情況，因此從人口政策的角度考慮，目前未有充分理據同時讓這些人員選擇延遲退休。而且，為數不少在</w:t>
      </w:r>
      <w:r>
        <w:rPr>
          <w:i w:val="false"/>
        </w:rPr>
        <w:t>2000</w:t>
      </w:r>
      <w:r>
        <w:rPr>
          <w:i w:val="false"/>
        </w:rPr>
        <w:t>年</w:t>
      </w:r>
      <w:r>
        <w:rPr>
          <w:i w:val="false"/>
        </w:rPr>
        <w:t>6</w:t>
      </w:r>
      <w:r>
        <w:rPr>
          <w:i w:val="false"/>
        </w:rPr>
        <w:t>月</w:t>
      </w:r>
      <w:r>
        <w:rPr>
          <w:i w:val="false"/>
        </w:rPr>
        <w:t>1</w:t>
      </w:r>
      <w:r>
        <w:rPr>
          <w:i w:val="false"/>
        </w:rPr>
        <w:t>日前入職的公務員快將退休，如我們也容許這些人員自行選擇延遲退休，部門未必有足夠時間就其人力規劃作出相應調整，以及處理可能會即時出現的管理問題，例如對晉升及健康更替造成的阻礙，以及人力資源錯配等。這都會影響部門的人力規劃工作及人力資源部署，我們要避免這些情況出現。</w:t>
      </w:r>
    </w:p>
    <w:p>
      <w:pPr>
        <w:pStyle w:val="Style15"/>
        <w:spacing w:lineRule="atLeast" w:line="370"/>
        <w:rPr>
          <w:i w:val="false"/>
          <w:i w:val="false"/>
        </w:rPr>
      </w:pPr>
      <w:r>
        <w:rPr>
          <w:i w:val="false"/>
        </w:rPr>
      </w:r>
    </w:p>
    <w:p>
      <w:pPr>
        <w:pStyle w:val="Style15"/>
        <w:spacing w:lineRule="atLeast" w:line="370"/>
        <w:rPr>
          <w:i w:val="false"/>
          <w:i w:val="false"/>
        </w:rPr>
      </w:pPr>
      <w:r>
        <w:rPr>
          <w:i w:val="false"/>
        </w:rPr>
        <w:tab/>
      </w:r>
      <w:r>
        <w:rPr>
          <w:i w:val="false"/>
        </w:rPr>
        <w:t>雖然</w:t>
      </w:r>
      <w:r>
        <w:rPr>
          <w:i w:val="false"/>
        </w:rPr>
        <w:t>2000</w:t>
      </w:r>
      <w:r>
        <w:rPr>
          <w:i w:val="false"/>
        </w:rPr>
        <w:t>年</w:t>
      </w:r>
      <w:r>
        <w:rPr>
          <w:i w:val="false"/>
        </w:rPr>
        <w:t>6</w:t>
      </w:r>
      <w:r>
        <w:rPr>
          <w:i w:val="false"/>
        </w:rPr>
        <w:t>月</w:t>
      </w:r>
      <w:r>
        <w:rPr>
          <w:i w:val="false"/>
        </w:rPr>
        <w:t>1</w:t>
      </w:r>
      <w:r>
        <w:rPr>
          <w:i w:val="false"/>
        </w:rPr>
        <w:t>日前入職的公務員不能選擇延遲退休，但部門可因應其整體人力狀況</w:t>
      </w:r>
      <w:r>
        <w:rPr>
          <w:i w:val="false"/>
        </w:rPr>
        <w:t>(</w:t>
      </w:r>
      <w:r>
        <w:rPr>
          <w:i w:val="false"/>
        </w:rPr>
        <w:t>例如流失率</w:t>
      </w:r>
      <w:r>
        <w:rPr>
          <w:i w:val="false"/>
        </w:rPr>
        <w:t>)</w:t>
      </w:r>
      <w:r>
        <w:rPr>
          <w:i w:val="false"/>
        </w:rPr>
        <w:t>、運作需要，以及繼任安排等，靈活採用各項延長公務員服務年期的彈性措施，包括退休後服務合約計劃、最後延長服務及經調整的繼續受僱機制，挽留達退休年齡的公務員，以應付人手需求和滿足傳承經驗的需要；及</w:t>
      </w:r>
    </w:p>
    <w:p>
      <w:pPr>
        <w:pStyle w:val="Style15"/>
        <w:spacing w:lineRule="atLeast" w:line="370"/>
        <w:rPr>
          <w:i w:val="false"/>
          <w:i w:val="false"/>
        </w:rPr>
      </w:pPr>
      <w:r>
        <w:rPr>
          <w:i w:val="false"/>
        </w:rPr>
      </w:r>
    </w:p>
    <w:p>
      <w:pPr>
        <w:pStyle w:val="Style15"/>
        <w:spacing w:lineRule="atLeast" w:line="370"/>
        <w:rPr>
          <w:i w:val="false"/>
          <w:i w:val="false"/>
        </w:rPr>
      </w:pPr>
      <w:r>
        <w:rPr>
          <w:i w:val="false"/>
        </w:rPr>
        <w:t>(</w:t>
      </w:r>
      <w:r>
        <w:rPr>
          <w:i w:val="false"/>
        </w:rPr>
        <w:t>三</w:t>
      </w:r>
      <w:r>
        <w:rPr>
          <w:i w:val="false"/>
        </w:rPr>
        <w:t>)</w:t>
        <w:tab/>
      </w:r>
      <w:r>
        <w:rPr>
          <w:i w:val="false"/>
        </w:rPr>
        <w:t>政府一直在資源許可的情況下，為已婚的紀律部隊人員提供部門宿舍。政府明白同事對紀律部隊宿舍短缺的關注，故此一直積極研究不同方案，以增加部門宿舍的供應。</w:t>
      </w:r>
    </w:p>
    <w:p>
      <w:pPr>
        <w:pStyle w:val="Normal"/>
        <w:widowControl/>
        <w:tabs>
          <w:tab w:val="clear" w:pos="720"/>
        </w:tabs>
        <w:snapToGrid w:val="true"/>
        <w:spacing w:lineRule="auto" w:line="276" w:before="0" w:after="200"/>
        <w:jc w:val="left"/>
        <w:rPr>
          <w:rFonts w:cs="華康細明體"/>
          <w:spacing w:val="20"/>
          <w:sz w:val="27"/>
          <w:lang w:val="en-US"/>
        </w:rPr>
      </w:pPr>
      <w:r>
        <w:rPr>
          <w:rFonts w:cs="華康細明體"/>
          <w:spacing w:val="20"/>
          <w:sz w:val="27"/>
          <w:lang w:val="en-US"/>
        </w:rPr>
      </w:r>
      <w:r>
        <w:br w:type="page"/>
      </w:r>
    </w:p>
    <w:p>
      <w:pPr>
        <w:pStyle w:val="Style15"/>
        <w:rPr>
          <w:i w:val="false"/>
          <w:i w:val="false"/>
        </w:rPr>
      </w:pPr>
      <w:r>
        <w:rPr>
          <w:i w:val="false"/>
        </w:rPr>
        <w:tab/>
      </w:r>
      <w:r>
        <w:rPr>
          <w:i w:val="false"/>
        </w:rPr>
        <w:t>時任行政長官在</w:t>
      </w:r>
      <w:r>
        <w:rPr>
          <w:i w:val="false"/>
        </w:rPr>
        <w:t>2014</w:t>
      </w:r>
      <w:r>
        <w:rPr>
          <w:i w:val="false"/>
        </w:rPr>
        <w:t>年施政報告中提出，政府將加快興建紀律部隊的</w:t>
      </w:r>
      <w:r>
        <w:rPr>
          <w:i w:val="false"/>
        </w:rPr>
        <w:t>8</w:t>
      </w:r>
      <w:r>
        <w:rPr>
          <w:i w:val="false"/>
        </w:rPr>
        <w:t>個部門宿舍項目。在相關政策局和各紀律部隊的共同努力下，該</w:t>
      </w:r>
      <w:r>
        <w:rPr>
          <w:i w:val="false"/>
        </w:rPr>
        <w:t>8</w:t>
      </w:r>
      <w:r>
        <w:rPr>
          <w:i w:val="false"/>
        </w:rPr>
        <w:t>個項目均已獲立法會通過撥款，當中包括已於去年年底落成及陸續入伙的入境事務處九龍杏林街職員宿舍及海關將軍澳魷魚灣村道員佐級宿舍。政府正加緊興建其餘</w:t>
      </w:r>
      <w:r>
        <w:rPr>
          <w:i w:val="false"/>
        </w:rPr>
        <w:t>6</w:t>
      </w:r>
      <w:r>
        <w:rPr>
          <w:i w:val="false"/>
        </w:rPr>
        <w:t>個宿舍項目，預計可於約</w:t>
      </w:r>
      <w:r>
        <w:rPr>
          <w:i w:val="false"/>
        </w:rPr>
        <w:t>2019</w:t>
      </w:r>
      <w:r>
        <w:rPr>
          <w:i w:val="false"/>
        </w:rPr>
        <w:t>年年中至</w:t>
      </w:r>
      <w:r>
        <w:rPr>
          <w:i w:val="false"/>
        </w:rPr>
        <w:t>2022</w:t>
      </w:r>
      <w:r>
        <w:rPr>
          <w:i w:val="false"/>
        </w:rPr>
        <w:t>年年中陸續入伙。</w:t>
      </w:r>
    </w:p>
    <w:p>
      <w:pPr>
        <w:pStyle w:val="Style15"/>
        <w:rPr>
          <w:i w:val="false"/>
          <w:i w:val="false"/>
        </w:rPr>
      </w:pPr>
      <w:r>
        <w:rPr>
          <w:i w:val="false"/>
        </w:rPr>
      </w:r>
    </w:p>
    <w:p>
      <w:pPr>
        <w:pStyle w:val="Style15"/>
        <w:rPr>
          <w:i w:val="false"/>
          <w:i w:val="false"/>
        </w:rPr>
      </w:pPr>
      <w:r>
        <w:rPr>
          <w:i w:val="false"/>
        </w:rPr>
        <w:tab/>
      </w:r>
      <w:r>
        <w:rPr>
          <w:i w:val="false"/>
        </w:rPr>
        <w:t>此外，為繼續紓緩宿舍短缺的情況，各紀律部隊正致力推進該</w:t>
      </w:r>
      <w:r>
        <w:rPr>
          <w:i w:val="false"/>
        </w:rPr>
        <w:t>8</w:t>
      </w:r>
      <w:r>
        <w:rPr>
          <w:i w:val="false"/>
        </w:rPr>
        <w:t>個項目以外的新宿舍工程計劃；政府亦會研究其他重建或興建紀律部隊宿舍工程項目的可行性。待有關細節及時間表落實後，政府會盡快諮詢相關區議會，並適時向立法會提交撥款申請。</w:t>
      </w:r>
    </w:p>
    <w:p>
      <w:pPr>
        <w:pStyle w:val="Style15"/>
        <w:rPr>
          <w:i w:val="false"/>
          <w:i w:val="false"/>
        </w:rPr>
      </w:pPr>
      <w:r>
        <w:rPr>
          <w:i w:val="false"/>
        </w:rPr>
      </w:r>
    </w:p>
    <w:p>
      <w:pPr>
        <w:pStyle w:val="Style15"/>
        <w:rPr>
          <w:i w:val="false"/>
          <w:i w:val="false"/>
        </w:rPr>
      </w:pPr>
      <w:r>
        <w:rPr>
          <w:i w:val="false"/>
        </w:rPr>
      </w:r>
    </w:p>
    <w:p>
      <w:pPr>
        <w:pStyle w:val="F21"/>
        <w:overflowPunct w:val="true"/>
        <w:rPr>
          <w:szCs w:val="27"/>
        </w:rPr>
      </w:pPr>
      <w:r>
        <w:rPr>
          <w:rFonts w:ascii="華康中黑體" w:hAnsi="華康中黑體" w:cs="華康中黑體" w:eastAsia="華康中黑體"/>
          <w:b/>
          <w:szCs w:val="27"/>
        </w:rPr>
        <w:t>葛珮帆議員</w:t>
      </w:r>
      <w:r>
        <w:rPr>
          <w:szCs w:val="27"/>
        </w:rPr>
        <w:t>：</w:t>
      </w:r>
      <w:r>
        <w:rPr>
          <w:i/>
          <w:szCs w:val="27"/>
        </w:rPr>
        <w:t>主席，現時警隊以外的其他紀律部隊雖然採用同一薪級表，但不同部隊在紀律部隊</w:t>
      </w:r>
      <w:r>
        <w:rPr>
          <w:i/>
          <w:szCs w:val="27"/>
        </w:rPr>
        <w:t>(</w:t>
      </w:r>
      <w:r>
        <w:rPr>
          <w:i/>
          <w:szCs w:val="27"/>
        </w:rPr>
        <w:t>員佐級</w:t>
      </w:r>
      <w:r>
        <w:rPr>
          <w:i/>
          <w:szCs w:val="27"/>
        </w:rPr>
        <w:t>)</w:t>
      </w:r>
      <w:r>
        <w:rPr>
          <w:i/>
          <w:szCs w:val="27"/>
        </w:rPr>
        <w:t>薪級表中的起薪點和頂薪點並不相同。例如入境事務處的入境事務助理員與海關關員的入職條件大致相若，學歷要求亦一樣，但入境事務助理員的起薪點是薪級表第‍</w:t>
      </w:r>
      <w:r>
        <w:rPr>
          <w:i/>
          <w:szCs w:val="27"/>
        </w:rPr>
        <w:t>3‍</w:t>
      </w:r>
      <w:r>
        <w:rPr>
          <w:i/>
          <w:szCs w:val="27"/>
        </w:rPr>
        <w:t>點，關員則是第</w:t>
      </w:r>
      <w:r>
        <w:rPr>
          <w:i/>
          <w:szCs w:val="27"/>
        </w:rPr>
        <w:t>4</w:t>
      </w:r>
      <w:r>
        <w:rPr>
          <w:i/>
          <w:szCs w:val="27"/>
        </w:rPr>
        <w:t>點；而頂薪點方面，入境事務助理員是第</w:t>
      </w:r>
      <w:r>
        <w:rPr>
          <w:i/>
          <w:szCs w:val="27"/>
        </w:rPr>
        <w:t>13</w:t>
      </w:r>
      <w:r>
        <w:rPr>
          <w:i/>
          <w:szCs w:val="27"/>
        </w:rPr>
        <w:t>點，海關關員則是第</w:t>
      </w:r>
      <w:r>
        <w:rPr>
          <w:i/>
          <w:szCs w:val="27"/>
        </w:rPr>
        <w:t>14</w:t>
      </w:r>
      <w:r>
        <w:rPr>
          <w:i/>
          <w:szCs w:val="27"/>
        </w:rPr>
        <w:t>點。另一方面，入境事務助理員與二級懲教助理的學歷要求相同，起薪點同為第</w:t>
      </w:r>
      <w:r>
        <w:rPr>
          <w:i/>
          <w:szCs w:val="27"/>
        </w:rPr>
        <w:t>3</w:t>
      </w:r>
      <w:r>
        <w:rPr>
          <w:i/>
          <w:szCs w:val="27"/>
        </w:rPr>
        <w:t>點，但頂薪點卻不同。因此，我想問當局是如何衡量不同紀律部隊的不同薪級點，為何有些較高，有些較低，當局會否劃一紀律部隊的入職薪酬呢？</w:t>
      </w:r>
    </w:p>
    <w:p>
      <w:pPr>
        <w:pStyle w:val="F21"/>
        <w:overflowPunct w:val="true"/>
        <w:rPr>
          <w:szCs w:val="27"/>
        </w:rPr>
      </w:pPr>
      <w:r>
        <w:rPr>
          <w:szCs w:val="27"/>
        </w:rPr>
      </w:r>
    </w:p>
    <w:p>
      <w:pPr>
        <w:pStyle w:val="F21"/>
        <w:overflowPunct w:val="true"/>
        <w:rPr>
          <w:szCs w:val="27"/>
        </w:rPr>
      </w:pPr>
      <w:r>
        <w:rPr>
          <w:szCs w:val="27"/>
        </w:rPr>
      </w:r>
    </w:p>
    <w:p>
      <w:pPr>
        <w:pStyle w:val="F21"/>
        <w:overflowPunct w:val="true"/>
        <w:rPr>
          <w:szCs w:val="27"/>
        </w:rPr>
      </w:pPr>
      <w:r>
        <w:rPr>
          <w:rFonts w:ascii="華康中黑體" w:hAnsi="華康中黑體" w:cs="華康中黑體" w:eastAsia="華康中黑體"/>
          <w:b/>
          <w:szCs w:val="27"/>
        </w:rPr>
        <w:t>公務員事務局局長</w:t>
      </w:r>
      <w:r>
        <w:rPr>
          <w:szCs w:val="27"/>
        </w:rPr>
        <w:t>：多謝葛議員。我剛才在主體答覆中亦提到，公務員各職系的薪酬結構和服務條件，都是經過多年演變而成的，因此適用於不同紀律部隊的薪級表，亦是經過多年來的不同檢討結果累積而成。鑒於紀常會和首常會已接納政府的邀請，為紀律部隊進行職系架構檢討，職方可就個別薪級表的起薪點或其他方面提出意見，我相信兩個委員會會仔細研究，並且認真考慮他們的意見，繼而作出結論。</w:t>
      </w:r>
    </w:p>
    <w:p>
      <w:pPr>
        <w:pStyle w:val="F21"/>
        <w:overflowPunct w:val="true"/>
        <w:rPr>
          <w:szCs w:val="27"/>
        </w:rPr>
      </w:pPr>
      <w:r>
        <w:rPr>
          <w:szCs w:val="27"/>
        </w:rPr>
      </w:r>
    </w:p>
    <w:p>
      <w:pPr>
        <w:pStyle w:val="F21"/>
        <w:overflowPunct w:val="true"/>
        <w:rPr>
          <w:szCs w:val="27"/>
        </w:rPr>
      </w:pPr>
      <w:r>
        <w:rPr>
          <w:szCs w:val="27"/>
        </w:rPr>
      </w:r>
    </w:p>
    <w:p>
      <w:pPr>
        <w:pStyle w:val="F21"/>
        <w:overflowPunct w:val="true"/>
        <w:rPr>
          <w:szCs w:val="27"/>
        </w:rPr>
      </w:pPr>
      <w:r>
        <w:rPr>
          <w:rFonts w:ascii="華康中黑體" w:hAnsi="華康中黑體" w:cs="華康中黑體" w:eastAsia="華康中黑體"/>
          <w:b/>
          <w:szCs w:val="27"/>
        </w:rPr>
        <w:t>陳克勤議員</w:t>
      </w:r>
      <w:r>
        <w:rPr>
          <w:szCs w:val="27"/>
        </w:rPr>
        <w:t>：</w:t>
      </w:r>
      <w:r>
        <w:rPr>
          <w:i/>
          <w:szCs w:val="27"/>
        </w:rPr>
        <w:t>主席，我翻查了所有紀律部隊的起薪點和薪級表，當然，正如局長剛才所說，這些薪級表和起薪點有其歷史原因，但正正因為薪酬不一，導致某些紀律部隊的流失率特別高。有些人員可能任職一‍段長時間後便轉到其他紀律部隊，甚或轉職小販管理隊或漁農自然護理署，其實十分浪費，因為當局花了很多時間和精力培訓他們，而他們的經驗亦難以獲得。我想問局長，會否藉着現時進行的職系架構檢討，相應調高某些紀律部隊的起薪點或薪酬，拉近彼此之間的差距，令流失情況不至於那麼嚴重呢？</w:t>
      </w:r>
    </w:p>
    <w:p>
      <w:pPr>
        <w:pStyle w:val="F21"/>
        <w:overflowPunct w:val="true"/>
        <w:spacing w:lineRule="atLeast" w:line="370"/>
        <w:rPr>
          <w:szCs w:val="27"/>
        </w:rPr>
      </w:pPr>
      <w:r>
        <w:rPr>
          <w:szCs w:val="27"/>
        </w:rPr>
      </w:r>
    </w:p>
    <w:p>
      <w:pPr>
        <w:pStyle w:val="F21"/>
        <w:overflowPunct w:val="true"/>
        <w:spacing w:lineRule="atLeast" w:line="370"/>
        <w:rPr>
          <w:szCs w:val="27"/>
        </w:rPr>
      </w:pPr>
      <w:r>
        <w:rPr>
          <w:szCs w:val="27"/>
        </w:rPr>
      </w:r>
    </w:p>
    <w:p>
      <w:pPr>
        <w:pStyle w:val="F21"/>
        <w:overflowPunct w:val="true"/>
        <w:spacing w:lineRule="atLeast" w:line="370"/>
        <w:rPr>
          <w:szCs w:val="27"/>
        </w:rPr>
      </w:pPr>
      <w:r>
        <w:rPr>
          <w:rFonts w:ascii="華康中黑體" w:hAnsi="華康中黑體" w:cs="華康中黑體" w:eastAsia="華康中黑體"/>
          <w:b/>
          <w:szCs w:val="27"/>
        </w:rPr>
        <w:t>公務員事務局局長</w:t>
      </w:r>
      <w:r>
        <w:rPr>
          <w:szCs w:val="27"/>
        </w:rPr>
        <w:t>：多謝陳議員的補充質詢。各個職系的起薪點和內部晉升均有其歷史原因，各個部隊或職系面對的流失情況，亦有各種不同的原因，因而難以在此單就起薪點作評論。不過，陳</w:t>
      </w:r>
      <w:r>
        <w:rPr>
          <w:rFonts w:ascii="華康細明體" w:hAnsi="華康細明體" w:cs="華康細明體"/>
          <w:szCs w:val="27"/>
        </w:rPr>
        <w:t>議員可以</w:t>
      </w:r>
      <w:r>
        <w:rPr>
          <w:szCs w:val="27"/>
        </w:rPr>
        <w:t>放心，在進行職系架構檢討的過程中，這些意見肯定會交予兩個諮詢委員會認真研究，目的是甚麼呢？是希望能夠挽留人才，以及吸引人才加入我們的部隊。</w:t>
      </w:r>
    </w:p>
    <w:p>
      <w:pPr>
        <w:pStyle w:val="Normal"/>
        <w:tabs>
          <w:tab w:val="left" w:pos="567" w:leader="none"/>
          <w:tab w:val="left" w:pos="720" w:leader="none"/>
        </w:tabs>
        <w:overflowPunct w:val="true"/>
        <w:spacing w:lineRule="atLeast" w:line="370"/>
        <w:rPr>
          <w:spacing w:val="20"/>
          <w:sz w:val="27"/>
          <w:szCs w:val="27"/>
        </w:rPr>
      </w:pPr>
      <w:r>
        <w:rPr>
          <w:spacing w:val="20"/>
          <w:sz w:val="27"/>
          <w:szCs w:val="27"/>
        </w:rPr>
      </w:r>
    </w:p>
    <w:p>
      <w:pPr>
        <w:pStyle w:val="Normal"/>
        <w:tabs>
          <w:tab w:val="left" w:pos="567" w:leader="none"/>
          <w:tab w:val="left" w:pos="720" w:leader="none"/>
        </w:tabs>
        <w:overflowPunct w:val="true"/>
        <w:spacing w:lineRule="atLeast" w:line="370"/>
        <w:rPr>
          <w:spacing w:val="20"/>
          <w:sz w:val="27"/>
          <w:szCs w:val="27"/>
        </w:rPr>
      </w:pPr>
      <w:r>
        <w:rPr>
          <w:spacing w:val="20"/>
          <w:sz w:val="27"/>
          <w:szCs w:val="27"/>
        </w:rPr>
      </w:r>
    </w:p>
    <w:p>
      <w:pPr>
        <w:pStyle w:val="Normal"/>
        <w:tabs>
          <w:tab w:val="left" w:pos="567" w:leader="none"/>
          <w:tab w:val="left" w:pos="720" w:leader="none"/>
        </w:tabs>
        <w:overflowPunct w:val="true"/>
        <w:spacing w:lineRule="atLeast" w:line="370"/>
        <w:rPr>
          <w:i/>
          <w:i/>
          <w:spacing w:val="20"/>
          <w:sz w:val="27"/>
        </w:rPr>
      </w:pPr>
      <w:r>
        <w:rPr>
          <w:rFonts w:eastAsia="華康中黑體"/>
          <w:b/>
          <w:spacing w:val="20"/>
          <w:kern w:val="2"/>
          <w:sz w:val="27"/>
        </w:rPr>
        <w:t>何啟明議員</w:t>
      </w:r>
      <w:r>
        <w:rPr>
          <w:spacing w:val="20"/>
          <w:sz w:val="27"/>
        </w:rPr>
        <w:t>：</w:t>
      </w:r>
      <w:r>
        <w:rPr>
          <w:i/>
          <w:spacing w:val="20"/>
          <w:sz w:val="27"/>
        </w:rPr>
        <w:t>主席，局長，挽留人才確實是十分重要的信息。現時只有</w:t>
      </w:r>
      <w:r>
        <w:rPr>
          <w:i/>
          <w:spacing w:val="20"/>
          <w:sz w:val="27"/>
        </w:rPr>
        <w:t>2000</w:t>
      </w:r>
      <w:r>
        <w:rPr>
          <w:i/>
          <w:spacing w:val="20"/>
          <w:sz w:val="27"/>
        </w:rPr>
        <w:t>年後入職的紀律部隊及其他公務員，可以選擇延長退休年齡，但</w:t>
      </w:r>
      <w:r>
        <w:rPr>
          <w:i/>
          <w:spacing w:val="20"/>
          <w:sz w:val="27"/>
        </w:rPr>
        <w:t>2000</w:t>
      </w:r>
      <w:r>
        <w:rPr>
          <w:i/>
          <w:spacing w:val="20"/>
          <w:sz w:val="27"/>
        </w:rPr>
        <w:t>年前入職的公務員卻無法選擇。</w:t>
      </w:r>
    </w:p>
    <w:p>
      <w:pPr>
        <w:pStyle w:val="Normal"/>
        <w:tabs>
          <w:tab w:val="left" w:pos="567" w:leader="none"/>
          <w:tab w:val="left" w:pos="720" w:leader="none"/>
        </w:tabs>
        <w:overflowPunct w:val="true"/>
        <w:spacing w:lineRule="atLeast" w:line="370"/>
        <w:rPr>
          <w:i/>
          <w:i/>
          <w:spacing w:val="20"/>
          <w:sz w:val="27"/>
        </w:rPr>
      </w:pPr>
      <w:r>
        <w:rPr>
          <w:i/>
          <w:spacing w:val="20"/>
          <w:sz w:val="27"/>
        </w:rPr>
      </w:r>
    </w:p>
    <w:p>
      <w:pPr>
        <w:pStyle w:val="Normal"/>
        <w:tabs>
          <w:tab w:val="left" w:pos="567" w:leader="none"/>
          <w:tab w:val="left" w:pos="720" w:leader="none"/>
        </w:tabs>
        <w:overflowPunct w:val="true"/>
        <w:spacing w:lineRule="atLeast" w:line="370"/>
        <w:rPr>
          <w:i/>
          <w:i/>
          <w:spacing w:val="20"/>
          <w:sz w:val="27"/>
        </w:rPr>
      </w:pPr>
      <w:r>
        <w:rPr>
          <w:i/>
          <w:spacing w:val="20"/>
          <w:sz w:val="27"/>
        </w:rPr>
        <w:tab/>
      </w:r>
      <w:r>
        <w:rPr>
          <w:i/>
          <w:spacing w:val="20"/>
          <w:sz w:val="27"/>
        </w:rPr>
        <w:t>主席，我想問局長，會否考慮讓</w:t>
      </w:r>
      <w:r>
        <w:rPr>
          <w:i/>
          <w:spacing w:val="20"/>
          <w:sz w:val="27"/>
        </w:rPr>
        <w:t>2000</w:t>
      </w:r>
      <w:r>
        <w:rPr>
          <w:i/>
          <w:spacing w:val="20"/>
          <w:sz w:val="27"/>
        </w:rPr>
        <w:t>年前入職的公務員亦可以選擇呢？因為，第一，這個選擇必須經過部門審批，不是公務員選擇便可以立刻延長；第二，</w:t>
      </w:r>
      <w:r>
        <w:rPr>
          <w:i/>
          <w:spacing w:val="20"/>
          <w:sz w:val="27"/>
        </w:rPr>
        <w:t>2000</w:t>
      </w:r>
      <w:r>
        <w:rPr>
          <w:i/>
          <w:spacing w:val="20"/>
          <w:sz w:val="27"/>
        </w:rPr>
        <w:t>年後入職的公務員現時只佔</w:t>
      </w:r>
      <w:r>
        <w:rPr>
          <w:i/>
          <w:spacing w:val="20"/>
          <w:sz w:val="27"/>
        </w:rPr>
        <w:t>23%</w:t>
      </w:r>
      <w:r>
        <w:rPr>
          <w:i/>
          <w:spacing w:val="20"/>
          <w:sz w:val="27"/>
        </w:rPr>
        <w:t>，我相信這個數字與政府的評估是有落差的。我想問局長，會否考慮讓</w:t>
      </w:r>
      <w:r>
        <w:rPr>
          <w:i/>
          <w:spacing w:val="20"/>
          <w:sz w:val="27"/>
        </w:rPr>
        <w:t>2000</w:t>
      </w:r>
      <w:r>
        <w:rPr>
          <w:i/>
          <w:spacing w:val="20"/>
          <w:sz w:val="27"/>
        </w:rPr>
        <w:t>年前入職的公務員</w:t>
      </w:r>
      <w:r>
        <w:rPr>
          <w:i/>
          <w:spacing w:val="20"/>
          <w:sz w:val="27"/>
        </w:rPr>
        <w:t>(</w:t>
      </w:r>
      <w:r>
        <w:rPr>
          <w:i/>
          <w:spacing w:val="20"/>
          <w:sz w:val="27"/>
        </w:rPr>
        <w:t>包括紀律部隊及其他公務員</w:t>
      </w:r>
      <w:r>
        <w:rPr>
          <w:i/>
          <w:spacing w:val="20"/>
          <w:sz w:val="27"/>
        </w:rPr>
        <w:t>)</w:t>
      </w:r>
      <w:r>
        <w:rPr>
          <w:i/>
          <w:spacing w:val="20"/>
          <w:sz w:val="27"/>
        </w:rPr>
        <w:t>可以延長退休年齡至</w:t>
      </w:r>
      <w:r>
        <w:rPr>
          <w:i/>
          <w:spacing w:val="20"/>
          <w:sz w:val="27"/>
        </w:rPr>
        <w:t>65</w:t>
      </w:r>
      <w:r>
        <w:rPr>
          <w:i/>
          <w:spacing w:val="20"/>
          <w:sz w:val="27"/>
        </w:rPr>
        <w:t>歲？</w:t>
      </w:r>
    </w:p>
    <w:p>
      <w:pPr>
        <w:pStyle w:val="Normal"/>
        <w:tabs>
          <w:tab w:val="left" w:pos="567" w:leader="none"/>
          <w:tab w:val="left" w:pos="720" w:leader="none"/>
        </w:tabs>
        <w:overflowPunct w:val="true"/>
        <w:spacing w:lineRule="atLeast" w:line="370"/>
        <w:rPr>
          <w:spacing w:val="20"/>
          <w:sz w:val="27"/>
          <w:szCs w:val="27"/>
        </w:rPr>
      </w:pPr>
      <w:r>
        <w:rPr>
          <w:spacing w:val="20"/>
          <w:sz w:val="27"/>
          <w:szCs w:val="27"/>
        </w:rPr>
      </w:r>
    </w:p>
    <w:p>
      <w:pPr>
        <w:pStyle w:val="Normal"/>
        <w:tabs>
          <w:tab w:val="left" w:pos="567" w:leader="none"/>
          <w:tab w:val="left" w:pos="720" w:leader="none"/>
        </w:tabs>
        <w:overflowPunct w:val="true"/>
        <w:spacing w:lineRule="atLeast" w:line="370"/>
        <w:rPr>
          <w:spacing w:val="20"/>
          <w:sz w:val="27"/>
          <w:szCs w:val="27"/>
        </w:rPr>
      </w:pPr>
      <w:r>
        <w:rPr>
          <w:spacing w:val="20"/>
          <w:sz w:val="27"/>
          <w:szCs w:val="27"/>
        </w:rPr>
      </w:r>
    </w:p>
    <w:p>
      <w:pPr>
        <w:pStyle w:val="Normal"/>
        <w:tabs>
          <w:tab w:val="left" w:pos="567" w:leader="none"/>
          <w:tab w:val="left" w:pos="720" w:leader="none"/>
        </w:tabs>
        <w:overflowPunct w:val="true"/>
        <w:spacing w:lineRule="atLeast" w:line="370"/>
        <w:rPr>
          <w:spacing w:val="20"/>
          <w:sz w:val="27"/>
          <w:szCs w:val="27"/>
        </w:rPr>
      </w:pPr>
      <w:r>
        <w:rPr>
          <w:rFonts w:eastAsia="華康中黑體"/>
          <w:b/>
          <w:spacing w:val="20"/>
          <w:kern w:val="2"/>
          <w:sz w:val="27"/>
          <w:szCs w:val="27"/>
        </w:rPr>
        <w:t>公務員事務局局長</w:t>
      </w:r>
      <w:r>
        <w:rPr>
          <w:spacing w:val="20"/>
          <w:sz w:val="27"/>
          <w:szCs w:val="27"/>
        </w:rPr>
        <w:t>：多謝何</w:t>
      </w:r>
      <w:r>
        <w:rPr>
          <w:rFonts w:ascii="華康細明體" w:hAnsi="華康細明體" w:cs="華康細明體"/>
          <w:spacing w:val="20"/>
          <w:sz w:val="27"/>
          <w:szCs w:val="27"/>
        </w:rPr>
        <w:t>議員</w:t>
      </w:r>
      <w:r>
        <w:rPr>
          <w:spacing w:val="20"/>
          <w:sz w:val="27"/>
          <w:szCs w:val="27"/>
        </w:rPr>
        <w:t>的補充質詢。政府十分認真審視人口老化的情況，以及勞動人口的變化。</w:t>
      </w:r>
    </w:p>
    <w:p>
      <w:pPr>
        <w:pStyle w:val="Normal"/>
        <w:tabs>
          <w:tab w:val="left" w:pos="567" w:leader="none"/>
          <w:tab w:val="left" w:pos="720" w:leader="none"/>
        </w:tabs>
        <w:overflowPunct w:val="true"/>
        <w:spacing w:lineRule="atLeast" w:line="370"/>
        <w:rPr>
          <w:spacing w:val="20"/>
          <w:sz w:val="27"/>
          <w:szCs w:val="27"/>
        </w:rPr>
      </w:pPr>
      <w:r>
        <w:rPr>
          <w:spacing w:val="20"/>
          <w:sz w:val="27"/>
          <w:szCs w:val="27"/>
        </w:rPr>
      </w:r>
    </w:p>
    <w:p>
      <w:pPr>
        <w:pStyle w:val="Normal"/>
        <w:tabs>
          <w:tab w:val="left" w:pos="567" w:leader="none"/>
          <w:tab w:val="left" w:pos="720" w:leader="none"/>
        </w:tabs>
        <w:overflowPunct w:val="true"/>
        <w:spacing w:lineRule="atLeast" w:line="370"/>
        <w:rPr>
          <w:spacing w:val="20"/>
          <w:sz w:val="27"/>
          <w:szCs w:val="27"/>
        </w:rPr>
      </w:pPr>
      <w:r>
        <w:rPr>
          <w:spacing w:val="20"/>
          <w:sz w:val="27"/>
          <w:szCs w:val="27"/>
        </w:rPr>
        <w:tab/>
      </w:r>
      <w:r>
        <w:rPr>
          <w:spacing w:val="20"/>
          <w:sz w:val="27"/>
          <w:szCs w:val="27"/>
        </w:rPr>
        <w:t>其實，根據現行政策，在</w:t>
      </w:r>
      <w:r>
        <w:rPr>
          <w:spacing w:val="20"/>
          <w:sz w:val="27"/>
          <w:szCs w:val="27"/>
        </w:rPr>
        <w:t>2015</w:t>
      </w:r>
      <w:r>
        <w:rPr>
          <w:spacing w:val="20"/>
          <w:sz w:val="27"/>
          <w:szCs w:val="27"/>
        </w:rPr>
        <w:t>年後入職的公務員的服務年期已可延長至</w:t>
      </w:r>
      <w:r>
        <w:rPr>
          <w:spacing w:val="20"/>
          <w:sz w:val="27"/>
          <w:szCs w:val="27"/>
        </w:rPr>
        <w:t>65</w:t>
      </w:r>
      <w:r>
        <w:rPr>
          <w:spacing w:val="20"/>
          <w:sz w:val="27"/>
          <w:szCs w:val="27"/>
        </w:rPr>
        <w:t>歲，而</w:t>
      </w:r>
      <w:r>
        <w:rPr>
          <w:spacing w:val="20"/>
          <w:sz w:val="27"/>
          <w:szCs w:val="27"/>
        </w:rPr>
        <w:t>2000</w:t>
      </w:r>
      <w:r>
        <w:rPr>
          <w:spacing w:val="20"/>
          <w:sz w:val="27"/>
          <w:szCs w:val="27"/>
        </w:rPr>
        <w:t>年至</w:t>
      </w:r>
      <w:r>
        <w:rPr>
          <w:spacing w:val="20"/>
          <w:sz w:val="27"/>
          <w:szCs w:val="27"/>
        </w:rPr>
        <w:t>2015</w:t>
      </w:r>
      <w:r>
        <w:rPr>
          <w:spacing w:val="20"/>
          <w:sz w:val="27"/>
          <w:szCs w:val="27"/>
        </w:rPr>
        <w:t>年期間入職的公務員亦可作出選擇。何啟明議員提出的補充質詢是，為何不能讓</w:t>
      </w:r>
      <w:r>
        <w:rPr>
          <w:spacing w:val="20"/>
          <w:sz w:val="27"/>
          <w:szCs w:val="27"/>
        </w:rPr>
        <w:t>2000</w:t>
      </w:r>
      <w:r>
        <w:rPr>
          <w:spacing w:val="20"/>
          <w:sz w:val="27"/>
          <w:szCs w:val="27"/>
        </w:rPr>
        <w:t>年</w:t>
      </w:r>
      <w:r>
        <w:rPr>
          <w:spacing w:val="20"/>
          <w:sz w:val="27"/>
          <w:szCs w:val="27"/>
        </w:rPr>
        <w:t>6</w:t>
      </w:r>
      <w:r>
        <w:rPr>
          <w:spacing w:val="20"/>
          <w:sz w:val="27"/>
          <w:szCs w:val="27"/>
        </w:rPr>
        <w:t>月</w:t>
      </w:r>
      <w:r>
        <w:rPr>
          <w:spacing w:val="20"/>
          <w:sz w:val="27"/>
          <w:szCs w:val="27"/>
        </w:rPr>
        <w:t>1</w:t>
      </w:r>
      <w:r>
        <w:rPr>
          <w:spacing w:val="20"/>
          <w:sz w:val="27"/>
          <w:szCs w:val="27"/>
        </w:rPr>
        <w:t>日前入職的公務員選擇呢？我已在主體答覆中指出，政府不能忽略任何政策改動所引致的各種問題。如果我們讓</w:t>
      </w:r>
      <w:r>
        <w:rPr>
          <w:spacing w:val="20"/>
          <w:sz w:val="27"/>
          <w:szCs w:val="27"/>
        </w:rPr>
        <w:t>2000</w:t>
      </w:r>
      <w:r>
        <w:rPr>
          <w:spacing w:val="20"/>
          <w:sz w:val="27"/>
          <w:szCs w:val="27"/>
        </w:rPr>
        <w:t>年前入職的公務員亦可以選擇，便會引致我今天提出的人力資源錯配、妨礙晉升及健康更替等問題。</w:t>
      </w:r>
    </w:p>
    <w:p>
      <w:pPr>
        <w:pStyle w:val="Normal"/>
        <w:widowControl/>
        <w:tabs>
          <w:tab w:val="clear" w:pos="720"/>
        </w:tabs>
        <w:snapToGrid w:val="true"/>
        <w:spacing w:lineRule="auto" w:line="276" w:before="0" w:after="200"/>
        <w:jc w:val="left"/>
        <w:rPr>
          <w:spacing w:val="20"/>
          <w:sz w:val="27"/>
          <w:szCs w:val="27"/>
        </w:rPr>
      </w:pPr>
      <w:r>
        <w:rPr>
          <w:spacing w:val="20"/>
          <w:sz w:val="27"/>
          <w:szCs w:val="27"/>
        </w:rPr>
      </w:r>
      <w:r>
        <w:br w:type="page"/>
      </w:r>
    </w:p>
    <w:p>
      <w:pPr>
        <w:pStyle w:val="Normal"/>
        <w:tabs>
          <w:tab w:val="left" w:pos="567" w:leader="none"/>
          <w:tab w:val="left" w:pos="720" w:leader="none"/>
        </w:tabs>
        <w:overflowPunct w:val="true"/>
        <w:spacing w:lineRule="atLeast" w:line="350"/>
        <w:rPr>
          <w:spacing w:val="20"/>
          <w:sz w:val="27"/>
          <w:szCs w:val="27"/>
        </w:rPr>
      </w:pPr>
      <w:r>
        <w:rPr>
          <w:spacing w:val="20"/>
          <w:sz w:val="27"/>
          <w:szCs w:val="27"/>
        </w:rPr>
        <w:tab/>
      </w:r>
      <w:r>
        <w:rPr>
          <w:spacing w:val="20"/>
          <w:sz w:val="27"/>
          <w:szCs w:val="27"/>
        </w:rPr>
        <w:t>有鑒於此，在衡量這數方面的前提後，我們決定容許部門因應其運作需要、流失情況，以及更替問題而作靈活處理，透過靈活處理的方法，讓一部分</w:t>
      </w:r>
      <w:r>
        <w:rPr>
          <w:spacing w:val="20"/>
          <w:sz w:val="27"/>
          <w:szCs w:val="27"/>
        </w:rPr>
        <w:t>2000</w:t>
      </w:r>
      <w:r>
        <w:rPr>
          <w:spacing w:val="20"/>
          <w:sz w:val="27"/>
          <w:szCs w:val="27"/>
        </w:rPr>
        <w:t>年前入職的公務員可以在退休後繼續留任。</w:t>
      </w:r>
    </w:p>
    <w:p>
      <w:pPr>
        <w:pStyle w:val="Normal"/>
        <w:tabs>
          <w:tab w:val="left" w:pos="567" w:leader="none"/>
          <w:tab w:val="left" w:pos="720" w:leader="none"/>
        </w:tabs>
        <w:overflowPunct w:val="true"/>
        <w:spacing w:lineRule="atLeast" w:line="350"/>
        <w:rPr>
          <w:spacing w:val="20"/>
          <w:sz w:val="27"/>
          <w:szCs w:val="27"/>
        </w:rPr>
      </w:pPr>
      <w:r>
        <w:rPr>
          <w:spacing w:val="20"/>
          <w:sz w:val="27"/>
          <w:szCs w:val="27"/>
        </w:rPr>
      </w:r>
    </w:p>
    <w:p>
      <w:pPr>
        <w:pStyle w:val="Normal"/>
        <w:tabs>
          <w:tab w:val="left" w:pos="567" w:leader="none"/>
          <w:tab w:val="left" w:pos="720" w:leader="none"/>
        </w:tabs>
        <w:overflowPunct w:val="true"/>
        <w:spacing w:lineRule="atLeast" w:line="350"/>
        <w:rPr>
          <w:spacing w:val="20"/>
          <w:sz w:val="27"/>
          <w:szCs w:val="27"/>
        </w:rPr>
      </w:pPr>
      <w:r>
        <w:rPr>
          <w:spacing w:val="20"/>
          <w:sz w:val="27"/>
          <w:szCs w:val="27"/>
        </w:rPr>
        <w:tab/>
      </w:r>
      <w:r>
        <w:rPr>
          <w:spacing w:val="20"/>
          <w:sz w:val="27"/>
          <w:szCs w:val="27"/>
        </w:rPr>
        <w:t>我在此向各位舉出一些數字，在過去兩三年，大約有</w:t>
      </w:r>
      <w:r>
        <w:rPr>
          <w:spacing w:val="20"/>
          <w:sz w:val="27"/>
          <w:szCs w:val="27"/>
        </w:rPr>
        <w:t>9 900</w:t>
      </w:r>
      <w:r>
        <w:rPr>
          <w:spacing w:val="20"/>
          <w:sz w:val="27"/>
          <w:szCs w:val="27"/>
        </w:rPr>
        <w:t>宗靈活處理的個案獲批准，可見我們已致力就不同訴求取得平衡。</w:t>
      </w:r>
    </w:p>
    <w:p>
      <w:pPr>
        <w:pStyle w:val="Normal"/>
        <w:tabs>
          <w:tab w:val="left" w:pos="567" w:leader="none"/>
          <w:tab w:val="left" w:pos="720" w:leader="none"/>
        </w:tabs>
        <w:overflowPunct w:val="true"/>
        <w:spacing w:lineRule="atLeast" w:line="350"/>
        <w:rPr>
          <w:spacing w:val="20"/>
          <w:sz w:val="27"/>
          <w:szCs w:val="27"/>
        </w:rPr>
      </w:pPr>
      <w:r>
        <w:rPr>
          <w:spacing w:val="20"/>
          <w:sz w:val="27"/>
          <w:szCs w:val="27"/>
        </w:rPr>
      </w:r>
    </w:p>
    <w:p>
      <w:pPr>
        <w:pStyle w:val="Normal"/>
        <w:tabs>
          <w:tab w:val="left" w:pos="567" w:leader="none"/>
          <w:tab w:val="left" w:pos="720" w:leader="none"/>
        </w:tabs>
        <w:overflowPunct w:val="true"/>
        <w:spacing w:lineRule="atLeast" w:line="350"/>
        <w:rPr>
          <w:spacing w:val="20"/>
          <w:sz w:val="27"/>
          <w:szCs w:val="27"/>
        </w:rPr>
      </w:pPr>
      <w:r>
        <w:rPr>
          <w:spacing w:val="20"/>
          <w:sz w:val="27"/>
          <w:szCs w:val="27"/>
        </w:rPr>
      </w:r>
    </w:p>
    <w:p>
      <w:pPr>
        <w:pStyle w:val="Normal"/>
        <w:tabs>
          <w:tab w:val="left" w:pos="567" w:leader="none"/>
          <w:tab w:val="left" w:pos="720" w:leader="none"/>
        </w:tabs>
        <w:overflowPunct w:val="true"/>
        <w:spacing w:lineRule="atLeast" w:line="350"/>
        <w:rPr>
          <w:i/>
          <w:i/>
          <w:spacing w:val="20"/>
          <w:sz w:val="27"/>
          <w:szCs w:val="27"/>
        </w:rPr>
      </w:pPr>
      <w:r>
        <w:rPr>
          <w:rFonts w:eastAsia="華康中黑體"/>
          <w:b/>
          <w:spacing w:val="20"/>
          <w:kern w:val="2"/>
          <w:sz w:val="27"/>
          <w:szCs w:val="27"/>
        </w:rPr>
        <w:t>鄭松泰議員</w:t>
      </w:r>
      <w:r>
        <w:rPr>
          <w:spacing w:val="20"/>
          <w:sz w:val="27"/>
          <w:szCs w:val="27"/>
        </w:rPr>
        <w:t>：</w:t>
      </w:r>
      <w:r>
        <w:rPr>
          <w:i/>
          <w:spacing w:val="20"/>
          <w:sz w:val="27"/>
          <w:szCs w:val="27"/>
        </w:rPr>
        <w:t>終審法院已於本年</w:t>
      </w:r>
      <w:r>
        <w:rPr>
          <w:i/>
          <w:spacing w:val="20"/>
          <w:sz w:val="27"/>
          <w:szCs w:val="27"/>
        </w:rPr>
        <w:t>1</w:t>
      </w:r>
      <w:r>
        <w:rPr>
          <w:i/>
          <w:spacing w:val="20"/>
          <w:sz w:val="27"/>
          <w:szCs w:val="27"/>
        </w:rPr>
        <w:t>月拒絕警司朱經緯的</w:t>
      </w:r>
      <w:r>
        <w:rPr>
          <w:i/>
          <w:spacing w:val="20"/>
          <w:sz w:val="27"/>
          <w:szCs w:val="27"/>
        </w:rPr>
        <w:t>"</w:t>
      </w:r>
      <w:r>
        <w:rPr>
          <w:i/>
          <w:spacing w:val="20"/>
          <w:sz w:val="27"/>
          <w:szCs w:val="27"/>
        </w:rPr>
        <w:t>終極上訴</w:t>
      </w:r>
      <w:r>
        <w:rPr>
          <w:i/>
          <w:spacing w:val="20"/>
          <w:sz w:val="27"/>
          <w:szCs w:val="27"/>
        </w:rPr>
        <w:t>"</w:t>
      </w:r>
      <w:r>
        <w:rPr>
          <w:i/>
          <w:spacing w:val="20"/>
          <w:sz w:val="27"/>
          <w:szCs w:val="27"/>
        </w:rPr>
        <w:t>，但社會大眾對《退休金條例》的漏洞感到非常譁然，為何公務員在任職公務員期間犯法，以致退休後罪成，仍可穩袋</w:t>
      </w:r>
      <w:r>
        <w:rPr>
          <w:i/>
          <w:spacing w:val="20"/>
          <w:sz w:val="27"/>
          <w:szCs w:val="27"/>
        </w:rPr>
        <w:t>500</w:t>
      </w:r>
      <w:r>
        <w:rPr>
          <w:i/>
          <w:spacing w:val="20"/>
          <w:sz w:val="27"/>
          <w:szCs w:val="27"/>
        </w:rPr>
        <w:t>萬元退休金？這個漏洞非常有問題。</w:t>
      </w:r>
    </w:p>
    <w:p>
      <w:pPr>
        <w:pStyle w:val="Normal"/>
        <w:tabs>
          <w:tab w:val="left" w:pos="567" w:leader="none"/>
          <w:tab w:val="left" w:pos="720" w:leader="none"/>
        </w:tabs>
        <w:overflowPunct w:val="true"/>
        <w:spacing w:lineRule="atLeast" w:line="350"/>
        <w:rPr>
          <w:i/>
          <w:i/>
          <w:spacing w:val="20"/>
          <w:sz w:val="27"/>
          <w:szCs w:val="27"/>
        </w:rPr>
      </w:pPr>
      <w:r>
        <w:rPr>
          <w:i/>
          <w:spacing w:val="20"/>
          <w:sz w:val="27"/>
          <w:szCs w:val="27"/>
        </w:rPr>
      </w:r>
    </w:p>
    <w:p>
      <w:pPr>
        <w:pStyle w:val="Normal"/>
        <w:tabs>
          <w:tab w:val="left" w:pos="567" w:leader="none"/>
          <w:tab w:val="left" w:pos="720" w:leader="none"/>
        </w:tabs>
        <w:overflowPunct w:val="true"/>
        <w:spacing w:lineRule="atLeast" w:line="350"/>
        <w:rPr>
          <w:i/>
          <w:i/>
          <w:spacing w:val="20"/>
          <w:sz w:val="27"/>
          <w:szCs w:val="27"/>
        </w:rPr>
      </w:pPr>
      <w:r>
        <w:rPr>
          <w:i/>
          <w:spacing w:val="20"/>
          <w:sz w:val="27"/>
          <w:szCs w:val="27"/>
        </w:rPr>
        <w:tab/>
      </w:r>
      <w:r>
        <w:rPr>
          <w:i/>
          <w:spacing w:val="20"/>
          <w:sz w:val="27"/>
          <w:szCs w:val="27"/>
        </w:rPr>
        <w:t>我想問局長，有否計劃修訂《退休金條例》，規定若公務員在擔任公職期間犯罪，即使退休後才被定罪，局方亦必須追討有關的退休金和薪酬福利呢？</w:t>
      </w:r>
    </w:p>
    <w:p>
      <w:pPr>
        <w:pStyle w:val="Normal"/>
        <w:tabs>
          <w:tab w:val="left" w:pos="567" w:leader="none"/>
          <w:tab w:val="left" w:pos="720" w:leader="none"/>
        </w:tabs>
        <w:overflowPunct w:val="true"/>
        <w:spacing w:lineRule="atLeast" w:line="350"/>
        <w:rPr>
          <w:spacing w:val="20"/>
          <w:sz w:val="27"/>
          <w:szCs w:val="27"/>
        </w:rPr>
      </w:pPr>
      <w:r>
        <w:rPr>
          <w:spacing w:val="20"/>
          <w:sz w:val="27"/>
          <w:szCs w:val="27"/>
        </w:rPr>
      </w:r>
    </w:p>
    <w:p>
      <w:pPr>
        <w:pStyle w:val="Normal"/>
        <w:tabs>
          <w:tab w:val="left" w:pos="567" w:leader="none"/>
          <w:tab w:val="left" w:pos="720" w:leader="none"/>
        </w:tabs>
        <w:overflowPunct w:val="true"/>
        <w:spacing w:lineRule="atLeast" w:line="350"/>
        <w:rPr>
          <w:spacing w:val="20"/>
          <w:sz w:val="27"/>
          <w:szCs w:val="27"/>
        </w:rPr>
      </w:pPr>
      <w:r>
        <w:rPr>
          <w:spacing w:val="20"/>
          <w:sz w:val="27"/>
          <w:szCs w:val="27"/>
        </w:rPr>
      </w:r>
    </w:p>
    <w:p>
      <w:pPr>
        <w:pStyle w:val="Normal"/>
        <w:tabs>
          <w:tab w:val="left" w:pos="567" w:leader="none"/>
          <w:tab w:val="left" w:pos="720" w:leader="none"/>
        </w:tabs>
        <w:overflowPunct w:val="true"/>
        <w:spacing w:lineRule="atLeast" w:line="350"/>
        <w:rPr>
          <w:spacing w:val="20"/>
          <w:sz w:val="27"/>
          <w:szCs w:val="27"/>
        </w:rPr>
      </w:pPr>
      <w:r>
        <w:rPr>
          <w:rFonts w:ascii="華康中黑體" w:hAnsi="華康中黑體" w:eastAsia="華康中黑體"/>
          <w:b/>
          <w:spacing w:val="20"/>
          <w:sz w:val="27"/>
          <w:szCs w:val="27"/>
        </w:rPr>
        <w:t>主席</w:t>
      </w:r>
      <w:r>
        <w:rPr>
          <w:spacing w:val="20"/>
          <w:sz w:val="27"/>
          <w:szCs w:val="27"/>
        </w:rPr>
        <w:t>：鄭松泰議員，你的補充質詢偏離了主體質詢範圍。不過，局長，你會否</w:t>
      </w:r>
      <w:r>
        <w:rPr>
          <w:spacing w:val="20"/>
          <w:sz w:val="27"/>
          <w:szCs w:val="27"/>
        </w:rPr>
        <w:t>......</w:t>
      </w:r>
    </w:p>
    <w:p>
      <w:pPr>
        <w:pStyle w:val="Normal"/>
        <w:tabs>
          <w:tab w:val="left" w:pos="567" w:leader="none"/>
          <w:tab w:val="left" w:pos="720" w:leader="none"/>
        </w:tabs>
        <w:overflowPunct w:val="true"/>
        <w:spacing w:lineRule="atLeast" w:line="350"/>
        <w:rPr>
          <w:spacing w:val="20"/>
          <w:sz w:val="27"/>
          <w:szCs w:val="27"/>
        </w:rPr>
      </w:pPr>
      <w:r>
        <w:rPr>
          <w:spacing w:val="20"/>
          <w:sz w:val="27"/>
          <w:szCs w:val="27"/>
        </w:rPr>
      </w:r>
    </w:p>
    <w:p>
      <w:pPr>
        <w:pStyle w:val="Normal"/>
        <w:tabs>
          <w:tab w:val="left" w:pos="567" w:leader="none"/>
          <w:tab w:val="left" w:pos="720" w:leader="none"/>
        </w:tabs>
        <w:overflowPunct w:val="true"/>
        <w:spacing w:lineRule="atLeast" w:line="350"/>
        <w:rPr>
          <w:spacing w:val="20"/>
          <w:sz w:val="27"/>
          <w:szCs w:val="27"/>
        </w:rPr>
      </w:pPr>
      <w:r>
        <w:rPr>
          <w:spacing w:val="20"/>
          <w:sz w:val="27"/>
          <w:szCs w:val="27"/>
        </w:rPr>
      </w:r>
    </w:p>
    <w:p>
      <w:pPr>
        <w:pStyle w:val="Normal"/>
        <w:tabs>
          <w:tab w:val="left" w:pos="567" w:leader="none"/>
          <w:tab w:val="left" w:pos="720" w:leader="none"/>
        </w:tabs>
        <w:overflowPunct w:val="true"/>
        <w:spacing w:lineRule="atLeast" w:line="350"/>
        <w:rPr>
          <w:spacing w:val="20"/>
          <w:sz w:val="27"/>
          <w:szCs w:val="27"/>
        </w:rPr>
      </w:pPr>
      <w:r>
        <w:rPr>
          <w:rFonts w:ascii="華康中黑體" w:hAnsi="華康中黑體" w:eastAsia="華康中黑體"/>
          <w:b/>
          <w:spacing w:val="20"/>
          <w:sz w:val="27"/>
          <w:szCs w:val="27"/>
        </w:rPr>
        <w:t>鄭松泰議員</w:t>
      </w:r>
      <w:r>
        <w:rPr>
          <w:spacing w:val="20"/>
          <w:sz w:val="27"/>
          <w:szCs w:val="27"/>
        </w:rPr>
        <w:t>：</w:t>
      </w:r>
      <w:r>
        <w:rPr>
          <w:i/>
          <w:spacing w:val="20"/>
          <w:sz w:val="27"/>
          <w:szCs w:val="27"/>
        </w:rPr>
        <w:t>主體質詢關乎紀律部隊人員的薪酬待遇，而我的問題絕對與薪酬待遇有關，退休金和長俸怎會不</w:t>
      </w:r>
      <w:r>
        <w:rPr>
          <w:i/>
          <w:spacing w:val="20"/>
          <w:sz w:val="27"/>
          <w:szCs w:val="27"/>
        </w:rPr>
        <w:t>......</w:t>
      </w:r>
    </w:p>
    <w:p>
      <w:pPr>
        <w:pStyle w:val="Normal"/>
        <w:tabs>
          <w:tab w:val="left" w:pos="567" w:leader="none"/>
          <w:tab w:val="left" w:pos="720" w:leader="none"/>
        </w:tabs>
        <w:overflowPunct w:val="true"/>
        <w:spacing w:lineRule="atLeast" w:line="350"/>
        <w:rPr>
          <w:spacing w:val="20"/>
          <w:sz w:val="27"/>
          <w:szCs w:val="27"/>
        </w:rPr>
      </w:pPr>
      <w:r>
        <w:rPr>
          <w:spacing w:val="20"/>
          <w:sz w:val="27"/>
          <w:szCs w:val="27"/>
        </w:rPr>
      </w:r>
    </w:p>
    <w:p>
      <w:pPr>
        <w:pStyle w:val="Normal"/>
        <w:tabs>
          <w:tab w:val="left" w:pos="567" w:leader="none"/>
          <w:tab w:val="left" w:pos="720" w:leader="none"/>
        </w:tabs>
        <w:overflowPunct w:val="true"/>
        <w:spacing w:lineRule="atLeast" w:line="350"/>
        <w:rPr>
          <w:spacing w:val="20"/>
          <w:sz w:val="27"/>
          <w:szCs w:val="27"/>
        </w:rPr>
      </w:pPr>
      <w:r>
        <w:rPr>
          <w:spacing w:val="20"/>
          <w:sz w:val="27"/>
          <w:szCs w:val="27"/>
        </w:rPr>
      </w:r>
    </w:p>
    <w:p>
      <w:pPr>
        <w:pStyle w:val="Normal"/>
        <w:tabs>
          <w:tab w:val="left" w:pos="567" w:leader="none"/>
          <w:tab w:val="left" w:pos="720" w:leader="none"/>
        </w:tabs>
        <w:overflowPunct w:val="true"/>
        <w:spacing w:lineRule="atLeast" w:line="350"/>
        <w:rPr>
          <w:spacing w:val="20"/>
          <w:sz w:val="27"/>
          <w:szCs w:val="27"/>
        </w:rPr>
      </w:pPr>
      <w:r>
        <w:rPr>
          <w:rFonts w:ascii="華康中黑體" w:hAnsi="華康中黑體" w:eastAsia="華康中黑體"/>
          <w:b/>
          <w:spacing w:val="20"/>
          <w:sz w:val="27"/>
          <w:szCs w:val="27"/>
        </w:rPr>
        <w:t>主席</w:t>
      </w:r>
      <w:r>
        <w:rPr>
          <w:spacing w:val="20"/>
          <w:sz w:val="27"/>
          <w:szCs w:val="27"/>
        </w:rPr>
        <w:t>：鄭議員，請坐下。局長，你有否回應？</w:t>
      </w:r>
    </w:p>
    <w:p>
      <w:pPr>
        <w:pStyle w:val="Normal"/>
        <w:tabs>
          <w:tab w:val="left" w:pos="567" w:leader="none"/>
          <w:tab w:val="left" w:pos="720" w:leader="none"/>
        </w:tabs>
        <w:overflowPunct w:val="true"/>
        <w:spacing w:lineRule="atLeast" w:line="350"/>
        <w:rPr>
          <w:spacing w:val="20"/>
          <w:sz w:val="27"/>
          <w:szCs w:val="27"/>
        </w:rPr>
      </w:pPr>
      <w:r>
        <w:rPr>
          <w:spacing w:val="20"/>
          <w:sz w:val="27"/>
          <w:szCs w:val="27"/>
        </w:rPr>
      </w:r>
    </w:p>
    <w:p>
      <w:pPr>
        <w:pStyle w:val="Normal"/>
        <w:tabs>
          <w:tab w:val="left" w:pos="567" w:leader="none"/>
          <w:tab w:val="left" w:pos="720" w:leader="none"/>
        </w:tabs>
        <w:overflowPunct w:val="true"/>
        <w:spacing w:lineRule="atLeast" w:line="350"/>
        <w:rPr>
          <w:spacing w:val="20"/>
          <w:sz w:val="27"/>
          <w:szCs w:val="27"/>
        </w:rPr>
      </w:pPr>
      <w:r>
        <w:rPr>
          <w:spacing w:val="20"/>
          <w:sz w:val="27"/>
          <w:szCs w:val="27"/>
        </w:rPr>
      </w:r>
    </w:p>
    <w:p>
      <w:pPr>
        <w:pStyle w:val="Normal"/>
        <w:tabs>
          <w:tab w:val="left" w:pos="567" w:leader="none"/>
          <w:tab w:val="left" w:pos="720" w:leader="none"/>
        </w:tabs>
        <w:overflowPunct w:val="true"/>
        <w:spacing w:lineRule="atLeast" w:line="350"/>
        <w:rPr>
          <w:spacing w:val="20"/>
          <w:sz w:val="27"/>
          <w:szCs w:val="27"/>
        </w:rPr>
      </w:pPr>
      <w:r>
        <w:rPr>
          <w:rFonts w:eastAsia="華康中黑體"/>
          <w:b/>
          <w:spacing w:val="20"/>
          <w:kern w:val="2"/>
          <w:sz w:val="27"/>
          <w:szCs w:val="27"/>
        </w:rPr>
        <w:t>公務員事務局局長</w:t>
      </w:r>
      <w:r>
        <w:rPr>
          <w:spacing w:val="20"/>
          <w:sz w:val="27"/>
          <w:szCs w:val="27"/>
        </w:rPr>
        <w:t>：主席，我很簡單的回應，我不會評論個別個案。一般而言，有關公務員的紀律處分，我們會按照有關的法例和程序跟進。</w:t>
      </w:r>
    </w:p>
    <w:p>
      <w:pPr>
        <w:pStyle w:val="Normal"/>
        <w:tabs>
          <w:tab w:val="left" w:pos="567" w:leader="none"/>
          <w:tab w:val="left" w:pos="720" w:leader="none"/>
        </w:tabs>
        <w:overflowPunct w:val="true"/>
        <w:spacing w:lineRule="atLeast" w:line="350"/>
        <w:rPr>
          <w:spacing w:val="20"/>
          <w:sz w:val="27"/>
          <w:szCs w:val="27"/>
        </w:rPr>
      </w:pPr>
      <w:r>
        <w:rPr>
          <w:spacing w:val="20"/>
          <w:sz w:val="27"/>
          <w:szCs w:val="27"/>
        </w:rPr>
      </w:r>
    </w:p>
    <w:p>
      <w:pPr>
        <w:pStyle w:val="F21"/>
        <w:overflowPunct w:val="true"/>
        <w:spacing w:lineRule="atLeast" w:line="350"/>
        <w:rPr/>
      </w:pPr>
      <w:r>
        <w:rPr/>
        <w:t>(</w:t>
      </w:r>
      <w:r>
        <w:rPr/>
        <w:t>鄭松泰議員站起來擬再作提問</w:t>
      </w:r>
      <w:r>
        <w:rPr/>
        <w:t>)</w:t>
      </w:r>
    </w:p>
    <w:p>
      <w:pPr>
        <w:pStyle w:val="F21"/>
        <w:overflowPunct w:val="true"/>
        <w:spacing w:lineRule="atLeast" w:line="350"/>
        <w:rPr/>
      </w:pPr>
      <w:r>
        <w:rPr/>
      </w:r>
    </w:p>
    <w:p>
      <w:pPr>
        <w:pStyle w:val="F21"/>
        <w:overflowPunct w:val="true"/>
        <w:spacing w:lineRule="atLeast" w:line="350"/>
        <w:rPr/>
      </w:pPr>
      <w:r>
        <w:rPr/>
      </w:r>
    </w:p>
    <w:p>
      <w:pPr>
        <w:pStyle w:val="F21"/>
        <w:overflowPunct w:val="true"/>
        <w:spacing w:lineRule="atLeast" w:line="350"/>
        <w:rPr/>
      </w:pPr>
      <w:r>
        <w:rPr>
          <w:rFonts w:ascii="華康中黑體" w:hAnsi="華康中黑體" w:eastAsia="華康中黑體"/>
          <w:b/>
        </w:rPr>
        <w:t>主席</w:t>
      </w:r>
      <w:r>
        <w:rPr/>
        <w:t>：鄭松泰議員，你的補充質詢不屬主體質詢範圍，請坐下。如果你有其他問題，請在其他場合向局長提出。</w:t>
      </w:r>
    </w:p>
    <w:p>
      <w:pPr>
        <w:pStyle w:val="Normal"/>
        <w:widowControl/>
        <w:tabs>
          <w:tab w:val="clear" w:pos="720"/>
        </w:tabs>
        <w:snapToGrid w:val="true"/>
        <w:spacing w:lineRule="auto" w:line="276" w:before="0" w:after="200"/>
        <w:jc w:val="left"/>
        <w:rPr>
          <w:rFonts w:cs="" w:cstheme="minorBidi"/>
          <w:spacing w:val="20"/>
          <w:sz w:val="27"/>
          <w:szCs w:val="22"/>
          <w:lang w:val="en-US"/>
        </w:rPr>
      </w:pPr>
      <w:r>
        <w:rPr>
          <w:rFonts w:cs="" w:cstheme="minorBidi"/>
          <w:spacing w:val="20"/>
          <w:sz w:val="27"/>
          <w:szCs w:val="22"/>
          <w:lang w:val="en-US"/>
        </w:rPr>
      </w:r>
      <w:r>
        <w:br w:type="page"/>
      </w:r>
    </w:p>
    <w:p>
      <w:pPr>
        <w:pStyle w:val="F21"/>
        <w:overflowPunct w:val="true"/>
        <w:spacing w:lineRule="atLeast" w:line="370"/>
        <w:rPr>
          <w:i/>
          <w:i/>
        </w:rPr>
      </w:pPr>
      <w:r>
        <w:rPr>
          <w:rFonts w:eastAsia="華康中黑體"/>
          <w:b/>
        </w:rPr>
        <w:t>區諾軒議員</w:t>
      </w:r>
      <w:r>
        <w:rPr/>
        <w:t>：</w:t>
      </w:r>
      <w:r>
        <w:rPr>
          <w:i/>
        </w:rPr>
        <w:t>主體答覆提及紀律部隊的宿舍需求，但我看到當中有很大差別。有懲教署職員向我反映宿舍漏水，而我發現警隊宿舍卻好像</w:t>
      </w:r>
      <w:r>
        <w:rPr>
          <w:i/>
        </w:rPr>
        <w:t>"</w:t>
      </w:r>
      <w:r>
        <w:rPr>
          <w:i/>
        </w:rPr>
        <w:t>大晒</w:t>
      </w:r>
      <w:r>
        <w:rPr>
          <w:i/>
        </w:rPr>
        <w:t>"</w:t>
      </w:r>
      <w:r>
        <w:rPr>
          <w:i/>
        </w:rPr>
        <w:t>。關於西區警署警察宿舍</w:t>
      </w:r>
      <w:r>
        <w:rPr>
          <w:rFonts w:ascii="Symbol" w:hAnsi="Symbol" w:cs="Symbol" w:eastAsia="Symbol"/>
          <w:i/>
        </w:rPr>
        <w:t></w:t>
      </w:r>
      <w:r>
        <w:rPr>
          <w:i/>
        </w:rPr>
        <w:t>即是我們所說的</w:t>
      </w:r>
      <w:r>
        <w:rPr>
          <w:i/>
        </w:rPr>
        <w:t>"</w:t>
      </w:r>
      <w:r>
        <w:rPr>
          <w:i/>
        </w:rPr>
        <w:t>霸地</w:t>
      </w:r>
      <w:r>
        <w:rPr>
          <w:i/>
        </w:rPr>
        <w:t>13</w:t>
      </w:r>
      <w:r>
        <w:rPr>
          <w:i/>
        </w:rPr>
        <w:t>年</w:t>
      </w:r>
      <w:r>
        <w:rPr>
          <w:i/>
        </w:rPr>
        <w:t>"</w:t>
      </w:r>
      <w:r>
        <w:rPr>
          <w:i/>
        </w:rPr>
        <w:t>一‍事</w:t>
      </w:r>
      <w:r>
        <w:rPr>
          <w:rFonts w:ascii="Symbol" w:hAnsi="Symbol" w:cs="Symbol" w:eastAsia="Symbol"/>
          <w:i/>
        </w:rPr>
        <w:t></w:t>
      </w:r>
      <w:r>
        <w:rPr>
          <w:i/>
        </w:rPr>
        <w:t>其實政府很久之前已經另行提供宿舍，但警隊要求興建宿舍、向城市規劃委員會提出申請，當局便照辦。然而，區議會要求收回警隊的一些社區用地，他們卻說不可以、不願意。警隊要求興建宿舍，是否真的無須理會地區訴求？政府推行</w:t>
      </w:r>
      <w:r>
        <w:rPr>
          <w:i/>
        </w:rPr>
        <w:t>"</w:t>
      </w:r>
      <w:r>
        <w:rPr>
          <w:i/>
        </w:rPr>
        <w:t>一地多用</w:t>
      </w:r>
      <w:r>
        <w:rPr>
          <w:i/>
        </w:rPr>
        <w:t>"</w:t>
      </w:r>
      <w:r>
        <w:rPr>
          <w:i/>
        </w:rPr>
        <w:t>又有甚麼成果呢？</w:t>
      </w:r>
    </w:p>
    <w:p>
      <w:pPr>
        <w:pStyle w:val="F21"/>
        <w:overflowPunct w:val="true"/>
        <w:spacing w:lineRule="atLeast" w:line="370"/>
        <w:rPr>
          <w:i/>
          <w:i/>
        </w:rPr>
      </w:pPr>
      <w:r>
        <w:rPr>
          <w:i/>
        </w:rPr>
      </w:r>
    </w:p>
    <w:p>
      <w:pPr>
        <w:pStyle w:val="F21"/>
        <w:overflowPunct w:val="true"/>
        <w:spacing w:lineRule="atLeast" w:line="370"/>
        <w:rPr>
          <w:i/>
          <w:i/>
        </w:rPr>
      </w:pPr>
      <w:r>
        <w:rPr>
          <w:i/>
        </w:rPr>
      </w:r>
    </w:p>
    <w:p>
      <w:pPr>
        <w:pStyle w:val="F21"/>
        <w:overflowPunct w:val="true"/>
        <w:spacing w:lineRule="atLeast" w:line="370"/>
        <w:rPr/>
      </w:pPr>
      <w:r>
        <w:rPr>
          <w:rFonts w:eastAsia="華康中黑體"/>
          <w:b/>
        </w:rPr>
        <w:t>公務員事務局局長</w:t>
      </w:r>
      <w:r>
        <w:rPr/>
        <w:t>：主席，紀律部隊的宿舍項目必須按照程序推展。規劃每個項目的時候，當局均會到不同的諮詢平台</w:t>
      </w:r>
      <w:r>
        <w:rPr>
          <w:rFonts w:ascii="Symbol" w:hAnsi="Symbol" w:cs="Symbol" w:eastAsia="Symbol"/>
        </w:rPr>
        <w:t></w:t>
      </w:r>
      <w:r>
        <w:rPr/>
        <w:t>例如區議會</w:t>
      </w:r>
      <w:r>
        <w:rPr>
          <w:rFonts w:ascii="Symbol" w:hAnsi="Symbol" w:cs="Symbol" w:eastAsia="Symbol"/>
        </w:rPr>
        <w:t></w:t>
      </w:r>
      <w:r>
        <w:rPr/>
        <w:t>進行諮詢。有關西區警署警察宿舍的重建項目，當局在過去一段時間曾與區議會作初步接觸。聽取意見後，我相信他們會在不久的將來到區議會作正式諮詢。因此，地區的意見是可按照程序反映的，而我相信相關的部門及政策局亦會認真聽取意見。</w:t>
      </w:r>
    </w:p>
    <w:p>
      <w:pPr>
        <w:pStyle w:val="F21"/>
        <w:overflowPunct w:val="true"/>
        <w:spacing w:lineRule="atLeast" w:line="370"/>
        <w:rPr/>
      </w:pPr>
      <w:r>
        <w:rPr/>
      </w:r>
    </w:p>
    <w:p>
      <w:pPr>
        <w:pStyle w:val="F21"/>
        <w:overflowPunct w:val="true"/>
        <w:spacing w:lineRule="atLeast" w:line="370"/>
        <w:rPr/>
      </w:pPr>
      <w:r>
        <w:rPr/>
      </w:r>
    </w:p>
    <w:p>
      <w:pPr>
        <w:pStyle w:val="F21"/>
        <w:overflowPunct w:val="true"/>
        <w:spacing w:lineRule="atLeast" w:line="370"/>
        <w:rPr/>
      </w:pPr>
      <w:r>
        <w:rPr>
          <w:rFonts w:eastAsia="華康中黑體"/>
          <w:b/>
        </w:rPr>
        <w:t>主席</w:t>
      </w:r>
      <w:r>
        <w:rPr/>
        <w:t>：區諾軒議員，你的補充質詢哪部分未獲答覆？</w:t>
      </w:r>
    </w:p>
    <w:p>
      <w:pPr>
        <w:pStyle w:val="F21"/>
        <w:overflowPunct w:val="true"/>
        <w:spacing w:lineRule="atLeast" w:line="370"/>
        <w:rPr/>
      </w:pPr>
      <w:r>
        <w:rPr/>
      </w:r>
    </w:p>
    <w:p>
      <w:pPr>
        <w:pStyle w:val="F21"/>
        <w:overflowPunct w:val="true"/>
        <w:spacing w:lineRule="atLeast" w:line="370"/>
        <w:rPr/>
      </w:pPr>
      <w:r>
        <w:rPr/>
      </w:r>
    </w:p>
    <w:p>
      <w:pPr>
        <w:pStyle w:val="F21"/>
        <w:overflowPunct w:val="true"/>
        <w:spacing w:lineRule="atLeast" w:line="370"/>
        <w:rPr>
          <w:i/>
          <w:i/>
        </w:rPr>
      </w:pPr>
      <w:r>
        <w:rPr>
          <w:rFonts w:eastAsia="華康中黑體"/>
          <w:b/>
        </w:rPr>
        <w:t>區諾軒議員</w:t>
      </w:r>
      <w:r>
        <w:rPr/>
        <w:t>：</w:t>
      </w:r>
      <w:r>
        <w:rPr>
          <w:i/>
        </w:rPr>
        <w:t>其實已經諮詢了，但警務處處長說不考慮作任何改變，這就是地區諮詢。</w:t>
      </w:r>
    </w:p>
    <w:p>
      <w:pPr>
        <w:pStyle w:val="F21"/>
        <w:overflowPunct w:val="true"/>
        <w:spacing w:lineRule="atLeast" w:line="370"/>
        <w:rPr>
          <w:i/>
          <w:i/>
        </w:rPr>
      </w:pPr>
      <w:r>
        <w:rPr>
          <w:i/>
        </w:rPr>
      </w:r>
    </w:p>
    <w:p>
      <w:pPr>
        <w:pStyle w:val="F21"/>
        <w:overflowPunct w:val="true"/>
        <w:spacing w:lineRule="atLeast" w:line="370"/>
        <w:rPr>
          <w:i/>
          <w:i/>
        </w:rPr>
      </w:pPr>
      <w:r>
        <w:rPr>
          <w:i/>
        </w:rPr>
      </w:r>
    </w:p>
    <w:p>
      <w:pPr>
        <w:pStyle w:val="F21"/>
        <w:overflowPunct w:val="true"/>
        <w:spacing w:lineRule="atLeast" w:line="370"/>
        <w:rPr/>
      </w:pPr>
      <w:r>
        <w:rPr>
          <w:rFonts w:eastAsia="華康中黑體"/>
          <w:b/>
        </w:rPr>
        <w:t>主席</w:t>
      </w:r>
      <w:r>
        <w:rPr/>
        <w:t>：局長，你有否補充？</w:t>
      </w:r>
    </w:p>
    <w:p>
      <w:pPr>
        <w:pStyle w:val="F21"/>
        <w:overflowPunct w:val="true"/>
        <w:spacing w:lineRule="atLeast" w:line="370"/>
        <w:rPr/>
      </w:pPr>
      <w:r>
        <w:rPr/>
      </w:r>
    </w:p>
    <w:p>
      <w:pPr>
        <w:pStyle w:val="F21"/>
        <w:overflowPunct w:val="true"/>
        <w:spacing w:lineRule="atLeast" w:line="370"/>
        <w:rPr/>
      </w:pPr>
      <w:r>
        <w:rPr/>
      </w:r>
    </w:p>
    <w:p>
      <w:pPr>
        <w:pStyle w:val="F21"/>
        <w:overflowPunct w:val="true"/>
        <w:spacing w:lineRule="atLeast" w:line="370"/>
        <w:rPr/>
      </w:pPr>
      <w:r>
        <w:rPr>
          <w:rFonts w:eastAsia="華康中黑體"/>
          <w:b/>
        </w:rPr>
        <w:t>公務員事務局局長</w:t>
      </w:r>
      <w:r>
        <w:rPr/>
        <w:t>：我知道他們曾作初步接觸，亦會盡快正式諮詢中西區區議會。</w:t>
      </w:r>
    </w:p>
    <w:p>
      <w:pPr>
        <w:pStyle w:val="F21"/>
        <w:overflowPunct w:val="true"/>
        <w:spacing w:lineRule="atLeast" w:line="370"/>
        <w:rPr/>
      </w:pPr>
      <w:r>
        <w:rPr/>
      </w:r>
    </w:p>
    <w:p>
      <w:pPr>
        <w:pStyle w:val="F21"/>
        <w:overflowPunct w:val="true"/>
        <w:spacing w:lineRule="atLeast" w:line="370"/>
        <w:rPr/>
      </w:pPr>
      <w:r>
        <w:rPr/>
      </w:r>
    </w:p>
    <w:p>
      <w:pPr>
        <w:pStyle w:val="F21"/>
        <w:overflowPunct w:val="true"/>
        <w:spacing w:lineRule="atLeast" w:line="370"/>
        <w:rPr>
          <w:i/>
          <w:i/>
        </w:rPr>
      </w:pPr>
      <w:r>
        <w:rPr>
          <w:rFonts w:eastAsia="華康中黑體"/>
          <w:b/>
          <w:szCs w:val="27"/>
        </w:rPr>
        <w:t>邵家臻議員</w:t>
      </w:r>
      <w:r>
        <w:rPr/>
        <w:t>：</w:t>
      </w:r>
      <w:r>
        <w:rPr>
          <w:i/>
        </w:rPr>
        <w:t>主席，局長，有懲教署職員向我反映，很多懲教署職員表示，由於他們往往要到偏遠地點</w:t>
      </w:r>
      <w:r>
        <w:rPr>
          <w:rFonts w:ascii="Symbol" w:hAnsi="Symbol" w:cs="Symbol" w:eastAsia="Symbol"/>
          <w:i/>
        </w:rPr>
        <w:t></w:t>
      </w:r>
      <w:r>
        <w:rPr>
          <w:i/>
        </w:rPr>
        <w:t>例如離島</w:t>
      </w:r>
      <w:r>
        <w:rPr>
          <w:rFonts w:ascii="Symbol" w:hAnsi="Symbol" w:cs="Symbol" w:eastAsia="Symbol"/>
          <w:i/>
        </w:rPr>
        <w:t></w:t>
      </w:r>
      <w:r>
        <w:rPr>
          <w:i/>
        </w:rPr>
        <w:t>工作，上下班要花兩三小時，舟車勞頓，這是他們離職的原因之一。文件顯示，政府會加快興建紀律部隊的</w:t>
      </w:r>
      <w:r>
        <w:rPr>
          <w:i/>
        </w:rPr>
        <w:t>8</w:t>
      </w:r>
      <w:r>
        <w:rPr>
          <w:i/>
        </w:rPr>
        <w:t>個部門宿舍項目，但只提及香港海關和入境事務處，我想問當中有否涉及懲教署的安排？如有，地點為何？必須知道，如果地點太遠，便無法解決職員的交通問題；如否，政府有何計劃回應懲教署職員在這方面的需要？</w:t>
      </w:r>
    </w:p>
    <w:p>
      <w:pPr>
        <w:pStyle w:val="F21"/>
        <w:overflowPunct w:val="true"/>
        <w:rPr>
          <w:i/>
          <w:i/>
        </w:rPr>
      </w:pPr>
      <w:r>
        <w:rPr>
          <w:i/>
        </w:rPr>
      </w:r>
    </w:p>
    <w:p>
      <w:pPr>
        <w:pStyle w:val="F21"/>
        <w:overflowPunct w:val="true"/>
        <w:rPr>
          <w:i/>
          <w:i/>
        </w:rPr>
      </w:pPr>
      <w:r>
        <w:rPr>
          <w:i/>
        </w:rPr>
      </w:r>
    </w:p>
    <w:p>
      <w:pPr>
        <w:pStyle w:val="F21"/>
        <w:overflowPunct w:val="true"/>
        <w:rPr/>
      </w:pPr>
      <w:r>
        <w:rPr>
          <w:rFonts w:eastAsia="華康中黑體"/>
          <w:b/>
        </w:rPr>
        <w:t>公務員事務局局長</w:t>
      </w:r>
      <w:r>
        <w:rPr/>
        <w:t>：主席，關於懲教署職員宿舍方面，在</w:t>
      </w:r>
      <w:r>
        <w:rPr/>
        <w:t>8</w:t>
      </w:r>
      <w:r>
        <w:rPr/>
        <w:t>個項目中，有</w:t>
      </w:r>
      <w:r>
        <w:rPr/>
        <w:t>1</w:t>
      </w:r>
      <w:r>
        <w:rPr/>
        <w:t>個是懲教署職員的田灣職員宿舍，這是改建項目，合共提供</w:t>
      </w:r>
      <w:r>
        <w:rPr/>
        <w:t>70</w:t>
      </w:r>
      <w:r>
        <w:rPr/>
        <w:t>個單位。因此，若說警務處一定要有較多宿舍，我相信對各個部門來說是不太公平的。然而，如果大家有所了解，定必知道其實警務處的人員數目最多，大約有</w:t>
      </w:r>
      <w:r>
        <w:rPr/>
        <w:t>3</w:t>
      </w:r>
      <w:r>
        <w:rPr/>
        <w:t>萬人，其他部門則只有大約</w:t>
      </w:r>
      <w:r>
        <w:rPr/>
        <w:t>1</w:t>
      </w:r>
      <w:r>
        <w:rPr/>
        <w:t>萬人，有些甚至更少。因此，可能予人警務處獲分配的單位數目較其他紀律部隊多的錯覺。</w:t>
      </w:r>
    </w:p>
    <w:p>
      <w:pPr>
        <w:pStyle w:val="F21"/>
        <w:overflowPunct w:val="true"/>
        <w:rPr/>
      </w:pPr>
      <w:r>
        <w:rPr/>
      </w:r>
    </w:p>
    <w:p>
      <w:pPr>
        <w:pStyle w:val="F21"/>
        <w:overflowPunct w:val="true"/>
        <w:rPr/>
      </w:pPr>
      <w:r>
        <w:rPr/>
      </w:r>
    </w:p>
    <w:p>
      <w:pPr>
        <w:pStyle w:val="F21"/>
        <w:overflowPunct w:val="true"/>
        <w:rPr>
          <w:rFonts w:cs="Times New Roman"/>
        </w:rPr>
      </w:pPr>
      <w:r>
        <w:rPr>
          <w:rFonts w:cs="Times New Roman" w:eastAsia="華康中黑體"/>
          <w:b/>
        </w:rPr>
        <w:t>主席</w:t>
      </w:r>
      <w:r>
        <w:rPr>
          <w:rFonts w:cs="Times New Roman"/>
        </w:rPr>
        <w:t>：第二項質詢。</w:t>
      </w:r>
    </w:p>
    <w:p>
      <w:pPr>
        <w:pStyle w:val="F21"/>
        <w:overflowPunct w:val="true"/>
        <w:rPr>
          <w:rFonts w:cs="Times New Roman"/>
        </w:rPr>
      </w:pPr>
      <w:r>
        <w:rPr>
          <w:rFonts w:cs="Times New Roman"/>
        </w:rPr>
      </w:r>
    </w:p>
    <w:p>
      <w:pPr>
        <w:pStyle w:val="F21"/>
        <w:overflowPunct w:val="true"/>
        <w:rPr>
          <w:rFonts w:cs="Times New Roman"/>
        </w:rPr>
      </w:pPr>
      <w:r>
        <w:rPr>
          <w:rFonts w:cs="Times New Roman"/>
        </w:rPr>
      </w:r>
    </w:p>
    <w:p>
      <w:pPr>
        <w:pStyle w:val="F21"/>
        <w:overflowPunct w:val="true"/>
        <w:rPr>
          <w:rFonts w:eastAsia="華康中黑體" w:cs="Times New Roman"/>
          <w:b/>
          <w:b/>
        </w:rPr>
      </w:pPr>
      <w:bookmarkStart w:id="14" w:name="orq02"/>
      <w:r>
        <w:rPr>
          <w:rFonts w:cs="Times New Roman" w:eastAsia="華康中黑體"/>
          <w:b/>
        </w:rPr>
        <w:t>非符合資格人士拖欠醫療費用</w:t>
      </w:r>
    </w:p>
    <w:p>
      <w:pPr>
        <w:pStyle w:val="Normal"/>
        <w:overflowPunct w:val="true"/>
        <w:rPr>
          <w:b/>
          <w:b/>
        </w:rPr>
      </w:pPr>
      <w:bookmarkStart w:id="15" w:name="orq02"/>
      <w:r>
        <w:rPr>
          <w:b/>
        </w:rPr>
        <w:t>Non-eligible persons defaulting on payment of medical fees</w:t>
      </w:r>
      <w:bookmarkEnd w:id="15"/>
    </w:p>
    <w:p>
      <w:pPr>
        <w:pStyle w:val="F21"/>
        <w:overflowPunct w:val="true"/>
        <w:rPr>
          <w:rFonts w:cs="Times New Roman"/>
        </w:rPr>
      </w:pPr>
      <w:r>
        <w:rPr>
          <w:rFonts w:cs="Times New Roman"/>
        </w:rPr>
      </w:r>
    </w:p>
    <w:p>
      <w:pPr>
        <w:pStyle w:val="F21"/>
        <w:rPr>
          <w:i/>
          <w:i/>
          <w:szCs w:val="27"/>
        </w:rPr>
      </w:pPr>
      <w:r>
        <w:rPr>
          <w:rFonts w:eastAsia="華康中黑體" w:cs="Times New Roman"/>
          <w:b/>
          <w:szCs w:val="27"/>
        </w:rPr>
        <w:t>2.</w:t>
        <w:tab/>
      </w:r>
      <w:r>
        <w:rPr>
          <w:rFonts w:cs="Times New Roman" w:eastAsia="華康中黑體"/>
          <w:b/>
          <w:szCs w:val="27"/>
        </w:rPr>
        <w:t>范國威議員</w:t>
      </w:r>
      <w:r>
        <w:rPr>
          <w:szCs w:val="27"/>
        </w:rPr>
        <w:t>：</w:t>
      </w:r>
      <w:r>
        <w:rPr>
          <w:i/>
          <w:szCs w:val="27"/>
        </w:rPr>
        <w:t>非符合資格人士</w:t>
      </w:r>
      <w:r>
        <w:rPr>
          <w:i/>
          <w:szCs w:val="27"/>
        </w:rPr>
        <w:t>(</w:t>
      </w:r>
      <w:r>
        <w:rPr>
          <w:i/>
          <w:szCs w:val="27"/>
        </w:rPr>
        <w:t>包括內地居民</w:t>
      </w:r>
      <w:r>
        <w:rPr>
          <w:i/>
          <w:szCs w:val="27"/>
        </w:rPr>
        <w:t>)</w:t>
      </w:r>
      <w:r>
        <w:rPr>
          <w:i/>
          <w:szCs w:val="27"/>
        </w:rPr>
        <w:t>使用公營醫療服務，須繳付按收回成本原則釐定的醫療費用。據報，一名內地婦人於</w:t>
      </w:r>
      <w:r>
        <w:rPr>
          <w:i/>
          <w:szCs w:val="27"/>
        </w:rPr>
        <w:t>2015</w:t>
      </w:r>
      <w:r>
        <w:rPr>
          <w:i/>
          <w:szCs w:val="27"/>
        </w:rPr>
        <w:t>年</w:t>
      </w:r>
      <w:r>
        <w:rPr>
          <w:i/>
          <w:szCs w:val="27"/>
        </w:rPr>
        <w:t>11</w:t>
      </w:r>
      <w:r>
        <w:rPr>
          <w:i/>
          <w:szCs w:val="27"/>
        </w:rPr>
        <w:t>月在港遭遇車禍受傷後，一直在公立醫院留院而且沒有繳付醫療費用。醫院管理局</w:t>
      </w:r>
      <w:r>
        <w:rPr>
          <w:i/>
          <w:szCs w:val="27"/>
        </w:rPr>
        <w:t>(</w:t>
      </w:r>
      <w:r>
        <w:rPr>
          <w:i/>
          <w:szCs w:val="27"/>
        </w:rPr>
        <w:t>下稱</w:t>
      </w:r>
      <w:r>
        <w:rPr>
          <w:rFonts w:cs="Times New Roman"/>
          <w:i/>
          <w:szCs w:val="27"/>
        </w:rPr>
        <w:t>"</w:t>
      </w:r>
      <w:r>
        <w:rPr>
          <w:i/>
          <w:szCs w:val="27"/>
        </w:rPr>
        <w:t>醫管局</w:t>
      </w:r>
      <w:r>
        <w:rPr>
          <w:rFonts w:cs="Times New Roman"/>
          <w:i/>
          <w:szCs w:val="27"/>
        </w:rPr>
        <w:t>"</w:t>
      </w:r>
      <w:r>
        <w:rPr>
          <w:i/>
          <w:szCs w:val="27"/>
        </w:rPr>
        <w:t>)</w:t>
      </w:r>
      <w:r>
        <w:rPr>
          <w:i/>
          <w:szCs w:val="27"/>
        </w:rPr>
        <w:t>於上月入稟法院，向她追討</w:t>
      </w:r>
      <w:r>
        <w:rPr>
          <w:i/>
          <w:szCs w:val="27"/>
        </w:rPr>
        <w:t>617</w:t>
      </w:r>
      <w:r>
        <w:rPr>
          <w:i/>
          <w:szCs w:val="27"/>
        </w:rPr>
        <w:t>萬元欠款。就此，政府可否告知本會：</w:t>
      </w:r>
    </w:p>
    <w:p>
      <w:pPr>
        <w:pStyle w:val="F21"/>
        <w:rPr>
          <w:i/>
          <w:i/>
          <w:szCs w:val="27"/>
        </w:rPr>
      </w:pPr>
      <w:r>
        <w:rPr>
          <w:i/>
          <w:szCs w:val="27"/>
        </w:rPr>
      </w:r>
    </w:p>
    <w:p>
      <w:pPr>
        <w:pStyle w:val="F21"/>
        <w:ind w:left="1418" w:hanging="851"/>
        <w:rPr>
          <w:i/>
          <w:i/>
          <w:szCs w:val="27"/>
        </w:rPr>
      </w:pPr>
      <w:r>
        <w:rPr>
          <w:i/>
          <w:szCs w:val="27"/>
        </w:rPr>
        <w:t>(</w:t>
      </w:r>
      <w:r>
        <w:rPr>
          <w:i/>
          <w:szCs w:val="27"/>
        </w:rPr>
        <w:t>一</w:t>
      </w:r>
      <w:r>
        <w:rPr>
          <w:i/>
          <w:szCs w:val="27"/>
        </w:rPr>
        <w:t>)</w:t>
        <w:tab/>
      </w:r>
      <w:r>
        <w:rPr>
          <w:i/>
          <w:szCs w:val="27"/>
        </w:rPr>
        <w:t>是否知悉，過去</w:t>
      </w:r>
      <w:r>
        <w:rPr>
          <w:i/>
          <w:szCs w:val="27"/>
        </w:rPr>
        <w:t>5</w:t>
      </w:r>
      <w:r>
        <w:rPr>
          <w:i/>
          <w:szCs w:val="27"/>
        </w:rPr>
        <w:t>個財政年度，每年下述事項的最高和平均數字：非符合資格人士入住公立醫院的日數、拖欠醫療費用的金額和日數，以及醫管局追討欠款的開支及就欠款撇帳的金額；</w:t>
      </w:r>
    </w:p>
    <w:p>
      <w:pPr>
        <w:pStyle w:val="F21"/>
        <w:ind w:left="1418" w:hanging="851"/>
        <w:rPr>
          <w:i/>
          <w:i/>
          <w:szCs w:val="27"/>
        </w:rPr>
      </w:pPr>
      <w:r>
        <w:rPr>
          <w:i/>
          <w:szCs w:val="27"/>
        </w:rPr>
      </w:r>
    </w:p>
    <w:p>
      <w:pPr>
        <w:pStyle w:val="F21"/>
        <w:ind w:left="1418" w:hanging="851"/>
        <w:rPr>
          <w:i/>
          <w:i/>
          <w:szCs w:val="27"/>
        </w:rPr>
      </w:pPr>
      <w:r>
        <w:rPr>
          <w:i/>
          <w:szCs w:val="27"/>
        </w:rPr>
        <w:t>(</w:t>
      </w:r>
      <w:r>
        <w:rPr>
          <w:i/>
          <w:szCs w:val="27"/>
        </w:rPr>
        <w:t>二</w:t>
      </w:r>
      <w:r>
        <w:rPr>
          <w:i/>
          <w:szCs w:val="27"/>
        </w:rPr>
        <w:t>)</w:t>
        <w:tab/>
      </w:r>
      <w:r>
        <w:rPr>
          <w:i/>
          <w:szCs w:val="27"/>
        </w:rPr>
        <w:t>是否知悉，醫管局有否安排醫務社工與拖欠醫療費用的非符合資格人士或其家屬溝通，及早為他們作合適安排，防止拖欠醫療費用的情況惡化；及</w:t>
      </w:r>
    </w:p>
    <w:p>
      <w:pPr>
        <w:pStyle w:val="F21"/>
        <w:ind w:left="1418" w:hanging="851"/>
        <w:rPr>
          <w:i/>
          <w:i/>
          <w:szCs w:val="27"/>
        </w:rPr>
      </w:pPr>
      <w:r>
        <w:rPr>
          <w:i/>
          <w:szCs w:val="27"/>
        </w:rPr>
      </w:r>
    </w:p>
    <w:p>
      <w:pPr>
        <w:pStyle w:val="F21"/>
        <w:ind w:left="1418" w:hanging="851"/>
        <w:rPr>
          <w:i/>
          <w:i/>
          <w:szCs w:val="27"/>
        </w:rPr>
      </w:pPr>
      <w:r>
        <w:rPr>
          <w:i/>
          <w:szCs w:val="27"/>
        </w:rPr>
        <w:t>(</w:t>
      </w:r>
      <w:r>
        <w:rPr>
          <w:i/>
          <w:szCs w:val="27"/>
        </w:rPr>
        <w:t>三</w:t>
      </w:r>
      <w:r>
        <w:rPr>
          <w:i/>
          <w:szCs w:val="27"/>
        </w:rPr>
        <w:t>)</w:t>
        <w:tab/>
      </w:r>
      <w:r>
        <w:rPr>
          <w:i/>
          <w:szCs w:val="27"/>
        </w:rPr>
        <w:t>對於病情已穩定但因個人困難而未能離開公立醫院的訪港內地居民，政府會否與內地當局商討設立機制，協助他們盡早出院返回內地；如會，詳情為何；如否，原因為何？</w:t>
      </w:r>
    </w:p>
    <w:p>
      <w:pPr>
        <w:pStyle w:val="Normal"/>
        <w:widowControl/>
        <w:tabs>
          <w:tab w:val="clear" w:pos="720"/>
        </w:tabs>
        <w:snapToGrid w:val="true"/>
        <w:spacing w:lineRule="auto" w:line="276" w:before="0" w:after="200"/>
        <w:jc w:val="left"/>
        <w:rPr>
          <w:rFonts w:cs="" w:cstheme="minorBidi"/>
          <w:i/>
          <w:i/>
          <w:spacing w:val="20"/>
          <w:sz w:val="27"/>
          <w:szCs w:val="27"/>
          <w:lang w:val="en-US"/>
        </w:rPr>
      </w:pPr>
      <w:r>
        <w:rPr>
          <w:rFonts w:cs="" w:cstheme="minorBidi"/>
          <w:i/>
          <w:spacing w:val="20"/>
          <w:sz w:val="27"/>
          <w:szCs w:val="27"/>
          <w:lang w:val="en-US"/>
        </w:rPr>
      </w:r>
      <w:r>
        <w:br w:type="page"/>
      </w:r>
    </w:p>
    <w:p>
      <w:pPr>
        <w:pStyle w:val="F21"/>
        <w:rPr>
          <w:szCs w:val="27"/>
        </w:rPr>
      </w:pPr>
      <w:r>
        <w:rPr>
          <w:rFonts w:ascii="華康中黑體" w:hAnsi="華康中黑體" w:eastAsia="華康中黑體"/>
          <w:b/>
          <w:szCs w:val="27"/>
        </w:rPr>
        <w:t>食物及衞生局局長</w:t>
      </w:r>
      <w:r>
        <w:rPr>
          <w:szCs w:val="27"/>
        </w:rPr>
        <w:t>：主席，醫院管理局</w:t>
      </w:r>
      <w:r>
        <w:rPr>
          <w:szCs w:val="27"/>
        </w:rPr>
        <w:t>(</w:t>
      </w:r>
      <w:r>
        <w:rPr>
          <w:rFonts w:cs="Times New Roman"/>
          <w:szCs w:val="27"/>
        </w:rPr>
        <w:t>"</w:t>
      </w:r>
      <w:r>
        <w:rPr>
          <w:szCs w:val="27"/>
        </w:rPr>
        <w:t>醫管局</w:t>
      </w:r>
      <w:r>
        <w:rPr>
          <w:rFonts w:cs="Times New Roman"/>
          <w:szCs w:val="27"/>
        </w:rPr>
        <w:t>"</w:t>
      </w:r>
      <w:r>
        <w:rPr>
          <w:szCs w:val="27"/>
        </w:rPr>
        <w:t>)</w:t>
      </w:r>
      <w:r>
        <w:rPr>
          <w:szCs w:val="27"/>
        </w:rPr>
        <w:t>提供的公營醫療服務一直以香港居民為主要服務對象，務求確保香港居民能夠優先得到醫療服務。非符合資格人士，包括來自外地的訪客，一般只有在緊急情況下才可獲得公營醫療服務，例如非符合資格人士在本港探訪或旅遊期間發生意外或患上重病，即使他們未能支付醫療費用，醫管局仍會基於人道立場為他們提供緊急醫療服務。非符合資格人士的醫療費用按收回成本原則而釐定。醫管局設有既定機制向拖欠醫療費用的人士追收欠款。</w:t>
      </w:r>
    </w:p>
    <w:p>
      <w:pPr>
        <w:pStyle w:val="F21"/>
        <w:rPr>
          <w:szCs w:val="27"/>
        </w:rPr>
      </w:pPr>
      <w:r>
        <w:rPr>
          <w:szCs w:val="27"/>
        </w:rPr>
      </w:r>
    </w:p>
    <w:p>
      <w:pPr>
        <w:pStyle w:val="F21"/>
        <w:rPr>
          <w:szCs w:val="27"/>
        </w:rPr>
      </w:pPr>
      <w:r>
        <w:rPr>
          <w:szCs w:val="27"/>
        </w:rPr>
        <w:tab/>
      </w:r>
      <w:r>
        <w:rPr>
          <w:szCs w:val="27"/>
        </w:rPr>
        <w:t>就范國威議員質詢的各部分，我的答覆如下：</w:t>
      </w:r>
    </w:p>
    <w:p>
      <w:pPr>
        <w:pStyle w:val="F21"/>
        <w:rPr>
          <w:szCs w:val="27"/>
        </w:rPr>
      </w:pPr>
      <w:r>
        <w:rPr>
          <w:szCs w:val="27"/>
        </w:rPr>
      </w:r>
    </w:p>
    <w:p>
      <w:pPr>
        <w:pStyle w:val="F21"/>
        <w:ind w:left="1418" w:hanging="851"/>
        <w:rPr>
          <w:szCs w:val="27"/>
        </w:rPr>
      </w:pPr>
      <w:r>
        <w:rPr>
          <w:szCs w:val="27"/>
        </w:rPr>
        <w:t>(</w:t>
      </w:r>
      <w:r>
        <w:rPr>
          <w:szCs w:val="27"/>
        </w:rPr>
        <w:t>一</w:t>
      </w:r>
      <w:r>
        <w:rPr>
          <w:szCs w:val="27"/>
        </w:rPr>
        <w:t>)</w:t>
        <w:tab/>
      </w:r>
      <w:r>
        <w:rPr>
          <w:szCs w:val="27"/>
        </w:rPr>
        <w:t>附件載列過去</w:t>
      </w:r>
      <w:r>
        <w:rPr>
          <w:szCs w:val="27"/>
        </w:rPr>
        <w:t>5</w:t>
      </w:r>
      <w:r>
        <w:rPr>
          <w:szCs w:val="27"/>
        </w:rPr>
        <w:t>個財政年度非符合資格人士拖欠公立醫院費用的相關統計數字，當中包括拖欠醫療費用的金額和拖欠日數、住院時間，以及欠款撇帳的金額。醫管局沒有備存追討個別個案欠款的開支的統計數字，亦沒有將相關開支按符合資格人士及非符合資格人士分類。醫管局平均每年追討欠款的總開支</w:t>
      </w:r>
      <w:r>
        <w:rPr>
          <w:szCs w:val="27"/>
        </w:rPr>
        <w:t>(</w:t>
      </w:r>
      <w:r>
        <w:rPr>
          <w:szCs w:val="27"/>
        </w:rPr>
        <w:t>包括法律費用及其他開支</w:t>
      </w:r>
      <w:r>
        <w:rPr>
          <w:szCs w:val="27"/>
        </w:rPr>
        <w:t>)</w:t>
      </w:r>
      <w:r>
        <w:rPr>
          <w:szCs w:val="27"/>
        </w:rPr>
        <w:t>約為</w:t>
      </w:r>
      <w:r>
        <w:rPr>
          <w:szCs w:val="27"/>
        </w:rPr>
        <w:t>400</w:t>
      </w:r>
      <w:r>
        <w:rPr>
          <w:szCs w:val="27"/>
        </w:rPr>
        <w:t>萬元。</w:t>
      </w:r>
    </w:p>
    <w:p>
      <w:pPr>
        <w:pStyle w:val="F21"/>
        <w:ind w:left="1418" w:hanging="851"/>
        <w:rPr>
          <w:szCs w:val="27"/>
        </w:rPr>
      </w:pPr>
      <w:r>
        <w:rPr>
          <w:szCs w:val="27"/>
        </w:rPr>
      </w:r>
    </w:p>
    <w:p>
      <w:pPr>
        <w:pStyle w:val="F21"/>
        <w:ind w:left="1418" w:hanging="851"/>
        <w:rPr>
          <w:szCs w:val="27"/>
        </w:rPr>
      </w:pPr>
      <w:r>
        <w:rPr>
          <w:szCs w:val="27"/>
        </w:rPr>
        <w:tab/>
      </w:r>
      <w:r>
        <w:rPr>
          <w:szCs w:val="27"/>
        </w:rPr>
        <w:t>由於非符合資格人士一般都是在緊急情況下入院，倘若這些住院個案較為嚴重而需要留醫接受較長時間的治療，個別撇帳個案所涉及的金額可能會較高。</w:t>
      </w:r>
    </w:p>
    <w:p>
      <w:pPr>
        <w:pStyle w:val="F21"/>
        <w:ind w:left="1418" w:hanging="851"/>
        <w:rPr>
          <w:szCs w:val="27"/>
        </w:rPr>
      </w:pPr>
      <w:r>
        <w:rPr>
          <w:szCs w:val="27"/>
        </w:rPr>
      </w:r>
    </w:p>
    <w:p>
      <w:pPr>
        <w:pStyle w:val="F21"/>
        <w:ind w:left="1418" w:hanging="851"/>
        <w:rPr>
          <w:szCs w:val="27"/>
        </w:rPr>
      </w:pPr>
      <w:r>
        <w:rPr>
          <w:szCs w:val="27"/>
        </w:rPr>
        <w:t>(</w:t>
      </w:r>
      <w:r>
        <w:rPr>
          <w:szCs w:val="27"/>
        </w:rPr>
        <w:t>二</w:t>
      </w:r>
      <w:r>
        <w:rPr>
          <w:szCs w:val="27"/>
        </w:rPr>
        <w:t>)</w:t>
      </w:r>
      <w:r>
        <w:rPr>
          <w:szCs w:val="27"/>
        </w:rPr>
        <w:t>及</w:t>
      </w:r>
      <w:r>
        <w:rPr>
          <w:szCs w:val="27"/>
        </w:rPr>
        <w:t>(</w:t>
      </w:r>
      <w:r>
        <w:rPr>
          <w:szCs w:val="27"/>
        </w:rPr>
        <w:t>三</w:t>
      </w:r>
      <w:r>
        <w:rPr>
          <w:szCs w:val="27"/>
        </w:rPr>
        <w:t>)</w:t>
      </w:r>
    </w:p>
    <w:p>
      <w:pPr>
        <w:pStyle w:val="F21"/>
        <w:ind w:left="1418" w:hanging="851"/>
        <w:rPr>
          <w:szCs w:val="27"/>
        </w:rPr>
      </w:pPr>
      <w:r>
        <w:rPr>
          <w:szCs w:val="27"/>
        </w:rPr>
      </w:r>
    </w:p>
    <w:p>
      <w:pPr>
        <w:pStyle w:val="F21"/>
        <w:ind w:left="1418" w:hanging="851"/>
        <w:rPr>
          <w:szCs w:val="27"/>
        </w:rPr>
      </w:pPr>
      <w:r>
        <w:rPr>
          <w:szCs w:val="27"/>
        </w:rPr>
        <w:tab/>
      </w:r>
      <w:r>
        <w:rPr>
          <w:szCs w:val="27"/>
        </w:rPr>
        <w:t>醫管局已實施一系列措施，務求減少拖欠醫療費用的情況。在病人入院時，除緊急個案外，非符合資格人士須繳付規定款項作為按金。在病人住院期間，醫管局會每</w:t>
      </w:r>
      <w:r>
        <w:rPr>
          <w:szCs w:val="27"/>
        </w:rPr>
        <w:t>3</w:t>
      </w:r>
      <w:r>
        <w:rPr>
          <w:szCs w:val="27"/>
        </w:rPr>
        <w:t>天發出臨時帳單，並提醒病人或其家屬清繳帳單。病人出院時，醫管局會發出終結帳單，或將終結帳單寄到病人所登記的本港或海外地址。若病人出院後帳單仍未清繳，醫管局會致電提醒病人或其家屬清繳帳單，並將月結單寄到病人所登記的本港或海外地址。如病人在指定時間內仍未清繳帳單，醫管局會徵收行政費用。</w:t>
      </w:r>
    </w:p>
    <w:p>
      <w:pPr>
        <w:pStyle w:val="F21"/>
        <w:ind w:left="1418" w:hanging="851"/>
        <w:rPr>
          <w:szCs w:val="27"/>
        </w:rPr>
      </w:pPr>
      <w:r>
        <w:rPr>
          <w:szCs w:val="27"/>
        </w:rPr>
      </w:r>
    </w:p>
    <w:p>
      <w:pPr>
        <w:pStyle w:val="F21"/>
        <w:ind w:left="1418" w:hanging="851"/>
        <w:rPr>
          <w:szCs w:val="27"/>
        </w:rPr>
      </w:pPr>
      <w:r>
        <w:rPr>
          <w:szCs w:val="27"/>
        </w:rPr>
        <w:tab/>
      </w:r>
      <w:r>
        <w:rPr>
          <w:szCs w:val="27"/>
        </w:rPr>
        <w:t>醫務社工會在過程中協助跟進個案，包括與病人溝通及嘗試聯絡其家屬，提供有關住院事宜的意見及協助。</w:t>
      </w:r>
    </w:p>
    <w:p>
      <w:pPr>
        <w:pStyle w:val="Normal"/>
        <w:widowControl/>
        <w:tabs>
          <w:tab w:val="clear" w:pos="720"/>
        </w:tabs>
        <w:snapToGrid w:val="true"/>
        <w:spacing w:lineRule="auto" w:line="276" w:before="0" w:after="200"/>
        <w:jc w:val="left"/>
        <w:rPr>
          <w:rFonts w:cs="" w:cstheme="minorBidi"/>
          <w:spacing w:val="20"/>
          <w:sz w:val="27"/>
          <w:szCs w:val="27"/>
          <w:lang w:val="en-US"/>
        </w:rPr>
      </w:pPr>
      <w:r>
        <w:rPr>
          <w:rFonts w:cs="" w:cstheme="minorBidi"/>
          <w:spacing w:val="20"/>
          <w:sz w:val="27"/>
          <w:szCs w:val="27"/>
          <w:lang w:val="en-US"/>
        </w:rPr>
      </w:r>
      <w:r>
        <w:br w:type="page"/>
      </w:r>
    </w:p>
    <w:p>
      <w:pPr>
        <w:pStyle w:val="F21"/>
        <w:ind w:left="1418" w:hanging="851"/>
        <w:rPr>
          <w:szCs w:val="27"/>
        </w:rPr>
      </w:pPr>
      <w:r>
        <w:rPr>
          <w:szCs w:val="27"/>
        </w:rPr>
        <w:tab/>
      </w:r>
      <w:r>
        <w:rPr>
          <w:szCs w:val="27"/>
        </w:rPr>
        <w:t>倘若在醫管局採取以上行動後病人仍未清繳帳單，醫管局會在適當情況下採取法律行動，包括委託律師發信、入稟小額錢債審裁處或相關法院向病人追收欠款。</w:t>
      </w:r>
    </w:p>
    <w:p>
      <w:pPr>
        <w:pStyle w:val="F21"/>
        <w:ind w:left="1418" w:hanging="851"/>
        <w:rPr>
          <w:szCs w:val="27"/>
        </w:rPr>
      </w:pPr>
      <w:r>
        <w:rPr>
          <w:szCs w:val="27"/>
        </w:rPr>
      </w:r>
    </w:p>
    <w:p>
      <w:pPr>
        <w:pStyle w:val="F21"/>
        <w:ind w:left="1418" w:hanging="851"/>
        <w:rPr>
          <w:szCs w:val="27"/>
        </w:rPr>
      </w:pPr>
      <w:r>
        <w:rPr>
          <w:szCs w:val="27"/>
        </w:rPr>
        <w:tab/>
      </w:r>
      <w:r>
        <w:rPr>
          <w:szCs w:val="27"/>
        </w:rPr>
        <w:t>此外，醫管局只會在緊急情況時，才會為未清繳醫療費用的非符合資格人士提供服務。一旦非符合資格人士的情況轉為非緊急，醫管局便會停止向其提供有關醫療服務。非符合資格人士可自行決定前往其他醫療機構就診，而醫管局會在有需要時作出轉介安排。</w:t>
      </w:r>
    </w:p>
    <w:p>
      <w:pPr>
        <w:pStyle w:val="F21"/>
        <w:ind w:left="1418" w:hanging="851"/>
        <w:rPr>
          <w:szCs w:val="27"/>
        </w:rPr>
      </w:pPr>
      <w:r>
        <w:rPr>
          <w:szCs w:val="27"/>
        </w:rPr>
      </w:r>
    </w:p>
    <w:p>
      <w:pPr>
        <w:pStyle w:val="F21"/>
        <w:ind w:left="1418" w:hanging="851"/>
        <w:rPr>
          <w:szCs w:val="27"/>
        </w:rPr>
      </w:pPr>
      <w:r>
        <w:rPr>
          <w:szCs w:val="27"/>
        </w:rPr>
        <w:tab/>
      </w:r>
      <w:r>
        <w:rPr>
          <w:szCs w:val="27"/>
        </w:rPr>
        <w:t>對於接受治療後無需留院但需協助安排出院的非符合資格人士，醫管局會按個別個案的情況聯絡相關的政府部門，如有需要，亦會聯絡相關的領事館或內地有關單位，為他們作出適當的出院及離境安排。</w:t>
      </w:r>
    </w:p>
    <w:p>
      <w:pPr>
        <w:pStyle w:val="F21"/>
        <w:ind w:left="1418" w:hanging="851"/>
        <w:rPr>
          <w:szCs w:val="27"/>
        </w:rPr>
      </w:pPr>
      <w:r>
        <w:rPr>
          <w:szCs w:val="27"/>
        </w:rPr>
      </w:r>
    </w:p>
    <w:p>
      <w:pPr>
        <w:pStyle w:val="F21"/>
        <w:ind w:left="1418" w:hanging="851"/>
        <w:rPr>
          <w:szCs w:val="27"/>
        </w:rPr>
      </w:pPr>
      <w:r>
        <w:rPr>
          <w:szCs w:val="27"/>
        </w:rPr>
        <w:tab/>
      </w:r>
      <w:r>
        <w:rPr>
          <w:szCs w:val="27"/>
        </w:rPr>
        <w:t>醫管局會繼續探討各個可行方案以改善公立醫院非符合資格人士的出院安排。</w:t>
      </w:r>
    </w:p>
    <w:p>
      <w:pPr>
        <w:pStyle w:val="F21"/>
        <w:rPr>
          <w:szCs w:val="27"/>
        </w:rPr>
      </w:pPr>
      <w:r>
        <w:rPr>
          <w:szCs w:val="27"/>
        </w:rPr>
      </w:r>
    </w:p>
    <w:p>
      <w:pPr>
        <w:pStyle w:val="F21"/>
        <w:rPr>
          <w:szCs w:val="27"/>
        </w:rPr>
      </w:pPr>
      <w:r>
        <w:rPr>
          <w:szCs w:val="27"/>
        </w:rPr>
      </w:r>
    </w:p>
    <w:p>
      <w:pPr>
        <w:pStyle w:val="F21"/>
        <w:jc w:val="right"/>
        <w:rPr>
          <w:szCs w:val="27"/>
        </w:rPr>
      </w:pPr>
      <w:r>
        <w:rPr>
          <w:szCs w:val="27"/>
        </w:rPr>
        <w:t>附件</w:t>
      </w:r>
    </w:p>
    <w:p>
      <w:pPr>
        <w:pStyle w:val="F21"/>
        <w:jc w:val="left"/>
        <w:rPr>
          <w:szCs w:val="27"/>
        </w:rPr>
      </w:pPr>
      <w:r>
        <w:rPr>
          <w:szCs w:val="27"/>
        </w:rPr>
      </w:r>
    </w:p>
    <w:p>
      <w:pPr>
        <w:pStyle w:val="F21"/>
        <w:jc w:val="left"/>
        <w:rPr>
          <w:szCs w:val="27"/>
        </w:rPr>
      </w:pPr>
      <w:r>
        <w:rPr>
          <w:szCs w:val="27"/>
        </w:rPr>
        <w:t>過去</w:t>
      </w:r>
      <w:r>
        <w:rPr>
          <w:szCs w:val="27"/>
        </w:rPr>
        <w:t>5</w:t>
      </w:r>
      <w:r>
        <w:rPr>
          <w:szCs w:val="27"/>
        </w:rPr>
        <w:t>個財政年度，非符合資格人士拖欠費用及日數、住院日數及撇帳金額詳列如下：</w:t>
      </w:r>
    </w:p>
    <w:p>
      <w:pPr>
        <w:pStyle w:val="F21"/>
        <w:rPr>
          <w:szCs w:val="27"/>
        </w:rPr>
      </w:pPr>
      <w:r>
        <w:rPr>
          <w:szCs w:val="27"/>
        </w:rPr>
      </w:r>
    </w:p>
    <w:tbl>
      <w:tblPr>
        <w:tblStyle w:val="a9"/>
        <w:tblW w:w="9204" w:type="dxa"/>
        <w:jc w:val="left"/>
        <w:tblInd w:w="20" w:type="dxa"/>
        <w:tblCellMar>
          <w:top w:w="0" w:type="dxa"/>
          <w:left w:w="108" w:type="dxa"/>
          <w:bottom w:w="0" w:type="dxa"/>
          <w:right w:w="108" w:type="dxa"/>
        </w:tblCellMar>
        <w:tblLook w:val="04a0" w:noHBand="0" w:noVBand="1" w:firstColumn="1" w:lastRow="0" w:lastColumn="0" w:firstRow="1"/>
      </w:tblPr>
      <w:tblGrid>
        <w:gridCol w:w="2113"/>
        <w:gridCol w:w="1417"/>
        <w:gridCol w:w="1418"/>
        <w:gridCol w:w="1419"/>
        <w:gridCol w:w="1417"/>
        <w:gridCol w:w="1419"/>
      </w:tblGrid>
      <w:tr>
        <w:trPr>
          <w:tblHeader w:val="true"/>
        </w:trPr>
        <w:tc>
          <w:tcPr>
            <w:tcW w:w="2113" w:type="dxa"/>
            <w:tcBorders/>
            <w:vAlign w:val="center"/>
          </w:tcPr>
          <w:p>
            <w:pPr>
              <w:pStyle w:val="F21"/>
              <w:tabs>
                <w:tab w:val="clear" w:pos="567"/>
                <w:tab w:val="left" w:pos="720" w:leader="none"/>
              </w:tabs>
              <w:ind w:left="57" w:right="57" w:hanging="0"/>
              <w:jc w:val="center"/>
              <w:rPr>
                <w:i/>
                <w:i/>
                <w:szCs w:val="27"/>
              </w:rPr>
            </w:pPr>
            <w:r>
              <w:rPr>
                <w:i/>
                <w:szCs w:val="27"/>
              </w:rPr>
              <w:t>財政年度</w:t>
            </w:r>
          </w:p>
        </w:tc>
        <w:tc>
          <w:tcPr>
            <w:tcW w:w="1417" w:type="dxa"/>
            <w:tcBorders/>
            <w:vAlign w:val="center"/>
          </w:tcPr>
          <w:p>
            <w:pPr>
              <w:pStyle w:val="F21"/>
              <w:tabs>
                <w:tab w:val="clear" w:pos="567"/>
                <w:tab w:val="left" w:pos="720" w:leader="none"/>
              </w:tabs>
              <w:ind w:left="57" w:right="57" w:hanging="0"/>
              <w:jc w:val="center"/>
              <w:rPr>
                <w:i/>
                <w:i/>
                <w:szCs w:val="27"/>
              </w:rPr>
            </w:pPr>
            <w:r>
              <w:rPr>
                <w:i/>
                <w:szCs w:val="27"/>
              </w:rPr>
              <w:t>截至</w:t>
            </w:r>
            <w:r>
              <w:rPr>
                <w:i/>
                <w:szCs w:val="27"/>
              </w:rPr>
              <w:t>2014</w:t>
            </w:r>
            <w:r>
              <w:rPr>
                <w:i/>
                <w:szCs w:val="27"/>
              </w:rPr>
              <w:t>年</w:t>
            </w:r>
            <w:r>
              <w:rPr>
                <w:i/>
                <w:szCs w:val="27"/>
              </w:rPr>
              <w:t>3</w:t>
            </w:r>
            <w:r>
              <w:rPr>
                <w:i/>
                <w:szCs w:val="27"/>
              </w:rPr>
              <w:t>月</w:t>
            </w:r>
            <w:r>
              <w:rPr>
                <w:i/>
                <w:szCs w:val="27"/>
              </w:rPr>
              <w:t>31</w:t>
            </w:r>
            <w:r>
              <w:rPr>
                <w:i/>
                <w:szCs w:val="27"/>
              </w:rPr>
              <w:t>日</w:t>
            </w:r>
          </w:p>
        </w:tc>
        <w:tc>
          <w:tcPr>
            <w:tcW w:w="1418" w:type="dxa"/>
            <w:tcBorders/>
            <w:vAlign w:val="center"/>
          </w:tcPr>
          <w:p>
            <w:pPr>
              <w:pStyle w:val="F21"/>
              <w:tabs>
                <w:tab w:val="clear" w:pos="567"/>
                <w:tab w:val="left" w:pos="720" w:leader="none"/>
              </w:tabs>
              <w:ind w:left="57" w:right="57" w:hanging="0"/>
              <w:jc w:val="center"/>
              <w:rPr>
                <w:i/>
                <w:i/>
                <w:szCs w:val="27"/>
              </w:rPr>
            </w:pPr>
            <w:r>
              <w:rPr>
                <w:i/>
                <w:szCs w:val="27"/>
              </w:rPr>
              <w:t>截至</w:t>
            </w:r>
            <w:r>
              <w:rPr>
                <w:i/>
                <w:szCs w:val="27"/>
              </w:rPr>
              <w:t>2015</w:t>
            </w:r>
            <w:r>
              <w:rPr>
                <w:i/>
                <w:szCs w:val="27"/>
              </w:rPr>
              <w:t>年</w:t>
            </w:r>
            <w:r>
              <w:rPr>
                <w:i/>
                <w:szCs w:val="27"/>
              </w:rPr>
              <w:t>3</w:t>
            </w:r>
            <w:r>
              <w:rPr>
                <w:i/>
                <w:szCs w:val="27"/>
              </w:rPr>
              <w:t>月</w:t>
            </w:r>
            <w:r>
              <w:rPr>
                <w:i/>
                <w:szCs w:val="27"/>
              </w:rPr>
              <w:t>31</w:t>
            </w:r>
            <w:r>
              <w:rPr>
                <w:i/>
                <w:szCs w:val="27"/>
              </w:rPr>
              <w:t>日</w:t>
            </w:r>
          </w:p>
        </w:tc>
        <w:tc>
          <w:tcPr>
            <w:tcW w:w="1419" w:type="dxa"/>
            <w:tcBorders/>
            <w:vAlign w:val="center"/>
          </w:tcPr>
          <w:p>
            <w:pPr>
              <w:pStyle w:val="F21"/>
              <w:tabs>
                <w:tab w:val="clear" w:pos="567"/>
                <w:tab w:val="left" w:pos="720" w:leader="none"/>
              </w:tabs>
              <w:ind w:left="57" w:right="57" w:hanging="0"/>
              <w:jc w:val="center"/>
              <w:rPr>
                <w:i/>
                <w:i/>
                <w:szCs w:val="27"/>
              </w:rPr>
            </w:pPr>
            <w:r>
              <w:rPr>
                <w:i/>
                <w:szCs w:val="27"/>
              </w:rPr>
              <w:t>截至</w:t>
            </w:r>
            <w:r>
              <w:rPr>
                <w:i/>
                <w:szCs w:val="27"/>
              </w:rPr>
              <w:t>2016</w:t>
            </w:r>
            <w:r>
              <w:rPr>
                <w:i/>
                <w:szCs w:val="27"/>
              </w:rPr>
              <w:t>年</w:t>
            </w:r>
            <w:r>
              <w:rPr>
                <w:i/>
                <w:szCs w:val="27"/>
              </w:rPr>
              <w:t>3</w:t>
            </w:r>
            <w:r>
              <w:rPr>
                <w:i/>
                <w:szCs w:val="27"/>
              </w:rPr>
              <w:t>月</w:t>
            </w:r>
            <w:r>
              <w:rPr>
                <w:i/>
                <w:szCs w:val="27"/>
              </w:rPr>
              <w:t>31</w:t>
            </w:r>
            <w:r>
              <w:rPr>
                <w:i/>
                <w:szCs w:val="27"/>
              </w:rPr>
              <w:t>日</w:t>
            </w:r>
          </w:p>
        </w:tc>
        <w:tc>
          <w:tcPr>
            <w:tcW w:w="1417" w:type="dxa"/>
            <w:tcBorders/>
            <w:vAlign w:val="center"/>
          </w:tcPr>
          <w:p>
            <w:pPr>
              <w:pStyle w:val="F21"/>
              <w:tabs>
                <w:tab w:val="clear" w:pos="567"/>
                <w:tab w:val="left" w:pos="720" w:leader="none"/>
              </w:tabs>
              <w:ind w:left="57" w:right="57" w:hanging="0"/>
              <w:jc w:val="center"/>
              <w:rPr>
                <w:i/>
                <w:i/>
                <w:szCs w:val="27"/>
              </w:rPr>
            </w:pPr>
            <w:r>
              <w:rPr>
                <w:i/>
                <w:szCs w:val="27"/>
              </w:rPr>
              <w:t>截至</w:t>
            </w:r>
            <w:r>
              <w:rPr>
                <w:i/>
                <w:szCs w:val="27"/>
              </w:rPr>
              <w:t>2017</w:t>
            </w:r>
            <w:r>
              <w:rPr>
                <w:i/>
                <w:szCs w:val="27"/>
              </w:rPr>
              <w:t>年</w:t>
            </w:r>
            <w:r>
              <w:rPr>
                <w:i/>
                <w:szCs w:val="27"/>
              </w:rPr>
              <w:t>3</w:t>
            </w:r>
            <w:r>
              <w:rPr>
                <w:i/>
                <w:szCs w:val="27"/>
              </w:rPr>
              <w:t>月</w:t>
            </w:r>
            <w:r>
              <w:rPr>
                <w:i/>
                <w:szCs w:val="27"/>
              </w:rPr>
              <w:t>31</w:t>
            </w:r>
            <w:r>
              <w:rPr>
                <w:i/>
                <w:szCs w:val="27"/>
              </w:rPr>
              <w:t>日</w:t>
            </w:r>
          </w:p>
        </w:tc>
        <w:tc>
          <w:tcPr>
            <w:tcW w:w="1419" w:type="dxa"/>
            <w:tcBorders/>
            <w:vAlign w:val="center"/>
          </w:tcPr>
          <w:p>
            <w:pPr>
              <w:pStyle w:val="F21"/>
              <w:tabs>
                <w:tab w:val="clear" w:pos="567"/>
                <w:tab w:val="left" w:pos="720" w:leader="none"/>
              </w:tabs>
              <w:ind w:left="57" w:right="57" w:hanging="0"/>
              <w:jc w:val="center"/>
              <w:rPr>
                <w:i/>
                <w:i/>
                <w:szCs w:val="27"/>
              </w:rPr>
            </w:pPr>
            <w:r>
              <w:rPr>
                <w:i/>
                <w:szCs w:val="27"/>
              </w:rPr>
              <w:t>截至</w:t>
            </w:r>
            <w:r>
              <w:rPr>
                <w:i/>
                <w:szCs w:val="27"/>
              </w:rPr>
              <w:t>2018</w:t>
            </w:r>
            <w:r>
              <w:rPr>
                <w:i/>
                <w:szCs w:val="27"/>
              </w:rPr>
              <w:t>年</w:t>
            </w:r>
            <w:r>
              <w:rPr>
                <w:i/>
                <w:szCs w:val="27"/>
              </w:rPr>
              <w:t>3</w:t>
            </w:r>
            <w:r>
              <w:rPr>
                <w:i/>
                <w:szCs w:val="27"/>
              </w:rPr>
              <w:t>月</w:t>
            </w:r>
            <w:r>
              <w:rPr>
                <w:i/>
                <w:szCs w:val="27"/>
              </w:rPr>
              <w:t>31</w:t>
            </w:r>
            <w:r>
              <w:rPr>
                <w:i/>
                <w:szCs w:val="27"/>
              </w:rPr>
              <w:t>日</w:t>
            </w:r>
          </w:p>
        </w:tc>
      </w:tr>
      <w:tr>
        <w:trPr/>
        <w:tc>
          <w:tcPr>
            <w:tcW w:w="2113" w:type="dxa"/>
            <w:tcBorders/>
            <w:vAlign w:val="center"/>
          </w:tcPr>
          <w:p>
            <w:pPr>
              <w:pStyle w:val="F21"/>
              <w:tabs>
                <w:tab w:val="clear" w:pos="567"/>
                <w:tab w:val="left" w:pos="720" w:leader="none"/>
              </w:tabs>
              <w:ind w:left="57" w:right="57" w:hanging="0"/>
              <w:rPr>
                <w:szCs w:val="27"/>
              </w:rPr>
            </w:pPr>
            <w:r>
              <w:rPr>
                <w:szCs w:val="27"/>
              </w:rPr>
              <w:t>最大拖欠費用的金額</w:t>
            </w:r>
            <w:r>
              <w:rPr>
                <w:szCs w:val="27"/>
                <w:vertAlign w:val="superscript"/>
              </w:rPr>
              <w:t>(1)</w:t>
            </w:r>
            <w:r>
              <w:rPr>
                <w:szCs w:val="27"/>
              </w:rPr>
              <w:t>(</w:t>
            </w:r>
            <w:r>
              <w:rPr>
                <w:szCs w:val="27"/>
              </w:rPr>
              <w:t>百萬元</w:t>
            </w:r>
            <w:r>
              <w:rPr>
                <w:szCs w:val="27"/>
              </w:rPr>
              <w:t>)</w:t>
            </w:r>
          </w:p>
        </w:tc>
        <w:tc>
          <w:tcPr>
            <w:tcW w:w="1417" w:type="dxa"/>
            <w:tcBorders/>
            <w:vAlign w:val="center"/>
          </w:tcPr>
          <w:p>
            <w:pPr>
              <w:pStyle w:val="F21"/>
              <w:tabs>
                <w:tab w:val="clear" w:pos="567"/>
                <w:tab w:val="left" w:pos="720" w:leader="none"/>
              </w:tabs>
              <w:ind w:left="57" w:right="397" w:hanging="0"/>
              <w:jc w:val="right"/>
              <w:rPr>
                <w:szCs w:val="27"/>
              </w:rPr>
            </w:pPr>
            <w:r>
              <w:rPr>
                <w:szCs w:val="27"/>
              </w:rPr>
              <w:t>4.5</w:t>
            </w:r>
          </w:p>
        </w:tc>
        <w:tc>
          <w:tcPr>
            <w:tcW w:w="1418" w:type="dxa"/>
            <w:tcBorders/>
            <w:vAlign w:val="center"/>
          </w:tcPr>
          <w:p>
            <w:pPr>
              <w:pStyle w:val="F21"/>
              <w:tabs>
                <w:tab w:val="clear" w:pos="567"/>
                <w:tab w:val="left" w:pos="720" w:leader="none"/>
              </w:tabs>
              <w:ind w:left="57" w:right="397" w:hanging="0"/>
              <w:jc w:val="right"/>
              <w:rPr>
                <w:szCs w:val="27"/>
              </w:rPr>
            </w:pPr>
            <w:r>
              <w:rPr>
                <w:szCs w:val="27"/>
              </w:rPr>
              <w:t>2.2</w:t>
            </w:r>
          </w:p>
        </w:tc>
        <w:tc>
          <w:tcPr>
            <w:tcW w:w="1419" w:type="dxa"/>
            <w:tcBorders/>
            <w:vAlign w:val="center"/>
          </w:tcPr>
          <w:p>
            <w:pPr>
              <w:pStyle w:val="F21"/>
              <w:tabs>
                <w:tab w:val="clear" w:pos="567"/>
                <w:tab w:val="left" w:pos="720" w:leader="none"/>
              </w:tabs>
              <w:ind w:left="57" w:right="397" w:hanging="0"/>
              <w:jc w:val="right"/>
              <w:rPr>
                <w:szCs w:val="27"/>
              </w:rPr>
            </w:pPr>
            <w:r>
              <w:rPr>
                <w:szCs w:val="27"/>
              </w:rPr>
              <w:t>2.9</w:t>
            </w:r>
          </w:p>
        </w:tc>
        <w:tc>
          <w:tcPr>
            <w:tcW w:w="1417" w:type="dxa"/>
            <w:tcBorders/>
            <w:vAlign w:val="center"/>
          </w:tcPr>
          <w:p>
            <w:pPr>
              <w:pStyle w:val="F21"/>
              <w:tabs>
                <w:tab w:val="clear" w:pos="567"/>
                <w:tab w:val="left" w:pos="720" w:leader="none"/>
              </w:tabs>
              <w:ind w:left="57" w:right="397" w:hanging="0"/>
              <w:jc w:val="right"/>
              <w:rPr>
                <w:szCs w:val="27"/>
              </w:rPr>
            </w:pPr>
            <w:r>
              <w:rPr>
                <w:szCs w:val="27"/>
              </w:rPr>
              <w:t>2.6</w:t>
            </w:r>
          </w:p>
        </w:tc>
        <w:tc>
          <w:tcPr>
            <w:tcW w:w="1419" w:type="dxa"/>
            <w:tcBorders/>
            <w:vAlign w:val="center"/>
          </w:tcPr>
          <w:p>
            <w:pPr>
              <w:pStyle w:val="F21"/>
              <w:tabs>
                <w:tab w:val="clear" w:pos="567"/>
                <w:tab w:val="left" w:pos="720" w:leader="none"/>
              </w:tabs>
              <w:ind w:left="57" w:right="397" w:hanging="0"/>
              <w:jc w:val="right"/>
              <w:rPr>
                <w:szCs w:val="27"/>
              </w:rPr>
            </w:pPr>
            <w:r>
              <w:rPr>
                <w:szCs w:val="27"/>
              </w:rPr>
              <w:t>4.7</w:t>
            </w:r>
          </w:p>
        </w:tc>
      </w:tr>
      <w:tr>
        <w:trPr/>
        <w:tc>
          <w:tcPr>
            <w:tcW w:w="2113" w:type="dxa"/>
            <w:tcBorders/>
            <w:vAlign w:val="center"/>
          </w:tcPr>
          <w:p>
            <w:pPr>
              <w:pStyle w:val="F21"/>
              <w:tabs>
                <w:tab w:val="clear" w:pos="567"/>
                <w:tab w:val="left" w:pos="720" w:leader="none"/>
              </w:tabs>
              <w:ind w:left="57" w:right="57" w:hanging="0"/>
              <w:rPr>
                <w:szCs w:val="27"/>
              </w:rPr>
            </w:pPr>
            <w:r>
              <w:rPr>
                <w:szCs w:val="27"/>
              </w:rPr>
              <w:t>平均拖欠費用的金額</w:t>
            </w:r>
            <w:r>
              <w:rPr>
                <w:szCs w:val="27"/>
                <w:vertAlign w:val="superscript"/>
              </w:rPr>
              <w:t>(1)</w:t>
            </w:r>
            <w:r>
              <w:rPr>
                <w:szCs w:val="27"/>
              </w:rPr>
              <w:t>(</w:t>
            </w:r>
            <w:r>
              <w:rPr>
                <w:szCs w:val="27"/>
              </w:rPr>
              <w:t>千元</w:t>
            </w:r>
            <w:r>
              <w:rPr>
                <w:szCs w:val="27"/>
              </w:rPr>
              <w:t>)</w:t>
            </w:r>
          </w:p>
        </w:tc>
        <w:tc>
          <w:tcPr>
            <w:tcW w:w="1417" w:type="dxa"/>
            <w:tcBorders/>
            <w:vAlign w:val="center"/>
          </w:tcPr>
          <w:p>
            <w:pPr>
              <w:pStyle w:val="F21"/>
              <w:tabs>
                <w:tab w:val="clear" w:pos="567"/>
                <w:tab w:val="left" w:pos="720" w:leader="none"/>
              </w:tabs>
              <w:ind w:left="57" w:right="397" w:hanging="0"/>
              <w:jc w:val="right"/>
              <w:rPr>
                <w:szCs w:val="27"/>
              </w:rPr>
            </w:pPr>
            <w:r>
              <w:rPr>
                <w:szCs w:val="27"/>
              </w:rPr>
              <w:t>9.9</w:t>
            </w:r>
          </w:p>
        </w:tc>
        <w:tc>
          <w:tcPr>
            <w:tcW w:w="1418" w:type="dxa"/>
            <w:tcBorders/>
            <w:vAlign w:val="center"/>
          </w:tcPr>
          <w:p>
            <w:pPr>
              <w:pStyle w:val="F21"/>
              <w:tabs>
                <w:tab w:val="clear" w:pos="567"/>
                <w:tab w:val="left" w:pos="720" w:leader="none"/>
              </w:tabs>
              <w:ind w:left="57" w:right="397" w:hanging="0"/>
              <w:jc w:val="right"/>
              <w:rPr>
                <w:szCs w:val="27"/>
              </w:rPr>
            </w:pPr>
            <w:r>
              <w:rPr>
                <w:szCs w:val="27"/>
              </w:rPr>
              <w:t>7.7</w:t>
            </w:r>
          </w:p>
        </w:tc>
        <w:tc>
          <w:tcPr>
            <w:tcW w:w="1419" w:type="dxa"/>
            <w:tcBorders/>
            <w:vAlign w:val="center"/>
          </w:tcPr>
          <w:p>
            <w:pPr>
              <w:pStyle w:val="F21"/>
              <w:tabs>
                <w:tab w:val="clear" w:pos="567"/>
                <w:tab w:val="left" w:pos="720" w:leader="none"/>
              </w:tabs>
              <w:ind w:left="57" w:right="397" w:hanging="0"/>
              <w:jc w:val="right"/>
              <w:rPr>
                <w:szCs w:val="27"/>
              </w:rPr>
            </w:pPr>
            <w:r>
              <w:rPr>
                <w:szCs w:val="27"/>
              </w:rPr>
              <w:t>8.7</w:t>
            </w:r>
          </w:p>
        </w:tc>
        <w:tc>
          <w:tcPr>
            <w:tcW w:w="1417" w:type="dxa"/>
            <w:tcBorders/>
            <w:vAlign w:val="center"/>
          </w:tcPr>
          <w:p>
            <w:pPr>
              <w:pStyle w:val="F21"/>
              <w:tabs>
                <w:tab w:val="clear" w:pos="567"/>
                <w:tab w:val="left" w:pos="720" w:leader="none"/>
              </w:tabs>
              <w:ind w:left="57" w:right="397" w:hanging="0"/>
              <w:jc w:val="right"/>
              <w:rPr>
                <w:szCs w:val="27"/>
              </w:rPr>
            </w:pPr>
            <w:r>
              <w:rPr>
                <w:szCs w:val="27"/>
              </w:rPr>
              <w:t>10.8</w:t>
            </w:r>
          </w:p>
        </w:tc>
        <w:tc>
          <w:tcPr>
            <w:tcW w:w="1419" w:type="dxa"/>
            <w:tcBorders/>
            <w:vAlign w:val="center"/>
          </w:tcPr>
          <w:p>
            <w:pPr>
              <w:pStyle w:val="F21"/>
              <w:tabs>
                <w:tab w:val="clear" w:pos="567"/>
                <w:tab w:val="left" w:pos="720" w:leader="none"/>
              </w:tabs>
              <w:ind w:left="57" w:right="397" w:hanging="0"/>
              <w:jc w:val="right"/>
              <w:rPr>
                <w:szCs w:val="27"/>
              </w:rPr>
            </w:pPr>
            <w:r>
              <w:rPr>
                <w:szCs w:val="27"/>
              </w:rPr>
              <w:t>14.5</w:t>
            </w:r>
          </w:p>
        </w:tc>
      </w:tr>
      <w:tr>
        <w:trPr/>
        <w:tc>
          <w:tcPr>
            <w:tcW w:w="2113" w:type="dxa"/>
            <w:tcBorders/>
            <w:vAlign w:val="center"/>
          </w:tcPr>
          <w:p>
            <w:pPr>
              <w:pStyle w:val="F21"/>
              <w:tabs>
                <w:tab w:val="clear" w:pos="567"/>
                <w:tab w:val="left" w:pos="720" w:leader="none"/>
              </w:tabs>
              <w:ind w:left="57" w:right="57" w:hanging="0"/>
              <w:rPr>
                <w:szCs w:val="27"/>
              </w:rPr>
            </w:pPr>
            <w:r>
              <w:rPr>
                <w:szCs w:val="27"/>
              </w:rPr>
              <w:t>最高的拖欠日數</w:t>
            </w:r>
            <w:r>
              <w:rPr>
                <w:szCs w:val="27"/>
                <w:vertAlign w:val="superscript"/>
              </w:rPr>
              <w:t>(1)</w:t>
            </w:r>
          </w:p>
        </w:tc>
        <w:tc>
          <w:tcPr>
            <w:tcW w:w="1417" w:type="dxa"/>
            <w:tcBorders/>
            <w:vAlign w:val="center"/>
          </w:tcPr>
          <w:p>
            <w:pPr>
              <w:pStyle w:val="F21"/>
              <w:tabs>
                <w:tab w:val="clear" w:pos="567"/>
                <w:tab w:val="left" w:pos="720" w:leader="none"/>
              </w:tabs>
              <w:ind w:left="57" w:right="397" w:hanging="0"/>
              <w:jc w:val="right"/>
              <w:rPr>
                <w:szCs w:val="27"/>
              </w:rPr>
            </w:pPr>
            <w:r>
              <w:rPr>
                <w:szCs w:val="27"/>
              </w:rPr>
              <w:t>1 210</w:t>
            </w:r>
          </w:p>
        </w:tc>
        <w:tc>
          <w:tcPr>
            <w:tcW w:w="1418" w:type="dxa"/>
            <w:tcBorders/>
            <w:vAlign w:val="center"/>
          </w:tcPr>
          <w:p>
            <w:pPr>
              <w:pStyle w:val="F21"/>
              <w:tabs>
                <w:tab w:val="clear" w:pos="567"/>
                <w:tab w:val="left" w:pos="720" w:leader="none"/>
              </w:tabs>
              <w:ind w:left="57" w:right="397" w:hanging="0"/>
              <w:jc w:val="right"/>
              <w:rPr>
                <w:szCs w:val="27"/>
              </w:rPr>
            </w:pPr>
            <w:r>
              <w:rPr>
                <w:szCs w:val="27"/>
              </w:rPr>
              <w:t>464</w:t>
            </w:r>
          </w:p>
        </w:tc>
        <w:tc>
          <w:tcPr>
            <w:tcW w:w="1419" w:type="dxa"/>
            <w:tcBorders/>
            <w:vAlign w:val="center"/>
          </w:tcPr>
          <w:p>
            <w:pPr>
              <w:pStyle w:val="F21"/>
              <w:tabs>
                <w:tab w:val="clear" w:pos="567"/>
                <w:tab w:val="left" w:pos="720" w:leader="none"/>
              </w:tabs>
              <w:ind w:left="57" w:right="397" w:hanging="0"/>
              <w:jc w:val="right"/>
              <w:rPr>
                <w:szCs w:val="27"/>
              </w:rPr>
            </w:pPr>
            <w:r>
              <w:rPr>
                <w:szCs w:val="27"/>
              </w:rPr>
              <w:t>618</w:t>
            </w:r>
          </w:p>
        </w:tc>
        <w:tc>
          <w:tcPr>
            <w:tcW w:w="1417" w:type="dxa"/>
            <w:tcBorders/>
            <w:vAlign w:val="center"/>
          </w:tcPr>
          <w:p>
            <w:pPr>
              <w:pStyle w:val="F21"/>
              <w:tabs>
                <w:tab w:val="clear" w:pos="567"/>
                <w:tab w:val="left" w:pos="720" w:leader="none"/>
              </w:tabs>
              <w:ind w:left="57" w:right="397" w:hanging="0"/>
              <w:jc w:val="right"/>
              <w:rPr>
                <w:szCs w:val="27"/>
              </w:rPr>
            </w:pPr>
            <w:r>
              <w:rPr>
                <w:szCs w:val="27"/>
              </w:rPr>
              <w:t>506</w:t>
            </w:r>
          </w:p>
        </w:tc>
        <w:tc>
          <w:tcPr>
            <w:tcW w:w="1419" w:type="dxa"/>
            <w:tcBorders/>
            <w:vAlign w:val="center"/>
          </w:tcPr>
          <w:p>
            <w:pPr>
              <w:pStyle w:val="F21"/>
              <w:tabs>
                <w:tab w:val="clear" w:pos="567"/>
                <w:tab w:val="left" w:pos="720" w:leader="none"/>
              </w:tabs>
              <w:ind w:left="57" w:right="397" w:hanging="0"/>
              <w:jc w:val="right"/>
              <w:rPr>
                <w:szCs w:val="27"/>
              </w:rPr>
            </w:pPr>
            <w:r>
              <w:rPr>
                <w:szCs w:val="27"/>
              </w:rPr>
              <w:t>765</w:t>
            </w:r>
          </w:p>
        </w:tc>
      </w:tr>
      <w:tr>
        <w:trPr/>
        <w:tc>
          <w:tcPr>
            <w:tcW w:w="2113" w:type="dxa"/>
            <w:tcBorders/>
            <w:vAlign w:val="center"/>
          </w:tcPr>
          <w:p>
            <w:pPr>
              <w:pStyle w:val="F21"/>
              <w:tabs>
                <w:tab w:val="clear" w:pos="567"/>
                <w:tab w:val="left" w:pos="720" w:leader="none"/>
              </w:tabs>
              <w:ind w:left="57" w:right="57" w:hanging="0"/>
              <w:rPr>
                <w:szCs w:val="27"/>
              </w:rPr>
            </w:pPr>
            <w:r>
              <w:rPr>
                <w:szCs w:val="27"/>
              </w:rPr>
              <w:t>平均的拖欠日數</w:t>
            </w:r>
            <w:r>
              <w:rPr>
                <w:szCs w:val="27"/>
                <w:vertAlign w:val="superscript"/>
              </w:rPr>
              <w:t>(1)</w:t>
            </w:r>
          </w:p>
        </w:tc>
        <w:tc>
          <w:tcPr>
            <w:tcW w:w="1417" w:type="dxa"/>
            <w:tcBorders/>
            <w:vAlign w:val="center"/>
          </w:tcPr>
          <w:p>
            <w:pPr>
              <w:pStyle w:val="F21"/>
              <w:tabs>
                <w:tab w:val="clear" w:pos="567"/>
                <w:tab w:val="left" w:pos="720" w:leader="none"/>
              </w:tabs>
              <w:ind w:left="57" w:right="397" w:hanging="0"/>
              <w:jc w:val="right"/>
              <w:rPr>
                <w:szCs w:val="27"/>
              </w:rPr>
            </w:pPr>
            <w:r>
              <w:rPr>
                <w:szCs w:val="27"/>
              </w:rPr>
              <w:t>149</w:t>
            </w:r>
          </w:p>
        </w:tc>
        <w:tc>
          <w:tcPr>
            <w:tcW w:w="1418" w:type="dxa"/>
            <w:tcBorders/>
            <w:vAlign w:val="center"/>
          </w:tcPr>
          <w:p>
            <w:pPr>
              <w:pStyle w:val="F21"/>
              <w:tabs>
                <w:tab w:val="clear" w:pos="567"/>
                <w:tab w:val="left" w:pos="720" w:leader="none"/>
              </w:tabs>
              <w:ind w:left="57" w:right="397" w:hanging="0"/>
              <w:jc w:val="right"/>
              <w:rPr>
                <w:szCs w:val="27"/>
              </w:rPr>
            </w:pPr>
            <w:r>
              <w:rPr>
                <w:szCs w:val="27"/>
              </w:rPr>
              <w:t>115</w:t>
            </w:r>
          </w:p>
        </w:tc>
        <w:tc>
          <w:tcPr>
            <w:tcW w:w="1419" w:type="dxa"/>
            <w:tcBorders/>
            <w:vAlign w:val="center"/>
          </w:tcPr>
          <w:p>
            <w:pPr>
              <w:pStyle w:val="F21"/>
              <w:tabs>
                <w:tab w:val="clear" w:pos="567"/>
                <w:tab w:val="left" w:pos="720" w:leader="none"/>
              </w:tabs>
              <w:ind w:left="57" w:right="397" w:hanging="0"/>
              <w:jc w:val="right"/>
              <w:rPr>
                <w:szCs w:val="27"/>
              </w:rPr>
            </w:pPr>
            <w:r>
              <w:rPr>
                <w:szCs w:val="27"/>
              </w:rPr>
              <w:t>100</w:t>
            </w:r>
          </w:p>
        </w:tc>
        <w:tc>
          <w:tcPr>
            <w:tcW w:w="1417" w:type="dxa"/>
            <w:tcBorders/>
            <w:vAlign w:val="center"/>
          </w:tcPr>
          <w:p>
            <w:pPr>
              <w:pStyle w:val="F21"/>
              <w:tabs>
                <w:tab w:val="clear" w:pos="567"/>
                <w:tab w:val="left" w:pos="720" w:leader="none"/>
              </w:tabs>
              <w:ind w:left="57" w:right="397" w:hanging="0"/>
              <w:jc w:val="right"/>
              <w:rPr>
                <w:szCs w:val="27"/>
              </w:rPr>
            </w:pPr>
            <w:r>
              <w:rPr>
                <w:szCs w:val="27"/>
              </w:rPr>
              <w:t>98</w:t>
            </w:r>
          </w:p>
        </w:tc>
        <w:tc>
          <w:tcPr>
            <w:tcW w:w="1419" w:type="dxa"/>
            <w:tcBorders/>
            <w:vAlign w:val="center"/>
          </w:tcPr>
          <w:p>
            <w:pPr>
              <w:pStyle w:val="F21"/>
              <w:tabs>
                <w:tab w:val="clear" w:pos="567"/>
                <w:tab w:val="left" w:pos="720" w:leader="none"/>
              </w:tabs>
              <w:ind w:left="57" w:right="397" w:hanging="0"/>
              <w:jc w:val="right"/>
              <w:rPr>
                <w:szCs w:val="27"/>
              </w:rPr>
            </w:pPr>
            <w:r>
              <w:rPr>
                <w:szCs w:val="27"/>
              </w:rPr>
              <w:t>107</w:t>
            </w:r>
          </w:p>
        </w:tc>
      </w:tr>
      <w:tr>
        <w:trPr/>
        <w:tc>
          <w:tcPr>
            <w:tcW w:w="2113" w:type="dxa"/>
            <w:tcBorders/>
            <w:vAlign w:val="center"/>
          </w:tcPr>
          <w:p>
            <w:pPr>
              <w:pStyle w:val="F21"/>
              <w:tabs>
                <w:tab w:val="clear" w:pos="567"/>
                <w:tab w:val="left" w:pos="720" w:leader="none"/>
              </w:tabs>
              <w:spacing w:lineRule="atLeast" w:line="390"/>
              <w:ind w:left="57" w:right="57" w:hanging="0"/>
              <w:rPr>
                <w:szCs w:val="27"/>
              </w:rPr>
            </w:pPr>
            <w:r>
              <w:rPr>
                <w:szCs w:val="27"/>
              </w:rPr>
              <w:t>住院病人住院時間</w:t>
            </w:r>
            <w:r>
              <w:rPr>
                <w:szCs w:val="27"/>
              </w:rPr>
              <w:t>(</w:t>
            </w:r>
            <w:r>
              <w:rPr>
                <w:szCs w:val="27"/>
              </w:rPr>
              <w:t>日數</w:t>
            </w:r>
            <w:r>
              <w:rPr>
                <w:szCs w:val="27"/>
              </w:rPr>
              <w:t>)</w:t>
            </w:r>
            <w:r>
              <w:rPr>
                <w:szCs w:val="27"/>
              </w:rPr>
              <w:t>第</w:t>
            </w:r>
            <w:r>
              <w:rPr>
                <w:szCs w:val="27"/>
              </w:rPr>
              <w:t>90</w:t>
            </w:r>
            <w:r>
              <w:rPr>
                <w:szCs w:val="27"/>
              </w:rPr>
              <w:t>個百分值‍</w:t>
            </w:r>
            <w:r>
              <w:rPr>
                <w:szCs w:val="27"/>
                <w:vertAlign w:val="superscript"/>
              </w:rPr>
              <w:t>(2)</w:t>
            </w:r>
          </w:p>
        </w:tc>
        <w:tc>
          <w:tcPr>
            <w:tcW w:w="1417" w:type="dxa"/>
            <w:tcBorders/>
            <w:vAlign w:val="center"/>
          </w:tcPr>
          <w:p>
            <w:pPr>
              <w:pStyle w:val="F21"/>
              <w:tabs>
                <w:tab w:val="clear" w:pos="567"/>
                <w:tab w:val="left" w:pos="720" w:leader="none"/>
              </w:tabs>
              <w:spacing w:lineRule="atLeast" w:line="390"/>
              <w:ind w:left="57" w:right="397" w:hanging="0"/>
              <w:jc w:val="right"/>
              <w:rPr>
                <w:szCs w:val="27"/>
              </w:rPr>
            </w:pPr>
            <w:r>
              <w:rPr>
                <w:szCs w:val="27"/>
              </w:rPr>
              <w:t>7.0</w:t>
            </w:r>
          </w:p>
        </w:tc>
        <w:tc>
          <w:tcPr>
            <w:tcW w:w="1418" w:type="dxa"/>
            <w:tcBorders/>
            <w:vAlign w:val="center"/>
          </w:tcPr>
          <w:p>
            <w:pPr>
              <w:pStyle w:val="F21"/>
              <w:tabs>
                <w:tab w:val="clear" w:pos="567"/>
                <w:tab w:val="left" w:pos="720" w:leader="none"/>
              </w:tabs>
              <w:spacing w:lineRule="atLeast" w:line="390"/>
              <w:ind w:left="57" w:right="397" w:hanging="0"/>
              <w:jc w:val="right"/>
              <w:rPr>
                <w:szCs w:val="27"/>
              </w:rPr>
            </w:pPr>
            <w:r>
              <w:rPr>
                <w:szCs w:val="27"/>
              </w:rPr>
              <w:t>7.0</w:t>
            </w:r>
          </w:p>
        </w:tc>
        <w:tc>
          <w:tcPr>
            <w:tcW w:w="1419" w:type="dxa"/>
            <w:tcBorders/>
            <w:vAlign w:val="center"/>
          </w:tcPr>
          <w:p>
            <w:pPr>
              <w:pStyle w:val="F21"/>
              <w:tabs>
                <w:tab w:val="clear" w:pos="567"/>
                <w:tab w:val="left" w:pos="720" w:leader="none"/>
              </w:tabs>
              <w:spacing w:lineRule="atLeast" w:line="390"/>
              <w:ind w:left="57" w:right="397" w:hanging="0"/>
              <w:jc w:val="right"/>
              <w:rPr>
                <w:szCs w:val="27"/>
              </w:rPr>
            </w:pPr>
            <w:r>
              <w:rPr>
                <w:szCs w:val="27"/>
              </w:rPr>
              <w:t>7.0</w:t>
            </w:r>
          </w:p>
        </w:tc>
        <w:tc>
          <w:tcPr>
            <w:tcW w:w="1417" w:type="dxa"/>
            <w:tcBorders/>
            <w:vAlign w:val="center"/>
          </w:tcPr>
          <w:p>
            <w:pPr>
              <w:pStyle w:val="F21"/>
              <w:tabs>
                <w:tab w:val="clear" w:pos="567"/>
                <w:tab w:val="left" w:pos="720" w:leader="none"/>
              </w:tabs>
              <w:spacing w:lineRule="atLeast" w:line="390"/>
              <w:ind w:left="57" w:right="397" w:hanging="0"/>
              <w:jc w:val="right"/>
              <w:rPr>
                <w:szCs w:val="27"/>
              </w:rPr>
            </w:pPr>
            <w:r>
              <w:rPr>
                <w:szCs w:val="27"/>
              </w:rPr>
              <w:t>7.0</w:t>
            </w:r>
          </w:p>
        </w:tc>
        <w:tc>
          <w:tcPr>
            <w:tcW w:w="1419" w:type="dxa"/>
            <w:tcBorders/>
            <w:vAlign w:val="center"/>
          </w:tcPr>
          <w:p>
            <w:pPr>
              <w:pStyle w:val="F21"/>
              <w:tabs>
                <w:tab w:val="clear" w:pos="567"/>
                <w:tab w:val="left" w:pos="720" w:leader="none"/>
              </w:tabs>
              <w:spacing w:lineRule="atLeast" w:line="390"/>
              <w:ind w:left="57" w:right="397" w:hanging="0"/>
              <w:jc w:val="right"/>
              <w:rPr>
                <w:szCs w:val="27"/>
              </w:rPr>
            </w:pPr>
            <w:r>
              <w:rPr>
                <w:szCs w:val="27"/>
              </w:rPr>
              <w:t>7.0</w:t>
            </w:r>
          </w:p>
        </w:tc>
      </w:tr>
      <w:tr>
        <w:trPr/>
        <w:tc>
          <w:tcPr>
            <w:tcW w:w="2113" w:type="dxa"/>
            <w:tcBorders/>
            <w:vAlign w:val="center"/>
          </w:tcPr>
          <w:p>
            <w:pPr>
              <w:pStyle w:val="F21"/>
              <w:tabs>
                <w:tab w:val="clear" w:pos="567"/>
                <w:tab w:val="left" w:pos="720" w:leader="none"/>
              </w:tabs>
              <w:spacing w:lineRule="atLeast" w:line="390"/>
              <w:ind w:left="57" w:right="57" w:hanging="0"/>
              <w:rPr>
                <w:szCs w:val="27"/>
              </w:rPr>
            </w:pPr>
            <w:r>
              <w:rPr>
                <w:szCs w:val="27"/>
              </w:rPr>
              <w:t>住院病人平均住院時間</w:t>
            </w:r>
            <w:r>
              <w:rPr>
                <w:szCs w:val="27"/>
                <w:vertAlign w:val="superscript"/>
              </w:rPr>
              <w:t>(2)</w:t>
            </w:r>
            <w:r>
              <w:rPr>
                <w:szCs w:val="27"/>
              </w:rPr>
              <w:t>(</w:t>
            </w:r>
            <w:r>
              <w:rPr>
                <w:szCs w:val="27"/>
              </w:rPr>
              <w:t>日數</w:t>
            </w:r>
            <w:r>
              <w:rPr>
                <w:szCs w:val="27"/>
              </w:rPr>
              <w:t>)</w:t>
            </w:r>
          </w:p>
        </w:tc>
        <w:tc>
          <w:tcPr>
            <w:tcW w:w="1417" w:type="dxa"/>
            <w:tcBorders/>
            <w:vAlign w:val="center"/>
          </w:tcPr>
          <w:p>
            <w:pPr>
              <w:pStyle w:val="F21"/>
              <w:tabs>
                <w:tab w:val="clear" w:pos="567"/>
                <w:tab w:val="left" w:pos="720" w:leader="none"/>
              </w:tabs>
              <w:spacing w:lineRule="atLeast" w:line="390"/>
              <w:ind w:left="57" w:right="397" w:hanging="0"/>
              <w:jc w:val="right"/>
              <w:rPr>
                <w:szCs w:val="27"/>
              </w:rPr>
            </w:pPr>
            <w:r>
              <w:rPr>
                <w:szCs w:val="27"/>
              </w:rPr>
              <w:t>3.9</w:t>
            </w:r>
          </w:p>
        </w:tc>
        <w:tc>
          <w:tcPr>
            <w:tcW w:w="1418" w:type="dxa"/>
            <w:tcBorders/>
            <w:vAlign w:val="center"/>
          </w:tcPr>
          <w:p>
            <w:pPr>
              <w:pStyle w:val="F21"/>
              <w:tabs>
                <w:tab w:val="clear" w:pos="567"/>
                <w:tab w:val="left" w:pos="720" w:leader="none"/>
              </w:tabs>
              <w:spacing w:lineRule="atLeast" w:line="390"/>
              <w:ind w:left="57" w:right="397" w:hanging="0"/>
              <w:jc w:val="right"/>
              <w:rPr>
                <w:szCs w:val="27"/>
              </w:rPr>
            </w:pPr>
            <w:r>
              <w:rPr>
                <w:szCs w:val="27"/>
              </w:rPr>
              <w:t>3.7</w:t>
            </w:r>
          </w:p>
        </w:tc>
        <w:tc>
          <w:tcPr>
            <w:tcW w:w="1419" w:type="dxa"/>
            <w:tcBorders/>
            <w:vAlign w:val="center"/>
          </w:tcPr>
          <w:p>
            <w:pPr>
              <w:pStyle w:val="F21"/>
              <w:tabs>
                <w:tab w:val="clear" w:pos="567"/>
                <w:tab w:val="left" w:pos="720" w:leader="none"/>
              </w:tabs>
              <w:spacing w:lineRule="atLeast" w:line="390"/>
              <w:ind w:left="57" w:right="397" w:hanging="0"/>
              <w:jc w:val="right"/>
              <w:rPr>
                <w:szCs w:val="27"/>
              </w:rPr>
            </w:pPr>
            <w:r>
              <w:rPr>
                <w:szCs w:val="27"/>
              </w:rPr>
              <w:t>4.1</w:t>
            </w:r>
          </w:p>
        </w:tc>
        <w:tc>
          <w:tcPr>
            <w:tcW w:w="1417" w:type="dxa"/>
            <w:tcBorders/>
            <w:vAlign w:val="center"/>
          </w:tcPr>
          <w:p>
            <w:pPr>
              <w:pStyle w:val="F21"/>
              <w:tabs>
                <w:tab w:val="clear" w:pos="567"/>
                <w:tab w:val="left" w:pos="720" w:leader="none"/>
              </w:tabs>
              <w:spacing w:lineRule="atLeast" w:line="390"/>
              <w:ind w:left="57" w:right="397" w:hanging="0"/>
              <w:jc w:val="right"/>
              <w:rPr>
                <w:szCs w:val="27"/>
              </w:rPr>
            </w:pPr>
            <w:r>
              <w:rPr>
                <w:szCs w:val="27"/>
              </w:rPr>
              <w:t>4.1</w:t>
            </w:r>
          </w:p>
        </w:tc>
        <w:tc>
          <w:tcPr>
            <w:tcW w:w="1419" w:type="dxa"/>
            <w:tcBorders/>
            <w:vAlign w:val="center"/>
          </w:tcPr>
          <w:p>
            <w:pPr>
              <w:pStyle w:val="F21"/>
              <w:tabs>
                <w:tab w:val="clear" w:pos="567"/>
                <w:tab w:val="left" w:pos="720" w:leader="none"/>
              </w:tabs>
              <w:spacing w:lineRule="atLeast" w:line="390"/>
              <w:ind w:left="57" w:right="397" w:hanging="0"/>
              <w:jc w:val="right"/>
              <w:rPr>
                <w:szCs w:val="27"/>
              </w:rPr>
            </w:pPr>
            <w:r>
              <w:rPr>
                <w:szCs w:val="27"/>
              </w:rPr>
              <w:t>3.9</w:t>
            </w:r>
          </w:p>
        </w:tc>
      </w:tr>
      <w:tr>
        <w:trPr/>
        <w:tc>
          <w:tcPr>
            <w:tcW w:w="2113" w:type="dxa"/>
            <w:tcBorders/>
            <w:vAlign w:val="center"/>
          </w:tcPr>
          <w:p>
            <w:pPr>
              <w:pStyle w:val="F21"/>
              <w:tabs>
                <w:tab w:val="clear" w:pos="567"/>
                <w:tab w:val="left" w:pos="720" w:leader="none"/>
              </w:tabs>
              <w:spacing w:lineRule="atLeast" w:line="390"/>
              <w:ind w:left="57" w:right="57" w:hanging="0"/>
              <w:rPr>
                <w:szCs w:val="27"/>
              </w:rPr>
            </w:pPr>
            <w:r>
              <w:rPr>
                <w:szCs w:val="27"/>
              </w:rPr>
              <w:t>最大的撇帳金額</w:t>
            </w:r>
            <w:r>
              <w:rPr>
                <w:szCs w:val="27"/>
                <w:vertAlign w:val="superscript"/>
              </w:rPr>
              <w:t>(1)</w:t>
            </w:r>
            <w:r>
              <w:rPr>
                <w:szCs w:val="27"/>
              </w:rPr>
              <w:t>(</w:t>
            </w:r>
            <w:r>
              <w:rPr>
                <w:szCs w:val="27"/>
              </w:rPr>
              <w:t>百萬元</w:t>
            </w:r>
            <w:r>
              <w:rPr>
                <w:szCs w:val="27"/>
              </w:rPr>
              <w:t>)</w:t>
            </w:r>
          </w:p>
        </w:tc>
        <w:tc>
          <w:tcPr>
            <w:tcW w:w="1417" w:type="dxa"/>
            <w:tcBorders/>
            <w:vAlign w:val="center"/>
          </w:tcPr>
          <w:p>
            <w:pPr>
              <w:pStyle w:val="F21"/>
              <w:tabs>
                <w:tab w:val="clear" w:pos="567"/>
                <w:tab w:val="left" w:pos="720" w:leader="none"/>
              </w:tabs>
              <w:spacing w:lineRule="atLeast" w:line="390"/>
              <w:ind w:left="57" w:right="397" w:hanging="0"/>
              <w:jc w:val="right"/>
              <w:rPr>
                <w:szCs w:val="27"/>
              </w:rPr>
            </w:pPr>
            <w:r>
              <w:rPr>
                <w:szCs w:val="27"/>
              </w:rPr>
              <w:t>1.3</w:t>
            </w:r>
          </w:p>
        </w:tc>
        <w:tc>
          <w:tcPr>
            <w:tcW w:w="1418" w:type="dxa"/>
            <w:tcBorders/>
            <w:vAlign w:val="center"/>
          </w:tcPr>
          <w:p>
            <w:pPr>
              <w:pStyle w:val="F21"/>
              <w:tabs>
                <w:tab w:val="clear" w:pos="567"/>
                <w:tab w:val="left" w:pos="720" w:leader="none"/>
              </w:tabs>
              <w:spacing w:lineRule="atLeast" w:line="390"/>
              <w:ind w:left="57" w:right="397" w:hanging="0"/>
              <w:jc w:val="right"/>
              <w:rPr>
                <w:szCs w:val="27"/>
              </w:rPr>
            </w:pPr>
            <w:r>
              <w:rPr>
                <w:szCs w:val="27"/>
              </w:rPr>
              <w:t>4.5</w:t>
            </w:r>
          </w:p>
        </w:tc>
        <w:tc>
          <w:tcPr>
            <w:tcW w:w="1419" w:type="dxa"/>
            <w:tcBorders/>
            <w:vAlign w:val="center"/>
          </w:tcPr>
          <w:p>
            <w:pPr>
              <w:pStyle w:val="F21"/>
              <w:tabs>
                <w:tab w:val="clear" w:pos="567"/>
                <w:tab w:val="left" w:pos="720" w:leader="none"/>
              </w:tabs>
              <w:spacing w:lineRule="atLeast" w:line="390"/>
              <w:ind w:left="57" w:right="397" w:hanging="0"/>
              <w:jc w:val="right"/>
              <w:rPr>
                <w:szCs w:val="27"/>
              </w:rPr>
            </w:pPr>
            <w:r>
              <w:rPr>
                <w:szCs w:val="27"/>
              </w:rPr>
              <w:t>1.2</w:t>
            </w:r>
          </w:p>
        </w:tc>
        <w:tc>
          <w:tcPr>
            <w:tcW w:w="1417" w:type="dxa"/>
            <w:tcBorders/>
            <w:vAlign w:val="center"/>
          </w:tcPr>
          <w:p>
            <w:pPr>
              <w:pStyle w:val="F21"/>
              <w:tabs>
                <w:tab w:val="clear" w:pos="567"/>
                <w:tab w:val="left" w:pos="720" w:leader="none"/>
              </w:tabs>
              <w:spacing w:lineRule="atLeast" w:line="390"/>
              <w:ind w:left="57" w:right="397" w:hanging="0"/>
              <w:jc w:val="right"/>
              <w:rPr>
                <w:szCs w:val="27"/>
              </w:rPr>
            </w:pPr>
            <w:r>
              <w:rPr>
                <w:szCs w:val="27"/>
              </w:rPr>
              <w:t>2.9</w:t>
            </w:r>
          </w:p>
        </w:tc>
        <w:tc>
          <w:tcPr>
            <w:tcW w:w="1419" w:type="dxa"/>
            <w:tcBorders/>
            <w:vAlign w:val="center"/>
          </w:tcPr>
          <w:p>
            <w:pPr>
              <w:pStyle w:val="F21"/>
              <w:tabs>
                <w:tab w:val="clear" w:pos="567"/>
                <w:tab w:val="left" w:pos="720" w:leader="none"/>
              </w:tabs>
              <w:spacing w:lineRule="atLeast" w:line="390"/>
              <w:ind w:left="57" w:right="397" w:hanging="0"/>
              <w:jc w:val="right"/>
              <w:rPr>
                <w:szCs w:val="27"/>
              </w:rPr>
            </w:pPr>
            <w:r>
              <w:rPr>
                <w:szCs w:val="27"/>
              </w:rPr>
              <w:t>1.7</w:t>
            </w:r>
          </w:p>
        </w:tc>
      </w:tr>
      <w:tr>
        <w:trPr/>
        <w:tc>
          <w:tcPr>
            <w:tcW w:w="2113" w:type="dxa"/>
            <w:tcBorders/>
            <w:vAlign w:val="center"/>
          </w:tcPr>
          <w:p>
            <w:pPr>
              <w:pStyle w:val="F21"/>
              <w:tabs>
                <w:tab w:val="clear" w:pos="567"/>
                <w:tab w:val="left" w:pos="720" w:leader="none"/>
              </w:tabs>
              <w:spacing w:lineRule="atLeast" w:line="390"/>
              <w:ind w:left="57" w:right="57" w:hanging="0"/>
              <w:rPr>
                <w:szCs w:val="27"/>
              </w:rPr>
            </w:pPr>
            <w:r>
              <w:rPr>
                <w:szCs w:val="27"/>
              </w:rPr>
              <w:t>平均的撇帳金額</w:t>
            </w:r>
            <w:r>
              <w:rPr>
                <w:szCs w:val="27"/>
                <w:vertAlign w:val="superscript"/>
              </w:rPr>
              <w:t>(1)</w:t>
            </w:r>
            <w:r>
              <w:rPr>
                <w:szCs w:val="27"/>
              </w:rPr>
              <w:t>(</w:t>
            </w:r>
            <w:r>
              <w:rPr>
                <w:szCs w:val="27"/>
              </w:rPr>
              <w:t>千元</w:t>
            </w:r>
            <w:r>
              <w:rPr>
                <w:szCs w:val="27"/>
              </w:rPr>
              <w:t>)</w:t>
            </w:r>
          </w:p>
        </w:tc>
        <w:tc>
          <w:tcPr>
            <w:tcW w:w="1417" w:type="dxa"/>
            <w:tcBorders/>
            <w:vAlign w:val="center"/>
          </w:tcPr>
          <w:p>
            <w:pPr>
              <w:pStyle w:val="F21"/>
              <w:tabs>
                <w:tab w:val="clear" w:pos="567"/>
                <w:tab w:val="left" w:pos="720" w:leader="none"/>
              </w:tabs>
              <w:spacing w:lineRule="atLeast" w:line="390"/>
              <w:ind w:left="57" w:right="397" w:hanging="0"/>
              <w:jc w:val="right"/>
              <w:rPr>
                <w:szCs w:val="27"/>
              </w:rPr>
            </w:pPr>
            <w:r>
              <w:rPr>
                <w:szCs w:val="27"/>
              </w:rPr>
              <w:t>5.8</w:t>
            </w:r>
          </w:p>
        </w:tc>
        <w:tc>
          <w:tcPr>
            <w:tcW w:w="1418" w:type="dxa"/>
            <w:tcBorders/>
            <w:vAlign w:val="center"/>
          </w:tcPr>
          <w:p>
            <w:pPr>
              <w:pStyle w:val="F21"/>
              <w:tabs>
                <w:tab w:val="clear" w:pos="567"/>
                <w:tab w:val="left" w:pos="720" w:leader="none"/>
              </w:tabs>
              <w:spacing w:lineRule="atLeast" w:line="390"/>
              <w:ind w:left="57" w:right="397" w:hanging="0"/>
              <w:jc w:val="right"/>
              <w:rPr>
                <w:szCs w:val="27"/>
              </w:rPr>
            </w:pPr>
            <w:r>
              <w:rPr>
                <w:szCs w:val="27"/>
              </w:rPr>
              <w:t>9.8</w:t>
            </w:r>
          </w:p>
        </w:tc>
        <w:tc>
          <w:tcPr>
            <w:tcW w:w="1419" w:type="dxa"/>
            <w:tcBorders/>
            <w:vAlign w:val="center"/>
          </w:tcPr>
          <w:p>
            <w:pPr>
              <w:pStyle w:val="F21"/>
              <w:tabs>
                <w:tab w:val="clear" w:pos="567"/>
                <w:tab w:val="left" w:pos="720" w:leader="none"/>
              </w:tabs>
              <w:spacing w:lineRule="atLeast" w:line="390"/>
              <w:ind w:left="57" w:right="397" w:hanging="0"/>
              <w:jc w:val="right"/>
              <w:rPr>
                <w:szCs w:val="27"/>
              </w:rPr>
            </w:pPr>
            <w:r>
              <w:rPr>
                <w:szCs w:val="27"/>
              </w:rPr>
              <w:t>5.7</w:t>
            </w:r>
          </w:p>
        </w:tc>
        <w:tc>
          <w:tcPr>
            <w:tcW w:w="1417" w:type="dxa"/>
            <w:tcBorders/>
            <w:vAlign w:val="center"/>
          </w:tcPr>
          <w:p>
            <w:pPr>
              <w:pStyle w:val="F21"/>
              <w:tabs>
                <w:tab w:val="clear" w:pos="567"/>
                <w:tab w:val="left" w:pos="720" w:leader="none"/>
              </w:tabs>
              <w:spacing w:lineRule="atLeast" w:line="390"/>
              <w:ind w:left="57" w:right="397" w:hanging="0"/>
              <w:jc w:val="right"/>
              <w:rPr>
                <w:szCs w:val="27"/>
              </w:rPr>
            </w:pPr>
            <w:r>
              <w:rPr>
                <w:szCs w:val="27"/>
              </w:rPr>
              <w:t>6.4</w:t>
            </w:r>
          </w:p>
        </w:tc>
        <w:tc>
          <w:tcPr>
            <w:tcW w:w="1419" w:type="dxa"/>
            <w:tcBorders/>
            <w:vAlign w:val="center"/>
          </w:tcPr>
          <w:p>
            <w:pPr>
              <w:pStyle w:val="F21"/>
              <w:tabs>
                <w:tab w:val="clear" w:pos="567"/>
                <w:tab w:val="left" w:pos="720" w:leader="none"/>
              </w:tabs>
              <w:spacing w:lineRule="atLeast" w:line="390"/>
              <w:ind w:left="57" w:right="397" w:hanging="0"/>
              <w:jc w:val="right"/>
              <w:rPr>
                <w:szCs w:val="27"/>
              </w:rPr>
            </w:pPr>
            <w:r>
              <w:rPr>
                <w:szCs w:val="27"/>
              </w:rPr>
              <w:t>7.7</w:t>
            </w:r>
          </w:p>
        </w:tc>
      </w:tr>
    </w:tbl>
    <w:p>
      <w:pPr>
        <w:pStyle w:val="F21"/>
        <w:spacing w:lineRule="auto" w:line="240"/>
        <w:rPr>
          <w:sz w:val="22"/>
        </w:rPr>
      </w:pPr>
      <w:r>
        <w:rPr>
          <w:sz w:val="22"/>
        </w:rPr>
      </w:r>
    </w:p>
    <w:p>
      <w:pPr>
        <w:pStyle w:val="F21"/>
        <w:spacing w:lineRule="auto" w:line="240"/>
        <w:rPr>
          <w:sz w:val="22"/>
        </w:rPr>
      </w:pPr>
      <w:r>
        <w:rPr>
          <w:sz w:val="22"/>
        </w:rPr>
        <w:t>註：</w:t>
      </w:r>
    </w:p>
    <w:p>
      <w:pPr>
        <w:pStyle w:val="F21"/>
        <w:spacing w:lineRule="auto" w:line="240"/>
        <w:rPr>
          <w:sz w:val="22"/>
        </w:rPr>
      </w:pPr>
      <w:r>
        <w:rPr>
          <w:sz w:val="22"/>
        </w:rPr>
      </w:r>
    </w:p>
    <w:p>
      <w:pPr>
        <w:pStyle w:val="F21"/>
        <w:spacing w:lineRule="auto" w:line="240"/>
        <w:ind w:left="567" w:hanging="567"/>
        <w:rPr>
          <w:sz w:val="22"/>
        </w:rPr>
      </w:pPr>
      <w:r>
        <w:rPr>
          <w:sz w:val="22"/>
        </w:rPr>
        <w:t>(1)</w:t>
        <w:tab/>
      </w:r>
      <w:r>
        <w:rPr>
          <w:sz w:val="22"/>
        </w:rPr>
        <w:t>按個案宗數計算。因為病人在一次的緊急醫療情況可能需要在醫管局不同醫院接受多於一類服務，例如急症室、住院及轉院服務等。因此，同一位病人的一次緊急醫療情況可能會涉及超過一次的個案宗數。</w:t>
      </w:r>
    </w:p>
    <w:p>
      <w:pPr>
        <w:pStyle w:val="F21"/>
        <w:spacing w:lineRule="auto" w:line="240"/>
        <w:ind w:left="567" w:hanging="567"/>
        <w:rPr>
          <w:sz w:val="22"/>
        </w:rPr>
      </w:pPr>
      <w:r>
        <w:rPr>
          <w:sz w:val="22"/>
        </w:rPr>
      </w:r>
    </w:p>
    <w:p>
      <w:pPr>
        <w:pStyle w:val="F21"/>
        <w:spacing w:lineRule="auto" w:line="240"/>
        <w:ind w:left="567" w:hanging="567"/>
        <w:rPr>
          <w:sz w:val="22"/>
        </w:rPr>
      </w:pPr>
      <w:r>
        <w:rPr>
          <w:sz w:val="22"/>
        </w:rPr>
        <w:t>(2)</w:t>
        <w:tab/>
      </w:r>
      <w:r>
        <w:rPr>
          <w:sz w:val="22"/>
        </w:rPr>
        <w:t>只包括非符合資格人士在普通科</w:t>
      </w:r>
      <w:r>
        <w:rPr>
          <w:sz w:val="22"/>
        </w:rPr>
        <w:t>(</w:t>
      </w:r>
      <w:r>
        <w:rPr>
          <w:sz w:val="22"/>
        </w:rPr>
        <w:t>急症及康復</w:t>
      </w:r>
      <w:r>
        <w:rPr>
          <w:sz w:val="22"/>
        </w:rPr>
        <w:t>)</w:t>
      </w:r>
      <w:r>
        <w:rPr>
          <w:sz w:val="22"/>
        </w:rPr>
        <w:t>的住院病人。住院病人是指經急症室入院或留院超過</w:t>
      </w:r>
      <w:r>
        <w:rPr>
          <w:sz w:val="22"/>
        </w:rPr>
        <w:t>1</w:t>
      </w:r>
      <w:r>
        <w:rPr>
          <w:sz w:val="22"/>
        </w:rPr>
        <w:t>日的病人。日間住院病人不計算在住院病人平均住院時間和住院時間第</w:t>
      </w:r>
      <w:r>
        <w:rPr>
          <w:sz w:val="22"/>
        </w:rPr>
        <w:t>90</w:t>
      </w:r>
      <w:r>
        <w:rPr>
          <w:sz w:val="22"/>
        </w:rPr>
        <w:t>個百分值。就住院病人平均住院時間和住院時間而言，醫管局以第</w:t>
      </w:r>
      <w:r>
        <w:rPr>
          <w:sz w:val="22"/>
        </w:rPr>
        <w:t>90</w:t>
      </w:r>
      <w:r>
        <w:rPr>
          <w:sz w:val="22"/>
        </w:rPr>
        <w:t>個百分值代表住院病人的最長住院時間。</w:t>
      </w:r>
    </w:p>
    <w:p>
      <w:pPr>
        <w:pStyle w:val="F21"/>
        <w:overflowPunct w:val="true"/>
        <w:spacing w:lineRule="atLeast" w:line="380"/>
        <w:rPr>
          <w:rFonts w:cs="Times New Roman"/>
        </w:rPr>
      </w:pPr>
      <w:r>
        <w:rPr>
          <w:rFonts w:cs="Times New Roman"/>
        </w:rPr>
      </w:r>
    </w:p>
    <w:p>
      <w:pPr>
        <w:pStyle w:val="F21"/>
        <w:overflowPunct w:val="true"/>
        <w:spacing w:lineRule="atLeast" w:line="380"/>
        <w:rPr>
          <w:rFonts w:cs="Times New Roman"/>
        </w:rPr>
      </w:pPr>
      <w:r>
        <w:rPr>
          <w:rFonts w:cs="Times New Roman"/>
        </w:rPr>
      </w:r>
    </w:p>
    <w:p>
      <w:pPr>
        <w:pStyle w:val="F21"/>
        <w:spacing w:lineRule="atLeast" w:line="380"/>
        <w:rPr>
          <w:i/>
          <w:i/>
          <w:szCs w:val="27"/>
        </w:rPr>
      </w:pPr>
      <w:r>
        <w:rPr>
          <w:rFonts w:ascii="華康中黑體" w:hAnsi="華康中黑體" w:cs="華康中黑體" w:eastAsia="華康中黑體"/>
          <w:b/>
          <w:szCs w:val="27"/>
        </w:rPr>
        <w:t>范國威議員</w:t>
      </w:r>
      <w:r>
        <w:rPr>
          <w:szCs w:val="27"/>
        </w:rPr>
        <w:t>：</w:t>
      </w:r>
      <w:r>
        <w:rPr>
          <w:i/>
          <w:szCs w:val="27"/>
        </w:rPr>
        <w:t>希望局長早日康復。我想指出，非符合資格人士拖欠的醫療費用高企，局長在主體答覆清楚提到，最大拖欠費用的金額和平均拖欠費用的金額，兩者都是</w:t>
      </w:r>
      <w:r>
        <w:rPr>
          <w:i/>
          <w:szCs w:val="27"/>
        </w:rPr>
        <w:t>5</w:t>
      </w:r>
      <w:r>
        <w:rPr>
          <w:i/>
          <w:szCs w:val="27"/>
        </w:rPr>
        <w:t>年來的新高，這證明剛才在主體答覆內提到的醫管局的一系列措施成效不彰，不能減少拖欠的情況。</w:t>
      </w:r>
    </w:p>
    <w:p>
      <w:pPr>
        <w:pStyle w:val="F21"/>
        <w:spacing w:lineRule="atLeast" w:line="380"/>
        <w:rPr>
          <w:i/>
          <w:i/>
          <w:szCs w:val="27"/>
        </w:rPr>
      </w:pPr>
      <w:r>
        <w:rPr>
          <w:i/>
          <w:szCs w:val="27"/>
        </w:rPr>
      </w:r>
    </w:p>
    <w:p>
      <w:pPr>
        <w:pStyle w:val="F21"/>
        <w:spacing w:lineRule="atLeast" w:line="380"/>
        <w:rPr>
          <w:i/>
          <w:i/>
          <w:szCs w:val="27"/>
        </w:rPr>
      </w:pPr>
      <w:r>
        <w:rPr>
          <w:i/>
          <w:szCs w:val="27"/>
        </w:rPr>
        <w:tab/>
      </w:r>
      <w:r>
        <w:rPr>
          <w:i/>
          <w:szCs w:val="27"/>
        </w:rPr>
        <w:t>因此，我想提出的補充質詢是，局長說醫管局將會繼續探討可行方案，政府會否參考其他國家的做法，例如考慮除了緊急個案外，同時增加非符合資格人士在入院時須繳付的按金，又或對於曾經拖欠醫療費用的境外人士，考慮限制他們再次入境香港，甚至不向他們簽發入境或旅遊簽證？這些是其他地方的政府所採取的做法。</w:t>
      </w:r>
    </w:p>
    <w:p>
      <w:pPr>
        <w:pStyle w:val="Normal"/>
        <w:widowControl/>
        <w:tabs>
          <w:tab w:val="clear" w:pos="720"/>
        </w:tabs>
        <w:snapToGrid w:val="true"/>
        <w:spacing w:lineRule="auto" w:line="276" w:before="0" w:after="200"/>
        <w:jc w:val="left"/>
        <w:rPr>
          <w:rFonts w:cs="" w:cstheme="minorBidi"/>
          <w:i/>
          <w:i/>
          <w:spacing w:val="20"/>
          <w:sz w:val="27"/>
          <w:szCs w:val="27"/>
          <w:lang w:val="en-US"/>
        </w:rPr>
      </w:pPr>
      <w:r>
        <w:rPr>
          <w:rFonts w:cs="" w:cstheme="minorBidi"/>
          <w:i/>
          <w:spacing w:val="20"/>
          <w:sz w:val="27"/>
          <w:szCs w:val="27"/>
          <w:lang w:val="en-US"/>
        </w:rPr>
      </w:r>
      <w:r>
        <w:br w:type="page"/>
      </w:r>
    </w:p>
    <w:p>
      <w:pPr>
        <w:pStyle w:val="F21"/>
        <w:rPr>
          <w:szCs w:val="27"/>
        </w:rPr>
      </w:pPr>
      <w:r>
        <w:rPr>
          <w:rFonts w:ascii="華康中黑體" w:hAnsi="華康中黑體" w:cs="華康中黑體" w:eastAsia="華康中黑體"/>
          <w:b/>
          <w:szCs w:val="27"/>
        </w:rPr>
        <w:t>食物及衞生局局長</w:t>
      </w:r>
      <w:r>
        <w:rPr>
          <w:szCs w:val="27"/>
        </w:rPr>
        <w:t>：主席，多謝范議員的補充質詢。正如我剛才所說，除了現行一系列措施外，醫管局也會不時檢討現行的做法，以及檢視欠款的情況。當然，除了非符合資格人士會拖欠費用外，符合資格人士也有這類情況。因此，醫管局現正不斷檢視這方面的做法，例如採用更便捷的繳費方式，又或議員剛才提到有關按金的做法，我相信醫管局也會在檢討收費時一併處理。</w:t>
      </w:r>
    </w:p>
    <w:p>
      <w:pPr>
        <w:pStyle w:val="F21"/>
        <w:rPr>
          <w:szCs w:val="27"/>
        </w:rPr>
      </w:pPr>
      <w:r>
        <w:rPr>
          <w:szCs w:val="27"/>
        </w:rPr>
      </w:r>
    </w:p>
    <w:p>
      <w:pPr>
        <w:pStyle w:val="F21"/>
        <w:rPr>
          <w:szCs w:val="27"/>
        </w:rPr>
      </w:pPr>
      <w:r>
        <w:rPr>
          <w:szCs w:val="27"/>
        </w:rPr>
        <w:t>(</w:t>
      </w:r>
      <w:r>
        <w:rPr>
          <w:szCs w:val="27"/>
        </w:rPr>
        <w:t>范國威議員站起來擬再作提問</w:t>
      </w:r>
      <w:r>
        <w:rPr>
          <w:szCs w:val="27"/>
        </w:rPr>
        <w:t>)</w:t>
      </w:r>
    </w:p>
    <w:p>
      <w:pPr>
        <w:pStyle w:val="F21"/>
        <w:rPr>
          <w:szCs w:val="27"/>
        </w:rPr>
      </w:pPr>
      <w:r>
        <w:rPr>
          <w:szCs w:val="27"/>
        </w:rPr>
      </w:r>
    </w:p>
    <w:p>
      <w:pPr>
        <w:pStyle w:val="F21"/>
        <w:rPr>
          <w:szCs w:val="27"/>
        </w:rPr>
      </w:pPr>
      <w:r>
        <w:rPr>
          <w:szCs w:val="27"/>
        </w:rPr>
      </w:r>
    </w:p>
    <w:p>
      <w:pPr>
        <w:pStyle w:val="F21"/>
        <w:rPr>
          <w:szCs w:val="27"/>
        </w:rPr>
      </w:pPr>
      <w:r>
        <w:rPr>
          <w:rFonts w:ascii="華康中黑體" w:hAnsi="華康中黑體" w:eastAsia="華康中黑體"/>
          <w:b/>
          <w:szCs w:val="27"/>
        </w:rPr>
        <w:t>主席</w:t>
      </w:r>
      <w:r>
        <w:rPr>
          <w:szCs w:val="27"/>
        </w:rPr>
        <w:t>：范國威議員，局長已回答你的補充質詢。</w:t>
      </w:r>
    </w:p>
    <w:p>
      <w:pPr>
        <w:pStyle w:val="F21"/>
        <w:rPr>
          <w:szCs w:val="27"/>
        </w:rPr>
      </w:pPr>
      <w:r>
        <w:rPr>
          <w:szCs w:val="27"/>
        </w:rPr>
      </w:r>
    </w:p>
    <w:p>
      <w:pPr>
        <w:pStyle w:val="F21"/>
        <w:rPr>
          <w:szCs w:val="27"/>
        </w:rPr>
      </w:pPr>
      <w:r>
        <w:rPr>
          <w:szCs w:val="27"/>
        </w:rPr>
      </w:r>
    </w:p>
    <w:p>
      <w:pPr>
        <w:pStyle w:val="F21"/>
        <w:rPr>
          <w:i/>
          <w:i/>
          <w:szCs w:val="27"/>
        </w:rPr>
      </w:pPr>
      <w:r>
        <w:rPr>
          <w:rFonts w:ascii="華康中黑體" w:hAnsi="華康中黑體" w:cs="華康中黑體" w:eastAsia="華康中黑體"/>
          <w:b/>
          <w:szCs w:val="27"/>
        </w:rPr>
        <w:t>馬逢國議員</w:t>
      </w:r>
      <w:r>
        <w:rPr>
          <w:szCs w:val="27"/>
        </w:rPr>
        <w:t>：</w:t>
      </w:r>
      <w:r>
        <w:rPr>
          <w:i/>
          <w:szCs w:val="27"/>
        </w:rPr>
        <w:t>主席，我看到政府提交了一個附件，但當中只有平均數字而沒有總數。請問局長拖欠費用的總人數和總金額為何？以</w:t>
      </w:r>
      <w:r>
        <w:rPr>
          <w:i/>
          <w:szCs w:val="27"/>
        </w:rPr>
        <w:t>2018</w:t>
      </w:r>
      <w:r>
        <w:rPr>
          <w:i/>
          <w:szCs w:val="27"/>
        </w:rPr>
        <w:t>年為例，局長有否上述兩項數字？</w:t>
      </w:r>
    </w:p>
    <w:p>
      <w:pPr>
        <w:pStyle w:val="F21"/>
        <w:rPr>
          <w:i/>
          <w:i/>
          <w:szCs w:val="27"/>
        </w:rPr>
      </w:pPr>
      <w:r>
        <w:rPr>
          <w:i/>
          <w:szCs w:val="27"/>
        </w:rPr>
      </w:r>
    </w:p>
    <w:p>
      <w:pPr>
        <w:pStyle w:val="F21"/>
        <w:rPr>
          <w:i/>
          <w:i/>
          <w:szCs w:val="27"/>
        </w:rPr>
      </w:pPr>
      <w:r>
        <w:rPr>
          <w:i/>
          <w:szCs w:val="27"/>
        </w:rPr>
      </w:r>
    </w:p>
    <w:p>
      <w:pPr>
        <w:pStyle w:val="F21"/>
        <w:rPr>
          <w:szCs w:val="27"/>
        </w:rPr>
      </w:pPr>
      <w:r>
        <w:rPr>
          <w:szCs w:val="27"/>
        </w:rPr>
        <w:t>(</w:t>
      </w:r>
      <w:r>
        <w:rPr>
          <w:szCs w:val="27"/>
        </w:rPr>
        <w:t>代理主席李慧琼議員代為主持會議</w:t>
      </w:r>
      <w:r>
        <w:rPr>
          <w:szCs w:val="27"/>
        </w:rPr>
        <w:t>)</w:t>
      </w:r>
    </w:p>
    <w:p>
      <w:pPr>
        <w:pStyle w:val="F21"/>
        <w:rPr>
          <w:i/>
          <w:i/>
          <w:szCs w:val="27"/>
        </w:rPr>
      </w:pPr>
      <w:r>
        <w:rPr>
          <w:i/>
          <w:szCs w:val="27"/>
        </w:rPr>
      </w:r>
    </w:p>
    <w:p>
      <w:pPr>
        <w:pStyle w:val="F21"/>
        <w:rPr>
          <w:i/>
          <w:i/>
          <w:szCs w:val="27"/>
        </w:rPr>
      </w:pPr>
      <w:r>
        <w:rPr>
          <w:i/>
          <w:szCs w:val="27"/>
        </w:rPr>
      </w:r>
    </w:p>
    <w:p>
      <w:pPr>
        <w:pStyle w:val="F21"/>
        <w:rPr>
          <w:szCs w:val="27"/>
        </w:rPr>
      </w:pPr>
      <w:r>
        <w:rPr>
          <w:rFonts w:ascii="華康中黑體" w:hAnsi="華康中黑體" w:cs="華康中黑體" w:eastAsia="華康中黑體"/>
          <w:b/>
          <w:szCs w:val="27"/>
        </w:rPr>
        <w:t>食物及衞生局局長</w:t>
      </w:r>
      <w:r>
        <w:rPr>
          <w:szCs w:val="27"/>
        </w:rPr>
        <w:t>：代理主席，多謝馬議員的補充質詢。關於非符合資格人士的個案宗數，如果看回</w:t>
      </w:r>
      <w:r>
        <w:rPr>
          <w:szCs w:val="27"/>
        </w:rPr>
        <w:t>2015-2016</w:t>
      </w:r>
      <w:r>
        <w:rPr>
          <w:szCs w:val="27"/>
        </w:rPr>
        <w:t>年度、</w:t>
      </w:r>
      <w:r>
        <w:rPr>
          <w:szCs w:val="27"/>
        </w:rPr>
        <w:t>2016-2017</w:t>
      </w:r>
      <w:r>
        <w:rPr>
          <w:szCs w:val="27"/>
        </w:rPr>
        <w:t>年度及</w:t>
      </w:r>
      <w:r>
        <w:rPr>
          <w:szCs w:val="27"/>
        </w:rPr>
        <w:t>2017-2018</w:t>
      </w:r>
      <w:r>
        <w:rPr>
          <w:szCs w:val="27"/>
        </w:rPr>
        <w:t>年度的數字，</w:t>
      </w:r>
      <w:r>
        <w:rPr>
          <w:szCs w:val="27"/>
        </w:rPr>
        <w:t>2017-2018</w:t>
      </w:r>
      <w:r>
        <w:rPr>
          <w:szCs w:val="27"/>
        </w:rPr>
        <w:t>年度的數字是</w:t>
      </w:r>
      <w:r>
        <w:rPr>
          <w:szCs w:val="27"/>
        </w:rPr>
        <w:t>4 837</w:t>
      </w:r>
      <w:r>
        <w:rPr>
          <w:szCs w:val="27"/>
        </w:rPr>
        <w:t>宗，但符合資格人士和其他個案的宗數更多，有接近</w:t>
      </w:r>
      <w:r>
        <w:rPr>
          <w:szCs w:val="27"/>
        </w:rPr>
        <w:t>40 000</w:t>
      </w:r>
      <w:r>
        <w:rPr>
          <w:szCs w:val="27"/>
        </w:rPr>
        <w:t>多宗。</w:t>
      </w:r>
    </w:p>
    <w:p>
      <w:pPr>
        <w:pStyle w:val="F21"/>
        <w:rPr>
          <w:szCs w:val="27"/>
        </w:rPr>
      </w:pPr>
      <w:r>
        <w:rPr>
          <w:szCs w:val="27"/>
        </w:rPr>
      </w:r>
    </w:p>
    <w:p>
      <w:pPr>
        <w:pStyle w:val="F21"/>
        <w:rPr>
          <w:szCs w:val="27"/>
        </w:rPr>
      </w:pPr>
      <w:r>
        <w:rPr>
          <w:szCs w:val="27"/>
        </w:rPr>
      </w:r>
    </w:p>
    <w:p>
      <w:pPr>
        <w:pStyle w:val="F21"/>
        <w:rPr>
          <w:i/>
          <w:i/>
          <w:szCs w:val="27"/>
        </w:rPr>
      </w:pPr>
      <w:r>
        <w:rPr>
          <w:rFonts w:ascii="華康中黑體" w:hAnsi="華康中黑體" w:cs="華康中黑體" w:eastAsia="華康中黑體"/>
          <w:b/>
          <w:szCs w:val="27"/>
        </w:rPr>
        <w:t>郭家麒議員</w:t>
      </w:r>
      <w:r>
        <w:rPr>
          <w:szCs w:val="27"/>
        </w:rPr>
        <w:t>：</w:t>
      </w:r>
      <w:r>
        <w:rPr>
          <w:i/>
          <w:szCs w:val="27"/>
        </w:rPr>
        <w:t>代理主席，我們的醫療經費永遠不足夠，醫管局永遠也是捉襟見肘，但非符合資格人士卻耗用了我們很多醫療資源，事實上，這也不是新事物，因為多年來也有很多非符合資格人士濫用我們的公共資源。</w:t>
      </w:r>
    </w:p>
    <w:p>
      <w:pPr>
        <w:pStyle w:val="F21"/>
        <w:rPr>
          <w:i/>
          <w:i/>
          <w:szCs w:val="27"/>
        </w:rPr>
      </w:pPr>
      <w:r>
        <w:rPr>
          <w:i/>
          <w:szCs w:val="27"/>
        </w:rPr>
      </w:r>
    </w:p>
    <w:p>
      <w:pPr>
        <w:pStyle w:val="F21"/>
        <w:rPr>
          <w:i/>
          <w:i/>
          <w:szCs w:val="27"/>
        </w:rPr>
      </w:pPr>
      <w:r>
        <w:rPr>
          <w:i/>
          <w:szCs w:val="27"/>
        </w:rPr>
        <w:tab/>
      </w:r>
      <w:r>
        <w:rPr>
          <w:i/>
          <w:szCs w:val="27"/>
        </w:rPr>
        <w:t>局長剛才的答覆，其實答了等於沒答，因為如果能夠做得到，應該早已實施及取得成效。我想問局長，如果再有拖欠的新個案出現，會否考慮把這些人列入不受歡迎名單，令他們不能夠再尋求服務或入境？否則，這些情況可能只會越演越烈，我亦知道很多人，主要是內地人士，會把患重病的人遺棄在香港。我很希望局長清楚制訂政策，以減少虛耗我們僅有及不足的醫療資源。</w:t>
      </w:r>
      <w:r>
        <w:br w:type="page"/>
      </w:r>
    </w:p>
    <w:p>
      <w:pPr>
        <w:pStyle w:val="F21"/>
        <w:rPr>
          <w:rFonts w:cs="Times New Roman"/>
          <w:szCs w:val="27"/>
        </w:rPr>
      </w:pPr>
      <w:r>
        <w:rPr>
          <w:rFonts w:ascii="華康中黑體" w:hAnsi="華康中黑體" w:cs="華康中黑體" w:eastAsia="華康中黑體"/>
          <w:b/>
          <w:szCs w:val="27"/>
        </w:rPr>
        <w:t>食物及衞生局局長</w:t>
      </w:r>
      <w:r>
        <w:rPr>
          <w:szCs w:val="27"/>
        </w:rPr>
        <w:t>：多謝郭家麒議員的補充質詢。其實，非符合資格人士並非只有內地人士，也有一些人是從外國來港的。一般而言，醫管局會考慮病人的具體情況和需要，在有需要時，也會聯繫其他部門，</w:t>
      </w:r>
      <w:r>
        <w:rPr>
          <w:rFonts w:cs="Times New Roman"/>
          <w:szCs w:val="27"/>
        </w:rPr>
        <w:t>包括社會福利署</w:t>
      </w:r>
      <w:r>
        <w:rPr>
          <w:rFonts w:cs="Times New Roman"/>
          <w:szCs w:val="27"/>
        </w:rPr>
        <w:t>("</w:t>
      </w:r>
      <w:r>
        <w:rPr>
          <w:rFonts w:cs="Times New Roman"/>
          <w:szCs w:val="27"/>
        </w:rPr>
        <w:t>社署</w:t>
      </w:r>
      <w:r>
        <w:rPr>
          <w:rFonts w:cs="Times New Roman"/>
          <w:szCs w:val="27"/>
        </w:rPr>
        <w:t>")</w:t>
      </w:r>
      <w:r>
        <w:rPr>
          <w:rFonts w:cs="Times New Roman"/>
          <w:szCs w:val="27"/>
        </w:rPr>
        <w:t>或入境事務處</w:t>
      </w:r>
      <w:r>
        <w:rPr>
          <w:rFonts w:cs="Times New Roman"/>
          <w:szCs w:val="27"/>
        </w:rPr>
        <w:t>("</w:t>
      </w:r>
      <w:r>
        <w:rPr>
          <w:rFonts w:cs="Times New Roman"/>
          <w:szCs w:val="27"/>
        </w:rPr>
        <w:t>入境處</w:t>
      </w:r>
      <w:r>
        <w:rPr>
          <w:rFonts w:cs="Times New Roman"/>
          <w:szCs w:val="27"/>
        </w:rPr>
        <w:t>")</w:t>
      </w:r>
      <w:r>
        <w:rPr>
          <w:rFonts w:cs="Times New Roman"/>
          <w:szCs w:val="27"/>
        </w:rPr>
        <w:t>等，看看這些訪港人士，無論是內地或非內地居民的需要，如果他們確有需要入院，基於人道立場，我們會立即提供治療；但是，當他們並非處於一個緊急情況時，醫管局現時設有機制，可以將他們送回原居地，過去亦有成功的個案。所以，現行的機制一直在處理這情況，亦有成功的個案。</w:t>
      </w:r>
    </w:p>
    <w:p>
      <w:pPr>
        <w:pStyle w:val="F21"/>
        <w:rPr>
          <w:rFonts w:cs="Times New Roman"/>
          <w:szCs w:val="27"/>
        </w:rPr>
      </w:pPr>
      <w:r>
        <w:rPr>
          <w:rFonts w:cs="Times New Roman"/>
          <w:szCs w:val="27"/>
        </w:rPr>
      </w:r>
    </w:p>
    <w:p>
      <w:pPr>
        <w:pStyle w:val="F21"/>
        <w:rPr>
          <w:rFonts w:cs="Times New Roman"/>
          <w:i/>
          <w:i/>
          <w:szCs w:val="27"/>
        </w:rPr>
      </w:pPr>
      <w:r>
        <w:rPr>
          <w:rFonts w:cs="Times New Roman"/>
          <w:szCs w:val="27"/>
        </w:rPr>
        <w:tab/>
      </w:r>
      <w:r>
        <w:rPr>
          <w:rFonts w:cs="Times New Roman"/>
          <w:szCs w:val="27"/>
        </w:rPr>
        <w:t>當然，我剛才也提及，我們會不時檢討現行做法的成效，如果有其他更好的方法，醫管局一定會繼續檢視及採取這方面的行動</w:t>
      </w:r>
      <w:r>
        <w:rPr>
          <w:rFonts w:cs="Times New Roman"/>
          <w:i/>
          <w:szCs w:val="27"/>
        </w:rPr>
        <w:t>。</w:t>
      </w:r>
    </w:p>
    <w:p>
      <w:pPr>
        <w:pStyle w:val="Normal"/>
        <w:rPr>
          <w:spacing w:val="20"/>
          <w:sz w:val="27"/>
          <w:szCs w:val="27"/>
        </w:rPr>
      </w:pPr>
      <w:r>
        <w:rPr>
          <w:spacing w:val="20"/>
          <w:sz w:val="27"/>
          <w:szCs w:val="27"/>
        </w:rPr>
      </w:r>
    </w:p>
    <w:p>
      <w:pPr>
        <w:pStyle w:val="Normal"/>
        <w:rPr>
          <w:spacing w:val="20"/>
          <w:sz w:val="27"/>
          <w:szCs w:val="27"/>
        </w:rPr>
      </w:pPr>
      <w:r>
        <w:rPr>
          <w:spacing w:val="20"/>
          <w:sz w:val="27"/>
          <w:szCs w:val="27"/>
        </w:rPr>
      </w:r>
    </w:p>
    <w:p>
      <w:pPr>
        <w:pStyle w:val="Normal"/>
        <w:rPr>
          <w:spacing w:val="20"/>
          <w:sz w:val="27"/>
          <w:szCs w:val="27"/>
        </w:rPr>
      </w:pPr>
      <w:r>
        <w:rPr>
          <w:rFonts w:ascii="華康中黑體" w:hAnsi="華康中黑體" w:eastAsia="華康中黑體"/>
          <w:b/>
          <w:spacing w:val="20"/>
          <w:sz w:val="27"/>
          <w:szCs w:val="27"/>
        </w:rPr>
        <w:t>代理主席</w:t>
      </w:r>
      <w:r>
        <w:rPr>
          <w:spacing w:val="20"/>
          <w:sz w:val="27"/>
          <w:szCs w:val="27"/>
        </w:rPr>
        <w:t>：郭家麒議員，你的補充質詢哪部分未獲答覆？</w:t>
      </w:r>
    </w:p>
    <w:p>
      <w:pPr>
        <w:pStyle w:val="Normal"/>
        <w:rPr>
          <w:spacing w:val="20"/>
          <w:sz w:val="27"/>
          <w:szCs w:val="27"/>
        </w:rPr>
      </w:pPr>
      <w:r>
        <w:rPr>
          <w:spacing w:val="20"/>
          <w:sz w:val="27"/>
          <w:szCs w:val="27"/>
        </w:rPr>
      </w:r>
    </w:p>
    <w:p>
      <w:pPr>
        <w:pStyle w:val="Normal"/>
        <w:rPr>
          <w:rFonts w:eastAsia="華康中黑體"/>
          <w:b/>
          <w:b/>
          <w:spacing w:val="20"/>
          <w:sz w:val="27"/>
          <w:szCs w:val="27"/>
        </w:rPr>
      </w:pPr>
      <w:r>
        <w:rPr>
          <w:rFonts w:eastAsia="華康中黑體"/>
          <w:b/>
          <w:spacing w:val="20"/>
          <w:sz w:val="27"/>
          <w:szCs w:val="27"/>
        </w:rPr>
      </w:r>
    </w:p>
    <w:p>
      <w:pPr>
        <w:pStyle w:val="F21"/>
        <w:rPr>
          <w:rFonts w:cs="Times New Roman"/>
          <w:i/>
          <w:i/>
          <w:szCs w:val="27"/>
        </w:rPr>
      </w:pPr>
      <w:r>
        <w:rPr>
          <w:rFonts w:cs="Times New Roman" w:eastAsia="華康中黑體"/>
          <w:b/>
          <w:szCs w:val="27"/>
        </w:rPr>
        <w:t>郭家麒議員</w:t>
      </w:r>
      <w:r>
        <w:rPr>
          <w:rFonts w:cs="Times New Roman"/>
          <w:szCs w:val="27"/>
        </w:rPr>
        <w:t>：</w:t>
      </w:r>
      <w:r>
        <w:rPr>
          <w:rFonts w:cs="Times New Roman"/>
          <w:i/>
          <w:szCs w:val="27"/>
        </w:rPr>
        <w:t>代理主席，剛才我向局長提出的質詢很清楚，我問會否把他們列入不受歡迎名單，令他們要不不能再入境，要不</w:t>
      </w:r>
      <w:r>
        <w:rPr>
          <w:rFonts w:cs="Times New Roman"/>
          <w:i/>
          <w:szCs w:val="27"/>
        </w:rPr>
        <w:t>......</w:t>
      </w:r>
    </w:p>
    <w:p>
      <w:pPr>
        <w:pStyle w:val="F21"/>
        <w:rPr>
          <w:rFonts w:cs="Times New Roman"/>
          <w:i/>
          <w:i/>
          <w:szCs w:val="27"/>
        </w:rPr>
      </w:pPr>
      <w:r>
        <w:rPr>
          <w:rFonts w:cs="Times New Roman"/>
          <w:i/>
          <w:szCs w:val="27"/>
        </w:rPr>
      </w:r>
    </w:p>
    <w:p>
      <w:pPr>
        <w:pStyle w:val="F21"/>
        <w:rPr>
          <w:rFonts w:cs="Times New Roman"/>
          <w:i/>
          <w:i/>
          <w:szCs w:val="27"/>
        </w:rPr>
      </w:pPr>
      <w:r>
        <w:rPr>
          <w:rFonts w:cs="Times New Roman"/>
          <w:i/>
          <w:szCs w:val="27"/>
        </w:rPr>
      </w:r>
    </w:p>
    <w:p>
      <w:pPr>
        <w:pStyle w:val="F21"/>
        <w:rPr>
          <w:rFonts w:cs="Times New Roman"/>
          <w:szCs w:val="27"/>
        </w:rPr>
      </w:pPr>
      <w:r>
        <w:rPr>
          <w:rFonts w:ascii="華康中黑體" w:hAnsi="華康中黑體" w:cs="Times New Roman" w:eastAsia="華康中黑體"/>
          <w:b/>
          <w:szCs w:val="27"/>
        </w:rPr>
        <w:t>代理主席</w:t>
      </w:r>
      <w:r>
        <w:rPr>
          <w:rFonts w:cs="Times New Roman"/>
          <w:szCs w:val="27"/>
        </w:rPr>
        <w:t>：郭議員，你已清楚指出你的補充質詢未獲答覆的部分，請坐下。局長，你有否補充？</w:t>
      </w:r>
    </w:p>
    <w:p>
      <w:pPr>
        <w:pStyle w:val="F21"/>
        <w:rPr>
          <w:rFonts w:cs="Times New Roman"/>
          <w:szCs w:val="27"/>
        </w:rPr>
      </w:pPr>
      <w:r>
        <w:rPr>
          <w:rFonts w:cs="Times New Roman"/>
          <w:szCs w:val="27"/>
        </w:rPr>
      </w:r>
    </w:p>
    <w:p>
      <w:pPr>
        <w:pStyle w:val="Normal"/>
        <w:rPr>
          <w:rFonts w:eastAsia="華康中黑體"/>
          <w:b/>
          <w:b/>
          <w:spacing w:val="20"/>
          <w:sz w:val="27"/>
          <w:szCs w:val="27"/>
        </w:rPr>
      </w:pPr>
      <w:r>
        <w:rPr>
          <w:rFonts w:eastAsia="華康中黑體"/>
          <w:b/>
          <w:spacing w:val="20"/>
          <w:sz w:val="27"/>
          <w:szCs w:val="27"/>
        </w:rPr>
      </w:r>
    </w:p>
    <w:p>
      <w:pPr>
        <w:pStyle w:val="Normal"/>
        <w:rPr>
          <w:spacing w:val="20"/>
          <w:sz w:val="27"/>
          <w:szCs w:val="27"/>
        </w:rPr>
      </w:pPr>
      <w:r>
        <w:rPr>
          <w:rFonts w:eastAsia="華康中黑體"/>
          <w:b/>
          <w:spacing w:val="20"/>
          <w:sz w:val="27"/>
          <w:szCs w:val="27"/>
        </w:rPr>
        <w:t>食物及衞生局局長</w:t>
      </w:r>
      <w:r>
        <w:rPr>
          <w:spacing w:val="20"/>
          <w:sz w:val="27"/>
          <w:szCs w:val="27"/>
        </w:rPr>
        <w:t>：代理主席，我剛才也說過，如果這些來港的非符合資格人士因遇到緊急情況而需要治理，基於人道立場，我們都會向他們提供治療。但當然，如果他們拖欠費用，我們一定會追討。</w:t>
      </w:r>
    </w:p>
    <w:p>
      <w:pPr>
        <w:pStyle w:val="Normal"/>
        <w:rPr>
          <w:spacing w:val="20"/>
          <w:sz w:val="27"/>
          <w:szCs w:val="27"/>
        </w:rPr>
      </w:pPr>
      <w:r>
        <w:rPr>
          <w:spacing w:val="20"/>
          <w:sz w:val="27"/>
          <w:szCs w:val="27"/>
        </w:rPr>
      </w:r>
    </w:p>
    <w:p>
      <w:pPr>
        <w:pStyle w:val="Normal"/>
        <w:rPr>
          <w:spacing w:val="20"/>
          <w:sz w:val="27"/>
          <w:szCs w:val="27"/>
        </w:rPr>
      </w:pPr>
      <w:r>
        <w:rPr>
          <w:spacing w:val="20"/>
          <w:sz w:val="27"/>
          <w:szCs w:val="27"/>
        </w:rPr>
      </w:r>
    </w:p>
    <w:p>
      <w:pPr>
        <w:pStyle w:val="Normal"/>
        <w:rPr>
          <w:spacing w:val="20"/>
          <w:sz w:val="27"/>
          <w:szCs w:val="27"/>
        </w:rPr>
      </w:pPr>
      <w:r>
        <w:rPr>
          <w:rFonts w:ascii="華康中黑體" w:hAnsi="華康中黑體" w:eastAsia="華康中黑體"/>
          <w:b/>
          <w:spacing w:val="20"/>
          <w:sz w:val="27"/>
          <w:szCs w:val="27"/>
        </w:rPr>
        <w:t>郭家麒議員</w:t>
      </w:r>
      <w:r>
        <w:rPr>
          <w:spacing w:val="20"/>
          <w:sz w:val="27"/>
          <w:szCs w:val="27"/>
        </w:rPr>
        <w:t>：</w:t>
      </w:r>
      <w:r>
        <w:rPr>
          <w:i/>
          <w:spacing w:val="20"/>
          <w:sz w:val="27"/>
          <w:szCs w:val="27"/>
        </w:rPr>
        <w:t>代理主席，局長仍未回答我的補充質詢。</w:t>
      </w:r>
    </w:p>
    <w:p>
      <w:pPr>
        <w:pStyle w:val="Normal"/>
        <w:rPr>
          <w:spacing w:val="20"/>
          <w:sz w:val="27"/>
          <w:szCs w:val="27"/>
        </w:rPr>
      </w:pPr>
      <w:r>
        <w:rPr>
          <w:spacing w:val="20"/>
          <w:sz w:val="27"/>
          <w:szCs w:val="27"/>
        </w:rPr>
      </w:r>
    </w:p>
    <w:p>
      <w:pPr>
        <w:pStyle w:val="Normal"/>
        <w:rPr>
          <w:spacing w:val="20"/>
          <w:sz w:val="27"/>
          <w:szCs w:val="27"/>
        </w:rPr>
      </w:pPr>
      <w:r>
        <w:rPr>
          <w:spacing w:val="20"/>
          <w:sz w:val="27"/>
          <w:szCs w:val="27"/>
        </w:rPr>
      </w:r>
    </w:p>
    <w:p>
      <w:pPr>
        <w:pStyle w:val="Normal"/>
        <w:rPr>
          <w:spacing w:val="20"/>
          <w:sz w:val="27"/>
          <w:szCs w:val="27"/>
        </w:rPr>
      </w:pPr>
      <w:r>
        <w:rPr>
          <w:rFonts w:ascii="華康中黑體" w:hAnsi="華康中黑體" w:eastAsia="華康中黑體"/>
          <w:b/>
          <w:spacing w:val="20"/>
          <w:sz w:val="27"/>
          <w:szCs w:val="27"/>
        </w:rPr>
        <w:t>代理主席</w:t>
      </w:r>
      <w:r>
        <w:rPr>
          <w:spacing w:val="20"/>
          <w:sz w:val="27"/>
          <w:szCs w:val="27"/>
        </w:rPr>
        <w:t>：郭家麒議員，局長已回答你的補充質詢，請在其他場合跟進有關事宜。</w:t>
      </w:r>
    </w:p>
    <w:p>
      <w:pPr>
        <w:pStyle w:val="Normal"/>
        <w:rPr>
          <w:spacing w:val="20"/>
          <w:sz w:val="27"/>
          <w:szCs w:val="27"/>
        </w:rPr>
      </w:pPr>
      <w:r>
        <w:rPr>
          <w:spacing w:val="20"/>
          <w:sz w:val="27"/>
          <w:szCs w:val="27"/>
        </w:rPr>
      </w:r>
    </w:p>
    <w:p>
      <w:pPr>
        <w:pStyle w:val="Normal"/>
        <w:snapToGrid w:val="true"/>
        <w:rPr>
          <w:spacing w:val="20"/>
          <w:sz w:val="27"/>
          <w:szCs w:val="27"/>
        </w:rPr>
      </w:pPr>
      <w:r>
        <w:rPr>
          <w:spacing w:val="20"/>
          <w:sz w:val="27"/>
          <w:szCs w:val="27"/>
        </w:rPr>
      </w:r>
    </w:p>
    <w:p>
      <w:pPr>
        <w:pStyle w:val="Normal"/>
        <w:rPr>
          <w:i/>
          <w:i/>
          <w:spacing w:val="20"/>
          <w:sz w:val="27"/>
          <w:szCs w:val="27"/>
        </w:rPr>
      </w:pPr>
      <w:r>
        <w:rPr>
          <w:rFonts w:eastAsia="華康中黑體"/>
          <w:b/>
          <w:spacing w:val="20"/>
          <w:sz w:val="27"/>
          <w:szCs w:val="27"/>
        </w:rPr>
        <w:t>何君堯議員</w:t>
      </w:r>
      <w:r>
        <w:rPr>
          <w:spacing w:val="20"/>
          <w:sz w:val="27"/>
          <w:szCs w:val="27"/>
        </w:rPr>
        <w:t>：</w:t>
      </w:r>
      <w:r>
        <w:rPr>
          <w:i/>
          <w:spacing w:val="20"/>
          <w:sz w:val="27"/>
          <w:szCs w:val="27"/>
        </w:rPr>
        <w:t>代理主席，局長可否就這些問題作相對簡單的處理？簡單的意思是循法律途徑尋求濟助。政府會否與律政司研究在提供醫療服務的期間，要求非香港永久性居民簽署文件，承諾支付拖欠或相關費用和按時繳費，又或簽署合約，在平衡人道立場，讓相關人士得到醫療服務的同時，要求他們簽署承諾或合約，訂明相關的條件及須在何時償還欠款，否則我們可以跨境提出民事訴訟，以追討欠款？</w:t>
      </w:r>
    </w:p>
    <w:p>
      <w:pPr>
        <w:pStyle w:val="Normal"/>
        <w:rPr>
          <w:i/>
          <w:i/>
          <w:spacing w:val="20"/>
          <w:sz w:val="27"/>
          <w:szCs w:val="27"/>
        </w:rPr>
      </w:pPr>
      <w:r>
        <w:rPr>
          <w:i/>
          <w:spacing w:val="20"/>
          <w:sz w:val="27"/>
          <w:szCs w:val="27"/>
        </w:rPr>
      </w:r>
    </w:p>
    <w:p>
      <w:pPr>
        <w:pStyle w:val="Normal"/>
        <w:ind w:firstLine="567"/>
        <w:rPr>
          <w:i/>
          <w:i/>
          <w:spacing w:val="20"/>
          <w:sz w:val="27"/>
          <w:szCs w:val="27"/>
        </w:rPr>
      </w:pPr>
      <w:r>
        <w:rPr>
          <w:i/>
          <w:spacing w:val="20"/>
          <w:sz w:val="27"/>
          <w:szCs w:val="27"/>
        </w:rPr>
        <w:t>在目前的制度下，這是絕對容許的，只是政府在政策及決心方面，沒有視乎環境需要而雷厲執行。剛才議員提到有嚴重的情況，涉及</w:t>
      </w:r>
      <w:r>
        <w:rPr>
          <w:i/>
          <w:spacing w:val="20"/>
          <w:sz w:val="27"/>
          <w:szCs w:val="27"/>
        </w:rPr>
        <w:t>617</w:t>
      </w:r>
      <w:r>
        <w:rPr>
          <w:i/>
          <w:spacing w:val="20"/>
          <w:sz w:val="27"/>
          <w:szCs w:val="27"/>
        </w:rPr>
        <w:t>萬元的欠款。請問局長有否就此與律政司考慮提出民事索償呢？</w:t>
      </w:r>
    </w:p>
    <w:p>
      <w:pPr>
        <w:pStyle w:val="Normal"/>
        <w:snapToGrid w:val="true"/>
        <w:rPr>
          <w:spacing w:val="20"/>
          <w:sz w:val="27"/>
          <w:szCs w:val="27"/>
        </w:rPr>
      </w:pPr>
      <w:r>
        <w:rPr>
          <w:spacing w:val="20"/>
          <w:sz w:val="27"/>
          <w:szCs w:val="27"/>
        </w:rPr>
      </w:r>
    </w:p>
    <w:p>
      <w:pPr>
        <w:pStyle w:val="Normal"/>
        <w:snapToGrid w:val="true"/>
        <w:rPr>
          <w:spacing w:val="20"/>
          <w:sz w:val="27"/>
          <w:szCs w:val="27"/>
        </w:rPr>
      </w:pPr>
      <w:r>
        <w:rPr>
          <w:spacing w:val="20"/>
          <w:sz w:val="27"/>
          <w:szCs w:val="27"/>
        </w:rPr>
      </w:r>
    </w:p>
    <w:p>
      <w:pPr>
        <w:pStyle w:val="Normal"/>
        <w:rPr>
          <w:spacing w:val="20"/>
          <w:sz w:val="27"/>
          <w:szCs w:val="27"/>
        </w:rPr>
      </w:pPr>
      <w:r>
        <w:rPr>
          <w:rFonts w:eastAsia="華康中黑體"/>
          <w:b/>
          <w:spacing w:val="20"/>
          <w:sz w:val="27"/>
          <w:szCs w:val="27"/>
        </w:rPr>
        <w:t>食物及衞生局局長</w:t>
      </w:r>
      <w:r>
        <w:rPr>
          <w:spacing w:val="20"/>
          <w:sz w:val="27"/>
          <w:szCs w:val="27"/>
        </w:rPr>
        <w:t>：多謝何議員的補充質詢。其實，現時非符合資格人士在入院時，醫管局已經要求他們即時繳付按金，例如公立醫院普通科病房的按金為</w:t>
      </w:r>
      <w:r>
        <w:rPr>
          <w:spacing w:val="20"/>
          <w:sz w:val="27"/>
          <w:szCs w:val="27"/>
        </w:rPr>
        <w:t>51,000</w:t>
      </w:r>
      <w:r>
        <w:rPr>
          <w:spacing w:val="20"/>
          <w:sz w:val="27"/>
          <w:szCs w:val="27"/>
        </w:rPr>
        <w:t>元、精神科為</w:t>
      </w:r>
      <w:r>
        <w:rPr>
          <w:spacing w:val="20"/>
          <w:sz w:val="27"/>
          <w:szCs w:val="27"/>
        </w:rPr>
        <w:t>24,000</w:t>
      </w:r>
      <w:r>
        <w:rPr>
          <w:spacing w:val="20"/>
          <w:sz w:val="27"/>
          <w:szCs w:val="27"/>
        </w:rPr>
        <w:t>元、婦產科為</w:t>
      </w:r>
      <w:r>
        <w:rPr>
          <w:spacing w:val="20"/>
          <w:sz w:val="27"/>
          <w:szCs w:val="27"/>
        </w:rPr>
        <w:t>90,000</w:t>
      </w:r>
      <w:r>
        <w:rPr>
          <w:spacing w:val="20"/>
          <w:sz w:val="27"/>
          <w:szCs w:val="27"/>
        </w:rPr>
        <w:t>元。除了這些收費外，亦會每</w:t>
      </w:r>
      <w:r>
        <w:rPr>
          <w:spacing w:val="20"/>
          <w:sz w:val="27"/>
          <w:szCs w:val="27"/>
        </w:rPr>
        <w:t>3</w:t>
      </w:r>
      <w:r>
        <w:rPr>
          <w:spacing w:val="20"/>
          <w:sz w:val="27"/>
          <w:szCs w:val="27"/>
        </w:rPr>
        <w:t>天發出臨時帳單，而病人在出院時也需要繳清費用。如果在採取上述做法後，病人仍未能繳清帳單，醫管局會視乎情況採取法律行動，包括入稟小額錢債審裁處或委託律師發信，或入稟相關法院向病人追討欠款。</w:t>
      </w:r>
    </w:p>
    <w:p>
      <w:pPr>
        <w:pStyle w:val="Normal"/>
        <w:rPr>
          <w:spacing w:val="20"/>
          <w:sz w:val="27"/>
          <w:szCs w:val="27"/>
        </w:rPr>
      </w:pPr>
      <w:r>
        <w:rPr>
          <w:spacing w:val="20"/>
          <w:sz w:val="27"/>
          <w:szCs w:val="27"/>
        </w:rPr>
      </w:r>
    </w:p>
    <w:p>
      <w:pPr>
        <w:pStyle w:val="Normal"/>
        <w:ind w:firstLine="567"/>
        <w:rPr>
          <w:spacing w:val="20"/>
          <w:sz w:val="27"/>
          <w:szCs w:val="27"/>
        </w:rPr>
      </w:pPr>
      <w:r>
        <w:rPr>
          <w:spacing w:val="20"/>
          <w:sz w:val="27"/>
          <w:szCs w:val="27"/>
        </w:rPr>
        <w:t>當然，在這過程中，醫管局會聯絡社署或入境處或領事館，以作出一些出院的安排。如果他們的醫療費用尚未繳清，我們除了採取法律行動外，亦會向領事館尋求協助，令他們繳付欠款。</w:t>
      </w:r>
    </w:p>
    <w:p>
      <w:pPr>
        <w:pStyle w:val="F21"/>
        <w:rPr>
          <w:szCs w:val="27"/>
        </w:rPr>
      </w:pPr>
      <w:r>
        <w:rPr>
          <w:szCs w:val="27"/>
        </w:rPr>
      </w:r>
    </w:p>
    <w:p>
      <w:pPr>
        <w:pStyle w:val="F21"/>
        <w:rPr>
          <w:szCs w:val="27"/>
        </w:rPr>
      </w:pPr>
      <w:r>
        <w:rPr>
          <w:szCs w:val="27"/>
        </w:rPr>
      </w:r>
    </w:p>
    <w:p>
      <w:pPr>
        <w:pStyle w:val="F21"/>
        <w:rPr>
          <w:szCs w:val="27"/>
        </w:rPr>
      </w:pPr>
      <w:r>
        <w:rPr>
          <w:rFonts w:ascii="華康中黑體" w:hAnsi="華康中黑體" w:cs="華康中黑體" w:eastAsia="華康中黑體"/>
          <w:b/>
          <w:szCs w:val="27"/>
        </w:rPr>
        <w:t>鄭松泰議員</w:t>
      </w:r>
      <w:r>
        <w:rPr>
          <w:szCs w:val="27"/>
        </w:rPr>
        <w:t>：</w:t>
      </w:r>
      <w:r>
        <w:rPr>
          <w:i/>
          <w:szCs w:val="27"/>
        </w:rPr>
        <w:t>代理主席，我也知道非本地居民或非符合資格人士使用香港的公營醫療服務時要繳付按金，但問題是，看回過去數年的數字，以去年</w:t>
      </w:r>
      <w:r>
        <w:rPr>
          <w:i/>
          <w:szCs w:val="27"/>
        </w:rPr>
        <w:t>2018</w:t>
      </w:r>
      <w:r>
        <w:rPr>
          <w:i/>
          <w:szCs w:val="27"/>
        </w:rPr>
        <w:t>年的數字為例，最高的拖欠金額達</w:t>
      </w:r>
      <w:r>
        <w:rPr>
          <w:i/>
          <w:szCs w:val="27"/>
        </w:rPr>
        <w:t>470</w:t>
      </w:r>
      <w:r>
        <w:rPr>
          <w:i/>
          <w:szCs w:val="27"/>
        </w:rPr>
        <w:t>萬元。換言之，即使婦科的服務需要繳付</w:t>
      </w:r>
      <w:r>
        <w:rPr>
          <w:i/>
          <w:szCs w:val="27"/>
        </w:rPr>
        <w:t>9</w:t>
      </w:r>
      <w:r>
        <w:rPr>
          <w:i/>
          <w:szCs w:val="27"/>
        </w:rPr>
        <w:t>萬元按金，仍然遠遠低於拖欠的數字。所以，我想問局長，就這數宗最高拖欠費用的個案來說，當局有否真正採取法律行動，入稟小額錢債審裁處追討欠款？有否具體數字，例如在</w:t>
      </w:r>
      <w:r>
        <w:rPr>
          <w:i/>
          <w:szCs w:val="27"/>
        </w:rPr>
        <w:t>2017</w:t>
      </w:r>
      <w:r>
        <w:rPr>
          <w:szCs w:val="27"/>
        </w:rPr>
        <w:t>-</w:t>
      </w:r>
      <w:r>
        <w:rPr>
          <w:i/>
          <w:szCs w:val="27"/>
        </w:rPr>
        <w:t>2018</w:t>
      </w:r>
      <w:r>
        <w:rPr>
          <w:i/>
          <w:szCs w:val="27"/>
        </w:rPr>
        <w:t>年度的</w:t>
      </w:r>
      <w:r>
        <w:rPr>
          <w:i/>
          <w:szCs w:val="27"/>
        </w:rPr>
        <w:t>4 837</w:t>
      </w:r>
      <w:r>
        <w:rPr>
          <w:i/>
          <w:szCs w:val="27"/>
        </w:rPr>
        <w:t>宗個案中，醫管局就多少宗個案曾採取法律行動，多少宗沒有？我們可否知道實情？</w:t>
      </w:r>
    </w:p>
    <w:p>
      <w:pPr>
        <w:pStyle w:val="F21"/>
        <w:rPr>
          <w:szCs w:val="27"/>
        </w:rPr>
      </w:pPr>
      <w:r>
        <w:rPr>
          <w:szCs w:val="27"/>
        </w:rPr>
      </w:r>
    </w:p>
    <w:p>
      <w:pPr>
        <w:pStyle w:val="F21"/>
        <w:rPr>
          <w:szCs w:val="27"/>
        </w:rPr>
      </w:pPr>
      <w:r>
        <w:rPr>
          <w:szCs w:val="27"/>
        </w:rPr>
      </w:r>
    </w:p>
    <w:p>
      <w:pPr>
        <w:pStyle w:val="F21"/>
        <w:rPr>
          <w:szCs w:val="27"/>
        </w:rPr>
      </w:pPr>
      <w:r>
        <w:rPr>
          <w:rFonts w:ascii="華康中黑體" w:hAnsi="華康中黑體" w:eastAsia="華康中黑體"/>
          <w:b/>
          <w:szCs w:val="27"/>
        </w:rPr>
        <w:t>食物及衞生局局長</w:t>
      </w:r>
      <w:r>
        <w:rPr>
          <w:szCs w:val="27"/>
        </w:rPr>
        <w:t>：多謝鄭議員的補充質詢。以</w:t>
      </w:r>
      <w:r>
        <w:rPr>
          <w:szCs w:val="27"/>
        </w:rPr>
        <w:t>2017-2018</w:t>
      </w:r>
      <w:r>
        <w:rPr>
          <w:szCs w:val="27"/>
        </w:rPr>
        <w:t>年度為例，醫管局入稟小額錢債審裁處的個案大約有</w:t>
      </w:r>
      <w:r>
        <w:rPr>
          <w:szCs w:val="27"/>
        </w:rPr>
        <w:t>2 500</w:t>
      </w:r>
      <w:r>
        <w:rPr>
          <w:szCs w:val="27"/>
        </w:rPr>
        <w:t>宗，發出律師信則有</w:t>
      </w:r>
      <w:r>
        <w:rPr>
          <w:szCs w:val="27"/>
        </w:rPr>
        <w:t>100</w:t>
      </w:r>
      <w:r>
        <w:rPr>
          <w:szCs w:val="27"/>
        </w:rPr>
        <w:t>宗。</w:t>
      </w:r>
    </w:p>
    <w:p>
      <w:pPr>
        <w:pStyle w:val="Normal"/>
        <w:widowControl/>
        <w:tabs>
          <w:tab w:val="clear" w:pos="720"/>
        </w:tabs>
        <w:snapToGrid w:val="true"/>
        <w:spacing w:lineRule="auto" w:line="276" w:before="0" w:after="200"/>
        <w:jc w:val="left"/>
        <w:rPr>
          <w:rFonts w:cs="" w:cstheme="minorBidi"/>
          <w:spacing w:val="20"/>
          <w:sz w:val="27"/>
          <w:szCs w:val="27"/>
          <w:lang w:val="en-US"/>
        </w:rPr>
      </w:pPr>
      <w:r>
        <w:rPr>
          <w:rFonts w:cs="" w:cstheme="minorBidi"/>
          <w:spacing w:val="20"/>
          <w:sz w:val="27"/>
          <w:szCs w:val="27"/>
          <w:lang w:val="en-US"/>
        </w:rPr>
      </w:r>
      <w:r>
        <w:br w:type="page"/>
      </w:r>
    </w:p>
    <w:p>
      <w:pPr>
        <w:pStyle w:val="F21"/>
        <w:rPr>
          <w:szCs w:val="27"/>
        </w:rPr>
      </w:pPr>
      <w:r>
        <w:rPr>
          <w:rFonts w:ascii="華康中黑體" w:hAnsi="華康中黑體" w:cs="華康中黑體" w:eastAsia="華康中黑體"/>
          <w:b/>
          <w:szCs w:val="27"/>
        </w:rPr>
        <w:t>謝偉俊議員</w:t>
      </w:r>
      <w:r>
        <w:rPr>
          <w:szCs w:val="27"/>
        </w:rPr>
        <w:t>：</w:t>
      </w:r>
      <w:r>
        <w:rPr>
          <w:i/>
          <w:szCs w:val="27"/>
        </w:rPr>
        <w:t>代理主席，這問題是很不容易的，因為我們要平衡各方面，而且就撇帳來說，即使連我們這些小型律師行有時也要被迫撇帳，現實始終便是這樣。加上病人的人道問題和海外訪客的問題，即使香港市民到外地也希望得到這類緊急的服務，再加上旅客來港一次後便離開，很多時候也不能找到他們。在這種情況下，局長，我想多些了解所謂的</w:t>
      </w:r>
      <w:r>
        <w:rPr>
          <w:i/>
          <w:szCs w:val="27"/>
        </w:rPr>
        <w:t>recovery rate(</w:t>
      </w:r>
      <w:r>
        <w:rPr>
          <w:i/>
          <w:szCs w:val="27"/>
        </w:rPr>
        <w:t>收款比率</w:t>
      </w:r>
      <w:r>
        <w:rPr>
          <w:i/>
          <w:szCs w:val="27"/>
        </w:rPr>
        <w:t>)</w:t>
      </w:r>
      <w:r>
        <w:rPr>
          <w:i/>
          <w:szCs w:val="27"/>
        </w:rPr>
        <w:t>。我們看見列表上有些數字，但我們不知道實際上壞帳或撇帳的數字佔總體開支多少百分比，從而了解嚴重的情況達至甚麼地步。</w:t>
      </w:r>
    </w:p>
    <w:p>
      <w:pPr>
        <w:pStyle w:val="F21"/>
        <w:rPr>
          <w:szCs w:val="27"/>
        </w:rPr>
      </w:pPr>
      <w:r>
        <w:rPr>
          <w:szCs w:val="27"/>
        </w:rPr>
      </w:r>
    </w:p>
    <w:p>
      <w:pPr>
        <w:pStyle w:val="F21"/>
        <w:rPr>
          <w:szCs w:val="27"/>
        </w:rPr>
      </w:pPr>
      <w:r>
        <w:rPr>
          <w:szCs w:val="27"/>
        </w:rPr>
      </w:r>
    </w:p>
    <w:p>
      <w:pPr>
        <w:pStyle w:val="F21"/>
        <w:rPr>
          <w:szCs w:val="27"/>
        </w:rPr>
      </w:pPr>
      <w:r>
        <w:rPr>
          <w:rFonts w:ascii="華康中黑體" w:hAnsi="華康中黑體" w:eastAsia="華康中黑體"/>
          <w:b/>
          <w:szCs w:val="27"/>
        </w:rPr>
        <w:t>食物及衞生局局長</w:t>
      </w:r>
      <w:r>
        <w:rPr>
          <w:szCs w:val="27"/>
        </w:rPr>
        <w:t>：多謝謝議員的補充質詢。過去</w:t>
      </w:r>
      <w:r>
        <w:rPr>
          <w:szCs w:val="27"/>
        </w:rPr>
        <w:t>3</w:t>
      </w:r>
      <w:r>
        <w:rPr>
          <w:szCs w:val="27"/>
        </w:rPr>
        <w:t>年，在非符合資格人士的撇帳個案的相關數字當中，沒有身份證明文件的人，例如露宿者或被遺棄人士佔五成多、海外訪客大約是</w:t>
      </w:r>
      <w:r>
        <w:rPr>
          <w:szCs w:val="27"/>
        </w:rPr>
        <w:t>18%</w:t>
      </w:r>
      <w:r>
        <w:rPr>
          <w:szCs w:val="27"/>
        </w:rPr>
        <w:t>、中國內地的訪客大約是</w:t>
      </w:r>
      <w:r>
        <w:rPr>
          <w:szCs w:val="27"/>
        </w:rPr>
        <w:t>12%</w:t>
      </w:r>
      <w:r>
        <w:rPr>
          <w:szCs w:val="27"/>
        </w:rPr>
        <w:t>，免遣返聲請人士則約為</w:t>
      </w:r>
      <w:r>
        <w:rPr>
          <w:szCs w:val="27"/>
        </w:rPr>
        <w:t>12%</w:t>
      </w:r>
      <w:r>
        <w:rPr>
          <w:szCs w:val="27"/>
        </w:rPr>
        <w:t>。過去</w:t>
      </w:r>
      <w:r>
        <w:rPr>
          <w:szCs w:val="27"/>
        </w:rPr>
        <w:t>3‍</w:t>
      </w:r>
      <w:r>
        <w:rPr>
          <w:szCs w:val="27"/>
        </w:rPr>
        <w:t>年，非符合資格人士在相關數字中的分布大概如此。</w:t>
      </w:r>
    </w:p>
    <w:p>
      <w:pPr>
        <w:pStyle w:val="F21"/>
        <w:rPr>
          <w:szCs w:val="27"/>
        </w:rPr>
      </w:pPr>
      <w:r>
        <w:rPr>
          <w:szCs w:val="27"/>
        </w:rPr>
      </w:r>
    </w:p>
    <w:p>
      <w:pPr>
        <w:pStyle w:val="F21"/>
        <w:rPr>
          <w:szCs w:val="27"/>
        </w:rPr>
      </w:pPr>
      <w:r>
        <w:rPr>
          <w:szCs w:val="27"/>
        </w:rPr>
      </w:r>
    </w:p>
    <w:p>
      <w:pPr>
        <w:pStyle w:val="F21"/>
        <w:overflowPunct w:val="true"/>
        <w:rPr>
          <w:rFonts w:cs="Times New Roman"/>
        </w:rPr>
      </w:pPr>
      <w:r>
        <w:rPr>
          <w:rFonts w:eastAsia="華康中黑體"/>
          <w:b/>
          <w:szCs w:val="27"/>
        </w:rPr>
        <w:t>代理主席</w:t>
      </w:r>
      <w:r>
        <w:rPr>
          <w:rFonts w:cs="Times New Roman"/>
        </w:rPr>
        <w:t>：第三項質詢。</w:t>
      </w:r>
    </w:p>
    <w:p>
      <w:pPr>
        <w:pStyle w:val="F21"/>
        <w:overflowPunct w:val="true"/>
        <w:rPr>
          <w:rFonts w:cs="Times New Roman"/>
        </w:rPr>
      </w:pPr>
      <w:r>
        <w:rPr>
          <w:rFonts w:cs="Times New Roman"/>
        </w:rPr>
      </w:r>
    </w:p>
    <w:p>
      <w:pPr>
        <w:pStyle w:val="F21"/>
        <w:overflowPunct w:val="true"/>
        <w:rPr>
          <w:rFonts w:cs="Times New Roman"/>
        </w:rPr>
      </w:pPr>
      <w:r>
        <w:rPr>
          <w:rFonts w:cs="Times New Roman"/>
        </w:rPr>
      </w:r>
    </w:p>
    <w:p>
      <w:pPr>
        <w:pStyle w:val="F21"/>
        <w:overflowPunct w:val="true"/>
        <w:rPr>
          <w:rFonts w:eastAsia="華康中黑體" w:cs="Times New Roman"/>
          <w:b/>
          <w:b/>
        </w:rPr>
      </w:pPr>
      <w:bookmarkStart w:id="16" w:name="orq03"/>
      <w:r>
        <w:rPr>
          <w:rFonts w:cs="Times New Roman" w:eastAsia="華康中黑體"/>
          <w:b/>
        </w:rPr>
        <w:t>增加泊車位數目</w:t>
      </w:r>
    </w:p>
    <w:p>
      <w:pPr>
        <w:pStyle w:val="Normal"/>
        <w:overflowPunct w:val="true"/>
        <w:rPr>
          <w:b/>
          <w:b/>
        </w:rPr>
      </w:pPr>
      <w:bookmarkStart w:id="17" w:name="orq03"/>
      <w:r>
        <w:rPr>
          <w:b/>
        </w:rPr>
        <w:t>Increasing the number of parking spaces</w:t>
      </w:r>
      <w:bookmarkEnd w:id="17"/>
    </w:p>
    <w:p>
      <w:pPr>
        <w:pStyle w:val="F21"/>
        <w:overflowPunct w:val="true"/>
        <w:rPr>
          <w:rFonts w:cs="Times New Roman"/>
        </w:rPr>
      </w:pPr>
      <w:r>
        <w:rPr>
          <w:rFonts w:cs="Times New Roman"/>
        </w:rPr>
      </w:r>
    </w:p>
    <w:p>
      <w:pPr>
        <w:pStyle w:val="F21"/>
        <w:rPr>
          <w:i/>
          <w:i/>
          <w:szCs w:val="27"/>
        </w:rPr>
      </w:pPr>
      <w:r>
        <w:rPr>
          <w:rFonts w:eastAsia="華康中黑體" w:cs="Times New Roman"/>
          <w:b/>
          <w:szCs w:val="27"/>
        </w:rPr>
        <w:t>3.</w:t>
        <w:tab/>
      </w:r>
      <w:r>
        <w:rPr>
          <w:rFonts w:cs="Times New Roman" w:eastAsia="華康中黑體"/>
          <w:b/>
          <w:szCs w:val="27"/>
        </w:rPr>
        <w:t>鄭泳舜議員</w:t>
      </w:r>
      <w:r>
        <w:rPr>
          <w:szCs w:val="27"/>
        </w:rPr>
        <w:t>：</w:t>
      </w:r>
      <w:r>
        <w:rPr>
          <w:i/>
          <w:szCs w:val="27"/>
        </w:rPr>
        <w:t>代理主席，去年</w:t>
      </w:r>
      <w:r>
        <w:rPr>
          <w:i/>
          <w:szCs w:val="27"/>
        </w:rPr>
        <w:t>2</w:t>
      </w:r>
      <w:r>
        <w:rPr>
          <w:i/>
          <w:szCs w:val="27"/>
        </w:rPr>
        <w:t>月，全港有超過</w:t>
      </w:r>
      <w:r>
        <w:rPr>
          <w:i/>
          <w:szCs w:val="27"/>
        </w:rPr>
        <w:t>77</w:t>
      </w:r>
      <w:r>
        <w:rPr>
          <w:i/>
          <w:szCs w:val="27"/>
        </w:rPr>
        <w:t>萬部領牌車輛，而泊車位有</w:t>
      </w:r>
      <w:r>
        <w:rPr>
          <w:i/>
          <w:szCs w:val="27"/>
        </w:rPr>
        <w:t>75</w:t>
      </w:r>
      <w:r>
        <w:rPr>
          <w:i/>
          <w:szCs w:val="27"/>
        </w:rPr>
        <w:t>萬個，即平均每部車輛有少於一個泊車位。近年，違例泊車問題因泊車位不足而日趨嚴重。警方去年就違例泊車事項發出的定額罰款通知書高達</w:t>
      </w:r>
      <w:r>
        <w:rPr>
          <w:i/>
          <w:szCs w:val="27"/>
        </w:rPr>
        <w:t>201</w:t>
      </w:r>
      <w:r>
        <w:rPr>
          <w:i/>
          <w:szCs w:val="27"/>
        </w:rPr>
        <w:t>萬張，差不多是</w:t>
      </w:r>
      <w:r>
        <w:rPr>
          <w:i/>
          <w:szCs w:val="27"/>
        </w:rPr>
        <w:t>10</w:t>
      </w:r>
      <w:r>
        <w:rPr>
          <w:i/>
          <w:szCs w:val="27"/>
        </w:rPr>
        <w:t>年前的</w:t>
      </w:r>
      <w:r>
        <w:rPr>
          <w:i/>
          <w:szCs w:val="27"/>
        </w:rPr>
        <w:t>3</w:t>
      </w:r>
      <w:r>
        <w:rPr>
          <w:i/>
          <w:szCs w:val="27"/>
        </w:rPr>
        <w:t>倍。運輸署最近建議以先導計劃在深水埗興建香港首個地下公眾智能停車場，預計提供</w:t>
      </w:r>
      <w:r>
        <w:rPr>
          <w:i/>
          <w:szCs w:val="27"/>
        </w:rPr>
        <w:t>200</w:t>
      </w:r>
      <w:r>
        <w:rPr>
          <w:i/>
          <w:szCs w:val="27"/>
        </w:rPr>
        <w:t>個泊車位。關於增加泊車位的數目，政府可否告知本會：</w:t>
      </w:r>
    </w:p>
    <w:p>
      <w:pPr>
        <w:pStyle w:val="F21"/>
        <w:rPr>
          <w:i/>
          <w:i/>
          <w:szCs w:val="27"/>
        </w:rPr>
      </w:pPr>
      <w:r>
        <w:rPr>
          <w:i/>
          <w:szCs w:val="27"/>
        </w:rPr>
      </w:r>
    </w:p>
    <w:p>
      <w:pPr>
        <w:pStyle w:val="F21"/>
        <w:ind w:left="1418" w:hanging="851"/>
        <w:rPr>
          <w:i/>
          <w:i/>
          <w:szCs w:val="27"/>
        </w:rPr>
      </w:pPr>
      <w:r>
        <w:rPr>
          <w:i/>
          <w:szCs w:val="27"/>
        </w:rPr>
        <w:t>(</w:t>
      </w:r>
      <w:r>
        <w:rPr>
          <w:i/>
          <w:szCs w:val="27"/>
        </w:rPr>
        <w:t>一</w:t>
      </w:r>
      <w:r>
        <w:rPr>
          <w:i/>
          <w:szCs w:val="27"/>
        </w:rPr>
        <w:t>)</w:t>
        <w:tab/>
      </w:r>
      <w:r>
        <w:rPr>
          <w:i/>
          <w:szCs w:val="27"/>
        </w:rPr>
        <w:t>有否就每類車輛制訂車輛與泊車位目標比例；如有，按該等比例計算，目前各類車輛的泊車位短缺數目分別為何；預計未來</w:t>
      </w:r>
      <w:r>
        <w:rPr>
          <w:i/>
          <w:szCs w:val="27"/>
        </w:rPr>
        <w:t>3</w:t>
      </w:r>
      <w:r>
        <w:rPr>
          <w:i/>
          <w:szCs w:val="27"/>
        </w:rPr>
        <w:t>年，公營和私營機構分別供應的新泊車位數目；</w:t>
      </w:r>
    </w:p>
    <w:p>
      <w:pPr>
        <w:pStyle w:val="F21"/>
        <w:ind w:left="1418" w:hanging="851"/>
        <w:rPr>
          <w:i/>
          <w:i/>
          <w:szCs w:val="27"/>
        </w:rPr>
      </w:pPr>
      <w:r>
        <w:rPr>
          <w:i/>
          <w:szCs w:val="27"/>
        </w:rPr>
      </w:r>
    </w:p>
    <w:p>
      <w:pPr>
        <w:pStyle w:val="F21"/>
        <w:ind w:left="1418" w:hanging="851"/>
        <w:rPr>
          <w:i/>
          <w:i/>
          <w:szCs w:val="27"/>
        </w:rPr>
      </w:pPr>
      <w:r>
        <w:rPr>
          <w:i/>
          <w:szCs w:val="27"/>
        </w:rPr>
        <w:t>(</w:t>
      </w:r>
      <w:r>
        <w:rPr>
          <w:i/>
          <w:szCs w:val="27"/>
        </w:rPr>
        <w:t>二</w:t>
      </w:r>
      <w:r>
        <w:rPr>
          <w:i/>
          <w:szCs w:val="27"/>
        </w:rPr>
        <w:t>)</w:t>
        <w:tab/>
      </w:r>
      <w:r>
        <w:rPr>
          <w:i/>
          <w:szCs w:val="27"/>
        </w:rPr>
        <w:t>未來</w:t>
      </w:r>
      <w:r>
        <w:rPr>
          <w:i/>
          <w:szCs w:val="27"/>
        </w:rPr>
        <w:t>3</w:t>
      </w:r>
      <w:r>
        <w:rPr>
          <w:i/>
          <w:szCs w:val="27"/>
        </w:rPr>
        <w:t>年，政府會在</w:t>
      </w:r>
      <w:r>
        <w:rPr>
          <w:rFonts w:cs="Times New Roman"/>
          <w:i/>
          <w:szCs w:val="27"/>
        </w:rPr>
        <w:t>"</w:t>
      </w:r>
      <w:r>
        <w:rPr>
          <w:i/>
          <w:szCs w:val="27"/>
        </w:rPr>
        <w:t>一地多用</w:t>
      </w:r>
      <w:r>
        <w:rPr>
          <w:rFonts w:cs="Times New Roman"/>
          <w:i/>
          <w:szCs w:val="27"/>
        </w:rPr>
        <w:t>"</w:t>
      </w:r>
      <w:r>
        <w:rPr>
          <w:i/>
          <w:szCs w:val="27"/>
        </w:rPr>
        <w:t>的原則下，在政府設施和公共休憩用地內興建多少個停車場</w:t>
      </w:r>
      <w:r>
        <w:rPr>
          <w:i/>
          <w:szCs w:val="27"/>
        </w:rPr>
        <w:t>(</w:t>
      </w:r>
      <w:r>
        <w:rPr>
          <w:i/>
          <w:szCs w:val="27"/>
        </w:rPr>
        <w:t>包括智能停車場</w:t>
      </w:r>
      <w:r>
        <w:rPr>
          <w:i/>
          <w:szCs w:val="27"/>
        </w:rPr>
        <w:t>)</w:t>
      </w:r>
      <w:r>
        <w:rPr>
          <w:i/>
          <w:szCs w:val="27"/>
        </w:rPr>
        <w:t>及其提供的泊車位數目為何；及</w:t>
      </w:r>
      <w:r>
        <w:br w:type="page"/>
      </w:r>
    </w:p>
    <w:p>
      <w:pPr>
        <w:pStyle w:val="F21"/>
        <w:ind w:left="1418" w:hanging="851"/>
        <w:rPr>
          <w:i/>
          <w:i/>
          <w:szCs w:val="27"/>
        </w:rPr>
      </w:pPr>
      <w:r>
        <w:rPr>
          <w:i/>
          <w:szCs w:val="27"/>
        </w:rPr>
        <w:t>(</w:t>
      </w:r>
      <w:r>
        <w:rPr>
          <w:i/>
          <w:szCs w:val="27"/>
        </w:rPr>
        <w:t>三</w:t>
      </w:r>
      <w:r>
        <w:rPr>
          <w:i/>
          <w:szCs w:val="27"/>
        </w:rPr>
        <w:t>)</w:t>
        <w:tab/>
      </w:r>
      <w:r>
        <w:rPr>
          <w:i/>
          <w:szCs w:val="27"/>
        </w:rPr>
        <w:t>會否採取措施</w:t>
      </w:r>
      <w:r>
        <w:rPr>
          <w:i/>
          <w:szCs w:val="27"/>
        </w:rPr>
        <w:t>(</w:t>
      </w:r>
      <w:r>
        <w:rPr>
          <w:i/>
          <w:szCs w:val="27"/>
        </w:rPr>
        <w:t>例如提供誘因</w:t>
      </w:r>
      <w:r>
        <w:rPr>
          <w:i/>
          <w:szCs w:val="27"/>
        </w:rPr>
        <w:t>)</w:t>
      </w:r>
      <w:r>
        <w:rPr>
          <w:i/>
          <w:szCs w:val="27"/>
        </w:rPr>
        <w:t>，鼓勵私營機構興建可提供較多泊車位的智能停車場</w:t>
      </w:r>
      <w:r>
        <w:rPr>
          <w:i/>
          <w:szCs w:val="27"/>
        </w:rPr>
        <w:t>(</w:t>
      </w:r>
      <w:r>
        <w:rPr>
          <w:i/>
          <w:szCs w:val="27"/>
        </w:rPr>
        <w:t>包括圓軸垂直升降式、升降橫移式及俗稱</w:t>
      </w:r>
      <w:r>
        <w:rPr>
          <w:rFonts w:cs="Times New Roman"/>
          <w:i/>
          <w:szCs w:val="27"/>
        </w:rPr>
        <w:t>"</w:t>
      </w:r>
      <w:r>
        <w:rPr>
          <w:i/>
          <w:szCs w:val="27"/>
        </w:rPr>
        <w:t>摩天輪</w:t>
      </w:r>
      <w:r>
        <w:rPr>
          <w:rFonts w:cs="Times New Roman"/>
          <w:i/>
          <w:szCs w:val="27"/>
        </w:rPr>
        <w:t>"</w:t>
      </w:r>
      <w:r>
        <w:rPr>
          <w:i/>
          <w:szCs w:val="27"/>
        </w:rPr>
        <w:t>式的機械式停泊位</w:t>
      </w:r>
      <w:r>
        <w:rPr>
          <w:i/>
          <w:szCs w:val="27"/>
        </w:rPr>
        <w:t>)</w:t>
      </w:r>
      <w:r>
        <w:rPr>
          <w:i/>
          <w:szCs w:val="27"/>
        </w:rPr>
        <w:t>；如會，詳情</w:t>
      </w:r>
      <w:r>
        <w:rPr>
          <w:i/>
          <w:szCs w:val="27"/>
        </w:rPr>
        <w:t>(</w:t>
      </w:r>
      <w:r>
        <w:rPr>
          <w:i/>
          <w:szCs w:val="27"/>
        </w:rPr>
        <w:t>包括預計可提供的額外泊車位數目</w:t>
      </w:r>
      <w:r>
        <w:rPr>
          <w:i/>
          <w:szCs w:val="27"/>
        </w:rPr>
        <w:t>)</w:t>
      </w:r>
      <w:r>
        <w:rPr>
          <w:i/>
          <w:szCs w:val="27"/>
        </w:rPr>
        <w:t>為何？</w:t>
      </w:r>
    </w:p>
    <w:p>
      <w:pPr>
        <w:pStyle w:val="F21"/>
        <w:rPr>
          <w:szCs w:val="27"/>
        </w:rPr>
      </w:pPr>
      <w:r>
        <w:rPr>
          <w:szCs w:val="27"/>
        </w:rPr>
      </w:r>
    </w:p>
    <w:p>
      <w:pPr>
        <w:pStyle w:val="F21"/>
        <w:rPr>
          <w:szCs w:val="27"/>
        </w:rPr>
      </w:pPr>
      <w:r>
        <w:rPr>
          <w:szCs w:val="27"/>
        </w:rPr>
      </w:r>
    </w:p>
    <w:p>
      <w:pPr>
        <w:pStyle w:val="F21"/>
        <w:rPr>
          <w:szCs w:val="27"/>
        </w:rPr>
      </w:pPr>
      <w:r>
        <w:rPr>
          <w:rFonts w:ascii="華康中黑體" w:hAnsi="華康中黑體" w:eastAsia="華康中黑體"/>
          <w:b/>
          <w:szCs w:val="27"/>
        </w:rPr>
        <w:t>運輸及房屋局局長</w:t>
      </w:r>
      <w:r>
        <w:rPr>
          <w:szCs w:val="27"/>
        </w:rPr>
        <w:t>：代理主席，就鄭泳舜議員質詢的各部分，我現在答覆如下：</w:t>
      </w:r>
    </w:p>
    <w:p>
      <w:pPr>
        <w:pStyle w:val="F21"/>
        <w:rPr>
          <w:szCs w:val="27"/>
        </w:rPr>
      </w:pPr>
      <w:r>
        <w:rPr>
          <w:szCs w:val="27"/>
        </w:rPr>
      </w:r>
    </w:p>
    <w:p>
      <w:pPr>
        <w:pStyle w:val="F21"/>
        <w:ind w:left="1418" w:hanging="851"/>
        <w:rPr>
          <w:szCs w:val="27"/>
        </w:rPr>
      </w:pPr>
      <w:r>
        <w:rPr>
          <w:szCs w:val="27"/>
        </w:rPr>
        <w:t>(</w:t>
      </w:r>
      <w:r>
        <w:rPr>
          <w:szCs w:val="27"/>
        </w:rPr>
        <w:t>一</w:t>
      </w:r>
      <w:r>
        <w:rPr>
          <w:szCs w:val="27"/>
        </w:rPr>
        <w:t>)</w:t>
        <w:tab/>
      </w:r>
      <w:r>
        <w:rPr>
          <w:szCs w:val="27"/>
        </w:rPr>
        <w:t>截至</w:t>
      </w:r>
      <w:r>
        <w:rPr>
          <w:szCs w:val="27"/>
        </w:rPr>
        <w:t>2018</w:t>
      </w:r>
      <w:r>
        <w:rPr>
          <w:szCs w:val="27"/>
        </w:rPr>
        <w:t>年</w:t>
      </w:r>
      <w:r>
        <w:rPr>
          <w:szCs w:val="27"/>
        </w:rPr>
        <w:t>12</w:t>
      </w:r>
      <w:r>
        <w:rPr>
          <w:szCs w:val="27"/>
        </w:rPr>
        <w:t>月底，全港約有</w:t>
      </w:r>
      <w:r>
        <w:rPr>
          <w:szCs w:val="27"/>
        </w:rPr>
        <w:t>784 000</w:t>
      </w:r>
      <w:r>
        <w:rPr>
          <w:szCs w:val="27"/>
        </w:rPr>
        <w:t>部領有牌照的車輛，當中接近八成為私家車和客貨車。過去</w:t>
      </w:r>
      <w:r>
        <w:rPr>
          <w:szCs w:val="27"/>
        </w:rPr>
        <w:t>10</w:t>
      </w:r>
      <w:r>
        <w:rPr>
          <w:szCs w:val="27"/>
        </w:rPr>
        <w:t>年間，私家車和客貨車數目由約</w:t>
      </w:r>
      <w:r>
        <w:rPr>
          <w:szCs w:val="27"/>
        </w:rPr>
        <w:t>424 000</w:t>
      </w:r>
      <w:r>
        <w:rPr>
          <w:szCs w:val="27"/>
        </w:rPr>
        <w:t>部增加至約</w:t>
      </w:r>
      <w:r>
        <w:rPr>
          <w:szCs w:val="27"/>
        </w:rPr>
        <w:t>616 000</w:t>
      </w:r>
      <w:r>
        <w:rPr>
          <w:szCs w:val="27"/>
        </w:rPr>
        <w:t>部，增幅達</w:t>
      </w:r>
      <w:r>
        <w:rPr>
          <w:szCs w:val="27"/>
        </w:rPr>
        <w:t>45%</w:t>
      </w:r>
      <w:r>
        <w:rPr>
          <w:szCs w:val="27"/>
        </w:rPr>
        <w:t>，而同期可供私家車和客貨車使用的泊車位數目則由約</w:t>
      </w:r>
      <w:r>
        <w:rPr>
          <w:szCs w:val="27"/>
        </w:rPr>
        <w:t>618 000</w:t>
      </w:r>
      <w:r>
        <w:rPr>
          <w:szCs w:val="27"/>
        </w:rPr>
        <w:t>個增加至約</w:t>
      </w:r>
      <w:r>
        <w:rPr>
          <w:szCs w:val="27"/>
        </w:rPr>
        <w:t>675 000</w:t>
      </w:r>
      <w:r>
        <w:rPr>
          <w:szCs w:val="27"/>
        </w:rPr>
        <w:t>個，增幅約為</w:t>
      </w:r>
      <w:r>
        <w:rPr>
          <w:szCs w:val="27"/>
        </w:rPr>
        <w:t>9%</w:t>
      </w:r>
      <w:r>
        <w:rPr>
          <w:szCs w:val="27"/>
        </w:rPr>
        <w:t>。至於商用車輛，例如貨車及非專營巴士，過去</w:t>
      </w:r>
      <w:r>
        <w:rPr>
          <w:szCs w:val="27"/>
        </w:rPr>
        <w:t>10</w:t>
      </w:r>
      <w:r>
        <w:rPr>
          <w:szCs w:val="27"/>
        </w:rPr>
        <w:t>年的數目由約</w:t>
      </w:r>
      <w:r>
        <w:rPr>
          <w:szCs w:val="27"/>
        </w:rPr>
        <w:t>75 400</w:t>
      </w:r>
      <w:r>
        <w:rPr>
          <w:szCs w:val="27"/>
        </w:rPr>
        <w:t>部輕微下跌至約</w:t>
      </w:r>
      <w:r>
        <w:rPr>
          <w:szCs w:val="27"/>
        </w:rPr>
        <w:t>73 100</w:t>
      </w:r>
      <w:r>
        <w:rPr>
          <w:szCs w:val="27"/>
        </w:rPr>
        <w:t>部，減幅為</w:t>
      </w:r>
      <w:r>
        <w:rPr>
          <w:szCs w:val="27"/>
        </w:rPr>
        <w:t>3%</w:t>
      </w:r>
      <w:r>
        <w:rPr>
          <w:szCs w:val="27"/>
        </w:rPr>
        <w:t>，而同期可供商用車輛使用的泊車位數目則由約</w:t>
      </w:r>
      <w:r>
        <w:rPr>
          <w:szCs w:val="27"/>
        </w:rPr>
        <w:t>49 300</w:t>
      </w:r>
      <w:r>
        <w:rPr>
          <w:szCs w:val="27"/>
        </w:rPr>
        <w:t>個下降至約</w:t>
      </w:r>
      <w:r>
        <w:rPr>
          <w:szCs w:val="27"/>
        </w:rPr>
        <w:t>47 000</w:t>
      </w:r>
      <w:r>
        <w:rPr>
          <w:szCs w:val="27"/>
        </w:rPr>
        <w:t>個，減幅為</w:t>
      </w:r>
      <w:r>
        <w:rPr>
          <w:szCs w:val="27"/>
        </w:rPr>
        <w:t>5%</w:t>
      </w:r>
      <w:r>
        <w:rPr>
          <w:szCs w:val="27"/>
        </w:rPr>
        <w:t>，部分原因是政府近年需要收回不少短期租約停車場作長遠發展。</w:t>
      </w:r>
    </w:p>
    <w:p>
      <w:pPr>
        <w:pStyle w:val="F21"/>
        <w:ind w:left="1418" w:hanging="851"/>
        <w:rPr>
          <w:szCs w:val="27"/>
        </w:rPr>
      </w:pPr>
      <w:r>
        <w:rPr>
          <w:szCs w:val="27"/>
        </w:rPr>
      </w:r>
    </w:p>
    <w:p>
      <w:pPr>
        <w:pStyle w:val="F21"/>
        <w:ind w:left="1418" w:hanging="851"/>
        <w:rPr>
          <w:szCs w:val="27"/>
        </w:rPr>
      </w:pPr>
      <w:r>
        <w:rPr>
          <w:szCs w:val="27"/>
        </w:rPr>
        <w:tab/>
      </w:r>
      <w:r>
        <w:rPr>
          <w:szCs w:val="27"/>
        </w:rPr>
        <w:t>香港的土地資源有限是不爭的事實，加上要兼顧不同的土地用途需求，配合社會和經濟發展，客觀而言，政府不可能持續增加泊車位供應以追趕汽車增長的步伐。政府的運輸政策是鼓勵市民盡量使用公共交通，並按市民及各區發展的需求，適時加強服務以擴充公共交通的載客量，使市民更方便地使用公共交通系統。事實上，香港的公共交通網絡完善，每天約有九成的出行人次使用公共交通工具，使用率在全球名列前茅。</w:t>
      </w:r>
    </w:p>
    <w:p>
      <w:pPr>
        <w:pStyle w:val="F21"/>
        <w:ind w:left="1418" w:hanging="851"/>
        <w:rPr>
          <w:szCs w:val="27"/>
        </w:rPr>
      </w:pPr>
      <w:r>
        <w:rPr>
          <w:szCs w:val="27"/>
        </w:rPr>
      </w:r>
    </w:p>
    <w:p>
      <w:pPr>
        <w:pStyle w:val="F21"/>
        <w:ind w:left="1418" w:hanging="851"/>
        <w:rPr>
          <w:szCs w:val="27"/>
        </w:rPr>
      </w:pPr>
      <w:r>
        <w:rPr>
          <w:szCs w:val="27"/>
        </w:rPr>
        <w:tab/>
      </w:r>
      <w:r>
        <w:rPr>
          <w:szCs w:val="27"/>
        </w:rPr>
        <w:t>我們明白部分市民基於不同原因選擇以私家車代步。政府目前提供泊車位的政策，是優先考慮及配合商用車輛的泊車需求，並在整體發展容許的情況下同時提供適量的私家車泊車位，但不希望誘使慣常使用公共交通工具的市民轉用私家車，以免加劇路面交通的負荷。政府並沒有就私家車和商用車輛泊車位數目設定硬性指標。然而，運輸署正就商用車輛泊車位進行顧問研究，詳細檢視短缺的情況，並提出短期至長期的措施以應付預見的需求。</w:t>
      </w:r>
    </w:p>
    <w:p>
      <w:pPr>
        <w:pStyle w:val="Normal"/>
        <w:widowControl/>
        <w:tabs>
          <w:tab w:val="clear" w:pos="720"/>
        </w:tabs>
        <w:snapToGrid w:val="true"/>
        <w:spacing w:lineRule="auto" w:line="276" w:before="0" w:after="200"/>
        <w:jc w:val="left"/>
        <w:rPr>
          <w:rFonts w:cs="" w:cstheme="minorBidi"/>
          <w:spacing w:val="20"/>
          <w:sz w:val="27"/>
          <w:szCs w:val="27"/>
          <w:lang w:val="en-US"/>
        </w:rPr>
      </w:pPr>
      <w:r>
        <w:rPr>
          <w:rFonts w:cs="" w:cstheme="minorBidi"/>
          <w:spacing w:val="20"/>
          <w:sz w:val="27"/>
          <w:szCs w:val="27"/>
          <w:lang w:val="en-US"/>
        </w:rPr>
      </w:r>
      <w:r>
        <w:br w:type="page"/>
      </w:r>
    </w:p>
    <w:p>
      <w:pPr>
        <w:pStyle w:val="F21"/>
        <w:ind w:left="1418" w:hanging="851"/>
        <w:rPr>
          <w:szCs w:val="27"/>
        </w:rPr>
      </w:pPr>
      <w:r>
        <w:rPr>
          <w:szCs w:val="27"/>
        </w:rPr>
        <w:tab/>
      </w:r>
      <w:r>
        <w:rPr>
          <w:szCs w:val="27"/>
        </w:rPr>
        <w:t>政府會繼續密切留意各區的泊車需要，並採取措施適度增加泊車位供應，包括在合適路旁劃設夜間泊車位；要求發展商在新發展的項目內提供《香港規劃標準與準則》標準範圍內較高的泊車位數量；按照</w:t>
      </w:r>
      <w:r>
        <w:rPr>
          <w:rFonts w:cs="Times New Roman"/>
          <w:szCs w:val="27"/>
        </w:rPr>
        <w:t>"</w:t>
      </w:r>
      <w:r>
        <w:rPr>
          <w:szCs w:val="27"/>
        </w:rPr>
        <w:t>一地多用</w:t>
      </w:r>
      <w:r>
        <w:rPr>
          <w:rFonts w:cs="Times New Roman"/>
          <w:szCs w:val="27"/>
        </w:rPr>
        <w:t>"</w:t>
      </w:r>
      <w:r>
        <w:rPr>
          <w:szCs w:val="27"/>
        </w:rPr>
        <w:t>的原則在合適的</w:t>
      </w:r>
      <w:r>
        <w:rPr>
          <w:rFonts w:cs="Times New Roman"/>
          <w:szCs w:val="27"/>
        </w:rPr>
        <w:t>"</w:t>
      </w:r>
      <w:r>
        <w:rPr>
          <w:szCs w:val="27"/>
        </w:rPr>
        <w:t>政府、機構或社區</w:t>
      </w:r>
      <w:r>
        <w:rPr>
          <w:rFonts w:cs="Times New Roman"/>
          <w:szCs w:val="27"/>
        </w:rPr>
        <w:t>"</w:t>
      </w:r>
      <w:r>
        <w:rPr>
          <w:szCs w:val="27"/>
        </w:rPr>
        <w:t>設施及公共休憩用地發展項目中加設公眾泊車位；以及推展智能泊車系統先導計劃。</w:t>
      </w:r>
    </w:p>
    <w:p>
      <w:pPr>
        <w:pStyle w:val="F21"/>
        <w:ind w:left="1418" w:hanging="851"/>
        <w:rPr>
          <w:szCs w:val="27"/>
        </w:rPr>
      </w:pPr>
      <w:r>
        <w:rPr>
          <w:szCs w:val="27"/>
        </w:rPr>
      </w:r>
    </w:p>
    <w:p>
      <w:pPr>
        <w:pStyle w:val="F21"/>
        <w:ind w:left="1418" w:hanging="851"/>
        <w:rPr>
          <w:szCs w:val="27"/>
        </w:rPr>
      </w:pPr>
      <w:r>
        <w:rPr>
          <w:szCs w:val="27"/>
        </w:rPr>
        <w:tab/>
      </w:r>
      <w:r>
        <w:rPr>
          <w:szCs w:val="27"/>
        </w:rPr>
        <w:t>由於上述措施可提供的新泊車位數目需取決於相關項目的進度，所以，運輸署未能對未來每年泊車位供應作出確切的估算。</w:t>
      </w:r>
    </w:p>
    <w:p>
      <w:pPr>
        <w:pStyle w:val="F21"/>
        <w:ind w:left="1418" w:hanging="851"/>
        <w:rPr>
          <w:szCs w:val="27"/>
        </w:rPr>
      </w:pPr>
      <w:r>
        <w:rPr>
          <w:szCs w:val="27"/>
        </w:rPr>
      </w:r>
    </w:p>
    <w:p>
      <w:pPr>
        <w:pStyle w:val="F21"/>
        <w:ind w:left="1418" w:hanging="851"/>
        <w:rPr>
          <w:szCs w:val="27"/>
        </w:rPr>
      </w:pPr>
      <w:r>
        <w:rPr>
          <w:szCs w:val="27"/>
        </w:rPr>
        <w:t>(</w:t>
      </w:r>
      <w:r>
        <w:rPr>
          <w:szCs w:val="27"/>
        </w:rPr>
        <w:t>二</w:t>
      </w:r>
      <w:r>
        <w:rPr>
          <w:szCs w:val="27"/>
        </w:rPr>
        <w:t>)</w:t>
        <w:tab/>
      </w:r>
      <w:r>
        <w:rPr>
          <w:szCs w:val="27"/>
        </w:rPr>
        <w:t>正如行政長官在</w:t>
      </w:r>
      <w:r>
        <w:rPr>
          <w:szCs w:val="27"/>
        </w:rPr>
        <w:t>2018</w:t>
      </w:r>
      <w:r>
        <w:rPr>
          <w:szCs w:val="27"/>
        </w:rPr>
        <w:t>年施政報告表示，政府會按照</w:t>
      </w:r>
      <w:r>
        <w:rPr>
          <w:rFonts w:cs="Times New Roman"/>
          <w:szCs w:val="27"/>
        </w:rPr>
        <w:t>"</w:t>
      </w:r>
      <w:r>
        <w:rPr>
          <w:szCs w:val="27"/>
        </w:rPr>
        <w:t>一地多用</w:t>
      </w:r>
      <w:r>
        <w:rPr>
          <w:rFonts w:cs="Times New Roman"/>
          <w:szCs w:val="27"/>
        </w:rPr>
        <w:t>"</w:t>
      </w:r>
      <w:r>
        <w:rPr>
          <w:szCs w:val="27"/>
        </w:rPr>
        <w:t>的原則，在合適的</w:t>
      </w:r>
      <w:r>
        <w:rPr>
          <w:rFonts w:cs="Times New Roman"/>
          <w:szCs w:val="27"/>
        </w:rPr>
        <w:t>"</w:t>
      </w:r>
      <w:r>
        <w:rPr>
          <w:szCs w:val="27"/>
        </w:rPr>
        <w:t>政府、機構或社區</w:t>
      </w:r>
      <w:r>
        <w:rPr>
          <w:rFonts w:cs="Times New Roman"/>
          <w:szCs w:val="27"/>
        </w:rPr>
        <w:t>"</w:t>
      </w:r>
      <w:r>
        <w:rPr>
          <w:szCs w:val="27"/>
        </w:rPr>
        <w:t>設施和公共休憩用地發展項目中，加設公眾泊車位。若技術上可行，政府預計未來</w:t>
      </w:r>
      <w:r>
        <w:rPr>
          <w:szCs w:val="27"/>
        </w:rPr>
        <w:t>5</w:t>
      </w:r>
      <w:r>
        <w:rPr>
          <w:szCs w:val="27"/>
        </w:rPr>
        <w:t>年可以在合適的政府設施和公共休憩用地中提供至少</w:t>
      </w:r>
      <w:r>
        <w:rPr>
          <w:szCs w:val="27"/>
        </w:rPr>
        <w:t>1 500</w:t>
      </w:r>
      <w:r>
        <w:rPr>
          <w:szCs w:val="27"/>
        </w:rPr>
        <w:t>個公眾泊車位。然而，在實際推進項目的過程中，運輸署亦需要依賴相關持份</w:t>
      </w:r>
      <w:r>
        <w:rPr>
          <w:rFonts w:ascii="華康細明體" w:hAnsi="華康細明體"/>
          <w:szCs w:val="27"/>
        </w:rPr>
        <w:t>者，尤其是</w:t>
      </w:r>
      <w:r>
        <w:rPr>
          <w:szCs w:val="27"/>
        </w:rPr>
        <w:t>地區人士的支持，才能順利開展相關工作。</w:t>
      </w:r>
    </w:p>
    <w:p>
      <w:pPr>
        <w:pStyle w:val="F21"/>
        <w:ind w:left="1418" w:hanging="851"/>
        <w:rPr>
          <w:szCs w:val="27"/>
        </w:rPr>
      </w:pPr>
      <w:r>
        <w:rPr>
          <w:szCs w:val="27"/>
        </w:rPr>
      </w:r>
    </w:p>
    <w:p>
      <w:pPr>
        <w:pStyle w:val="F21"/>
        <w:ind w:left="1418" w:hanging="851"/>
        <w:rPr>
          <w:szCs w:val="27"/>
        </w:rPr>
      </w:pPr>
      <w:r>
        <w:rPr>
          <w:szCs w:val="27"/>
        </w:rPr>
        <w:t>(</w:t>
      </w:r>
      <w:r>
        <w:rPr>
          <w:szCs w:val="27"/>
        </w:rPr>
        <w:t>三</w:t>
      </w:r>
      <w:r>
        <w:rPr>
          <w:szCs w:val="27"/>
        </w:rPr>
        <w:t>)</w:t>
        <w:tab/>
      </w:r>
      <w:r>
        <w:rPr>
          <w:szCs w:val="27"/>
        </w:rPr>
        <w:t>運輸署已於</w:t>
      </w:r>
      <w:r>
        <w:rPr>
          <w:szCs w:val="27"/>
        </w:rPr>
        <w:t>2018</w:t>
      </w:r>
      <w:r>
        <w:rPr>
          <w:szCs w:val="27"/>
        </w:rPr>
        <w:t>年年初委託顧問研究推展智能泊車系統先導計劃，旨在選定</w:t>
      </w:r>
      <w:r>
        <w:rPr>
          <w:szCs w:val="27"/>
        </w:rPr>
        <w:t>6</w:t>
      </w:r>
      <w:r>
        <w:rPr>
          <w:szCs w:val="27"/>
        </w:rPr>
        <w:t>個合適地點，興建不同類型的智能停車場，並進行相關的技術及財務可行性評估。</w:t>
      </w:r>
    </w:p>
    <w:p>
      <w:pPr>
        <w:pStyle w:val="F21"/>
        <w:ind w:left="1418" w:hanging="851"/>
        <w:rPr>
          <w:szCs w:val="27"/>
        </w:rPr>
      </w:pPr>
      <w:r>
        <w:rPr>
          <w:szCs w:val="27"/>
        </w:rPr>
      </w:r>
    </w:p>
    <w:p>
      <w:pPr>
        <w:pStyle w:val="F21"/>
        <w:ind w:left="1418" w:hanging="851"/>
        <w:rPr>
          <w:szCs w:val="27"/>
        </w:rPr>
      </w:pPr>
      <w:r>
        <w:rPr>
          <w:szCs w:val="27"/>
        </w:rPr>
        <w:tab/>
      </w:r>
      <w:r>
        <w:rPr>
          <w:szCs w:val="27"/>
        </w:rPr>
        <w:t>智能泊車系統一般配置快速升降機和旋轉移動台等機械裝備運送汽車，並以智能系統控制，自動尋找泊車位置和存取汽車。相對傳統停車場，智能泊車系統一般可以在相同大小空間增加三成至</w:t>
      </w:r>
      <w:r>
        <w:rPr>
          <w:szCs w:val="27"/>
        </w:rPr>
        <w:t>1</w:t>
      </w:r>
      <w:r>
        <w:rPr>
          <w:szCs w:val="27"/>
        </w:rPr>
        <w:t>倍的泊車位數目。</w:t>
      </w:r>
    </w:p>
    <w:p>
      <w:pPr>
        <w:pStyle w:val="F21"/>
        <w:ind w:left="1418" w:hanging="851"/>
        <w:rPr>
          <w:szCs w:val="27"/>
        </w:rPr>
      </w:pPr>
      <w:r>
        <w:rPr>
          <w:szCs w:val="27"/>
        </w:rPr>
      </w:r>
    </w:p>
    <w:p>
      <w:pPr>
        <w:pStyle w:val="F21"/>
        <w:ind w:left="1418" w:hanging="851"/>
        <w:rPr>
          <w:szCs w:val="27"/>
        </w:rPr>
      </w:pPr>
      <w:r>
        <w:rPr>
          <w:szCs w:val="27"/>
        </w:rPr>
        <w:tab/>
      </w:r>
      <w:r>
        <w:rPr>
          <w:szCs w:val="27"/>
        </w:rPr>
        <w:t>為推動智能泊車，我們會探討在</w:t>
      </w:r>
      <w:r>
        <w:rPr>
          <w:rFonts w:cs="Times New Roman"/>
          <w:szCs w:val="27"/>
        </w:rPr>
        <w:t>"</w:t>
      </w:r>
      <w:r>
        <w:rPr>
          <w:szCs w:val="27"/>
        </w:rPr>
        <w:t>政府、機構或社區</w:t>
      </w:r>
      <w:r>
        <w:rPr>
          <w:rFonts w:cs="Times New Roman"/>
          <w:szCs w:val="27"/>
        </w:rPr>
        <w:t>"</w:t>
      </w:r>
      <w:r>
        <w:rPr>
          <w:szCs w:val="27"/>
        </w:rPr>
        <w:t>設施和公共休憩用地引入智能泊車系統，亦會在選定的短期租約用地要求私人營辦商安裝、營運及管理智能泊車系統。</w:t>
      </w:r>
    </w:p>
    <w:p>
      <w:pPr>
        <w:pStyle w:val="F21"/>
        <w:ind w:left="1418" w:hanging="851"/>
        <w:rPr>
          <w:szCs w:val="27"/>
        </w:rPr>
      </w:pPr>
      <w:r>
        <w:rPr>
          <w:szCs w:val="27"/>
        </w:rPr>
      </w:r>
    </w:p>
    <w:p>
      <w:pPr>
        <w:pStyle w:val="F21"/>
        <w:ind w:left="1418" w:hanging="851"/>
        <w:rPr>
          <w:szCs w:val="27"/>
        </w:rPr>
      </w:pPr>
      <w:r>
        <w:rPr>
          <w:szCs w:val="27"/>
        </w:rPr>
        <w:tab/>
      </w:r>
      <w:r>
        <w:rPr>
          <w:szCs w:val="27"/>
        </w:rPr>
        <w:t>運輸署現正按上述兩種模式籌劃合共</w:t>
      </w:r>
      <w:r>
        <w:rPr>
          <w:szCs w:val="27"/>
        </w:rPr>
        <w:t>6</w:t>
      </w:r>
      <w:r>
        <w:rPr>
          <w:szCs w:val="27"/>
        </w:rPr>
        <w:t>個先導項目，以期在興建、營運和管理不同種類的智能泊車系統，以及相關財務安排等方面積累經驗作適時檢討，藉此於日後在政府和私人公眾停車場推廣應用。其中，運輸署正積極考慮在荃灣區短期租約用地、深水埗欽州街及通州街交界休憩用地，以及上環中港道擬議的政府大樓</w:t>
      </w:r>
      <w:r>
        <w:rPr>
          <w:szCs w:val="27"/>
        </w:rPr>
        <w:t>3</w:t>
      </w:r>
      <w:r>
        <w:rPr>
          <w:szCs w:val="27"/>
        </w:rPr>
        <w:t>個選址推展智能泊車系統項目，並會盡快就選址及項目範圍進行地區諮詢工作。至於其他</w:t>
      </w:r>
      <w:r>
        <w:rPr>
          <w:szCs w:val="27"/>
        </w:rPr>
        <w:t>3</w:t>
      </w:r>
      <w:r>
        <w:rPr>
          <w:szCs w:val="27"/>
        </w:rPr>
        <w:t>個選址，運輸署在與相關部門積極探討初步技術可行性後，會適時公布擬議選址及諮詢有關區議會。我相信大家都知道，昨天運輸署已向深水埗區議會進行有關的諮詢工作。</w:t>
      </w:r>
    </w:p>
    <w:p>
      <w:pPr>
        <w:pStyle w:val="F21"/>
        <w:spacing w:lineRule="atLeast" w:line="350"/>
        <w:rPr>
          <w:szCs w:val="27"/>
        </w:rPr>
      </w:pPr>
      <w:r>
        <w:rPr>
          <w:szCs w:val="27"/>
        </w:rPr>
      </w:r>
    </w:p>
    <w:p>
      <w:pPr>
        <w:pStyle w:val="F21"/>
        <w:spacing w:lineRule="atLeast" w:line="350"/>
        <w:rPr>
          <w:szCs w:val="27"/>
        </w:rPr>
      </w:pPr>
      <w:r>
        <w:rPr>
          <w:szCs w:val="27"/>
        </w:rPr>
      </w:r>
    </w:p>
    <w:p>
      <w:pPr>
        <w:pStyle w:val="F21"/>
        <w:spacing w:lineRule="atLeast" w:line="350"/>
        <w:rPr>
          <w:rFonts w:cs="Times New Roman"/>
          <w:i/>
          <w:i/>
        </w:rPr>
      </w:pPr>
      <w:r>
        <w:rPr>
          <w:rFonts w:cs="Times New Roman" w:eastAsia="華康中黑體"/>
          <w:b/>
        </w:rPr>
        <w:t>鄭泳舜議員</w:t>
      </w:r>
      <w:r>
        <w:rPr>
          <w:rFonts w:cs="Times New Roman"/>
        </w:rPr>
        <w:t>：</w:t>
      </w:r>
      <w:r>
        <w:rPr>
          <w:rFonts w:cs="Times New Roman"/>
          <w:i/>
        </w:rPr>
        <w:t>代理主席，局長在主體答覆中表示，就未來泊車位數目，政府並無目標和估算，我對此感到非常失望。</w:t>
      </w:r>
    </w:p>
    <w:p>
      <w:pPr>
        <w:pStyle w:val="F21"/>
        <w:spacing w:lineRule="atLeast" w:line="350"/>
        <w:rPr>
          <w:rFonts w:cs="Times New Roman"/>
          <w:i/>
          <w:i/>
        </w:rPr>
      </w:pPr>
      <w:r>
        <w:rPr>
          <w:rFonts w:cs="Times New Roman"/>
          <w:i/>
        </w:rPr>
      </w:r>
    </w:p>
    <w:p>
      <w:pPr>
        <w:pStyle w:val="F21"/>
        <w:spacing w:lineRule="atLeast" w:line="350"/>
        <w:rPr>
          <w:rFonts w:cs="Times New Roman"/>
          <w:i/>
          <w:i/>
        </w:rPr>
      </w:pPr>
      <w:r>
        <w:rPr>
          <w:rFonts w:cs="Times New Roman"/>
          <w:i/>
        </w:rPr>
        <w:tab/>
      </w:r>
      <w:r>
        <w:rPr>
          <w:rFonts w:cs="Times New Roman"/>
          <w:i/>
        </w:rPr>
        <w:t>我們看到過去</w:t>
      </w:r>
      <w:r>
        <w:rPr>
          <w:rFonts w:cs="Times New Roman"/>
          <w:i/>
        </w:rPr>
        <w:t>10</w:t>
      </w:r>
      <w:r>
        <w:rPr>
          <w:rFonts w:cs="Times New Roman"/>
          <w:i/>
        </w:rPr>
        <w:t>年，車輛數目越來越多，相反，商用車輛的泊車位數目卻越來越少。局長，我們原則上贊同採用智能方法協助解決泊車位不足的情況。但是，代理主席，我們擔心地下智能停車場或泊車系統，由設計到落實需時。境外有一些例子是採用新的建造方法，可以將建造期縮短，亦可以節省成本。如果深水埗、上環或荃灣將進行先導計劃，何時會完成詳細設計和技術評估？當局可否承諾，無需市民等待</w:t>
      </w:r>
      <w:r>
        <w:rPr>
          <w:rFonts w:cs="Times New Roman"/>
          <w:i/>
        </w:rPr>
        <w:t>5</w:t>
      </w:r>
      <w:r>
        <w:rPr>
          <w:rFonts w:cs="Times New Roman"/>
          <w:i/>
        </w:rPr>
        <w:t>至</w:t>
      </w:r>
      <w:r>
        <w:rPr>
          <w:rFonts w:cs="Times New Roman"/>
          <w:i/>
        </w:rPr>
        <w:t>7</w:t>
      </w:r>
      <w:r>
        <w:rPr>
          <w:rFonts w:cs="Times New Roman"/>
          <w:i/>
        </w:rPr>
        <w:t>年才可以做到？局長，在新設施未落成之前，有甚麼措施可以紓緩私家車和商用車輛泊車位不足的問題呢？</w:t>
      </w:r>
    </w:p>
    <w:p>
      <w:pPr>
        <w:pStyle w:val="F21"/>
        <w:spacing w:lineRule="atLeast" w:line="350"/>
        <w:rPr>
          <w:rFonts w:cs="Times New Roman"/>
        </w:rPr>
      </w:pPr>
      <w:r>
        <w:rPr>
          <w:rFonts w:cs="Times New Roman"/>
        </w:rPr>
      </w:r>
    </w:p>
    <w:p>
      <w:pPr>
        <w:pStyle w:val="F21"/>
        <w:spacing w:lineRule="atLeast" w:line="350"/>
        <w:rPr>
          <w:rFonts w:eastAsia="華康中黑體" w:cs="Times New Roman"/>
          <w:b/>
          <w:b/>
        </w:rPr>
      </w:pPr>
      <w:r>
        <w:rPr>
          <w:rFonts w:eastAsia="華康中黑體" w:cs="Times New Roman"/>
          <w:b/>
        </w:rPr>
      </w:r>
    </w:p>
    <w:p>
      <w:pPr>
        <w:pStyle w:val="F21"/>
        <w:spacing w:lineRule="atLeast" w:line="350"/>
        <w:rPr>
          <w:rFonts w:cs="Times New Roman"/>
        </w:rPr>
      </w:pPr>
      <w:r>
        <w:rPr>
          <w:rFonts w:cs="Times New Roman" w:eastAsia="華康中黑體"/>
          <w:b/>
        </w:rPr>
        <w:t>運輸及房屋局局長</w:t>
      </w:r>
      <w:r>
        <w:rPr>
          <w:rFonts w:cs="Times New Roman"/>
        </w:rPr>
        <w:t>：我剛才說的是，運輸署目前並無每年的統計數字，因為不同項目的進度有變。但是，運輸署估計，在</w:t>
      </w:r>
      <w:r>
        <w:rPr>
          <w:rFonts w:cs="Times New Roman"/>
        </w:rPr>
        <w:t>2019</w:t>
      </w:r>
      <w:r>
        <w:rPr>
          <w:rFonts w:cs="Times New Roman"/>
        </w:rPr>
        <w:t>年可以增加約</w:t>
      </w:r>
      <w:r>
        <w:rPr>
          <w:rFonts w:cs="Times New Roman"/>
        </w:rPr>
        <w:t>512</w:t>
      </w:r>
      <w:r>
        <w:rPr>
          <w:rFonts w:cs="Times New Roman"/>
        </w:rPr>
        <w:t>個和</w:t>
      </w:r>
      <w:r>
        <w:rPr>
          <w:rFonts w:cs="Times New Roman"/>
        </w:rPr>
        <w:t>1 692</w:t>
      </w:r>
      <w:r>
        <w:rPr>
          <w:rFonts w:cs="Times New Roman"/>
        </w:rPr>
        <w:t>個分別由政府和私人營運而供公眾使用的泊車位，其中包括</w:t>
      </w:r>
      <w:r>
        <w:rPr>
          <w:rFonts w:cs="Times New Roman"/>
        </w:rPr>
        <w:t>85</w:t>
      </w:r>
      <w:r>
        <w:rPr>
          <w:rFonts w:cs="Times New Roman"/>
        </w:rPr>
        <w:t>個電單車車位、</w:t>
      </w:r>
      <w:r>
        <w:rPr>
          <w:rFonts w:cs="Times New Roman"/>
        </w:rPr>
        <w:t>2 095</w:t>
      </w:r>
      <w:r>
        <w:rPr>
          <w:rFonts w:cs="Times New Roman"/>
        </w:rPr>
        <w:t>個私家車車位及</w:t>
      </w:r>
      <w:r>
        <w:rPr>
          <w:rFonts w:cs="Times New Roman"/>
        </w:rPr>
        <w:t>24‍</w:t>
      </w:r>
      <w:r>
        <w:rPr>
          <w:rFonts w:cs="Times New Roman"/>
        </w:rPr>
        <w:t>個商用車輛泊車位。當然，日後我們就其後的年份有相關數字時，會作出有關公布。</w:t>
      </w:r>
    </w:p>
    <w:p>
      <w:pPr>
        <w:pStyle w:val="F21"/>
        <w:spacing w:lineRule="atLeast" w:line="350"/>
        <w:rPr>
          <w:rFonts w:cs="Times New Roman"/>
        </w:rPr>
      </w:pPr>
      <w:r>
        <w:rPr>
          <w:rFonts w:cs="Times New Roman"/>
        </w:rPr>
      </w:r>
    </w:p>
    <w:p>
      <w:pPr>
        <w:pStyle w:val="F21"/>
        <w:spacing w:lineRule="atLeast" w:line="350"/>
        <w:rPr>
          <w:rFonts w:cs="Times New Roman"/>
        </w:rPr>
      </w:pPr>
      <w:r>
        <w:rPr>
          <w:rFonts w:cs="Times New Roman"/>
        </w:rPr>
        <w:tab/>
      </w:r>
      <w:r>
        <w:rPr>
          <w:rFonts w:cs="Times New Roman"/>
        </w:rPr>
        <w:t>在規劃多層停車場以至智能停車場時，為何我們推動智能泊車系統？主要是因為採用智能泊車系統的停車場，建造時間較傳統的多層停車場為短，我們希望有關推展如得到市民和地區支持，在有關系統全面運用時，便可以盡快為市民提供他們期待的泊車位，使市民無需輪候太長時間，便有泊車位可以泊車。</w:t>
      </w:r>
    </w:p>
    <w:p>
      <w:pPr>
        <w:pStyle w:val="F21"/>
        <w:spacing w:lineRule="atLeast" w:line="350"/>
        <w:rPr>
          <w:rFonts w:cs="Times New Roman"/>
        </w:rPr>
      </w:pPr>
      <w:r>
        <w:rPr>
          <w:rFonts w:cs="Times New Roman"/>
        </w:rPr>
      </w:r>
    </w:p>
    <w:p>
      <w:pPr>
        <w:pStyle w:val="F21"/>
        <w:spacing w:lineRule="atLeast" w:line="350"/>
        <w:rPr>
          <w:rFonts w:eastAsia="華康中黑體" w:cs="Times New Roman"/>
          <w:b/>
          <w:b/>
        </w:rPr>
      </w:pPr>
      <w:r>
        <w:rPr>
          <w:rFonts w:eastAsia="華康中黑體" w:cs="Times New Roman"/>
          <w:b/>
        </w:rPr>
      </w:r>
    </w:p>
    <w:p>
      <w:pPr>
        <w:pStyle w:val="F21"/>
        <w:spacing w:lineRule="atLeast" w:line="350"/>
        <w:rPr>
          <w:i/>
          <w:i/>
        </w:rPr>
      </w:pPr>
      <w:r>
        <w:rPr>
          <w:rFonts w:cs="Times New Roman" w:eastAsia="華康中黑體"/>
          <w:b/>
        </w:rPr>
        <w:t>陳恒鑌議員</w:t>
      </w:r>
      <w:r>
        <w:rPr>
          <w:rFonts w:cs="Times New Roman"/>
        </w:rPr>
        <w:t>：</w:t>
      </w:r>
      <w:r>
        <w:rPr>
          <w:rFonts w:cs="Times New Roman"/>
          <w:i/>
        </w:rPr>
        <w:t>局長剛才在答覆中表示，會在政府設施及公共休憩用地推行有關項目。但是，在政府設施和公共休憩用地興建數個停車場，事實上是杯水車薪。現時這類停車場在外國已應用多年，基本上已是非常成熟的科技，若在香港引入，卻只由政府推行，而不鼓勵社會，包括私人參與，我覺得會欠缺成效。</w:t>
      </w:r>
      <w:r>
        <w:br w:type="page"/>
      </w:r>
    </w:p>
    <w:p>
      <w:pPr>
        <w:pStyle w:val="F21"/>
        <w:spacing w:lineRule="atLeast" w:line="370"/>
        <w:rPr>
          <w:rFonts w:cs="Times New Roman"/>
          <w:i/>
          <w:i/>
        </w:rPr>
      </w:pPr>
      <w:r>
        <w:rPr>
          <w:rFonts w:cs="Times New Roman"/>
          <w:i/>
        </w:rPr>
        <w:tab/>
      </w:r>
      <w:r>
        <w:rPr>
          <w:rFonts w:cs="Times New Roman"/>
          <w:i/>
        </w:rPr>
        <w:t>所以，我想問局長，政府會否在試行的同時，亦放寬讓私人機構使用其土地興建這些智能多層停車場，令各區的車位均可以有適度的供應，因為私人進行始終比政府快，而且選址較靈活。會否放寬地積比率的限制，或者要他們補地價，令這科技可以在香港落地生根呢？</w:t>
      </w:r>
    </w:p>
    <w:p>
      <w:pPr>
        <w:pStyle w:val="F21"/>
        <w:spacing w:lineRule="atLeast" w:line="370"/>
        <w:rPr>
          <w:rFonts w:cs="Times New Roman"/>
        </w:rPr>
      </w:pPr>
      <w:r>
        <w:rPr>
          <w:rFonts w:cs="Times New Roman"/>
        </w:rPr>
      </w:r>
    </w:p>
    <w:p>
      <w:pPr>
        <w:pStyle w:val="F21"/>
        <w:spacing w:lineRule="atLeast" w:line="370"/>
        <w:rPr>
          <w:rFonts w:eastAsia="華康中黑體" w:cs="Times New Roman"/>
          <w:b/>
          <w:b/>
        </w:rPr>
      </w:pPr>
      <w:r>
        <w:rPr>
          <w:rFonts w:eastAsia="華康中黑體" w:cs="Times New Roman"/>
          <w:b/>
        </w:rPr>
      </w:r>
    </w:p>
    <w:p>
      <w:pPr>
        <w:pStyle w:val="F21"/>
        <w:spacing w:lineRule="atLeast" w:line="370"/>
        <w:rPr>
          <w:szCs w:val="27"/>
        </w:rPr>
      </w:pPr>
      <w:r>
        <w:rPr>
          <w:rFonts w:cs="Times New Roman" w:eastAsia="華康中黑體"/>
          <w:b/>
        </w:rPr>
        <w:t>運輸及房屋局局長</w:t>
      </w:r>
      <w:r>
        <w:rPr>
          <w:rFonts w:cs="Times New Roman"/>
        </w:rPr>
        <w:t>：就着智能停車場的推動，我們希望大家理解，在香港這是一項新事物，而在很多外國城市，的確已使用多年。我們希望透過這項先導計劃，讓市場了解有關設計和運作，</w:t>
      </w:r>
      <w:r>
        <w:rPr>
          <w:szCs w:val="27"/>
        </w:rPr>
        <w:t>以至管理工作及操作成本。在現時的</w:t>
      </w:r>
      <w:r>
        <w:rPr>
          <w:szCs w:val="27"/>
        </w:rPr>
        <w:t>6</w:t>
      </w:r>
      <w:r>
        <w:rPr>
          <w:szCs w:val="27"/>
        </w:rPr>
        <w:t>個先導項目中，我們並不排除有部分項目會嘗試採用投標方式，讓市場參與，變成用兩條腿走路，一方面，由政府推動；另一方面，如果私人機構有興趣，亦可透過市場來加快推行速度。在這方面，我們會全面推展。除了智能停車場外，我們亦透過很多途徑來增加泊車位，例如在學校方面，讓校巴夜間在校園停泊，現時所有公營學校以至直資學校均可申請參與這項計劃。我們亦作出安排，在晚間交通不繁忙的路段，提供慢線作為夜間泊車位，並正在研究可否把某些私人發展項目中的上落貨區及私人停車場，開放予市民作晚間泊車之用。此外，在剛才提到的</w:t>
      </w:r>
      <w:r>
        <w:rPr>
          <w:szCs w:val="27"/>
        </w:rPr>
        <w:t>"</w:t>
      </w:r>
      <w:r>
        <w:rPr>
          <w:szCs w:val="27"/>
        </w:rPr>
        <w:t>一地多用</w:t>
      </w:r>
      <w:r>
        <w:rPr>
          <w:szCs w:val="27"/>
        </w:rPr>
        <w:t>"</w:t>
      </w:r>
      <w:r>
        <w:rPr>
          <w:szCs w:val="27"/>
        </w:rPr>
        <w:t>政策下，在政府設施及公共休憩用地的整體建設中，必定會一併設立公眾停車場。凡此種種，均是為了應付香港市民對泊車位的需求。我希望在此重申，我們在商用車輛及對香港經濟有貢獻的汽車泊置方面，會積極配合。至於私家車泊車位，大家也明白，香港有</w:t>
      </w:r>
      <w:r>
        <w:rPr>
          <w:szCs w:val="27"/>
        </w:rPr>
        <w:t>50</w:t>
      </w:r>
      <w:r>
        <w:rPr>
          <w:szCs w:val="27"/>
        </w:rPr>
        <w:t>多萬輛私家車，我們會盡可能透過剛才提到的</w:t>
      </w:r>
      <w:r>
        <w:rPr>
          <w:szCs w:val="27"/>
        </w:rPr>
        <w:t>"</w:t>
      </w:r>
      <w:r>
        <w:rPr>
          <w:szCs w:val="27"/>
        </w:rPr>
        <w:t>一地多用</w:t>
      </w:r>
      <w:r>
        <w:rPr>
          <w:szCs w:val="27"/>
        </w:rPr>
        <w:t>"</w:t>
      </w:r>
      <w:r>
        <w:rPr>
          <w:szCs w:val="27"/>
        </w:rPr>
        <w:t>政策及多渠道的探索，盡量滿足需求。</w:t>
      </w:r>
    </w:p>
    <w:p>
      <w:pPr>
        <w:pStyle w:val="F21"/>
        <w:spacing w:lineRule="atLeast" w:line="370"/>
        <w:rPr>
          <w:szCs w:val="27"/>
        </w:rPr>
      </w:pPr>
      <w:r>
        <w:rPr>
          <w:szCs w:val="27"/>
        </w:rPr>
      </w:r>
    </w:p>
    <w:p>
      <w:pPr>
        <w:pStyle w:val="F21"/>
        <w:spacing w:lineRule="atLeast" w:line="370"/>
        <w:rPr>
          <w:szCs w:val="27"/>
        </w:rPr>
      </w:pPr>
      <w:r>
        <w:rPr>
          <w:szCs w:val="27"/>
        </w:rPr>
      </w:r>
    </w:p>
    <w:p>
      <w:pPr>
        <w:pStyle w:val="F21"/>
        <w:spacing w:lineRule="atLeast" w:line="370"/>
        <w:rPr>
          <w:szCs w:val="27"/>
        </w:rPr>
      </w:pPr>
      <w:r>
        <w:rPr>
          <w:rFonts w:ascii="華康中黑體" w:hAnsi="華康中黑體" w:cs="華康中黑體" w:eastAsia="華康中黑體"/>
          <w:b/>
          <w:szCs w:val="27"/>
        </w:rPr>
        <w:t>代理主席</w:t>
      </w:r>
      <w:r>
        <w:rPr>
          <w:szCs w:val="27"/>
        </w:rPr>
        <w:t>：陳恒鑌議員，你的補充質詢哪部分未獲答覆？</w:t>
      </w:r>
    </w:p>
    <w:p>
      <w:pPr>
        <w:pStyle w:val="F21"/>
        <w:spacing w:lineRule="atLeast" w:line="370"/>
        <w:rPr>
          <w:szCs w:val="27"/>
        </w:rPr>
      </w:pPr>
      <w:r>
        <w:rPr>
          <w:szCs w:val="27"/>
        </w:rPr>
      </w:r>
    </w:p>
    <w:p>
      <w:pPr>
        <w:pStyle w:val="F21"/>
        <w:spacing w:lineRule="atLeast" w:line="370"/>
        <w:rPr>
          <w:szCs w:val="27"/>
        </w:rPr>
      </w:pPr>
      <w:r>
        <w:rPr>
          <w:szCs w:val="27"/>
        </w:rPr>
      </w:r>
    </w:p>
    <w:p>
      <w:pPr>
        <w:pStyle w:val="F21"/>
        <w:spacing w:lineRule="atLeast" w:line="370"/>
        <w:rPr>
          <w:szCs w:val="27"/>
        </w:rPr>
      </w:pPr>
      <w:r>
        <w:rPr>
          <w:rFonts w:ascii="華康中黑體" w:hAnsi="華康中黑體" w:cs="華康中黑體" w:eastAsia="華康中黑體"/>
          <w:b/>
          <w:szCs w:val="27"/>
        </w:rPr>
        <w:t>陳恒鑌議員</w:t>
      </w:r>
      <w:r>
        <w:rPr>
          <w:szCs w:val="27"/>
        </w:rPr>
        <w:t>：</w:t>
      </w:r>
      <w:r>
        <w:rPr>
          <w:i/>
          <w:szCs w:val="27"/>
        </w:rPr>
        <w:t>局長沒有回答我的補充質詢。我剛才強調可否放寬私人土地的限制，令私人土地也可以引入這類智能停車場，但局長沒有回答，為何私人土地不可以這樣做？</w:t>
      </w:r>
    </w:p>
    <w:p>
      <w:pPr>
        <w:pStyle w:val="F21"/>
        <w:spacing w:lineRule="atLeast" w:line="370"/>
        <w:rPr>
          <w:szCs w:val="27"/>
        </w:rPr>
      </w:pPr>
      <w:r>
        <w:rPr>
          <w:szCs w:val="27"/>
        </w:rPr>
      </w:r>
    </w:p>
    <w:p>
      <w:pPr>
        <w:pStyle w:val="F21"/>
        <w:spacing w:lineRule="atLeast" w:line="370"/>
        <w:rPr>
          <w:szCs w:val="27"/>
        </w:rPr>
      </w:pPr>
      <w:r>
        <w:rPr>
          <w:szCs w:val="27"/>
        </w:rPr>
      </w:r>
    </w:p>
    <w:p>
      <w:pPr>
        <w:pStyle w:val="F21"/>
        <w:spacing w:lineRule="atLeast" w:line="370"/>
        <w:rPr>
          <w:szCs w:val="27"/>
        </w:rPr>
      </w:pPr>
      <w:r>
        <w:rPr>
          <w:rFonts w:ascii="華康中黑體" w:hAnsi="華康中黑體" w:cs="華康中黑體" w:eastAsia="華康中黑體"/>
          <w:b/>
          <w:szCs w:val="27"/>
        </w:rPr>
        <w:t>代理主席</w:t>
      </w:r>
      <w:r>
        <w:rPr>
          <w:szCs w:val="27"/>
        </w:rPr>
        <w:t>：陳議員，你已清楚指出你的補充質詢未獲答覆的部分，請坐下。局長，你有否補充？</w:t>
      </w:r>
    </w:p>
    <w:p>
      <w:pPr>
        <w:pStyle w:val="Normal"/>
        <w:widowControl/>
        <w:tabs>
          <w:tab w:val="clear" w:pos="720"/>
        </w:tabs>
        <w:snapToGrid w:val="true"/>
        <w:spacing w:lineRule="auto" w:line="276" w:before="0" w:after="200"/>
        <w:jc w:val="left"/>
        <w:rPr>
          <w:szCs w:val="27"/>
        </w:rPr>
      </w:pPr>
      <w:r>
        <w:rPr>
          <w:szCs w:val="27"/>
        </w:rPr>
      </w:r>
      <w:r>
        <w:br w:type="page"/>
      </w:r>
    </w:p>
    <w:p>
      <w:pPr>
        <w:pStyle w:val="F21"/>
        <w:rPr>
          <w:szCs w:val="27"/>
        </w:rPr>
      </w:pPr>
      <w:r>
        <w:rPr>
          <w:rFonts w:ascii="華康細明體" w:hAnsi="華康細明體" w:cs="華康中黑體" w:eastAsia="華康中黑體"/>
          <w:b/>
          <w:szCs w:val="27"/>
        </w:rPr>
        <w:t>運輸及房屋局局長</w:t>
      </w:r>
      <w:r>
        <w:rPr>
          <w:szCs w:val="27"/>
        </w:rPr>
        <w:t>：代理主席，在私人土地方面，大家需要了解，不同土地有不同的用途規範，如果有關用途是容許的，我們當然樂意這樣做，但如果該用途在目前並不容許，他們亦可以申請更改土地用途。當然，當中必須進行某些程序，我們對此持開放態度。</w:t>
      </w:r>
    </w:p>
    <w:p>
      <w:pPr>
        <w:pStyle w:val="F21"/>
        <w:rPr>
          <w:szCs w:val="27"/>
        </w:rPr>
      </w:pPr>
      <w:r>
        <w:rPr>
          <w:szCs w:val="27"/>
        </w:rPr>
      </w:r>
    </w:p>
    <w:p>
      <w:pPr>
        <w:pStyle w:val="F21"/>
        <w:rPr>
          <w:szCs w:val="27"/>
        </w:rPr>
      </w:pPr>
      <w:r>
        <w:rPr>
          <w:szCs w:val="27"/>
        </w:rPr>
      </w:r>
    </w:p>
    <w:p>
      <w:pPr>
        <w:pStyle w:val="F21"/>
        <w:rPr>
          <w:rFonts w:ascii="華康細明體" w:hAnsi="華康細明體" w:cs="華康中黑體"/>
          <w:szCs w:val="27"/>
        </w:rPr>
      </w:pPr>
      <w:r>
        <w:rPr>
          <w:rFonts w:ascii="華康中黑體" w:hAnsi="華康中黑體" w:cs="華康中黑體" w:eastAsia="華康中黑體"/>
          <w:b/>
          <w:szCs w:val="27"/>
        </w:rPr>
        <w:t>易志明議員</w:t>
      </w:r>
      <w:r>
        <w:rPr>
          <w:szCs w:val="27"/>
        </w:rPr>
        <w:t>：</w:t>
      </w:r>
      <w:r>
        <w:rPr>
          <w:i/>
          <w:szCs w:val="27"/>
        </w:rPr>
        <w:t>代理主席，局長在</w:t>
      </w:r>
      <w:r>
        <w:rPr>
          <w:rFonts w:cs="Times New Roman"/>
          <w:i/>
          <w:szCs w:val="27"/>
        </w:rPr>
        <w:t>主體答覆的第</w:t>
      </w:r>
      <w:r>
        <w:rPr>
          <w:rFonts w:cs="Times New Roman"/>
          <w:i/>
          <w:szCs w:val="27"/>
        </w:rPr>
        <w:t>(</w:t>
      </w:r>
      <w:r>
        <w:rPr>
          <w:rFonts w:cs="Times New Roman"/>
          <w:i/>
          <w:szCs w:val="27"/>
        </w:rPr>
        <w:t>一</w:t>
      </w:r>
      <w:r>
        <w:rPr>
          <w:rFonts w:cs="Times New Roman"/>
          <w:i/>
          <w:szCs w:val="27"/>
        </w:rPr>
        <w:t>)</w:t>
      </w:r>
      <w:r>
        <w:rPr>
          <w:rFonts w:cs="Times New Roman"/>
          <w:i/>
          <w:szCs w:val="27"/>
        </w:rPr>
        <w:t>部分第一段清楚指出，現時香港的貨車及非專營巴士有約</w:t>
      </w:r>
      <w:r>
        <w:rPr>
          <w:rFonts w:cs="Times New Roman"/>
          <w:i/>
          <w:szCs w:val="27"/>
        </w:rPr>
        <w:t>73 100</w:t>
      </w:r>
      <w:r>
        <w:rPr>
          <w:rFonts w:cs="Times New Roman"/>
          <w:i/>
          <w:szCs w:val="27"/>
        </w:rPr>
        <w:t>部，而泊車位只有約</w:t>
      </w:r>
      <w:r>
        <w:rPr>
          <w:rFonts w:cs="Times New Roman"/>
          <w:i/>
          <w:szCs w:val="27"/>
        </w:rPr>
        <w:t>47 000</w:t>
      </w:r>
      <w:r>
        <w:rPr>
          <w:rFonts w:cs="Times New Roman"/>
          <w:i/>
          <w:szCs w:val="27"/>
        </w:rPr>
        <w:t>個，欠</w:t>
      </w:r>
      <w:r>
        <w:rPr>
          <w:rFonts w:cs="Times New Roman"/>
          <w:i/>
          <w:szCs w:val="27"/>
        </w:rPr>
        <w:t>26 100</w:t>
      </w:r>
      <w:r>
        <w:rPr>
          <w:rFonts w:cs="Times New Roman"/>
          <w:i/>
          <w:szCs w:val="27"/>
        </w:rPr>
        <w:t>個，約</w:t>
      </w:r>
      <w:r>
        <w:rPr>
          <w:rFonts w:cs="Times New Roman"/>
          <w:i/>
          <w:szCs w:val="27"/>
        </w:rPr>
        <w:t>36%</w:t>
      </w:r>
      <w:r>
        <w:rPr>
          <w:rFonts w:cs="Times New Roman"/>
          <w:i/>
          <w:szCs w:val="27"/>
        </w:rPr>
        <w:t>；第三段則指</w:t>
      </w:r>
      <w:r>
        <w:rPr>
          <w:rFonts w:cs="Times New Roman"/>
          <w:i/>
          <w:szCs w:val="27"/>
        </w:rPr>
        <w:t>"</w:t>
      </w:r>
      <w:r>
        <w:rPr>
          <w:i/>
          <w:szCs w:val="27"/>
        </w:rPr>
        <w:t>運輸署正就商用車輛泊車位進行顧問研究，詳細檢視短缺的情況，並提出</w:t>
      </w:r>
      <w:r>
        <w:rPr>
          <w:i/>
          <w:szCs w:val="27"/>
        </w:rPr>
        <w:t>......</w:t>
      </w:r>
      <w:r>
        <w:rPr>
          <w:i/>
          <w:szCs w:val="27"/>
        </w:rPr>
        <w:t>措施</w:t>
      </w:r>
      <w:r>
        <w:rPr>
          <w:i/>
          <w:szCs w:val="27"/>
        </w:rPr>
        <w:t>"</w:t>
      </w:r>
      <w:r>
        <w:rPr>
          <w:i/>
          <w:szCs w:val="27"/>
        </w:rPr>
        <w:t>。首先，局方未有時間表，即使有，也不知道何時才能解決短缺</w:t>
      </w:r>
      <w:r>
        <w:rPr>
          <w:i/>
          <w:szCs w:val="27"/>
        </w:rPr>
        <w:t>26 100‍</w:t>
      </w:r>
      <w:r>
        <w:rPr>
          <w:i/>
          <w:szCs w:val="27"/>
        </w:rPr>
        <w:t>個泊車位的問題。目前的情況是，警方持續抄牌。大家也知道，約在</w:t>
      </w:r>
      <w:r>
        <w:rPr>
          <w:i/>
          <w:szCs w:val="27"/>
        </w:rPr>
        <w:t>3‍</w:t>
      </w:r>
      <w:r>
        <w:rPr>
          <w:i/>
          <w:szCs w:val="27"/>
        </w:rPr>
        <w:t>月初，青衣的小巴司機進行罷駛，因為當晚他們收到很多張告票；而我在</w:t>
      </w:r>
      <w:r>
        <w:rPr>
          <w:i/>
          <w:szCs w:val="27"/>
        </w:rPr>
        <w:t>"</w:t>
      </w:r>
      <w:r>
        <w:rPr>
          <w:i/>
          <w:szCs w:val="27"/>
        </w:rPr>
        <w:t>兩會</w:t>
      </w:r>
      <w:r>
        <w:rPr>
          <w:i/>
          <w:szCs w:val="27"/>
        </w:rPr>
        <w:t>"</w:t>
      </w:r>
      <w:r>
        <w:rPr>
          <w:i/>
          <w:szCs w:val="27"/>
        </w:rPr>
        <w:t>開會期間亦接獲來電指荃灣區出現同樣情況，當晚警察發出了很多張</w:t>
      </w:r>
      <w:r>
        <w:rPr>
          <w:i/>
          <w:szCs w:val="27"/>
        </w:rPr>
        <w:t>"</w:t>
      </w:r>
      <w:r>
        <w:rPr>
          <w:i/>
          <w:szCs w:val="27"/>
        </w:rPr>
        <w:t>牛肉乾</w:t>
      </w:r>
      <w:r>
        <w:rPr>
          <w:i/>
          <w:szCs w:val="27"/>
        </w:rPr>
        <w:t>"</w:t>
      </w:r>
      <w:r>
        <w:rPr>
          <w:i/>
          <w:szCs w:val="27"/>
        </w:rPr>
        <w:t>，小巴司機醞釀罷駛，後來我請了身處香港的一‍位議員幫忙介入，從中協調，罷駛才沒有發生。由於</w:t>
      </w:r>
      <w:r>
        <w:rPr>
          <w:rFonts w:ascii="華康細明體" w:hAnsi="華康細明體" w:cs="華康中黑體"/>
          <w:i/>
          <w:szCs w:val="27"/>
        </w:rPr>
        <w:t>運輸及房屋局的政策失誤</w:t>
      </w:r>
      <w:r>
        <w:rPr>
          <w:rFonts w:ascii="Symbol" w:hAnsi="Symbol" w:cs="Symbol" w:eastAsia="Symbol"/>
          <w:i/>
          <w:szCs w:val="27"/>
        </w:rPr>
        <w:t></w:t>
      </w:r>
      <w:r>
        <w:rPr>
          <w:rFonts w:ascii="華康細明體" w:hAnsi="華康細明體" w:cs="華康中黑體"/>
          <w:i/>
          <w:szCs w:val="27"/>
        </w:rPr>
        <w:t>這是我的看法</w:t>
      </w:r>
      <w:r>
        <w:rPr>
          <w:rFonts w:ascii="Symbol" w:hAnsi="Symbol" w:cs="Symbol" w:eastAsia="Symbol"/>
          <w:i/>
          <w:szCs w:val="27"/>
        </w:rPr>
        <w:t></w:t>
      </w:r>
      <w:r>
        <w:rPr>
          <w:rFonts w:ascii="華康細明體" w:hAnsi="華康細明體" w:cs="華康中黑體"/>
          <w:i/>
          <w:szCs w:val="27"/>
        </w:rPr>
        <w:t>引致業界及前線司機遭受這種困擾，以及令到警民關係緊張，我想問，在不阻礙交通的情況下</w:t>
      </w:r>
      <w:r>
        <w:rPr>
          <w:rFonts w:ascii="Symbol" w:hAnsi="Symbol" w:cs="Symbol" w:eastAsia="Symbol"/>
          <w:i/>
          <w:szCs w:val="27"/>
        </w:rPr>
        <w:t></w:t>
      </w:r>
      <w:r>
        <w:rPr>
          <w:rFonts w:ascii="華康細明體" w:hAnsi="華康細明體" w:cs="華康中黑體"/>
          <w:i/>
          <w:szCs w:val="27"/>
        </w:rPr>
        <w:t>即使有些慣性作出投訴的市民因為不喜歡家居對面山坡旁邊有車輛停泊而不斷作出投訴，以迫令警方進行執法</w:t>
      </w:r>
      <w:r>
        <w:rPr>
          <w:rFonts w:ascii="Symbol" w:hAnsi="Symbol" w:cs="Symbol" w:eastAsia="Symbol"/>
          <w:i/>
          <w:szCs w:val="27"/>
        </w:rPr>
        <w:t></w:t>
      </w:r>
      <w:r>
        <w:rPr>
          <w:rFonts w:ascii="華康細明體" w:hAnsi="華康細明體" w:cs="華康中黑體"/>
          <w:i/>
          <w:szCs w:val="27"/>
        </w:rPr>
        <w:t>局長會否與警方協調，不要執法？因為這是局方的政策出了問題而令市民受罪。</w:t>
      </w:r>
    </w:p>
    <w:p>
      <w:pPr>
        <w:pStyle w:val="F21"/>
        <w:rPr>
          <w:rFonts w:ascii="華康細明體" w:hAnsi="華康細明體" w:cs="華康中黑體"/>
          <w:szCs w:val="27"/>
        </w:rPr>
      </w:pPr>
      <w:r>
        <w:rPr>
          <w:rFonts w:cs="華康中黑體" w:ascii="華康細明體" w:hAnsi="華康細明體"/>
          <w:szCs w:val="27"/>
        </w:rPr>
      </w:r>
    </w:p>
    <w:p>
      <w:pPr>
        <w:pStyle w:val="F21"/>
        <w:rPr>
          <w:rFonts w:ascii="華康細明體" w:hAnsi="華康細明體" w:cs="華康中黑體"/>
          <w:szCs w:val="27"/>
        </w:rPr>
      </w:pPr>
      <w:r>
        <w:rPr>
          <w:rFonts w:cs="華康中黑體" w:ascii="華康細明體" w:hAnsi="華康細明體"/>
          <w:szCs w:val="27"/>
        </w:rPr>
      </w:r>
    </w:p>
    <w:p>
      <w:pPr>
        <w:pStyle w:val="F21"/>
        <w:rPr>
          <w:szCs w:val="27"/>
        </w:rPr>
      </w:pPr>
      <w:r>
        <w:rPr>
          <w:rFonts w:ascii="華康細明體" w:hAnsi="華康細明體" w:cs="華康中黑體" w:eastAsia="華康中黑體"/>
          <w:b/>
          <w:szCs w:val="27"/>
        </w:rPr>
        <w:t>運輸及房屋局局長</w:t>
      </w:r>
      <w:r>
        <w:rPr>
          <w:szCs w:val="27"/>
        </w:rPr>
        <w:t>：代理主席，多謝易議員的意見和補充質詢。基本上，運輸署及警務處一直保持非常緊密的聯繫。我剛才亦提到，我們在</w:t>
      </w:r>
      <w:r>
        <w:rPr>
          <w:szCs w:val="27"/>
        </w:rPr>
        <w:t>2017</w:t>
      </w:r>
      <w:r>
        <w:rPr>
          <w:rFonts w:eastAsia="MS Mincho" w:cs="MS Mincho" w:ascii="MS Mincho" w:hAnsi="MS Mincho"/>
          <w:szCs w:val="27"/>
        </w:rPr>
        <w:t>‍</w:t>
      </w:r>
      <w:r>
        <w:rPr>
          <w:szCs w:val="27"/>
        </w:rPr>
        <w:t>年</w:t>
      </w:r>
      <w:r>
        <w:rPr>
          <w:szCs w:val="27"/>
        </w:rPr>
        <w:t>12</w:t>
      </w:r>
      <w:r>
        <w:rPr>
          <w:szCs w:val="27"/>
        </w:rPr>
        <w:t>月已展開商用車</w:t>
      </w:r>
      <w:r>
        <w:rPr>
          <w:rFonts w:cs="Times New Roman"/>
          <w:szCs w:val="27"/>
        </w:rPr>
        <w:t>輛泊車顧問研究，並已完成</w:t>
      </w:r>
      <w:r>
        <w:rPr>
          <w:rFonts w:cs="Times New Roman"/>
          <w:szCs w:val="27"/>
        </w:rPr>
        <w:t>700</w:t>
      </w:r>
      <w:r>
        <w:rPr>
          <w:rFonts w:cs="Times New Roman"/>
          <w:szCs w:val="27"/>
        </w:rPr>
        <w:t>個停車場使用率的調查，並向</w:t>
      </w:r>
      <w:r>
        <w:rPr>
          <w:rFonts w:cs="Times New Roman"/>
          <w:szCs w:val="27"/>
        </w:rPr>
        <w:t>2 200</w:t>
      </w:r>
      <w:r>
        <w:rPr>
          <w:rFonts w:cs="Times New Roman"/>
          <w:szCs w:val="27"/>
        </w:rPr>
        <w:t>名商</w:t>
      </w:r>
      <w:r>
        <w:rPr>
          <w:szCs w:val="27"/>
        </w:rPr>
        <w:t>用車輛司機進行了問卷調查。顧問公司亦向不同持份者及業界進行諮詢，希望聽取他們的意見。在短期措施方面，我剛才已提到，我們會在交通不繁忙的道路，把部分慢駛行車線於晚間劃作商用車輛停泊之用，我們希望這樣能紓緩商用車輛的泊車需求。至於執法方面，我們需要作出平衡，正如我剛才所說，如果某些道路網絡在晚間交通並不繁忙，並容許我們在安全的情況下讓慢線作泊車之用，所指的抄牌行動是不會進行的。可是，在其他道路，如果停泊車輛會引致道路安全的顧慮或影響，我相信警務處亦須執行職務。但是，無論如何，我們也會與警務處和運輸署就着不同地區，例如剛才易議員所說的青衣一帶，再進行檢視，看看哪些道路可同時符合安全要求及滿足泊車需求，而不會引致危險的情況。如果可以，我們樂意一併考慮設立這些路旁泊車位。</w:t>
      </w:r>
      <w:r>
        <w:br w:type="page"/>
      </w:r>
    </w:p>
    <w:p>
      <w:pPr>
        <w:pStyle w:val="F21"/>
        <w:rPr>
          <w:szCs w:val="27"/>
        </w:rPr>
      </w:pPr>
      <w:r>
        <w:rPr>
          <w:szCs w:val="27"/>
        </w:rPr>
        <w:tab/>
      </w:r>
      <w:r>
        <w:rPr>
          <w:szCs w:val="27"/>
        </w:rPr>
        <w:t>但是，大家要明白，如果把車輛停泊在行人路，便是另一個不同的情況，因為行人路主要供行人使用，行人路和馬路各有其設計的功能。但是，我們了解到，關於香港整體泊車位供應，在過去一段時間，因為《香港規劃標準與準則》對泊車位的要求曾經作出改動，我們與相關的政策局正在研究，看看日後可否把《香港規劃標準與準則》中的泊車位比例作出相應調整，以解決有關情況。</w:t>
      </w:r>
    </w:p>
    <w:p>
      <w:pPr>
        <w:pStyle w:val="F21"/>
        <w:rPr>
          <w:szCs w:val="27"/>
        </w:rPr>
      </w:pPr>
      <w:r>
        <w:rPr>
          <w:szCs w:val="27"/>
        </w:rPr>
      </w:r>
    </w:p>
    <w:p>
      <w:pPr>
        <w:pStyle w:val="F21"/>
        <w:rPr>
          <w:szCs w:val="27"/>
        </w:rPr>
      </w:pPr>
      <w:r>
        <w:rPr>
          <w:szCs w:val="27"/>
        </w:rPr>
      </w:r>
    </w:p>
    <w:p>
      <w:pPr>
        <w:pStyle w:val="F21"/>
        <w:rPr>
          <w:szCs w:val="27"/>
        </w:rPr>
      </w:pPr>
      <w:r>
        <w:rPr>
          <w:rFonts w:ascii="華康中黑體" w:hAnsi="華康中黑體" w:cs="華康中黑體" w:eastAsia="華康中黑體"/>
          <w:b/>
          <w:szCs w:val="27"/>
        </w:rPr>
        <w:t>容海恩議員</w:t>
      </w:r>
      <w:r>
        <w:rPr>
          <w:szCs w:val="27"/>
        </w:rPr>
        <w:t>：</w:t>
      </w:r>
      <w:r>
        <w:rPr>
          <w:i/>
          <w:szCs w:val="27"/>
        </w:rPr>
        <w:t>代理主席，香港交通擠塞的其中一個原因是泊車位不足。因為泊車位不足，於是車輛經常要在道路上找尋車位或繞圈，導致堵車。局長上月在其網誌中提到智能停車場，我想問局長有否考慮在香港一些交通擠塞的地方或市區興建大型地下停車場，讓市民泊車轉乘公共交通工具？有否考慮過興建大型地下停車場？</w:t>
      </w:r>
    </w:p>
    <w:p>
      <w:pPr>
        <w:pStyle w:val="F21"/>
        <w:rPr>
          <w:szCs w:val="27"/>
        </w:rPr>
      </w:pPr>
      <w:r>
        <w:rPr>
          <w:szCs w:val="27"/>
        </w:rPr>
      </w:r>
    </w:p>
    <w:p>
      <w:pPr>
        <w:pStyle w:val="F21"/>
        <w:rPr>
          <w:szCs w:val="27"/>
        </w:rPr>
      </w:pPr>
      <w:r>
        <w:rPr>
          <w:szCs w:val="27"/>
        </w:rPr>
      </w:r>
    </w:p>
    <w:p>
      <w:pPr>
        <w:pStyle w:val="F21"/>
        <w:tabs>
          <w:tab w:val="left" w:pos="567" w:leader="none"/>
          <w:tab w:val="left" w:pos="4111" w:leader="none"/>
        </w:tabs>
        <w:rPr>
          <w:szCs w:val="27"/>
        </w:rPr>
      </w:pPr>
      <w:r>
        <w:rPr>
          <w:rFonts w:ascii="華康中黑體" w:hAnsi="華康中黑體" w:cs="華康中黑體" w:eastAsia="華康中黑體"/>
          <w:b/>
          <w:szCs w:val="27"/>
        </w:rPr>
        <w:t>運輸及房屋局局長</w:t>
      </w:r>
      <w:r>
        <w:rPr>
          <w:szCs w:val="27"/>
        </w:rPr>
        <w:t>：多謝容議員的補充質詢。現時運輸署正就在政府設施及公共休憩用地加設公眾停車場進行可行性研究，包括在地面上建設。談到</w:t>
      </w:r>
      <w:r>
        <w:rPr>
          <w:szCs w:val="27"/>
        </w:rPr>
        <w:t>"</w:t>
      </w:r>
      <w:r>
        <w:rPr>
          <w:szCs w:val="27"/>
        </w:rPr>
        <w:t>一地多用</w:t>
      </w:r>
      <w:r>
        <w:rPr>
          <w:szCs w:val="27"/>
        </w:rPr>
        <w:t>"</w:t>
      </w:r>
      <w:r>
        <w:rPr>
          <w:szCs w:val="27"/>
        </w:rPr>
        <w:t>，我們亦必定會考慮地下建設。我們在不同地區也有進行有關的審視工作，至於哪裏可進行有關的建設，要視乎當區的道路網絡、泊車需求，以至實際情況。</w:t>
      </w:r>
    </w:p>
    <w:p>
      <w:pPr>
        <w:pStyle w:val="F21"/>
        <w:rPr>
          <w:szCs w:val="27"/>
        </w:rPr>
      </w:pPr>
      <w:r>
        <w:rPr>
          <w:szCs w:val="27"/>
        </w:rPr>
      </w:r>
    </w:p>
    <w:p>
      <w:pPr>
        <w:pStyle w:val="F21"/>
        <w:rPr>
          <w:szCs w:val="27"/>
        </w:rPr>
      </w:pPr>
      <w:r>
        <w:rPr>
          <w:szCs w:val="27"/>
        </w:rPr>
        <w:tab/>
      </w:r>
      <w:r>
        <w:rPr>
          <w:szCs w:val="27"/>
        </w:rPr>
        <w:t>在未興建有關的公眾停車場之前，我們會透過智慧泊車軟件為市民提供資訊。例如在</w:t>
      </w:r>
      <w:r>
        <w:rPr>
          <w:szCs w:val="27"/>
        </w:rPr>
        <w:t>2019</w:t>
      </w:r>
      <w:r>
        <w:rPr>
          <w:szCs w:val="27"/>
        </w:rPr>
        <w:t>年</w:t>
      </w:r>
      <w:r>
        <w:rPr>
          <w:szCs w:val="27"/>
        </w:rPr>
        <w:t>2</w:t>
      </w:r>
      <w:r>
        <w:rPr>
          <w:szCs w:val="27"/>
        </w:rPr>
        <w:t>月底，我們已為</w:t>
      </w:r>
      <w:r>
        <w:rPr>
          <w:szCs w:val="27"/>
        </w:rPr>
        <w:t>276</w:t>
      </w:r>
      <w:r>
        <w:rPr>
          <w:szCs w:val="27"/>
        </w:rPr>
        <w:t>個政府和私營停車場，透過運輸署的</w:t>
      </w:r>
      <w:r>
        <w:rPr>
          <w:szCs w:val="27"/>
        </w:rPr>
        <w:t>"</w:t>
      </w:r>
      <w:r>
        <w:rPr>
          <w:szCs w:val="27"/>
        </w:rPr>
        <w:t>香港出行易</w:t>
      </w:r>
      <w:r>
        <w:rPr>
          <w:szCs w:val="27"/>
        </w:rPr>
        <w:t>"</w:t>
      </w:r>
      <w:r>
        <w:rPr>
          <w:szCs w:val="27"/>
        </w:rPr>
        <w:t>流動應用程式發放實時泊車位資訊，讓市民知道鄰近範圍有何停車場有閒置的泊車位可供使用。而在數據方面，已有約</w:t>
      </w:r>
      <w:r>
        <w:rPr>
          <w:szCs w:val="27"/>
        </w:rPr>
        <w:t>190</w:t>
      </w:r>
      <w:r>
        <w:rPr>
          <w:szCs w:val="27"/>
        </w:rPr>
        <w:t>個停車場的數據上載至</w:t>
      </w:r>
      <w:r>
        <w:rPr>
          <w:szCs w:val="27"/>
        </w:rPr>
        <w:t>"</w:t>
      </w:r>
      <w:r>
        <w:rPr>
          <w:szCs w:val="27"/>
        </w:rPr>
        <w:t>資料一線通</w:t>
      </w:r>
      <w:r>
        <w:rPr>
          <w:szCs w:val="27"/>
        </w:rPr>
        <w:t>"</w:t>
      </w:r>
      <w:r>
        <w:rPr>
          <w:szCs w:val="27"/>
        </w:rPr>
        <w:t>。在這方面，我們會繼續透過公開共享數據，讓市民駕車出行到某個地區時，可以掌握較多的泊車位數據，以便作出適當的選擇。</w:t>
      </w:r>
    </w:p>
    <w:p>
      <w:pPr>
        <w:pStyle w:val="F21"/>
        <w:rPr>
          <w:szCs w:val="27"/>
        </w:rPr>
      </w:pPr>
      <w:r>
        <w:rPr>
          <w:szCs w:val="27"/>
        </w:rPr>
      </w:r>
    </w:p>
    <w:p>
      <w:pPr>
        <w:pStyle w:val="Normal"/>
        <w:rPr>
          <w:szCs w:val="27"/>
        </w:rPr>
      </w:pPr>
      <w:r>
        <w:rPr>
          <w:szCs w:val="27"/>
        </w:rPr>
      </w:r>
    </w:p>
    <w:p>
      <w:pPr>
        <w:pStyle w:val="F21"/>
        <w:rPr>
          <w:szCs w:val="27"/>
        </w:rPr>
      </w:pPr>
      <w:r>
        <w:rPr>
          <w:rFonts w:ascii="華康中黑體" w:hAnsi="華康中黑體" w:cs="華康中黑體" w:eastAsia="華康中黑體"/>
          <w:b/>
          <w:szCs w:val="27"/>
        </w:rPr>
        <w:t>代理主席</w:t>
      </w:r>
      <w:r>
        <w:rPr>
          <w:szCs w:val="27"/>
        </w:rPr>
        <w:t>：容海恩議員，請指出你的補充質詢未獲答覆的部分。</w:t>
      </w:r>
    </w:p>
    <w:p>
      <w:pPr>
        <w:pStyle w:val="F21"/>
        <w:rPr>
          <w:szCs w:val="27"/>
        </w:rPr>
      </w:pPr>
      <w:r>
        <w:rPr>
          <w:szCs w:val="27"/>
        </w:rPr>
      </w:r>
    </w:p>
    <w:p>
      <w:pPr>
        <w:pStyle w:val="F21"/>
        <w:rPr>
          <w:szCs w:val="27"/>
        </w:rPr>
      </w:pPr>
      <w:r>
        <w:rPr>
          <w:szCs w:val="27"/>
        </w:rPr>
      </w:r>
    </w:p>
    <w:p>
      <w:pPr>
        <w:pStyle w:val="F21"/>
        <w:rPr>
          <w:szCs w:val="27"/>
        </w:rPr>
      </w:pPr>
      <w:r>
        <w:rPr>
          <w:rFonts w:ascii="華康中黑體" w:hAnsi="華康中黑體" w:cs="華康中黑體" w:eastAsia="華康中黑體"/>
          <w:b/>
          <w:szCs w:val="27"/>
        </w:rPr>
        <w:t>容海恩議員</w:t>
      </w:r>
      <w:r>
        <w:rPr>
          <w:szCs w:val="27"/>
        </w:rPr>
        <w:t>：</w:t>
      </w:r>
      <w:r>
        <w:rPr>
          <w:i/>
          <w:szCs w:val="27"/>
        </w:rPr>
        <w:t>我主要想問提供泊車轉乘安排的地點，局長會否物色這些地方以鼓勵市民駕車後再轉乘公共交通工具？</w:t>
      </w:r>
    </w:p>
    <w:p>
      <w:pPr>
        <w:pStyle w:val="F21"/>
        <w:rPr>
          <w:szCs w:val="27"/>
        </w:rPr>
      </w:pPr>
      <w:r>
        <w:rPr>
          <w:szCs w:val="27"/>
        </w:rPr>
      </w:r>
    </w:p>
    <w:p>
      <w:pPr>
        <w:pStyle w:val="F21"/>
        <w:rPr>
          <w:szCs w:val="27"/>
        </w:rPr>
      </w:pPr>
      <w:r>
        <w:rPr>
          <w:szCs w:val="27"/>
        </w:rPr>
      </w:r>
    </w:p>
    <w:p>
      <w:pPr>
        <w:pStyle w:val="F21"/>
        <w:rPr>
          <w:szCs w:val="27"/>
        </w:rPr>
      </w:pPr>
      <w:r>
        <w:rPr>
          <w:rFonts w:ascii="華康中黑體" w:hAnsi="華康中黑體" w:cs="華康中黑體" w:eastAsia="華康中黑體"/>
          <w:b/>
          <w:szCs w:val="27"/>
        </w:rPr>
        <w:t>代理主席</w:t>
      </w:r>
      <w:r>
        <w:rPr>
          <w:szCs w:val="27"/>
        </w:rPr>
        <w:t>：局長，你有否補充？</w:t>
      </w:r>
      <w:r>
        <w:br w:type="page"/>
      </w:r>
    </w:p>
    <w:p>
      <w:pPr>
        <w:pStyle w:val="F21"/>
        <w:rPr>
          <w:szCs w:val="27"/>
        </w:rPr>
      </w:pPr>
      <w:r>
        <w:rPr>
          <w:rFonts w:ascii="華康中黑體" w:hAnsi="華康中黑體" w:cs="華康中黑體" w:eastAsia="華康中黑體"/>
          <w:b/>
          <w:szCs w:val="27"/>
        </w:rPr>
        <w:t>運輸及房屋局局長</w:t>
      </w:r>
      <w:r>
        <w:rPr>
          <w:szCs w:val="27"/>
        </w:rPr>
        <w:t>：我們有泊車轉乘安排的相關數據，以前也曾向議會交代，我們在這方面會多做工夫。香港有一定數目的泊車轉乘設施，亦有相當多的泊車位。或者我們在會後再向容議員提供細節數據。</w:t>
      </w:r>
      <w:r>
        <w:rPr>
          <w:szCs w:val="27"/>
        </w:rPr>
        <w:t>(</w:t>
      </w:r>
      <w:hyperlink w:anchor="app_I">
        <w:r>
          <w:rPr>
            <w:rStyle w:val="InternetLink"/>
            <w:szCs w:val="27"/>
          </w:rPr>
          <w:t>附錄</w:t>
        </w:r>
        <w:r>
          <w:rPr>
            <w:rStyle w:val="InternetLink"/>
            <w:szCs w:val="27"/>
          </w:rPr>
          <w:t>I</w:t>
        </w:r>
      </w:hyperlink>
      <w:r>
        <w:rPr>
          <w:szCs w:val="27"/>
        </w:rPr>
        <w:t>)</w:t>
      </w:r>
    </w:p>
    <w:p>
      <w:pPr>
        <w:pStyle w:val="F21"/>
        <w:rPr>
          <w:szCs w:val="27"/>
        </w:rPr>
      </w:pPr>
      <w:r>
        <w:rPr>
          <w:szCs w:val="27"/>
        </w:rPr>
      </w:r>
    </w:p>
    <w:p>
      <w:pPr>
        <w:pStyle w:val="Normal"/>
        <w:rPr>
          <w:szCs w:val="27"/>
        </w:rPr>
      </w:pPr>
      <w:r>
        <w:rPr>
          <w:szCs w:val="27"/>
        </w:rPr>
      </w:r>
    </w:p>
    <w:p>
      <w:pPr>
        <w:pStyle w:val="F21"/>
        <w:rPr>
          <w:szCs w:val="27"/>
        </w:rPr>
      </w:pPr>
      <w:r>
        <w:rPr>
          <w:rFonts w:ascii="華康中黑體" w:hAnsi="華康中黑體" w:cs="華康中黑體" w:eastAsia="華康中黑體"/>
          <w:b/>
          <w:szCs w:val="27"/>
        </w:rPr>
        <w:t>代理主席</w:t>
      </w:r>
      <w:r>
        <w:rPr>
          <w:szCs w:val="27"/>
        </w:rPr>
        <w:t>：仍有多位議員輪候提問，請大家在其他場合跟進。</w:t>
      </w:r>
    </w:p>
    <w:p>
      <w:pPr>
        <w:pStyle w:val="F21"/>
        <w:overflowPunct w:val="true"/>
        <w:rPr>
          <w:rFonts w:cs="Times New Roman"/>
        </w:rPr>
      </w:pPr>
      <w:r>
        <w:rPr>
          <w:rFonts w:cs="Times New Roman"/>
        </w:rPr>
      </w:r>
    </w:p>
    <w:p>
      <w:pPr>
        <w:pStyle w:val="F21"/>
        <w:overflowPunct w:val="true"/>
        <w:rPr>
          <w:rFonts w:cs="Times New Roman"/>
        </w:rPr>
      </w:pPr>
      <w:r>
        <w:rPr>
          <w:rFonts w:eastAsia="華康中黑體" w:cs="Times New Roman"/>
          <w:b/>
        </w:rPr>
        <w:tab/>
      </w:r>
      <w:r>
        <w:rPr>
          <w:rFonts w:cs="Times New Roman"/>
        </w:rPr>
        <w:t>第四項質詢。</w:t>
      </w:r>
    </w:p>
    <w:p>
      <w:pPr>
        <w:pStyle w:val="F21"/>
        <w:overflowPunct w:val="true"/>
        <w:rPr>
          <w:rFonts w:cs="Times New Roman"/>
        </w:rPr>
      </w:pPr>
      <w:r>
        <w:rPr>
          <w:rFonts w:cs="Times New Roman"/>
        </w:rPr>
      </w:r>
    </w:p>
    <w:p>
      <w:pPr>
        <w:pStyle w:val="F21"/>
        <w:overflowPunct w:val="true"/>
        <w:rPr>
          <w:rFonts w:cs="Times New Roman"/>
        </w:rPr>
      </w:pPr>
      <w:r>
        <w:rPr>
          <w:rFonts w:cs="Times New Roman"/>
        </w:rPr>
      </w:r>
    </w:p>
    <w:p>
      <w:pPr>
        <w:pStyle w:val="F21"/>
        <w:overflowPunct w:val="true"/>
        <w:rPr>
          <w:rFonts w:eastAsia="華康中黑體" w:cs="Times New Roman"/>
          <w:b/>
          <w:b/>
        </w:rPr>
      </w:pPr>
      <w:bookmarkStart w:id="18" w:name="orq04"/>
      <w:r>
        <w:rPr>
          <w:rFonts w:cs="Times New Roman" w:eastAsia="華康中黑體"/>
          <w:b/>
        </w:rPr>
        <w:t>發展第五代流動網絡及服務的準備工作</w:t>
      </w:r>
    </w:p>
    <w:p>
      <w:pPr>
        <w:pStyle w:val="Normal"/>
        <w:overflowPunct w:val="true"/>
        <w:rPr>
          <w:b/>
          <w:b/>
        </w:rPr>
      </w:pPr>
      <w:bookmarkStart w:id="19" w:name="orq04"/>
      <w:r>
        <w:rPr>
          <w:b/>
        </w:rPr>
        <w:t>Preparation for the development of the fifth generation mobile network and services</w:t>
      </w:r>
      <w:bookmarkEnd w:id="19"/>
    </w:p>
    <w:p>
      <w:pPr>
        <w:pStyle w:val="F21"/>
        <w:overflowPunct w:val="true"/>
        <w:rPr>
          <w:rFonts w:cs="Times New Roman"/>
        </w:rPr>
      </w:pPr>
      <w:r>
        <w:rPr>
          <w:rFonts w:cs="Times New Roman"/>
        </w:rPr>
      </w:r>
    </w:p>
    <w:p>
      <w:pPr>
        <w:pStyle w:val="F21"/>
        <w:rPr>
          <w:i/>
          <w:i/>
          <w:szCs w:val="27"/>
        </w:rPr>
      </w:pPr>
      <w:r>
        <w:rPr>
          <w:rFonts w:eastAsia="華康中黑體" w:cs="Times New Roman"/>
          <w:b/>
          <w:szCs w:val="27"/>
        </w:rPr>
        <w:t>4.</w:t>
        <w:tab/>
      </w:r>
      <w:r>
        <w:rPr>
          <w:rFonts w:cs="Times New Roman" w:eastAsia="華康中黑體"/>
          <w:b/>
          <w:szCs w:val="27"/>
        </w:rPr>
        <w:t>莫乃光議員</w:t>
      </w:r>
      <w:r>
        <w:rPr>
          <w:szCs w:val="27"/>
        </w:rPr>
        <w:t>：</w:t>
      </w:r>
      <w:r>
        <w:rPr>
          <w:i/>
          <w:szCs w:val="27"/>
        </w:rPr>
        <w:t>代理主席，當局表示會在今年</w:t>
      </w:r>
      <w:r>
        <w:rPr>
          <w:i/>
          <w:szCs w:val="27"/>
        </w:rPr>
        <w:t>7</w:t>
      </w:r>
      <w:r>
        <w:rPr>
          <w:i/>
          <w:szCs w:val="27"/>
        </w:rPr>
        <w:t>至</w:t>
      </w:r>
      <w:r>
        <w:rPr>
          <w:i/>
          <w:szCs w:val="27"/>
        </w:rPr>
        <w:t>8</w:t>
      </w:r>
      <w:r>
        <w:rPr>
          <w:i/>
          <w:szCs w:val="27"/>
        </w:rPr>
        <w:t>月開始拍賣</w:t>
      </w:r>
      <w:r>
        <w:rPr>
          <w:i/>
          <w:szCs w:val="27"/>
        </w:rPr>
        <w:t>3.3</w:t>
      </w:r>
      <w:r>
        <w:rPr>
          <w:i/>
          <w:szCs w:val="27"/>
        </w:rPr>
        <w:t>吉赫、</w:t>
      </w:r>
      <w:r>
        <w:rPr>
          <w:i/>
          <w:szCs w:val="27"/>
        </w:rPr>
        <w:t>3.5</w:t>
      </w:r>
      <w:r>
        <w:rPr>
          <w:i/>
          <w:szCs w:val="27"/>
        </w:rPr>
        <w:t>吉赫及</w:t>
      </w:r>
      <w:r>
        <w:rPr>
          <w:i/>
          <w:szCs w:val="27"/>
        </w:rPr>
        <w:t>4.9</w:t>
      </w:r>
      <w:r>
        <w:rPr>
          <w:i/>
          <w:szCs w:val="27"/>
        </w:rPr>
        <w:t>吉赫頻帶共</w:t>
      </w:r>
      <w:r>
        <w:rPr>
          <w:i/>
          <w:szCs w:val="27"/>
        </w:rPr>
        <w:t>380</w:t>
      </w:r>
      <w:r>
        <w:rPr>
          <w:i/>
          <w:szCs w:val="27"/>
        </w:rPr>
        <w:t>兆赫的頻譜，以供發展第五‍代</w:t>
      </w:r>
      <w:r>
        <w:rPr>
          <w:i/>
          <w:szCs w:val="27"/>
        </w:rPr>
        <w:t>(</w:t>
      </w:r>
      <w:r>
        <w:rPr>
          <w:i/>
          <w:szCs w:val="27"/>
        </w:rPr>
        <w:t>下稱</w:t>
      </w:r>
      <w:r>
        <w:rPr>
          <w:rFonts w:cs="Times New Roman"/>
          <w:i/>
          <w:szCs w:val="27"/>
        </w:rPr>
        <w:t>"</w:t>
      </w:r>
      <w:r>
        <w:rPr>
          <w:i/>
          <w:szCs w:val="27"/>
        </w:rPr>
        <w:t>5G</w:t>
      </w:r>
      <w:r>
        <w:rPr>
          <w:rFonts w:cs="Times New Roman"/>
          <w:i/>
          <w:szCs w:val="27"/>
        </w:rPr>
        <w:t>"</w:t>
      </w:r>
      <w:r>
        <w:rPr>
          <w:i/>
          <w:szCs w:val="27"/>
        </w:rPr>
        <w:t>)</w:t>
      </w:r>
      <w:r>
        <w:rPr>
          <w:i/>
          <w:szCs w:val="27"/>
        </w:rPr>
        <w:t>流動網絡和服務。有業內人士指出，電訊服務營辦商</w:t>
      </w:r>
      <w:r>
        <w:rPr>
          <w:i/>
          <w:szCs w:val="27"/>
        </w:rPr>
        <w:t>(</w:t>
      </w:r>
      <w:r>
        <w:rPr>
          <w:i/>
          <w:szCs w:val="27"/>
        </w:rPr>
        <w:t>下稱</w:t>
      </w:r>
      <w:r>
        <w:rPr>
          <w:rFonts w:cs="Times New Roman"/>
          <w:i/>
          <w:szCs w:val="27"/>
        </w:rPr>
        <w:t>"</w:t>
      </w:r>
      <w:r>
        <w:rPr>
          <w:i/>
          <w:szCs w:val="27"/>
        </w:rPr>
        <w:t>營辦商</w:t>
      </w:r>
      <w:r>
        <w:rPr>
          <w:rFonts w:cs="Times New Roman"/>
          <w:i/>
          <w:szCs w:val="27"/>
        </w:rPr>
        <w:t>"</w:t>
      </w:r>
      <w:r>
        <w:rPr>
          <w:i/>
          <w:szCs w:val="27"/>
        </w:rPr>
        <w:t>)</w:t>
      </w:r>
      <w:r>
        <w:rPr>
          <w:i/>
          <w:szCs w:val="27"/>
        </w:rPr>
        <w:t>在獲配頻譜後約需兩年時間籌備，有機會令</w:t>
      </w:r>
      <w:r>
        <w:rPr>
          <w:i/>
          <w:szCs w:val="27"/>
        </w:rPr>
        <w:t>5G</w:t>
      </w:r>
      <w:r>
        <w:rPr>
          <w:i/>
          <w:szCs w:val="27"/>
        </w:rPr>
        <w:t>服務最快要到</w:t>
      </w:r>
      <w:r>
        <w:rPr>
          <w:i/>
          <w:szCs w:val="27"/>
        </w:rPr>
        <w:t>2021</w:t>
      </w:r>
      <w:r>
        <w:rPr>
          <w:i/>
          <w:szCs w:val="27"/>
        </w:rPr>
        <w:t>年下半年才能推出，步伐嚴重落後於南韓和日本等地方。就此，政府可否告知本會：</w:t>
      </w:r>
    </w:p>
    <w:p>
      <w:pPr>
        <w:pStyle w:val="F21"/>
        <w:rPr>
          <w:i/>
          <w:i/>
          <w:szCs w:val="27"/>
        </w:rPr>
      </w:pPr>
      <w:r>
        <w:rPr>
          <w:i/>
          <w:szCs w:val="27"/>
        </w:rPr>
      </w:r>
    </w:p>
    <w:p>
      <w:pPr>
        <w:pStyle w:val="F21"/>
        <w:ind w:left="1418" w:hanging="851"/>
        <w:rPr>
          <w:i/>
          <w:i/>
          <w:szCs w:val="27"/>
        </w:rPr>
      </w:pPr>
      <w:r>
        <w:rPr>
          <w:i/>
          <w:szCs w:val="27"/>
        </w:rPr>
        <w:t>(</w:t>
      </w:r>
      <w:r>
        <w:rPr>
          <w:i/>
          <w:szCs w:val="27"/>
        </w:rPr>
        <w:t>一</w:t>
      </w:r>
      <w:r>
        <w:rPr>
          <w:i/>
          <w:szCs w:val="27"/>
        </w:rPr>
        <w:t>)</w:t>
        <w:tab/>
      </w:r>
      <w:r>
        <w:rPr>
          <w:i/>
          <w:szCs w:val="27"/>
        </w:rPr>
        <w:t>鑒於當局去年在拍賣</w:t>
      </w:r>
      <w:r>
        <w:rPr>
          <w:i/>
          <w:szCs w:val="27"/>
        </w:rPr>
        <w:t>900</w:t>
      </w:r>
      <w:r>
        <w:rPr>
          <w:i/>
          <w:szCs w:val="27"/>
        </w:rPr>
        <w:t>兆赫和</w:t>
      </w:r>
      <w:r>
        <w:rPr>
          <w:i/>
          <w:szCs w:val="27"/>
        </w:rPr>
        <w:t>1 800</w:t>
      </w:r>
      <w:r>
        <w:rPr>
          <w:i/>
          <w:szCs w:val="27"/>
        </w:rPr>
        <w:t>兆赫頻帶的頻譜前</w:t>
      </w:r>
      <w:r>
        <w:rPr>
          <w:i/>
          <w:szCs w:val="27"/>
        </w:rPr>
        <w:t>7</w:t>
      </w:r>
      <w:r>
        <w:rPr>
          <w:i/>
          <w:szCs w:val="27"/>
        </w:rPr>
        <w:t>個月已向本會有關事務委員會簡介拍賣安排，然後進行修訂有關附屬法例工作，當局為何至今仍未公布</w:t>
      </w:r>
      <w:r>
        <w:rPr>
          <w:i/>
          <w:szCs w:val="27"/>
        </w:rPr>
        <w:t>5G</w:t>
      </w:r>
      <w:r>
        <w:rPr>
          <w:i/>
          <w:szCs w:val="27"/>
        </w:rPr>
        <w:t>頻譜拍賣的安排、何時會向本會作出交代，以及會如何確保拍賣如期進行；各項拍賣相關工作及修訂法例的時間表分別為何；</w:t>
      </w:r>
    </w:p>
    <w:p>
      <w:pPr>
        <w:pStyle w:val="F21"/>
        <w:ind w:left="1418" w:hanging="851"/>
        <w:rPr>
          <w:i/>
          <w:i/>
          <w:szCs w:val="27"/>
        </w:rPr>
      </w:pPr>
      <w:r>
        <w:rPr>
          <w:i/>
          <w:szCs w:val="27"/>
        </w:rPr>
      </w:r>
    </w:p>
    <w:p>
      <w:pPr>
        <w:pStyle w:val="F21"/>
        <w:ind w:left="1418" w:hanging="851"/>
        <w:rPr>
          <w:i/>
          <w:i/>
          <w:szCs w:val="27"/>
        </w:rPr>
      </w:pPr>
      <w:r>
        <w:rPr>
          <w:i/>
          <w:szCs w:val="27"/>
        </w:rPr>
        <w:t>(</w:t>
      </w:r>
      <w:r>
        <w:rPr>
          <w:i/>
          <w:szCs w:val="27"/>
        </w:rPr>
        <w:t>二</w:t>
      </w:r>
      <w:r>
        <w:rPr>
          <w:i/>
          <w:szCs w:val="27"/>
        </w:rPr>
        <w:t>)</w:t>
        <w:tab/>
      </w:r>
      <w:r>
        <w:rPr>
          <w:i/>
          <w:szCs w:val="27"/>
        </w:rPr>
        <w:t>鑒於營辦商需為</w:t>
      </w:r>
      <w:r>
        <w:rPr>
          <w:i/>
          <w:szCs w:val="27"/>
        </w:rPr>
        <w:t>5G</w:t>
      </w:r>
      <w:r>
        <w:rPr>
          <w:i/>
          <w:szCs w:val="27"/>
        </w:rPr>
        <w:t>網絡鋪設較目前密集的基站，而當局會開放約</w:t>
      </w:r>
      <w:r>
        <w:rPr>
          <w:i/>
          <w:szCs w:val="27"/>
        </w:rPr>
        <w:t>1 000</w:t>
      </w:r>
      <w:r>
        <w:rPr>
          <w:i/>
          <w:szCs w:val="27"/>
        </w:rPr>
        <w:t>個合適政府場所作此用途，開放場所的進展為何；會否提供更多場所，以助營辦商解決基站選址困難；及</w:t>
      </w:r>
    </w:p>
    <w:p>
      <w:pPr>
        <w:pStyle w:val="F21"/>
        <w:ind w:left="1418" w:hanging="851"/>
        <w:rPr>
          <w:i/>
          <w:i/>
          <w:szCs w:val="27"/>
        </w:rPr>
      </w:pPr>
      <w:r>
        <w:rPr>
          <w:i/>
          <w:szCs w:val="27"/>
        </w:rPr>
      </w:r>
    </w:p>
    <w:p>
      <w:pPr>
        <w:pStyle w:val="F21"/>
        <w:ind w:left="1418" w:hanging="851"/>
        <w:rPr>
          <w:i/>
          <w:i/>
          <w:szCs w:val="27"/>
        </w:rPr>
      </w:pPr>
      <w:r>
        <w:rPr>
          <w:i/>
          <w:szCs w:val="27"/>
        </w:rPr>
        <w:t>(</w:t>
      </w:r>
      <w:r>
        <w:rPr>
          <w:i/>
          <w:szCs w:val="27"/>
        </w:rPr>
        <w:t>三</w:t>
      </w:r>
      <w:r>
        <w:rPr>
          <w:i/>
          <w:szCs w:val="27"/>
        </w:rPr>
        <w:t>)</w:t>
        <w:tab/>
      </w:r>
      <w:r>
        <w:rPr>
          <w:i/>
          <w:szCs w:val="27"/>
        </w:rPr>
        <w:t>鑒於當局為免衞星地球站受干擾而在大埔和赤柱設立了限制區，令</w:t>
      </w:r>
      <w:r>
        <w:rPr>
          <w:i/>
          <w:szCs w:val="27"/>
        </w:rPr>
        <w:t>3.5</w:t>
      </w:r>
      <w:r>
        <w:rPr>
          <w:i/>
          <w:szCs w:val="27"/>
        </w:rPr>
        <w:t>吉赫頻帶在區內不能用於提供</w:t>
      </w:r>
      <w:r>
        <w:rPr>
          <w:i/>
          <w:szCs w:val="27"/>
        </w:rPr>
        <w:t>5G</w:t>
      </w:r>
      <w:r>
        <w:rPr>
          <w:i/>
          <w:szCs w:val="27"/>
        </w:rPr>
        <w:t>服務，以致香港中文大學及香港科學園內的相關研發工作和超過</w:t>
      </w:r>
      <w:r>
        <w:rPr>
          <w:i/>
          <w:szCs w:val="27"/>
        </w:rPr>
        <w:t>70</w:t>
      </w:r>
      <w:r>
        <w:rPr>
          <w:i/>
          <w:szCs w:val="27"/>
        </w:rPr>
        <w:t>萬名市民的</w:t>
      </w:r>
      <w:r>
        <w:rPr>
          <w:i/>
          <w:szCs w:val="27"/>
        </w:rPr>
        <w:t>5G</w:t>
      </w:r>
      <w:r>
        <w:rPr>
          <w:i/>
          <w:szCs w:val="27"/>
        </w:rPr>
        <w:t>通訊將受影響，當局解決該問題的工作的最新進展為何；估計將大埔衞星地球站遷往赤柱會耗費多少；會否容許戶外使用</w:t>
      </w:r>
      <w:r>
        <w:rPr>
          <w:i/>
          <w:szCs w:val="27"/>
        </w:rPr>
        <w:t>3.3</w:t>
      </w:r>
      <w:r>
        <w:rPr>
          <w:i/>
          <w:szCs w:val="27"/>
        </w:rPr>
        <w:t>吉赫頻帶，以及將會額外開放頻譜的哪些頻帶，以便營辦商可在限制區內提供</w:t>
      </w:r>
      <w:r>
        <w:rPr>
          <w:i/>
          <w:szCs w:val="27"/>
        </w:rPr>
        <w:t>5G</w:t>
      </w:r>
      <w:r>
        <w:rPr>
          <w:i/>
          <w:szCs w:val="27"/>
        </w:rPr>
        <w:t>服務？</w:t>
      </w:r>
    </w:p>
    <w:p>
      <w:pPr>
        <w:pStyle w:val="F21"/>
        <w:rPr>
          <w:szCs w:val="27"/>
        </w:rPr>
      </w:pPr>
      <w:r>
        <w:rPr>
          <w:szCs w:val="27"/>
        </w:rPr>
      </w:r>
    </w:p>
    <w:p>
      <w:pPr>
        <w:pStyle w:val="F21"/>
        <w:rPr>
          <w:szCs w:val="27"/>
        </w:rPr>
      </w:pPr>
      <w:r>
        <w:rPr>
          <w:szCs w:val="27"/>
        </w:rPr>
      </w:r>
    </w:p>
    <w:p>
      <w:pPr>
        <w:pStyle w:val="F21"/>
        <w:rPr>
          <w:szCs w:val="27"/>
        </w:rPr>
      </w:pPr>
      <w:r>
        <w:rPr>
          <w:rFonts w:ascii="華康中黑體" w:hAnsi="華康中黑體" w:eastAsia="華康中黑體"/>
          <w:b/>
          <w:szCs w:val="27"/>
        </w:rPr>
        <w:t>商務及經濟發展局局長</w:t>
      </w:r>
      <w:r>
        <w:rPr>
          <w:szCs w:val="27"/>
        </w:rPr>
        <w:t>：代理主席，第五代</w:t>
      </w:r>
      <w:r>
        <w:rPr>
          <w:szCs w:val="27"/>
        </w:rPr>
        <w:t>(</w:t>
      </w:r>
      <w:r>
        <w:rPr>
          <w:rFonts w:cs="Times New Roman"/>
          <w:szCs w:val="27"/>
        </w:rPr>
        <w:t>"</w:t>
      </w:r>
      <w:r>
        <w:rPr>
          <w:szCs w:val="27"/>
        </w:rPr>
        <w:t>5G</w:t>
      </w:r>
      <w:r>
        <w:rPr>
          <w:rFonts w:cs="Times New Roman"/>
          <w:szCs w:val="27"/>
        </w:rPr>
        <w:t>"</w:t>
      </w:r>
      <w:r>
        <w:rPr>
          <w:szCs w:val="27"/>
        </w:rPr>
        <w:t>)</w:t>
      </w:r>
      <w:r>
        <w:rPr>
          <w:szCs w:val="27"/>
        </w:rPr>
        <w:t>流動網絡是香港重要的電訊基建，會為各種商業服務和智慧城市的應用提供巨大潛力。政府和通訊事務管理局</w:t>
      </w:r>
      <w:r>
        <w:rPr>
          <w:szCs w:val="27"/>
        </w:rPr>
        <w:t>(</w:t>
      </w:r>
      <w:r>
        <w:rPr>
          <w:rFonts w:cs="Times New Roman"/>
          <w:szCs w:val="27"/>
        </w:rPr>
        <w:t>"</w:t>
      </w:r>
      <w:r>
        <w:rPr>
          <w:szCs w:val="27"/>
        </w:rPr>
        <w:t>通訊局</w:t>
      </w:r>
      <w:r>
        <w:rPr>
          <w:rFonts w:cs="Times New Roman"/>
          <w:szCs w:val="27"/>
        </w:rPr>
        <w:t>"</w:t>
      </w:r>
      <w:r>
        <w:rPr>
          <w:szCs w:val="27"/>
        </w:rPr>
        <w:t>)</w:t>
      </w:r>
      <w:r>
        <w:rPr>
          <w:szCs w:val="27"/>
        </w:rPr>
        <w:t>正在各方面推進香港</w:t>
      </w:r>
      <w:r>
        <w:rPr>
          <w:szCs w:val="27"/>
        </w:rPr>
        <w:t>5G</w:t>
      </w:r>
      <w:r>
        <w:rPr>
          <w:szCs w:val="27"/>
        </w:rPr>
        <w:t>的發展，從頻譜供應、支援技術測試，以至推行各項便利措施協助營辦商拓展</w:t>
      </w:r>
      <w:r>
        <w:rPr>
          <w:szCs w:val="27"/>
        </w:rPr>
        <w:t>5G</w:t>
      </w:r>
      <w:r>
        <w:rPr>
          <w:szCs w:val="27"/>
        </w:rPr>
        <w:t>網絡。</w:t>
      </w:r>
    </w:p>
    <w:p>
      <w:pPr>
        <w:pStyle w:val="F21"/>
        <w:rPr>
          <w:szCs w:val="27"/>
        </w:rPr>
      </w:pPr>
      <w:r>
        <w:rPr>
          <w:szCs w:val="27"/>
        </w:rPr>
      </w:r>
    </w:p>
    <w:p>
      <w:pPr>
        <w:pStyle w:val="F21"/>
        <w:rPr>
          <w:szCs w:val="27"/>
        </w:rPr>
      </w:pPr>
      <w:r>
        <w:rPr>
          <w:szCs w:val="27"/>
        </w:rPr>
        <w:tab/>
      </w:r>
      <w:r>
        <w:rPr>
          <w:szCs w:val="27"/>
        </w:rPr>
        <w:t>在頻譜指配方面，商務及經濟發展局局長及通訊局已在</w:t>
      </w:r>
      <w:r>
        <w:rPr>
          <w:szCs w:val="27"/>
        </w:rPr>
        <w:t>2018‍</w:t>
      </w:r>
      <w:r>
        <w:rPr>
          <w:szCs w:val="27"/>
        </w:rPr>
        <w:t>年</w:t>
      </w:r>
      <w:r>
        <w:rPr>
          <w:szCs w:val="27"/>
        </w:rPr>
        <w:t>12‍</w:t>
      </w:r>
      <w:r>
        <w:rPr>
          <w:szCs w:val="27"/>
        </w:rPr>
        <w:t>月</w:t>
      </w:r>
      <w:r>
        <w:rPr>
          <w:szCs w:val="27"/>
        </w:rPr>
        <w:t>13</w:t>
      </w:r>
      <w:r>
        <w:rPr>
          <w:szCs w:val="27"/>
        </w:rPr>
        <w:t>日公布</w:t>
      </w:r>
      <w:r>
        <w:rPr>
          <w:szCs w:val="27"/>
        </w:rPr>
        <w:t>3</w:t>
      </w:r>
      <w:r>
        <w:rPr>
          <w:szCs w:val="27"/>
        </w:rPr>
        <w:t>份聯合聲明，就共約</w:t>
      </w:r>
      <w:r>
        <w:rPr>
          <w:szCs w:val="27"/>
        </w:rPr>
        <w:t>4 500</w:t>
      </w:r>
      <w:r>
        <w:rPr>
          <w:szCs w:val="27"/>
        </w:rPr>
        <w:t>兆赫位於不同頻段的頻譜指配或拍賣安排作出決定，為</w:t>
      </w:r>
      <w:r>
        <w:rPr>
          <w:szCs w:val="27"/>
        </w:rPr>
        <w:t>5G</w:t>
      </w:r>
      <w:r>
        <w:rPr>
          <w:szCs w:val="27"/>
        </w:rPr>
        <w:t>在香港的發展作準備。</w:t>
      </w:r>
    </w:p>
    <w:p>
      <w:pPr>
        <w:pStyle w:val="F21"/>
        <w:rPr>
          <w:szCs w:val="27"/>
        </w:rPr>
      </w:pPr>
      <w:r>
        <w:rPr>
          <w:szCs w:val="27"/>
        </w:rPr>
      </w:r>
    </w:p>
    <w:p>
      <w:pPr>
        <w:pStyle w:val="F21"/>
        <w:rPr>
          <w:szCs w:val="27"/>
        </w:rPr>
      </w:pPr>
      <w:r>
        <w:rPr>
          <w:szCs w:val="27"/>
        </w:rPr>
        <w:tab/>
      </w:r>
      <w:r>
        <w:rPr>
          <w:szCs w:val="27"/>
        </w:rPr>
        <w:t>就質詢的</w:t>
      </w:r>
      <w:r>
        <w:rPr>
          <w:szCs w:val="27"/>
        </w:rPr>
        <w:t>3</w:t>
      </w:r>
      <w:r>
        <w:rPr>
          <w:szCs w:val="27"/>
        </w:rPr>
        <w:t>個部分，現答覆如下：</w:t>
      </w:r>
    </w:p>
    <w:p>
      <w:pPr>
        <w:pStyle w:val="F21"/>
        <w:rPr>
          <w:szCs w:val="27"/>
        </w:rPr>
      </w:pPr>
      <w:r>
        <w:rPr>
          <w:szCs w:val="27"/>
        </w:rPr>
      </w:r>
    </w:p>
    <w:p>
      <w:pPr>
        <w:pStyle w:val="F21"/>
        <w:ind w:left="1418" w:hanging="851"/>
        <w:rPr>
          <w:szCs w:val="27"/>
        </w:rPr>
      </w:pPr>
      <w:r>
        <w:rPr>
          <w:szCs w:val="27"/>
        </w:rPr>
        <w:t>(</w:t>
      </w:r>
      <w:r>
        <w:rPr>
          <w:szCs w:val="27"/>
        </w:rPr>
        <w:t>一</w:t>
      </w:r>
      <w:r>
        <w:rPr>
          <w:szCs w:val="27"/>
        </w:rPr>
        <w:t>)</w:t>
        <w:tab/>
        <w:t>5G</w:t>
      </w:r>
      <w:r>
        <w:rPr>
          <w:szCs w:val="27"/>
        </w:rPr>
        <w:t>的發展需要高、中、低頻帶的頻譜的配合。在高頻帶方面，</w:t>
      </w:r>
      <w:r>
        <w:rPr>
          <w:szCs w:val="27"/>
        </w:rPr>
        <w:t>26</w:t>
      </w:r>
      <w:r>
        <w:rPr>
          <w:szCs w:val="27"/>
        </w:rPr>
        <w:t>及</w:t>
      </w:r>
      <w:r>
        <w:rPr>
          <w:szCs w:val="27"/>
        </w:rPr>
        <w:t>28</w:t>
      </w:r>
      <w:r>
        <w:rPr>
          <w:szCs w:val="27"/>
        </w:rPr>
        <w:t>吉赫是第一批可用作提供</w:t>
      </w:r>
      <w:r>
        <w:rPr>
          <w:szCs w:val="27"/>
        </w:rPr>
        <w:t>5G</w:t>
      </w:r>
      <w:r>
        <w:rPr>
          <w:szCs w:val="27"/>
        </w:rPr>
        <w:t>服務的頻譜。通訊局已在</w:t>
      </w:r>
      <w:r>
        <w:rPr>
          <w:szCs w:val="27"/>
        </w:rPr>
        <w:t>3</w:t>
      </w:r>
      <w:r>
        <w:rPr>
          <w:szCs w:val="27"/>
        </w:rPr>
        <w:t>月底按</w:t>
      </w:r>
      <w:r>
        <w:rPr>
          <w:szCs w:val="27"/>
        </w:rPr>
        <w:t>3</w:t>
      </w:r>
      <w:r>
        <w:rPr>
          <w:szCs w:val="27"/>
        </w:rPr>
        <w:t>個營辦商的申請要求，向每名申請者各指配了</w:t>
      </w:r>
      <w:r>
        <w:rPr>
          <w:szCs w:val="27"/>
        </w:rPr>
        <w:t>400</w:t>
      </w:r>
      <w:r>
        <w:rPr>
          <w:szCs w:val="27"/>
        </w:rPr>
        <w:t>兆赫的頻譜，這些頻譜可於本月起開始使用。</w:t>
      </w:r>
    </w:p>
    <w:p>
      <w:pPr>
        <w:pStyle w:val="F21"/>
        <w:ind w:left="1418" w:hanging="851"/>
        <w:rPr>
          <w:szCs w:val="27"/>
        </w:rPr>
      </w:pPr>
      <w:r>
        <w:rPr>
          <w:szCs w:val="27"/>
        </w:rPr>
      </w:r>
    </w:p>
    <w:p>
      <w:pPr>
        <w:pStyle w:val="F21"/>
        <w:ind w:left="1418" w:hanging="851"/>
        <w:rPr>
          <w:szCs w:val="27"/>
        </w:rPr>
      </w:pPr>
      <w:r>
        <w:rPr>
          <w:szCs w:val="27"/>
        </w:rPr>
        <w:tab/>
      </w:r>
      <w:r>
        <w:rPr>
          <w:szCs w:val="27"/>
        </w:rPr>
        <w:t>至於</w:t>
      </w:r>
      <w:r>
        <w:rPr>
          <w:szCs w:val="27"/>
        </w:rPr>
        <w:t>3.5</w:t>
      </w:r>
      <w:r>
        <w:rPr>
          <w:szCs w:val="27"/>
        </w:rPr>
        <w:t>、</w:t>
      </w:r>
      <w:r>
        <w:rPr>
          <w:szCs w:val="27"/>
        </w:rPr>
        <w:t>3.3</w:t>
      </w:r>
      <w:r>
        <w:rPr>
          <w:szCs w:val="27"/>
        </w:rPr>
        <w:t>和</w:t>
      </w:r>
      <w:r>
        <w:rPr>
          <w:szCs w:val="27"/>
        </w:rPr>
        <w:t>4.9</w:t>
      </w:r>
      <w:r>
        <w:rPr>
          <w:szCs w:val="27"/>
        </w:rPr>
        <w:t>吉赫中頻帶的頻譜，政府和通訊局現正就拍賣進行所需的準備工作，包括草擬相關的附屬法例、制訂頻譜拍賣的資訊備忘錄等，目標是在本立法年度之內完成附屬法例的修訂，並於今年下半年進行頻譜拍賣工作。</w:t>
      </w:r>
    </w:p>
    <w:p>
      <w:pPr>
        <w:pStyle w:val="F21"/>
        <w:ind w:left="1418" w:hanging="851"/>
        <w:rPr>
          <w:szCs w:val="27"/>
        </w:rPr>
      </w:pPr>
      <w:r>
        <w:rPr>
          <w:szCs w:val="27"/>
        </w:rPr>
      </w:r>
    </w:p>
    <w:p>
      <w:pPr>
        <w:pStyle w:val="F21"/>
        <w:ind w:left="1418" w:hanging="851"/>
        <w:rPr>
          <w:szCs w:val="27"/>
        </w:rPr>
      </w:pPr>
      <w:r>
        <w:rPr>
          <w:szCs w:val="27"/>
        </w:rPr>
        <w:tab/>
      </w:r>
      <w:r>
        <w:rPr>
          <w:szCs w:val="27"/>
        </w:rPr>
        <w:t>這</w:t>
      </w:r>
      <w:r>
        <w:rPr>
          <w:szCs w:val="27"/>
        </w:rPr>
        <w:t>3</w:t>
      </w:r>
      <w:r>
        <w:rPr>
          <w:szCs w:val="27"/>
        </w:rPr>
        <w:t>段屬於中頻帶的頻譜，包括</w:t>
      </w:r>
      <w:r>
        <w:rPr>
          <w:szCs w:val="27"/>
        </w:rPr>
        <w:t>3.5</w:t>
      </w:r>
      <w:r>
        <w:rPr>
          <w:szCs w:val="27"/>
        </w:rPr>
        <w:t>吉赫頻帶有</w:t>
      </w:r>
      <w:r>
        <w:rPr>
          <w:szCs w:val="27"/>
        </w:rPr>
        <w:t>200</w:t>
      </w:r>
      <w:r>
        <w:rPr>
          <w:szCs w:val="27"/>
        </w:rPr>
        <w:t>兆赫的頻譜、</w:t>
      </w:r>
      <w:r>
        <w:rPr>
          <w:szCs w:val="27"/>
        </w:rPr>
        <w:t>3.3</w:t>
      </w:r>
      <w:r>
        <w:rPr>
          <w:szCs w:val="27"/>
        </w:rPr>
        <w:t>吉赫頻帶有</w:t>
      </w:r>
      <w:r>
        <w:rPr>
          <w:szCs w:val="27"/>
        </w:rPr>
        <w:t>100</w:t>
      </w:r>
      <w:r>
        <w:rPr>
          <w:szCs w:val="27"/>
        </w:rPr>
        <w:t>兆赫的頻譜和</w:t>
      </w:r>
      <w:r>
        <w:rPr>
          <w:szCs w:val="27"/>
        </w:rPr>
        <w:t>4.9</w:t>
      </w:r>
      <w:r>
        <w:rPr>
          <w:szCs w:val="27"/>
        </w:rPr>
        <w:t>吉赫頻帶有</w:t>
      </w:r>
      <w:r>
        <w:rPr>
          <w:szCs w:val="27"/>
        </w:rPr>
        <w:t>80</w:t>
      </w:r>
      <w:r>
        <w:rPr>
          <w:szCs w:val="27"/>
        </w:rPr>
        <w:t>兆赫的頻譜。</w:t>
      </w:r>
    </w:p>
    <w:p>
      <w:pPr>
        <w:pStyle w:val="F21"/>
        <w:ind w:left="1418" w:hanging="851"/>
        <w:rPr>
          <w:szCs w:val="27"/>
        </w:rPr>
      </w:pPr>
      <w:r>
        <w:rPr>
          <w:szCs w:val="27"/>
        </w:rPr>
      </w:r>
    </w:p>
    <w:p>
      <w:pPr>
        <w:pStyle w:val="F21"/>
        <w:ind w:left="1418" w:hanging="851"/>
        <w:rPr>
          <w:szCs w:val="27"/>
        </w:rPr>
      </w:pPr>
      <w:r>
        <w:rPr>
          <w:szCs w:val="27"/>
        </w:rPr>
        <w:tab/>
        <w:t>3.3</w:t>
      </w:r>
      <w:r>
        <w:rPr>
          <w:szCs w:val="27"/>
        </w:rPr>
        <w:t>和</w:t>
      </w:r>
      <w:r>
        <w:rPr>
          <w:szCs w:val="27"/>
        </w:rPr>
        <w:t>4.9</w:t>
      </w:r>
      <w:r>
        <w:rPr>
          <w:szCs w:val="27"/>
        </w:rPr>
        <w:t>吉赫頻帶的頻譜可於拍賣完成後隨即使用，</w:t>
      </w:r>
      <w:r>
        <w:rPr>
          <w:szCs w:val="27"/>
        </w:rPr>
        <w:t>3.5</w:t>
      </w:r>
      <w:r>
        <w:rPr>
          <w:szCs w:val="27"/>
        </w:rPr>
        <w:t>吉‍赫頻帶的頻譜則可於明年</w:t>
      </w:r>
      <w:r>
        <w:rPr>
          <w:szCs w:val="27"/>
        </w:rPr>
        <w:t>4</w:t>
      </w:r>
      <w:r>
        <w:rPr>
          <w:szCs w:val="27"/>
        </w:rPr>
        <w:t>月開始使用。</w:t>
      </w:r>
    </w:p>
    <w:p>
      <w:pPr>
        <w:pStyle w:val="F21"/>
        <w:ind w:left="1418" w:hanging="851"/>
        <w:rPr>
          <w:szCs w:val="27"/>
        </w:rPr>
      </w:pPr>
      <w:r>
        <w:rPr>
          <w:szCs w:val="27"/>
        </w:rPr>
      </w:r>
    </w:p>
    <w:p>
      <w:pPr>
        <w:pStyle w:val="F21"/>
        <w:ind w:left="1418" w:hanging="851"/>
        <w:rPr>
          <w:szCs w:val="27"/>
        </w:rPr>
      </w:pPr>
      <w:r>
        <w:rPr>
          <w:szCs w:val="27"/>
        </w:rPr>
        <w:t>(</w:t>
      </w:r>
      <w:r>
        <w:rPr>
          <w:szCs w:val="27"/>
        </w:rPr>
        <w:t>二</w:t>
      </w:r>
      <w:r>
        <w:rPr>
          <w:szCs w:val="27"/>
        </w:rPr>
        <w:t>)</w:t>
        <w:tab/>
      </w:r>
      <w:r>
        <w:rPr>
          <w:szCs w:val="27"/>
        </w:rPr>
        <w:t>為配合</w:t>
      </w:r>
      <w:r>
        <w:rPr>
          <w:szCs w:val="27"/>
        </w:rPr>
        <w:t>5G</w:t>
      </w:r>
      <w:r>
        <w:rPr>
          <w:szCs w:val="27"/>
        </w:rPr>
        <w:t>在香港的發展，政府剛於今年</w:t>
      </w:r>
      <w:r>
        <w:rPr>
          <w:szCs w:val="27"/>
        </w:rPr>
        <w:t>3</w:t>
      </w:r>
      <w:r>
        <w:rPr>
          <w:szCs w:val="27"/>
        </w:rPr>
        <w:t>月推出了先導計劃，主動開放合適的政府場所予流動服務營辦商安裝基站。通訊事務管理局辦公室</w:t>
      </w:r>
      <w:r>
        <w:rPr>
          <w:szCs w:val="27"/>
        </w:rPr>
        <w:t>(</w:t>
      </w:r>
      <w:r>
        <w:rPr>
          <w:rFonts w:cs="Times New Roman"/>
          <w:szCs w:val="27"/>
        </w:rPr>
        <w:t>"</w:t>
      </w:r>
      <w:r>
        <w:rPr>
          <w:szCs w:val="27"/>
        </w:rPr>
        <w:t>通訊辦</w:t>
      </w:r>
      <w:r>
        <w:rPr>
          <w:rFonts w:cs="Times New Roman"/>
          <w:szCs w:val="27"/>
        </w:rPr>
        <w:t>"</w:t>
      </w:r>
      <w:r>
        <w:rPr>
          <w:szCs w:val="27"/>
        </w:rPr>
        <w:t>)</w:t>
      </w:r>
      <w:r>
        <w:rPr>
          <w:szCs w:val="27"/>
        </w:rPr>
        <w:t>得到食物環境衞生署、康樂及文化事務署、政府產業署、建築署、機電工程署、規劃署及地政總署等多個部門的支持，物色了超過</w:t>
      </w:r>
      <w:r>
        <w:rPr>
          <w:szCs w:val="27"/>
        </w:rPr>
        <w:t>1 000</w:t>
      </w:r>
      <w:r>
        <w:rPr>
          <w:szCs w:val="27"/>
        </w:rPr>
        <w:t>個政府場所供營辦商選擇，配合簡化申請流程，便利營辦商鋪設公共流動服務網絡。政府會視乎先導計劃的反應和進度，考慮是否加入更多場所。</w:t>
      </w:r>
    </w:p>
    <w:p>
      <w:pPr>
        <w:pStyle w:val="F21"/>
        <w:ind w:left="1418" w:hanging="851"/>
        <w:rPr>
          <w:szCs w:val="27"/>
        </w:rPr>
      </w:pPr>
      <w:r>
        <w:rPr>
          <w:szCs w:val="27"/>
        </w:rPr>
      </w:r>
    </w:p>
    <w:p>
      <w:pPr>
        <w:pStyle w:val="F21"/>
        <w:ind w:left="1418" w:hanging="851"/>
        <w:rPr>
          <w:szCs w:val="27"/>
        </w:rPr>
      </w:pPr>
      <w:r>
        <w:rPr>
          <w:szCs w:val="27"/>
        </w:rPr>
        <w:t>(</w:t>
      </w:r>
      <w:r>
        <w:rPr>
          <w:szCs w:val="27"/>
        </w:rPr>
        <w:t>三</w:t>
      </w:r>
      <w:r>
        <w:rPr>
          <w:szCs w:val="27"/>
        </w:rPr>
        <w:t>)</w:t>
        <w:tab/>
      </w:r>
      <w:r>
        <w:rPr>
          <w:szCs w:val="27"/>
        </w:rPr>
        <w:t>現時，設於大埔和赤柱的衞星地球站</w:t>
      </w:r>
      <w:r>
        <w:rPr>
          <w:szCs w:val="27"/>
        </w:rPr>
        <w:t>(</w:t>
      </w:r>
      <w:r>
        <w:rPr>
          <w:rFonts w:cs="Times New Roman"/>
          <w:szCs w:val="27"/>
        </w:rPr>
        <w:t>"</w:t>
      </w:r>
      <w:r>
        <w:rPr>
          <w:szCs w:val="27"/>
        </w:rPr>
        <w:t>衞星站</w:t>
      </w:r>
      <w:r>
        <w:rPr>
          <w:rFonts w:cs="Times New Roman"/>
          <w:szCs w:val="27"/>
        </w:rPr>
        <w:t>"</w:t>
      </w:r>
      <w:r>
        <w:rPr>
          <w:szCs w:val="27"/>
        </w:rPr>
        <w:t>)</w:t>
      </w:r>
      <w:r>
        <w:rPr>
          <w:szCs w:val="27"/>
        </w:rPr>
        <w:t>使用</w:t>
      </w:r>
      <w:r>
        <w:rPr>
          <w:szCs w:val="27"/>
        </w:rPr>
        <w:t>3.5</w:t>
      </w:r>
      <w:r>
        <w:rPr>
          <w:szCs w:val="27"/>
        </w:rPr>
        <w:t>吉赫頻帶遙測、追蹤及控制在軌的衞星。為確保這些衞星站操作的衞星服務和將來的</w:t>
      </w:r>
      <w:r>
        <w:rPr>
          <w:szCs w:val="27"/>
        </w:rPr>
        <w:t>5G</w:t>
      </w:r>
      <w:r>
        <w:rPr>
          <w:szCs w:val="27"/>
        </w:rPr>
        <w:t>服務可以並存，基於技術考慮，通訊局在大埔和赤柱劃出限制區，限制在該區設置以</w:t>
      </w:r>
      <w:r>
        <w:rPr>
          <w:szCs w:val="27"/>
        </w:rPr>
        <w:t>3.5</w:t>
      </w:r>
      <w:r>
        <w:rPr>
          <w:szCs w:val="27"/>
        </w:rPr>
        <w:t>吉赫頻帶操作的流動服務基站。</w:t>
      </w:r>
    </w:p>
    <w:p>
      <w:pPr>
        <w:pStyle w:val="F21"/>
        <w:ind w:left="1418" w:hanging="851"/>
        <w:rPr>
          <w:szCs w:val="27"/>
        </w:rPr>
      </w:pPr>
      <w:r>
        <w:rPr>
          <w:szCs w:val="27"/>
        </w:rPr>
      </w:r>
    </w:p>
    <w:p>
      <w:pPr>
        <w:pStyle w:val="F21"/>
        <w:ind w:left="1418" w:hanging="851"/>
        <w:rPr>
          <w:szCs w:val="27"/>
        </w:rPr>
      </w:pPr>
      <w:r>
        <w:rPr>
          <w:szCs w:val="27"/>
        </w:rPr>
        <w:tab/>
      </w:r>
      <w:r>
        <w:rPr>
          <w:szCs w:val="27"/>
        </w:rPr>
        <w:t>通訊辦已經成立了工作小組，成員包括流動網絡營辦商、衞星營辦商、香港應用科技研究院和香港科學園，積極探討在技術上是否有空間在限制區內設置於</w:t>
      </w:r>
      <w:r>
        <w:rPr>
          <w:szCs w:val="27"/>
        </w:rPr>
        <w:t>3.5</w:t>
      </w:r>
      <w:r>
        <w:rPr>
          <w:szCs w:val="27"/>
        </w:rPr>
        <w:t>吉赫頻帶操作的基站。工作小組快將完成工作並會向通訊局提交報告。通訊局參考有關的報告後，將制訂在限制區內設置基站的技術要求，並會在頻譜拍賣的資訊備忘錄中詳加說明。</w:t>
      </w:r>
    </w:p>
    <w:p>
      <w:pPr>
        <w:pStyle w:val="F21"/>
        <w:ind w:left="1418" w:hanging="851"/>
        <w:rPr>
          <w:szCs w:val="27"/>
        </w:rPr>
      </w:pPr>
      <w:r>
        <w:rPr>
          <w:szCs w:val="27"/>
        </w:rPr>
      </w:r>
    </w:p>
    <w:p>
      <w:pPr>
        <w:pStyle w:val="F21"/>
        <w:ind w:left="1418" w:hanging="851"/>
        <w:rPr>
          <w:szCs w:val="27"/>
        </w:rPr>
      </w:pPr>
      <w:r>
        <w:rPr>
          <w:szCs w:val="27"/>
        </w:rPr>
        <w:tab/>
      </w:r>
      <w:r>
        <w:rPr>
          <w:szCs w:val="27"/>
        </w:rPr>
        <w:t>至於是否搬遷現有衞星站屬衞星營辦商的商業決定，政府須尊重有關企業的合法權益。如衞星營辦商有意搬站以長遠解決限制區的問題，促進</w:t>
      </w:r>
      <w:r>
        <w:rPr>
          <w:szCs w:val="27"/>
        </w:rPr>
        <w:t>5G</w:t>
      </w:r>
      <w:r>
        <w:rPr>
          <w:szCs w:val="27"/>
        </w:rPr>
        <w:t>在香港的全面發展，我們樂意提供協助。政府目前並無搬遷有關衞星站費用的估算。</w:t>
      </w:r>
    </w:p>
    <w:p>
      <w:pPr>
        <w:pStyle w:val="F21"/>
        <w:ind w:left="1418" w:hanging="851"/>
        <w:rPr>
          <w:szCs w:val="27"/>
        </w:rPr>
      </w:pPr>
      <w:r>
        <w:rPr>
          <w:szCs w:val="27"/>
        </w:rPr>
      </w:r>
    </w:p>
    <w:p>
      <w:pPr>
        <w:pStyle w:val="F21"/>
        <w:ind w:left="1418" w:hanging="851"/>
        <w:rPr>
          <w:szCs w:val="27"/>
        </w:rPr>
      </w:pPr>
      <w:r>
        <w:rPr>
          <w:szCs w:val="27"/>
        </w:rPr>
        <w:tab/>
      </w:r>
      <w:r>
        <w:rPr>
          <w:szCs w:val="27"/>
        </w:rPr>
        <w:t>在中頻帶方面，除了上述</w:t>
      </w:r>
      <w:r>
        <w:rPr>
          <w:szCs w:val="27"/>
        </w:rPr>
        <w:t>3.5</w:t>
      </w:r>
      <w:r>
        <w:rPr>
          <w:szCs w:val="27"/>
        </w:rPr>
        <w:t>吉赫頻帶外，尚有</w:t>
      </w:r>
      <w:r>
        <w:rPr>
          <w:szCs w:val="27"/>
        </w:rPr>
        <w:t>3.3</w:t>
      </w:r>
      <w:r>
        <w:rPr>
          <w:szCs w:val="27"/>
        </w:rPr>
        <w:t>吉赫頻帶的頻譜可供室內使用，以及</w:t>
      </w:r>
      <w:r>
        <w:rPr>
          <w:szCs w:val="27"/>
        </w:rPr>
        <w:t>4.9</w:t>
      </w:r>
      <w:r>
        <w:rPr>
          <w:szCs w:val="27"/>
        </w:rPr>
        <w:t>吉赫頻帶的頻譜可於全港任何地點使用，以提供</w:t>
      </w:r>
      <w:r>
        <w:rPr>
          <w:szCs w:val="27"/>
        </w:rPr>
        <w:t>5G</w:t>
      </w:r>
      <w:r>
        <w:rPr>
          <w:szCs w:val="27"/>
        </w:rPr>
        <w:t>服務。</w:t>
      </w:r>
    </w:p>
    <w:p>
      <w:pPr>
        <w:pStyle w:val="F21"/>
        <w:ind w:left="1418" w:hanging="851"/>
        <w:rPr>
          <w:szCs w:val="27"/>
        </w:rPr>
      </w:pPr>
      <w:r>
        <w:rPr>
          <w:szCs w:val="27"/>
        </w:rPr>
      </w:r>
    </w:p>
    <w:p>
      <w:pPr>
        <w:pStyle w:val="F21"/>
        <w:ind w:left="1418" w:hanging="851"/>
        <w:rPr>
          <w:szCs w:val="27"/>
        </w:rPr>
      </w:pPr>
      <w:r>
        <w:rPr>
          <w:szCs w:val="27"/>
        </w:rPr>
        <w:tab/>
      </w:r>
      <w:r>
        <w:rPr>
          <w:szCs w:val="27"/>
        </w:rPr>
        <w:t>在低頻方面，通訊局計劃於</w:t>
      </w:r>
      <w:r>
        <w:rPr>
          <w:szCs w:val="27"/>
        </w:rPr>
        <w:t>2020</w:t>
      </w:r>
      <w:r>
        <w:rPr>
          <w:szCs w:val="27"/>
        </w:rPr>
        <w:t>年</w:t>
      </w:r>
      <w:r>
        <w:rPr>
          <w:szCs w:val="27"/>
        </w:rPr>
        <w:t>11</w:t>
      </w:r>
      <w:r>
        <w:rPr>
          <w:szCs w:val="27"/>
        </w:rPr>
        <w:t>月</w:t>
      </w:r>
      <w:r>
        <w:rPr>
          <w:szCs w:val="27"/>
        </w:rPr>
        <w:t>30</w:t>
      </w:r>
      <w:r>
        <w:rPr>
          <w:szCs w:val="27"/>
        </w:rPr>
        <w:t>日終止模擬電視廣播後騰空</w:t>
      </w:r>
      <w:r>
        <w:rPr>
          <w:szCs w:val="27"/>
        </w:rPr>
        <w:t>600</w:t>
      </w:r>
      <w:r>
        <w:rPr>
          <w:rFonts w:cs="Times New Roman" w:ascii="華康細明體" w:hAnsi="華康細明體"/>
          <w:szCs w:val="27"/>
        </w:rPr>
        <w:t>/</w:t>
      </w:r>
      <w:r>
        <w:rPr>
          <w:szCs w:val="27"/>
        </w:rPr>
        <w:t>700</w:t>
      </w:r>
      <w:r>
        <w:rPr>
          <w:szCs w:val="27"/>
        </w:rPr>
        <w:t>兆赫頻帶內最多</w:t>
      </w:r>
      <w:r>
        <w:rPr>
          <w:szCs w:val="27"/>
        </w:rPr>
        <w:t>160</w:t>
      </w:r>
      <w:r>
        <w:rPr>
          <w:szCs w:val="27"/>
        </w:rPr>
        <w:t>兆赫的頻譜，最早可於</w:t>
      </w:r>
      <w:r>
        <w:rPr>
          <w:szCs w:val="27"/>
        </w:rPr>
        <w:t>2021</w:t>
      </w:r>
      <w:r>
        <w:rPr>
          <w:szCs w:val="27"/>
        </w:rPr>
        <w:t>年年中起供主要於室內使用的公共流動</w:t>
      </w:r>
      <w:r>
        <w:rPr>
          <w:szCs w:val="27"/>
        </w:rPr>
        <w:t>(</w:t>
      </w:r>
      <w:r>
        <w:rPr>
          <w:szCs w:val="27"/>
        </w:rPr>
        <w:t>包括</w:t>
      </w:r>
      <w:r>
        <w:rPr>
          <w:szCs w:val="27"/>
        </w:rPr>
        <w:t>5G)</w:t>
      </w:r>
      <w:r>
        <w:rPr>
          <w:szCs w:val="27"/>
        </w:rPr>
        <w:t>服務。</w:t>
      </w:r>
    </w:p>
    <w:p>
      <w:pPr>
        <w:pStyle w:val="F21"/>
        <w:ind w:left="1418" w:hanging="851"/>
        <w:rPr>
          <w:szCs w:val="27"/>
        </w:rPr>
      </w:pPr>
      <w:r>
        <w:rPr>
          <w:szCs w:val="27"/>
        </w:rPr>
      </w:r>
    </w:p>
    <w:p>
      <w:pPr>
        <w:pStyle w:val="F21"/>
        <w:ind w:left="1418" w:hanging="851"/>
        <w:rPr>
          <w:szCs w:val="27"/>
        </w:rPr>
      </w:pPr>
      <w:r>
        <w:rPr>
          <w:szCs w:val="27"/>
        </w:rPr>
        <w:tab/>
      </w:r>
      <w:r>
        <w:rPr>
          <w:szCs w:val="27"/>
        </w:rPr>
        <w:t>除上述的頻帶之外，流動網絡營辦商亦有彈性重整其現有牌照內其他用作第二代至第四代流動服務的頻段，在全港不同地區提供</w:t>
      </w:r>
      <w:r>
        <w:rPr>
          <w:szCs w:val="27"/>
        </w:rPr>
        <w:t>5G</w:t>
      </w:r>
      <w:r>
        <w:rPr>
          <w:szCs w:val="27"/>
        </w:rPr>
        <w:t>服務。</w:t>
      </w:r>
    </w:p>
    <w:p>
      <w:pPr>
        <w:pStyle w:val="Normal"/>
        <w:widowControl/>
        <w:tabs>
          <w:tab w:val="clear" w:pos="720"/>
        </w:tabs>
        <w:snapToGrid w:val="true"/>
        <w:spacing w:lineRule="auto" w:line="276" w:before="0" w:after="200"/>
        <w:jc w:val="left"/>
        <w:rPr>
          <w:rFonts w:cs="" w:cstheme="minorBidi"/>
          <w:spacing w:val="20"/>
          <w:sz w:val="27"/>
          <w:szCs w:val="27"/>
          <w:lang w:val="en-US"/>
        </w:rPr>
      </w:pPr>
      <w:r>
        <w:rPr>
          <w:rFonts w:cs="" w:cstheme="minorBidi"/>
          <w:spacing w:val="20"/>
          <w:sz w:val="27"/>
          <w:szCs w:val="27"/>
          <w:lang w:val="en-US"/>
        </w:rPr>
      </w:r>
      <w:r>
        <w:br w:type="page"/>
      </w:r>
    </w:p>
    <w:p>
      <w:pPr>
        <w:pStyle w:val="F21"/>
        <w:ind w:left="1418" w:hanging="851"/>
        <w:rPr>
          <w:szCs w:val="27"/>
        </w:rPr>
      </w:pPr>
      <w:r>
        <w:rPr>
          <w:szCs w:val="27"/>
        </w:rPr>
        <w:tab/>
      </w:r>
      <w:r>
        <w:rPr>
          <w:szCs w:val="27"/>
        </w:rPr>
        <w:t>通訊局會根據今年年底世界無線電通信大會的全球性頻譜編配決定，致力供應更多合適的頻譜，供本港發展</w:t>
      </w:r>
      <w:r>
        <w:rPr>
          <w:szCs w:val="27"/>
        </w:rPr>
        <w:t>5G</w:t>
      </w:r>
      <w:r>
        <w:rPr>
          <w:szCs w:val="27"/>
        </w:rPr>
        <w:t>服務之用。</w:t>
      </w:r>
    </w:p>
    <w:p>
      <w:pPr>
        <w:pStyle w:val="F21"/>
        <w:spacing w:lineRule="atLeast" w:line="370"/>
        <w:rPr>
          <w:szCs w:val="27"/>
        </w:rPr>
      </w:pPr>
      <w:r>
        <w:rPr>
          <w:szCs w:val="27"/>
        </w:rPr>
      </w:r>
    </w:p>
    <w:p>
      <w:pPr>
        <w:pStyle w:val="F21"/>
        <w:spacing w:lineRule="atLeast" w:line="370"/>
        <w:rPr>
          <w:szCs w:val="27"/>
        </w:rPr>
      </w:pPr>
      <w:r>
        <w:rPr>
          <w:szCs w:val="27"/>
        </w:rPr>
      </w:r>
    </w:p>
    <w:p>
      <w:pPr>
        <w:pStyle w:val="F21"/>
        <w:spacing w:lineRule="atLeast" w:line="370"/>
        <w:rPr>
          <w:i/>
          <w:i/>
        </w:rPr>
      </w:pPr>
      <w:r>
        <w:rPr>
          <w:rFonts w:eastAsia="華康中黑體"/>
          <w:b/>
        </w:rPr>
        <w:t>莫乃光議員</w:t>
      </w:r>
      <w:r>
        <w:rPr/>
        <w:t>：</w:t>
      </w:r>
      <w:r>
        <w:rPr>
          <w:i/>
        </w:rPr>
        <w:t>代理主席，業界最關注的並非局長剛才提及的</w:t>
      </w:r>
      <w:r>
        <w:rPr>
          <w:i/>
        </w:rPr>
        <w:t>26</w:t>
      </w:r>
      <w:r>
        <w:rPr>
          <w:i/>
        </w:rPr>
        <w:t>和</w:t>
      </w:r>
      <w:r>
        <w:rPr>
          <w:i/>
        </w:rPr>
        <w:t>28</w:t>
      </w:r>
      <w:r>
        <w:rPr>
          <w:i/>
        </w:rPr>
        <w:t>吉赫等高頻帶，而是</w:t>
      </w:r>
      <w:r>
        <w:rPr>
          <w:i/>
        </w:rPr>
        <w:t>"</w:t>
      </w:r>
      <w:r>
        <w:rPr>
          <w:i/>
        </w:rPr>
        <w:t>黃金頻帶</w:t>
      </w:r>
      <w:r>
        <w:rPr>
          <w:i/>
        </w:rPr>
        <w:t>"</w:t>
      </w:r>
      <w:r>
        <w:rPr>
          <w:i/>
        </w:rPr>
        <w:t>，即局長稱為中頻帶的</w:t>
      </w:r>
      <w:r>
        <w:rPr>
          <w:i/>
        </w:rPr>
        <w:t>3.5</w:t>
      </w:r>
      <w:r>
        <w:rPr>
          <w:i/>
        </w:rPr>
        <w:t>和</w:t>
      </w:r>
      <w:r>
        <w:rPr>
          <w:i/>
        </w:rPr>
        <w:t>3.3</w:t>
      </w:r>
      <w:r>
        <w:rPr>
          <w:i/>
        </w:rPr>
        <w:t>吉赫等頻帶，正是屬於</w:t>
      </w:r>
      <w:r>
        <w:rPr>
          <w:i/>
        </w:rPr>
        <w:t>"</w:t>
      </w:r>
      <w:r>
        <w:rPr>
          <w:i/>
        </w:rPr>
        <w:t>禁飛區</w:t>
      </w:r>
      <w:r>
        <w:rPr>
          <w:i/>
        </w:rPr>
        <w:t>"</w:t>
      </w:r>
      <w:r>
        <w:rPr>
          <w:i/>
        </w:rPr>
        <w:t>的頻帶。無論如何，我們看到的情況是業界本來預計在</w:t>
      </w:r>
      <w:r>
        <w:rPr>
          <w:i/>
        </w:rPr>
        <w:t>7</w:t>
      </w:r>
      <w:r>
        <w:rPr>
          <w:i/>
        </w:rPr>
        <w:t>月或</w:t>
      </w:r>
      <w:r>
        <w:rPr>
          <w:i/>
        </w:rPr>
        <w:t>8</w:t>
      </w:r>
      <w:r>
        <w:rPr>
          <w:i/>
        </w:rPr>
        <w:t>月已可進行拍賣，然後便可開始準備，但局長現在卻表示下半年才會進行頻譜拍賣工作。</w:t>
      </w:r>
    </w:p>
    <w:p>
      <w:pPr>
        <w:pStyle w:val="F21"/>
        <w:spacing w:lineRule="atLeast" w:line="370"/>
        <w:rPr>
          <w:i/>
          <w:i/>
        </w:rPr>
      </w:pPr>
      <w:r>
        <w:rPr>
          <w:i/>
        </w:rPr>
      </w:r>
    </w:p>
    <w:p>
      <w:pPr>
        <w:pStyle w:val="F21"/>
        <w:spacing w:lineRule="atLeast" w:line="370"/>
        <w:rPr>
          <w:i/>
          <w:i/>
        </w:rPr>
      </w:pPr>
      <w:r>
        <w:rPr>
          <w:i/>
        </w:rPr>
        <w:tab/>
      </w:r>
      <w:r>
        <w:rPr>
          <w:i/>
        </w:rPr>
        <w:t>局長表示頻譜可於拍賣完成後隨即使用。土地在賣出後當然可以立即使用，但建屋亦需時。因此，我們最擔心的是當局現時仍未向事務委員會提交建議</w:t>
      </w:r>
      <w:r>
        <w:rPr>
          <w:i/>
        </w:rPr>
        <w:t>"</w:t>
      </w:r>
      <w:r>
        <w:rPr>
          <w:i/>
        </w:rPr>
        <w:t>過冷河</w:t>
      </w:r>
      <w:r>
        <w:rPr>
          <w:i/>
        </w:rPr>
        <w:t>"</w:t>
      </w:r>
      <w:r>
        <w:rPr>
          <w:i/>
        </w:rPr>
        <w:t>。代理主席，上次在</w:t>
      </w:r>
      <w:r>
        <w:rPr>
          <w:i/>
        </w:rPr>
        <w:t>1</w:t>
      </w:r>
      <w:r>
        <w:rPr>
          <w:i/>
        </w:rPr>
        <w:t>月已提交建議</w:t>
      </w:r>
      <w:r>
        <w:rPr>
          <w:i/>
        </w:rPr>
        <w:t>"</w:t>
      </w:r>
      <w:r>
        <w:rPr>
          <w:i/>
        </w:rPr>
        <w:t>過冷河</w:t>
      </w:r>
      <w:r>
        <w:rPr>
          <w:i/>
        </w:rPr>
        <w:t>"</w:t>
      </w:r>
      <w:r>
        <w:rPr>
          <w:i/>
        </w:rPr>
        <w:t>，合共有</w:t>
      </w:r>
      <w:r>
        <w:rPr>
          <w:i/>
        </w:rPr>
        <w:t>7</w:t>
      </w:r>
      <w:r>
        <w:rPr>
          <w:i/>
        </w:rPr>
        <w:t>個月時間處理立法工作。但現在已是</w:t>
      </w:r>
      <w:r>
        <w:rPr>
          <w:i/>
        </w:rPr>
        <w:t>4</w:t>
      </w:r>
      <w:r>
        <w:rPr>
          <w:i/>
        </w:rPr>
        <w:t>月，事務委員會仍未接獲相關議程項目。我不知道最快會否在</w:t>
      </w:r>
      <w:r>
        <w:rPr>
          <w:i/>
        </w:rPr>
        <w:t>5</w:t>
      </w:r>
      <w:r>
        <w:rPr>
          <w:i/>
        </w:rPr>
        <w:t>月提交，但當局表示要在</w:t>
      </w:r>
      <w:r>
        <w:rPr>
          <w:i/>
        </w:rPr>
        <w:t>7</w:t>
      </w:r>
      <w:r>
        <w:rPr>
          <w:i/>
        </w:rPr>
        <w:t>月前通過，而一旦無法在暑假前通過，就會出現更大延誤。為何政府今次的處理會如此失策？為何時間會如此緊迫？是否真的有足夠時間可以在</w:t>
      </w:r>
      <w:r>
        <w:rPr>
          <w:i/>
        </w:rPr>
        <w:t>7</w:t>
      </w:r>
      <w:r>
        <w:rPr>
          <w:i/>
        </w:rPr>
        <w:t>月前完成相關工作？代理主席，現在已</w:t>
      </w:r>
      <w:r>
        <w:rPr>
          <w:i/>
        </w:rPr>
        <w:t>delay</w:t>
      </w:r>
      <w:r>
        <w:rPr>
          <w:i/>
        </w:rPr>
        <w:t>，有所延誤。</w:t>
      </w:r>
    </w:p>
    <w:p>
      <w:pPr>
        <w:pStyle w:val="F21"/>
        <w:spacing w:lineRule="atLeast" w:line="370"/>
        <w:rPr>
          <w:i/>
          <w:i/>
        </w:rPr>
      </w:pPr>
      <w:r>
        <w:rPr>
          <w:i/>
        </w:rPr>
      </w:r>
    </w:p>
    <w:p>
      <w:pPr>
        <w:pStyle w:val="F21"/>
        <w:spacing w:lineRule="atLeast" w:line="370"/>
        <w:rPr>
          <w:rFonts w:eastAsia="華康中黑體"/>
          <w:b/>
          <w:b/>
        </w:rPr>
      </w:pPr>
      <w:r>
        <w:rPr>
          <w:rFonts w:eastAsia="華康中黑體"/>
          <w:b/>
        </w:rPr>
      </w:r>
    </w:p>
    <w:p>
      <w:pPr>
        <w:pStyle w:val="F21"/>
        <w:spacing w:lineRule="atLeast" w:line="370"/>
        <w:rPr/>
      </w:pPr>
      <w:r>
        <w:rPr>
          <w:rFonts w:eastAsia="華康中黑體"/>
          <w:b/>
        </w:rPr>
        <w:t>代理主席</w:t>
      </w:r>
      <w:r>
        <w:rPr/>
        <w:t>：莫議員，你已提出你的補充質詢。</w:t>
      </w:r>
    </w:p>
    <w:p>
      <w:pPr>
        <w:pStyle w:val="F21"/>
        <w:spacing w:lineRule="atLeast" w:line="370"/>
        <w:rPr>
          <w:rFonts w:eastAsia="華康中黑體"/>
          <w:b/>
          <w:b/>
        </w:rPr>
      </w:pPr>
      <w:r>
        <w:rPr>
          <w:rFonts w:eastAsia="華康中黑體"/>
          <w:b/>
        </w:rPr>
      </w:r>
    </w:p>
    <w:p>
      <w:pPr>
        <w:pStyle w:val="F21"/>
        <w:spacing w:lineRule="atLeast" w:line="370"/>
        <w:rPr>
          <w:rFonts w:eastAsia="華康中黑體"/>
          <w:b/>
          <w:b/>
        </w:rPr>
      </w:pPr>
      <w:r>
        <w:rPr>
          <w:rFonts w:eastAsia="華康中黑體"/>
          <w:b/>
        </w:rPr>
      </w:r>
    </w:p>
    <w:p>
      <w:pPr>
        <w:pStyle w:val="F21"/>
        <w:spacing w:lineRule="atLeast" w:line="370"/>
        <w:rPr/>
      </w:pPr>
      <w:r>
        <w:rPr>
          <w:rFonts w:eastAsia="華康中黑體"/>
          <w:b/>
        </w:rPr>
        <w:t>商務及經濟發展局局長</w:t>
      </w:r>
      <w:r>
        <w:rPr/>
        <w:t>：多謝莫議員的補充質詢。首先，截至今年</w:t>
      </w:r>
      <w:r>
        <w:rPr/>
        <w:t>3‍</w:t>
      </w:r>
      <w:r>
        <w:rPr/>
        <w:t>月，我們仍在收集業界代表就</w:t>
      </w:r>
      <w:r>
        <w:rPr/>
        <w:t>5G</w:t>
      </w:r>
      <w:r>
        <w:rPr/>
        <w:t>拍賣安排的看法及建議。我們正研究他們提出的意見，並會爭取納入事務委員會</w:t>
      </w:r>
      <w:r>
        <w:rPr/>
        <w:t>5</w:t>
      </w:r>
      <w:r>
        <w:rPr/>
        <w:t>月份的議程，進行討論。</w:t>
      </w:r>
    </w:p>
    <w:p>
      <w:pPr>
        <w:pStyle w:val="F21"/>
        <w:spacing w:lineRule="atLeast" w:line="370"/>
        <w:rPr/>
      </w:pPr>
      <w:r>
        <w:rPr/>
      </w:r>
    </w:p>
    <w:p>
      <w:pPr>
        <w:pStyle w:val="F21"/>
        <w:spacing w:lineRule="atLeast" w:line="370"/>
        <w:rPr/>
      </w:pPr>
      <w:r>
        <w:rPr/>
        <w:tab/>
      </w:r>
      <w:r>
        <w:rPr/>
        <w:t>我的主體答覆亦指出，我們會爭取在今年內進行拍賣工作。至於步伐會否落後於其他經濟體，正如我在主體答覆中提到，我們其實進行了大量前期工作，包括向有興趣人士共批出</w:t>
      </w:r>
      <w:r>
        <w:rPr/>
        <w:t>25</w:t>
      </w:r>
      <w:r>
        <w:rPr/>
        <w:t>個許可證，包括一些設備供應商或流動網絡營辦商，以進行</w:t>
      </w:r>
      <w:r>
        <w:rPr/>
        <w:t>5G</w:t>
      </w:r>
      <w:r>
        <w:rPr/>
        <w:t>技術測試。</w:t>
      </w:r>
    </w:p>
    <w:p>
      <w:pPr>
        <w:pStyle w:val="F21"/>
        <w:spacing w:lineRule="atLeast" w:line="370"/>
        <w:rPr/>
      </w:pPr>
      <w:r>
        <w:rPr/>
      </w:r>
    </w:p>
    <w:p>
      <w:pPr>
        <w:pStyle w:val="F21"/>
        <w:spacing w:lineRule="atLeast" w:line="370"/>
        <w:rPr/>
      </w:pPr>
      <w:r>
        <w:rPr/>
        <w:tab/>
      </w:r>
      <w:r>
        <w:rPr/>
        <w:t>此外，我剛才亦提到今年推出了先導計劃，主動開放約</w:t>
      </w:r>
      <w:r>
        <w:rPr/>
        <w:t>1 000</w:t>
      </w:r>
      <w:r>
        <w:rPr/>
        <w:t>個合適的政府場所供安裝基站。最主要的一點是我們簡化了申請手續，以往營辦商可能需等待一年半載，經過不同部門的審批，但在先導計劃下，不同部門承諾大約於兩個月內可以處理審批。</w:t>
      </w:r>
    </w:p>
    <w:p>
      <w:pPr>
        <w:pStyle w:val="F21"/>
        <w:rPr/>
      </w:pPr>
      <w:r>
        <w:rPr/>
      </w:r>
    </w:p>
    <w:p>
      <w:pPr>
        <w:pStyle w:val="F21"/>
        <w:rPr/>
      </w:pPr>
      <w:r>
        <w:rPr/>
        <w:tab/>
      </w:r>
      <w:r>
        <w:rPr/>
        <w:t>還有一點是香港具備有別於其他地區的一些特點，包括土地面積較小、人口較密集，以及流動服務的用戶滲透率相當高，有助大大降低鋪設網絡的成本及時間。因此，我們相信大約於</w:t>
      </w:r>
      <w:r>
        <w:rPr/>
        <w:t>2020</w:t>
      </w:r>
      <w:r>
        <w:rPr/>
        <w:t>年市場可推出一些商用</w:t>
      </w:r>
      <w:r>
        <w:rPr/>
        <w:t>5G</w:t>
      </w:r>
      <w:r>
        <w:rPr/>
        <w:t>服務，而一些營辦商亦公開表示有信心可在相關時間推出一些商用服務。</w:t>
      </w:r>
    </w:p>
    <w:p>
      <w:pPr>
        <w:pStyle w:val="F21"/>
        <w:overflowPunct w:val="true"/>
        <w:rPr>
          <w:szCs w:val="27"/>
        </w:rPr>
      </w:pPr>
      <w:r>
        <w:rPr>
          <w:szCs w:val="27"/>
        </w:rPr>
      </w:r>
    </w:p>
    <w:p>
      <w:pPr>
        <w:pStyle w:val="F21"/>
        <w:overflowPunct w:val="true"/>
        <w:rPr/>
      </w:pPr>
      <w:r>
        <w:rPr/>
      </w:r>
    </w:p>
    <w:p>
      <w:pPr>
        <w:pStyle w:val="F21"/>
        <w:overflowPunct w:val="true"/>
        <w:rPr>
          <w:i/>
          <w:i/>
          <w:szCs w:val="27"/>
        </w:rPr>
      </w:pPr>
      <w:r>
        <w:rPr>
          <w:rFonts w:cs="Times New Roman" w:eastAsia="華康中黑體"/>
          <w:b/>
          <w:kern w:val="2"/>
          <w:szCs w:val="27"/>
        </w:rPr>
        <w:t>楊岳橋議員</w:t>
      </w:r>
      <w:r>
        <w:rPr>
          <w:szCs w:val="27"/>
        </w:rPr>
        <w:t>：</w:t>
      </w:r>
      <w:r>
        <w:rPr>
          <w:i/>
          <w:szCs w:val="27"/>
        </w:rPr>
        <w:t>代理主席，簡單而言，局長在主體答覆第</w:t>
      </w:r>
      <w:r>
        <w:rPr>
          <w:i/>
          <w:szCs w:val="27"/>
        </w:rPr>
        <w:t>(</w:t>
      </w:r>
      <w:r>
        <w:rPr>
          <w:i/>
          <w:szCs w:val="27"/>
        </w:rPr>
        <w:t>三</w:t>
      </w:r>
      <w:r>
        <w:rPr>
          <w:i/>
          <w:szCs w:val="27"/>
        </w:rPr>
        <w:t>)</w:t>
      </w:r>
      <w:r>
        <w:rPr>
          <w:i/>
          <w:szCs w:val="27"/>
        </w:rPr>
        <w:t>部分已確認在未來日子，基於衞星站的存在，大埔和赤柱區基本上在</w:t>
      </w:r>
      <w:r>
        <w:rPr>
          <w:i/>
          <w:szCs w:val="27"/>
        </w:rPr>
        <w:t>5G</w:t>
      </w:r>
      <w:r>
        <w:rPr>
          <w:i/>
          <w:szCs w:val="27"/>
        </w:rPr>
        <w:t>網絡方面會有漏洞，但局長在主體答覆第</w:t>
      </w:r>
      <w:r>
        <w:rPr>
          <w:i/>
          <w:szCs w:val="27"/>
        </w:rPr>
        <w:t>(</w:t>
      </w:r>
      <w:r>
        <w:rPr>
          <w:i/>
          <w:szCs w:val="27"/>
        </w:rPr>
        <w:t>三</w:t>
      </w:r>
      <w:r>
        <w:rPr>
          <w:i/>
          <w:szCs w:val="27"/>
        </w:rPr>
        <w:t>)</w:t>
      </w:r>
      <w:r>
        <w:rPr>
          <w:i/>
          <w:szCs w:val="27"/>
        </w:rPr>
        <w:t>部分卻表示未有任何計劃搬遷衞星站。</w:t>
      </w:r>
    </w:p>
    <w:p>
      <w:pPr>
        <w:pStyle w:val="F21"/>
        <w:overflowPunct w:val="true"/>
        <w:rPr>
          <w:i/>
          <w:i/>
          <w:szCs w:val="27"/>
        </w:rPr>
      </w:pPr>
      <w:r>
        <w:rPr>
          <w:i/>
          <w:szCs w:val="27"/>
        </w:rPr>
      </w:r>
    </w:p>
    <w:p>
      <w:pPr>
        <w:pStyle w:val="F21"/>
        <w:overflowPunct w:val="true"/>
        <w:rPr>
          <w:i/>
          <w:i/>
          <w:szCs w:val="27"/>
        </w:rPr>
      </w:pPr>
      <w:r>
        <w:rPr>
          <w:i/>
          <w:szCs w:val="27"/>
        </w:rPr>
        <w:tab/>
      </w:r>
      <w:r>
        <w:rPr>
          <w:i/>
          <w:szCs w:val="27"/>
        </w:rPr>
        <w:t>其實局方有責任處理這個問題，不可以容許香港任何地區未來會突然沒有</w:t>
      </w:r>
      <w:r>
        <w:rPr>
          <w:i/>
          <w:szCs w:val="27"/>
        </w:rPr>
        <w:t>5G</w:t>
      </w:r>
      <w:r>
        <w:rPr>
          <w:i/>
          <w:szCs w:val="27"/>
        </w:rPr>
        <w:t>覆蓋。我想問局方，有否任何具體計劃進行搬遷？將來在拍賣頻譜後，即使只花費當中的</w:t>
      </w:r>
      <w:r>
        <w:rPr>
          <w:i/>
          <w:szCs w:val="27"/>
        </w:rPr>
        <w:t>"</w:t>
      </w:r>
      <w:r>
        <w:rPr>
          <w:i/>
          <w:szCs w:val="27"/>
        </w:rPr>
        <w:t>零頭</w:t>
      </w:r>
      <w:r>
        <w:rPr>
          <w:i/>
          <w:szCs w:val="27"/>
        </w:rPr>
        <w:t>"</w:t>
      </w:r>
      <w:r>
        <w:rPr>
          <w:i/>
          <w:szCs w:val="27"/>
        </w:rPr>
        <w:t>進行搬遷，仍然綽綽有餘。</w:t>
      </w:r>
    </w:p>
    <w:p>
      <w:pPr>
        <w:pStyle w:val="F21"/>
        <w:overflowPunct w:val="true"/>
        <w:rPr>
          <w:i/>
          <w:i/>
          <w:szCs w:val="27"/>
        </w:rPr>
      </w:pPr>
      <w:r>
        <w:rPr>
          <w:i/>
          <w:szCs w:val="27"/>
        </w:rPr>
      </w:r>
    </w:p>
    <w:p>
      <w:pPr>
        <w:pStyle w:val="F21"/>
        <w:overflowPunct w:val="true"/>
        <w:rPr>
          <w:i/>
          <w:i/>
          <w:szCs w:val="27"/>
        </w:rPr>
      </w:pPr>
      <w:r>
        <w:rPr>
          <w:i/>
          <w:szCs w:val="27"/>
        </w:rPr>
        <w:tab/>
      </w:r>
      <w:r>
        <w:rPr>
          <w:i/>
          <w:szCs w:val="27"/>
        </w:rPr>
        <w:t>代理主席，局方有否這方面的打算呢？</w:t>
      </w:r>
    </w:p>
    <w:p>
      <w:pPr>
        <w:pStyle w:val="F21"/>
        <w:overflowPunct w:val="true"/>
        <w:rPr>
          <w:szCs w:val="27"/>
        </w:rPr>
      </w:pPr>
      <w:r>
        <w:rPr>
          <w:szCs w:val="27"/>
        </w:rPr>
      </w:r>
    </w:p>
    <w:p>
      <w:pPr>
        <w:pStyle w:val="F21"/>
        <w:overflowPunct w:val="true"/>
        <w:rPr>
          <w:szCs w:val="27"/>
        </w:rPr>
      </w:pPr>
      <w:r>
        <w:rPr>
          <w:szCs w:val="27"/>
        </w:rPr>
      </w:r>
    </w:p>
    <w:p>
      <w:pPr>
        <w:pStyle w:val="F21"/>
        <w:overflowPunct w:val="true"/>
        <w:rPr>
          <w:szCs w:val="27"/>
        </w:rPr>
      </w:pPr>
      <w:r>
        <w:rPr>
          <w:rFonts w:cs="Times New Roman" w:eastAsia="華康中黑體"/>
          <w:b/>
          <w:kern w:val="2"/>
          <w:szCs w:val="27"/>
        </w:rPr>
        <w:t>商務及經濟發展局局長</w:t>
      </w:r>
      <w:r>
        <w:rPr>
          <w:szCs w:val="27"/>
        </w:rPr>
        <w:t>：多謝楊</w:t>
      </w:r>
      <w:r>
        <w:rPr>
          <w:rFonts w:ascii="華康細明體" w:hAnsi="華康細明體" w:cs="華康細明體"/>
          <w:szCs w:val="27"/>
        </w:rPr>
        <w:t>議員</w:t>
      </w:r>
      <w:r>
        <w:rPr>
          <w:szCs w:val="27"/>
        </w:rPr>
        <w:t>提出補充質詢。</w:t>
      </w:r>
    </w:p>
    <w:p>
      <w:pPr>
        <w:pStyle w:val="F21"/>
        <w:overflowPunct w:val="true"/>
        <w:rPr>
          <w:szCs w:val="27"/>
        </w:rPr>
      </w:pPr>
      <w:r>
        <w:rPr>
          <w:szCs w:val="27"/>
        </w:rPr>
      </w:r>
    </w:p>
    <w:p>
      <w:pPr>
        <w:pStyle w:val="F21"/>
        <w:overflowPunct w:val="true"/>
        <w:rPr>
          <w:szCs w:val="27"/>
        </w:rPr>
      </w:pPr>
      <w:r>
        <w:rPr>
          <w:szCs w:val="27"/>
        </w:rPr>
        <w:tab/>
      </w:r>
      <w:r>
        <w:rPr>
          <w:szCs w:val="27"/>
        </w:rPr>
        <w:t>首先，就限制區而言，其實只會影響</w:t>
      </w:r>
      <w:r>
        <w:rPr>
          <w:szCs w:val="27"/>
        </w:rPr>
        <w:t>3.5</w:t>
      </w:r>
      <w:r>
        <w:rPr>
          <w:szCs w:val="27"/>
        </w:rPr>
        <w:t>吉赫的頻譜。正如我在主體答覆中提到，我們有</w:t>
      </w:r>
      <w:r>
        <w:rPr>
          <w:szCs w:val="27"/>
        </w:rPr>
        <w:t>26</w:t>
      </w:r>
      <w:r>
        <w:rPr>
          <w:szCs w:val="27"/>
        </w:rPr>
        <w:t>吉赫、</w:t>
      </w:r>
      <w:r>
        <w:rPr>
          <w:szCs w:val="27"/>
        </w:rPr>
        <w:t>28</w:t>
      </w:r>
      <w:r>
        <w:rPr>
          <w:szCs w:val="27"/>
        </w:rPr>
        <w:t>吉赫、</w:t>
      </w:r>
      <w:r>
        <w:rPr>
          <w:szCs w:val="27"/>
        </w:rPr>
        <w:t>3.3</w:t>
      </w:r>
      <w:r>
        <w:rPr>
          <w:szCs w:val="27"/>
        </w:rPr>
        <w:t>吉赫及</w:t>
      </w:r>
      <w:r>
        <w:rPr>
          <w:szCs w:val="27"/>
        </w:rPr>
        <w:t>4.9</w:t>
      </w:r>
      <w:r>
        <w:rPr>
          <w:szCs w:val="27"/>
        </w:rPr>
        <w:t>吉赫的頻譜推出市場。我們歡迎營辦商使用這些頻帶，拓闊其</w:t>
      </w:r>
      <w:r>
        <w:rPr>
          <w:szCs w:val="27"/>
        </w:rPr>
        <w:t>5G</w:t>
      </w:r>
      <w:r>
        <w:rPr>
          <w:szCs w:val="27"/>
        </w:rPr>
        <w:t>服務。</w:t>
      </w:r>
    </w:p>
    <w:p>
      <w:pPr>
        <w:pStyle w:val="F21"/>
        <w:overflowPunct w:val="true"/>
        <w:rPr>
          <w:szCs w:val="27"/>
        </w:rPr>
      </w:pPr>
      <w:r>
        <w:rPr>
          <w:szCs w:val="27"/>
        </w:rPr>
      </w:r>
    </w:p>
    <w:p>
      <w:pPr>
        <w:pStyle w:val="F21"/>
        <w:overflowPunct w:val="true"/>
        <w:rPr>
          <w:szCs w:val="27"/>
        </w:rPr>
      </w:pPr>
      <w:r>
        <w:rPr>
          <w:szCs w:val="27"/>
        </w:rPr>
        <w:tab/>
      </w:r>
      <w:r>
        <w:rPr>
          <w:szCs w:val="27"/>
        </w:rPr>
        <w:t>此外，正如主體答覆所述，通訊辦已成立技術工作小組研究不同技術方案或參數，而去年亦曾進行實地測試，進一步對收集到的數據作詳細分析。工作小組即將向通訊局提交這份工作報告，而通訊局在研究和考慮工作小組的報告後，會決定在限制區內是否有空間鋪設剛才提到的</w:t>
      </w:r>
      <w:r>
        <w:rPr>
          <w:szCs w:val="27"/>
        </w:rPr>
        <w:t>3.5</w:t>
      </w:r>
      <w:r>
        <w:rPr>
          <w:szCs w:val="27"/>
        </w:rPr>
        <w:t>吉赫頻帶的</w:t>
      </w:r>
      <w:r>
        <w:rPr>
          <w:szCs w:val="27"/>
        </w:rPr>
        <w:t>5G</w:t>
      </w:r>
      <w:r>
        <w:rPr>
          <w:szCs w:val="27"/>
        </w:rPr>
        <w:t>網絡。</w:t>
      </w:r>
    </w:p>
    <w:p>
      <w:pPr>
        <w:pStyle w:val="F21"/>
        <w:overflowPunct w:val="true"/>
        <w:rPr>
          <w:szCs w:val="27"/>
        </w:rPr>
      </w:pPr>
      <w:r>
        <w:rPr>
          <w:szCs w:val="27"/>
        </w:rPr>
      </w:r>
    </w:p>
    <w:p>
      <w:pPr>
        <w:pStyle w:val="F21"/>
        <w:overflowPunct w:val="true"/>
        <w:rPr>
          <w:szCs w:val="27"/>
        </w:rPr>
      </w:pPr>
      <w:r>
        <w:rPr>
          <w:szCs w:val="27"/>
        </w:rPr>
        <w:tab/>
      </w:r>
      <w:r>
        <w:rPr>
          <w:szCs w:val="27"/>
        </w:rPr>
        <w:t>至於現有衞星站服務，正如我在主體答覆中提到，它屬商業決定，我們並無法理基礎要求營辦商搬遷。然而，如營辦商或衞星站願意搬遷，我們會積極配合和提供協助。</w:t>
      </w:r>
    </w:p>
    <w:p>
      <w:pPr>
        <w:pStyle w:val="Normal"/>
        <w:widowControl/>
        <w:tabs>
          <w:tab w:val="clear" w:pos="720"/>
        </w:tabs>
        <w:snapToGrid w:val="true"/>
        <w:spacing w:lineRule="auto" w:line="276" w:before="0" w:after="200"/>
        <w:jc w:val="left"/>
        <w:rPr>
          <w:rFonts w:cs="" w:cstheme="minorBidi"/>
          <w:spacing w:val="20"/>
          <w:sz w:val="27"/>
          <w:szCs w:val="27"/>
          <w:lang w:val="en-US"/>
        </w:rPr>
      </w:pPr>
      <w:r>
        <w:rPr>
          <w:rFonts w:cs="" w:cstheme="minorBidi"/>
          <w:spacing w:val="20"/>
          <w:sz w:val="27"/>
          <w:szCs w:val="27"/>
          <w:lang w:val="en-US"/>
        </w:rPr>
      </w:r>
      <w:r>
        <w:br w:type="page"/>
      </w:r>
    </w:p>
    <w:p>
      <w:pPr>
        <w:pStyle w:val="F21"/>
        <w:overflowPunct w:val="true"/>
        <w:rPr>
          <w:i/>
          <w:i/>
          <w:szCs w:val="27"/>
        </w:rPr>
      </w:pPr>
      <w:r>
        <w:rPr>
          <w:rFonts w:cs="Times New Roman" w:eastAsia="華康中黑體"/>
          <w:b/>
          <w:kern w:val="2"/>
          <w:szCs w:val="27"/>
        </w:rPr>
        <w:t>范國威議員</w:t>
      </w:r>
      <w:r>
        <w:rPr>
          <w:szCs w:val="27"/>
        </w:rPr>
        <w:t>：</w:t>
      </w:r>
      <w:r>
        <w:rPr>
          <w:i/>
          <w:szCs w:val="27"/>
        </w:rPr>
        <w:t>主體質詢提到有業內人士指出，營辦商在獲配頻譜後約需兩年時間籌備，有機會令</w:t>
      </w:r>
      <w:r>
        <w:rPr>
          <w:i/>
          <w:szCs w:val="27"/>
        </w:rPr>
        <w:t>5G</w:t>
      </w:r>
      <w:r>
        <w:rPr>
          <w:i/>
          <w:szCs w:val="27"/>
        </w:rPr>
        <w:t>服務最快要到</w:t>
      </w:r>
      <w:r>
        <w:rPr>
          <w:i/>
          <w:szCs w:val="27"/>
        </w:rPr>
        <w:t>2021</w:t>
      </w:r>
      <w:r>
        <w:rPr>
          <w:i/>
          <w:szCs w:val="27"/>
        </w:rPr>
        <w:t>年下半年才能推出。</w:t>
      </w:r>
    </w:p>
    <w:p>
      <w:pPr>
        <w:pStyle w:val="F21"/>
        <w:overflowPunct w:val="true"/>
        <w:rPr>
          <w:i/>
          <w:i/>
          <w:szCs w:val="27"/>
        </w:rPr>
      </w:pPr>
      <w:r>
        <w:rPr>
          <w:i/>
          <w:szCs w:val="27"/>
        </w:rPr>
      </w:r>
    </w:p>
    <w:p>
      <w:pPr>
        <w:pStyle w:val="F21"/>
        <w:overflowPunct w:val="true"/>
        <w:rPr>
          <w:i/>
          <w:i/>
          <w:szCs w:val="27"/>
        </w:rPr>
      </w:pPr>
      <w:r>
        <w:rPr>
          <w:i/>
          <w:szCs w:val="27"/>
        </w:rPr>
        <w:tab/>
      </w:r>
      <w:r>
        <w:rPr>
          <w:i/>
          <w:szCs w:val="27"/>
        </w:rPr>
        <w:t>我想問政府，有否措施堵塞營辦商在香港提供</w:t>
      </w:r>
      <w:r>
        <w:rPr>
          <w:i/>
          <w:szCs w:val="27"/>
        </w:rPr>
        <w:t>5G</w:t>
      </w:r>
      <w:r>
        <w:rPr>
          <w:i/>
          <w:szCs w:val="27"/>
        </w:rPr>
        <w:t>設備服務可能出現的安全漏洞？因為我知道政府打算選用華為作為</w:t>
      </w:r>
      <w:r>
        <w:rPr>
          <w:i/>
          <w:szCs w:val="27"/>
        </w:rPr>
        <w:t>5G</w:t>
      </w:r>
      <w:r>
        <w:rPr>
          <w:i/>
          <w:szCs w:val="27"/>
        </w:rPr>
        <w:t>設備服務的營辦商，而英國國家網絡安全中心已發表報告指華為設備存在嚴重的安全漏洞，更莫說美國、澳洲等國家，當地現時已全面禁用華為產品。</w:t>
      </w:r>
    </w:p>
    <w:p>
      <w:pPr>
        <w:pStyle w:val="F21"/>
        <w:overflowPunct w:val="true"/>
        <w:rPr>
          <w:i/>
          <w:i/>
          <w:szCs w:val="27"/>
        </w:rPr>
      </w:pPr>
      <w:r>
        <w:rPr>
          <w:i/>
          <w:szCs w:val="27"/>
        </w:rPr>
      </w:r>
    </w:p>
    <w:p>
      <w:pPr>
        <w:pStyle w:val="F21"/>
        <w:overflowPunct w:val="true"/>
        <w:rPr>
          <w:i/>
          <w:i/>
          <w:szCs w:val="27"/>
        </w:rPr>
      </w:pPr>
      <w:r>
        <w:rPr>
          <w:i/>
          <w:szCs w:val="27"/>
        </w:rPr>
        <w:tab/>
      </w:r>
      <w:r>
        <w:rPr>
          <w:i/>
          <w:szCs w:val="27"/>
        </w:rPr>
        <w:t>我想問政府有何措施堵塞安全漏洞呢？</w:t>
      </w:r>
    </w:p>
    <w:p>
      <w:pPr>
        <w:pStyle w:val="F21"/>
        <w:overflowPunct w:val="true"/>
        <w:rPr>
          <w:szCs w:val="27"/>
        </w:rPr>
      </w:pPr>
      <w:r>
        <w:rPr>
          <w:szCs w:val="27"/>
        </w:rPr>
      </w:r>
    </w:p>
    <w:p>
      <w:pPr>
        <w:pStyle w:val="F21"/>
        <w:overflowPunct w:val="true"/>
        <w:rPr>
          <w:szCs w:val="27"/>
        </w:rPr>
      </w:pPr>
      <w:r>
        <w:rPr>
          <w:szCs w:val="27"/>
        </w:rPr>
      </w:r>
    </w:p>
    <w:p>
      <w:pPr>
        <w:pStyle w:val="F21"/>
        <w:overflowPunct w:val="true"/>
        <w:rPr>
          <w:szCs w:val="27"/>
        </w:rPr>
      </w:pPr>
      <w:r>
        <w:rPr>
          <w:rFonts w:cs="Times New Roman" w:eastAsia="華康中黑體"/>
          <w:b/>
          <w:kern w:val="2"/>
          <w:szCs w:val="27"/>
        </w:rPr>
        <w:t>商務及經濟發展局局長</w:t>
      </w:r>
      <w:r>
        <w:rPr>
          <w:szCs w:val="27"/>
        </w:rPr>
        <w:t>：代理主席，多謝</w:t>
      </w:r>
      <w:r>
        <w:rPr>
          <w:rFonts w:ascii="華康細明體" w:hAnsi="華康細明體" w:cs="華康細明體"/>
          <w:szCs w:val="27"/>
        </w:rPr>
        <w:t>議員</w:t>
      </w:r>
      <w:r>
        <w:rPr>
          <w:szCs w:val="27"/>
        </w:rPr>
        <w:t>提出補充質詢。</w:t>
      </w:r>
    </w:p>
    <w:p>
      <w:pPr>
        <w:pStyle w:val="F21"/>
        <w:overflowPunct w:val="true"/>
        <w:rPr>
          <w:szCs w:val="27"/>
        </w:rPr>
      </w:pPr>
      <w:r>
        <w:rPr>
          <w:szCs w:val="27"/>
        </w:rPr>
      </w:r>
    </w:p>
    <w:p>
      <w:pPr>
        <w:pStyle w:val="F21"/>
        <w:overflowPunct w:val="true"/>
        <w:rPr>
          <w:szCs w:val="27"/>
        </w:rPr>
      </w:pPr>
      <w:r>
        <w:rPr>
          <w:szCs w:val="27"/>
        </w:rPr>
        <w:tab/>
      </w:r>
      <w:r>
        <w:rPr>
          <w:szCs w:val="27"/>
        </w:rPr>
        <w:t>我們注意到迄今並無任何證據或資料指出個別供應商</w:t>
      </w:r>
      <w:r>
        <w:rPr>
          <w:szCs w:val="27"/>
        </w:rPr>
        <w:t>(</w:t>
      </w:r>
      <w:r>
        <w:rPr>
          <w:szCs w:val="27"/>
        </w:rPr>
        <w:t>包括華為</w:t>
      </w:r>
      <w:r>
        <w:rPr>
          <w:szCs w:val="27"/>
        </w:rPr>
        <w:t>)</w:t>
      </w:r>
      <w:r>
        <w:rPr>
          <w:szCs w:val="27"/>
        </w:rPr>
        <w:t>的電訊設備會帶來網絡安全風險，而事實上，我們至今未有接獲網絡營辦商反映任何有關網絡安全風險的問題。</w:t>
      </w:r>
    </w:p>
    <w:p>
      <w:pPr>
        <w:pStyle w:val="F21"/>
        <w:overflowPunct w:val="true"/>
        <w:rPr>
          <w:szCs w:val="27"/>
        </w:rPr>
      </w:pPr>
      <w:r>
        <w:rPr>
          <w:szCs w:val="27"/>
        </w:rPr>
      </w:r>
    </w:p>
    <w:p>
      <w:pPr>
        <w:pStyle w:val="F21"/>
        <w:overflowPunct w:val="true"/>
        <w:rPr>
          <w:szCs w:val="27"/>
        </w:rPr>
      </w:pPr>
      <w:r>
        <w:rPr>
          <w:szCs w:val="27"/>
        </w:rPr>
        <w:tab/>
      </w:r>
      <w:r>
        <w:rPr>
          <w:szCs w:val="27"/>
        </w:rPr>
        <w:t>我們一直根據市場主導和技術中立的原則，讓本地流動網絡營辦商按照其實際商業考慮選擇任何穩定可靠和符合國際認可標準的設備，以建立其電訊網絡</w:t>
      </w:r>
      <w:r>
        <w:rPr>
          <w:szCs w:val="27"/>
        </w:rPr>
        <w:t>(</w:t>
      </w:r>
      <w:r>
        <w:rPr>
          <w:szCs w:val="27"/>
        </w:rPr>
        <w:t>包括</w:t>
      </w:r>
      <w:r>
        <w:rPr>
          <w:szCs w:val="27"/>
        </w:rPr>
        <w:t>5G</w:t>
      </w:r>
      <w:r>
        <w:rPr>
          <w:szCs w:val="27"/>
        </w:rPr>
        <w:t>網絡</w:t>
      </w:r>
      <w:r>
        <w:rPr>
          <w:szCs w:val="27"/>
        </w:rPr>
        <w:t>)</w:t>
      </w:r>
      <w:r>
        <w:rPr>
          <w:szCs w:val="27"/>
        </w:rPr>
        <w:t>。我相信本地流動網絡營辦商會妥善評估和釐定其</w:t>
      </w:r>
      <w:r>
        <w:rPr>
          <w:szCs w:val="27"/>
        </w:rPr>
        <w:t>5G</w:t>
      </w:r>
      <w:r>
        <w:rPr>
          <w:szCs w:val="27"/>
        </w:rPr>
        <w:t>網絡的採購策略，以確保網絡設備安全及可靠運作。</w:t>
      </w:r>
    </w:p>
    <w:p>
      <w:pPr>
        <w:pStyle w:val="F21"/>
        <w:overflowPunct w:val="true"/>
        <w:rPr>
          <w:szCs w:val="27"/>
        </w:rPr>
      </w:pPr>
      <w:r>
        <w:rPr>
          <w:szCs w:val="27"/>
        </w:rPr>
      </w:r>
    </w:p>
    <w:p>
      <w:pPr>
        <w:pStyle w:val="F21"/>
        <w:overflowPunct w:val="true"/>
        <w:rPr>
          <w:szCs w:val="27"/>
        </w:rPr>
      </w:pPr>
      <w:r>
        <w:rPr>
          <w:szCs w:val="27"/>
        </w:rPr>
      </w:r>
    </w:p>
    <w:p>
      <w:pPr>
        <w:pStyle w:val="F21"/>
        <w:overflowPunct w:val="true"/>
        <w:rPr>
          <w:i/>
          <w:i/>
          <w:szCs w:val="27"/>
        </w:rPr>
      </w:pPr>
      <w:r>
        <w:rPr>
          <w:rFonts w:cs="Times New Roman" w:eastAsia="華康中黑體"/>
          <w:b/>
          <w:kern w:val="2"/>
          <w:szCs w:val="27"/>
        </w:rPr>
        <w:t>廖長江議員</w:t>
      </w:r>
      <w:r>
        <w:rPr>
          <w:szCs w:val="27"/>
        </w:rPr>
        <w:t>：</w:t>
      </w:r>
      <w:r>
        <w:rPr>
          <w:i/>
          <w:szCs w:val="27"/>
        </w:rPr>
        <w:t>代理主席，</w:t>
      </w:r>
      <w:r>
        <w:rPr>
          <w:i/>
          <w:szCs w:val="27"/>
        </w:rPr>
        <w:t>5G</w:t>
      </w:r>
      <w:r>
        <w:rPr>
          <w:i/>
          <w:szCs w:val="27"/>
        </w:rPr>
        <w:t>是粵港澳大灣區智慧城市和物聯網發展的催化劑，而互聯互通會提高</w:t>
      </w:r>
      <w:r>
        <w:rPr>
          <w:i/>
          <w:szCs w:val="27"/>
        </w:rPr>
        <w:t>5G</w:t>
      </w:r>
      <w:r>
        <w:rPr>
          <w:i/>
          <w:szCs w:val="27"/>
        </w:rPr>
        <w:t>的頻譜價值。</w:t>
      </w:r>
    </w:p>
    <w:p>
      <w:pPr>
        <w:pStyle w:val="F21"/>
        <w:overflowPunct w:val="true"/>
        <w:rPr>
          <w:i/>
          <w:i/>
          <w:szCs w:val="27"/>
        </w:rPr>
      </w:pPr>
      <w:r>
        <w:rPr>
          <w:i/>
          <w:szCs w:val="27"/>
        </w:rPr>
      </w:r>
    </w:p>
    <w:p>
      <w:pPr>
        <w:pStyle w:val="F21"/>
        <w:overflowPunct w:val="true"/>
        <w:rPr>
          <w:i/>
          <w:i/>
          <w:szCs w:val="27"/>
        </w:rPr>
      </w:pPr>
      <w:r>
        <w:rPr>
          <w:i/>
          <w:szCs w:val="27"/>
        </w:rPr>
        <w:tab/>
      </w:r>
      <w:r>
        <w:rPr>
          <w:i/>
          <w:szCs w:val="27"/>
        </w:rPr>
        <w:t>我想問政府，有否進行與大灣區</w:t>
      </w:r>
      <w:r>
        <w:rPr>
          <w:i/>
          <w:szCs w:val="27"/>
        </w:rPr>
        <w:t>5G</w:t>
      </w:r>
      <w:r>
        <w:rPr>
          <w:i/>
          <w:szCs w:val="27"/>
        </w:rPr>
        <w:t>接軌的工作部署？如有，詳情為何？</w:t>
      </w:r>
    </w:p>
    <w:p>
      <w:pPr>
        <w:pStyle w:val="F21"/>
        <w:overflowPunct w:val="true"/>
        <w:rPr>
          <w:szCs w:val="27"/>
        </w:rPr>
      </w:pPr>
      <w:r>
        <w:rPr>
          <w:szCs w:val="27"/>
        </w:rPr>
      </w:r>
    </w:p>
    <w:p>
      <w:pPr>
        <w:pStyle w:val="F21"/>
        <w:overflowPunct w:val="true"/>
        <w:rPr>
          <w:szCs w:val="27"/>
        </w:rPr>
      </w:pPr>
      <w:r>
        <w:rPr>
          <w:szCs w:val="27"/>
        </w:rPr>
      </w:r>
    </w:p>
    <w:p>
      <w:pPr>
        <w:pStyle w:val="F21"/>
        <w:overflowPunct w:val="true"/>
        <w:rPr>
          <w:szCs w:val="27"/>
        </w:rPr>
      </w:pPr>
      <w:r>
        <w:rPr>
          <w:rFonts w:cs="Times New Roman" w:eastAsia="華康中黑體"/>
          <w:b/>
          <w:kern w:val="2"/>
          <w:szCs w:val="27"/>
        </w:rPr>
        <w:t>商務及經濟發展局局長</w:t>
      </w:r>
      <w:r>
        <w:rPr>
          <w:szCs w:val="27"/>
        </w:rPr>
        <w:t>：代理主席，多謝</w:t>
      </w:r>
      <w:r>
        <w:rPr>
          <w:rFonts w:ascii="華康細明體" w:hAnsi="華康細明體" w:cs="華康細明體"/>
          <w:szCs w:val="27"/>
        </w:rPr>
        <w:t>議員</w:t>
      </w:r>
      <w:r>
        <w:rPr>
          <w:szCs w:val="27"/>
        </w:rPr>
        <w:t>提出補充質詢。</w:t>
      </w:r>
    </w:p>
    <w:p>
      <w:pPr>
        <w:pStyle w:val="F21"/>
        <w:overflowPunct w:val="true"/>
        <w:rPr>
          <w:szCs w:val="27"/>
        </w:rPr>
      </w:pPr>
      <w:r>
        <w:rPr>
          <w:szCs w:val="27"/>
        </w:rPr>
      </w:r>
    </w:p>
    <w:p>
      <w:pPr>
        <w:pStyle w:val="F21"/>
        <w:overflowPunct w:val="true"/>
        <w:rPr>
          <w:szCs w:val="27"/>
        </w:rPr>
      </w:pPr>
      <w:r>
        <w:rPr>
          <w:szCs w:val="27"/>
        </w:rPr>
        <w:tab/>
      </w:r>
      <w:r>
        <w:rPr>
          <w:szCs w:val="27"/>
        </w:rPr>
        <w:t>在與內地的聯繫方面，正如我在主體答覆中提到，我們會在終止模擬電視廣播</w:t>
      </w:r>
      <w:r>
        <w:rPr>
          <w:szCs w:val="27"/>
        </w:rPr>
        <w:t>(ASO)</w:t>
      </w:r>
      <w:r>
        <w:rPr>
          <w:szCs w:val="27"/>
        </w:rPr>
        <w:t>後騰空</w:t>
      </w:r>
      <w:r>
        <w:rPr>
          <w:szCs w:val="27"/>
        </w:rPr>
        <w:t>600</w:t>
      </w:r>
      <w:r>
        <w:rPr>
          <w:rFonts w:ascii="華康細明體" w:hAnsi="華康細明體"/>
          <w:szCs w:val="27"/>
        </w:rPr>
        <w:t>/</w:t>
      </w:r>
      <w:r>
        <w:rPr>
          <w:szCs w:val="27"/>
        </w:rPr>
        <w:t>700</w:t>
      </w:r>
      <w:r>
        <w:rPr>
          <w:szCs w:val="27"/>
        </w:rPr>
        <w:t>兆赫頻帶，供室內如地鐵站等電訊網絡較擠塞的地方使用。在這方面，我們會與內地不同部委進行商討。</w:t>
      </w:r>
    </w:p>
    <w:p>
      <w:pPr>
        <w:pStyle w:val="Normal"/>
        <w:widowControl/>
        <w:tabs>
          <w:tab w:val="clear" w:pos="720"/>
        </w:tabs>
        <w:snapToGrid w:val="true"/>
        <w:spacing w:lineRule="auto" w:line="276" w:before="0" w:after="200"/>
        <w:jc w:val="left"/>
        <w:rPr>
          <w:rFonts w:cs="" w:cstheme="minorBidi"/>
          <w:spacing w:val="20"/>
          <w:sz w:val="27"/>
          <w:szCs w:val="27"/>
          <w:lang w:val="en-US"/>
        </w:rPr>
      </w:pPr>
      <w:r>
        <w:rPr>
          <w:rFonts w:cs="" w:cstheme="minorBidi"/>
          <w:spacing w:val="20"/>
          <w:sz w:val="27"/>
          <w:szCs w:val="27"/>
          <w:lang w:val="en-US"/>
        </w:rPr>
      </w:r>
      <w:r>
        <w:br w:type="page"/>
      </w:r>
    </w:p>
    <w:p>
      <w:pPr>
        <w:pStyle w:val="F21"/>
        <w:overflowPunct w:val="true"/>
        <w:rPr>
          <w:i/>
          <w:i/>
          <w:szCs w:val="27"/>
        </w:rPr>
      </w:pPr>
      <w:r>
        <w:rPr>
          <w:rFonts w:cs="Times New Roman" w:eastAsia="華康中黑體"/>
          <w:b/>
          <w:kern w:val="2"/>
          <w:szCs w:val="27"/>
        </w:rPr>
        <w:t>葛珮帆議員</w:t>
      </w:r>
      <w:r>
        <w:rPr>
          <w:szCs w:val="27"/>
        </w:rPr>
        <w:t>：</w:t>
      </w:r>
      <w:r>
        <w:rPr>
          <w:i/>
          <w:szCs w:val="27"/>
        </w:rPr>
        <w:t>代理主席，根據以往報道，其實局方在</w:t>
      </w:r>
      <w:r>
        <w:rPr>
          <w:i/>
          <w:szCs w:val="27"/>
        </w:rPr>
        <w:t>2018</w:t>
      </w:r>
      <w:r>
        <w:rPr>
          <w:i/>
          <w:szCs w:val="27"/>
        </w:rPr>
        <w:t>年</w:t>
      </w:r>
      <w:r>
        <w:rPr>
          <w:i/>
          <w:szCs w:val="27"/>
        </w:rPr>
        <w:t>7</w:t>
      </w:r>
      <w:r>
        <w:rPr>
          <w:i/>
          <w:szCs w:val="27"/>
        </w:rPr>
        <w:t>月已表示正與電訊服務供應商討論如何解決大埔和赤柱的盲點問題，並會在今年第一季有結果，決定可否在限制區內有限度地使用</w:t>
      </w:r>
      <w:r>
        <w:rPr>
          <w:i/>
          <w:szCs w:val="27"/>
        </w:rPr>
        <w:t>5G</w:t>
      </w:r>
      <w:r>
        <w:rPr>
          <w:i/>
          <w:szCs w:val="27"/>
        </w:rPr>
        <w:t>。但根據政府今次的主體答覆，現在似乎仍未能解決相關問題。其實市民最關注的是何時可以使用</w:t>
      </w:r>
      <w:r>
        <w:rPr>
          <w:i/>
          <w:szCs w:val="27"/>
        </w:rPr>
        <w:t>5G</w:t>
      </w:r>
      <w:r>
        <w:rPr>
          <w:i/>
          <w:szCs w:val="27"/>
        </w:rPr>
        <w:t>，以及會否未能覆蓋某些地區，出現盲點問題，但今天政府的答覆似乎未能給予市民很大信心。</w:t>
      </w:r>
    </w:p>
    <w:p>
      <w:pPr>
        <w:pStyle w:val="F21"/>
        <w:overflowPunct w:val="true"/>
        <w:rPr>
          <w:i/>
          <w:i/>
          <w:szCs w:val="27"/>
        </w:rPr>
      </w:pPr>
      <w:r>
        <w:rPr>
          <w:i/>
          <w:szCs w:val="27"/>
        </w:rPr>
      </w:r>
    </w:p>
    <w:p>
      <w:pPr>
        <w:pStyle w:val="F21"/>
        <w:overflowPunct w:val="true"/>
        <w:rPr>
          <w:szCs w:val="27"/>
        </w:rPr>
      </w:pPr>
      <w:r>
        <w:rPr>
          <w:i/>
          <w:szCs w:val="27"/>
        </w:rPr>
        <w:tab/>
      </w:r>
      <w:r>
        <w:rPr>
          <w:i/>
          <w:szCs w:val="27"/>
        </w:rPr>
        <w:t>如果衞星站營辦商不願意搬遷，而在限制區設置以</w:t>
      </w:r>
      <w:r>
        <w:rPr>
          <w:i/>
          <w:szCs w:val="27"/>
        </w:rPr>
        <w:t>3.5</w:t>
      </w:r>
      <w:r>
        <w:rPr>
          <w:i/>
          <w:szCs w:val="27"/>
        </w:rPr>
        <w:t>吉赫頻帶操作的流動服務基站的測試實驗又不太成功，政府還有否</w:t>
      </w:r>
      <w:r>
        <w:rPr>
          <w:i/>
          <w:szCs w:val="27"/>
        </w:rPr>
        <w:t>plan B(B</w:t>
      </w:r>
      <w:r>
        <w:rPr>
          <w:i/>
          <w:szCs w:val="27"/>
        </w:rPr>
        <w:t>計劃</w:t>
      </w:r>
      <w:r>
        <w:rPr>
          <w:i/>
          <w:szCs w:val="27"/>
        </w:rPr>
        <w:t>)</w:t>
      </w:r>
      <w:r>
        <w:rPr>
          <w:i/>
          <w:szCs w:val="27"/>
        </w:rPr>
        <w:t>或</w:t>
      </w:r>
      <w:r>
        <w:rPr>
          <w:i/>
          <w:szCs w:val="27"/>
        </w:rPr>
        <w:t>plan C(C</w:t>
      </w:r>
      <w:r>
        <w:rPr>
          <w:i/>
          <w:szCs w:val="27"/>
        </w:rPr>
        <w:t>計劃</w:t>
      </w:r>
      <w:r>
        <w:rPr>
          <w:i/>
          <w:szCs w:val="27"/>
        </w:rPr>
        <w:t>)</w:t>
      </w:r>
      <w:r>
        <w:rPr>
          <w:i/>
          <w:szCs w:val="27"/>
        </w:rPr>
        <w:t>，令大埔和赤柱不會變成</w:t>
      </w:r>
      <w:r>
        <w:rPr>
          <w:i/>
          <w:szCs w:val="27"/>
        </w:rPr>
        <w:t>5G</w:t>
      </w:r>
      <w:r>
        <w:rPr>
          <w:i/>
          <w:szCs w:val="27"/>
        </w:rPr>
        <w:t>的盲點呢？政府可否進一步澄清香港市民何時可以全面使用</w:t>
      </w:r>
      <w:r>
        <w:rPr>
          <w:i/>
          <w:szCs w:val="27"/>
        </w:rPr>
        <w:t>5G</w:t>
      </w:r>
      <w:r>
        <w:rPr>
          <w:i/>
          <w:szCs w:val="27"/>
        </w:rPr>
        <w:t>服務？</w:t>
      </w:r>
    </w:p>
    <w:p>
      <w:pPr>
        <w:pStyle w:val="F21"/>
        <w:overflowPunct w:val="true"/>
        <w:rPr/>
      </w:pPr>
      <w:r>
        <w:rPr/>
      </w:r>
    </w:p>
    <w:p>
      <w:pPr>
        <w:pStyle w:val="F21"/>
        <w:overflowPunct w:val="true"/>
        <w:rPr>
          <w:rFonts w:ascii="華康中黑體" w:hAnsi="華康中黑體" w:eastAsia="華康中黑體" w:cs="華康中黑體"/>
          <w:b/>
          <w:b/>
        </w:rPr>
      </w:pPr>
      <w:r>
        <w:rPr>
          <w:rFonts w:eastAsia="華康中黑體" w:cs="華康中黑體" w:ascii="華康中黑體" w:hAnsi="華康中黑體"/>
          <w:b/>
        </w:rPr>
      </w:r>
    </w:p>
    <w:p>
      <w:pPr>
        <w:pStyle w:val="F21"/>
        <w:overflowPunct w:val="true"/>
        <w:rPr/>
      </w:pPr>
      <w:r>
        <w:rPr>
          <w:rFonts w:ascii="華康中黑體" w:hAnsi="華康中黑體" w:cs="華康中黑體" w:eastAsia="華康中黑體"/>
          <w:b/>
        </w:rPr>
        <w:t>商務及經濟發展局局長</w:t>
      </w:r>
      <w:r>
        <w:rPr/>
        <w:t>：代理主席，多謝議員的質詢。正如我剛才回答莫議員的補充質詢，我們相信大約於</w:t>
      </w:r>
      <w:r>
        <w:rPr/>
        <w:t>2020</w:t>
      </w:r>
      <w:r>
        <w:rPr/>
        <w:t>年市場會推出商用</w:t>
      </w:r>
      <w:r>
        <w:rPr/>
        <w:t>5G</w:t>
      </w:r>
      <w:r>
        <w:rPr/>
        <w:t>服務，而事實上，有營辦商亦作出這種預測和承諾。此外，在頻譜方面，我剛才提到除</w:t>
      </w:r>
      <w:r>
        <w:rPr/>
        <w:t>3.5</w:t>
      </w:r>
      <w:r>
        <w:rPr/>
        <w:t>吉赫外，亦有</w:t>
      </w:r>
      <w:r>
        <w:rPr/>
        <w:t>3.3</w:t>
      </w:r>
      <w:r>
        <w:rPr/>
        <w:t>吉赫、</w:t>
      </w:r>
      <w:r>
        <w:rPr/>
        <w:t>4.9</w:t>
      </w:r>
      <w:r>
        <w:rPr/>
        <w:t>吉赫、</w:t>
      </w:r>
      <w:r>
        <w:rPr/>
        <w:t>26</w:t>
      </w:r>
      <w:r>
        <w:rPr/>
        <w:t>吉赫和</w:t>
      </w:r>
      <w:r>
        <w:rPr/>
        <w:t>28</w:t>
      </w:r>
      <w:r>
        <w:rPr/>
        <w:t>吉赫的頻譜推出市場，網絡營辦商可善用相關頻譜提高其覆蓋度。</w:t>
      </w:r>
    </w:p>
    <w:p>
      <w:pPr>
        <w:pStyle w:val="F21"/>
        <w:overflowPunct w:val="true"/>
        <w:rPr/>
      </w:pPr>
      <w:r>
        <w:rPr/>
      </w:r>
    </w:p>
    <w:p>
      <w:pPr>
        <w:pStyle w:val="F21"/>
        <w:overflowPunct w:val="true"/>
        <w:rPr/>
      </w:pPr>
      <w:r>
        <w:rPr/>
      </w:r>
    </w:p>
    <w:p>
      <w:pPr>
        <w:pStyle w:val="F21"/>
        <w:overflowPunct w:val="true"/>
        <w:rPr/>
      </w:pPr>
      <w:r>
        <w:rPr>
          <w:rFonts w:ascii="華康中黑體" w:hAnsi="華康中黑體" w:cs="華康中黑體" w:eastAsia="華康中黑體"/>
          <w:b/>
        </w:rPr>
        <w:t>謝偉俊議員</w:t>
      </w:r>
      <w:r>
        <w:rPr/>
        <w:t>：</w:t>
      </w:r>
      <w:r>
        <w:rPr>
          <w:i/>
        </w:rPr>
        <w:t>代理主席，我相信莫議員的質詢焦點在於兩種拖延。第一點是在成功拍賣後還需要兩年時間的所謂</w:t>
      </w:r>
      <w:r>
        <w:rPr>
          <w:i/>
        </w:rPr>
        <w:t>lead time(</w:t>
      </w:r>
      <w:r>
        <w:rPr>
          <w:i/>
        </w:rPr>
        <w:t>前期工作時間</w:t>
      </w:r>
      <w:r>
        <w:rPr>
          <w:i/>
        </w:rPr>
        <w:t>)</w:t>
      </w:r>
      <w:r>
        <w:rPr>
          <w:i/>
        </w:rPr>
        <w:t>準備，而另一點是根據以往做法，當局會在投標前</w:t>
      </w:r>
      <w:r>
        <w:rPr>
          <w:i/>
        </w:rPr>
        <w:t>7</w:t>
      </w:r>
      <w:r>
        <w:rPr>
          <w:i/>
        </w:rPr>
        <w:t>個月在本會進行所謂</w:t>
      </w:r>
      <w:r>
        <w:rPr>
          <w:i/>
        </w:rPr>
        <w:t>"</w:t>
      </w:r>
      <w:r>
        <w:rPr>
          <w:i/>
        </w:rPr>
        <w:t>過冷河</w:t>
      </w:r>
      <w:r>
        <w:rPr>
          <w:i/>
        </w:rPr>
        <w:t>"</w:t>
      </w:r>
      <w:r>
        <w:rPr>
          <w:i/>
        </w:rPr>
        <w:t>的程序交代詳情。在這方面，局長剛才介紹了多項措施，包括推出先導計劃、縮短審批時間至兩個月以提升效率，以及在先導計劃下籌備設置基站。我想問局長，相比以往的</w:t>
      </w:r>
      <w:r>
        <w:rPr>
          <w:i/>
        </w:rPr>
        <w:t>3G</w:t>
      </w:r>
      <w:r>
        <w:rPr>
          <w:i/>
        </w:rPr>
        <w:t>和</w:t>
      </w:r>
      <w:r>
        <w:rPr>
          <w:i/>
        </w:rPr>
        <w:t>4G</w:t>
      </w:r>
      <w:r>
        <w:rPr>
          <w:i/>
        </w:rPr>
        <w:t>年代，在籌備工作上，當局預計可否縮短所需的兩年時間，又或有何原因令諮詢期比以往延遲呢？</w:t>
      </w:r>
    </w:p>
    <w:p>
      <w:pPr>
        <w:pStyle w:val="F21"/>
        <w:overflowPunct w:val="true"/>
        <w:rPr/>
      </w:pPr>
      <w:r>
        <w:rPr/>
      </w:r>
    </w:p>
    <w:p>
      <w:pPr>
        <w:pStyle w:val="F21"/>
        <w:overflowPunct w:val="true"/>
        <w:rPr>
          <w:rFonts w:ascii="華康中黑體" w:hAnsi="華康中黑體" w:eastAsia="華康中黑體" w:cs="華康中黑體"/>
          <w:b/>
          <w:b/>
        </w:rPr>
      </w:pPr>
      <w:r>
        <w:rPr>
          <w:rFonts w:eastAsia="華康中黑體" w:cs="華康中黑體" w:ascii="華康中黑體" w:hAnsi="華康中黑體"/>
          <w:b/>
        </w:rPr>
      </w:r>
    </w:p>
    <w:p>
      <w:pPr>
        <w:pStyle w:val="F21"/>
        <w:overflowPunct w:val="true"/>
        <w:rPr/>
      </w:pPr>
      <w:r>
        <w:rPr>
          <w:rFonts w:ascii="華康中黑體" w:hAnsi="華康中黑體" w:cs="華康中黑體" w:eastAsia="華康中黑體"/>
          <w:b/>
        </w:rPr>
        <w:t>商務及經濟發展局局長</w:t>
      </w:r>
      <w:r>
        <w:rPr/>
        <w:t>：多謝議員提出補充質詢。正如我剛才所說，截至上月，我們仍在收集業界代表對</w:t>
      </w:r>
      <w:r>
        <w:rPr/>
        <w:t>5G</w:t>
      </w:r>
      <w:r>
        <w:rPr/>
        <w:t>拍賣安排的看法和建議，並會慎重考慮他們的意見。至於剛才提到推出頻譜後的</w:t>
      </w:r>
      <w:r>
        <w:rPr/>
        <w:t>lead time</w:t>
      </w:r>
      <w:r>
        <w:rPr/>
        <w:t>，即關乎鋪設安排的事宜，據我們經驗所得，很多營辦商在設置基站時需向不同部門提出申請，形成一個瓶頸位，因為營辦商往往要待數個月甚或一年半載才獲批准。因此，推出先導計劃旨在針對性地縮短相關流程，不同部門的審批由以往一年半載縮短至兩個月。</w:t>
      </w:r>
    </w:p>
    <w:p>
      <w:pPr>
        <w:pStyle w:val="Normal"/>
        <w:widowControl/>
        <w:tabs>
          <w:tab w:val="clear" w:pos="720"/>
        </w:tabs>
        <w:snapToGrid w:val="true"/>
        <w:spacing w:lineRule="auto" w:line="276" w:before="0" w:after="200"/>
        <w:jc w:val="left"/>
        <w:rPr>
          <w:rFonts w:cs="" w:cstheme="minorBidi"/>
          <w:spacing w:val="20"/>
          <w:sz w:val="27"/>
          <w:szCs w:val="22"/>
          <w:lang w:val="en-US"/>
        </w:rPr>
      </w:pPr>
      <w:r>
        <w:rPr>
          <w:rFonts w:cs="" w:cstheme="minorBidi"/>
          <w:spacing w:val="20"/>
          <w:sz w:val="27"/>
          <w:szCs w:val="22"/>
          <w:lang w:val="en-US"/>
        </w:rPr>
      </w:r>
      <w:r>
        <w:br w:type="page"/>
      </w:r>
    </w:p>
    <w:p>
      <w:pPr>
        <w:pStyle w:val="F21"/>
        <w:overflowPunct w:val="true"/>
        <w:spacing w:lineRule="atLeast" w:line="350"/>
        <w:rPr/>
      </w:pPr>
      <w:r>
        <w:rPr/>
        <w:tab/>
      </w:r>
      <w:r>
        <w:rPr/>
        <w:t>除此之外，政府去年已推出一項</w:t>
      </w:r>
      <w:r>
        <w:rPr/>
        <w:t>5G</w:t>
      </w:r>
      <w:r>
        <w:rPr/>
        <w:t>技術測試計劃。我剛才提到政府已發出</w:t>
      </w:r>
      <w:r>
        <w:rPr/>
        <w:t>25</w:t>
      </w:r>
      <w:r>
        <w:rPr/>
        <w:t>個許可證予有興趣人士，包括一些供應商和網絡營辦商，以預先進行一些</w:t>
      </w:r>
      <w:r>
        <w:rPr/>
        <w:t>prototyping(</w:t>
      </w:r>
      <w:r>
        <w:rPr/>
        <w:t>原型設計</w:t>
      </w:r>
      <w:r>
        <w:rPr/>
        <w:t>)</w:t>
      </w:r>
      <w:r>
        <w:rPr/>
        <w:t>或測試，希望有助進一步縮短後期鋪設所需的時間。我剛才還提到香港有一些特點，就是人口集中和土地面積相當細小，而由於流動電話服務用戶的滲透率高，營辦商在鋪設網絡時可大大減低成本和時間，即進一步縮短我剛才提到的鋪設時間。</w:t>
      </w:r>
    </w:p>
    <w:p>
      <w:pPr>
        <w:pStyle w:val="F21"/>
        <w:overflowPunct w:val="true"/>
        <w:spacing w:lineRule="atLeast" w:line="350"/>
        <w:rPr/>
      </w:pPr>
      <w:r>
        <w:rPr/>
      </w:r>
    </w:p>
    <w:p>
      <w:pPr>
        <w:pStyle w:val="F21"/>
        <w:overflowPunct w:val="true"/>
        <w:spacing w:lineRule="atLeast" w:line="350"/>
        <w:rPr>
          <w:rFonts w:cs="Times New Roman"/>
        </w:rPr>
      </w:pPr>
      <w:r>
        <w:rPr>
          <w:rFonts w:cs="Times New Roman"/>
        </w:rPr>
      </w:r>
    </w:p>
    <w:p>
      <w:pPr>
        <w:pStyle w:val="F21"/>
        <w:overflowPunct w:val="true"/>
        <w:spacing w:lineRule="atLeast" w:line="350"/>
        <w:rPr>
          <w:rFonts w:cs="Times New Roman"/>
        </w:rPr>
      </w:pPr>
      <w:r>
        <w:rPr>
          <w:rFonts w:cs="Times New Roman" w:eastAsia="華康中黑體"/>
          <w:b/>
        </w:rPr>
        <w:t>代理主席</w:t>
      </w:r>
      <w:r>
        <w:rPr>
          <w:rFonts w:cs="Times New Roman"/>
        </w:rPr>
        <w:t>：第五項質詢。</w:t>
      </w:r>
    </w:p>
    <w:p>
      <w:pPr>
        <w:pStyle w:val="F21"/>
        <w:overflowPunct w:val="true"/>
        <w:spacing w:lineRule="atLeast" w:line="350"/>
        <w:rPr>
          <w:rFonts w:cs="Times New Roman"/>
        </w:rPr>
      </w:pPr>
      <w:r>
        <w:rPr>
          <w:rFonts w:cs="Times New Roman"/>
        </w:rPr>
      </w:r>
    </w:p>
    <w:p>
      <w:pPr>
        <w:pStyle w:val="F21"/>
        <w:overflowPunct w:val="true"/>
        <w:spacing w:lineRule="atLeast" w:line="350"/>
        <w:rPr>
          <w:rFonts w:cs="Times New Roman"/>
        </w:rPr>
      </w:pPr>
      <w:r>
        <w:rPr>
          <w:rFonts w:cs="Times New Roman"/>
        </w:rPr>
      </w:r>
    </w:p>
    <w:p>
      <w:pPr>
        <w:pStyle w:val="F21"/>
        <w:overflowPunct w:val="true"/>
        <w:spacing w:lineRule="atLeast" w:line="350"/>
        <w:rPr>
          <w:rFonts w:eastAsia="華康中黑體" w:cs="Times New Roman"/>
          <w:b/>
          <w:b/>
        </w:rPr>
      </w:pPr>
      <w:bookmarkStart w:id="20" w:name="orq05"/>
      <w:r>
        <w:rPr>
          <w:rFonts w:cs="Times New Roman" w:eastAsia="華康中黑體"/>
          <w:b/>
        </w:rPr>
        <w:t>善用政府物業及土地</w:t>
      </w:r>
    </w:p>
    <w:p>
      <w:pPr>
        <w:pStyle w:val="Normal"/>
        <w:overflowPunct w:val="true"/>
        <w:spacing w:lineRule="atLeast" w:line="350"/>
        <w:rPr>
          <w:b/>
          <w:b/>
        </w:rPr>
      </w:pPr>
      <w:bookmarkStart w:id="21" w:name="orq05"/>
      <w:r>
        <w:rPr>
          <w:b/>
        </w:rPr>
        <w:t>Making good use of government properties and lands</w:t>
      </w:r>
      <w:bookmarkEnd w:id="21"/>
    </w:p>
    <w:p>
      <w:pPr>
        <w:pStyle w:val="F21"/>
        <w:overflowPunct w:val="true"/>
        <w:spacing w:lineRule="atLeast" w:line="350"/>
        <w:rPr>
          <w:rFonts w:cs="Times New Roman"/>
        </w:rPr>
      </w:pPr>
      <w:r>
        <w:rPr>
          <w:rFonts w:cs="Times New Roman"/>
        </w:rPr>
      </w:r>
    </w:p>
    <w:p>
      <w:pPr>
        <w:pStyle w:val="F21"/>
        <w:spacing w:lineRule="atLeast" w:line="350"/>
        <w:rPr>
          <w:i/>
          <w:i/>
          <w:szCs w:val="27"/>
        </w:rPr>
      </w:pPr>
      <w:r>
        <w:rPr>
          <w:rFonts w:eastAsia="華康中黑體" w:cs="Times New Roman"/>
          <w:b/>
          <w:szCs w:val="27"/>
        </w:rPr>
        <w:t>5.</w:t>
        <w:tab/>
      </w:r>
      <w:r>
        <w:rPr>
          <w:rFonts w:cs="Times New Roman" w:eastAsia="華康中黑體"/>
          <w:b/>
          <w:szCs w:val="27"/>
        </w:rPr>
        <w:t>劉國勳議員</w:t>
      </w:r>
      <w:r>
        <w:rPr>
          <w:szCs w:val="27"/>
        </w:rPr>
        <w:t>：</w:t>
      </w:r>
      <w:r>
        <w:rPr>
          <w:i/>
          <w:szCs w:val="27"/>
        </w:rPr>
        <w:t>代理主席，據報，現時有不少位於市區的政府物業多年來空置或只作臨時用途，有浪費珍貴土地資源之嫌。例如，前旺角街市於</w:t>
      </w:r>
      <w:r>
        <w:rPr>
          <w:i/>
          <w:szCs w:val="27"/>
        </w:rPr>
        <w:t>9</w:t>
      </w:r>
      <w:r>
        <w:rPr>
          <w:i/>
          <w:szCs w:val="27"/>
        </w:rPr>
        <w:t>年前關閉以來，一直只作臨時儲物用途。另一方面，非政府機構現時可申請以短期租約形式租用某些空置政府用地，作社區、團體或其他非牟利用途。就此，政府可否告知本會：</w:t>
      </w:r>
    </w:p>
    <w:p>
      <w:pPr>
        <w:pStyle w:val="F21"/>
        <w:spacing w:lineRule="atLeast" w:line="350"/>
        <w:rPr>
          <w:i/>
          <w:i/>
          <w:szCs w:val="27"/>
        </w:rPr>
      </w:pPr>
      <w:r>
        <w:rPr>
          <w:i/>
          <w:szCs w:val="27"/>
        </w:rPr>
      </w:r>
    </w:p>
    <w:p>
      <w:pPr>
        <w:pStyle w:val="F21"/>
        <w:spacing w:lineRule="atLeast" w:line="350"/>
        <w:ind w:left="1418" w:hanging="851"/>
        <w:rPr>
          <w:i/>
          <w:i/>
          <w:szCs w:val="27"/>
        </w:rPr>
      </w:pPr>
      <w:r>
        <w:rPr>
          <w:i/>
          <w:szCs w:val="27"/>
        </w:rPr>
        <w:t>(</w:t>
      </w:r>
      <w:r>
        <w:rPr>
          <w:i/>
          <w:szCs w:val="27"/>
        </w:rPr>
        <w:t>一</w:t>
      </w:r>
      <w:r>
        <w:rPr>
          <w:i/>
          <w:szCs w:val="27"/>
        </w:rPr>
        <w:t>)</w:t>
        <w:tab/>
      </w:r>
      <w:r>
        <w:rPr>
          <w:i/>
          <w:szCs w:val="27"/>
        </w:rPr>
        <w:t>現時每個空置或作臨時儲物用途而總樓面面積超過</w:t>
      </w:r>
      <w:r>
        <w:rPr>
          <w:i/>
          <w:szCs w:val="27"/>
        </w:rPr>
        <w:t>1 000</w:t>
      </w:r>
      <w:r>
        <w:rPr>
          <w:i/>
          <w:szCs w:val="27"/>
        </w:rPr>
        <w:t>平方呎的市區政府物業的地址、總樓面面積，以及出現該情況多久</w:t>
      </w:r>
      <w:r>
        <w:rPr>
          <w:i/>
          <w:szCs w:val="27"/>
        </w:rPr>
        <w:t>(</w:t>
      </w:r>
      <w:r>
        <w:rPr>
          <w:i/>
          <w:szCs w:val="27"/>
        </w:rPr>
        <w:t>以表列出該等資料</w:t>
      </w:r>
      <w:r>
        <w:rPr>
          <w:i/>
          <w:szCs w:val="27"/>
        </w:rPr>
        <w:t>)</w:t>
      </w:r>
      <w:r>
        <w:rPr>
          <w:i/>
          <w:szCs w:val="27"/>
        </w:rPr>
        <w:t>；鑒於政府在本年度財政預算案中建議撥款</w:t>
      </w:r>
      <w:r>
        <w:rPr>
          <w:i/>
          <w:szCs w:val="27"/>
        </w:rPr>
        <w:t>200</w:t>
      </w:r>
      <w:r>
        <w:rPr>
          <w:i/>
          <w:szCs w:val="27"/>
        </w:rPr>
        <w:t>億元購買</w:t>
      </w:r>
      <w:r>
        <w:rPr>
          <w:i/>
          <w:szCs w:val="27"/>
        </w:rPr>
        <w:t>60</w:t>
      </w:r>
      <w:r>
        <w:rPr>
          <w:i/>
          <w:szCs w:val="27"/>
        </w:rPr>
        <w:t>個物業，以增設社福設施，政府在作出此建議前有否考慮先把剛提及的政府物業用作社福設施；如有，詳情為何；如否，原因為何；</w:t>
      </w:r>
    </w:p>
    <w:p>
      <w:pPr>
        <w:pStyle w:val="F21"/>
        <w:spacing w:lineRule="atLeast" w:line="350"/>
        <w:ind w:left="1418" w:hanging="851"/>
        <w:rPr>
          <w:i/>
          <w:i/>
          <w:szCs w:val="27"/>
        </w:rPr>
      </w:pPr>
      <w:r>
        <w:rPr>
          <w:i/>
          <w:szCs w:val="27"/>
        </w:rPr>
      </w:r>
    </w:p>
    <w:p>
      <w:pPr>
        <w:pStyle w:val="F21"/>
        <w:spacing w:lineRule="atLeast" w:line="350"/>
        <w:ind w:left="1418" w:hanging="851"/>
        <w:rPr>
          <w:i/>
          <w:i/>
          <w:szCs w:val="27"/>
        </w:rPr>
      </w:pPr>
      <w:r>
        <w:rPr>
          <w:i/>
          <w:szCs w:val="27"/>
        </w:rPr>
        <w:t>(</w:t>
      </w:r>
      <w:r>
        <w:rPr>
          <w:i/>
          <w:szCs w:val="27"/>
        </w:rPr>
        <w:t>二</w:t>
      </w:r>
      <w:r>
        <w:rPr>
          <w:i/>
          <w:szCs w:val="27"/>
        </w:rPr>
        <w:t>)</w:t>
        <w:tab/>
      </w:r>
      <w:r>
        <w:rPr>
          <w:i/>
          <w:szCs w:val="27"/>
        </w:rPr>
        <w:t>長遠而言，政府有否計劃將第</w:t>
      </w:r>
      <w:r>
        <w:rPr>
          <w:i/>
          <w:szCs w:val="27"/>
        </w:rPr>
        <w:t>(</w:t>
      </w:r>
      <w:r>
        <w:rPr>
          <w:i/>
          <w:szCs w:val="27"/>
        </w:rPr>
        <w:t>一</w:t>
      </w:r>
      <w:r>
        <w:rPr>
          <w:i/>
          <w:szCs w:val="27"/>
        </w:rPr>
        <w:t>)</w:t>
      </w:r>
      <w:r>
        <w:rPr>
          <w:i/>
          <w:szCs w:val="27"/>
        </w:rPr>
        <w:t>項提及的政府物業改作福利、過渡性房屋或其他公共用途，以期物盡其用；如有，詳情為何；如否，原因為何；及</w:t>
      </w:r>
    </w:p>
    <w:p>
      <w:pPr>
        <w:pStyle w:val="F21"/>
        <w:spacing w:lineRule="atLeast" w:line="350"/>
        <w:ind w:left="1418" w:hanging="851"/>
        <w:rPr>
          <w:i/>
          <w:i/>
          <w:szCs w:val="27"/>
        </w:rPr>
      </w:pPr>
      <w:r>
        <w:rPr>
          <w:i/>
          <w:szCs w:val="27"/>
        </w:rPr>
      </w:r>
    </w:p>
    <w:p>
      <w:pPr>
        <w:pStyle w:val="F21"/>
        <w:spacing w:lineRule="atLeast" w:line="350"/>
        <w:ind w:left="1418" w:hanging="851"/>
        <w:rPr>
          <w:i/>
          <w:i/>
          <w:szCs w:val="27"/>
        </w:rPr>
      </w:pPr>
      <w:r>
        <w:rPr>
          <w:i/>
          <w:szCs w:val="27"/>
        </w:rPr>
        <w:t>(</w:t>
      </w:r>
      <w:r>
        <w:rPr>
          <w:i/>
          <w:szCs w:val="27"/>
        </w:rPr>
        <w:t>三</w:t>
      </w:r>
      <w:r>
        <w:rPr>
          <w:i/>
          <w:szCs w:val="27"/>
        </w:rPr>
        <w:t>)</w:t>
        <w:tab/>
      </w:r>
      <w:r>
        <w:rPr>
          <w:i/>
          <w:szCs w:val="27"/>
        </w:rPr>
        <w:t>政府至今分別接獲和批准了多少宗以短期租約形式租用空置政府用地的申請；每宗獲批申請的平均處理時間，以及有否檢討有關措施的成效；如有，詳情為何？</w:t>
      </w:r>
    </w:p>
    <w:p>
      <w:pPr>
        <w:pStyle w:val="F21"/>
        <w:spacing w:lineRule="atLeast" w:line="350"/>
        <w:rPr>
          <w:szCs w:val="27"/>
        </w:rPr>
      </w:pPr>
      <w:r>
        <w:rPr>
          <w:szCs w:val="27"/>
        </w:rPr>
      </w:r>
    </w:p>
    <w:p>
      <w:pPr>
        <w:pStyle w:val="F21"/>
        <w:spacing w:lineRule="atLeast" w:line="350"/>
        <w:rPr>
          <w:szCs w:val="27"/>
        </w:rPr>
      </w:pPr>
      <w:r>
        <w:rPr>
          <w:szCs w:val="27"/>
        </w:rPr>
      </w:r>
    </w:p>
    <w:p>
      <w:pPr>
        <w:pStyle w:val="F21"/>
        <w:spacing w:lineRule="atLeast" w:line="350"/>
        <w:rPr>
          <w:szCs w:val="27"/>
        </w:rPr>
      </w:pPr>
      <w:r>
        <w:rPr>
          <w:rFonts w:ascii="華康中黑體" w:hAnsi="華康中黑體" w:eastAsia="華康中黑體"/>
          <w:b/>
          <w:szCs w:val="27"/>
        </w:rPr>
        <w:t>財經事務及庫務局局長</w:t>
      </w:r>
      <w:r>
        <w:rPr>
          <w:szCs w:val="27"/>
        </w:rPr>
        <w:t>：代理主席，政府物業主要用作政府部門的辦公地方，以及提供公共服務。負責管理物業的部門須確保物業得到善用，並在物業超出部門運作需要時，按已有機制將相關物業騰出，讓其他政府部門使用，或以商業出租或開放予非政府機構等方式，供公眾使用。</w:t>
      </w:r>
    </w:p>
    <w:p>
      <w:pPr>
        <w:pStyle w:val="F21"/>
        <w:rPr>
          <w:szCs w:val="27"/>
        </w:rPr>
      </w:pPr>
      <w:r>
        <w:rPr>
          <w:szCs w:val="27"/>
        </w:rPr>
      </w:r>
    </w:p>
    <w:p>
      <w:pPr>
        <w:pStyle w:val="F21"/>
        <w:rPr>
          <w:szCs w:val="27"/>
        </w:rPr>
      </w:pPr>
      <w:r>
        <w:rPr>
          <w:szCs w:val="27"/>
        </w:rPr>
        <w:tab/>
      </w:r>
      <w:r>
        <w:rPr>
          <w:szCs w:val="27"/>
        </w:rPr>
        <w:t>就質詢的</w:t>
      </w:r>
      <w:r>
        <w:rPr>
          <w:szCs w:val="27"/>
        </w:rPr>
        <w:t>3</w:t>
      </w:r>
      <w:r>
        <w:rPr>
          <w:szCs w:val="27"/>
        </w:rPr>
        <w:t>部分，我在諮詢發展局、教育局、勞工及福利局、政府產業署</w:t>
      </w:r>
      <w:r>
        <w:rPr>
          <w:szCs w:val="27"/>
        </w:rPr>
        <w:t>("</w:t>
      </w:r>
      <w:r>
        <w:rPr>
          <w:szCs w:val="27"/>
        </w:rPr>
        <w:t>產業署</w:t>
      </w:r>
      <w:r>
        <w:rPr>
          <w:szCs w:val="27"/>
        </w:rPr>
        <w:t>")</w:t>
      </w:r>
      <w:r>
        <w:rPr>
          <w:szCs w:val="27"/>
        </w:rPr>
        <w:t>及房屋署後，政府的綜合答覆如下：</w:t>
      </w:r>
    </w:p>
    <w:p>
      <w:pPr>
        <w:pStyle w:val="F21"/>
        <w:rPr>
          <w:szCs w:val="27"/>
        </w:rPr>
      </w:pPr>
      <w:r>
        <w:rPr>
          <w:szCs w:val="27"/>
        </w:rPr>
      </w:r>
    </w:p>
    <w:p>
      <w:pPr>
        <w:pStyle w:val="F21"/>
        <w:ind w:left="1418" w:hanging="851"/>
        <w:rPr>
          <w:szCs w:val="27"/>
        </w:rPr>
      </w:pPr>
      <w:r>
        <w:rPr>
          <w:szCs w:val="27"/>
        </w:rPr>
        <w:t>(</w:t>
      </w:r>
      <w:r>
        <w:rPr>
          <w:szCs w:val="27"/>
        </w:rPr>
        <w:t>一</w:t>
      </w:r>
      <w:r>
        <w:rPr>
          <w:szCs w:val="27"/>
        </w:rPr>
        <w:t>)</w:t>
      </w:r>
      <w:r>
        <w:rPr>
          <w:szCs w:val="27"/>
        </w:rPr>
        <w:t>及</w:t>
      </w:r>
      <w:r>
        <w:rPr>
          <w:szCs w:val="27"/>
        </w:rPr>
        <w:t>(</w:t>
      </w:r>
      <w:r>
        <w:rPr>
          <w:szCs w:val="27"/>
        </w:rPr>
        <w:t>二</w:t>
      </w:r>
      <w:r>
        <w:rPr>
          <w:szCs w:val="27"/>
        </w:rPr>
        <w:t>)</w:t>
      </w:r>
    </w:p>
    <w:p>
      <w:pPr>
        <w:pStyle w:val="F21"/>
        <w:ind w:left="1418" w:hanging="851"/>
        <w:rPr>
          <w:szCs w:val="27"/>
        </w:rPr>
      </w:pPr>
      <w:r>
        <w:rPr>
          <w:szCs w:val="27"/>
        </w:rPr>
      </w:r>
    </w:p>
    <w:p>
      <w:pPr>
        <w:pStyle w:val="F21"/>
        <w:ind w:left="1418" w:hanging="851"/>
        <w:rPr>
          <w:szCs w:val="27"/>
        </w:rPr>
      </w:pPr>
      <w:r>
        <w:rPr>
          <w:szCs w:val="27"/>
        </w:rPr>
        <w:tab/>
      </w:r>
      <w:r>
        <w:rPr>
          <w:szCs w:val="27"/>
        </w:rPr>
        <w:t>空置政府物業大致可以分為校舍和非校舍兩類。</w:t>
      </w:r>
    </w:p>
    <w:p>
      <w:pPr>
        <w:pStyle w:val="F21"/>
        <w:ind w:left="1418" w:hanging="851"/>
        <w:rPr>
          <w:szCs w:val="27"/>
        </w:rPr>
      </w:pPr>
      <w:r>
        <w:rPr>
          <w:szCs w:val="27"/>
        </w:rPr>
      </w:r>
    </w:p>
    <w:p>
      <w:pPr>
        <w:pStyle w:val="F21"/>
        <w:ind w:left="1418" w:hanging="851"/>
        <w:rPr>
          <w:szCs w:val="27"/>
        </w:rPr>
      </w:pPr>
      <w:r>
        <w:rPr>
          <w:szCs w:val="27"/>
        </w:rPr>
        <w:tab/>
      </w:r>
      <w:r>
        <w:rPr>
          <w:szCs w:val="27"/>
        </w:rPr>
        <w:t>根據教育局的資料，截至</w:t>
      </w:r>
      <w:r>
        <w:rPr>
          <w:szCs w:val="27"/>
        </w:rPr>
        <w:t>2019</w:t>
      </w:r>
      <w:r>
        <w:rPr>
          <w:szCs w:val="27"/>
        </w:rPr>
        <w:t>年</w:t>
      </w:r>
      <w:r>
        <w:rPr>
          <w:szCs w:val="27"/>
        </w:rPr>
        <w:t>2</w:t>
      </w:r>
      <w:r>
        <w:rPr>
          <w:szCs w:val="27"/>
        </w:rPr>
        <w:t>月底，該局轄下共有</w:t>
      </w:r>
      <w:r>
        <w:rPr>
          <w:szCs w:val="27"/>
        </w:rPr>
        <w:t>5</w:t>
      </w:r>
      <w:r>
        <w:rPr>
          <w:szCs w:val="27"/>
        </w:rPr>
        <w:t>間位於市區及屬政府物業的空置校舍，預留或保留作學校或其他教育用途。這些校舍的地址、佔地面積及停辦學年的資料載列於附件一。根據現行處理空置校舍的中央調配機制，如確認空置校舍無需由教育局分配作學校用途，教育局會知會規劃署及其他相關部門</w:t>
      </w:r>
      <w:r>
        <w:rPr>
          <w:szCs w:val="27"/>
        </w:rPr>
        <w:t>(</w:t>
      </w:r>
      <w:r>
        <w:rPr>
          <w:szCs w:val="27"/>
        </w:rPr>
        <w:t>例如地政總署和房屋署</w:t>
      </w:r>
      <w:r>
        <w:rPr>
          <w:szCs w:val="27"/>
        </w:rPr>
        <w:t>)</w:t>
      </w:r>
      <w:r>
        <w:rPr>
          <w:szCs w:val="27"/>
        </w:rPr>
        <w:t>，以便規劃署考慮其他合適長遠用途。</w:t>
      </w:r>
    </w:p>
    <w:p>
      <w:pPr>
        <w:pStyle w:val="F21"/>
        <w:ind w:left="1418" w:hanging="851"/>
        <w:rPr>
          <w:szCs w:val="27"/>
        </w:rPr>
      </w:pPr>
      <w:r>
        <w:rPr>
          <w:szCs w:val="27"/>
        </w:rPr>
      </w:r>
    </w:p>
    <w:p>
      <w:pPr>
        <w:pStyle w:val="F21"/>
        <w:ind w:left="1418" w:hanging="851"/>
        <w:rPr>
          <w:szCs w:val="27"/>
        </w:rPr>
      </w:pPr>
      <w:r>
        <w:rPr>
          <w:szCs w:val="27"/>
        </w:rPr>
        <w:tab/>
      </w:r>
      <w:r>
        <w:rPr>
          <w:szCs w:val="27"/>
        </w:rPr>
        <w:t>至於非校舍物業方面，根據相關部門向產業署提供的資料，因為超出政府運作需要而空置、總樓面面積超過</w:t>
      </w:r>
      <w:r>
        <w:rPr>
          <w:szCs w:val="27"/>
        </w:rPr>
        <w:t>100</w:t>
      </w:r>
      <w:r>
        <w:rPr>
          <w:szCs w:val="27"/>
        </w:rPr>
        <w:t>平方米、並位於市區的政府物業載列於附件二。至於用作儲物用途而總樓面面積超過</w:t>
      </w:r>
      <w:r>
        <w:rPr>
          <w:szCs w:val="27"/>
        </w:rPr>
        <w:t>100</w:t>
      </w:r>
      <w:r>
        <w:rPr>
          <w:szCs w:val="27"/>
        </w:rPr>
        <w:t>平方米、位於市區的政府物業資料則載於附件三。</w:t>
      </w:r>
    </w:p>
    <w:p>
      <w:pPr>
        <w:pStyle w:val="F21"/>
        <w:ind w:left="1418" w:hanging="851"/>
        <w:rPr>
          <w:szCs w:val="27"/>
        </w:rPr>
      </w:pPr>
      <w:r>
        <w:rPr>
          <w:szCs w:val="27"/>
        </w:rPr>
      </w:r>
    </w:p>
    <w:p>
      <w:pPr>
        <w:pStyle w:val="F21"/>
        <w:ind w:left="1418" w:hanging="851"/>
        <w:rPr>
          <w:szCs w:val="27"/>
        </w:rPr>
      </w:pPr>
      <w:r>
        <w:rPr>
          <w:szCs w:val="27"/>
        </w:rPr>
        <w:tab/>
      </w:r>
      <w:r>
        <w:rPr>
          <w:szCs w:val="27"/>
        </w:rPr>
        <w:t>政府部門須不時檢視由它們管理的政府物業，確保物業得到善用。如政府物業已不再需要保留原有用途，管理部門會首先檢視該些物業能否滿足部門自身的其他需要。如否，部門可以要求產業署協助，物色其他用戶部門。如確認物業已經超出政府運作所需，管理部門在產業署的協助下，會以商業模式出租物業、開放予非政府機構租用或出售物業。在物業轉換用途期間，管理部門需要繼續管理物業，包括安排臨時用途</w:t>
      </w:r>
      <w:r>
        <w:rPr>
          <w:szCs w:val="27"/>
        </w:rPr>
        <w:t>(</w:t>
      </w:r>
      <w:r>
        <w:rPr>
          <w:szCs w:val="27"/>
        </w:rPr>
        <w:t>例如儲物</w:t>
      </w:r>
      <w:r>
        <w:rPr>
          <w:szCs w:val="27"/>
        </w:rPr>
        <w:t>)</w:t>
      </w:r>
      <w:r>
        <w:rPr>
          <w:szCs w:val="27"/>
        </w:rPr>
        <w:t>，盡量善用物業。</w:t>
      </w:r>
    </w:p>
    <w:p>
      <w:pPr>
        <w:pStyle w:val="F21"/>
        <w:ind w:left="1418" w:hanging="851"/>
        <w:rPr>
          <w:szCs w:val="27"/>
        </w:rPr>
      </w:pPr>
      <w:r>
        <w:rPr>
          <w:szCs w:val="27"/>
        </w:rPr>
      </w:r>
    </w:p>
    <w:p>
      <w:pPr>
        <w:pStyle w:val="F21"/>
        <w:ind w:left="1418" w:hanging="851"/>
        <w:rPr>
          <w:szCs w:val="27"/>
        </w:rPr>
      </w:pPr>
      <w:r>
        <w:rPr>
          <w:szCs w:val="27"/>
        </w:rPr>
        <w:tab/>
      </w:r>
      <w:r>
        <w:rPr>
          <w:szCs w:val="27"/>
        </w:rPr>
        <w:t>除了透過部門自行檢視，產業署會主動定期覆檢部門自行管理的物業和土地，就如何提高物業使用效益</w:t>
      </w:r>
      <w:r>
        <w:rPr>
          <w:szCs w:val="27"/>
        </w:rPr>
        <w:t>(</w:t>
      </w:r>
      <w:r>
        <w:rPr>
          <w:szCs w:val="27"/>
        </w:rPr>
        <w:t>例如將資源室改作多用途場地</w:t>
      </w:r>
      <w:r>
        <w:rPr>
          <w:szCs w:val="27"/>
        </w:rPr>
        <w:t>)</w:t>
      </w:r>
      <w:r>
        <w:rPr>
          <w:szCs w:val="27"/>
        </w:rPr>
        <w:t>提出建議。如情況許可，產業署亦會透過重置辦公室或現有設施，騰出未盡用的土地，與相關部門包括規劃署研究改作其他合適用途。相關部門會不時檢視附表內的物業用地用途，考慮包括福利、房屋等不同的公共用途。</w:t>
      </w:r>
    </w:p>
    <w:p>
      <w:pPr>
        <w:pStyle w:val="F21"/>
        <w:spacing w:lineRule="atLeast" w:line="370"/>
        <w:ind w:left="1418" w:hanging="851"/>
        <w:rPr>
          <w:szCs w:val="27"/>
        </w:rPr>
      </w:pPr>
      <w:r>
        <w:rPr>
          <w:szCs w:val="27"/>
        </w:rPr>
      </w:r>
    </w:p>
    <w:p>
      <w:pPr>
        <w:pStyle w:val="F21"/>
        <w:spacing w:lineRule="atLeast" w:line="370"/>
        <w:ind w:left="1418" w:hanging="851"/>
        <w:rPr>
          <w:szCs w:val="27"/>
        </w:rPr>
      </w:pPr>
      <w:r>
        <w:rPr>
          <w:szCs w:val="27"/>
        </w:rPr>
        <w:tab/>
      </w:r>
      <w:r>
        <w:rPr>
          <w:szCs w:val="27"/>
        </w:rPr>
        <w:t>未來，政府會以更積極進取的態度和協調的方式，透過</w:t>
      </w:r>
      <w:r>
        <w:rPr>
          <w:szCs w:val="27"/>
        </w:rPr>
        <w:t>"</w:t>
      </w:r>
      <w:r>
        <w:rPr>
          <w:szCs w:val="27"/>
        </w:rPr>
        <w:t>一地多用</w:t>
      </w:r>
      <w:r>
        <w:rPr>
          <w:szCs w:val="27"/>
        </w:rPr>
        <w:t>"</w:t>
      </w:r>
      <w:r>
        <w:rPr>
          <w:szCs w:val="27"/>
        </w:rPr>
        <w:t>的多層發展模式，在一些未盡其用的政府用地，整合及提供更多</w:t>
      </w:r>
      <w:r>
        <w:rPr>
          <w:szCs w:val="27"/>
        </w:rPr>
        <w:t>"</w:t>
      </w:r>
      <w:r>
        <w:rPr>
          <w:szCs w:val="27"/>
        </w:rPr>
        <w:t>政府、機構或社區</w:t>
      </w:r>
      <w:r>
        <w:rPr>
          <w:szCs w:val="27"/>
        </w:rPr>
        <w:t>"</w:t>
      </w:r>
      <w:r>
        <w:rPr>
          <w:szCs w:val="27"/>
        </w:rPr>
        <w:t>設施，發揮這些用地最大的效益，提供更多的社區設施。</w:t>
      </w:r>
    </w:p>
    <w:p>
      <w:pPr>
        <w:pStyle w:val="F21"/>
        <w:spacing w:lineRule="atLeast" w:line="370"/>
        <w:ind w:left="1418" w:hanging="851"/>
        <w:rPr>
          <w:szCs w:val="27"/>
        </w:rPr>
      </w:pPr>
      <w:r>
        <w:rPr>
          <w:szCs w:val="27"/>
        </w:rPr>
      </w:r>
    </w:p>
    <w:p>
      <w:pPr>
        <w:pStyle w:val="F21"/>
        <w:spacing w:lineRule="atLeast" w:line="370"/>
        <w:ind w:left="1418" w:hanging="851"/>
        <w:rPr>
          <w:szCs w:val="27"/>
        </w:rPr>
      </w:pPr>
      <w:r>
        <w:rPr>
          <w:szCs w:val="27"/>
        </w:rPr>
        <w:tab/>
      </w:r>
      <w:r>
        <w:rPr>
          <w:szCs w:val="27"/>
        </w:rPr>
        <w:t>在規劃社會福利設施和服務方面，政府一直採取多管齊下的措施，透過不同渠道，提供社會福利設施。勞工及福利局和社會福利署除了物色包括空置校舍等合適的政府處所外，政府亦會物色適當政府用地滿足有關需要，或在可行範圍內於賣地條款中加入興建社福設施的要求，以及採取購置社福設施的短期策略，多管齊下提供社會福利設施。</w:t>
      </w:r>
    </w:p>
    <w:p>
      <w:pPr>
        <w:pStyle w:val="F21"/>
        <w:spacing w:lineRule="atLeast" w:line="370"/>
        <w:ind w:left="1418" w:hanging="851"/>
        <w:rPr>
          <w:szCs w:val="27"/>
        </w:rPr>
      </w:pPr>
      <w:r>
        <w:rPr>
          <w:szCs w:val="27"/>
        </w:rPr>
      </w:r>
    </w:p>
    <w:p>
      <w:pPr>
        <w:pStyle w:val="F21"/>
        <w:spacing w:lineRule="atLeast" w:line="370"/>
        <w:ind w:left="1418" w:hanging="851"/>
        <w:rPr>
          <w:szCs w:val="27"/>
        </w:rPr>
      </w:pPr>
      <w:r>
        <w:rPr>
          <w:szCs w:val="27"/>
        </w:rPr>
        <w:t>(</w:t>
      </w:r>
      <w:r>
        <w:rPr>
          <w:szCs w:val="27"/>
        </w:rPr>
        <w:t>三</w:t>
      </w:r>
      <w:r>
        <w:rPr>
          <w:szCs w:val="27"/>
        </w:rPr>
        <w:t>)</w:t>
        <w:tab/>
      </w:r>
      <w:r>
        <w:rPr>
          <w:szCs w:val="27"/>
        </w:rPr>
        <w:t>政府的</w:t>
      </w:r>
      <w:r>
        <w:rPr>
          <w:szCs w:val="27"/>
        </w:rPr>
        <w:t>"</w:t>
      </w:r>
      <w:r>
        <w:rPr>
          <w:szCs w:val="27"/>
        </w:rPr>
        <w:t>地理資訊地圖</w:t>
      </w:r>
      <w:r>
        <w:rPr>
          <w:szCs w:val="27"/>
        </w:rPr>
        <w:t>"</w:t>
      </w:r>
      <w:r>
        <w:rPr>
          <w:szCs w:val="27"/>
        </w:rPr>
        <w:t>網頁</w:t>
      </w:r>
      <w:r>
        <w:rPr>
          <w:rStyle w:val="FootnoteAnchor"/>
          <w:szCs w:val="27"/>
        </w:rPr>
        <w:footnoteReference w:customMarkFollows="1" w:id="2"/>
        <w:t>(1)</w:t>
      </w:r>
      <w:r>
        <w:rPr>
          <w:szCs w:val="27"/>
        </w:rPr>
        <w:t>載列由地政總署管理、並且可供非政府機構或社會企業以短期租約方式申請使用的空置政府用地</w:t>
      </w:r>
      <w:r>
        <w:rPr>
          <w:szCs w:val="27"/>
        </w:rPr>
        <w:t>(</w:t>
      </w:r>
      <w:r>
        <w:rPr>
          <w:szCs w:val="27"/>
        </w:rPr>
        <w:t>包括空置校舍</w:t>
      </w:r>
      <w:r>
        <w:rPr>
          <w:szCs w:val="27"/>
        </w:rPr>
        <w:t>)</w:t>
      </w:r>
      <w:r>
        <w:rPr>
          <w:szCs w:val="27"/>
        </w:rPr>
        <w:t>清單。就空置物業而言，現時清單上並無位於市區的空置校舍。就這些用地，在過去</w:t>
      </w:r>
      <w:r>
        <w:rPr>
          <w:szCs w:val="27"/>
        </w:rPr>
        <w:t>4</w:t>
      </w:r>
      <w:r>
        <w:rPr>
          <w:szCs w:val="27"/>
        </w:rPr>
        <w:t>個財政年度</w:t>
      </w:r>
      <w:r>
        <w:rPr>
          <w:szCs w:val="27"/>
        </w:rPr>
        <w:t>(</w:t>
      </w:r>
      <w:r>
        <w:rPr>
          <w:szCs w:val="27"/>
        </w:rPr>
        <w:t>就</w:t>
      </w:r>
      <w:r>
        <w:rPr>
          <w:szCs w:val="27"/>
        </w:rPr>
        <w:t>2018-2019</w:t>
      </w:r>
      <w:r>
        <w:rPr>
          <w:szCs w:val="27"/>
        </w:rPr>
        <w:t>年度而言，截至</w:t>
      </w:r>
      <w:r>
        <w:rPr>
          <w:szCs w:val="27"/>
        </w:rPr>
        <w:t>2019</w:t>
      </w:r>
      <w:r>
        <w:rPr>
          <w:szCs w:val="27"/>
        </w:rPr>
        <w:t>年</w:t>
      </w:r>
      <w:r>
        <w:rPr>
          <w:szCs w:val="27"/>
        </w:rPr>
        <w:t>1</w:t>
      </w:r>
      <w:r>
        <w:rPr>
          <w:szCs w:val="27"/>
        </w:rPr>
        <w:t>月底</w:t>
      </w:r>
      <w:r>
        <w:rPr>
          <w:szCs w:val="27"/>
        </w:rPr>
        <w:t>)</w:t>
      </w:r>
      <w:r>
        <w:rPr>
          <w:szCs w:val="27"/>
        </w:rPr>
        <w:t>，地政總署一共收到大約</w:t>
      </w:r>
      <w:r>
        <w:rPr>
          <w:szCs w:val="27"/>
        </w:rPr>
        <w:t>90</w:t>
      </w:r>
      <w:r>
        <w:rPr>
          <w:szCs w:val="27"/>
        </w:rPr>
        <w:t>宗申請。同期，地政總署一共批出</w:t>
      </w:r>
      <w:r>
        <w:rPr>
          <w:szCs w:val="27"/>
        </w:rPr>
        <w:t>16</w:t>
      </w:r>
      <w:r>
        <w:rPr>
          <w:szCs w:val="27"/>
        </w:rPr>
        <w:t>份短期租約。</w:t>
      </w:r>
      <w:r>
        <w:rPr>
          <w:rStyle w:val="FootnoteAnchor"/>
          <w:szCs w:val="27"/>
        </w:rPr>
        <w:footnoteReference w:customMarkFollows="1" w:id="3"/>
        <w:t>(2)</w:t>
      </w:r>
      <w:r>
        <w:rPr>
          <w:szCs w:val="27"/>
        </w:rPr>
        <w:t>處理時間會視乎所有涉及申請事項的性質和複雜程度而定，但大多數申請可於一至兩年內完成處理。地政總署會繼續在可行和合適的情況下，為長遠發展用途有待落實的土地，安排合適的臨時用途，包括將空置土地資料上載網頁供有興趣的機構申請使用，務求地盡其用。在執行上，地政總署會持續檢視審批情況，按需要作出適當的檢討和改善。</w:t>
      </w:r>
    </w:p>
    <w:p>
      <w:pPr>
        <w:pStyle w:val="F21"/>
        <w:spacing w:lineRule="atLeast" w:line="370"/>
        <w:ind w:left="1418" w:hanging="851"/>
        <w:rPr>
          <w:szCs w:val="27"/>
        </w:rPr>
      </w:pPr>
      <w:r>
        <w:rPr>
          <w:szCs w:val="27"/>
        </w:rPr>
      </w:r>
    </w:p>
    <w:p>
      <w:pPr>
        <w:pStyle w:val="F21"/>
        <w:spacing w:lineRule="atLeast" w:line="370"/>
        <w:ind w:left="1418" w:hanging="851"/>
        <w:rPr>
          <w:szCs w:val="27"/>
        </w:rPr>
      </w:pPr>
      <w:r>
        <w:rPr>
          <w:szCs w:val="27"/>
        </w:rPr>
        <w:tab/>
      </w:r>
      <w:r>
        <w:rPr>
          <w:szCs w:val="27"/>
        </w:rPr>
        <w:t>為協助非政府機構運用空置政府用地，立法會財務委員會在今年</w:t>
      </w:r>
      <w:r>
        <w:rPr>
          <w:szCs w:val="27"/>
        </w:rPr>
        <w:t>1</w:t>
      </w:r>
      <w:r>
        <w:rPr>
          <w:szCs w:val="27"/>
        </w:rPr>
        <w:t>月批准發展局的建議，開立一筆</w:t>
      </w:r>
      <w:r>
        <w:rPr>
          <w:szCs w:val="27"/>
        </w:rPr>
        <w:t>10</w:t>
      </w:r>
      <w:r>
        <w:rPr>
          <w:szCs w:val="27"/>
        </w:rPr>
        <w:t>億元的非經常承擔額，藉以設立資助計劃，支援非政府機構使用空置政府用地及修復校舍，作各種對社區有裨益的短期用途。發展局已經開始接受資助申請。</w:t>
      </w:r>
    </w:p>
    <w:p>
      <w:pPr>
        <w:pStyle w:val="F21"/>
        <w:rPr>
          <w:szCs w:val="27"/>
        </w:rPr>
      </w:pPr>
      <w:r>
        <w:rPr>
          <w:szCs w:val="27"/>
        </w:rPr>
      </w:r>
    </w:p>
    <w:p>
      <w:pPr>
        <w:pStyle w:val="F21"/>
        <w:rPr>
          <w:szCs w:val="27"/>
        </w:rPr>
      </w:pPr>
      <w:r>
        <w:rPr>
          <w:szCs w:val="27"/>
        </w:rPr>
      </w:r>
    </w:p>
    <w:p>
      <w:pPr>
        <w:pStyle w:val="F21"/>
        <w:jc w:val="right"/>
        <w:rPr>
          <w:szCs w:val="27"/>
        </w:rPr>
      </w:pPr>
      <w:r>
        <w:rPr>
          <w:szCs w:val="27"/>
        </w:rPr>
        <w:t>附件一</w:t>
      </w:r>
    </w:p>
    <w:p>
      <w:pPr>
        <w:pStyle w:val="F21"/>
        <w:rPr>
          <w:szCs w:val="27"/>
        </w:rPr>
      </w:pPr>
      <w:r>
        <w:rPr>
          <w:szCs w:val="27"/>
        </w:rPr>
      </w:r>
    </w:p>
    <w:p>
      <w:pPr>
        <w:pStyle w:val="F21"/>
        <w:jc w:val="center"/>
        <w:rPr>
          <w:szCs w:val="27"/>
        </w:rPr>
      </w:pPr>
      <w:r>
        <w:rPr>
          <w:szCs w:val="27"/>
        </w:rPr>
        <w:t>教育局轄下位於市區</w:t>
      </w:r>
      <w:r>
        <w:rPr>
          <w:szCs w:val="27"/>
          <w:vertAlign w:val="superscript"/>
        </w:rPr>
        <w:t>(1)</w:t>
      </w:r>
      <w:r>
        <w:rPr>
          <w:szCs w:val="27"/>
        </w:rPr>
        <w:t>及屬政府物業的空置校舍資料</w:t>
      </w:r>
    </w:p>
    <w:p>
      <w:pPr>
        <w:pStyle w:val="F21"/>
        <w:rPr>
          <w:szCs w:val="27"/>
        </w:rPr>
      </w:pPr>
      <w:r>
        <w:rPr>
          <w:szCs w:val="27"/>
        </w:rPr>
      </w:r>
    </w:p>
    <w:tbl>
      <w:tblPr>
        <w:tblStyle w:val="a9"/>
        <w:tblW w:w="9198" w:type="dxa"/>
        <w:jc w:val="left"/>
        <w:tblInd w:w="0" w:type="dxa"/>
        <w:tblCellMar>
          <w:top w:w="0" w:type="dxa"/>
          <w:left w:w="108" w:type="dxa"/>
          <w:bottom w:w="0" w:type="dxa"/>
          <w:right w:w="108" w:type="dxa"/>
        </w:tblCellMar>
        <w:tblLook w:val="04a0" w:noHBand="0" w:noVBand="1" w:firstColumn="1" w:lastRow="0" w:lastColumn="0" w:firstRow="1"/>
      </w:tblPr>
      <w:tblGrid>
        <w:gridCol w:w="4309"/>
        <w:gridCol w:w="1332"/>
        <w:gridCol w:w="2069"/>
        <w:gridCol w:w="1487"/>
      </w:tblGrid>
      <w:tr>
        <w:trPr/>
        <w:tc>
          <w:tcPr>
            <w:tcW w:w="4309" w:type="dxa"/>
            <w:tcBorders/>
            <w:vAlign w:val="center"/>
          </w:tcPr>
          <w:p>
            <w:pPr>
              <w:pStyle w:val="F21"/>
              <w:tabs>
                <w:tab w:val="clear" w:pos="567"/>
              </w:tabs>
              <w:jc w:val="center"/>
              <w:rPr>
                <w:i/>
                <w:i/>
                <w:szCs w:val="27"/>
              </w:rPr>
            </w:pPr>
            <w:r>
              <w:rPr>
                <w:i/>
                <w:szCs w:val="27"/>
              </w:rPr>
              <w:t>前學校名稱及地址</w:t>
            </w:r>
          </w:p>
        </w:tc>
        <w:tc>
          <w:tcPr>
            <w:tcW w:w="1332" w:type="dxa"/>
            <w:tcBorders/>
            <w:vAlign w:val="center"/>
          </w:tcPr>
          <w:p>
            <w:pPr>
              <w:pStyle w:val="F21"/>
              <w:tabs>
                <w:tab w:val="clear" w:pos="567"/>
              </w:tabs>
              <w:jc w:val="center"/>
              <w:rPr>
                <w:i/>
                <w:i/>
                <w:szCs w:val="27"/>
              </w:rPr>
            </w:pPr>
            <w:r>
              <w:rPr>
                <w:i/>
                <w:szCs w:val="27"/>
              </w:rPr>
              <w:t>地區</w:t>
            </w:r>
          </w:p>
        </w:tc>
        <w:tc>
          <w:tcPr>
            <w:tcW w:w="2069" w:type="dxa"/>
            <w:tcBorders/>
            <w:vAlign w:val="center"/>
          </w:tcPr>
          <w:p>
            <w:pPr>
              <w:pStyle w:val="F21"/>
              <w:tabs>
                <w:tab w:val="clear" w:pos="567"/>
              </w:tabs>
              <w:jc w:val="center"/>
              <w:rPr>
                <w:i/>
                <w:i/>
                <w:szCs w:val="27"/>
              </w:rPr>
            </w:pPr>
            <w:r>
              <w:rPr>
                <w:i/>
                <w:szCs w:val="27"/>
              </w:rPr>
              <w:t>校舍佔地面積</w:t>
            </w:r>
          </w:p>
          <w:p>
            <w:pPr>
              <w:pStyle w:val="F21"/>
              <w:tabs>
                <w:tab w:val="clear" w:pos="567"/>
              </w:tabs>
              <w:jc w:val="center"/>
              <w:rPr>
                <w:i/>
                <w:i/>
                <w:szCs w:val="27"/>
              </w:rPr>
            </w:pPr>
            <w:r>
              <w:rPr>
                <w:i/>
                <w:szCs w:val="27"/>
              </w:rPr>
              <w:t>(</w:t>
            </w:r>
            <w:r>
              <w:rPr>
                <w:i/>
                <w:szCs w:val="27"/>
              </w:rPr>
              <w:t>平方米</w:t>
            </w:r>
            <w:r>
              <w:rPr>
                <w:i/>
                <w:szCs w:val="27"/>
              </w:rPr>
              <w:t>)(</w:t>
            </w:r>
            <w:r>
              <w:rPr>
                <w:i/>
                <w:szCs w:val="27"/>
              </w:rPr>
              <w:t>約</w:t>
            </w:r>
            <w:r>
              <w:rPr>
                <w:i/>
                <w:szCs w:val="27"/>
              </w:rPr>
              <w:t>)</w:t>
            </w:r>
          </w:p>
        </w:tc>
        <w:tc>
          <w:tcPr>
            <w:tcW w:w="1487" w:type="dxa"/>
            <w:tcBorders/>
            <w:vAlign w:val="center"/>
          </w:tcPr>
          <w:p>
            <w:pPr>
              <w:pStyle w:val="F21"/>
              <w:tabs>
                <w:tab w:val="clear" w:pos="567"/>
              </w:tabs>
              <w:jc w:val="center"/>
              <w:rPr>
                <w:i/>
                <w:i/>
                <w:szCs w:val="27"/>
              </w:rPr>
            </w:pPr>
            <w:r>
              <w:rPr>
                <w:i/>
                <w:szCs w:val="27"/>
              </w:rPr>
              <w:t>停辦</w:t>
            </w:r>
          </w:p>
          <w:p>
            <w:pPr>
              <w:pStyle w:val="F21"/>
              <w:tabs>
                <w:tab w:val="clear" w:pos="567"/>
              </w:tabs>
              <w:jc w:val="center"/>
              <w:rPr>
                <w:i/>
                <w:i/>
                <w:szCs w:val="27"/>
              </w:rPr>
            </w:pPr>
            <w:r>
              <w:rPr>
                <w:i/>
                <w:szCs w:val="27"/>
              </w:rPr>
              <w:t>學年</w:t>
            </w:r>
            <w:r>
              <w:rPr>
                <w:i/>
                <w:szCs w:val="27"/>
                <w:vertAlign w:val="superscript"/>
              </w:rPr>
              <w:t>(2)</w:t>
            </w:r>
          </w:p>
        </w:tc>
      </w:tr>
      <w:tr>
        <w:trPr/>
        <w:tc>
          <w:tcPr>
            <w:tcW w:w="4309" w:type="dxa"/>
            <w:tcBorders/>
          </w:tcPr>
          <w:p>
            <w:pPr>
              <w:pStyle w:val="F21"/>
              <w:tabs>
                <w:tab w:val="clear" w:pos="567"/>
              </w:tabs>
              <w:ind w:left="57" w:hanging="0"/>
              <w:rPr>
                <w:szCs w:val="27"/>
              </w:rPr>
            </w:pPr>
            <w:r>
              <w:rPr>
                <w:szCs w:val="27"/>
              </w:rPr>
              <w:t>灣仔學校</w:t>
            </w:r>
          </w:p>
          <w:p>
            <w:pPr>
              <w:pStyle w:val="F21"/>
              <w:tabs>
                <w:tab w:val="clear" w:pos="567"/>
              </w:tabs>
              <w:ind w:left="57" w:hanging="0"/>
              <w:rPr>
                <w:szCs w:val="27"/>
              </w:rPr>
            </w:pPr>
            <w:r>
              <w:rPr>
                <w:szCs w:val="27"/>
              </w:rPr>
              <w:t>(</w:t>
            </w:r>
            <w:r>
              <w:rPr>
                <w:szCs w:val="27"/>
              </w:rPr>
              <w:t>香港灣仔愛群道</w:t>
            </w:r>
            <w:r>
              <w:rPr>
                <w:szCs w:val="27"/>
              </w:rPr>
              <w:t>30</w:t>
            </w:r>
            <w:r>
              <w:rPr>
                <w:szCs w:val="27"/>
              </w:rPr>
              <w:t>號</w:t>
            </w:r>
            <w:r>
              <w:rPr>
                <w:szCs w:val="27"/>
              </w:rPr>
              <w:t>)</w:t>
            </w:r>
          </w:p>
        </w:tc>
        <w:tc>
          <w:tcPr>
            <w:tcW w:w="1332" w:type="dxa"/>
            <w:tcBorders/>
          </w:tcPr>
          <w:p>
            <w:pPr>
              <w:pStyle w:val="F21"/>
              <w:tabs>
                <w:tab w:val="clear" w:pos="567"/>
              </w:tabs>
              <w:ind w:left="57" w:hanging="0"/>
              <w:rPr>
                <w:szCs w:val="27"/>
              </w:rPr>
            </w:pPr>
            <w:r>
              <w:rPr>
                <w:szCs w:val="27"/>
              </w:rPr>
              <w:t>灣仔區</w:t>
            </w:r>
          </w:p>
        </w:tc>
        <w:tc>
          <w:tcPr>
            <w:tcW w:w="2069" w:type="dxa"/>
            <w:tcBorders/>
          </w:tcPr>
          <w:p>
            <w:pPr>
              <w:pStyle w:val="F21"/>
              <w:tabs>
                <w:tab w:val="clear" w:pos="567"/>
              </w:tabs>
              <w:ind w:left="57" w:hanging="0"/>
              <w:jc w:val="center"/>
              <w:rPr>
                <w:szCs w:val="27"/>
              </w:rPr>
            </w:pPr>
            <w:r>
              <w:rPr>
                <w:szCs w:val="27"/>
              </w:rPr>
              <w:t>2 000</w:t>
            </w:r>
          </w:p>
        </w:tc>
        <w:tc>
          <w:tcPr>
            <w:tcW w:w="1487" w:type="dxa"/>
            <w:tcBorders/>
          </w:tcPr>
          <w:p>
            <w:pPr>
              <w:pStyle w:val="F21"/>
              <w:tabs>
                <w:tab w:val="clear" w:pos="567"/>
              </w:tabs>
              <w:ind w:left="57" w:hanging="0"/>
              <w:jc w:val="center"/>
              <w:rPr>
                <w:szCs w:val="27"/>
              </w:rPr>
            </w:pPr>
            <w:r>
              <w:rPr>
                <w:szCs w:val="27"/>
              </w:rPr>
              <w:t>2006-2007</w:t>
            </w:r>
          </w:p>
        </w:tc>
      </w:tr>
      <w:tr>
        <w:trPr/>
        <w:tc>
          <w:tcPr>
            <w:tcW w:w="4309" w:type="dxa"/>
            <w:tcBorders/>
          </w:tcPr>
          <w:p>
            <w:pPr>
              <w:pStyle w:val="F21"/>
              <w:tabs>
                <w:tab w:val="clear" w:pos="567"/>
              </w:tabs>
              <w:ind w:left="57" w:hanging="0"/>
              <w:rPr>
                <w:szCs w:val="27"/>
              </w:rPr>
            </w:pPr>
            <w:r>
              <w:rPr>
                <w:szCs w:val="27"/>
              </w:rPr>
              <w:t>紅磡官立小學</w:t>
            </w:r>
          </w:p>
          <w:p>
            <w:pPr>
              <w:pStyle w:val="F21"/>
              <w:tabs>
                <w:tab w:val="clear" w:pos="567"/>
              </w:tabs>
              <w:ind w:left="57" w:hanging="0"/>
              <w:rPr>
                <w:szCs w:val="27"/>
              </w:rPr>
            </w:pPr>
            <w:r>
              <w:rPr>
                <w:szCs w:val="27"/>
              </w:rPr>
              <w:t>(</w:t>
            </w:r>
            <w:r>
              <w:rPr>
                <w:szCs w:val="27"/>
              </w:rPr>
              <w:t>九龍紅磡機利士路</w:t>
            </w:r>
            <w:r>
              <w:rPr>
                <w:szCs w:val="27"/>
              </w:rPr>
              <w:t>68</w:t>
            </w:r>
            <w:r>
              <w:rPr>
                <w:szCs w:val="27"/>
              </w:rPr>
              <w:t>號</w:t>
            </w:r>
            <w:r>
              <w:rPr>
                <w:szCs w:val="27"/>
              </w:rPr>
              <w:t>)</w:t>
            </w:r>
          </w:p>
        </w:tc>
        <w:tc>
          <w:tcPr>
            <w:tcW w:w="1332" w:type="dxa"/>
            <w:tcBorders/>
          </w:tcPr>
          <w:p>
            <w:pPr>
              <w:pStyle w:val="F21"/>
              <w:tabs>
                <w:tab w:val="clear" w:pos="567"/>
              </w:tabs>
              <w:ind w:left="57" w:hanging="0"/>
              <w:rPr>
                <w:szCs w:val="27"/>
              </w:rPr>
            </w:pPr>
            <w:r>
              <w:rPr>
                <w:szCs w:val="27"/>
              </w:rPr>
              <w:t>九龍城區</w:t>
            </w:r>
          </w:p>
        </w:tc>
        <w:tc>
          <w:tcPr>
            <w:tcW w:w="2069" w:type="dxa"/>
            <w:tcBorders/>
          </w:tcPr>
          <w:p>
            <w:pPr>
              <w:pStyle w:val="F21"/>
              <w:tabs>
                <w:tab w:val="clear" w:pos="567"/>
              </w:tabs>
              <w:ind w:left="57" w:hanging="0"/>
              <w:jc w:val="center"/>
              <w:rPr>
                <w:szCs w:val="27"/>
              </w:rPr>
            </w:pPr>
            <w:r>
              <w:rPr>
                <w:szCs w:val="27"/>
              </w:rPr>
              <w:t>1 900</w:t>
            </w:r>
          </w:p>
        </w:tc>
        <w:tc>
          <w:tcPr>
            <w:tcW w:w="1487" w:type="dxa"/>
            <w:tcBorders/>
          </w:tcPr>
          <w:p>
            <w:pPr>
              <w:pStyle w:val="F21"/>
              <w:tabs>
                <w:tab w:val="clear" w:pos="567"/>
              </w:tabs>
              <w:ind w:left="57" w:hanging="0"/>
              <w:jc w:val="center"/>
              <w:rPr>
                <w:szCs w:val="27"/>
              </w:rPr>
            </w:pPr>
            <w:r>
              <w:rPr>
                <w:szCs w:val="27"/>
              </w:rPr>
              <w:t>2009-2010</w:t>
            </w:r>
          </w:p>
        </w:tc>
      </w:tr>
      <w:tr>
        <w:trPr/>
        <w:tc>
          <w:tcPr>
            <w:tcW w:w="4309" w:type="dxa"/>
            <w:tcBorders/>
          </w:tcPr>
          <w:p>
            <w:pPr>
              <w:pStyle w:val="F21"/>
              <w:tabs>
                <w:tab w:val="clear" w:pos="567"/>
              </w:tabs>
              <w:ind w:left="57" w:hanging="0"/>
              <w:rPr>
                <w:szCs w:val="27"/>
              </w:rPr>
            </w:pPr>
            <w:r>
              <w:rPr>
                <w:szCs w:val="27"/>
              </w:rPr>
              <w:t>聖公會靜山小學</w:t>
            </w:r>
          </w:p>
          <w:p>
            <w:pPr>
              <w:pStyle w:val="F21"/>
              <w:tabs>
                <w:tab w:val="clear" w:pos="567"/>
              </w:tabs>
              <w:ind w:left="57" w:hanging="0"/>
              <w:rPr>
                <w:szCs w:val="27"/>
              </w:rPr>
            </w:pPr>
            <w:r>
              <w:rPr>
                <w:szCs w:val="27"/>
              </w:rPr>
              <w:t>(</w:t>
            </w:r>
            <w:r>
              <w:rPr>
                <w:szCs w:val="27"/>
              </w:rPr>
              <w:t>九龍黃大仙彩虹邨綠柳路</w:t>
            </w:r>
            <w:r>
              <w:rPr>
                <w:szCs w:val="27"/>
              </w:rPr>
              <w:t>3</w:t>
            </w:r>
            <w:r>
              <w:rPr>
                <w:szCs w:val="27"/>
              </w:rPr>
              <w:t>號</w:t>
            </w:r>
            <w:r>
              <w:rPr>
                <w:szCs w:val="27"/>
              </w:rPr>
              <w:t>)</w:t>
            </w:r>
          </w:p>
        </w:tc>
        <w:tc>
          <w:tcPr>
            <w:tcW w:w="1332" w:type="dxa"/>
            <w:tcBorders/>
          </w:tcPr>
          <w:p>
            <w:pPr>
              <w:pStyle w:val="F21"/>
              <w:tabs>
                <w:tab w:val="clear" w:pos="567"/>
              </w:tabs>
              <w:ind w:left="57" w:hanging="0"/>
              <w:rPr>
                <w:szCs w:val="27"/>
              </w:rPr>
            </w:pPr>
            <w:r>
              <w:rPr>
                <w:szCs w:val="27"/>
              </w:rPr>
              <w:t>黃大仙區</w:t>
            </w:r>
          </w:p>
        </w:tc>
        <w:tc>
          <w:tcPr>
            <w:tcW w:w="2069" w:type="dxa"/>
            <w:vMerge w:val="restart"/>
            <w:tcBorders/>
            <w:vAlign w:val="center"/>
          </w:tcPr>
          <w:p>
            <w:pPr>
              <w:pStyle w:val="F21"/>
              <w:tabs>
                <w:tab w:val="clear" w:pos="567"/>
              </w:tabs>
              <w:ind w:left="57" w:hanging="0"/>
              <w:jc w:val="center"/>
              <w:rPr>
                <w:szCs w:val="27"/>
              </w:rPr>
            </w:pPr>
            <w:r>
              <w:rPr>
                <w:szCs w:val="27"/>
              </w:rPr>
              <w:t>3 700</w:t>
            </w:r>
          </w:p>
          <w:p>
            <w:pPr>
              <w:pStyle w:val="F21"/>
              <w:tabs>
                <w:tab w:val="clear" w:pos="567"/>
              </w:tabs>
              <w:ind w:left="57" w:hanging="0"/>
              <w:jc w:val="center"/>
              <w:rPr>
                <w:szCs w:val="27"/>
              </w:rPr>
            </w:pPr>
            <w:r>
              <w:rPr>
                <w:szCs w:val="27"/>
              </w:rPr>
              <w:t>(</w:t>
            </w:r>
            <w:r>
              <w:rPr>
                <w:szCs w:val="27"/>
              </w:rPr>
              <w:t>總計</w:t>
            </w:r>
            <w:r>
              <w:rPr>
                <w:szCs w:val="27"/>
              </w:rPr>
              <w:t>)</w:t>
            </w:r>
          </w:p>
        </w:tc>
        <w:tc>
          <w:tcPr>
            <w:tcW w:w="1487" w:type="dxa"/>
            <w:tcBorders/>
          </w:tcPr>
          <w:p>
            <w:pPr>
              <w:pStyle w:val="F21"/>
              <w:tabs>
                <w:tab w:val="clear" w:pos="567"/>
              </w:tabs>
              <w:ind w:left="57" w:hanging="0"/>
              <w:jc w:val="center"/>
              <w:rPr>
                <w:szCs w:val="27"/>
              </w:rPr>
            </w:pPr>
            <w:r>
              <w:rPr>
                <w:szCs w:val="27"/>
              </w:rPr>
              <w:t>2016-2017</w:t>
            </w:r>
          </w:p>
        </w:tc>
      </w:tr>
      <w:tr>
        <w:trPr/>
        <w:tc>
          <w:tcPr>
            <w:tcW w:w="4309" w:type="dxa"/>
            <w:tcBorders/>
          </w:tcPr>
          <w:p>
            <w:pPr>
              <w:pStyle w:val="F21"/>
              <w:tabs>
                <w:tab w:val="clear" w:pos="567"/>
              </w:tabs>
              <w:ind w:left="57" w:hanging="0"/>
              <w:rPr>
                <w:szCs w:val="27"/>
              </w:rPr>
            </w:pPr>
            <w:r>
              <w:rPr>
                <w:szCs w:val="27"/>
              </w:rPr>
              <w:t>聖公會日修小學</w:t>
            </w:r>
          </w:p>
          <w:p>
            <w:pPr>
              <w:pStyle w:val="F21"/>
              <w:tabs>
                <w:tab w:val="clear" w:pos="567"/>
              </w:tabs>
              <w:ind w:left="57" w:hanging="0"/>
              <w:rPr>
                <w:szCs w:val="27"/>
              </w:rPr>
            </w:pPr>
            <w:r>
              <w:rPr>
                <w:szCs w:val="27"/>
              </w:rPr>
              <w:t>(</w:t>
            </w:r>
            <w:r>
              <w:rPr>
                <w:szCs w:val="27"/>
              </w:rPr>
              <w:t>九龍黃大仙彩虹邨綠柳路</w:t>
            </w:r>
            <w:r>
              <w:rPr>
                <w:szCs w:val="27"/>
              </w:rPr>
              <w:t>1</w:t>
            </w:r>
            <w:r>
              <w:rPr>
                <w:szCs w:val="27"/>
              </w:rPr>
              <w:t>號</w:t>
            </w:r>
            <w:r>
              <w:rPr>
                <w:szCs w:val="27"/>
              </w:rPr>
              <w:t>)</w:t>
            </w:r>
          </w:p>
        </w:tc>
        <w:tc>
          <w:tcPr>
            <w:tcW w:w="1332" w:type="dxa"/>
            <w:tcBorders/>
          </w:tcPr>
          <w:p>
            <w:pPr>
              <w:pStyle w:val="F21"/>
              <w:tabs>
                <w:tab w:val="clear" w:pos="567"/>
              </w:tabs>
              <w:ind w:left="57" w:hanging="0"/>
              <w:rPr>
                <w:szCs w:val="27"/>
              </w:rPr>
            </w:pPr>
            <w:r>
              <w:rPr>
                <w:szCs w:val="27"/>
              </w:rPr>
              <w:t>黃大仙區</w:t>
            </w:r>
          </w:p>
        </w:tc>
        <w:tc>
          <w:tcPr>
            <w:tcW w:w="2069" w:type="dxa"/>
            <w:vMerge w:val="continue"/>
            <w:tcBorders/>
          </w:tcPr>
          <w:p>
            <w:pPr>
              <w:pStyle w:val="F21"/>
              <w:tabs>
                <w:tab w:val="clear" w:pos="567"/>
              </w:tabs>
              <w:ind w:left="57" w:hanging="0"/>
              <w:rPr>
                <w:szCs w:val="27"/>
              </w:rPr>
            </w:pPr>
            <w:r>
              <w:rPr>
                <w:szCs w:val="27"/>
              </w:rPr>
            </w:r>
          </w:p>
        </w:tc>
        <w:tc>
          <w:tcPr>
            <w:tcW w:w="1487" w:type="dxa"/>
            <w:tcBorders/>
          </w:tcPr>
          <w:p>
            <w:pPr>
              <w:pStyle w:val="F21"/>
              <w:tabs>
                <w:tab w:val="clear" w:pos="567"/>
              </w:tabs>
              <w:ind w:left="57" w:hanging="0"/>
              <w:jc w:val="center"/>
              <w:rPr>
                <w:szCs w:val="27"/>
              </w:rPr>
            </w:pPr>
            <w:r>
              <w:rPr>
                <w:szCs w:val="27"/>
              </w:rPr>
              <w:t>2016-2017</w:t>
            </w:r>
          </w:p>
        </w:tc>
      </w:tr>
      <w:tr>
        <w:trPr/>
        <w:tc>
          <w:tcPr>
            <w:tcW w:w="4309" w:type="dxa"/>
            <w:tcBorders/>
          </w:tcPr>
          <w:p>
            <w:pPr>
              <w:pStyle w:val="F21"/>
              <w:tabs>
                <w:tab w:val="clear" w:pos="567"/>
              </w:tabs>
              <w:ind w:left="57" w:hanging="0"/>
              <w:rPr>
                <w:szCs w:val="27"/>
              </w:rPr>
            </w:pPr>
            <w:r>
              <w:rPr>
                <w:szCs w:val="27"/>
              </w:rPr>
              <w:t>九龍小學</w:t>
            </w:r>
          </w:p>
          <w:p>
            <w:pPr>
              <w:pStyle w:val="F21"/>
              <w:tabs>
                <w:tab w:val="clear" w:pos="567"/>
              </w:tabs>
              <w:ind w:left="57" w:hanging="0"/>
              <w:rPr>
                <w:szCs w:val="27"/>
              </w:rPr>
            </w:pPr>
            <w:r>
              <w:rPr>
                <w:szCs w:val="27"/>
              </w:rPr>
              <w:t>(</w:t>
            </w:r>
            <w:r>
              <w:rPr>
                <w:szCs w:val="27"/>
              </w:rPr>
              <w:t>九龍又一村玫瑰街</w:t>
            </w:r>
            <w:r>
              <w:rPr>
                <w:szCs w:val="27"/>
              </w:rPr>
              <w:t>4</w:t>
            </w:r>
            <w:r>
              <w:rPr>
                <w:szCs w:val="27"/>
              </w:rPr>
              <w:t>號</w:t>
            </w:r>
            <w:r>
              <w:rPr>
                <w:szCs w:val="27"/>
              </w:rPr>
              <w:t>)</w:t>
            </w:r>
          </w:p>
        </w:tc>
        <w:tc>
          <w:tcPr>
            <w:tcW w:w="1332" w:type="dxa"/>
            <w:tcBorders/>
          </w:tcPr>
          <w:p>
            <w:pPr>
              <w:pStyle w:val="F21"/>
              <w:tabs>
                <w:tab w:val="clear" w:pos="567"/>
              </w:tabs>
              <w:ind w:left="57" w:hanging="0"/>
              <w:rPr>
                <w:szCs w:val="27"/>
              </w:rPr>
            </w:pPr>
            <w:r>
              <w:rPr>
                <w:szCs w:val="27"/>
              </w:rPr>
              <w:t>深水埗區</w:t>
            </w:r>
          </w:p>
        </w:tc>
        <w:tc>
          <w:tcPr>
            <w:tcW w:w="2069" w:type="dxa"/>
            <w:tcBorders/>
          </w:tcPr>
          <w:p>
            <w:pPr>
              <w:pStyle w:val="F21"/>
              <w:tabs>
                <w:tab w:val="clear" w:pos="567"/>
              </w:tabs>
              <w:ind w:left="57" w:hanging="0"/>
              <w:jc w:val="center"/>
              <w:rPr>
                <w:szCs w:val="27"/>
              </w:rPr>
            </w:pPr>
            <w:r>
              <w:rPr>
                <w:szCs w:val="27"/>
              </w:rPr>
              <w:t>3 700</w:t>
            </w:r>
          </w:p>
        </w:tc>
        <w:tc>
          <w:tcPr>
            <w:tcW w:w="1487" w:type="dxa"/>
            <w:tcBorders/>
          </w:tcPr>
          <w:p>
            <w:pPr>
              <w:pStyle w:val="F21"/>
              <w:tabs>
                <w:tab w:val="clear" w:pos="567"/>
              </w:tabs>
              <w:ind w:left="57" w:hanging="0"/>
              <w:jc w:val="center"/>
              <w:rPr>
                <w:szCs w:val="27"/>
              </w:rPr>
            </w:pPr>
            <w:r>
              <w:rPr>
                <w:szCs w:val="27"/>
              </w:rPr>
              <w:t>2013-2014</w:t>
            </w:r>
          </w:p>
        </w:tc>
      </w:tr>
    </w:tbl>
    <w:p>
      <w:pPr>
        <w:pStyle w:val="F21"/>
        <w:spacing w:lineRule="auto" w:line="240"/>
        <w:rPr>
          <w:sz w:val="22"/>
        </w:rPr>
      </w:pPr>
      <w:r>
        <w:rPr>
          <w:sz w:val="22"/>
        </w:rPr>
      </w:r>
    </w:p>
    <w:p>
      <w:pPr>
        <w:pStyle w:val="F21"/>
        <w:spacing w:lineRule="auto" w:line="240"/>
        <w:rPr>
          <w:sz w:val="22"/>
        </w:rPr>
      </w:pPr>
      <w:r>
        <w:rPr>
          <w:sz w:val="22"/>
        </w:rPr>
        <w:t>資料來源：教育局</w:t>
      </w:r>
    </w:p>
    <w:p>
      <w:pPr>
        <w:pStyle w:val="F21"/>
        <w:spacing w:lineRule="auto" w:line="240"/>
        <w:rPr>
          <w:sz w:val="22"/>
        </w:rPr>
      </w:pPr>
      <w:r>
        <w:rPr>
          <w:sz w:val="22"/>
        </w:rPr>
      </w:r>
    </w:p>
    <w:p>
      <w:pPr>
        <w:pStyle w:val="F21"/>
        <w:spacing w:lineRule="auto" w:line="240"/>
        <w:rPr>
          <w:sz w:val="22"/>
        </w:rPr>
      </w:pPr>
      <w:r>
        <w:rPr>
          <w:sz w:val="22"/>
        </w:rPr>
        <w:t>註：</w:t>
      </w:r>
    </w:p>
    <w:p>
      <w:pPr>
        <w:pStyle w:val="F21"/>
        <w:spacing w:lineRule="auto" w:line="240"/>
        <w:rPr>
          <w:sz w:val="22"/>
        </w:rPr>
      </w:pPr>
      <w:r>
        <w:rPr>
          <w:sz w:val="22"/>
        </w:rPr>
      </w:r>
    </w:p>
    <w:p>
      <w:pPr>
        <w:pStyle w:val="F21"/>
        <w:spacing w:lineRule="auto" w:line="240"/>
        <w:ind w:left="567" w:hanging="567"/>
        <w:rPr>
          <w:sz w:val="22"/>
        </w:rPr>
      </w:pPr>
      <w:r>
        <w:rPr>
          <w:sz w:val="22"/>
        </w:rPr>
        <w:t>(1)</w:t>
        <w:tab/>
      </w:r>
      <w:r>
        <w:rPr>
          <w:sz w:val="22"/>
        </w:rPr>
        <w:t>指根據區議會選舉選區分界，位於香港島及九龍的</w:t>
      </w:r>
      <w:r>
        <w:rPr>
          <w:sz w:val="22"/>
        </w:rPr>
        <w:t>9</w:t>
      </w:r>
      <w:r>
        <w:rPr>
          <w:sz w:val="22"/>
        </w:rPr>
        <w:t>個選區</w:t>
      </w:r>
      <w:r>
        <w:rPr>
          <w:sz w:val="22"/>
        </w:rPr>
        <w:t>(</w:t>
      </w:r>
      <w:r>
        <w:rPr>
          <w:sz w:val="22"/>
        </w:rPr>
        <w:t>即中西區、灣仔區、東區、南區、油尖旺區、深水埗區、九龍城區、黃大仙區及觀塘區</w:t>
      </w:r>
      <w:r>
        <w:rPr>
          <w:sz w:val="22"/>
        </w:rPr>
        <w:t>)</w:t>
      </w:r>
      <w:r>
        <w:rPr>
          <w:sz w:val="22"/>
        </w:rPr>
        <w:t>。</w:t>
      </w:r>
    </w:p>
    <w:p>
      <w:pPr>
        <w:pStyle w:val="F21"/>
        <w:spacing w:lineRule="auto" w:line="240"/>
        <w:ind w:left="567" w:hanging="567"/>
        <w:rPr>
          <w:sz w:val="22"/>
        </w:rPr>
      </w:pPr>
      <w:r>
        <w:rPr>
          <w:sz w:val="22"/>
        </w:rPr>
      </w:r>
    </w:p>
    <w:p>
      <w:pPr>
        <w:pStyle w:val="F21"/>
        <w:tabs>
          <w:tab w:val="clear" w:pos="567"/>
        </w:tabs>
        <w:spacing w:lineRule="auto" w:line="240"/>
        <w:ind w:left="567" w:hanging="567"/>
        <w:rPr>
          <w:sz w:val="22"/>
        </w:rPr>
      </w:pPr>
      <w:r>
        <w:rPr>
          <w:sz w:val="22"/>
        </w:rPr>
        <w:t>(2)</w:t>
        <w:tab/>
        <w:t>"</w:t>
      </w:r>
      <w:r>
        <w:rPr>
          <w:sz w:val="22"/>
        </w:rPr>
        <w:t>停辦學年</w:t>
      </w:r>
      <w:r>
        <w:rPr>
          <w:sz w:val="22"/>
        </w:rPr>
        <w:t>"</w:t>
      </w:r>
      <w:r>
        <w:rPr>
          <w:sz w:val="22"/>
        </w:rPr>
        <w:t>指原有學校停止在該址使用該校舍的學年，當中部分校舍其後曾用作臨時用途。</w:t>
      </w:r>
    </w:p>
    <w:p>
      <w:pPr>
        <w:pStyle w:val="F21"/>
        <w:rPr>
          <w:szCs w:val="27"/>
        </w:rPr>
      </w:pPr>
      <w:r>
        <w:rPr>
          <w:szCs w:val="27"/>
        </w:rPr>
      </w:r>
    </w:p>
    <w:p>
      <w:pPr>
        <w:pStyle w:val="F21"/>
        <w:rPr>
          <w:szCs w:val="27"/>
        </w:rPr>
      </w:pPr>
      <w:r>
        <w:rPr>
          <w:szCs w:val="27"/>
        </w:rPr>
      </w:r>
    </w:p>
    <w:p>
      <w:pPr>
        <w:pStyle w:val="F21"/>
        <w:jc w:val="right"/>
        <w:rPr>
          <w:szCs w:val="27"/>
        </w:rPr>
      </w:pPr>
      <w:r>
        <w:rPr>
          <w:szCs w:val="27"/>
        </w:rPr>
        <w:t>附件二</w:t>
      </w:r>
    </w:p>
    <w:p>
      <w:pPr>
        <w:pStyle w:val="F21"/>
        <w:rPr>
          <w:szCs w:val="27"/>
        </w:rPr>
      </w:pPr>
      <w:r>
        <w:rPr>
          <w:szCs w:val="27"/>
        </w:rPr>
      </w:r>
    </w:p>
    <w:p>
      <w:pPr>
        <w:pStyle w:val="F21"/>
        <w:jc w:val="center"/>
        <w:rPr>
          <w:szCs w:val="27"/>
        </w:rPr>
      </w:pPr>
      <w:r>
        <w:rPr>
          <w:szCs w:val="27"/>
        </w:rPr>
        <w:t>位於市區樓面面積超過</w:t>
      </w:r>
      <w:r>
        <w:rPr>
          <w:szCs w:val="27"/>
        </w:rPr>
        <w:t>100</w:t>
      </w:r>
      <w:r>
        <w:rPr>
          <w:szCs w:val="27"/>
        </w:rPr>
        <w:t>平方米並超出政府運作需要的空置物業</w:t>
      </w:r>
    </w:p>
    <w:p>
      <w:pPr>
        <w:pStyle w:val="F21"/>
        <w:rPr>
          <w:szCs w:val="27"/>
        </w:rPr>
      </w:pPr>
      <w:r>
        <w:rPr>
          <w:szCs w:val="27"/>
        </w:rPr>
      </w:r>
    </w:p>
    <w:tbl>
      <w:tblPr>
        <w:tblStyle w:val="a9"/>
        <w:tblW w:w="9222" w:type="dxa"/>
        <w:jc w:val="left"/>
        <w:tblInd w:w="0" w:type="dxa"/>
        <w:tblCellMar>
          <w:top w:w="0" w:type="dxa"/>
          <w:left w:w="108" w:type="dxa"/>
          <w:bottom w:w="0" w:type="dxa"/>
          <w:right w:w="108" w:type="dxa"/>
        </w:tblCellMar>
        <w:tblLook w:val="04a0" w:noHBand="0" w:noVBand="1" w:firstColumn="1" w:lastRow="0" w:lastColumn="0" w:firstRow="1"/>
      </w:tblPr>
      <w:tblGrid>
        <w:gridCol w:w="571"/>
        <w:gridCol w:w="2836"/>
        <w:gridCol w:w="993"/>
        <w:gridCol w:w="1418"/>
        <w:gridCol w:w="1276"/>
        <w:gridCol w:w="1418"/>
        <w:gridCol w:w="709"/>
      </w:tblGrid>
      <w:tr>
        <w:trPr>
          <w:tblHeader w:val="true"/>
        </w:trPr>
        <w:tc>
          <w:tcPr>
            <w:tcW w:w="571" w:type="dxa"/>
            <w:tcBorders/>
            <w:vAlign w:val="center"/>
          </w:tcPr>
          <w:p>
            <w:pPr>
              <w:pStyle w:val="F21"/>
              <w:tabs>
                <w:tab w:val="clear" w:pos="567"/>
              </w:tabs>
              <w:ind w:left="57" w:right="57" w:hanging="0"/>
              <w:jc w:val="center"/>
              <w:rPr>
                <w:i/>
                <w:i/>
                <w:sz w:val="25"/>
                <w:szCs w:val="25"/>
              </w:rPr>
            </w:pPr>
            <w:r>
              <w:rPr>
                <w:i/>
                <w:sz w:val="25"/>
                <w:szCs w:val="25"/>
              </w:rPr>
              <w:t>項</w:t>
            </w:r>
          </w:p>
          <w:p>
            <w:pPr>
              <w:pStyle w:val="F21"/>
              <w:tabs>
                <w:tab w:val="clear" w:pos="567"/>
              </w:tabs>
              <w:ind w:left="57" w:right="57" w:hanging="0"/>
              <w:jc w:val="center"/>
              <w:rPr>
                <w:i/>
                <w:i/>
                <w:sz w:val="25"/>
                <w:szCs w:val="25"/>
              </w:rPr>
            </w:pPr>
            <w:r>
              <w:rPr>
                <w:i/>
                <w:sz w:val="25"/>
                <w:szCs w:val="25"/>
              </w:rPr>
              <w:t>目</w:t>
            </w:r>
          </w:p>
        </w:tc>
        <w:tc>
          <w:tcPr>
            <w:tcW w:w="2836" w:type="dxa"/>
            <w:tcBorders/>
            <w:vAlign w:val="center"/>
          </w:tcPr>
          <w:p>
            <w:pPr>
              <w:pStyle w:val="F21"/>
              <w:tabs>
                <w:tab w:val="clear" w:pos="567"/>
              </w:tabs>
              <w:ind w:left="57" w:right="57" w:hanging="0"/>
              <w:jc w:val="center"/>
              <w:rPr>
                <w:i/>
                <w:i/>
                <w:sz w:val="25"/>
                <w:szCs w:val="25"/>
              </w:rPr>
            </w:pPr>
            <w:r>
              <w:rPr>
                <w:i/>
                <w:sz w:val="25"/>
                <w:szCs w:val="25"/>
              </w:rPr>
              <w:t>物業地址</w:t>
            </w:r>
          </w:p>
        </w:tc>
        <w:tc>
          <w:tcPr>
            <w:tcW w:w="993" w:type="dxa"/>
            <w:tcBorders/>
            <w:vAlign w:val="center"/>
          </w:tcPr>
          <w:p>
            <w:pPr>
              <w:pStyle w:val="F21"/>
              <w:tabs>
                <w:tab w:val="clear" w:pos="567"/>
              </w:tabs>
              <w:ind w:left="57" w:hanging="0"/>
              <w:jc w:val="center"/>
              <w:rPr>
                <w:i/>
                <w:i/>
                <w:sz w:val="25"/>
                <w:szCs w:val="25"/>
              </w:rPr>
            </w:pPr>
            <w:r>
              <w:rPr>
                <w:i/>
                <w:sz w:val="25"/>
                <w:szCs w:val="25"/>
              </w:rPr>
              <w:t>地區</w:t>
            </w:r>
          </w:p>
        </w:tc>
        <w:tc>
          <w:tcPr>
            <w:tcW w:w="1418" w:type="dxa"/>
            <w:tcBorders/>
            <w:vAlign w:val="center"/>
          </w:tcPr>
          <w:p>
            <w:pPr>
              <w:pStyle w:val="F21"/>
              <w:tabs>
                <w:tab w:val="clear" w:pos="567"/>
              </w:tabs>
              <w:ind w:left="57" w:right="57" w:hanging="0"/>
              <w:jc w:val="center"/>
              <w:rPr>
                <w:i/>
                <w:i/>
                <w:sz w:val="25"/>
                <w:szCs w:val="25"/>
              </w:rPr>
            </w:pPr>
            <w:r>
              <w:rPr>
                <w:i/>
                <w:sz w:val="25"/>
                <w:szCs w:val="25"/>
              </w:rPr>
              <w:t>樓面面積</w:t>
            </w:r>
          </w:p>
          <w:p>
            <w:pPr>
              <w:pStyle w:val="F21"/>
              <w:tabs>
                <w:tab w:val="clear" w:pos="567"/>
              </w:tabs>
              <w:ind w:left="57" w:right="57" w:hanging="0"/>
              <w:jc w:val="center"/>
              <w:rPr>
                <w:i/>
                <w:i/>
                <w:sz w:val="25"/>
                <w:szCs w:val="25"/>
              </w:rPr>
            </w:pPr>
            <w:r>
              <w:rPr>
                <w:i/>
                <w:sz w:val="25"/>
                <w:szCs w:val="25"/>
              </w:rPr>
              <w:t>(</w:t>
            </w:r>
            <w:r>
              <w:rPr>
                <w:i/>
                <w:sz w:val="25"/>
                <w:szCs w:val="25"/>
              </w:rPr>
              <w:t>平方米</w:t>
            </w:r>
            <w:r>
              <w:rPr>
                <w:i/>
                <w:sz w:val="25"/>
                <w:szCs w:val="25"/>
              </w:rPr>
              <w:t>)</w:t>
            </w:r>
          </w:p>
          <w:p>
            <w:pPr>
              <w:pStyle w:val="F21"/>
              <w:tabs>
                <w:tab w:val="clear" w:pos="567"/>
              </w:tabs>
              <w:ind w:left="57" w:right="57" w:hanging="0"/>
              <w:jc w:val="center"/>
              <w:rPr>
                <w:i/>
                <w:i/>
                <w:sz w:val="25"/>
                <w:szCs w:val="25"/>
              </w:rPr>
            </w:pPr>
            <w:r>
              <w:rPr>
                <w:i/>
                <w:sz w:val="25"/>
                <w:szCs w:val="25"/>
              </w:rPr>
              <w:t>(</w:t>
            </w:r>
            <w:r>
              <w:rPr>
                <w:i/>
                <w:sz w:val="25"/>
                <w:szCs w:val="25"/>
              </w:rPr>
              <w:t>約</w:t>
            </w:r>
            <w:r>
              <w:rPr>
                <w:i/>
                <w:sz w:val="25"/>
                <w:szCs w:val="25"/>
              </w:rPr>
              <w:t>)</w:t>
            </w:r>
          </w:p>
        </w:tc>
        <w:tc>
          <w:tcPr>
            <w:tcW w:w="1276" w:type="dxa"/>
            <w:tcBorders/>
            <w:vAlign w:val="center"/>
          </w:tcPr>
          <w:p>
            <w:pPr>
              <w:pStyle w:val="F21"/>
              <w:tabs>
                <w:tab w:val="clear" w:pos="567"/>
              </w:tabs>
              <w:ind w:left="57" w:hanging="0"/>
              <w:jc w:val="center"/>
              <w:rPr>
                <w:i/>
                <w:i/>
                <w:sz w:val="25"/>
                <w:szCs w:val="25"/>
              </w:rPr>
            </w:pPr>
            <w:r>
              <w:rPr>
                <w:i/>
                <w:sz w:val="25"/>
                <w:szCs w:val="25"/>
              </w:rPr>
              <w:t>管理</w:t>
            </w:r>
          </w:p>
          <w:p>
            <w:pPr>
              <w:pStyle w:val="F21"/>
              <w:tabs>
                <w:tab w:val="clear" w:pos="567"/>
              </w:tabs>
              <w:ind w:left="57" w:hanging="0"/>
              <w:jc w:val="center"/>
              <w:rPr>
                <w:i/>
                <w:i/>
                <w:sz w:val="25"/>
                <w:szCs w:val="25"/>
              </w:rPr>
            </w:pPr>
            <w:r>
              <w:rPr>
                <w:i/>
                <w:sz w:val="25"/>
                <w:szCs w:val="25"/>
              </w:rPr>
              <w:t>部門</w:t>
            </w:r>
          </w:p>
        </w:tc>
        <w:tc>
          <w:tcPr>
            <w:tcW w:w="1418" w:type="dxa"/>
            <w:tcBorders/>
            <w:vAlign w:val="center"/>
          </w:tcPr>
          <w:p>
            <w:pPr>
              <w:pStyle w:val="F21"/>
              <w:tabs>
                <w:tab w:val="clear" w:pos="567"/>
              </w:tabs>
              <w:ind w:left="57" w:right="57" w:hanging="0"/>
              <w:jc w:val="center"/>
              <w:rPr>
                <w:i/>
                <w:i/>
                <w:sz w:val="25"/>
                <w:szCs w:val="25"/>
              </w:rPr>
            </w:pPr>
            <w:r>
              <w:rPr>
                <w:i/>
                <w:sz w:val="25"/>
                <w:szCs w:val="25"/>
              </w:rPr>
              <w:t>空置年期</w:t>
            </w:r>
          </w:p>
        </w:tc>
        <w:tc>
          <w:tcPr>
            <w:tcW w:w="709" w:type="dxa"/>
            <w:tcBorders/>
            <w:vAlign w:val="center"/>
          </w:tcPr>
          <w:p>
            <w:pPr>
              <w:pStyle w:val="F21"/>
              <w:tabs>
                <w:tab w:val="clear" w:pos="567"/>
              </w:tabs>
              <w:ind w:left="57" w:right="57" w:hanging="0"/>
              <w:jc w:val="center"/>
              <w:rPr>
                <w:i/>
                <w:i/>
                <w:sz w:val="25"/>
                <w:szCs w:val="25"/>
              </w:rPr>
            </w:pPr>
            <w:r>
              <w:rPr>
                <w:i/>
                <w:sz w:val="25"/>
                <w:szCs w:val="25"/>
              </w:rPr>
              <w:t>註</w:t>
            </w:r>
          </w:p>
        </w:tc>
      </w:tr>
      <w:tr>
        <w:trPr/>
        <w:tc>
          <w:tcPr>
            <w:tcW w:w="571" w:type="dxa"/>
            <w:tcBorders/>
          </w:tcPr>
          <w:p>
            <w:pPr>
              <w:pStyle w:val="F21"/>
              <w:ind w:right="227" w:hanging="0"/>
              <w:jc w:val="right"/>
              <w:rPr>
                <w:sz w:val="25"/>
                <w:szCs w:val="25"/>
              </w:rPr>
            </w:pPr>
            <w:r>
              <w:rPr>
                <w:sz w:val="25"/>
                <w:szCs w:val="25"/>
              </w:rPr>
              <w:t>1</w:t>
            </w:r>
          </w:p>
        </w:tc>
        <w:tc>
          <w:tcPr>
            <w:tcW w:w="2836" w:type="dxa"/>
            <w:tcBorders/>
          </w:tcPr>
          <w:p>
            <w:pPr>
              <w:pStyle w:val="F21"/>
              <w:tabs>
                <w:tab w:val="clear" w:pos="567"/>
              </w:tabs>
              <w:ind w:left="57" w:right="57" w:hanging="0"/>
              <w:rPr>
                <w:sz w:val="25"/>
                <w:szCs w:val="25"/>
              </w:rPr>
            </w:pPr>
            <w:r>
              <w:rPr>
                <w:sz w:val="25"/>
                <w:szCs w:val="25"/>
              </w:rPr>
              <w:t>摩星嶺炮台</w:t>
            </w:r>
          </w:p>
        </w:tc>
        <w:tc>
          <w:tcPr>
            <w:tcW w:w="993" w:type="dxa"/>
            <w:tcBorders/>
          </w:tcPr>
          <w:p>
            <w:pPr>
              <w:pStyle w:val="F21"/>
              <w:tabs>
                <w:tab w:val="clear" w:pos="567"/>
              </w:tabs>
              <w:ind w:left="57" w:hanging="0"/>
              <w:rPr>
                <w:sz w:val="25"/>
                <w:szCs w:val="25"/>
              </w:rPr>
            </w:pPr>
            <w:r>
              <w:rPr>
                <w:sz w:val="25"/>
                <w:szCs w:val="25"/>
              </w:rPr>
              <w:t>中西區</w:t>
            </w:r>
          </w:p>
        </w:tc>
        <w:tc>
          <w:tcPr>
            <w:tcW w:w="1418" w:type="dxa"/>
            <w:tcBorders/>
          </w:tcPr>
          <w:p>
            <w:pPr>
              <w:pStyle w:val="F21"/>
              <w:tabs>
                <w:tab w:val="clear" w:pos="567"/>
              </w:tabs>
              <w:ind w:left="57" w:right="57" w:hanging="0"/>
              <w:jc w:val="center"/>
              <w:rPr>
                <w:sz w:val="25"/>
                <w:szCs w:val="25"/>
              </w:rPr>
            </w:pPr>
            <w:r>
              <w:rPr>
                <w:sz w:val="25"/>
                <w:szCs w:val="25"/>
              </w:rPr>
              <w:t>不適用</w:t>
            </w:r>
            <w:r>
              <w:rPr>
                <w:sz w:val="25"/>
                <w:szCs w:val="25"/>
                <w:vertAlign w:val="superscript"/>
              </w:rPr>
              <w:t>(3)</w:t>
            </w:r>
          </w:p>
        </w:tc>
        <w:tc>
          <w:tcPr>
            <w:tcW w:w="1276" w:type="dxa"/>
            <w:tcBorders/>
          </w:tcPr>
          <w:p>
            <w:pPr>
              <w:pStyle w:val="F21"/>
              <w:tabs>
                <w:tab w:val="clear" w:pos="567"/>
              </w:tabs>
              <w:ind w:left="57" w:hanging="0"/>
              <w:rPr>
                <w:sz w:val="25"/>
                <w:szCs w:val="25"/>
              </w:rPr>
            </w:pPr>
            <w:r>
              <w:rPr>
                <w:sz w:val="25"/>
                <w:szCs w:val="25"/>
              </w:rPr>
              <w:t>地政總署</w:t>
            </w:r>
          </w:p>
        </w:tc>
        <w:tc>
          <w:tcPr>
            <w:tcW w:w="1418" w:type="dxa"/>
            <w:tcBorders/>
          </w:tcPr>
          <w:p>
            <w:pPr>
              <w:pStyle w:val="F21"/>
              <w:tabs>
                <w:tab w:val="clear" w:pos="567"/>
              </w:tabs>
              <w:ind w:left="57" w:right="57" w:hanging="0"/>
              <w:rPr>
                <w:sz w:val="25"/>
                <w:szCs w:val="25"/>
              </w:rPr>
            </w:pPr>
            <w:r>
              <w:rPr>
                <w:sz w:val="25"/>
                <w:szCs w:val="25"/>
              </w:rPr>
              <w:t>資料不詳</w:t>
            </w:r>
          </w:p>
        </w:tc>
        <w:tc>
          <w:tcPr>
            <w:tcW w:w="709" w:type="dxa"/>
            <w:tcBorders/>
          </w:tcPr>
          <w:p>
            <w:pPr>
              <w:pStyle w:val="F21"/>
              <w:tabs>
                <w:tab w:val="clear" w:pos="567"/>
              </w:tabs>
              <w:ind w:left="57" w:right="57" w:hanging="0"/>
              <w:rPr>
                <w:sz w:val="25"/>
                <w:szCs w:val="25"/>
                <w:vertAlign w:val="superscript"/>
              </w:rPr>
            </w:pPr>
            <w:r>
              <w:rPr>
                <w:sz w:val="25"/>
                <w:szCs w:val="25"/>
                <w:vertAlign w:val="superscript"/>
              </w:rPr>
              <w:t>(1)</w:t>
            </w:r>
            <w:r>
              <w:rPr>
                <w:sz w:val="25"/>
                <w:szCs w:val="25"/>
                <w:vertAlign w:val="superscript"/>
              </w:rPr>
              <w:t>、</w:t>
            </w:r>
            <w:r>
              <w:rPr>
                <w:sz w:val="25"/>
                <w:szCs w:val="25"/>
                <w:vertAlign w:val="superscript"/>
              </w:rPr>
              <w:t>(4)</w:t>
            </w:r>
          </w:p>
        </w:tc>
      </w:tr>
      <w:tr>
        <w:trPr/>
        <w:tc>
          <w:tcPr>
            <w:tcW w:w="571" w:type="dxa"/>
            <w:tcBorders/>
          </w:tcPr>
          <w:p>
            <w:pPr>
              <w:pStyle w:val="F21"/>
              <w:spacing w:lineRule="atLeast" w:line="350"/>
              <w:ind w:right="227" w:hanging="0"/>
              <w:jc w:val="right"/>
              <w:rPr>
                <w:sz w:val="25"/>
                <w:szCs w:val="25"/>
              </w:rPr>
            </w:pPr>
            <w:r>
              <w:rPr>
                <w:sz w:val="25"/>
                <w:szCs w:val="25"/>
              </w:rPr>
              <w:t>2</w:t>
            </w:r>
          </w:p>
        </w:tc>
        <w:tc>
          <w:tcPr>
            <w:tcW w:w="2836" w:type="dxa"/>
            <w:tcBorders/>
          </w:tcPr>
          <w:p>
            <w:pPr>
              <w:pStyle w:val="F21"/>
              <w:tabs>
                <w:tab w:val="clear" w:pos="567"/>
              </w:tabs>
              <w:spacing w:lineRule="atLeast" w:line="350"/>
              <w:ind w:left="57" w:right="57" w:hanging="0"/>
              <w:rPr>
                <w:sz w:val="25"/>
                <w:szCs w:val="25"/>
              </w:rPr>
            </w:pPr>
            <w:r>
              <w:rPr>
                <w:sz w:val="25"/>
                <w:szCs w:val="25"/>
              </w:rPr>
              <w:t>舊山頂道</w:t>
            </w:r>
            <w:r>
              <w:rPr>
                <w:sz w:val="25"/>
                <w:szCs w:val="25"/>
              </w:rPr>
              <w:t>102</w:t>
            </w:r>
            <w:r>
              <w:rPr>
                <w:sz w:val="25"/>
                <w:szCs w:val="25"/>
              </w:rPr>
              <w:t>號山頂倉庫</w:t>
            </w:r>
          </w:p>
        </w:tc>
        <w:tc>
          <w:tcPr>
            <w:tcW w:w="993" w:type="dxa"/>
            <w:tcBorders>
              <w:bottom w:val="nil"/>
            </w:tcBorders>
          </w:tcPr>
          <w:p>
            <w:pPr>
              <w:pStyle w:val="F21"/>
              <w:tabs>
                <w:tab w:val="clear" w:pos="567"/>
              </w:tabs>
              <w:spacing w:lineRule="atLeast" w:line="350"/>
              <w:ind w:left="57" w:hanging="0"/>
              <w:rPr>
                <w:sz w:val="25"/>
                <w:szCs w:val="25"/>
              </w:rPr>
            </w:pPr>
            <w:r>
              <w:rPr>
                <w:sz w:val="25"/>
                <w:szCs w:val="25"/>
              </w:rPr>
            </w:r>
          </w:p>
        </w:tc>
        <w:tc>
          <w:tcPr>
            <w:tcW w:w="1418" w:type="dxa"/>
            <w:tcBorders/>
          </w:tcPr>
          <w:p>
            <w:pPr>
              <w:pStyle w:val="F21"/>
              <w:tabs>
                <w:tab w:val="clear" w:pos="567"/>
              </w:tabs>
              <w:spacing w:lineRule="atLeast" w:line="350"/>
              <w:ind w:left="57" w:right="284" w:hanging="0"/>
              <w:jc w:val="right"/>
              <w:rPr>
                <w:sz w:val="25"/>
                <w:szCs w:val="25"/>
              </w:rPr>
            </w:pPr>
            <w:r>
              <w:rPr>
                <w:sz w:val="25"/>
                <w:szCs w:val="25"/>
              </w:rPr>
              <w:t>150</w:t>
            </w:r>
          </w:p>
        </w:tc>
        <w:tc>
          <w:tcPr>
            <w:tcW w:w="1276" w:type="dxa"/>
            <w:tcBorders/>
          </w:tcPr>
          <w:p>
            <w:pPr>
              <w:pStyle w:val="F21"/>
              <w:tabs>
                <w:tab w:val="clear" w:pos="567"/>
              </w:tabs>
              <w:spacing w:lineRule="atLeast" w:line="350"/>
              <w:ind w:left="57" w:hanging="0"/>
              <w:rPr>
                <w:sz w:val="25"/>
                <w:szCs w:val="25"/>
              </w:rPr>
            </w:pPr>
            <w:r>
              <w:rPr>
                <w:sz w:val="25"/>
                <w:szCs w:val="25"/>
              </w:rPr>
              <w:t>水務署</w:t>
            </w:r>
          </w:p>
        </w:tc>
        <w:tc>
          <w:tcPr>
            <w:tcW w:w="1418" w:type="dxa"/>
            <w:tcBorders/>
          </w:tcPr>
          <w:p>
            <w:pPr>
              <w:pStyle w:val="F21"/>
              <w:tabs>
                <w:tab w:val="clear" w:pos="567"/>
              </w:tabs>
              <w:spacing w:lineRule="atLeast" w:line="350"/>
              <w:ind w:left="57" w:right="57" w:hanging="0"/>
              <w:rPr>
                <w:sz w:val="25"/>
                <w:szCs w:val="25"/>
              </w:rPr>
            </w:pPr>
            <w:r>
              <w:rPr>
                <w:sz w:val="25"/>
                <w:szCs w:val="25"/>
              </w:rPr>
              <w:t>超過</w:t>
            </w:r>
            <w:r>
              <w:rPr>
                <w:sz w:val="25"/>
                <w:szCs w:val="25"/>
              </w:rPr>
              <w:t>10</w:t>
            </w:r>
            <w:r>
              <w:rPr>
                <w:sz w:val="25"/>
                <w:szCs w:val="25"/>
              </w:rPr>
              <w:t>年</w:t>
            </w:r>
          </w:p>
        </w:tc>
        <w:tc>
          <w:tcPr>
            <w:tcW w:w="709" w:type="dxa"/>
            <w:tcBorders/>
          </w:tcPr>
          <w:p>
            <w:pPr>
              <w:pStyle w:val="F21"/>
              <w:tabs>
                <w:tab w:val="clear" w:pos="567"/>
              </w:tabs>
              <w:spacing w:lineRule="atLeast" w:line="350"/>
              <w:ind w:left="57" w:right="57" w:hanging="0"/>
              <w:rPr>
                <w:sz w:val="25"/>
                <w:szCs w:val="25"/>
                <w:vertAlign w:val="superscript"/>
              </w:rPr>
            </w:pPr>
            <w:r>
              <w:rPr>
                <w:sz w:val="25"/>
                <w:szCs w:val="25"/>
                <w:vertAlign w:val="superscript"/>
              </w:rPr>
              <w:t>(1)</w:t>
            </w:r>
            <w:r>
              <w:rPr>
                <w:sz w:val="25"/>
                <w:szCs w:val="25"/>
                <w:vertAlign w:val="superscript"/>
              </w:rPr>
              <w:t>、</w:t>
            </w:r>
            <w:r>
              <w:rPr>
                <w:sz w:val="25"/>
                <w:szCs w:val="25"/>
                <w:vertAlign w:val="superscript"/>
              </w:rPr>
              <w:t>(4)</w:t>
            </w:r>
          </w:p>
        </w:tc>
      </w:tr>
      <w:tr>
        <w:trPr/>
        <w:tc>
          <w:tcPr>
            <w:tcW w:w="571" w:type="dxa"/>
            <w:tcBorders/>
          </w:tcPr>
          <w:p>
            <w:pPr>
              <w:pStyle w:val="F21"/>
              <w:spacing w:lineRule="atLeast" w:line="350"/>
              <w:ind w:right="227" w:hanging="0"/>
              <w:jc w:val="right"/>
              <w:rPr>
                <w:sz w:val="25"/>
                <w:szCs w:val="25"/>
              </w:rPr>
            </w:pPr>
            <w:r>
              <w:rPr>
                <w:sz w:val="25"/>
                <w:szCs w:val="25"/>
              </w:rPr>
              <w:t>3</w:t>
            </w:r>
          </w:p>
        </w:tc>
        <w:tc>
          <w:tcPr>
            <w:tcW w:w="2836" w:type="dxa"/>
            <w:tcBorders/>
          </w:tcPr>
          <w:p>
            <w:pPr>
              <w:pStyle w:val="F21"/>
              <w:tabs>
                <w:tab w:val="clear" w:pos="567"/>
              </w:tabs>
              <w:spacing w:lineRule="atLeast" w:line="350"/>
              <w:ind w:left="57" w:right="57" w:hanging="0"/>
              <w:rPr>
                <w:sz w:val="25"/>
                <w:szCs w:val="25"/>
              </w:rPr>
            </w:pPr>
            <w:r>
              <w:rPr>
                <w:sz w:val="25"/>
                <w:szCs w:val="25"/>
              </w:rPr>
              <w:t>域多利道</w:t>
            </w:r>
            <w:r>
              <w:rPr>
                <w:sz w:val="25"/>
                <w:szCs w:val="25"/>
              </w:rPr>
              <w:t>405</w:t>
            </w:r>
            <w:r>
              <w:rPr>
                <w:sz w:val="25"/>
                <w:szCs w:val="25"/>
              </w:rPr>
              <w:t>及</w:t>
            </w:r>
            <w:r>
              <w:rPr>
                <w:sz w:val="25"/>
                <w:szCs w:val="25"/>
              </w:rPr>
              <w:t>406</w:t>
            </w:r>
            <w:r>
              <w:rPr>
                <w:sz w:val="25"/>
                <w:szCs w:val="25"/>
              </w:rPr>
              <w:t>號</w:t>
            </w:r>
          </w:p>
        </w:tc>
        <w:tc>
          <w:tcPr>
            <w:tcW w:w="993" w:type="dxa"/>
            <w:tcBorders>
              <w:top w:val="nil"/>
              <w:bottom w:val="nil"/>
            </w:tcBorders>
          </w:tcPr>
          <w:p>
            <w:pPr>
              <w:pStyle w:val="F21"/>
              <w:tabs>
                <w:tab w:val="clear" w:pos="567"/>
              </w:tabs>
              <w:spacing w:lineRule="atLeast" w:line="350"/>
              <w:ind w:left="57" w:hanging="0"/>
              <w:rPr>
                <w:sz w:val="25"/>
                <w:szCs w:val="25"/>
              </w:rPr>
            </w:pPr>
            <w:r>
              <w:rPr>
                <w:sz w:val="25"/>
                <w:szCs w:val="25"/>
              </w:rPr>
            </w:r>
          </w:p>
        </w:tc>
        <w:tc>
          <w:tcPr>
            <w:tcW w:w="1418" w:type="dxa"/>
            <w:tcBorders/>
          </w:tcPr>
          <w:p>
            <w:pPr>
              <w:pStyle w:val="F21"/>
              <w:tabs>
                <w:tab w:val="clear" w:pos="567"/>
              </w:tabs>
              <w:spacing w:lineRule="atLeast" w:line="350"/>
              <w:ind w:left="57" w:right="284" w:hanging="0"/>
              <w:jc w:val="right"/>
              <w:rPr>
                <w:sz w:val="25"/>
                <w:szCs w:val="25"/>
              </w:rPr>
            </w:pPr>
            <w:r>
              <w:rPr>
                <w:sz w:val="25"/>
                <w:szCs w:val="25"/>
              </w:rPr>
              <w:t>166</w:t>
            </w:r>
          </w:p>
        </w:tc>
        <w:tc>
          <w:tcPr>
            <w:tcW w:w="1276" w:type="dxa"/>
            <w:tcBorders/>
          </w:tcPr>
          <w:p>
            <w:pPr>
              <w:pStyle w:val="F21"/>
              <w:tabs>
                <w:tab w:val="clear" w:pos="567"/>
              </w:tabs>
              <w:spacing w:lineRule="atLeast" w:line="350"/>
              <w:ind w:left="57" w:hanging="0"/>
              <w:rPr>
                <w:sz w:val="25"/>
                <w:szCs w:val="25"/>
              </w:rPr>
            </w:pPr>
            <w:r>
              <w:rPr>
                <w:sz w:val="25"/>
                <w:szCs w:val="25"/>
              </w:rPr>
              <w:t>產業署</w:t>
            </w:r>
          </w:p>
        </w:tc>
        <w:tc>
          <w:tcPr>
            <w:tcW w:w="1418" w:type="dxa"/>
            <w:tcBorders/>
          </w:tcPr>
          <w:p>
            <w:pPr>
              <w:pStyle w:val="F21"/>
              <w:tabs>
                <w:tab w:val="clear" w:pos="567"/>
              </w:tabs>
              <w:spacing w:lineRule="atLeast" w:line="350"/>
              <w:ind w:left="57" w:right="57" w:hanging="0"/>
              <w:rPr>
                <w:sz w:val="25"/>
                <w:szCs w:val="25"/>
              </w:rPr>
            </w:pPr>
            <w:r>
              <w:rPr>
                <w:sz w:val="25"/>
                <w:szCs w:val="25"/>
              </w:rPr>
              <w:t>約</w:t>
            </w:r>
            <w:r>
              <w:rPr>
                <w:sz w:val="25"/>
                <w:szCs w:val="25"/>
              </w:rPr>
              <w:t>7</w:t>
            </w:r>
            <w:r>
              <w:rPr>
                <w:sz w:val="25"/>
                <w:szCs w:val="25"/>
              </w:rPr>
              <w:t>年</w:t>
            </w:r>
          </w:p>
        </w:tc>
        <w:tc>
          <w:tcPr>
            <w:tcW w:w="709" w:type="dxa"/>
            <w:tcBorders/>
          </w:tcPr>
          <w:p>
            <w:pPr>
              <w:pStyle w:val="F21"/>
              <w:tabs>
                <w:tab w:val="clear" w:pos="567"/>
              </w:tabs>
              <w:spacing w:lineRule="atLeast" w:line="350"/>
              <w:ind w:left="57" w:right="57" w:hanging="0"/>
              <w:jc w:val="center"/>
              <w:rPr>
                <w:sz w:val="25"/>
                <w:szCs w:val="25"/>
                <w:vertAlign w:val="superscript"/>
              </w:rPr>
            </w:pPr>
            <w:r>
              <w:rPr>
                <w:sz w:val="25"/>
                <w:szCs w:val="25"/>
                <w:vertAlign w:val="superscript"/>
              </w:rPr>
              <w:t>(1)</w:t>
            </w:r>
          </w:p>
        </w:tc>
      </w:tr>
      <w:tr>
        <w:trPr/>
        <w:tc>
          <w:tcPr>
            <w:tcW w:w="571" w:type="dxa"/>
            <w:tcBorders/>
          </w:tcPr>
          <w:p>
            <w:pPr>
              <w:pStyle w:val="F21"/>
              <w:spacing w:lineRule="atLeast" w:line="350"/>
              <w:ind w:right="227" w:hanging="0"/>
              <w:jc w:val="right"/>
              <w:rPr>
                <w:sz w:val="25"/>
                <w:szCs w:val="25"/>
              </w:rPr>
            </w:pPr>
            <w:r>
              <w:rPr>
                <w:sz w:val="25"/>
                <w:szCs w:val="25"/>
              </w:rPr>
              <w:t>4</w:t>
            </w:r>
          </w:p>
        </w:tc>
        <w:tc>
          <w:tcPr>
            <w:tcW w:w="2836" w:type="dxa"/>
            <w:tcBorders/>
          </w:tcPr>
          <w:p>
            <w:pPr>
              <w:pStyle w:val="F21"/>
              <w:tabs>
                <w:tab w:val="clear" w:pos="567"/>
              </w:tabs>
              <w:spacing w:lineRule="atLeast" w:line="350"/>
              <w:ind w:left="57" w:right="57" w:hanging="0"/>
              <w:rPr>
                <w:sz w:val="25"/>
                <w:szCs w:val="25"/>
              </w:rPr>
            </w:pPr>
            <w:r>
              <w:rPr>
                <w:sz w:val="25"/>
                <w:szCs w:val="25"/>
              </w:rPr>
              <w:t>花園道</w:t>
            </w:r>
            <w:r>
              <w:rPr>
                <w:sz w:val="25"/>
                <w:szCs w:val="25"/>
              </w:rPr>
              <w:t>56</w:t>
            </w:r>
            <w:r>
              <w:rPr>
                <w:sz w:val="25"/>
                <w:szCs w:val="25"/>
              </w:rPr>
              <w:t>號對面雅賓利道花園員工宿舍</w:t>
            </w:r>
          </w:p>
        </w:tc>
        <w:tc>
          <w:tcPr>
            <w:tcW w:w="993" w:type="dxa"/>
            <w:tcBorders>
              <w:top w:val="nil"/>
              <w:bottom w:val="nil"/>
            </w:tcBorders>
          </w:tcPr>
          <w:p>
            <w:pPr>
              <w:pStyle w:val="F21"/>
              <w:tabs>
                <w:tab w:val="clear" w:pos="567"/>
              </w:tabs>
              <w:spacing w:lineRule="atLeast" w:line="350"/>
              <w:ind w:left="57" w:hanging="0"/>
              <w:rPr>
                <w:sz w:val="25"/>
                <w:szCs w:val="25"/>
              </w:rPr>
            </w:pPr>
            <w:r>
              <w:rPr>
                <w:sz w:val="25"/>
                <w:szCs w:val="25"/>
              </w:rPr>
            </w:r>
          </w:p>
        </w:tc>
        <w:tc>
          <w:tcPr>
            <w:tcW w:w="1418" w:type="dxa"/>
            <w:tcBorders/>
          </w:tcPr>
          <w:p>
            <w:pPr>
              <w:pStyle w:val="F21"/>
              <w:tabs>
                <w:tab w:val="clear" w:pos="567"/>
              </w:tabs>
              <w:spacing w:lineRule="atLeast" w:line="350"/>
              <w:ind w:left="57" w:right="284" w:hanging="0"/>
              <w:jc w:val="right"/>
              <w:rPr>
                <w:sz w:val="25"/>
                <w:szCs w:val="25"/>
              </w:rPr>
            </w:pPr>
            <w:r>
              <w:rPr>
                <w:sz w:val="25"/>
                <w:szCs w:val="25"/>
              </w:rPr>
              <w:t>264</w:t>
            </w:r>
          </w:p>
        </w:tc>
        <w:tc>
          <w:tcPr>
            <w:tcW w:w="1276" w:type="dxa"/>
            <w:tcBorders/>
          </w:tcPr>
          <w:p>
            <w:pPr>
              <w:pStyle w:val="F21"/>
              <w:tabs>
                <w:tab w:val="clear" w:pos="567"/>
              </w:tabs>
              <w:spacing w:lineRule="atLeast" w:line="350"/>
              <w:ind w:left="57" w:hanging="0"/>
              <w:rPr>
                <w:sz w:val="25"/>
                <w:szCs w:val="25"/>
              </w:rPr>
            </w:pPr>
            <w:r>
              <w:rPr>
                <w:sz w:val="25"/>
                <w:szCs w:val="25"/>
              </w:rPr>
              <w:t>康樂及文化事務署</w:t>
            </w:r>
          </w:p>
        </w:tc>
        <w:tc>
          <w:tcPr>
            <w:tcW w:w="1418" w:type="dxa"/>
            <w:tcBorders/>
          </w:tcPr>
          <w:p>
            <w:pPr>
              <w:pStyle w:val="F21"/>
              <w:tabs>
                <w:tab w:val="clear" w:pos="567"/>
              </w:tabs>
              <w:spacing w:lineRule="atLeast" w:line="350"/>
              <w:ind w:left="57" w:right="57" w:hanging="0"/>
              <w:rPr>
                <w:sz w:val="25"/>
                <w:szCs w:val="25"/>
              </w:rPr>
            </w:pPr>
            <w:r>
              <w:rPr>
                <w:sz w:val="25"/>
                <w:szCs w:val="25"/>
              </w:rPr>
              <w:t>超過</w:t>
            </w:r>
            <w:r>
              <w:rPr>
                <w:sz w:val="25"/>
                <w:szCs w:val="25"/>
              </w:rPr>
              <w:t>10</w:t>
            </w:r>
            <w:r>
              <w:rPr>
                <w:sz w:val="25"/>
                <w:szCs w:val="25"/>
              </w:rPr>
              <w:t>年</w:t>
            </w:r>
          </w:p>
        </w:tc>
        <w:tc>
          <w:tcPr>
            <w:tcW w:w="709" w:type="dxa"/>
            <w:tcBorders/>
          </w:tcPr>
          <w:p>
            <w:pPr>
              <w:pStyle w:val="F21"/>
              <w:tabs>
                <w:tab w:val="clear" w:pos="567"/>
              </w:tabs>
              <w:spacing w:lineRule="atLeast" w:line="350"/>
              <w:ind w:left="57" w:right="57" w:hanging="0"/>
              <w:jc w:val="center"/>
              <w:rPr>
                <w:sz w:val="25"/>
                <w:szCs w:val="25"/>
                <w:vertAlign w:val="superscript"/>
              </w:rPr>
            </w:pPr>
            <w:r>
              <w:rPr>
                <w:sz w:val="25"/>
                <w:szCs w:val="25"/>
                <w:vertAlign w:val="superscript"/>
              </w:rPr>
              <w:t>(1)</w:t>
            </w:r>
          </w:p>
        </w:tc>
      </w:tr>
      <w:tr>
        <w:trPr/>
        <w:tc>
          <w:tcPr>
            <w:tcW w:w="571" w:type="dxa"/>
            <w:tcBorders/>
          </w:tcPr>
          <w:p>
            <w:pPr>
              <w:pStyle w:val="F21"/>
              <w:spacing w:lineRule="atLeast" w:line="350"/>
              <w:ind w:right="227" w:hanging="0"/>
              <w:jc w:val="right"/>
              <w:rPr>
                <w:sz w:val="25"/>
                <w:szCs w:val="25"/>
              </w:rPr>
            </w:pPr>
            <w:r>
              <w:rPr>
                <w:sz w:val="25"/>
                <w:szCs w:val="25"/>
              </w:rPr>
              <w:t>5</w:t>
            </w:r>
          </w:p>
        </w:tc>
        <w:tc>
          <w:tcPr>
            <w:tcW w:w="2836" w:type="dxa"/>
            <w:tcBorders/>
          </w:tcPr>
          <w:p>
            <w:pPr>
              <w:pStyle w:val="F21"/>
              <w:tabs>
                <w:tab w:val="clear" w:pos="567"/>
              </w:tabs>
              <w:spacing w:lineRule="atLeast" w:line="350"/>
              <w:ind w:left="57" w:right="57" w:hanging="0"/>
              <w:rPr>
                <w:sz w:val="25"/>
                <w:szCs w:val="25"/>
              </w:rPr>
            </w:pPr>
            <w:r>
              <w:rPr>
                <w:sz w:val="25"/>
                <w:szCs w:val="25"/>
              </w:rPr>
              <w:t>花園道</w:t>
            </w:r>
            <w:r>
              <w:rPr>
                <w:sz w:val="25"/>
                <w:szCs w:val="25"/>
              </w:rPr>
              <w:t>56</w:t>
            </w:r>
            <w:r>
              <w:rPr>
                <w:sz w:val="25"/>
                <w:szCs w:val="25"/>
              </w:rPr>
              <w:t>號雅賓利食水抽水站員工宿舍</w:t>
            </w:r>
          </w:p>
        </w:tc>
        <w:tc>
          <w:tcPr>
            <w:tcW w:w="993" w:type="dxa"/>
            <w:tcBorders>
              <w:top w:val="nil"/>
              <w:bottom w:val="nil"/>
            </w:tcBorders>
          </w:tcPr>
          <w:p>
            <w:pPr>
              <w:pStyle w:val="F21"/>
              <w:tabs>
                <w:tab w:val="clear" w:pos="567"/>
              </w:tabs>
              <w:spacing w:lineRule="atLeast" w:line="350"/>
              <w:ind w:left="57" w:hanging="0"/>
              <w:rPr>
                <w:sz w:val="25"/>
                <w:szCs w:val="25"/>
              </w:rPr>
            </w:pPr>
            <w:r>
              <w:rPr>
                <w:sz w:val="25"/>
                <w:szCs w:val="25"/>
              </w:rPr>
            </w:r>
          </w:p>
        </w:tc>
        <w:tc>
          <w:tcPr>
            <w:tcW w:w="1418" w:type="dxa"/>
            <w:tcBorders/>
          </w:tcPr>
          <w:p>
            <w:pPr>
              <w:pStyle w:val="F21"/>
              <w:tabs>
                <w:tab w:val="clear" w:pos="567"/>
              </w:tabs>
              <w:spacing w:lineRule="atLeast" w:line="350"/>
              <w:ind w:left="57" w:right="284" w:hanging="0"/>
              <w:jc w:val="right"/>
              <w:rPr>
                <w:sz w:val="25"/>
                <w:szCs w:val="25"/>
              </w:rPr>
            </w:pPr>
            <w:r>
              <w:rPr>
                <w:sz w:val="25"/>
                <w:szCs w:val="25"/>
              </w:rPr>
              <w:t>232</w:t>
            </w:r>
          </w:p>
        </w:tc>
        <w:tc>
          <w:tcPr>
            <w:tcW w:w="1276" w:type="dxa"/>
            <w:tcBorders/>
          </w:tcPr>
          <w:p>
            <w:pPr>
              <w:pStyle w:val="F21"/>
              <w:tabs>
                <w:tab w:val="clear" w:pos="567"/>
              </w:tabs>
              <w:spacing w:lineRule="atLeast" w:line="350"/>
              <w:ind w:left="57" w:hanging="0"/>
              <w:rPr>
                <w:sz w:val="25"/>
                <w:szCs w:val="25"/>
              </w:rPr>
            </w:pPr>
            <w:r>
              <w:rPr>
                <w:sz w:val="25"/>
                <w:szCs w:val="25"/>
              </w:rPr>
              <w:t>水務署</w:t>
            </w:r>
          </w:p>
        </w:tc>
        <w:tc>
          <w:tcPr>
            <w:tcW w:w="1418" w:type="dxa"/>
            <w:tcBorders/>
          </w:tcPr>
          <w:p>
            <w:pPr>
              <w:pStyle w:val="F21"/>
              <w:tabs>
                <w:tab w:val="clear" w:pos="567"/>
              </w:tabs>
              <w:spacing w:lineRule="atLeast" w:line="350"/>
              <w:ind w:left="57" w:right="57" w:hanging="0"/>
              <w:rPr>
                <w:sz w:val="25"/>
                <w:szCs w:val="25"/>
              </w:rPr>
            </w:pPr>
            <w:r>
              <w:rPr>
                <w:sz w:val="25"/>
                <w:szCs w:val="25"/>
              </w:rPr>
              <w:t>超過</w:t>
            </w:r>
            <w:r>
              <w:rPr>
                <w:sz w:val="25"/>
                <w:szCs w:val="25"/>
              </w:rPr>
              <w:t>5</w:t>
            </w:r>
            <w:r>
              <w:rPr>
                <w:sz w:val="25"/>
                <w:szCs w:val="25"/>
              </w:rPr>
              <w:t>年</w:t>
            </w:r>
          </w:p>
        </w:tc>
        <w:tc>
          <w:tcPr>
            <w:tcW w:w="709" w:type="dxa"/>
            <w:tcBorders/>
          </w:tcPr>
          <w:p>
            <w:pPr>
              <w:pStyle w:val="F21"/>
              <w:tabs>
                <w:tab w:val="clear" w:pos="567"/>
              </w:tabs>
              <w:spacing w:lineRule="atLeast" w:line="350"/>
              <w:ind w:left="57" w:right="57" w:hanging="0"/>
              <w:jc w:val="center"/>
              <w:rPr>
                <w:sz w:val="25"/>
                <w:szCs w:val="25"/>
                <w:vertAlign w:val="superscript"/>
              </w:rPr>
            </w:pPr>
            <w:r>
              <w:rPr>
                <w:sz w:val="25"/>
                <w:szCs w:val="25"/>
                <w:vertAlign w:val="superscript"/>
              </w:rPr>
              <w:t>(1)</w:t>
            </w:r>
          </w:p>
        </w:tc>
      </w:tr>
      <w:tr>
        <w:trPr/>
        <w:tc>
          <w:tcPr>
            <w:tcW w:w="571" w:type="dxa"/>
            <w:tcBorders/>
          </w:tcPr>
          <w:p>
            <w:pPr>
              <w:pStyle w:val="F21"/>
              <w:spacing w:lineRule="atLeast" w:line="350"/>
              <w:ind w:right="227" w:hanging="0"/>
              <w:jc w:val="right"/>
              <w:rPr>
                <w:sz w:val="25"/>
                <w:szCs w:val="25"/>
              </w:rPr>
            </w:pPr>
            <w:r>
              <w:rPr>
                <w:sz w:val="25"/>
                <w:szCs w:val="25"/>
              </w:rPr>
              <w:t>6</w:t>
            </w:r>
          </w:p>
        </w:tc>
        <w:tc>
          <w:tcPr>
            <w:tcW w:w="2836" w:type="dxa"/>
            <w:tcBorders/>
          </w:tcPr>
          <w:p>
            <w:pPr>
              <w:pStyle w:val="F21"/>
              <w:tabs>
                <w:tab w:val="clear" w:pos="567"/>
              </w:tabs>
              <w:spacing w:lineRule="atLeast" w:line="350"/>
              <w:ind w:left="57" w:right="57" w:hanging="0"/>
              <w:rPr>
                <w:sz w:val="25"/>
                <w:szCs w:val="25"/>
              </w:rPr>
            </w:pPr>
            <w:r>
              <w:rPr>
                <w:sz w:val="25"/>
                <w:szCs w:val="25"/>
              </w:rPr>
              <w:t>前域多利道扣押中心東面部分</w:t>
            </w:r>
          </w:p>
        </w:tc>
        <w:tc>
          <w:tcPr>
            <w:tcW w:w="993" w:type="dxa"/>
            <w:tcBorders>
              <w:top w:val="nil"/>
              <w:bottom w:val="nil"/>
            </w:tcBorders>
          </w:tcPr>
          <w:p>
            <w:pPr>
              <w:pStyle w:val="F21"/>
              <w:tabs>
                <w:tab w:val="clear" w:pos="567"/>
              </w:tabs>
              <w:spacing w:lineRule="atLeast" w:line="350"/>
              <w:ind w:left="57" w:hanging="0"/>
              <w:rPr>
                <w:sz w:val="25"/>
                <w:szCs w:val="25"/>
              </w:rPr>
            </w:pPr>
            <w:r>
              <w:rPr>
                <w:sz w:val="25"/>
                <w:szCs w:val="25"/>
              </w:rPr>
            </w:r>
          </w:p>
        </w:tc>
        <w:tc>
          <w:tcPr>
            <w:tcW w:w="1418" w:type="dxa"/>
            <w:tcBorders/>
          </w:tcPr>
          <w:p>
            <w:pPr>
              <w:pStyle w:val="F21"/>
              <w:tabs>
                <w:tab w:val="clear" w:pos="567"/>
              </w:tabs>
              <w:spacing w:lineRule="atLeast" w:line="350"/>
              <w:ind w:left="57" w:right="284" w:hanging="0"/>
              <w:jc w:val="right"/>
              <w:rPr>
                <w:sz w:val="25"/>
                <w:szCs w:val="25"/>
              </w:rPr>
            </w:pPr>
            <w:r>
              <w:rPr>
                <w:sz w:val="25"/>
                <w:szCs w:val="25"/>
              </w:rPr>
              <w:t>194</w:t>
            </w:r>
          </w:p>
        </w:tc>
        <w:tc>
          <w:tcPr>
            <w:tcW w:w="1276" w:type="dxa"/>
            <w:tcBorders/>
          </w:tcPr>
          <w:p>
            <w:pPr>
              <w:pStyle w:val="F21"/>
              <w:tabs>
                <w:tab w:val="clear" w:pos="567"/>
              </w:tabs>
              <w:spacing w:lineRule="atLeast" w:line="350"/>
              <w:ind w:left="57" w:hanging="0"/>
              <w:rPr>
                <w:sz w:val="25"/>
                <w:szCs w:val="25"/>
              </w:rPr>
            </w:pPr>
            <w:r>
              <w:rPr>
                <w:sz w:val="25"/>
                <w:szCs w:val="25"/>
              </w:rPr>
              <w:t>產業署</w:t>
            </w:r>
          </w:p>
        </w:tc>
        <w:tc>
          <w:tcPr>
            <w:tcW w:w="1418" w:type="dxa"/>
            <w:tcBorders/>
          </w:tcPr>
          <w:p>
            <w:pPr>
              <w:pStyle w:val="F21"/>
              <w:tabs>
                <w:tab w:val="clear" w:pos="567"/>
              </w:tabs>
              <w:spacing w:lineRule="atLeast" w:line="350"/>
              <w:ind w:left="57" w:right="57" w:hanging="0"/>
              <w:rPr>
                <w:sz w:val="25"/>
                <w:szCs w:val="25"/>
              </w:rPr>
            </w:pPr>
            <w:r>
              <w:rPr>
                <w:sz w:val="25"/>
                <w:szCs w:val="25"/>
              </w:rPr>
              <w:t>超過</w:t>
            </w:r>
            <w:r>
              <w:rPr>
                <w:sz w:val="25"/>
                <w:szCs w:val="25"/>
              </w:rPr>
              <w:t>10</w:t>
            </w:r>
            <w:r>
              <w:rPr>
                <w:sz w:val="25"/>
                <w:szCs w:val="25"/>
              </w:rPr>
              <w:t>年</w:t>
            </w:r>
          </w:p>
        </w:tc>
        <w:tc>
          <w:tcPr>
            <w:tcW w:w="709" w:type="dxa"/>
            <w:tcBorders/>
          </w:tcPr>
          <w:p>
            <w:pPr>
              <w:pStyle w:val="F21"/>
              <w:tabs>
                <w:tab w:val="clear" w:pos="567"/>
              </w:tabs>
              <w:spacing w:lineRule="atLeast" w:line="350"/>
              <w:ind w:left="57" w:right="57" w:hanging="0"/>
              <w:rPr>
                <w:sz w:val="25"/>
                <w:szCs w:val="25"/>
                <w:vertAlign w:val="superscript"/>
              </w:rPr>
            </w:pPr>
            <w:r>
              <w:rPr>
                <w:sz w:val="25"/>
                <w:szCs w:val="25"/>
                <w:vertAlign w:val="superscript"/>
              </w:rPr>
              <w:t>(1)</w:t>
            </w:r>
            <w:r>
              <w:rPr>
                <w:sz w:val="25"/>
                <w:szCs w:val="25"/>
                <w:vertAlign w:val="superscript"/>
              </w:rPr>
              <w:t>、</w:t>
            </w:r>
            <w:r>
              <w:rPr>
                <w:sz w:val="25"/>
                <w:szCs w:val="25"/>
                <w:vertAlign w:val="superscript"/>
              </w:rPr>
              <w:t>(4)</w:t>
            </w:r>
          </w:p>
        </w:tc>
      </w:tr>
      <w:tr>
        <w:trPr/>
        <w:tc>
          <w:tcPr>
            <w:tcW w:w="571" w:type="dxa"/>
            <w:tcBorders/>
          </w:tcPr>
          <w:p>
            <w:pPr>
              <w:pStyle w:val="F21"/>
              <w:spacing w:lineRule="atLeast" w:line="350"/>
              <w:ind w:right="227" w:hanging="0"/>
              <w:jc w:val="right"/>
              <w:rPr>
                <w:sz w:val="25"/>
                <w:szCs w:val="25"/>
              </w:rPr>
            </w:pPr>
            <w:r>
              <w:rPr>
                <w:sz w:val="25"/>
                <w:szCs w:val="25"/>
              </w:rPr>
              <w:t>7</w:t>
            </w:r>
          </w:p>
        </w:tc>
        <w:tc>
          <w:tcPr>
            <w:tcW w:w="2836" w:type="dxa"/>
            <w:tcBorders/>
          </w:tcPr>
          <w:p>
            <w:pPr>
              <w:pStyle w:val="F21"/>
              <w:tabs>
                <w:tab w:val="clear" w:pos="567"/>
              </w:tabs>
              <w:spacing w:lineRule="atLeast" w:line="350"/>
              <w:ind w:left="57" w:right="57" w:hanging="0"/>
              <w:rPr>
                <w:sz w:val="25"/>
                <w:szCs w:val="25"/>
              </w:rPr>
            </w:pPr>
            <w:r>
              <w:rPr>
                <w:sz w:val="25"/>
                <w:szCs w:val="25"/>
              </w:rPr>
              <w:t>青洲燈塔建築群</w:t>
            </w:r>
            <w:r>
              <w:rPr>
                <w:sz w:val="25"/>
                <w:szCs w:val="25"/>
              </w:rPr>
              <w:t>(</w:t>
            </w:r>
            <w:r>
              <w:rPr>
                <w:sz w:val="25"/>
                <w:szCs w:val="25"/>
              </w:rPr>
              <w:t>部分</w:t>
            </w:r>
            <w:r>
              <w:rPr>
                <w:sz w:val="25"/>
                <w:szCs w:val="25"/>
              </w:rPr>
              <w:t>)</w:t>
            </w:r>
            <w:r>
              <w:rPr>
                <w:sz w:val="25"/>
                <w:szCs w:val="25"/>
              </w:rPr>
              <w:t>及四周範圍</w:t>
            </w:r>
          </w:p>
        </w:tc>
        <w:tc>
          <w:tcPr>
            <w:tcW w:w="993" w:type="dxa"/>
            <w:tcBorders>
              <w:top w:val="nil"/>
            </w:tcBorders>
          </w:tcPr>
          <w:p>
            <w:pPr>
              <w:pStyle w:val="F21"/>
              <w:tabs>
                <w:tab w:val="clear" w:pos="567"/>
              </w:tabs>
              <w:spacing w:lineRule="atLeast" w:line="350"/>
              <w:ind w:left="57" w:hanging="0"/>
              <w:rPr>
                <w:sz w:val="25"/>
                <w:szCs w:val="25"/>
              </w:rPr>
            </w:pPr>
            <w:r>
              <w:rPr>
                <w:sz w:val="25"/>
                <w:szCs w:val="25"/>
              </w:rPr>
            </w:r>
          </w:p>
        </w:tc>
        <w:tc>
          <w:tcPr>
            <w:tcW w:w="1418" w:type="dxa"/>
            <w:tcBorders/>
          </w:tcPr>
          <w:p>
            <w:pPr>
              <w:pStyle w:val="F21"/>
              <w:tabs>
                <w:tab w:val="clear" w:pos="567"/>
              </w:tabs>
              <w:spacing w:lineRule="atLeast" w:line="350"/>
              <w:ind w:left="57" w:right="284" w:hanging="0"/>
              <w:jc w:val="right"/>
              <w:rPr>
                <w:sz w:val="25"/>
                <w:szCs w:val="25"/>
              </w:rPr>
            </w:pPr>
            <w:r>
              <w:rPr>
                <w:sz w:val="25"/>
                <w:szCs w:val="25"/>
              </w:rPr>
              <w:t>280</w:t>
            </w:r>
          </w:p>
        </w:tc>
        <w:tc>
          <w:tcPr>
            <w:tcW w:w="1276" w:type="dxa"/>
            <w:tcBorders/>
          </w:tcPr>
          <w:p>
            <w:pPr>
              <w:pStyle w:val="F21"/>
              <w:tabs>
                <w:tab w:val="clear" w:pos="567"/>
              </w:tabs>
              <w:spacing w:lineRule="atLeast" w:line="350"/>
              <w:ind w:left="57" w:hanging="0"/>
              <w:rPr>
                <w:sz w:val="25"/>
                <w:szCs w:val="25"/>
              </w:rPr>
            </w:pPr>
            <w:r>
              <w:rPr>
                <w:sz w:val="25"/>
                <w:szCs w:val="25"/>
              </w:rPr>
              <w:t>產業署</w:t>
            </w:r>
          </w:p>
        </w:tc>
        <w:tc>
          <w:tcPr>
            <w:tcW w:w="1418" w:type="dxa"/>
            <w:tcBorders/>
          </w:tcPr>
          <w:p>
            <w:pPr>
              <w:pStyle w:val="F21"/>
              <w:tabs>
                <w:tab w:val="clear" w:pos="567"/>
              </w:tabs>
              <w:spacing w:lineRule="atLeast" w:line="350"/>
              <w:ind w:left="57" w:right="57" w:hanging="0"/>
              <w:rPr>
                <w:sz w:val="25"/>
                <w:szCs w:val="25"/>
              </w:rPr>
            </w:pPr>
            <w:r>
              <w:rPr>
                <w:sz w:val="25"/>
                <w:szCs w:val="25"/>
              </w:rPr>
              <w:t>不超過</w:t>
            </w:r>
            <w:r>
              <w:rPr>
                <w:sz w:val="25"/>
                <w:szCs w:val="25"/>
              </w:rPr>
              <w:t>1</w:t>
            </w:r>
            <w:r>
              <w:rPr>
                <w:sz w:val="25"/>
                <w:szCs w:val="25"/>
              </w:rPr>
              <w:t>年</w:t>
            </w:r>
          </w:p>
        </w:tc>
        <w:tc>
          <w:tcPr>
            <w:tcW w:w="709" w:type="dxa"/>
            <w:tcBorders/>
          </w:tcPr>
          <w:p>
            <w:pPr>
              <w:pStyle w:val="F21"/>
              <w:tabs>
                <w:tab w:val="clear" w:pos="567"/>
              </w:tabs>
              <w:spacing w:lineRule="atLeast" w:line="350"/>
              <w:ind w:left="57" w:right="57" w:hanging="0"/>
              <w:rPr>
                <w:sz w:val="25"/>
                <w:szCs w:val="25"/>
                <w:vertAlign w:val="superscript"/>
              </w:rPr>
            </w:pPr>
            <w:r>
              <w:rPr>
                <w:sz w:val="25"/>
                <w:szCs w:val="25"/>
                <w:vertAlign w:val="superscript"/>
              </w:rPr>
              <w:t>(1)</w:t>
            </w:r>
            <w:r>
              <w:rPr>
                <w:sz w:val="25"/>
                <w:szCs w:val="25"/>
                <w:vertAlign w:val="superscript"/>
              </w:rPr>
              <w:t>、</w:t>
            </w:r>
            <w:r>
              <w:rPr>
                <w:sz w:val="25"/>
                <w:szCs w:val="25"/>
                <w:vertAlign w:val="superscript"/>
              </w:rPr>
              <w:t>(5)</w:t>
            </w:r>
          </w:p>
        </w:tc>
      </w:tr>
      <w:tr>
        <w:trPr/>
        <w:tc>
          <w:tcPr>
            <w:tcW w:w="571" w:type="dxa"/>
            <w:tcBorders/>
          </w:tcPr>
          <w:p>
            <w:pPr>
              <w:pStyle w:val="F21"/>
              <w:spacing w:lineRule="atLeast" w:line="350"/>
              <w:ind w:right="227" w:hanging="0"/>
              <w:jc w:val="right"/>
              <w:rPr>
                <w:sz w:val="25"/>
                <w:szCs w:val="25"/>
              </w:rPr>
            </w:pPr>
            <w:r>
              <w:rPr>
                <w:sz w:val="25"/>
                <w:szCs w:val="25"/>
              </w:rPr>
              <w:t>8</w:t>
            </w:r>
          </w:p>
        </w:tc>
        <w:tc>
          <w:tcPr>
            <w:tcW w:w="2836" w:type="dxa"/>
            <w:tcBorders/>
          </w:tcPr>
          <w:p>
            <w:pPr>
              <w:pStyle w:val="F21"/>
              <w:tabs>
                <w:tab w:val="clear" w:pos="567"/>
              </w:tabs>
              <w:spacing w:lineRule="atLeast" w:line="350"/>
              <w:ind w:left="57" w:right="57" w:hanging="0"/>
              <w:rPr>
                <w:sz w:val="25"/>
                <w:szCs w:val="25"/>
              </w:rPr>
            </w:pPr>
            <w:r>
              <w:rPr>
                <w:sz w:val="25"/>
                <w:szCs w:val="25"/>
              </w:rPr>
              <w:t>大潭篤原水抽水站第二號員工宿舍</w:t>
            </w:r>
          </w:p>
        </w:tc>
        <w:tc>
          <w:tcPr>
            <w:tcW w:w="993" w:type="dxa"/>
            <w:tcBorders>
              <w:bottom w:val="nil"/>
            </w:tcBorders>
          </w:tcPr>
          <w:p>
            <w:pPr>
              <w:pStyle w:val="F21"/>
              <w:tabs>
                <w:tab w:val="clear" w:pos="567"/>
              </w:tabs>
              <w:spacing w:lineRule="atLeast" w:line="350"/>
              <w:ind w:left="57" w:hanging="0"/>
              <w:rPr>
                <w:sz w:val="25"/>
                <w:szCs w:val="25"/>
              </w:rPr>
            </w:pPr>
            <w:r>
              <w:rPr>
                <w:sz w:val="25"/>
                <w:szCs w:val="25"/>
              </w:rPr>
              <w:t>南區</w:t>
            </w:r>
          </w:p>
        </w:tc>
        <w:tc>
          <w:tcPr>
            <w:tcW w:w="1418" w:type="dxa"/>
            <w:tcBorders/>
          </w:tcPr>
          <w:p>
            <w:pPr>
              <w:pStyle w:val="F21"/>
              <w:tabs>
                <w:tab w:val="clear" w:pos="567"/>
              </w:tabs>
              <w:spacing w:lineRule="atLeast" w:line="350"/>
              <w:ind w:left="57" w:right="284" w:hanging="0"/>
              <w:jc w:val="right"/>
              <w:rPr>
                <w:sz w:val="25"/>
                <w:szCs w:val="25"/>
              </w:rPr>
            </w:pPr>
            <w:r>
              <w:rPr>
                <w:sz w:val="25"/>
                <w:szCs w:val="25"/>
              </w:rPr>
              <w:t>120</w:t>
            </w:r>
          </w:p>
        </w:tc>
        <w:tc>
          <w:tcPr>
            <w:tcW w:w="1276" w:type="dxa"/>
            <w:tcBorders/>
          </w:tcPr>
          <w:p>
            <w:pPr>
              <w:pStyle w:val="F21"/>
              <w:tabs>
                <w:tab w:val="clear" w:pos="567"/>
              </w:tabs>
              <w:spacing w:lineRule="atLeast" w:line="350"/>
              <w:ind w:left="57" w:hanging="0"/>
              <w:rPr>
                <w:sz w:val="25"/>
                <w:szCs w:val="25"/>
              </w:rPr>
            </w:pPr>
            <w:r>
              <w:rPr>
                <w:sz w:val="25"/>
                <w:szCs w:val="25"/>
              </w:rPr>
              <w:t>水務署</w:t>
            </w:r>
          </w:p>
        </w:tc>
        <w:tc>
          <w:tcPr>
            <w:tcW w:w="1418" w:type="dxa"/>
            <w:tcBorders/>
          </w:tcPr>
          <w:p>
            <w:pPr>
              <w:pStyle w:val="F21"/>
              <w:tabs>
                <w:tab w:val="clear" w:pos="567"/>
              </w:tabs>
              <w:spacing w:lineRule="atLeast" w:line="350"/>
              <w:ind w:left="57" w:right="57" w:hanging="0"/>
              <w:rPr>
                <w:sz w:val="25"/>
                <w:szCs w:val="25"/>
              </w:rPr>
            </w:pPr>
            <w:r>
              <w:rPr>
                <w:sz w:val="25"/>
                <w:szCs w:val="25"/>
              </w:rPr>
              <w:t>超過</w:t>
            </w:r>
            <w:r>
              <w:rPr>
                <w:sz w:val="25"/>
                <w:szCs w:val="25"/>
              </w:rPr>
              <w:t>10</w:t>
            </w:r>
            <w:r>
              <w:rPr>
                <w:sz w:val="25"/>
                <w:szCs w:val="25"/>
              </w:rPr>
              <w:t>年</w:t>
            </w:r>
          </w:p>
        </w:tc>
        <w:tc>
          <w:tcPr>
            <w:tcW w:w="709" w:type="dxa"/>
            <w:tcBorders/>
          </w:tcPr>
          <w:p>
            <w:pPr>
              <w:pStyle w:val="F21"/>
              <w:tabs>
                <w:tab w:val="clear" w:pos="567"/>
              </w:tabs>
              <w:spacing w:lineRule="atLeast" w:line="350"/>
              <w:ind w:left="57" w:right="57" w:hanging="0"/>
              <w:rPr>
                <w:sz w:val="25"/>
                <w:szCs w:val="25"/>
                <w:vertAlign w:val="superscript"/>
              </w:rPr>
            </w:pPr>
            <w:r>
              <w:rPr>
                <w:sz w:val="25"/>
                <w:szCs w:val="25"/>
                <w:vertAlign w:val="superscript"/>
              </w:rPr>
              <w:t>(1)</w:t>
            </w:r>
            <w:r>
              <w:rPr>
                <w:sz w:val="25"/>
                <w:szCs w:val="25"/>
                <w:vertAlign w:val="superscript"/>
              </w:rPr>
              <w:t>、</w:t>
            </w:r>
            <w:r>
              <w:rPr>
                <w:sz w:val="25"/>
                <w:szCs w:val="25"/>
                <w:vertAlign w:val="superscript"/>
              </w:rPr>
              <w:t>(5)</w:t>
            </w:r>
          </w:p>
        </w:tc>
      </w:tr>
      <w:tr>
        <w:trPr/>
        <w:tc>
          <w:tcPr>
            <w:tcW w:w="571" w:type="dxa"/>
            <w:tcBorders/>
          </w:tcPr>
          <w:p>
            <w:pPr>
              <w:pStyle w:val="F21"/>
              <w:spacing w:lineRule="atLeast" w:line="350"/>
              <w:ind w:right="227" w:hanging="0"/>
              <w:jc w:val="right"/>
              <w:rPr>
                <w:sz w:val="25"/>
                <w:szCs w:val="25"/>
              </w:rPr>
            </w:pPr>
            <w:r>
              <w:rPr>
                <w:sz w:val="25"/>
                <w:szCs w:val="25"/>
              </w:rPr>
              <w:t>9</w:t>
            </w:r>
          </w:p>
        </w:tc>
        <w:tc>
          <w:tcPr>
            <w:tcW w:w="2836" w:type="dxa"/>
            <w:tcBorders/>
          </w:tcPr>
          <w:p>
            <w:pPr>
              <w:pStyle w:val="F21"/>
              <w:tabs>
                <w:tab w:val="clear" w:pos="567"/>
              </w:tabs>
              <w:spacing w:lineRule="atLeast" w:line="350"/>
              <w:ind w:left="57" w:right="57" w:hanging="0"/>
              <w:rPr>
                <w:sz w:val="25"/>
                <w:szCs w:val="25"/>
              </w:rPr>
            </w:pPr>
            <w:r>
              <w:rPr>
                <w:sz w:val="25"/>
                <w:szCs w:val="25"/>
              </w:rPr>
              <w:t>火藥洲火藥庫</w:t>
            </w:r>
          </w:p>
        </w:tc>
        <w:tc>
          <w:tcPr>
            <w:tcW w:w="993" w:type="dxa"/>
            <w:tcBorders>
              <w:top w:val="nil"/>
              <w:bottom w:val="nil"/>
            </w:tcBorders>
          </w:tcPr>
          <w:p>
            <w:pPr>
              <w:pStyle w:val="F21"/>
              <w:tabs>
                <w:tab w:val="clear" w:pos="567"/>
              </w:tabs>
              <w:spacing w:lineRule="atLeast" w:line="350"/>
              <w:ind w:left="57" w:hanging="0"/>
              <w:rPr>
                <w:sz w:val="25"/>
                <w:szCs w:val="25"/>
              </w:rPr>
            </w:pPr>
            <w:r>
              <w:rPr>
                <w:sz w:val="25"/>
                <w:szCs w:val="25"/>
              </w:rPr>
            </w:r>
          </w:p>
        </w:tc>
        <w:tc>
          <w:tcPr>
            <w:tcW w:w="1418" w:type="dxa"/>
            <w:tcBorders/>
          </w:tcPr>
          <w:p>
            <w:pPr>
              <w:pStyle w:val="F21"/>
              <w:tabs>
                <w:tab w:val="clear" w:pos="567"/>
              </w:tabs>
              <w:spacing w:lineRule="atLeast" w:line="350"/>
              <w:ind w:left="57" w:right="57" w:hanging="0"/>
              <w:jc w:val="center"/>
              <w:rPr>
                <w:sz w:val="25"/>
                <w:szCs w:val="25"/>
              </w:rPr>
            </w:pPr>
            <w:r>
              <w:rPr>
                <w:sz w:val="25"/>
                <w:szCs w:val="25"/>
              </w:rPr>
              <w:t>不適用</w:t>
            </w:r>
            <w:r>
              <w:rPr>
                <w:sz w:val="25"/>
                <w:szCs w:val="25"/>
                <w:vertAlign w:val="superscript"/>
              </w:rPr>
              <w:t>(3)</w:t>
            </w:r>
          </w:p>
        </w:tc>
        <w:tc>
          <w:tcPr>
            <w:tcW w:w="1276" w:type="dxa"/>
            <w:tcBorders/>
          </w:tcPr>
          <w:p>
            <w:pPr>
              <w:pStyle w:val="F21"/>
              <w:tabs>
                <w:tab w:val="clear" w:pos="567"/>
              </w:tabs>
              <w:spacing w:lineRule="atLeast" w:line="350"/>
              <w:ind w:left="57" w:hanging="0"/>
              <w:rPr>
                <w:sz w:val="25"/>
                <w:szCs w:val="25"/>
              </w:rPr>
            </w:pPr>
            <w:r>
              <w:rPr>
                <w:sz w:val="25"/>
                <w:szCs w:val="25"/>
              </w:rPr>
              <w:t>地政總署</w:t>
            </w:r>
          </w:p>
        </w:tc>
        <w:tc>
          <w:tcPr>
            <w:tcW w:w="1418" w:type="dxa"/>
            <w:tcBorders/>
          </w:tcPr>
          <w:p>
            <w:pPr>
              <w:pStyle w:val="F21"/>
              <w:tabs>
                <w:tab w:val="clear" w:pos="567"/>
              </w:tabs>
              <w:spacing w:lineRule="atLeast" w:line="350"/>
              <w:ind w:left="57" w:right="57" w:hanging="0"/>
              <w:rPr>
                <w:sz w:val="25"/>
                <w:szCs w:val="25"/>
              </w:rPr>
            </w:pPr>
            <w:r>
              <w:rPr>
                <w:sz w:val="25"/>
                <w:szCs w:val="25"/>
              </w:rPr>
              <w:t>資料不詳</w:t>
            </w:r>
          </w:p>
        </w:tc>
        <w:tc>
          <w:tcPr>
            <w:tcW w:w="709" w:type="dxa"/>
            <w:tcBorders/>
          </w:tcPr>
          <w:p>
            <w:pPr>
              <w:pStyle w:val="F21"/>
              <w:tabs>
                <w:tab w:val="clear" w:pos="567"/>
              </w:tabs>
              <w:spacing w:lineRule="atLeast" w:line="350"/>
              <w:ind w:left="57" w:right="57" w:hanging="0"/>
              <w:rPr>
                <w:sz w:val="25"/>
                <w:szCs w:val="25"/>
                <w:vertAlign w:val="superscript"/>
              </w:rPr>
            </w:pPr>
            <w:r>
              <w:rPr>
                <w:sz w:val="25"/>
                <w:szCs w:val="25"/>
                <w:vertAlign w:val="superscript"/>
              </w:rPr>
              <w:t>(1)</w:t>
            </w:r>
            <w:r>
              <w:rPr>
                <w:sz w:val="25"/>
                <w:szCs w:val="25"/>
                <w:vertAlign w:val="superscript"/>
              </w:rPr>
              <w:t>、</w:t>
            </w:r>
            <w:r>
              <w:rPr>
                <w:sz w:val="25"/>
                <w:szCs w:val="25"/>
                <w:vertAlign w:val="superscript"/>
              </w:rPr>
              <w:t>(4)</w:t>
            </w:r>
          </w:p>
        </w:tc>
      </w:tr>
      <w:tr>
        <w:trPr/>
        <w:tc>
          <w:tcPr>
            <w:tcW w:w="571" w:type="dxa"/>
            <w:tcBorders/>
          </w:tcPr>
          <w:p>
            <w:pPr>
              <w:pStyle w:val="F21"/>
              <w:tabs>
                <w:tab w:val="clear" w:pos="567"/>
              </w:tabs>
              <w:spacing w:lineRule="atLeast" w:line="350"/>
              <w:ind w:left="57" w:right="57" w:hanging="0"/>
              <w:jc w:val="center"/>
              <w:rPr>
                <w:sz w:val="25"/>
                <w:szCs w:val="25"/>
              </w:rPr>
            </w:pPr>
            <w:r>
              <w:rPr>
                <w:sz w:val="25"/>
                <w:szCs w:val="25"/>
              </w:rPr>
              <w:t>10</w:t>
            </w:r>
          </w:p>
        </w:tc>
        <w:tc>
          <w:tcPr>
            <w:tcW w:w="2836" w:type="dxa"/>
            <w:tcBorders/>
          </w:tcPr>
          <w:p>
            <w:pPr>
              <w:pStyle w:val="F21"/>
              <w:tabs>
                <w:tab w:val="clear" w:pos="567"/>
              </w:tabs>
              <w:spacing w:lineRule="atLeast" w:line="350"/>
              <w:ind w:left="57" w:right="57" w:hanging="0"/>
              <w:rPr>
                <w:sz w:val="25"/>
                <w:szCs w:val="25"/>
              </w:rPr>
            </w:pPr>
            <w:r>
              <w:rPr>
                <w:sz w:val="25"/>
                <w:szCs w:val="25"/>
              </w:rPr>
              <w:t>鶴咀半島鶴咀炮台</w:t>
            </w:r>
          </w:p>
        </w:tc>
        <w:tc>
          <w:tcPr>
            <w:tcW w:w="993" w:type="dxa"/>
            <w:tcBorders>
              <w:top w:val="nil"/>
              <w:bottom w:val="nil"/>
            </w:tcBorders>
          </w:tcPr>
          <w:p>
            <w:pPr>
              <w:pStyle w:val="F21"/>
              <w:tabs>
                <w:tab w:val="clear" w:pos="567"/>
              </w:tabs>
              <w:spacing w:lineRule="atLeast" w:line="350"/>
              <w:ind w:left="57" w:hanging="0"/>
              <w:rPr>
                <w:sz w:val="25"/>
                <w:szCs w:val="25"/>
              </w:rPr>
            </w:pPr>
            <w:r>
              <w:rPr>
                <w:sz w:val="25"/>
                <w:szCs w:val="25"/>
              </w:rPr>
            </w:r>
          </w:p>
        </w:tc>
        <w:tc>
          <w:tcPr>
            <w:tcW w:w="1418" w:type="dxa"/>
            <w:tcBorders/>
          </w:tcPr>
          <w:p>
            <w:pPr>
              <w:pStyle w:val="F21"/>
              <w:tabs>
                <w:tab w:val="clear" w:pos="567"/>
              </w:tabs>
              <w:spacing w:lineRule="atLeast" w:line="350"/>
              <w:ind w:left="57" w:right="57" w:hanging="0"/>
              <w:jc w:val="center"/>
              <w:rPr>
                <w:sz w:val="25"/>
                <w:szCs w:val="25"/>
              </w:rPr>
            </w:pPr>
            <w:r>
              <w:rPr>
                <w:sz w:val="25"/>
                <w:szCs w:val="25"/>
              </w:rPr>
              <w:t>不適用</w:t>
            </w:r>
            <w:r>
              <w:rPr>
                <w:sz w:val="25"/>
                <w:szCs w:val="25"/>
                <w:vertAlign w:val="superscript"/>
              </w:rPr>
              <w:t>(3)</w:t>
            </w:r>
          </w:p>
        </w:tc>
        <w:tc>
          <w:tcPr>
            <w:tcW w:w="1276" w:type="dxa"/>
            <w:tcBorders/>
          </w:tcPr>
          <w:p>
            <w:pPr>
              <w:pStyle w:val="F21"/>
              <w:tabs>
                <w:tab w:val="clear" w:pos="567"/>
              </w:tabs>
              <w:spacing w:lineRule="atLeast" w:line="350"/>
              <w:ind w:left="57" w:hanging="0"/>
              <w:rPr>
                <w:sz w:val="25"/>
                <w:szCs w:val="25"/>
              </w:rPr>
            </w:pPr>
            <w:r>
              <w:rPr>
                <w:sz w:val="25"/>
                <w:szCs w:val="25"/>
              </w:rPr>
              <w:t>地政總署</w:t>
            </w:r>
          </w:p>
        </w:tc>
        <w:tc>
          <w:tcPr>
            <w:tcW w:w="1418" w:type="dxa"/>
            <w:tcBorders/>
          </w:tcPr>
          <w:p>
            <w:pPr>
              <w:pStyle w:val="F21"/>
              <w:tabs>
                <w:tab w:val="clear" w:pos="567"/>
              </w:tabs>
              <w:spacing w:lineRule="atLeast" w:line="350"/>
              <w:ind w:left="57" w:right="57" w:hanging="0"/>
              <w:rPr>
                <w:sz w:val="25"/>
                <w:szCs w:val="25"/>
              </w:rPr>
            </w:pPr>
            <w:r>
              <w:rPr>
                <w:sz w:val="25"/>
                <w:szCs w:val="25"/>
              </w:rPr>
              <w:t>資料不詳</w:t>
            </w:r>
          </w:p>
        </w:tc>
        <w:tc>
          <w:tcPr>
            <w:tcW w:w="709" w:type="dxa"/>
            <w:tcBorders/>
          </w:tcPr>
          <w:p>
            <w:pPr>
              <w:pStyle w:val="F21"/>
              <w:tabs>
                <w:tab w:val="clear" w:pos="567"/>
              </w:tabs>
              <w:spacing w:lineRule="atLeast" w:line="350"/>
              <w:ind w:left="57" w:right="57" w:hanging="0"/>
              <w:rPr>
                <w:sz w:val="25"/>
                <w:szCs w:val="25"/>
                <w:vertAlign w:val="superscript"/>
              </w:rPr>
            </w:pPr>
            <w:r>
              <w:rPr>
                <w:sz w:val="25"/>
                <w:szCs w:val="25"/>
                <w:vertAlign w:val="superscript"/>
              </w:rPr>
              <w:t>(1)</w:t>
            </w:r>
            <w:r>
              <w:rPr>
                <w:sz w:val="25"/>
                <w:szCs w:val="25"/>
                <w:vertAlign w:val="superscript"/>
              </w:rPr>
              <w:t>、</w:t>
            </w:r>
            <w:r>
              <w:rPr>
                <w:sz w:val="25"/>
                <w:szCs w:val="25"/>
                <w:vertAlign w:val="superscript"/>
              </w:rPr>
              <w:t>(4)</w:t>
            </w:r>
          </w:p>
        </w:tc>
      </w:tr>
      <w:tr>
        <w:trPr/>
        <w:tc>
          <w:tcPr>
            <w:tcW w:w="571" w:type="dxa"/>
            <w:tcBorders/>
          </w:tcPr>
          <w:p>
            <w:pPr>
              <w:pStyle w:val="F21"/>
              <w:tabs>
                <w:tab w:val="clear" w:pos="567"/>
              </w:tabs>
              <w:spacing w:lineRule="atLeast" w:line="350"/>
              <w:ind w:left="57" w:right="57" w:hanging="0"/>
              <w:jc w:val="center"/>
              <w:rPr>
                <w:sz w:val="25"/>
                <w:szCs w:val="25"/>
              </w:rPr>
            </w:pPr>
            <w:r>
              <w:rPr>
                <w:sz w:val="25"/>
                <w:szCs w:val="25"/>
              </w:rPr>
              <w:t>11</w:t>
            </w:r>
          </w:p>
        </w:tc>
        <w:tc>
          <w:tcPr>
            <w:tcW w:w="2836" w:type="dxa"/>
            <w:tcBorders/>
          </w:tcPr>
          <w:p>
            <w:pPr>
              <w:pStyle w:val="F21"/>
              <w:tabs>
                <w:tab w:val="clear" w:pos="567"/>
              </w:tabs>
              <w:spacing w:lineRule="atLeast" w:line="350"/>
              <w:ind w:left="57" w:right="57" w:hanging="0"/>
              <w:rPr>
                <w:sz w:val="25"/>
                <w:szCs w:val="25"/>
              </w:rPr>
            </w:pPr>
            <w:r>
              <w:rPr>
                <w:sz w:val="25"/>
                <w:szCs w:val="25"/>
              </w:rPr>
              <w:t>大潭水塘道大潭副水塘工人宿舍</w:t>
            </w:r>
          </w:p>
        </w:tc>
        <w:tc>
          <w:tcPr>
            <w:tcW w:w="993" w:type="dxa"/>
            <w:tcBorders>
              <w:top w:val="nil"/>
              <w:bottom w:val="nil"/>
            </w:tcBorders>
          </w:tcPr>
          <w:p>
            <w:pPr>
              <w:pStyle w:val="F21"/>
              <w:tabs>
                <w:tab w:val="clear" w:pos="567"/>
              </w:tabs>
              <w:spacing w:lineRule="atLeast" w:line="350"/>
              <w:ind w:left="57" w:hanging="0"/>
              <w:rPr>
                <w:sz w:val="25"/>
                <w:szCs w:val="25"/>
              </w:rPr>
            </w:pPr>
            <w:r>
              <w:rPr>
                <w:sz w:val="25"/>
                <w:szCs w:val="25"/>
              </w:rPr>
            </w:r>
          </w:p>
        </w:tc>
        <w:tc>
          <w:tcPr>
            <w:tcW w:w="1418" w:type="dxa"/>
            <w:tcBorders/>
          </w:tcPr>
          <w:p>
            <w:pPr>
              <w:pStyle w:val="F21"/>
              <w:tabs>
                <w:tab w:val="clear" w:pos="567"/>
              </w:tabs>
              <w:spacing w:lineRule="atLeast" w:line="350"/>
              <w:ind w:left="57" w:right="284" w:hanging="0"/>
              <w:jc w:val="right"/>
              <w:rPr>
                <w:sz w:val="25"/>
                <w:szCs w:val="25"/>
              </w:rPr>
            </w:pPr>
            <w:r>
              <w:rPr>
                <w:sz w:val="25"/>
                <w:szCs w:val="25"/>
              </w:rPr>
              <w:t>111</w:t>
            </w:r>
          </w:p>
        </w:tc>
        <w:tc>
          <w:tcPr>
            <w:tcW w:w="1276" w:type="dxa"/>
            <w:tcBorders/>
          </w:tcPr>
          <w:p>
            <w:pPr>
              <w:pStyle w:val="F21"/>
              <w:tabs>
                <w:tab w:val="clear" w:pos="567"/>
              </w:tabs>
              <w:spacing w:lineRule="atLeast" w:line="350"/>
              <w:ind w:left="57" w:hanging="0"/>
              <w:rPr>
                <w:sz w:val="25"/>
                <w:szCs w:val="25"/>
              </w:rPr>
            </w:pPr>
            <w:r>
              <w:rPr>
                <w:sz w:val="25"/>
                <w:szCs w:val="25"/>
              </w:rPr>
              <w:t>水務署</w:t>
            </w:r>
          </w:p>
        </w:tc>
        <w:tc>
          <w:tcPr>
            <w:tcW w:w="1418" w:type="dxa"/>
            <w:tcBorders/>
          </w:tcPr>
          <w:p>
            <w:pPr>
              <w:pStyle w:val="F21"/>
              <w:tabs>
                <w:tab w:val="clear" w:pos="567"/>
              </w:tabs>
              <w:spacing w:lineRule="atLeast" w:line="350"/>
              <w:ind w:left="57" w:right="57" w:hanging="0"/>
              <w:rPr>
                <w:sz w:val="25"/>
                <w:szCs w:val="25"/>
              </w:rPr>
            </w:pPr>
            <w:r>
              <w:rPr>
                <w:sz w:val="25"/>
                <w:szCs w:val="25"/>
              </w:rPr>
              <w:t>超過</w:t>
            </w:r>
            <w:r>
              <w:rPr>
                <w:sz w:val="25"/>
                <w:szCs w:val="25"/>
              </w:rPr>
              <w:t>10</w:t>
            </w:r>
            <w:r>
              <w:rPr>
                <w:sz w:val="25"/>
                <w:szCs w:val="25"/>
              </w:rPr>
              <w:t>年</w:t>
            </w:r>
          </w:p>
        </w:tc>
        <w:tc>
          <w:tcPr>
            <w:tcW w:w="709" w:type="dxa"/>
            <w:tcBorders/>
          </w:tcPr>
          <w:p>
            <w:pPr>
              <w:pStyle w:val="F21"/>
              <w:tabs>
                <w:tab w:val="clear" w:pos="567"/>
              </w:tabs>
              <w:spacing w:lineRule="atLeast" w:line="350"/>
              <w:ind w:left="57" w:right="57" w:hanging="0"/>
              <w:rPr>
                <w:sz w:val="25"/>
                <w:szCs w:val="25"/>
                <w:vertAlign w:val="superscript"/>
              </w:rPr>
            </w:pPr>
            <w:r>
              <w:rPr>
                <w:sz w:val="25"/>
                <w:szCs w:val="25"/>
                <w:vertAlign w:val="superscript"/>
              </w:rPr>
              <w:t>(1)</w:t>
            </w:r>
            <w:r>
              <w:rPr>
                <w:sz w:val="25"/>
                <w:szCs w:val="25"/>
                <w:vertAlign w:val="superscript"/>
              </w:rPr>
              <w:t>、</w:t>
            </w:r>
            <w:r>
              <w:rPr>
                <w:sz w:val="25"/>
                <w:szCs w:val="25"/>
                <w:vertAlign w:val="superscript"/>
              </w:rPr>
              <w:t>(4)</w:t>
            </w:r>
          </w:p>
        </w:tc>
      </w:tr>
      <w:tr>
        <w:trPr/>
        <w:tc>
          <w:tcPr>
            <w:tcW w:w="571" w:type="dxa"/>
            <w:tcBorders/>
          </w:tcPr>
          <w:p>
            <w:pPr>
              <w:pStyle w:val="F21"/>
              <w:tabs>
                <w:tab w:val="clear" w:pos="567"/>
              </w:tabs>
              <w:spacing w:lineRule="atLeast" w:line="350"/>
              <w:ind w:left="57" w:right="57" w:hanging="0"/>
              <w:jc w:val="center"/>
              <w:rPr>
                <w:sz w:val="25"/>
                <w:szCs w:val="25"/>
              </w:rPr>
            </w:pPr>
            <w:r>
              <w:rPr>
                <w:sz w:val="25"/>
                <w:szCs w:val="25"/>
              </w:rPr>
              <w:t>12</w:t>
            </w:r>
          </w:p>
        </w:tc>
        <w:tc>
          <w:tcPr>
            <w:tcW w:w="2836" w:type="dxa"/>
            <w:tcBorders/>
          </w:tcPr>
          <w:p>
            <w:pPr>
              <w:pStyle w:val="F21"/>
              <w:tabs>
                <w:tab w:val="clear" w:pos="567"/>
              </w:tabs>
              <w:spacing w:lineRule="atLeast" w:line="350"/>
              <w:ind w:left="57" w:right="57" w:hanging="0"/>
              <w:rPr>
                <w:sz w:val="25"/>
                <w:szCs w:val="25"/>
              </w:rPr>
            </w:pPr>
            <w:r>
              <w:rPr>
                <w:sz w:val="25"/>
                <w:szCs w:val="25"/>
              </w:rPr>
              <w:t>大潭水塘道前大潭篤原水抽水站高級員工宿舍</w:t>
            </w:r>
          </w:p>
        </w:tc>
        <w:tc>
          <w:tcPr>
            <w:tcW w:w="993" w:type="dxa"/>
            <w:tcBorders>
              <w:top w:val="nil"/>
            </w:tcBorders>
          </w:tcPr>
          <w:p>
            <w:pPr>
              <w:pStyle w:val="F21"/>
              <w:tabs>
                <w:tab w:val="clear" w:pos="567"/>
              </w:tabs>
              <w:spacing w:lineRule="atLeast" w:line="350"/>
              <w:ind w:left="57" w:hanging="0"/>
              <w:rPr>
                <w:sz w:val="25"/>
                <w:szCs w:val="25"/>
              </w:rPr>
            </w:pPr>
            <w:r>
              <w:rPr>
                <w:sz w:val="25"/>
                <w:szCs w:val="25"/>
              </w:rPr>
            </w:r>
          </w:p>
        </w:tc>
        <w:tc>
          <w:tcPr>
            <w:tcW w:w="1418" w:type="dxa"/>
            <w:tcBorders/>
          </w:tcPr>
          <w:p>
            <w:pPr>
              <w:pStyle w:val="F21"/>
              <w:tabs>
                <w:tab w:val="clear" w:pos="567"/>
              </w:tabs>
              <w:spacing w:lineRule="atLeast" w:line="350"/>
              <w:ind w:left="57" w:right="284" w:hanging="0"/>
              <w:jc w:val="right"/>
              <w:rPr>
                <w:sz w:val="25"/>
                <w:szCs w:val="25"/>
              </w:rPr>
            </w:pPr>
            <w:r>
              <w:rPr>
                <w:sz w:val="25"/>
                <w:szCs w:val="25"/>
              </w:rPr>
              <w:t>380</w:t>
            </w:r>
          </w:p>
        </w:tc>
        <w:tc>
          <w:tcPr>
            <w:tcW w:w="1276" w:type="dxa"/>
            <w:tcBorders/>
          </w:tcPr>
          <w:p>
            <w:pPr>
              <w:pStyle w:val="F21"/>
              <w:tabs>
                <w:tab w:val="clear" w:pos="567"/>
              </w:tabs>
              <w:spacing w:lineRule="atLeast" w:line="350"/>
              <w:ind w:left="57" w:hanging="0"/>
              <w:rPr>
                <w:sz w:val="25"/>
                <w:szCs w:val="25"/>
              </w:rPr>
            </w:pPr>
            <w:r>
              <w:rPr>
                <w:sz w:val="25"/>
                <w:szCs w:val="25"/>
              </w:rPr>
              <w:t>產業署</w:t>
            </w:r>
          </w:p>
        </w:tc>
        <w:tc>
          <w:tcPr>
            <w:tcW w:w="1418" w:type="dxa"/>
            <w:tcBorders/>
          </w:tcPr>
          <w:p>
            <w:pPr>
              <w:pStyle w:val="F21"/>
              <w:tabs>
                <w:tab w:val="clear" w:pos="567"/>
              </w:tabs>
              <w:spacing w:lineRule="atLeast" w:line="350"/>
              <w:ind w:left="57" w:right="57" w:hanging="0"/>
              <w:rPr>
                <w:sz w:val="25"/>
                <w:szCs w:val="25"/>
              </w:rPr>
            </w:pPr>
            <w:r>
              <w:rPr>
                <w:sz w:val="25"/>
                <w:szCs w:val="25"/>
              </w:rPr>
              <w:t>不超過</w:t>
            </w:r>
            <w:r>
              <w:rPr>
                <w:sz w:val="25"/>
                <w:szCs w:val="25"/>
              </w:rPr>
              <w:t>1</w:t>
            </w:r>
            <w:r>
              <w:rPr>
                <w:sz w:val="25"/>
                <w:szCs w:val="25"/>
              </w:rPr>
              <w:t>年</w:t>
            </w:r>
          </w:p>
        </w:tc>
        <w:tc>
          <w:tcPr>
            <w:tcW w:w="709" w:type="dxa"/>
            <w:tcBorders/>
          </w:tcPr>
          <w:p>
            <w:pPr>
              <w:pStyle w:val="F21"/>
              <w:tabs>
                <w:tab w:val="clear" w:pos="567"/>
              </w:tabs>
              <w:spacing w:lineRule="atLeast" w:line="350"/>
              <w:ind w:left="57" w:right="57" w:hanging="0"/>
              <w:rPr>
                <w:sz w:val="25"/>
                <w:szCs w:val="25"/>
                <w:vertAlign w:val="superscript"/>
              </w:rPr>
            </w:pPr>
            <w:r>
              <w:rPr>
                <w:sz w:val="25"/>
                <w:szCs w:val="25"/>
                <w:vertAlign w:val="superscript"/>
              </w:rPr>
              <w:t>(1)</w:t>
            </w:r>
            <w:r>
              <w:rPr>
                <w:sz w:val="25"/>
                <w:szCs w:val="25"/>
                <w:vertAlign w:val="superscript"/>
              </w:rPr>
              <w:t>、</w:t>
            </w:r>
            <w:r>
              <w:rPr>
                <w:sz w:val="25"/>
                <w:szCs w:val="25"/>
                <w:vertAlign w:val="superscript"/>
              </w:rPr>
              <w:t>(5)</w:t>
            </w:r>
          </w:p>
        </w:tc>
      </w:tr>
      <w:tr>
        <w:trPr/>
        <w:tc>
          <w:tcPr>
            <w:tcW w:w="571" w:type="dxa"/>
            <w:tcBorders/>
          </w:tcPr>
          <w:p>
            <w:pPr>
              <w:pStyle w:val="F21"/>
              <w:tabs>
                <w:tab w:val="clear" w:pos="567"/>
              </w:tabs>
              <w:spacing w:lineRule="atLeast" w:line="350"/>
              <w:ind w:left="57" w:right="57" w:hanging="0"/>
              <w:jc w:val="center"/>
              <w:rPr>
                <w:sz w:val="25"/>
                <w:szCs w:val="25"/>
              </w:rPr>
            </w:pPr>
            <w:r>
              <w:rPr>
                <w:sz w:val="25"/>
                <w:szCs w:val="25"/>
              </w:rPr>
              <w:t>13</w:t>
            </w:r>
          </w:p>
        </w:tc>
        <w:tc>
          <w:tcPr>
            <w:tcW w:w="2836" w:type="dxa"/>
            <w:tcBorders/>
          </w:tcPr>
          <w:p>
            <w:pPr>
              <w:pStyle w:val="F21"/>
              <w:tabs>
                <w:tab w:val="clear" w:pos="567"/>
              </w:tabs>
              <w:spacing w:lineRule="atLeast" w:line="350"/>
              <w:ind w:left="57" w:right="57" w:hanging="0"/>
              <w:rPr>
                <w:sz w:val="25"/>
                <w:szCs w:val="25"/>
              </w:rPr>
            </w:pPr>
            <w:r>
              <w:rPr>
                <w:sz w:val="25"/>
                <w:szCs w:val="25"/>
              </w:rPr>
              <w:t>加路連山道</w:t>
            </w:r>
            <w:r>
              <w:rPr>
                <w:sz w:val="25"/>
                <w:szCs w:val="25"/>
              </w:rPr>
              <w:t>10</w:t>
            </w:r>
            <w:r>
              <w:rPr>
                <w:sz w:val="25"/>
                <w:szCs w:val="25"/>
              </w:rPr>
              <w:t>號渠務署分部</w:t>
            </w:r>
          </w:p>
        </w:tc>
        <w:tc>
          <w:tcPr>
            <w:tcW w:w="993" w:type="dxa"/>
            <w:tcBorders>
              <w:bottom w:val="nil"/>
            </w:tcBorders>
          </w:tcPr>
          <w:p>
            <w:pPr>
              <w:pStyle w:val="F21"/>
              <w:tabs>
                <w:tab w:val="clear" w:pos="567"/>
              </w:tabs>
              <w:spacing w:lineRule="atLeast" w:line="350"/>
              <w:ind w:left="57" w:hanging="0"/>
              <w:rPr>
                <w:sz w:val="25"/>
                <w:szCs w:val="25"/>
              </w:rPr>
            </w:pPr>
            <w:r>
              <w:rPr>
                <w:sz w:val="25"/>
                <w:szCs w:val="25"/>
              </w:rPr>
              <w:t>灣仔</w:t>
            </w:r>
          </w:p>
        </w:tc>
        <w:tc>
          <w:tcPr>
            <w:tcW w:w="1418" w:type="dxa"/>
            <w:tcBorders/>
          </w:tcPr>
          <w:p>
            <w:pPr>
              <w:pStyle w:val="F21"/>
              <w:tabs>
                <w:tab w:val="clear" w:pos="567"/>
              </w:tabs>
              <w:spacing w:lineRule="atLeast" w:line="350"/>
              <w:ind w:left="57" w:right="284" w:hanging="0"/>
              <w:jc w:val="right"/>
              <w:rPr>
                <w:sz w:val="25"/>
                <w:szCs w:val="25"/>
              </w:rPr>
            </w:pPr>
            <w:r>
              <w:rPr>
                <w:sz w:val="25"/>
                <w:szCs w:val="25"/>
              </w:rPr>
              <w:t>593</w:t>
            </w:r>
          </w:p>
        </w:tc>
        <w:tc>
          <w:tcPr>
            <w:tcW w:w="1276" w:type="dxa"/>
            <w:tcBorders/>
          </w:tcPr>
          <w:p>
            <w:pPr>
              <w:pStyle w:val="F21"/>
              <w:tabs>
                <w:tab w:val="clear" w:pos="567"/>
              </w:tabs>
              <w:spacing w:lineRule="atLeast" w:line="350"/>
              <w:ind w:left="57" w:hanging="0"/>
              <w:rPr>
                <w:sz w:val="25"/>
                <w:szCs w:val="25"/>
              </w:rPr>
            </w:pPr>
            <w:r>
              <w:rPr>
                <w:sz w:val="25"/>
                <w:szCs w:val="25"/>
              </w:rPr>
              <w:t>渠務署</w:t>
            </w:r>
          </w:p>
        </w:tc>
        <w:tc>
          <w:tcPr>
            <w:tcW w:w="1418" w:type="dxa"/>
            <w:tcBorders/>
          </w:tcPr>
          <w:p>
            <w:pPr>
              <w:pStyle w:val="F21"/>
              <w:tabs>
                <w:tab w:val="clear" w:pos="567"/>
              </w:tabs>
              <w:spacing w:lineRule="atLeast" w:line="350"/>
              <w:ind w:left="57" w:right="57" w:hanging="0"/>
              <w:rPr>
                <w:sz w:val="25"/>
                <w:szCs w:val="25"/>
              </w:rPr>
            </w:pPr>
            <w:r>
              <w:rPr>
                <w:sz w:val="25"/>
                <w:szCs w:val="25"/>
              </w:rPr>
              <w:t>約</w:t>
            </w:r>
            <w:r>
              <w:rPr>
                <w:sz w:val="25"/>
                <w:szCs w:val="25"/>
              </w:rPr>
              <w:t>7</w:t>
            </w:r>
            <w:r>
              <w:rPr>
                <w:sz w:val="25"/>
                <w:szCs w:val="25"/>
              </w:rPr>
              <w:t>年</w:t>
            </w:r>
          </w:p>
        </w:tc>
        <w:tc>
          <w:tcPr>
            <w:tcW w:w="709" w:type="dxa"/>
            <w:tcBorders/>
          </w:tcPr>
          <w:p>
            <w:pPr>
              <w:pStyle w:val="F21"/>
              <w:tabs>
                <w:tab w:val="clear" w:pos="567"/>
              </w:tabs>
              <w:spacing w:lineRule="atLeast" w:line="350"/>
              <w:ind w:left="57" w:right="57" w:hanging="0"/>
              <w:rPr>
                <w:sz w:val="25"/>
                <w:szCs w:val="25"/>
                <w:vertAlign w:val="superscript"/>
              </w:rPr>
            </w:pPr>
            <w:r>
              <w:rPr>
                <w:sz w:val="25"/>
                <w:szCs w:val="25"/>
                <w:vertAlign w:val="superscript"/>
              </w:rPr>
              <w:t>(2)</w:t>
            </w:r>
            <w:r>
              <w:rPr>
                <w:sz w:val="25"/>
                <w:szCs w:val="25"/>
                <w:vertAlign w:val="superscript"/>
              </w:rPr>
              <w:t>、</w:t>
            </w:r>
            <w:r>
              <w:rPr>
                <w:sz w:val="25"/>
                <w:szCs w:val="25"/>
                <w:vertAlign w:val="superscript"/>
              </w:rPr>
              <w:t>(6)</w:t>
            </w:r>
          </w:p>
        </w:tc>
      </w:tr>
      <w:tr>
        <w:trPr/>
        <w:tc>
          <w:tcPr>
            <w:tcW w:w="571" w:type="dxa"/>
            <w:tcBorders/>
          </w:tcPr>
          <w:p>
            <w:pPr>
              <w:pStyle w:val="F21"/>
              <w:tabs>
                <w:tab w:val="clear" w:pos="567"/>
              </w:tabs>
              <w:spacing w:lineRule="atLeast" w:line="350"/>
              <w:ind w:left="57" w:right="57" w:hanging="0"/>
              <w:jc w:val="center"/>
              <w:rPr>
                <w:sz w:val="25"/>
                <w:szCs w:val="25"/>
              </w:rPr>
            </w:pPr>
            <w:r>
              <w:rPr>
                <w:sz w:val="25"/>
                <w:szCs w:val="25"/>
              </w:rPr>
              <w:t>14</w:t>
            </w:r>
          </w:p>
        </w:tc>
        <w:tc>
          <w:tcPr>
            <w:tcW w:w="2836" w:type="dxa"/>
            <w:tcBorders/>
          </w:tcPr>
          <w:p>
            <w:pPr>
              <w:pStyle w:val="F21"/>
              <w:tabs>
                <w:tab w:val="clear" w:pos="567"/>
              </w:tabs>
              <w:spacing w:lineRule="atLeast" w:line="350"/>
              <w:ind w:left="57" w:right="57" w:hanging="0"/>
              <w:rPr>
                <w:sz w:val="25"/>
                <w:szCs w:val="25"/>
              </w:rPr>
            </w:pPr>
            <w:r>
              <w:rPr>
                <w:sz w:val="25"/>
                <w:szCs w:val="25"/>
              </w:rPr>
              <w:t>加路連山道政府宿舍</w:t>
            </w:r>
            <w:r>
              <w:rPr>
                <w:sz w:val="25"/>
                <w:szCs w:val="25"/>
              </w:rPr>
              <w:t>(</w:t>
            </w:r>
            <w:r>
              <w:rPr>
                <w:sz w:val="25"/>
                <w:szCs w:val="25"/>
              </w:rPr>
              <w:t>機電工程署車廠</w:t>
            </w:r>
            <w:r>
              <w:rPr>
                <w:sz w:val="25"/>
                <w:szCs w:val="25"/>
              </w:rPr>
              <w:t>)</w:t>
            </w:r>
          </w:p>
        </w:tc>
        <w:tc>
          <w:tcPr>
            <w:tcW w:w="993" w:type="dxa"/>
            <w:tcBorders>
              <w:top w:val="nil"/>
              <w:bottom w:val="nil"/>
            </w:tcBorders>
          </w:tcPr>
          <w:p>
            <w:pPr>
              <w:pStyle w:val="F21"/>
              <w:tabs>
                <w:tab w:val="clear" w:pos="567"/>
              </w:tabs>
              <w:spacing w:lineRule="atLeast" w:line="350"/>
              <w:ind w:left="57" w:hanging="0"/>
              <w:rPr>
                <w:sz w:val="25"/>
                <w:szCs w:val="25"/>
              </w:rPr>
            </w:pPr>
            <w:r>
              <w:rPr>
                <w:sz w:val="25"/>
                <w:szCs w:val="25"/>
              </w:rPr>
            </w:r>
          </w:p>
        </w:tc>
        <w:tc>
          <w:tcPr>
            <w:tcW w:w="1418" w:type="dxa"/>
            <w:tcBorders/>
          </w:tcPr>
          <w:p>
            <w:pPr>
              <w:pStyle w:val="F21"/>
              <w:tabs>
                <w:tab w:val="clear" w:pos="567"/>
              </w:tabs>
              <w:spacing w:lineRule="atLeast" w:line="350"/>
              <w:ind w:left="57" w:right="284" w:hanging="0"/>
              <w:jc w:val="right"/>
              <w:rPr>
                <w:sz w:val="25"/>
                <w:szCs w:val="25"/>
              </w:rPr>
            </w:pPr>
            <w:r>
              <w:rPr>
                <w:sz w:val="25"/>
                <w:szCs w:val="25"/>
              </w:rPr>
              <w:t>222</w:t>
            </w:r>
          </w:p>
        </w:tc>
        <w:tc>
          <w:tcPr>
            <w:tcW w:w="1276" w:type="dxa"/>
            <w:tcBorders/>
          </w:tcPr>
          <w:p>
            <w:pPr>
              <w:pStyle w:val="F21"/>
              <w:tabs>
                <w:tab w:val="clear" w:pos="567"/>
              </w:tabs>
              <w:spacing w:lineRule="atLeast" w:line="350"/>
              <w:ind w:left="57" w:hanging="0"/>
              <w:rPr>
                <w:sz w:val="25"/>
                <w:szCs w:val="25"/>
              </w:rPr>
            </w:pPr>
            <w:r>
              <w:rPr>
                <w:sz w:val="25"/>
                <w:szCs w:val="25"/>
              </w:rPr>
              <w:t>機電工程署</w:t>
            </w:r>
          </w:p>
        </w:tc>
        <w:tc>
          <w:tcPr>
            <w:tcW w:w="1418" w:type="dxa"/>
            <w:tcBorders/>
          </w:tcPr>
          <w:p>
            <w:pPr>
              <w:pStyle w:val="F21"/>
              <w:tabs>
                <w:tab w:val="clear" w:pos="567"/>
              </w:tabs>
              <w:spacing w:lineRule="atLeast" w:line="350"/>
              <w:ind w:left="57" w:right="57" w:hanging="0"/>
              <w:rPr>
                <w:sz w:val="25"/>
                <w:szCs w:val="25"/>
              </w:rPr>
            </w:pPr>
            <w:r>
              <w:rPr>
                <w:sz w:val="25"/>
                <w:szCs w:val="25"/>
              </w:rPr>
              <w:t>超過</w:t>
            </w:r>
            <w:r>
              <w:rPr>
                <w:sz w:val="25"/>
                <w:szCs w:val="25"/>
              </w:rPr>
              <w:t>10</w:t>
            </w:r>
            <w:r>
              <w:rPr>
                <w:sz w:val="25"/>
                <w:szCs w:val="25"/>
              </w:rPr>
              <w:t>年</w:t>
            </w:r>
          </w:p>
        </w:tc>
        <w:tc>
          <w:tcPr>
            <w:tcW w:w="709" w:type="dxa"/>
            <w:tcBorders/>
          </w:tcPr>
          <w:p>
            <w:pPr>
              <w:pStyle w:val="F21"/>
              <w:tabs>
                <w:tab w:val="clear" w:pos="567"/>
              </w:tabs>
              <w:spacing w:lineRule="atLeast" w:line="350"/>
              <w:ind w:left="57" w:right="57" w:hanging="0"/>
              <w:rPr>
                <w:sz w:val="25"/>
                <w:szCs w:val="25"/>
                <w:vertAlign w:val="superscript"/>
              </w:rPr>
            </w:pPr>
            <w:r>
              <w:rPr>
                <w:sz w:val="25"/>
                <w:szCs w:val="25"/>
                <w:vertAlign w:val="superscript"/>
              </w:rPr>
              <w:t>(2)</w:t>
            </w:r>
            <w:r>
              <w:rPr>
                <w:sz w:val="25"/>
                <w:szCs w:val="25"/>
                <w:vertAlign w:val="superscript"/>
              </w:rPr>
              <w:t>、</w:t>
            </w:r>
            <w:r>
              <w:rPr>
                <w:sz w:val="25"/>
                <w:szCs w:val="25"/>
                <w:vertAlign w:val="superscript"/>
              </w:rPr>
              <w:t>(6)</w:t>
            </w:r>
          </w:p>
        </w:tc>
      </w:tr>
      <w:tr>
        <w:trPr/>
        <w:tc>
          <w:tcPr>
            <w:tcW w:w="571" w:type="dxa"/>
            <w:tcBorders/>
          </w:tcPr>
          <w:p>
            <w:pPr>
              <w:pStyle w:val="F21"/>
              <w:tabs>
                <w:tab w:val="clear" w:pos="567"/>
              </w:tabs>
              <w:spacing w:lineRule="atLeast" w:line="350"/>
              <w:ind w:left="57" w:right="57" w:hanging="0"/>
              <w:jc w:val="center"/>
              <w:rPr>
                <w:sz w:val="25"/>
                <w:szCs w:val="25"/>
              </w:rPr>
            </w:pPr>
            <w:r>
              <w:rPr>
                <w:sz w:val="25"/>
                <w:szCs w:val="25"/>
              </w:rPr>
              <w:t>15</w:t>
            </w:r>
          </w:p>
        </w:tc>
        <w:tc>
          <w:tcPr>
            <w:tcW w:w="2836" w:type="dxa"/>
            <w:tcBorders/>
          </w:tcPr>
          <w:p>
            <w:pPr>
              <w:pStyle w:val="F21"/>
              <w:tabs>
                <w:tab w:val="clear" w:pos="567"/>
              </w:tabs>
              <w:spacing w:lineRule="atLeast" w:line="350"/>
              <w:ind w:left="57" w:right="57" w:hanging="0"/>
              <w:rPr>
                <w:sz w:val="25"/>
                <w:szCs w:val="25"/>
              </w:rPr>
            </w:pPr>
            <w:r>
              <w:rPr>
                <w:sz w:val="25"/>
                <w:szCs w:val="25"/>
              </w:rPr>
              <w:t>機電工程署綜合大樓高座</w:t>
            </w:r>
          </w:p>
        </w:tc>
        <w:tc>
          <w:tcPr>
            <w:tcW w:w="993" w:type="dxa"/>
            <w:tcBorders>
              <w:top w:val="nil"/>
              <w:bottom w:val="nil"/>
            </w:tcBorders>
          </w:tcPr>
          <w:p>
            <w:pPr>
              <w:pStyle w:val="F21"/>
              <w:tabs>
                <w:tab w:val="clear" w:pos="567"/>
              </w:tabs>
              <w:spacing w:lineRule="atLeast" w:line="350"/>
              <w:ind w:left="57" w:hanging="0"/>
              <w:rPr>
                <w:sz w:val="25"/>
                <w:szCs w:val="25"/>
              </w:rPr>
            </w:pPr>
            <w:r>
              <w:rPr>
                <w:sz w:val="25"/>
                <w:szCs w:val="25"/>
              </w:rPr>
            </w:r>
          </w:p>
        </w:tc>
        <w:tc>
          <w:tcPr>
            <w:tcW w:w="1418" w:type="dxa"/>
            <w:tcBorders/>
          </w:tcPr>
          <w:p>
            <w:pPr>
              <w:pStyle w:val="F21"/>
              <w:tabs>
                <w:tab w:val="clear" w:pos="567"/>
              </w:tabs>
              <w:spacing w:lineRule="atLeast" w:line="350"/>
              <w:ind w:left="57" w:right="57" w:hanging="0"/>
              <w:jc w:val="center"/>
              <w:rPr>
                <w:sz w:val="25"/>
                <w:szCs w:val="25"/>
              </w:rPr>
            </w:pPr>
            <w:r>
              <w:rPr>
                <w:sz w:val="25"/>
                <w:szCs w:val="25"/>
              </w:rPr>
              <w:t>10 360</w:t>
            </w:r>
          </w:p>
        </w:tc>
        <w:tc>
          <w:tcPr>
            <w:tcW w:w="1276" w:type="dxa"/>
            <w:tcBorders/>
          </w:tcPr>
          <w:p>
            <w:pPr>
              <w:pStyle w:val="F21"/>
              <w:tabs>
                <w:tab w:val="clear" w:pos="567"/>
              </w:tabs>
              <w:spacing w:lineRule="atLeast" w:line="350"/>
              <w:ind w:left="57" w:hanging="0"/>
              <w:rPr>
                <w:sz w:val="25"/>
                <w:szCs w:val="25"/>
              </w:rPr>
            </w:pPr>
            <w:r>
              <w:rPr>
                <w:sz w:val="25"/>
                <w:szCs w:val="25"/>
              </w:rPr>
              <w:t>機電工程署</w:t>
            </w:r>
          </w:p>
        </w:tc>
        <w:tc>
          <w:tcPr>
            <w:tcW w:w="1418" w:type="dxa"/>
            <w:tcBorders/>
          </w:tcPr>
          <w:p>
            <w:pPr>
              <w:pStyle w:val="F21"/>
              <w:tabs>
                <w:tab w:val="clear" w:pos="567"/>
              </w:tabs>
              <w:spacing w:lineRule="atLeast" w:line="350"/>
              <w:ind w:left="57" w:right="57" w:hanging="0"/>
              <w:rPr>
                <w:sz w:val="25"/>
                <w:szCs w:val="25"/>
              </w:rPr>
            </w:pPr>
            <w:r>
              <w:rPr>
                <w:sz w:val="25"/>
                <w:szCs w:val="25"/>
              </w:rPr>
              <w:t>約</w:t>
            </w:r>
            <w:r>
              <w:rPr>
                <w:sz w:val="25"/>
                <w:szCs w:val="25"/>
              </w:rPr>
              <w:t>1</w:t>
            </w:r>
            <w:r>
              <w:rPr>
                <w:sz w:val="25"/>
                <w:szCs w:val="25"/>
              </w:rPr>
              <w:t>年</w:t>
            </w:r>
          </w:p>
        </w:tc>
        <w:tc>
          <w:tcPr>
            <w:tcW w:w="709" w:type="dxa"/>
            <w:tcBorders/>
          </w:tcPr>
          <w:p>
            <w:pPr>
              <w:pStyle w:val="F21"/>
              <w:tabs>
                <w:tab w:val="clear" w:pos="567"/>
              </w:tabs>
              <w:spacing w:lineRule="atLeast" w:line="350"/>
              <w:ind w:left="57" w:right="57" w:hanging="0"/>
              <w:rPr>
                <w:sz w:val="25"/>
                <w:szCs w:val="25"/>
                <w:vertAlign w:val="superscript"/>
              </w:rPr>
            </w:pPr>
            <w:r>
              <w:rPr>
                <w:sz w:val="25"/>
                <w:szCs w:val="25"/>
                <w:vertAlign w:val="superscript"/>
              </w:rPr>
              <w:t>(2)</w:t>
            </w:r>
            <w:r>
              <w:rPr>
                <w:sz w:val="25"/>
                <w:szCs w:val="25"/>
                <w:vertAlign w:val="superscript"/>
              </w:rPr>
              <w:t>、</w:t>
            </w:r>
            <w:r>
              <w:rPr>
                <w:sz w:val="25"/>
                <w:szCs w:val="25"/>
                <w:vertAlign w:val="superscript"/>
              </w:rPr>
              <w:t>(6)</w:t>
            </w:r>
          </w:p>
        </w:tc>
      </w:tr>
      <w:tr>
        <w:trPr/>
        <w:tc>
          <w:tcPr>
            <w:tcW w:w="571" w:type="dxa"/>
            <w:tcBorders/>
          </w:tcPr>
          <w:p>
            <w:pPr>
              <w:pStyle w:val="F21"/>
              <w:tabs>
                <w:tab w:val="clear" w:pos="567"/>
              </w:tabs>
              <w:spacing w:lineRule="atLeast" w:line="350"/>
              <w:ind w:left="57" w:right="57" w:hanging="0"/>
              <w:jc w:val="center"/>
              <w:rPr>
                <w:sz w:val="25"/>
                <w:szCs w:val="25"/>
              </w:rPr>
            </w:pPr>
            <w:r>
              <w:rPr>
                <w:sz w:val="25"/>
                <w:szCs w:val="25"/>
              </w:rPr>
              <w:t>16</w:t>
            </w:r>
          </w:p>
        </w:tc>
        <w:tc>
          <w:tcPr>
            <w:tcW w:w="2836" w:type="dxa"/>
            <w:tcBorders/>
          </w:tcPr>
          <w:p>
            <w:pPr>
              <w:pStyle w:val="F21"/>
              <w:tabs>
                <w:tab w:val="clear" w:pos="567"/>
              </w:tabs>
              <w:spacing w:lineRule="atLeast" w:line="350"/>
              <w:ind w:left="57" w:right="57" w:hanging="0"/>
              <w:rPr>
                <w:sz w:val="25"/>
                <w:szCs w:val="25"/>
              </w:rPr>
            </w:pPr>
            <w:r>
              <w:rPr>
                <w:sz w:val="25"/>
                <w:szCs w:val="25"/>
              </w:rPr>
              <w:t>機電工程署綜合大樓低座</w:t>
            </w:r>
          </w:p>
        </w:tc>
        <w:tc>
          <w:tcPr>
            <w:tcW w:w="993" w:type="dxa"/>
            <w:tcBorders>
              <w:top w:val="nil"/>
              <w:bottom w:val="nil"/>
            </w:tcBorders>
          </w:tcPr>
          <w:p>
            <w:pPr>
              <w:pStyle w:val="F21"/>
              <w:tabs>
                <w:tab w:val="clear" w:pos="567"/>
              </w:tabs>
              <w:spacing w:lineRule="atLeast" w:line="350"/>
              <w:ind w:left="57" w:hanging="0"/>
              <w:rPr>
                <w:sz w:val="25"/>
                <w:szCs w:val="25"/>
              </w:rPr>
            </w:pPr>
            <w:r>
              <w:rPr>
                <w:sz w:val="25"/>
                <w:szCs w:val="25"/>
              </w:rPr>
            </w:r>
          </w:p>
        </w:tc>
        <w:tc>
          <w:tcPr>
            <w:tcW w:w="1418" w:type="dxa"/>
            <w:tcBorders/>
          </w:tcPr>
          <w:p>
            <w:pPr>
              <w:pStyle w:val="F21"/>
              <w:tabs>
                <w:tab w:val="clear" w:pos="567"/>
              </w:tabs>
              <w:spacing w:lineRule="atLeast" w:line="350"/>
              <w:ind w:left="57" w:right="284" w:hanging="0"/>
              <w:jc w:val="right"/>
              <w:rPr>
                <w:sz w:val="25"/>
                <w:szCs w:val="25"/>
              </w:rPr>
            </w:pPr>
            <w:r>
              <w:rPr>
                <w:sz w:val="25"/>
                <w:szCs w:val="25"/>
              </w:rPr>
              <w:t>2 021</w:t>
            </w:r>
          </w:p>
        </w:tc>
        <w:tc>
          <w:tcPr>
            <w:tcW w:w="1276" w:type="dxa"/>
            <w:tcBorders/>
          </w:tcPr>
          <w:p>
            <w:pPr>
              <w:pStyle w:val="F21"/>
              <w:tabs>
                <w:tab w:val="clear" w:pos="567"/>
              </w:tabs>
              <w:spacing w:lineRule="atLeast" w:line="350"/>
              <w:ind w:left="57" w:hanging="0"/>
              <w:rPr>
                <w:sz w:val="25"/>
                <w:szCs w:val="25"/>
              </w:rPr>
            </w:pPr>
            <w:r>
              <w:rPr>
                <w:sz w:val="25"/>
                <w:szCs w:val="25"/>
              </w:rPr>
              <w:t>機電工程署</w:t>
            </w:r>
          </w:p>
        </w:tc>
        <w:tc>
          <w:tcPr>
            <w:tcW w:w="1418" w:type="dxa"/>
            <w:tcBorders/>
          </w:tcPr>
          <w:p>
            <w:pPr>
              <w:pStyle w:val="F21"/>
              <w:tabs>
                <w:tab w:val="clear" w:pos="567"/>
              </w:tabs>
              <w:spacing w:lineRule="atLeast" w:line="350"/>
              <w:ind w:left="57" w:right="57" w:hanging="0"/>
              <w:rPr>
                <w:sz w:val="25"/>
                <w:szCs w:val="25"/>
              </w:rPr>
            </w:pPr>
            <w:r>
              <w:rPr>
                <w:sz w:val="25"/>
                <w:szCs w:val="25"/>
              </w:rPr>
              <w:t>約</w:t>
            </w:r>
            <w:r>
              <w:rPr>
                <w:sz w:val="25"/>
                <w:szCs w:val="25"/>
              </w:rPr>
              <w:t>5</w:t>
            </w:r>
            <w:r>
              <w:rPr>
                <w:sz w:val="25"/>
                <w:szCs w:val="25"/>
              </w:rPr>
              <w:t>年</w:t>
            </w:r>
          </w:p>
        </w:tc>
        <w:tc>
          <w:tcPr>
            <w:tcW w:w="709" w:type="dxa"/>
            <w:tcBorders/>
          </w:tcPr>
          <w:p>
            <w:pPr>
              <w:pStyle w:val="F21"/>
              <w:tabs>
                <w:tab w:val="clear" w:pos="567"/>
              </w:tabs>
              <w:spacing w:lineRule="atLeast" w:line="350"/>
              <w:ind w:left="57" w:right="57" w:hanging="0"/>
              <w:rPr>
                <w:sz w:val="25"/>
                <w:szCs w:val="25"/>
                <w:vertAlign w:val="superscript"/>
              </w:rPr>
            </w:pPr>
            <w:r>
              <w:rPr>
                <w:sz w:val="25"/>
                <w:szCs w:val="25"/>
                <w:vertAlign w:val="superscript"/>
              </w:rPr>
              <w:t>(2)</w:t>
            </w:r>
            <w:r>
              <w:rPr>
                <w:sz w:val="25"/>
                <w:szCs w:val="25"/>
                <w:vertAlign w:val="superscript"/>
              </w:rPr>
              <w:t>、</w:t>
            </w:r>
            <w:r>
              <w:rPr>
                <w:sz w:val="25"/>
                <w:szCs w:val="25"/>
                <w:vertAlign w:val="superscript"/>
              </w:rPr>
              <w:t>(6)</w:t>
            </w:r>
          </w:p>
        </w:tc>
      </w:tr>
      <w:tr>
        <w:trPr/>
        <w:tc>
          <w:tcPr>
            <w:tcW w:w="571" w:type="dxa"/>
            <w:tcBorders/>
          </w:tcPr>
          <w:p>
            <w:pPr>
              <w:pStyle w:val="F21"/>
              <w:tabs>
                <w:tab w:val="clear" w:pos="567"/>
              </w:tabs>
              <w:spacing w:lineRule="atLeast" w:line="350"/>
              <w:ind w:left="57" w:right="57" w:hanging="0"/>
              <w:jc w:val="center"/>
              <w:rPr>
                <w:sz w:val="25"/>
                <w:szCs w:val="25"/>
              </w:rPr>
            </w:pPr>
            <w:r>
              <w:rPr>
                <w:sz w:val="25"/>
                <w:szCs w:val="25"/>
              </w:rPr>
              <w:t>17</w:t>
            </w:r>
          </w:p>
        </w:tc>
        <w:tc>
          <w:tcPr>
            <w:tcW w:w="2836" w:type="dxa"/>
            <w:tcBorders/>
          </w:tcPr>
          <w:p>
            <w:pPr>
              <w:pStyle w:val="F21"/>
              <w:tabs>
                <w:tab w:val="clear" w:pos="567"/>
              </w:tabs>
              <w:spacing w:lineRule="atLeast" w:line="350"/>
              <w:ind w:left="57" w:right="57" w:hanging="0"/>
              <w:rPr>
                <w:sz w:val="25"/>
                <w:szCs w:val="25"/>
              </w:rPr>
            </w:pPr>
            <w:r>
              <w:rPr>
                <w:sz w:val="25"/>
                <w:szCs w:val="25"/>
              </w:rPr>
              <w:t>機電工程署綜合大樓工場</w:t>
            </w:r>
          </w:p>
        </w:tc>
        <w:tc>
          <w:tcPr>
            <w:tcW w:w="993" w:type="dxa"/>
            <w:tcBorders>
              <w:top w:val="nil"/>
              <w:bottom w:val="nil"/>
            </w:tcBorders>
          </w:tcPr>
          <w:p>
            <w:pPr>
              <w:pStyle w:val="F21"/>
              <w:tabs>
                <w:tab w:val="clear" w:pos="567"/>
              </w:tabs>
              <w:spacing w:lineRule="atLeast" w:line="350"/>
              <w:ind w:left="57" w:hanging="0"/>
              <w:rPr>
                <w:sz w:val="25"/>
                <w:szCs w:val="25"/>
              </w:rPr>
            </w:pPr>
            <w:r>
              <w:rPr>
                <w:sz w:val="25"/>
                <w:szCs w:val="25"/>
              </w:rPr>
            </w:r>
          </w:p>
        </w:tc>
        <w:tc>
          <w:tcPr>
            <w:tcW w:w="1418" w:type="dxa"/>
            <w:tcBorders/>
          </w:tcPr>
          <w:p>
            <w:pPr>
              <w:pStyle w:val="F21"/>
              <w:tabs>
                <w:tab w:val="clear" w:pos="567"/>
              </w:tabs>
              <w:spacing w:lineRule="atLeast" w:line="350"/>
              <w:ind w:left="57" w:right="284" w:hanging="0"/>
              <w:jc w:val="right"/>
              <w:rPr>
                <w:sz w:val="25"/>
                <w:szCs w:val="25"/>
              </w:rPr>
            </w:pPr>
            <w:r>
              <w:rPr>
                <w:sz w:val="25"/>
                <w:szCs w:val="25"/>
              </w:rPr>
              <w:t>7 162</w:t>
            </w:r>
          </w:p>
        </w:tc>
        <w:tc>
          <w:tcPr>
            <w:tcW w:w="1276" w:type="dxa"/>
            <w:tcBorders/>
          </w:tcPr>
          <w:p>
            <w:pPr>
              <w:pStyle w:val="F21"/>
              <w:tabs>
                <w:tab w:val="clear" w:pos="567"/>
              </w:tabs>
              <w:spacing w:lineRule="atLeast" w:line="350"/>
              <w:ind w:left="57" w:hanging="0"/>
              <w:rPr>
                <w:sz w:val="25"/>
                <w:szCs w:val="25"/>
              </w:rPr>
            </w:pPr>
            <w:r>
              <w:rPr>
                <w:sz w:val="25"/>
                <w:szCs w:val="25"/>
              </w:rPr>
              <w:t>機電工程署</w:t>
            </w:r>
          </w:p>
        </w:tc>
        <w:tc>
          <w:tcPr>
            <w:tcW w:w="1418" w:type="dxa"/>
            <w:tcBorders/>
          </w:tcPr>
          <w:p>
            <w:pPr>
              <w:pStyle w:val="F21"/>
              <w:tabs>
                <w:tab w:val="clear" w:pos="567"/>
              </w:tabs>
              <w:spacing w:lineRule="atLeast" w:line="350"/>
              <w:ind w:left="57" w:right="57" w:hanging="0"/>
              <w:rPr>
                <w:sz w:val="25"/>
                <w:szCs w:val="25"/>
              </w:rPr>
            </w:pPr>
            <w:r>
              <w:rPr>
                <w:sz w:val="25"/>
                <w:szCs w:val="25"/>
              </w:rPr>
              <w:t>約</w:t>
            </w:r>
            <w:r>
              <w:rPr>
                <w:sz w:val="25"/>
                <w:szCs w:val="25"/>
              </w:rPr>
              <w:t>3</w:t>
            </w:r>
            <w:r>
              <w:rPr>
                <w:sz w:val="25"/>
                <w:szCs w:val="25"/>
              </w:rPr>
              <w:t>年</w:t>
            </w:r>
          </w:p>
        </w:tc>
        <w:tc>
          <w:tcPr>
            <w:tcW w:w="709" w:type="dxa"/>
            <w:tcBorders/>
          </w:tcPr>
          <w:p>
            <w:pPr>
              <w:pStyle w:val="F21"/>
              <w:tabs>
                <w:tab w:val="clear" w:pos="567"/>
              </w:tabs>
              <w:spacing w:lineRule="atLeast" w:line="350"/>
              <w:ind w:left="57" w:right="57" w:hanging="0"/>
              <w:rPr>
                <w:sz w:val="25"/>
                <w:szCs w:val="25"/>
                <w:vertAlign w:val="superscript"/>
              </w:rPr>
            </w:pPr>
            <w:r>
              <w:rPr>
                <w:sz w:val="25"/>
                <w:szCs w:val="25"/>
                <w:vertAlign w:val="superscript"/>
              </w:rPr>
              <w:t>(2)</w:t>
            </w:r>
            <w:r>
              <w:rPr>
                <w:sz w:val="25"/>
                <w:szCs w:val="25"/>
                <w:vertAlign w:val="superscript"/>
              </w:rPr>
              <w:t>、</w:t>
            </w:r>
            <w:r>
              <w:rPr>
                <w:sz w:val="25"/>
                <w:szCs w:val="25"/>
                <w:vertAlign w:val="superscript"/>
              </w:rPr>
              <w:t>(6)</w:t>
            </w:r>
          </w:p>
        </w:tc>
      </w:tr>
      <w:tr>
        <w:trPr/>
        <w:tc>
          <w:tcPr>
            <w:tcW w:w="571" w:type="dxa"/>
            <w:tcBorders/>
          </w:tcPr>
          <w:p>
            <w:pPr>
              <w:pStyle w:val="F21"/>
              <w:tabs>
                <w:tab w:val="clear" w:pos="567"/>
              </w:tabs>
              <w:spacing w:lineRule="atLeast" w:line="350"/>
              <w:ind w:left="57" w:right="57" w:hanging="0"/>
              <w:jc w:val="center"/>
              <w:rPr>
                <w:sz w:val="25"/>
                <w:szCs w:val="25"/>
              </w:rPr>
            </w:pPr>
            <w:r>
              <w:rPr>
                <w:sz w:val="25"/>
                <w:szCs w:val="25"/>
              </w:rPr>
              <w:t>18</w:t>
            </w:r>
          </w:p>
        </w:tc>
        <w:tc>
          <w:tcPr>
            <w:tcW w:w="2836" w:type="dxa"/>
            <w:tcBorders/>
          </w:tcPr>
          <w:p>
            <w:pPr>
              <w:pStyle w:val="F21"/>
              <w:tabs>
                <w:tab w:val="clear" w:pos="567"/>
              </w:tabs>
              <w:spacing w:lineRule="atLeast" w:line="350"/>
              <w:ind w:left="57" w:right="57" w:hanging="0"/>
              <w:rPr>
                <w:sz w:val="25"/>
                <w:szCs w:val="25"/>
              </w:rPr>
            </w:pPr>
            <w:r>
              <w:rPr>
                <w:sz w:val="25"/>
                <w:szCs w:val="25"/>
              </w:rPr>
              <w:t>前民眾安全服務隊總部</w:t>
            </w:r>
          </w:p>
        </w:tc>
        <w:tc>
          <w:tcPr>
            <w:tcW w:w="993" w:type="dxa"/>
            <w:tcBorders>
              <w:top w:val="nil"/>
              <w:bottom w:val="nil"/>
            </w:tcBorders>
          </w:tcPr>
          <w:p>
            <w:pPr>
              <w:pStyle w:val="F21"/>
              <w:tabs>
                <w:tab w:val="clear" w:pos="567"/>
              </w:tabs>
              <w:spacing w:lineRule="atLeast" w:line="350"/>
              <w:ind w:left="57" w:hanging="0"/>
              <w:rPr>
                <w:sz w:val="25"/>
                <w:szCs w:val="25"/>
              </w:rPr>
            </w:pPr>
            <w:r>
              <w:rPr>
                <w:sz w:val="25"/>
                <w:szCs w:val="25"/>
              </w:rPr>
            </w:r>
          </w:p>
        </w:tc>
        <w:tc>
          <w:tcPr>
            <w:tcW w:w="1418" w:type="dxa"/>
            <w:tcBorders/>
          </w:tcPr>
          <w:p>
            <w:pPr>
              <w:pStyle w:val="F21"/>
              <w:tabs>
                <w:tab w:val="clear" w:pos="567"/>
              </w:tabs>
              <w:spacing w:lineRule="atLeast" w:line="350"/>
              <w:ind w:left="57" w:right="284" w:hanging="0"/>
              <w:jc w:val="right"/>
              <w:rPr>
                <w:sz w:val="25"/>
                <w:szCs w:val="25"/>
              </w:rPr>
            </w:pPr>
            <w:r>
              <w:rPr>
                <w:sz w:val="25"/>
                <w:szCs w:val="25"/>
              </w:rPr>
              <w:t>3 632</w:t>
            </w:r>
          </w:p>
        </w:tc>
        <w:tc>
          <w:tcPr>
            <w:tcW w:w="1276" w:type="dxa"/>
            <w:tcBorders/>
          </w:tcPr>
          <w:p>
            <w:pPr>
              <w:pStyle w:val="F21"/>
              <w:tabs>
                <w:tab w:val="clear" w:pos="567"/>
              </w:tabs>
              <w:spacing w:lineRule="atLeast" w:line="350"/>
              <w:ind w:left="57" w:hanging="0"/>
              <w:rPr>
                <w:sz w:val="25"/>
                <w:szCs w:val="25"/>
              </w:rPr>
            </w:pPr>
            <w:r>
              <w:rPr>
                <w:sz w:val="25"/>
                <w:szCs w:val="25"/>
              </w:rPr>
              <w:t>民眾安全服務隊</w:t>
            </w:r>
          </w:p>
        </w:tc>
        <w:tc>
          <w:tcPr>
            <w:tcW w:w="1418" w:type="dxa"/>
            <w:tcBorders/>
          </w:tcPr>
          <w:p>
            <w:pPr>
              <w:pStyle w:val="F21"/>
              <w:tabs>
                <w:tab w:val="clear" w:pos="567"/>
              </w:tabs>
              <w:spacing w:lineRule="atLeast" w:line="350"/>
              <w:ind w:left="57" w:right="57" w:hanging="0"/>
              <w:rPr>
                <w:sz w:val="25"/>
                <w:szCs w:val="25"/>
              </w:rPr>
            </w:pPr>
            <w:r>
              <w:rPr>
                <w:sz w:val="25"/>
                <w:szCs w:val="25"/>
              </w:rPr>
              <w:t>約</w:t>
            </w:r>
            <w:r>
              <w:rPr>
                <w:sz w:val="25"/>
                <w:szCs w:val="25"/>
              </w:rPr>
              <w:t>2</w:t>
            </w:r>
            <w:r>
              <w:rPr>
                <w:sz w:val="25"/>
                <w:szCs w:val="25"/>
              </w:rPr>
              <w:t>年</w:t>
            </w:r>
          </w:p>
        </w:tc>
        <w:tc>
          <w:tcPr>
            <w:tcW w:w="709" w:type="dxa"/>
            <w:tcBorders/>
          </w:tcPr>
          <w:p>
            <w:pPr>
              <w:pStyle w:val="F21"/>
              <w:tabs>
                <w:tab w:val="clear" w:pos="567"/>
              </w:tabs>
              <w:spacing w:lineRule="atLeast" w:line="350"/>
              <w:ind w:left="57" w:right="57" w:hanging="0"/>
              <w:rPr>
                <w:sz w:val="25"/>
                <w:szCs w:val="25"/>
                <w:vertAlign w:val="superscript"/>
              </w:rPr>
            </w:pPr>
            <w:r>
              <w:rPr>
                <w:sz w:val="25"/>
                <w:szCs w:val="25"/>
                <w:vertAlign w:val="superscript"/>
              </w:rPr>
              <w:t>(2)</w:t>
            </w:r>
            <w:r>
              <w:rPr>
                <w:sz w:val="25"/>
                <w:szCs w:val="25"/>
                <w:vertAlign w:val="superscript"/>
              </w:rPr>
              <w:t>、</w:t>
            </w:r>
            <w:r>
              <w:rPr>
                <w:sz w:val="25"/>
                <w:szCs w:val="25"/>
                <w:vertAlign w:val="superscript"/>
              </w:rPr>
              <w:t>(6)</w:t>
            </w:r>
          </w:p>
        </w:tc>
      </w:tr>
      <w:tr>
        <w:trPr/>
        <w:tc>
          <w:tcPr>
            <w:tcW w:w="571" w:type="dxa"/>
            <w:tcBorders/>
          </w:tcPr>
          <w:p>
            <w:pPr>
              <w:pStyle w:val="F21"/>
              <w:tabs>
                <w:tab w:val="clear" w:pos="567"/>
              </w:tabs>
              <w:spacing w:lineRule="atLeast" w:line="350"/>
              <w:ind w:left="57" w:right="57" w:hanging="0"/>
              <w:jc w:val="center"/>
              <w:rPr>
                <w:sz w:val="25"/>
                <w:szCs w:val="25"/>
              </w:rPr>
            </w:pPr>
            <w:r>
              <w:rPr>
                <w:sz w:val="25"/>
                <w:szCs w:val="25"/>
              </w:rPr>
              <w:t>19</w:t>
            </w:r>
          </w:p>
        </w:tc>
        <w:tc>
          <w:tcPr>
            <w:tcW w:w="2836" w:type="dxa"/>
            <w:tcBorders/>
          </w:tcPr>
          <w:p>
            <w:pPr>
              <w:pStyle w:val="F21"/>
              <w:tabs>
                <w:tab w:val="clear" w:pos="567"/>
              </w:tabs>
              <w:spacing w:lineRule="atLeast" w:line="350"/>
              <w:ind w:left="57" w:right="57" w:hanging="0"/>
              <w:rPr>
                <w:sz w:val="25"/>
                <w:szCs w:val="25"/>
              </w:rPr>
            </w:pPr>
            <w:r>
              <w:rPr>
                <w:sz w:val="25"/>
                <w:szCs w:val="25"/>
              </w:rPr>
              <w:t>路政署加路連山道倉庫</w:t>
            </w:r>
          </w:p>
        </w:tc>
        <w:tc>
          <w:tcPr>
            <w:tcW w:w="993" w:type="dxa"/>
            <w:tcBorders>
              <w:top w:val="nil"/>
            </w:tcBorders>
          </w:tcPr>
          <w:p>
            <w:pPr>
              <w:pStyle w:val="F21"/>
              <w:tabs>
                <w:tab w:val="clear" w:pos="567"/>
              </w:tabs>
              <w:spacing w:lineRule="atLeast" w:line="350"/>
              <w:ind w:left="57" w:hanging="0"/>
              <w:rPr>
                <w:sz w:val="25"/>
                <w:szCs w:val="25"/>
              </w:rPr>
            </w:pPr>
            <w:r>
              <w:rPr>
                <w:sz w:val="25"/>
                <w:szCs w:val="25"/>
              </w:rPr>
            </w:r>
          </w:p>
        </w:tc>
        <w:tc>
          <w:tcPr>
            <w:tcW w:w="1418" w:type="dxa"/>
            <w:tcBorders/>
          </w:tcPr>
          <w:p>
            <w:pPr>
              <w:pStyle w:val="F21"/>
              <w:tabs>
                <w:tab w:val="clear" w:pos="567"/>
              </w:tabs>
              <w:spacing w:lineRule="atLeast" w:line="350"/>
              <w:ind w:left="57" w:right="284" w:hanging="0"/>
              <w:jc w:val="right"/>
              <w:rPr>
                <w:sz w:val="25"/>
                <w:szCs w:val="25"/>
              </w:rPr>
            </w:pPr>
            <w:r>
              <w:rPr>
                <w:sz w:val="25"/>
                <w:szCs w:val="25"/>
              </w:rPr>
              <w:t>1 000</w:t>
            </w:r>
          </w:p>
        </w:tc>
        <w:tc>
          <w:tcPr>
            <w:tcW w:w="1276" w:type="dxa"/>
            <w:tcBorders/>
          </w:tcPr>
          <w:p>
            <w:pPr>
              <w:pStyle w:val="F21"/>
              <w:tabs>
                <w:tab w:val="clear" w:pos="567"/>
              </w:tabs>
              <w:spacing w:lineRule="atLeast" w:line="350"/>
              <w:ind w:left="57" w:hanging="0"/>
              <w:rPr>
                <w:sz w:val="25"/>
                <w:szCs w:val="25"/>
              </w:rPr>
            </w:pPr>
            <w:r>
              <w:rPr>
                <w:sz w:val="25"/>
                <w:szCs w:val="25"/>
              </w:rPr>
              <w:t>路政署</w:t>
            </w:r>
          </w:p>
        </w:tc>
        <w:tc>
          <w:tcPr>
            <w:tcW w:w="1418" w:type="dxa"/>
            <w:tcBorders/>
          </w:tcPr>
          <w:p>
            <w:pPr>
              <w:pStyle w:val="F21"/>
              <w:tabs>
                <w:tab w:val="clear" w:pos="567"/>
              </w:tabs>
              <w:spacing w:lineRule="atLeast" w:line="350"/>
              <w:ind w:left="57" w:right="57" w:hanging="0"/>
              <w:rPr>
                <w:sz w:val="25"/>
                <w:szCs w:val="25"/>
              </w:rPr>
            </w:pPr>
            <w:r>
              <w:rPr>
                <w:sz w:val="25"/>
                <w:szCs w:val="25"/>
              </w:rPr>
              <w:t>約</w:t>
            </w:r>
            <w:r>
              <w:rPr>
                <w:sz w:val="25"/>
                <w:szCs w:val="25"/>
              </w:rPr>
              <w:t>7</w:t>
            </w:r>
            <w:r>
              <w:rPr>
                <w:sz w:val="25"/>
                <w:szCs w:val="25"/>
              </w:rPr>
              <w:t>年</w:t>
            </w:r>
          </w:p>
        </w:tc>
        <w:tc>
          <w:tcPr>
            <w:tcW w:w="709" w:type="dxa"/>
            <w:tcBorders/>
          </w:tcPr>
          <w:p>
            <w:pPr>
              <w:pStyle w:val="F21"/>
              <w:tabs>
                <w:tab w:val="clear" w:pos="567"/>
              </w:tabs>
              <w:spacing w:lineRule="atLeast" w:line="350"/>
              <w:ind w:left="57" w:right="57" w:hanging="0"/>
              <w:rPr>
                <w:sz w:val="25"/>
                <w:szCs w:val="25"/>
                <w:vertAlign w:val="superscript"/>
              </w:rPr>
            </w:pPr>
            <w:r>
              <w:rPr>
                <w:sz w:val="25"/>
                <w:szCs w:val="25"/>
                <w:vertAlign w:val="superscript"/>
              </w:rPr>
              <w:t>(2)</w:t>
            </w:r>
            <w:r>
              <w:rPr>
                <w:sz w:val="25"/>
                <w:szCs w:val="25"/>
                <w:vertAlign w:val="superscript"/>
              </w:rPr>
              <w:t>、</w:t>
            </w:r>
            <w:r>
              <w:rPr>
                <w:sz w:val="25"/>
                <w:szCs w:val="25"/>
                <w:vertAlign w:val="superscript"/>
              </w:rPr>
              <w:t>(6)</w:t>
            </w:r>
          </w:p>
        </w:tc>
      </w:tr>
      <w:tr>
        <w:trPr/>
        <w:tc>
          <w:tcPr>
            <w:tcW w:w="571" w:type="dxa"/>
            <w:tcBorders/>
          </w:tcPr>
          <w:p>
            <w:pPr>
              <w:pStyle w:val="F21"/>
              <w:tabs>
                <w:tab w:val="clear" w:pos="567"/>
              </w:tabs>
              <w:ind w:left="57" w:right="57" w:hanging="0"/>
              <w:jc w:val="center"/>
              <w:rPr>
                <w:sz w:val="25"/>
                <w:szCs w:val="25"/>
              </w:rPr>
            </w:pPr>
            <w:r>
              <w:rPr>
                <w:sz w:val="25"/>
                <w:szCs w:val="25"/>
              </w:rPr>
              <w:t>20</w:t>
            </w:r>
          </w:p>
        </w:tc>
        <w:tc>
          <w:tcPr>
            <w:tcW w:w="2836" w:type="dxa"/>
            <w:tcBorders/>
          </w:tcPr>
          <w:p>
            <w:pPr>
              <w:pStyle w:val="F21"/>
              <w:tabs>
                <w:tab w:val="clear" w:pos="567"/>
              </w:tabs>
              <w:ind w:left="57" w:right="57" w:hanging="0"/>
              <w:rPr>
                <w:sz w:val="25"/>
                <w:szCs w:val="25"/>
              </w:rPr>
            </w:pPr>
            <w:r>
              <w:rPr>
                <w:sz w:val="25"/>
                <w:szCs w:val="25"/>
              </w:rPr>
              <w:t>前旺角街市</w:t>
            </w:r>
          </w:p>
        </w:tc>
        <w:tc>
          <w:tcPr>
            <w:tcW w:w="993" w:type="dxa"/>
            <w:tcBorders>
              <w:bottom w:val="nil"/>
            </w:tcBorders>
          </w:tcPr>
          <w:p>
            <w:pPr>
              <w:pStyle w:val="F21"/>
              <w:tabs>
                <w:tab w:val="clear" w:pos="567"/>
              </w:tabs>
              <w:ind w:left="57" w:hanging="0"/>
              <w:rPr>
                <w:sz w:val="25"/>
                <w:szCs w:val="25"/>
              </w:rPr>
            </w:pPr>
            <w:r>
              <w:rPr>
                <w:sz w:val="25"/>
                <w:szCs w:val="25"/>
              </w:rPr>
              <w:t>油尖旺</w:t>
            </w:r>
          </w:p>
        </w:tc>
        <w:tc>
          <w:tcPr>
            <w:tcW w:w="1418" w:type="dxa"/>
            <w:tcBorders/>
          </w:tcPr>
          <w:p>
            <w:pPr>
              <w:pStyle w:val="F21"/>
              <w:tabs>
                <w:tab w:val="clear" w:pos="567"/>
              </w:tabs>
              <w:ind w:left="57" w:right="284" w:hanging="0"/>
              <w:jc w:val="right"/>
              <w:rPr>
                <w:sz w:val="25"/>
                <w:szCs w:val="25"/>
              </w:rPr>
            </w:pPr>
            <w:r>
              <w:rPr>
                <w:sz w:val="25"/>
                <w:szCs w:val="25"/>
              </w:rPr>
              <w:t>1 180</w:t>
            </w:r>
          </w:p>
        </w:tc>
        <w:tc>
          <w:tcPr>
            <w:tcW w:w="1276" w:type="dxa"/>
            <w:tcBorders/>
          </w:tcPr>
          <w:p>
            <w:pPr>
              <w:pStyle w:val="F21"/>
              <w:tabs>
                <w:tab w:val="clear" w:pos="567"/>
              </w:tabs>
              <w:ind w:left="57" w:hanging="0"/>
              <w:rPr>
                <w:sz w:val="25"/>
                <w:szCs w:val="25"/>
              </w:rPr>
            </w:pPr>
            <w:r>
              <w:rPr>
                <w:sz w:val="25"/>
                <w:szCs w:val="25"/>
              </w:rPr>
              <w:t>食物環境衞生署</w:t>
            </w:r>
          </w:p>
        </w:tc>
        <w:tc>
          <w:tcPr>
            <w:tcW w:w="1418" w:type="dxa"/>
            <w:tcBorders/>
          </w:tcPr>
          <w:p>
            <w:pPr>
              <w:pStyle w:val="F21"/>
              <w:tabs>
                <w:tab w:val="clear" w:pos="567"/>
              </w:tabs>
              <w:ind w:left="57" w:right="57" w:hanging="0"/>
              <w:rPr>
                <w:sz w:val="25"/>
                <w:szCs w:val="25"/>
              </w:rPr>
            </w:pPr>
            <w:r>
              <w:rPr>
                <w:sz w:val="25"/>
                <w:szCs w:val="25"/>
              </w:rPr>
              <w:t>約</w:t>
            </w:r>
            <w:r>
              <w:rPr>
                <w:sz w:val="25"/>
                <w:szCs w:val="25"/>
              </w:rPr>
              <w:t>7</w:t>
            </w:r>
            <w:r>
              <w:rPr>
                <w:sz w:val="25"/>
                <w:szCs w:val="25"/>
              </w:rPr>
              <w:t>年</w:t>
            </w:r>
          </w:p>
        </w:tc>
        <w:tc>
          <w:tcPr>
            <w:tcW w:w="709" w:type="dxa"/>
            <w:tcBorders/>
          </w:tcPr>
          <w:p>
            <w:pPr>
              <w:pStyle w:val="F21"/>
              <w:tabs>
                <w:tab w:val="clear" w:pos="567"/>
              </w:tabs>
              <w:ind w:left="57" w:right="57" w:hanging="0"/>
              <w:rPr>
                <w:sz w:val="25"/>
                <w:szCs w:val="25"/>
                <w:vertAlign w:val="superscript"/>
              </w:rPr>
            </w:pPr>
            <w:r>
              <w:rPr>
                <w:sz w:val="25"/>
                <w:szCs w:val="25"/>
                <w:vertAlign w:val="superscript"/>
              </w:rPr>
              <w:t>(1)</w:t>
            </w:r>
            <w:r>
              <w:rPr>
                <w:sz w:val="25"/>
                <w:szCs w:val="25"/>
                <w:vertAlign w:val="superscript"/>
              </w:rPr>
              <w:t>、</w:t>
            </w:r>
            <w:r>
              <w:rPr>
                <w:sz w:val="25"/>
                <w:szCs w:val="25"/>
                <w:vertAlign w:val="superscript"/>
              </w:rPr>
              <w:t>(6)</w:t>
            </w:r>
          </w:p>
        </w:tc>
      </w:tr>
      <w:tr>
        <w:trPr/>
        <w:tc>
          <w:tcPr>
            <w:tcW w:w="571" w:type="dxa"/>
            <w:tcBorders/>
          </w:tcPr>
          <w:p>
            <w:pPr>
              <w:pStyle w:val="F21"/>
              <w:tabs>
                <w:tab w:val="clear" w:pos="567"/>
              </w:tabs>
              <w:ind w:left="57" w:right="57" w:hanging="0"/>
              <w:jc w:val="center"/>
              <w:rPr>
                <w:sz w:val="25"/>
                <w:szCs w:val="25"/>
              </w:rPr>
            </w:pPr>
            <w:r>
              <w:rPr>
                <w:sz w:val="25"/>
                <w:szCs w:val="25"/>
              </w:rPr>
              <w:t>21</w:t>
            </w:r>
          </w:p>
        </w:tc>
        <w:tc>
          <w:tcPr>
            <w:tcW w:w="2836" w:type="dxa"/>
            <w:tcBorders/>
          </w:tcPr>
          <w:p>
            <w:pPr>
              <w:pStyle w:val="F21"/>
              <w:tabs>
                <w:tab w:val="clear" w:pos="567"/>
              </w:tabs>
              <w:ind w:left="57" w:right="57" w:hanging="0"/>
              <w:rPr>
                <w:sz w:val="25"/>
                <w:szCs w:val="25"/>
              </w:rPr>
            </w:pPr>
            <w:r>
              <w:rPr>
                <w:sz w:val="25"/>
                <w:szCs w:val="25"/>
              </w:rPr>
              <w:t>食物環境衞生署洗衣街車廠</w:t>
            </w:r>
          </w:p>
        </w:tc>
        <w:tc>
          <w:tcPr>
            <w:tcW w:w="993" w:type="dxa"/>
            <w:tcBorders>
              <w:top w:val="nil"/>
            </w:tcBorders>
          </w:tcPr>
          <w:p>
            <w:pPr>
              <w:pStyle w:val="F21"/>
              <w:tabs>
                <w:tab w:val="clear" w:pos="567"/>
              </w:tabs>
              <w:ind w:left="57" w:hanging="0"/>
              <w:rPr>
                <w:sz w:val="25"/>
                <w:szCs w:val="25"/>
              </w:rPr>
            </w:pPr>
            <w:r>
              <w:rPr>
                <w:sz w:val="25"/>
                <w:szCs w:val="25"/>
              </w:rPr>
            </w:r>
          </w:p>
        </w:tc>
        <w:tc>
          <w:tcPr>
            <w:tcW w:w="1418" w:type="dxa"/>
            <w:tcBorders/>
          </w:tcPr>
          <w:p>
            <w:pPr>
              <w:pStyle w:val="F21"/>
              <w:tabs>
                <w:tab w:val="clear" w:pos="567"/>
              </w:tabs>
              <w:ind w:left="57" w:right="284" w:hanging="0"/>
              <w:jc w:val="right"/>
              <w:rPr>
                <w:sz w:val="25"/>
                <w:szCs w:val="25"/>
              </w:rPr>
            </w:pPr>
            <w:r>
              <w:rPr>
                <w:sz w:val="25"/>
                <w:szCs w:val="25"/>
              </w:rPr>
              <w:t>118</w:t>
            </w:r>
          </w:p>
        </w:tc>
        <w:tc>
          <w:tcPr>
            <w:tcW w:w="1276" w:type="dxa"/>
            <w:tcBorders/>
          </w:tcPr>
          <w:p>
            <w:pPr>
              <w:pStyle w:val="F21"/>
              <w:tabs>
                <w:tab w:val="clear" w:pos="567"/>
              </w:tabs>
              <w:ind w:left="57" w:hanging="0"/>
              <w:rPr>
                <w:sz w:val="25"/>
                <w:szCs w:val="25"/>
              </w:rPr>
            </w:pPr>
            <w:r>
              <w:rPr>
                <w:sz w:val="25"/>
                <w:szCs w:val="25"/>
              </w:rPr>
              <w:t>食物環境衞生署</w:t>
            </w:r>
          </w:p>
        </w:tc>
        <w:tc>
          <w:tcPr>
            <w:tcW w:w="1418" w:type="dxa"/>
            <w:tcBorders/>
          </w:tcPr>
          <w:p>
            <w:pPr>
              <w:pStyle w:val="F21"/>
              <w:tabs>
                <w:tab w:val="clear" w:pos="567"/>
              </w:tabs>
              <w:ind w:left="57" w:right="57" w:hanging="0"/>
              <w:rPr>
                <w:sz w:val="25"/>
                <w:szCs w:val="25"/>
              </w:rPr>
            </w:pPr>
            <w:r>
              <w:rPr>
                <w:sz w:val="25"/>
                <w:szCs w:val="25"/>
              </w:rPr>
              <w:t>超過</w:t>
            </w:r>
            <w:r>
              <w:rPr>
                <w:sz w:val="25"/>
                <w:szCs w:val="25"/>
              </w:rPr>
              <w:t>10</w:t>
            </w:r>
            <w:r>
              <w:rPr>
                <w:sz w:val="25"/>
                <w:szCs w:val="25"/>
              </w:rPr>
              <w:t>年</w:t>
            </w:r>
          </w:p>
        </w:tc>
        <w:tc>
          <w:tcPr>
            <w:tcW w:w="709" w:type="dxa"/>
            <w:tcBorders/>
          </w:tcPr>
          <w:p>
            <w:pPr>
              <w:pStyle w:val="F21"/>
              <w:tabs>
                <w:tab w:val="clear" w:pos="567"/>
              </w:tabs>
              <w:ind w:left="57" w:right="57" w:hanging="0"/>
              <w:rPr>
                <w:sz w:val="25"/>
                <w:szCs w:val="25"/>
                <w:vertAlign w:val="superscript"/>
              </w:rPr>
            </w:pPr>
            <w:r>
              <w:rPr>
                <w:sz w:val="25"/>
                <w:szCs w:val="25"/>
                <w:vertAlign w:val="superscript"/>
              </w:rPr>
              <w:t>(2)</w:t>
            </w:r>
            <w:r>
              <w:rPr>
                <w:sz w:val="25"/>
                <w:szCs w:val="25"/>
                <w:vertAlign w:val="superscript"/>
              </w:rPr>
              <w:t>、</w:t>
            </w:r>
            <w:r>
              <w:rPr>
                <w:sz w:val="25"/>
                <w:szCs w:val="25"/>
                <w:vertAlign w:val="superscript"/>
              </w:rPr>
              <w:t>(6)</w:t>
            </w:r>
          </w:p>
        </w:tc>
      </w:tr>
    </w:tbl>
    <w:p>
      <w:pPr>
        <w:pStyle w:val="F21"/>
        <w:spacing w:lineRule="auto" w:line="240"/>
        <w:rPr>
          <w:sz w:val="22"/>
        </w:rPr>
      </w:pPr>
      <w:r>
        <w:rPr>
          <w:sz w:val="22"/>
        </w:rPr>
      </w:r>
    </w:p>
    <w:p>
      <w:pPr>
        <w:pStyle w:val="F21"/>
        <w:spacing w:lineRule="auto" w:line="240"/>
        <w:rPr>
          <w:sz w:val="22"/>
        </w:rPr>
      </w:pPr>
      <w:r>
        <w:rPr>
          <w:sz w:val="22"/>
        </w:rPr>
        <w:t>註：</w:t>
      </w:r>
    </w:p>
    <w:p>
      <w:pPr>
        <w:pStyle w:val="F21"/>
        <w:spacing w:lineRule="auto" w:line="240"/>
        <w:rPr>
          <w:sz w:val="22"/>
        </w:rPr>
      </w:pPr>
      <w:r>
        <w:rPr>
          <w:sz w:val="22"/>
        </w:rPr>
      </w:r>
    </w:p>
    <w:p>
      <w:pPr>
        <w:pStyle w:val="F21"/>
        <w:spacing w:lineRule="auto" w:line="240"/>
        <w:ind w:left="567" w:hanging="567"/>
        <w:rPr>
          <w:sz w:val="22"/>
        </w:rPr>
      </w:pPr>
      <w:r>
        <w:rPr>
          <w:sz w:val="22"/>
        </w:rPr>
        <w:t>(1)</w:t>
        <w:tab/>
      </w:r>
      <w:r>
        <w:rPr>
          <w:sz w:val="22"/>
        </w:rPr>
        <w:t>項目</w:t>
      </w:r>
      <w:r>
        <w:rPr>
          <w:sz w:val="22"/>
        </w:rPr>
        <w:t>1</w:t>
      </w:r>
      <w:r>
        <w:rPr>
          <w:sz w:val="22"/>
        </w:rPr>
        <w:t>至</w:t>
      </w:r>
      <w:r>
        <w:rPr>
          <w:sz w:val="22"/>
        </w:rPr>
        <w:t>12</w:t>
      </w:r>
      <w:r>
        <w:rPr>
          <w:sz w:val="22"/>
        </w:rPr>
        <w:t>及</w:t>
      </w:r>
      <w:r>
        <w:rPr>
          <w:sz w:val="22"/>
        </w:rPr>
        <w:t>20</w:t>
      </w:r>
      <w:r>
        <w:rPr>
          <w:sz w:val="22"/>
        </w:rPr>
        <w:t>的物業資料為截至</w:t>
      </w:r>
      <w:r>
        <w:rPr>
          <w:sz w:val="22"/>
        </w:rPr>
        <w:t>2019</w:t>
      </w:r>
      <w:r>
        <w:rPr>
          <w:sz w:val="22"/>
        </w:rPr>
        <w:t>年</w:t>
      </w:r>
      <w:r>
        <w:rPr>
          <w:sz w:val="22"/>
        </w:rPr>
        <w:t>2</w:t>
      </w:r>
      <w:r>
        <w:rPr>
          <w:sz w:val="22"/>
        </w:rPr>
        <w:t>月</w:t>
      </w:r>
      <w:r>
        <w:rPr>
          <w:sz w:val="22"/>
        </w:rPr>
        <w:t>20</w:t>
      </w:r>
      <w:r>
        <w:rPr>
          <w:sz w:val="22"/>
        </w:rPr>
        <w:t>日的資料。</w:t>
      </w:r>
    </w:p>
    <w:p>
      <w:pPr>
        <w:pStyle w:val="F21"/>
        <w:spacing w:lineRule="auto" w:line="240"/>
        <w:ind w:left="567" w:hanging="567"/>
        <w:rPr>
          <w:sz w:val="22"/>
        </w:rPr>
      </w:pPr>
      <w:r>
        <w:rPr>
          <w:sz w:val="22"/>
        </w:rPr>
      </w:r>
    </w:p>
    <w:p>
      <w:pPr>
        <w:pStyle w:val="F21"/>
        <w:spacing w:lineRule="auto" w:line="240"/>
        <w:ind w:left="567" w:hanging="567"/>
        <w:rPr>
          <w:sz w:val="22"/>
        </w:rPr>
      </w:pPr>
      <w:r>
        <w:rPr>
          <w:sz w:val="22"/>
        </w:rPr>
        <w:t>(2)</w:t>
        <w:tab/>
      </w:r>
      <w:r>
        <w:rPr>
          <w:sz w:val="22"/>
        </w:rPr>
        <w:t>項目</w:t>
      </w:r>
      <w:r>
        <w:rPr>
          <w:sz w:val="22"/>
        </w:rPr>
        <w:t>13</w:t>
      </w:r>
      <w:r>
        <w:rPr>
          <w:sz w:val="22"/>
        </w:rPr>
        <w:t>至</w:t>
      </w:r>
      <w:r>
        <w:rPr>
          <w:sz w:val="22"/>
        </w:rPr>
        <w:t>19</w:t>
      </w:r>
      <w:r>
        <w:rPr>
          <w:sz w:val="22"/>
        </w:rPr>
        <w:t>及</w:t>
      </w:r>
      <w:r>
        <w:rPr>
          <w:sz w:val="22"/>
        </w:rPr>
        <w:t>21</w:t>
      </w:r>
      <w:r>
        <w:rPr>
          <w:sz w:val="22"/>
        </w:rPr>
        <w:t>的物業資料為由相關政策局</w:t>
      </w:r>
      <w:r>
        <w:rPr>
          <w:rFonts w:ascii="華康細明體" w:hAnsi="華康細明體"/>
          <w:sz w:val="22"/>
        </w:rPr>
        <w:t>/</w:t>
      </w:r>
      <w:r>
        <w:rPr>
          <w:sz w:val="22"/>
        </w:rPr>
        <w:t>部門提交截至</w:t>
      </w:r>
      <w:r>
        <w:rPr>
          <w:sz w:val="22"/>
        </w:rPr>
        <w:t>2018</w:t>
      </w:r>
      <w:r>
        <w:rPr>
          <w:sz w:val="22"/>
        </w:rPr>
        <w:t>年</w:t>
      </w:r>
      <w:r>
        <w:rPr>
          <w:sz w:val="22"/>
        </w:rPr>
        <w:t>3</w:t>
      </w:r>
      <w:r>
        <w:rPr>
          <w:sz w:val="22"/>
        </w:rPr>
        <w:t>月</w:t>
      </w:r>
      <w:r>
        <w:rPr>
          <w:sz w:val="22"/>
        </w:rPr>
        <w:t>31</w:t>
      </w:r>
      <w:r>
        <w:rPr>
          <w:sz w:val="22"/>
        </w:rPr>
        <w:t>日的資料。</w:t>
      </w:r>
    </w:p>
    <w:p>
      <w:pPr>
        <w:pStyle w:val="F21"/>
        <w:spacing w:lineRule="auto" w:line="240"/>
        <w:ind w:left="567" w:hanging="567"/>
        <w:rPr>
          <w:sz w:val="22"/>
        </w:rPr>
      </w:pPr>
      <w:r>
        <w:rPr>
          <w:sz w:val="22"/>
        </w:rPr>
      </w:r>
    </w:p>
    <w:p>
      <w:pPr>
        <w:pStyle w:val="F21"/>
        <w:spacing w:lineRule="auto" w:line="240"/>
        <w:ind w:left="567" w:hanging="567"/>
        <w:rPr>
          <w:sz w:val="22"/>
        </w:rPr>
      </w:pPr>
      <w:r>
        <w:rPr>
          <w:sz w:val="22"/>
        </w:rPr>
        <w:t>(3)</w:t>
        <w:tab/>
      </w:r>
      <w:r>
        <w:rPr>
          <w:sz w:val="22"/>
        </w:rPr>
        <w:t>地政總署管理的物業屬特別設計的設施，並無相關資料。</w:t>
      </w:r>
    </w:p>
    <w:p>
      <w:pPr>
        <w:pStyle w:val="F21"/>
        <w:spacing w:lineRule="auto" w:line="240"/>
        <w:ind w:left="567" w:hanging="567"/>
        <w:rPr>
          <w:sz w:val="22"/>
        </w:rPr>
      </w:pPr>
      <w:r>
        <w:rPr>
          <w:sz w:val="22"/>
        </w:rPr>
      </w:r>
    </w:p>
    <w:p>
      <w:pPr>
        <w:pStyle w:val="F21"/>
        <w:spacing w:lineRule="auto" w:line="240"/>
        <w:ind w:left="567" w:hanging="567"/>
        <w:rPr>
          <w:sz w:val="22"/>
        </w:rPr>
      </w:pPr>
      <w:r>
        <w:rPr>
          <w:sz w:val="22"/>
        </w:rPr>
        <w:t>(4)</w:t>
        <w:tab/>
      </w:r>
      <w:r>
        <w:rPr>
          <w:sz w:val="22"/>
        </w:rPr>
        <w:t>物業屬已評級歷史建築物。</w:t>
      </w:r>
    </w:p>
    <w:p>
      <w:pPr>
        <w:pStyle w:val="F21"/>
        <w:spacing w:lineRule="auto" w:line="240"/>
        <w:ind w:left="567" w:hanging="567"/>
        <w:rPr>
          <w:sz w:val="22"/>
        </w:rPr>
      </w:pPr>
      <w:r>
        <w:rPr>
          <w:sz w:val="22"/>
        </w:rPr>
      </w:r>
    </w:p>
    <w:p>
      <w:pPr>
        <w:pStyle w:val="F21"/>
        <w:spacing w:lineRule="auto" w:line="240"/>
        <w:ind w:left="567" w:hanging="567"/>
        <w:rPr>
          <w:sz w:val="22"/>
        </w:rPr>
      </w:pPr>
      <w:r>
        <w:rPr>
          <w:sz w:val="22"/>
        </w:rPr>
        <w:t>(5)</w:t>
        <w:tab/>
      </w:r>
      <w:r>
        <w:rPr>
          <w:sz w:val="22"/>
        </w:rPr>
        <w:t>物業屬法定古蹟。</w:t>
      </w:r>
    </w:p>
    <w:p>
      <w:pPr>
        <w:pStyle w:val="F21"/>
        <w:spacing w:lineRule="auto" w:line="240"/>
        <w:ind w:left="567" w:hanging="567"/>
        <w:rPr>
          <w:sz w:val="22"/>
        </w:rPr>
      </w:pPr>
      <w:r>
        <w:rPr>
          <w:sz w:val="22"/>
        </w:rPr>
      </w:r>
    </w:p>
    <w:p>
      <w:pPr>
        <w:pStyle w:val="F21"/>
        <w:spacing w:lineRule="auto" w:line="240"/>
        <w:ind w:left="567" w:hanging="567"/>
        <w:rPr>
          <w:sz w:val="22"/>
        </w:rPr>
      </w:pPr>
      <w:r>
        <w:rPr>
          <w:sz w:val="22"/>
        </w:rPr>
        <w:t>(6)</w:t>
        <w:tab/>
      </w:r>
      <w:r>
        <w:rPr>
          <w:sz w:val="22"/>
        </w:rPr>
        <w:t>擬作土地出售及</w:t>
      </w:r>
      <w:r>
        <w:rPr>
          <w:rFonts w:ascii="華康細明體" w:hAnsi="華康細明體"/>
          <w:sz w:val="22"/>
        </w:rPr>
        <w:t>/</w:t>
      </w:r>
      <w:r>
        <w:rPr>
          <w:sz w:val="22"/>
        </w:rPr>
        <w:t>或重建</w:t>
      </w:r>
      <w:r>
        <w:rPr>
          <w:sz w:val="22"/>
        </w:rPr>
        <w:t>"</w:t>
      </w:r>
      <w:r>
        <w:rPr>
          <w:sz w:val="22"/>
        </w:rPr>
        <w:t>政府、機構或社區</w:t>
      </w:r>
      <w:r>
        <w:rPr>
          <w:sz w:val="22"/>
        </w:rPr>
        <w:t>"</w:t>
      </w:r>
      <w:r>
        <w:rPr>
          <w:sz w:val="22"/>
        </w:rPr>
        <w:t>設施。</w:t>
      </w:r>
    </w:p>
    <w:p>
      <w:pPr>
        <w:pStyle w:val="F21"/>
        <w:spacing w:lineRule="auto" w:line="240"/>
        <w:rPr>
          <w:sz w:val="22"/>
        </w:rPr>
      </w:pPr>
      <w:r>
        <w:rPr>
          <w:sz w:val="22"/>
        </w:rPr>
      </w:r>
    </w:p>
    <w:p>
      <w:pPr>
        <w:pStyle w:val="F21"/>
        <w:spacing w:lineRule="auto" w:line="240"/>
        <w:rPr>
          <w:sz w:val="22"/>
        </w:rPr>
      </w:pPr>
      <w:r>
        <w:rPr>
          <w:sz w:val="22"/>
        </w:rPr>
        <w:t>資料來源：產業署</w:t>
      </w:r>
    </w:p>
    <w:p>
      <w:pPr>
        <w:pStyle w:val="F21"/>
        <w:jc w:val="left"/>
        <w:rPr>
          <w:szCs w:val="27"/>
        </w:rPr>
      </w:pPr>
      <w:r>
        <w:rPr>
          <w:szCs w:val="27"/>
        </w:rPr>
      </w:r>
    </w:p>
    <w:p>
      <w:pPr>
        <w:pStyle w:val="F21"/>
        <w:rPr>
          <w:szCs w:val="27"/>
        </w:rPr>
      </w:pPr>
      <w:r>
        <w:rPr>
          <w:szCs w:val="27"/>
        </w:rPr>
      </w:r>
    </w:p>
    <w:p>
      <w:pPr>
        <w:pStyle w:val="F21"/>
        <w:jc w:val="right"/>
        <w:rPr>
          <w:szCs w:val="27"/>
        </w:rPr>
      </w:pPr>
      <w:r>
        <w:rPr>
          <w:szCs w:val="27"/>
        </w:rPr>
        <w:t>附件三</w:t>
      </w:r>
    </w:p>
    <w:p>
      <w:pPr>
        <w:pStyle w:val="F21"/>
        <w:rPr>
          <w:szCs w:val="27"/>
        </w:rPr>
      </w:pPr>
      <w:r>
        <w:rPr>
          <w:szCs w:val="27"/>
        </w:rPr>
      </w:r>
    </w:p>
    <w:p>
      <w:pPr>
        <w:pStyle w:val="F21"/>
        <w:jc w:val="center"/>
        <w:rPr>
          <w:szCs w:val="27"/>
        </w:rPr>
      </w:pPr>
      <w:r>
        <w:rPr>
          <w:szCs w:val="27"/>
        </w:rPr>
        <w:t>用作儲存用途而位於市區</w:t>
      </w:r>
      <w:r>
        <w:rPr>
          <w:szCs w:val="27"/>
          <w:vertAlign w:val="superscript"/>
        </w:rPr>
        <w:t>(1)</w:t>
      </w:r>
      <w:r>
        <w:rPr>
          <w:szCs w:val="27"/>
        </w:rPr>
        <w:t>的政府物業資料</w:t>
      </w:r>
    </w:p>
    <w:p>
      <w:pPr>
        <w:pStyle w:val="F21"/>
        <w:rPr>
          <w:szCs w:val="27"/>
        </w:rPr>
      </w:pPr>
      <w:r>
        <w:rPr>
          <w:szCs w:val="27"/>
        </w:rPr>
      </w:r>
    </w:p>
    <w:p>
      <w:pPr>
        <w:pStyle w:val="F21"/>
        <w:rPr>
          <w:szCs w:val="27"/>
        </w:rPr>
      </w:pPr>
      <w:r>
        <w:rPr>
          <w:szCs w:val="27"/>
        </w:rPr>
        <w:t>根據各政策局</w:t>
      </w:r>
      <w:r>
        <w:rPr>
          <w:rFonts w:ascii="華康細明體" w:hAnsi="華康細明體"/>
          <w:szCs w:val="27"/>
        </w:rPr>
        <w:t>/</w:t>
      </w:r>
      <w:r>
        <w:rPr>
          <w:szCs w:val="27"/>
        </w:rPr>
        <w:t>部門提交截至</w:t>
      </w:r>
      <w:r>
        <w:rPr>
          <w:szCs w:val="27"/>
        </w:rPr>
        <w:t>2018</w:t>
      </w:r>
      <w:r>
        <w:rPr>
          <w:szCs w:val="27"/>
        </w:rPr>
        <w:t>年</w:t>
      </w:r>
      <w:r>
        <w:rPr>
          <w:szCs w:val="27"/>
        </w:rPr>
        <w:t>3</w:t>
      </w:r>
      <w:r>
        <w:rPr>
          <w:szCs w:val="27"/>
        </w:rPr>
        <w:t>月</w:t>
      </w:r>
      <w:r>
        <w:rPr>
          <w:szCs w:val="27"/>
        </w:rPr>
        <w:t>31</w:t>
      </w:r>
      <w:r>
        <w:rPr>
          <w:szCs w:val="27"/>
        </w:rPr>
        <w:t>日的物業資料，作儲存用途而位於市區的政府自置物業內的單位</w:t>
      </w:r>
      <w:r>
        <w:rPr>
          <w:szCs w:val="27"/>
        </w:rPr>
        <w:t>(</w:t>
      </w:r>
      <w:r>
        <w:rPr>
          <w:szCs w:val="27"/>
        </w:rPr>
        <w:t>樓面面積超過</w:t>
      </w:r>
      <w:r>
        <w:rPr>
          <w:szCs w:val="27"/>
        </w:rPr>
        <w:t>100</w:t>
      </w:r>
      <w:r>
        <w:rPr>
          <w:szCs w:val="27"/>
        </w:rPr>
        <w:t>平方米</w:t>
      </w:r>
      <w:r>
        <w:rPr>
          <w:szCs w:val="27"/>
        </w:rPr>
        <w:t>)</w:t>
      </w:r>
      <w:r>
        <w:rPr>
          <w:szCs w:val="27"/>
        </w:rPr>
        <w:t>的資料如下</w:t>
      </w:r>
      <w:r>
        <w:rPr>
          <w:szCs w:val="27"/>
          <w:vertAlign w:val="superscript"/>
        </w:rPr>
        <w:t>(2)(3)</w:t>
      </w:r>
      <w:r>
        <w:rPr>
          <w:szCs w:val="27"/>
        </w:rPr>
        <w:t>：</w:t>
      </w:r>
    </w:p>
    <w:p>
      <w:pPr>
        <w:pStyle w:val="F21"/>
        <w:rPr>
          <w:szCs w:val="27"/>
        </w:rPr>
      </w:pPr>
      <w:r>
        <w:rPr>
          <w:szCs w:val="27"/>
        </w:rPr>
      </w:r>
    </w:p>
    <w:tbl>
      <w:tblPr>
        <w:tblStyle w:val="a9"/>
        <w:tblW w:w="9223" w:type="dxa"/>
        <w:jc w:val="left"/>
        <w:tblInd w:w="0" w:type="dxa"/>
        <w:tblCellMar>
          <w:top w:w="0" w:type="dxa"/>
          <w:left w:w="108" w:type="dxa"/>
          <w:bottom w:w="0" w:type="dxa"/>
          <w:right w:w="108" w:type="dxa"/>
        </w:tblCellMar>
        <w:tblLook w:val="04a0" w:noHBand="0" w:noVBand="1" w:firstColumn="1" w:lastRow="0" w:lastColumn="0" w:firstRow="1"/>
      </w:tblPr>
      <w:tblGrid>
        <w:gridCol w:w="3074"/>
        <w:gridCol w:w="2884"/>
        <w:gridCol w:w="3265"/>
      </w:tblGrid>
      <w:tr>
        <w:trPr>
          <w:tblHeader w:val="true"/>
        </w:trPr>
        <w:tc>
          <w:tcPr>
            <w:tcW w:w="3074" w:type="dxa"/>
            <w:tcBorders/>
            <w:vAlign w:val="center"/>
          </w:tcPr>
          <w:p>
            <w:pPr>
              <w:pStyle w:val="F21"/>
              <w:tabs>
                <w:tab w:val="clear" w:pos="567"/>
              </w:tabs>
              <w:ind w:left="57" w:right="57" w:hanging="0"/>
              <w:jc w:val="center"/>
              <w:rPr>
                <w:i/>
                <w:i/>
                <w:szCs w:val="27"/>
              </w:rPr>
            </w:pPr>
            <w:r>
              <w:rPr>
                <w:i/>
                <w:szCs w:val="27"/>
              </w:rPr>
              <w:t>地區</w:t>
            </w:r>
          </w:p>
        </w:tc>
        <w:tc>
          <w:tcPr>
            <w:tcW w:w="2884" w:type="dxa"/>
            <w:tcBorders/>
            <w:vAlign w:val="center"/>
          </w:tcPr>
          <w:p>
            <w:pPr>
              <w:pStyle w:val="F21"/>
              <w:tabs>
                <w:tab w:val="clear" w:pos="567"/>
              </w:tabs>
              <w:ind w:left="57" w:right="57" w:hanging="0"/>
              <w:jc w:val="center"/>
              <w:rPr>
                <w:i/>
                <w:i/>
                <w:szCs w:val="27"/>
              </w:rPr>
            </w:pPr>
            <w:r>
              <w:rPr>
                <w:i/>
                <w:szCs w:val="27"/>
              </w:rPr>
              <w:t>單位數量</w:t>
            </w:r>
          </w:p>
        </w:tc>
        <w:tc>
          <w:tcPr>
            <w:tcW w:w="3265" w:type="dxa"/>
            <w:tcBorders/>
            <w:vAlign w:val="center"/>
          </w:tcPr>
          <w:p>
            <w:pPr>
              <w:pStyle w:val="F21"/>
              <w:tabs>
                <w:tab w:val="clear" w:pos="567"/>
              </w:tabs>
              <w:ind w:left="57" w:right="57" w:hanging="0"/>
              <w:jc w:val="center"/>
              <w:rPr>
                <w:i/>
                <w:i/>
                <w:szCs w:val="27"/>
              </w:rPr>
            </w:pPr>
            <w:r>
              <w:rPr>
                <w:i/>
                <w:szCs w:val="27"/>
              </w:rPr>
              <w:t>相關單位的總樓面面積</w:t>
            </w:r>
            <w:r>
              <w:rPr>
                <w:i/>
                <w:szCs w:val="27"/>
              </w:rPr>
              <w:t>(</w:t>
            </w:r>
            <w:r>
              <w:rPr>
                <w:i/>
                <w:szCs w:val="27"/>
              </w:rPr>
              <w:t>平方米</w:t>
            </w:r>
            <w:r>
              <w:rPr>
                <w:i/>
                <w:szCs w:val="27"/>
              </w:rPr>
              <w:t>)(</w:t>
            </w:r>
            <w:r>
              <w:rPr>
                <w:i/>
                <w:szCs w:val="27"/>
              </w:rPr>
              <w:t>約</w:t>
            </w:r>
            <w:r>
              <w:rPr>
                <w:i/>
                <w:szCs w:val="27"/>
              </w:rPr>
              <w:t>)</w:t>
            </w:r>
          </w:p>
        </w:tc>
      </w:tr>
      <w:tr>
        <w:trPr/>
        <w:tc>
          <w:tcPr>
            <w:tcW w:w="3074" w:type="dxa"/>
            <w:tcBorders/>
          </w:tcPr>
          <w:p>
            <w:pPr>
              <w:pStyle w:val="F21"/>
              <w:tabs>
                <w:tab w:val="clear" w:pos="567"/>
              </w:tabs>
              <w:ind w:left="57" w:right="57" w:hanging="0"/>
              <w:rPr>
                <w:szCs w:val="27"/>
              </w:rPr>
            </w:pPr>
            <w:r>
              <w:rPr>
                <w:szCs w:val="27"/>
              </w:rPr>
              <w:t>中西區</w:t>
            </w:r>
          </w:p>
        </w:tc>
        <w:tc>
          <w:tcPr>
            <w:tcW w:w="2884" w:type="dxa"/>
            <w:tcBorders/>
          </w:tcPr>
          <w:p>
            <w:pPr>
              <w:pStyle w:val="F21"/>
              <w:tabs>
                <w:tab w:val="clear" w:pos="567"/>
              </w:tabs>
              <w:ind w:left="57" w:right="1276" w:hanging="0"/>
              <w:jc w:val="right"/>
              <w:rPr>
                <w:szCs w:val="27"/>
              </w:rPr>
            </w:pPr>
            <w:r>
              <w:rPr>
                <w:szCs w:val="27"/>
              </w:rPr>
              <w:t>26</w:t>
            </w:r>
          </w:p>
        </w:tc>
        <w:tc>
          <w:tcPr>
            <w:tcW w:w="3265" w:type="dxa"/>
            <w:tcBorders/>
          </w:tcPr>
          <w:p>
            <w:pPr>
              <w:pStyle w:val="F21"/>
              <w:tabs>
                <w:tab w:val="clear" w:pos="567"/>
              </w:tabs>
              <w:ind w:left="57" w:right="1138" w:hanging="0"/>
              <w:jc w:val="right"/>
              <w:rPr>
                <w:szCs w:val="27"/>
              </w:rPr>
            </w:pPr>
            <w:r>
              <w:rPr>
                <w:szCs w:val="27"/>
              </w:rPr>
              <w:t>5 200</w:t>
            </w:r>
          </w:p>
        </w:tc>
      </w:tr>
      <w:tr>
        <w:trPr/>
        <w:tc>
          <w:tcPr>
            <w:tcW w:w="3074" w:type="dxa"/>
            <w:tcBorders/>
          </w:tcPr>
          <w:p>
            <w:pPr>
              <w:pStyle w:val="F21"/>
              <w:tabs>
                <w:tab w:val="clear" w:pos="567"/>
              </w:tabs>
              <w:ind w:left="57" w:right="57" w:hanging="0"/>
              <w:rPr>
                <w:szCs w:val="27"/>
              </w:rPr>
            </w:pPr>
            <w:r>
              <w:rPr>
                <w:szCs w:val="27"/>
              </w:rPr>
              <w:t>東區</w:t>
            </w:r>
          </w:p>
        </w:tc>
        <w:tc>
          <w:tcPr>
            <w:tcW w:w="2884" w:type="dxa"/>
            <w:tcBorders/>
          </w:tcPr>
          <w:p>
            <w:pPr>
              <w:pStyle w:val="F21"/>
              <w:tabs>
                <w:tab w:val="clear" w:pos="567"/>
              </w:tabs>
              <w:ind w:left="57" w:right="1276" w:hanging="0"/>
              <w:jc w:val="right"/>
              <w:rPr>
                <w:szCs w:val="27"/>
              </w:rPr>
            </w:pPr>
            <w:r>
              <w:rPr>
                <w:szCs w:val="27"/>
              </w:rPr>
              <w:t>21</w:t>
            </w:r>
          </w:p>
        </w:tc>
        <w:tc>
          <w:tcPr>
            <w:tcW w:w="3265" w:type="dxa"/>
            <w:tcBorders/>
          </w:tcPr>
          <w:p>
            <w:pPr>
              <w:pStyle w:val="F21"/>
              <w:tabs>
                <w:tab w:val="clear" w:pos="567"/>
              </w:tabs>
              <w:ind w:left="57" w:right="1138" w:hanging="0"/>
              <w:jc w:val="right"/>
              <w:rPr>
                <w:szCs w:val="27"/>
              </w:rPr>
            </w:pPr>
            <w:r>
              <w:rPr>
                <w:szCs w:val="27"/>
              </w:rPr>
              <w:t>5 400</w:t>
            </w:r>
          </w:p>
        </w:tc>
      </w:tr>
      <w:tr>
        <w:trPr/>
        <w:tc>
          <w:tcPr>
            <w:tcW w:w="3074" w:type="dxa"/>
            <w:tcBorders/>
          </w:tcPr>
          <w:p>
            <w:pPr>
              <w:pStyle w:val="F21"/>
              <w:tabs>
                <w:tab w:val="clear" w:pos="567"/>
              </w:tabs>
              <w:ind w:left="57" w:right="57" w:hanging="0"/>
              <w:rPr>
                <w:szCs w:val="27"/>
              </w:rPr>
            </w:pPr>
            <w:r>
              <w:rPr>
                <w:szCs w:val="27"/>
              </w:rPr>
              <w:t>南區</w:t>
            </w:r>
          </w:p>
        </w:tc>
        <w:tc>
          <w:tcPr>
            <w:tcW w:w="2884" w:type="dxa"/>
            <w:tcBorders/>
          </w:tcPr>
          <w:p>
            <w:pPr>
              <w:pStyle w:val="F21"/>
              <w:tabs>
                <w:tab w:val="clear" w:pos="567"/>
              </w:tabs>
              <w:ind w:left="57" w:right="1276" w:hanging="0"/>
              <w:jc w:val="right"/>
              <w:rPr>
                <w:szCs w:val="27"/>
              </w:rPr>
            </w:pPr>
            <w:r>
              <w:rPr>
                <w:szCs w:val="27"/>
              </w:rPr>
              <w:t>11</w:t>
            </w:r>
          </w:p>
        </w:tc>
        <w:tc>
          <w:tcPr>
            <w:tcW w:w="3265" w:type="dxa"/>
            <w:tcBorders/>
          </w:tcPr>
          <w:p>
            <w:pPr>
              <w:pStyle w:val="F21"/>
              <w:tabs>
                <w:tab w:val="clear" w:pos="567"/>
              </w:tabs>
              <w:ind w:left="57" w:right="1138" w:hanging="0"/>
              <w:jc w:val="right"/>
              <w:rPr>
                <w:szCs w:val="27"/>
              </w:rPr>
            </w:pPr>
            <w:r>
              <w:rPr>
                <w:szCs w:val="27"/>
              </w:rPr>
              <w:t>2 600</w:t>
            </w:r>
          </w:p>
        </w:tc>
      </w:tr>
      <w:tr>
        <w:trPr/>
        <w:tc>
          <w:tcPr>
            <w:tcW w:w="3074" w:type="dxa"/>
            <w:tcBorders/>
          </w:tcPr>
          <w:p>
            <w:pPr>
              <w:pStyle w:val="F21"/>
              <w:tabs>
                <w:tab w:val="clear" w:pos="567"/>
              </w:tabs>
              <w:ind w:left="57" w:right="57" w:hanging="0"/>
              <w:rPr>
                <w:szCs w:val="27"/>
              </w:rPr>
            </w:pPr>
            <w:r>
              <w:rPr>
                <w:szCs w:val="27"/>
              </w:rPr>
              <w:t>灣仔</w:t>
            </w:r>
          </w:p>
        </w:tc>
        <w:tc>
          <w:tcPr>
            <w:tcW w:w="2884" w:type="dxa"/>
            <w:tcBorders/>
          </w:tcPr>
          <w:p>
            <w:pPr>
              <w:pStyle w:val="F21"/>
              <w:tabs>
                <w:tab w:val="clear" w:pos="567"/>
              </w:tabs>
              <w:ind w:left="57" w:right="1276" w:hanging="0"/>
              <w:jc w:val="right"/>
              <w:rPr>
                <w:szCs w:val="27"/>
              </w:rPr>
            </w:pPr>
            <w:r>
              <w:rPr>
                <w:szCs w:val="27"/>
              </w:rPr>
              <w:t>8</w:t>
            </w:r>
          </w:p>
        </w:tc>
        <w:tc>
          <w:tcPr>
            <w:tcW w:w="3265" w:type="dxa"/>
            <w:tcBorders/>
          </w:tcPr>
          <w:p>
            <w:pPr>
              <w:pStyle w:val="F21"/>
              <w:tabs>
                <w:tab w:val="clear" w:pos="567"/>
              </w:tabs>
              <w:ind w:left="57" w:right="1138" w:hanging="0"/>
              <w:jc w:val="right"/>
              <w:rPr>
                <w:szCs w:val="27"/>
              </w:rPr>
            </w:pPr>
            <w:r>
              <w:rPr>
                <w:szCs w:val="27"/>
              </w:rPr>
              <w:t>2 300</w:t>
            </w:r>
          </w:p>
        </w:tc>
      </w:tr>
      <w:tr>
        <w:trPr/>
        <w:tc>
          <w:tcPr>
            <w:tcW w:w="3074" w:type="dxa"/>
            <w:tcBorders/>
          </w:tcPr>
          <w:p>
            <w:pPr>
              <w:pStyle w:val="F21"/>
              <w:tabs>
                <w:tab w:val="clear" w:pos="567"/>
              </w:tabs>
              <w:ind w:left="57" w:right="57" w:hanging="0"/>
              <w:rPr>
                <w:szCs w:val="27"/>
              </w:rPr>
            </w:pPr>
            <w:r>
              <w:rPr>
                <w:szCs w:val="27"/>
              </w:rPr>
              <w:t>九龍城</w:t>
            </w:r>
          </w:p>
        </w:tc>
        <w:tc>
          <w:tcPr>
            <w:tcW w:w="2884" w:type="dxa"/>
            <w:tcBorders/>
          </w:tcPr>
          <w:p>
            <w:pPr>
              <w:pStyle w:val="F21"/>
              <w:tabs>
                <w:tab w:val="clear" w:pos="567"/>
              </w:tabs>
              <w:ind w:left="57" w:right="1276" w:hanging="0"/>
              <w:jc w:val="right"/>
              <w:rPr>
                <w:szCs w:val="27"/>
              </w:rPr>
            </w:pPr>
            <w:r>
              <w:rPr>
                <w:szCs w:val="27"/>
              </w:rPr>
              <w:t>11</w:t>
            </w:r>
          </w:p>
        </w:tc>
        <w:tc>
          <w:tcPr>
            <w:tcW w:w="3265" w:type="dxa"/>
            <w:tcBorders/>
          </w:tcPr>
          <w:p>
            <w:pPr>
              <w:pStyle w:val="F21"/>
              <w:tabs>
                <w:tab w:val="clear" w:pos="567"/>
              </w:tabs>
              <w:ind w:left="57" w:right="1138" w:hanging="0"/>
              <w:jc w:val="right"/>
              <w:rPr>
                <w:szCs w:val="27"/>
              </w:rPr>
            </w:pPr>
            <w:r>
              <w:rPr>
                <w:szCs w:val="27"/>
              </w:rPr>
              <w:t>9 900</w:t>
            </w:r>
          </w:p>
        </w:tc>
      </w:tr>
      <w:tr>
        <w:trPr/>
        <w:tc>
          <w:tcPr>
            <w:tcW w:w="3074" w:type="dxa"/>
            <w:tcBorders/>
          </w:tcPr>
          <w:p>
            <w:pPr>
              <w:pStyle w:val="F21"/>
              <w:tabs>
                <w:tab w:val="clear" w:pos="567"/>
              </w:tabs>
              <w:ind w:left="57" w:right="57" w:hanging="0"/>
              <w:rPr>
                <w:szCs w:val="27"/>
              </w:rPr>
            </w:pPr>
            <w:r>
              <w:rPr>
                <w:szCs w:val="27"/>
              </w:rPr>
              <w:t>油尖旺區</w:t>
            </w:r>
          </w:p>
        </w:tc>
        <w:tc>
          <w:tcPr>
            <w:tcW w:w="2884" w:type="dxa"/>
            <w:tcBorders/>
          </w:tcPr>
          <w:p>
            <w:pPr>
              <w:pStyle w:val="F21"/>
              <w:tabs>
                <w:tab w:val="clear" w:pos="567"/>
              </w:tabs>
              <w:ind w:left="57" w:right="1276" w:hanging="0"/>
              <w:jc w:val="right"/>
              <w:rPr>
                <w:szCs w:val="27"/>
              </w:rPr>
            </w:pPr>
            <w:r>
              <w:rPr>
                <w:szCs w:val="27"/>
              </w:rPr>
              <w:t>21</w:t>
            </w:r>
          </w:p>
        </w:tc>
        <w:tc>
          <w:tcPr>
            <w:tcW w:w="3265" w:type="dxa"/>
            <w:tcBorders/>
          </w:tcPr>
          <w:p>
            <w:pPr>
              <w:pStyle w:val="F21"/>
              <w:tabs>
                <w:tab w:val="clear" w:pos="567"/>
              </w:tabs>
              <w:ind w:left="57" w:right="1138" w:hanging="0"/>
              <w:jc w:val="right"/>
              <w:rPr>
                <w:szCs w:val="27"/>
              </w:rPr>
            </w:pPr>
            <w:r>
              <w:rPr>
                <w:szCs w:val="27"/>
              </w:rPr>
              <w:t>4 600</w:t>
            </w:r>
          </w:p>
        </w:tc>
      </w:tr>
      <w:tr>
        <w:trPr/>
        <w:tc>
          <w:tcPr>
            <w:tcW w:w="3074" w:type="dxa"/>
            <w:tcBorders/>
          </w:tcPr>
          <w:p>
            <w:pPr>
              <w:pStyle w:val="F21"/>
              <w:tabs>
                <w:tab w:val="clear" w:pos="567"/>
              </w:tabs>
              <w:spacing w:lineRule="exact" w:line="300"/>
              <w:ind w:left="57" w:right="57" w:hanging="0"/>
              <w:rPr>
                <w:szCs w:val="27"/>
              </w:rPr>
            </w:pPr>
            <w:r>
              <w:rPr>
                <w:szCs w:val="27"/>
              </w:rPr>
              <w:t>深水埗</w:t>
            </w:r>
          </w:p>
        </w:tc>
        <w:tc>
          <w:tcPr>
            <w:tcW w:w="2884" w:type="dxa"/>
            <w:tcBorders/>
          </w:tcPr>
          <w:p>
            <w:pPr>
              <w:pStyle w:val="F21"/>
              <w:tabs>
                <w:tab w:val="clear" w:pos="567"/>
              </w:tabs>
              <w:spacing w:lineRule="exact" w:line="300"/>
              <w:ind w:left="57" w:right="1276" w:hanging="0"/>
              <w:jc w:val="right"/>
              <w:rPr>
                <w:szCs w:val="27"/>
              </w:rPr>
            </w:pPr>
            <w:r>
              <w:rPr>
                <w:szCs w:val="27"/>
              </w:rPr>
              <w:t>25</w:t>
            </w:r>
          </w:p>
        </w:tc>
        <w:tc>
          <w:tcPr>
            <w:tcW w:w="3265" w:type="dxa"/>
            <w:tcBorders/>
          </w:tcPr>
          <w:p>
            <w:pPr>
              <w:pStyle w:val="F21"/>
              <w:tabs>
                <w:tab w:val="clear" w:pos="567"/>
              </w:tabs>
              <w:spacing w:lineRule="exact" w:line="300"/>
              <w:ind w:left="57" w:right="1138" w:hanging="0"/>
              <w:jc w:val="right"/>
              <w:rPr>
                <w:szCs w:val="27"/>
              </w:rPr>
            </w:pPr>
            <w:r>
              <w:rPr>
                <w:szCs w:val="27"/>
              </w:rPr>
              <w:t>12 700</w:t>
            </w:r>
          </w:p>
        </w:tc>
      </w:tr>
      <w:tr>
        <w:trPr/>
        <w:tc>
          <w:tcPr>
            <w:tcW w:w="3074" w:type="dxa"/>
            <w:tcBorders/>
          </w:tcPr>
          <w:p>
            <w:pPr>
              <w:pStyle w:val="F21"/>
              <w:tabs>
                <w:tab w:val="clear" w:pos="567"/>
              </w:tabs>
              <w:spacing w:lineRule="exact" w:line="300"/>
              <w:ind w:left="57" w:right="57" w:hanging="0"/>
              <w:rPr>
                <w:szCs w:val="27"/>
              </w:rPr>
            </w:pPr>
            <w:r>
              <w:rPr>
                <w:szCs w:val="27"/>
              </w:rPr>
              <w:t>黃大仙</w:t>
            </w:r>
          </w:p>
        </w:tc>
        <w:tc>
          <w:tcPr>
            <w:tcW w:w="2884" w:type="dxa"/>
            <w:tcBorders/>
          </w:tcPr>
          <w:p>
            <w:pPr>
              <w:pStyle w:val="F21"/>
              <w:tabs>
                <w:tab w:val="clear" w:pos="567"/>
              </w:tabs>
              <w:spacing w:lineRule="exact" w:line="300"/>
              <w:ind w:left="57" w:right="1276" w:hanging="0"/>
              <w:jc w:val="right"/>
              <w:rPr>
                <w:szCs w:val="27"/>
              </w:rPr>
            </w:pPr>
            <w:r>
              <w:rPr>
                <w:szCs w:val="27"/>
              </w:rPr>
              <w:t>4</w:t>
            </w:r>
          </w:p>
        </w:tc>
        <w:tc>
          <w:tcPr>
            <w:tcW w:w="3265" w:type="dxa"/>
            <w:tcBorders/>
          </w:tcPr>
          <w:p>
            <w:pPr>
              <w:pStyle w:val="F21"/>
              <w:tabs>
                <w:tab w:val="clear" w:pos="567"/>
              </w:tabs>
              <w:spacing w:lineRule="exact" w:line="300"/>
              <w:ind w:left="57" w:right="1138" w:hanging="0"/>
              <w:jc w:val="right"/>
              <w:rPr>
                <w:szCs w:val="27"/>
              </w:rPr>
            </w:pPr>
            <w:r>
              <w:rPr>
                <w:szCs w:val="27"/>
              </w:rPr>
              <w:t>700</w:t>
            </w:r>
          </w:p>
        </w:tc>
      </w:tr>
      <w:tr>
        <w:trPr/>
        <w:tc>
          <w:tcPr>
            <w:tcW w:w="3074" w:type="dxa"/>
            <w:tcBorders/>
          </w:tcPr>
          <w:p>
            <w:pPr>
              <w:pStyle w:val="F21"/>
              <w:tabs>
                <w:tab w:val="clear" w:pos="567"/>
              </w:tabs>
              <w:spacing w:lineRule="exact" w:line="300"/>
              <w:ind w:left="57" w:right="57" w:hanging="0"/>
              <w:rPr>
                <w:szCs w:val="27"/>
              </w:rPr>
            </w:pPr>
            <w:r>
              <w:rPr>
                <w:szCs w:val="27"/>
              </w:rPr>
              <w:t>觀塘</w:t>
            </w:r>
          </w:p>
        </w:tc>
        <w:tc>
          <w:tcPr>
            <w:tcW w:w="2884" w:type="dxa"/>
            <w:tcBorders/>
          </w:tcPr>
          <w:p>
            <w:pPr>
              <w:pStyle w:val="F21"/>
              <w:tabs>
                <w:tab w:val="clear" w:pos="567"/>
              </w:tabs>
              <w:spacing w:lineRule="exact" w:line="300"/>
              <w:ind w:left="57" w:right="1276" w:hanging="0"/>
              <w:jc w:val="right"/>
              <w:rPr>
                <w:szCs w:val="27"/>
              </w:rPr>
            </w:pPr>
            <w:r>
              <w:rPr>
                <w:szCs w:val="27"/>
              </w:rPr>
              <w:t>22</w:t>
            </w:r>
          </w:p>
        </w:tc>
        <w:tc>
          <w:tcPr>
            <w:tcW w:w="3265" w:type="dxa"/>
            <w:tcBorders/>
          </w:tcPr>
          <w:p>
            <w:pPr>
              <w:pStyle w:val="F21"/>
              <w:tabs>
                <w:tab w:val="clear" w:pos="567"/>
              </w:tabs>
              <w:spacing w:lineRule="exact" w:line="300"/>
              <w:ind w:left="57" w:right="1138" w:hanging="0"/>
              <w:jc w:val="right"/>
              <w:rPr>
                <w:szCs w:val="27"/>
              </w:rPr>
            </w:pPr>
            <w:r>
              <w:rPr>
                <w:szCs w:val="27"/>
              </w:rPr>
              <w:t>8 500</w:t>
            </w:r>
          </w:p>
        </w:tc>
      </w:tr>
      <w:tr>
        <w:trPr/>
        <w:tc>
          <w:tcPr>
            <w:tcW w:w="3074" w:type="dxa"/>
            <w:tcBorders/>
          </w:tcPr>
          <w:p>
            <w:pPr>
              <w:pStyle w:val="F21"/>
              <w:tabs>
                <w:tab w:val="clear" w:pos="567"/>
              </w:tabs>
              <w:spacing w:lineRule="exact" w:line="300"/>
              <w:ind w:left="57" w:right="57" w:hanging="0"/>
              <w:rPr>
                <w:szCs w:val="27"/>
              </w:rPr>
            </w:pPr>
            <w:r>
              <w:rPr>
                <w:szCs w:val="27"/>
              </w:rPr>
              <w:t>總數</w:t>
            </w:r>
          </w:p>
        </w:tc>
        <w:tc>
          <w:tcPr>
            <w:tcW w:w="2884" w:type="dxa"/>
            <w:tcBorders/>
          </w:tcPr>
          <w:p>
            <w:pPr>
              <w:pStyle w:val="F21"/>
              <w:tabs>
                <w:tab w:val="clear" w:pos="567"/>
              </w:tabs>
              <w:spacing w:lineRule="exact" w:line="300"/>
              <w:ind w:left="57" w:right="1276" w:hanging="0"/>
              <w:jc w:val="right"/>
              <w:rPr>
                <w:szCs w:val="27"/>
              </w:rPr>
            </w:pPr>
            <w:r>
              <w:rPr>
                <w:szCs w:val="27"/>
              </w:rPr>
              <w:t>149</w:t>
            </w:r>
          </w:p>
        </w:tc>
        <w:tc>
          <w:tcPr>
            <w:tcW w:w="3265" w:type="dxa"/>
            <w:tcBorders/>
          </w:tcPr>
          <w:p>
            <w:pPr>
              <w:pStyle w:val="F21"/>
              <w:tabs>
                <w:tab w:val="clear" w:pos="567"/>
              </w:tabs>
              <w:spacing w:lineRule="exact" w:line="300"/>
              <w:ind w:left="57" w:right="1138" w:hanging="0"/>
              <w:jc w:val="right"/>
              <w:rPr>
                <w:szCs w:val="27"/>
              </w:rPr>
            </w:pPr>
            <w:r>
              <w:rPr>
                <w:szCs w:val="27"/>
              </w:rPr>
              <w:t>51 900</w:t>
            </w:r>
          </w:p>
        </w:tc>
      </w:tr>
    </w:tbl>
    <w:p>
      <w:pPr>
        <w:pStyle w:val="F21"/>
        <w:spacing w:lineRule="auto" w:line="240"/>
        <w:rPr>
          <w:sz w:val="22"/>
        </w:rPr>
      </w:pPr>
      <w:r>
        <w:rPr>
          <w:sz w:val="22"/>
        </w:rPr>
      </w:r>
    </w:p>
    <w:p>
      <w:pPr>
        <w:pStyle w:val="F21"/>
        <w:spacing w:lineRule="auto" w:line="240"/>
        <w:rPr>
          <w:sz w:val="22"/>
        </w:rPr>
      </w:pPr>
      <w:r>
        <w:rPr>
          <w:sz w:val="22"/>
        </w:rPr>
        <w:t>註：</w:t>
      </w:r>
    </w:p>
    <w:p>
      <w:pPr>
        <w:pStyle w:val="F21"/>
        <w:spacing w:lineRule="auto" w:line="240"/>
        <w:rPr>
          <w:sz w:val="22"/>
        </w:rPr>
      </w:pPr>
      <w:r>
        <w:rPr>
          <w:sz w:val="22"/>
        </w:rPr>
      </w:r>
    </w:p>
    <w:p>
      <w:pPr>
        <w:pStyle w:val="F21"/>
        <w:spacing w:lineRule="auto" w:line="240"/>
        <w:ind w:left="567" w:hanging="567"/>
        <w:rPr>
          <w:sz w:val="22"/>
        </w:rPr>
      </w:pPr>
      <w:r>
        <w:rPr>
          <w:sz w:val="22"/>
        </w:rPr>
        <w:t>(1)</w:t>
        <w:tab/>
      </w:r>
      <w:r>
        <w:rPr>
          <w:sz w:val="22"/>
        </w:rPr>
        <w:t>指根據區議會選舉選區分界，位於香港島及九龍的</w:t>
      </w:r>
      <w:r>
        <w:rPr>
          <w:sz w:val="22"/>
        </w:rPr>
        <w:t>9</w:t>
      </w:r>
      <w:r>
        <w:rPr>
          <w:sz w:val="22"/>
        </w:rPr>
        <w:t>個選區</w:t>
      </w:r>
      <w:r>
        <w:rPr>
          <w:sz w:val="22"/>
        </w:rPr>
        <w:t>(</w:t>
      </w:r>
      <w:r>
        <w:rPr>
          <w:sz w:val="22"/>
        </w:rPr>
        <w:t>即中西區、灣仔區、東區、南區、油尖旺區、深水埗區、九龍城區、黃大仙區及觀塘區</w:t>
      </w:r>
      <w:r>
        <w:rPr>
          <w:sz w:val="22"/>
        </w:rPr>
        <w:t>)</w:t>
      </w:r>
      <w:r>
        <w:rPr>
          <w:sz w:val="22"/>
        </w:rPr>
        <w:t>。</w:t>
      </w:r>
    </w:p>
    <w:p>
      <w:pPr>
        <w:pStyle w:val="F21"/>
        <w:spacing w:lineRule="auto" w:line="240"/>
        <w:ind w:left="567" w:hanging="567"/>
        <w:rPr>
          <w:sz w:val="22"/>
        </w:rPr>
      </w:pPr>
      <w:r>
        <w:rPr>
          <w:sz w:val="22"/>
        </w:rPr>
      </w:r>
    </w:p>
    <w:p>
      <w:pPr>
        <w:pStyle w:val="F21"/>
        <w:spacing w:lineRule="auto" w:line="240"/>
        <w:ind w:left="567" w:hanging="567"/>
        <w:rPr>
          <w:sz w:val="22"/>
        </w:rPr>
      </w:pPr>
      <w:r>
        <w:rPr>
          <w:sz w:val="22"/>
        </w:rPr>
        <w:t>(2)</w:t>
        <w:tab/>
      </w:r>
      <w:r>
        <w:rPr>
          <w:sz w:val="22"/>
        </w:rPr>
        <w:t>部門提供的資料並沒有記錄儲存用途的使用年期，或單位是用作臨時或長遠儲物用途。</w:t>
      </w:r>
    </w:p>
    <w:p>
      <w:pPr>
        <w:pStyle w:val="F21"/>
        <w:spacing w:lineRule="auto" w:line="240"/>
        <w:ind w:left="567" w:hanging="567"/>
        <w:rPr>
          <w:sz w:val="22"/>
        </w:rPr>
      </w:pPr>
      <w:r>
        <w:rPr>
          <w:sz w:val="22"/>
        </w:rPr>
      </w:r>
    </w:p>
    <w:p>
      <w:pPr>
        <w:pStyle w:val="F21"/>
        <w:spacing w:lineRule="auto" w:line="240"/>
        <w:ind w:left="567" w:hanging="567"/>
        <w:rPr>
          <w:sz w:val="22"/>
        </w:rPr>
      </w:pPr>
      <w:r>
        <w:rPr>
          <w:sz w:val="22"/>
        </w:rPr>
        <w:t>(3)</w:t>
        <w:tab/>
      </w:r>
      <w:r>
        <w:rPr>
          <w:sz w:val="22"/>
        </w:rPr>
        <w:t>以上資料包括各部門作儲存用途的物業，如在康樂及體育設施或消防局等之內的儲物室，但並不包括下列個別大型專屬作儲存用途的物業：</w:t>
      </w:r>
    </w:p>
    <w:p>
      <w:pPr>
        <w:pStyle w:val="F21"/>
        <w:spacing w:lineRule="auto" w:line="240"/>
        <w:rPr>
          <w:sz w:val="22"/>
        </w:rPr>
      </w:pPr>
      <w:r>
        <w:rPr>
          <w:sz w:val="22"/>
        </w:rPr>
      </w:r>
    </w:p>
    <w:p>
      <w:pPr>
        <w:pStyle w:val="F21"/>
        <w:spacing w:lineRule="auto" w:line="240"/>
        <w:ind w:left="567" w:hanging="0"/>
        <w:rPr>
          <w:sz w:val="22"/>
        </w:rPr>
      </w:pPr>
      <w:r>
        <w:rPr>
          <w:sz w:val="22"/>
        </w:rPr>
        <w:t>(a)</w:t>
        <w:tab/>
      </w:r>
      <w:r>
        <w:rPr>
          <w:sz w:val="22"/>
        </w:rPr>
        <w:t>政府物料營運中心</w:t>
      </w:r>
      <w:r>
        <w:rPr>
          <w:sz w:val="22"/>
        </w:rPr>
        <w:t>(</w:t>
      </w:r>
      <w:r>
        <w:rPr>
          <w:sz w:val="22"/>
        </w:rPr>
        <w:t>約</w:t>
      </w:r>
      <w:r>
        <w:rPr>
          <w:sz w:val="22"/>
        </w:rPr>
        <w:t>24 700</w:t>
      </w:r>
      <w:r>
        <w:rPr>
          <w:sz w:val="22"/>
        </w:rPr>
        <w:t>平方米</w:t>
      </w:r>
      <w:r>
        <w:rPr>
          <w:sz w:val="22"/>
        </w:rPr>
        <w:t>)</w:t>
      </w:r>
    </w:p>
    <w:p>
      <w:pPr>
        <w:pStyle w:val="F21"/>
        <w:spacing w:lineRule="auto" w:line="240"/>
        <w:ind w:left="567" w:hanging="0"/>
        <w:rPr>
          <w:sz w:val="22"/>
        </w:rPr>
      </w:pPr>
      <w:r>
        <w:rPr>
          <w:sz w:val="22"/>
        </w:rPr>
      </w:r>
    </w:p>
    <w:p>
      <w:pPr>
        <w:pStyle w:val="F21"/>
        <w:spacing w:lineRule="auto" w:line="240"/>
        <w:ind w:left="567" w:hanging="0"/>
        <w:rPr>
          <w:sz w:val="22"/>
        </w:rPr>
      </w:pPr>
      <w:r>
        <w:rPr>
          <w:sz w:val="22"/>
        </w:rPr>
        <w:t>(b)</w:t>
        <w:tab/>
      </w:r>
      <w:r>
        <w:rPr>
          <w:sz w:val="22"/>
        </w:rPr>
        <w:t>前北角消防大廈</w:t>
      </w:r>
      <w:r>
        <w:rPr>
          <w:sz w:val="22"/>
        </w:rPr>
        <w:t>(</w:t>
      </w:r>
      <w:r>
        <w:rPr>
          <w:sz w:val="22"/>
        </w:rPr>
        <w:t>約</w:t>
      </w:r>
      <w:r>
        <w:rPr>
          <w:sz w:val="22"/>
        </w:rPr>
        <w:t>7 900</w:t>
      </w:r>
      <w:r>
        <w:rPr>
          <w:sz w:val="22"/>
        </w:rPr>
        <w:t>平方米</w:t>
      </w:r>
      <w:r>
        <w:rPr>
          <w:sz w:val="22"/>
        </w:rPr>
        <w:t>)</w:t>
      </w:r>
    </w:p>
    <w:p>
      <w:pPr>
        <w:pStyle w:val="F21"/>
        <w:spacing w:lineRule="auto" w:line="240"/>
        <w:ind w:left="567" w:hanging="0"/>
        <w:rPr>
          <w:sz w:val="22"/>
        </w:rPr>
      </w:pPr>
      <w:r>
        <w:rPr>
          <w:sz w:val="22"/>
        </w:rPr>
      </w:r>
    </w:p>
    <w:p>
      <w:pPr>
        <w:pStyle w:val="F21"/>
        <w:spacing w:lineRule="auto" w:line="240"/>
        <w:ind w:left="567" w:hanging="0"/>
        <w:rPr>
          <w:sz w:val="22"/>
        </w:rPr>
      </w:pPr>
      <w:r>
        <w:rPr>
          <w:sz w:val="22"/>
        </w:rPr>
        <w:t>(c)</w:t>
        <w:tab/>
      </w:r>
      <w:r>
        <w:rPr>
          <w:sz w:val="22"/>
        </w:rPr>
        <w:t>宏昌大廈</w:t>
      </w:r>
      <w:r>
        <w:rPr>
          <w:sz w:val="22"/>
        </w:rPr>
        <w:t>(</w:t>
      </w:r>
      <w:r>
        <w:rPr>
          <w:sz w:val="22"/>
        </w:rPr>
        <w:t>約</w:t>
      </w:r>
      <w:r>
        <w:rPr>
          <w:sz w:val="22"/>
        </w:rPr>
        <w:t>28 100</w:t>
      </w:r>
      <w:r>
        <w:rPr>
          <w:sz w:val="22"/>
        </w:rPr>
        <w:t>平方米</w:t>
      </w:r>
      <w:r>
        <w:rPr>
          <w:sz w:val="22"/>
        </w:rPr>
        <w:t>)</w:t>
      </w:r>
      <w:r>
        <w:rPr>
          <w:sz w:val="22"/>
        </w:rPr>
        <w:t>，作儲存用途的自置工業大廈</w:t>
      </w:r>
    </w:p>
    <w:p>
      <w:pPr>
        <w:pStyle w:val="F21"/>
        <w:spacing w:lineRule="auto" w:line="240"/>
        <w:rPr>
          <w:sz w:val="22"/>
        </w:rPr>
      </w:pPr>
      <w:r>
        <w:rPr>
          <w:sz w:val="22"/>
        </w:rPr>
      </w:r>
    </w:p>
    <w:p>
      <w:pPr>
        <w:pStyle w:val="F21"/>
        <w:spacing w:lineRule="auto" w:line="240"/>
        <w:rPr>
          <w:sz w:val="22"/>
        </w:rPr>
      </w:pPr>
      <w:r>
        <w:rPr>
          <w:sz w:val="22"/>
        </w:rPr>
        <w:t>資料來源：有關部門向產業署提供的數據</w:t>
      </w:r>
    </w:p>
    <w:p>
      <w:pPr>
        <w:pStyle w:val="F21"/>
        <w:spacing w:lineRule="atLeast" w:line="320"/>
        <w:rPr>
          <w:szCs w:val="27"/>
        </w:rPr>
      </w:pPr>
      <w:r>
        <w:rPr>
          <w:szCs w:val="27"/>
        </w:rPr>
      </w:r>
    </w:p>
    <w:p>
      <w:pPr>
        <w:pStyle w:val="F21"/>
        <w:overflowPunct w:val="true"/>
        <w:spacing w:lineRule="atLeast" w:line="320"/>
        <w:rPr>
          <w:rFonts w:cs="Times New Roman"/>
        </w:rPr>
      </w:pPr>
      <w:r>
        <w:rPr>
          <w:rFonts w:cs="Times New Roman"/>
        </w:rPr>
      </w:r>
    </w:p>
    <w:p>
      <w:pPr>
        <w:pStyle w:val="F21"/>
        <w:overflowPunct w:val="true"/>
        <w:spacing w:lineRule="atLeast" w:line="320"/>
        <w:rPr>
          <w:i/>
          <w:i/>
        </w:rPr>
      </w:pPr>
      <w:r>
        <w:rPr>
          <w:rFonts w:eastAsia="華康中黑體"/>
          <w:b/>
          <w:szCs w:val="27"/>
        </w:rPr>
        <w:t>劉國勳議員</w:t>
      </w:r>
      <w:r>
        <w:rPr/>
        <w:t>：</w:t>
      </w:r>
      <w:r>
        <w:rPr>
          <w:i/>
        </w:rPr>
        <w:t>代理主席，看回局長主體答覆內的附件二和附件三，在附件二內，約有</w:t>
      </w:r>
      <w:r>
        <w:rPr>
          <w:i/>
        </w:rPr>
        <w:t>21</w:t>
      </w:r>
      <w:r>
        <w:rPr>
          <w:i/>
        </w:rPr>
        <w:t>個樓面面積超過</w:t>
      </w:r>
      <w:r>
        <w:rPr>
          <w:i/>
        </w:rPr>
        <w:t>100</w:t>
      </w:r>
      <w:r>
        <w:rPr>
          <w:i/>
        </w:rPr>
        <w:t>平方米的空置物業，有很多已經空置超過</w:t>
      </w:r>
      <w:r>
        <w:rPr>
          <w:i/>
        </w:rPr>
        <w:t>10</w:t>
      </w:r>
      <w:r>
        <w:rPr>
          <w:i/>
        </w:rPr>
        <w:t>年，而作儲存用途並位於市區的政府物業，其總樓面面積則超過</w:t>
      </w:r>
      <w:r>
        <w:rPr>
          <w:i/>
        </w:rPr>
        <w:t>51 900</w:t>
      </w:r>
      <w:r>
        <w:rPr>
          <w:i/>
        </w:rPr>
        <w:t>平方米。事實上，有關的面積並不細小。有鑒於此，我想問政府，較早前，政府在表示會撥款</w:t>
      </w:r>
      <w:r>
        <w:rPr>
          <w:i/>
        </w:rPr>
        <w:t>200</w:t>
      </w:r>
      <w:r>
        <w:rPr>
          <w:i/>
        </w:rPr>
        <w:t>億元以購買物業來提供社福設施前，有否先考慮這些地方？此外，現有機制是否有效？能否主動作出檢討？有些地方沒有理由空置</w:t>
      </w:r>
      <w:r>
        <w:rPr>
          <w:i/>
        </w:rPr>
        <w:t>10</w:t>
      </w:r>
      <w:r>
        <w:rPr>
          <w:i/>
        </w:rPr>
        <w:t>年這麼長時間。</w:t>
      </w:r>
    </w:p>
    <w:p>
      <w:pPr>
        <w:pStyle w:val="F21"/>
        <w:overflowPunct w:val="true"/>
        <w:spacing w:lineRule="atLeast" w:line="320"/>
        <w:rPr>
          <w:rFonts w:eastAsia="華康中黑體"/>
          <w:b/>
          <w:b/>
        </w:rPr>
      </w:pPr>
      <w:r>
        <w:rPr>
          <w:rFonts w:eastAsia="華康中黑體"/>
          <w:b/>
        </w:rPr>
      </w:r>
    </w:p>
    <w:p>
      <w:pPr>
        <w:pStyle w:val="F21"/>
        <w:overflowPunct w:val="true"/>
        <w:spacing w:lineRule="atLeast" w:line="320"/>
        <w:rPr>
          <w:rFonts w:eastAsia="華康中黑體"/>
          <w:b/>
          <w:b/>
        </w:rPr>
      </w:pPr>
      <w:r>
        <w:rPr>
          <w:rFonts w:eastAsia="華康中黑體"/>
          <w:b/>
        </w:rPr>
      </w:r>
    </w:p>
    <w:p>
      <w:pPr>
        <w:pStyle w:val="F21"/>
        <w:overflowPunct w:val="true"/>
        <w:spacing w:lineRule="atLeast" w:line="320"/>
        <w:rPr/>
      </w:pPr>
      <w:r>
        <w:rPr>
          <w:rFonts w:ascii="華康中黑體" w:hAnsi="華康中黑體" w:eastAsia="華康中黑體"/>
          <w:b/>
          <w:szCs w:val="27"/>
        </w:rPr>
        <w:t>財經事務及庫務局局長</w:t>
      </w:r>
      <w:r>
        <w:rPr/>
        <w:t>：代理主席，其實在政府物業的用途方面，產業署與其他部門均有制訂措施，以檢討物業用途。我剛才也提及，議員所關注的空置政府物業可分為校舍和非校舍，以及用作儲存用途的物業。我們特別留意到附件三所載有關用作儲存用途的物業，很多也是在地區內有需要和用途的，例如有些是食物環境衞生署、康樂及文化事務署等政府部門需要的。我們亦已提醒各部門，如果可以，應把這些位於市區內作儲存用途的用地轉移到較遠的地區或非市中心的地方，從而騰出這些位於市區的地方，供調配作其他用途。</w:t>
      </w:r>
    </w:p>
    <w:p>
      <w:pPr>
        <w:pStyle w:val="Normal"/>
        <w:widowControl/>
        <w:tabs>
          <w:tab w:val="clear" w:pos="720"/>
        </w:tabs>
        <w:snapToGrid w:val="true"/>
        <w:spacing w:lineRule="exact" w:line="20"/>
        <w:jc w:val="left"/>
        <w:rPr>
          <w:rFonts w:cs="" w:cstheme="minorBidi"/>
          <w:spacing w:val="20"/>
          <w:sz w:val="27"/>
          <w:szCs w:val="22"/>
          <w:lang w:val="en-US"/>
        </w:rPr>
      </w:pPr>
      <w:r>
        <w:rPr>
          <w:rFonts w:cs="" w:cstheme="minorBidi"/>
          <w:spacing w:val="20"/>
          <w:sz w:val="27"/>
          <w:szCs w:val="22"/>
          <w:lang w:val="en-US"/>
        </w:rPr>
      </w:r>
      <w:r>
        <w:br w:type="page"/>
      </w:r>
    </w:p>
    <w:p>
      <w:pPr>
        <w:pStyle w:val="F21"/>
        <w:overflowPunct w:val="true"/>
        <w:rPr/>
      </w:pPr>
      <w:r>
        <w:rPr/>
        <w:tab/>
      </w:r>
      <w:r>
        <w:rPr/>
        <w:t>一般而言，在我剛才提及的校舍和非校舍方面，其實我們也特別關注到有些物業的位置較為偏遠，因此，當我們檢視時</w:t>
      </w:r>
      <w:r>
        <w:rPr>
          <w:szCs w:val="27"/>
        </w:rPr>
        <w:t>，見到</w:t>
      </w:r>
      <w:r>
        <w:rPr/>
        <w:t>雖然我們由</w:t>
      </w:r>
      <w:r>
        <w:rPr/>
        <w:t>2017</w:t>
      </w:r>
      <w:r>
        <w:rPr/>
        <w:t>年開始已經在網站上列出這些可供使用的土地的資料，但其實也不容易找到合適用家，因為這些土地有部分正如我剛才所說位置偏遠，亦有部分是歷史建築物，所以這些物業在用途或改建方面會有限制，而部分物業則可能較為殘舊。因此，產業署會不時提醒有關部門檢討用途，希望能夠為這些較少使用或較為不容易調配使用的土地尋求其他用途。我們會繼續這方面的工作。</w:t>
      </w:r>
    </w:p>
    <w:p>
      <w:pPr>
        <w:pStyle w:val="F21"/>
        <w:overflowPunct w:val="true"/>
        <w:rPr/>
      </w:pPr>
      <w:r>
        <w:rPr/>
      </w:r>
    </w:p>
    <w:p>
      <w:pPr>
        <w:pStyle w:val="F21"/>
        <w:overflowPunct w:val="true"/>
        <w:rPr/>
      </w:pPr>
      <w:r>
        <w:rPr/>
      </w:r>
    </w:p>
    <w:p>
      <w:pPr>
        <w:pStyle w:val="F21"/>
        <w:overflowPunct w:val="true"/>
        <w:rPr>
          <w:rFonts w:cs="Times New Roman"/>
          <w:i/>
          <w:i/>
        </w:rPr>
      </w:pPr>
      <w:r>
        <w:rPr>
          <w:rFonts w:cs="Times New Roman" w:eastAsia="華康中黑體"/>
          <w:b/>
          <w:szCs w:val="27"/>
        </w:rPr>
        <w:t>陳振英議員</w:t>
      </w:r>
      <w:r>
        <w:rPr>
          <w:rFonts w:cs="Times New Roman"/>
        </w:rPr>
        <w:t>：</w:t>
      </w:r>
      <w:r>
        <w:rPr>
          <w:rFonts w:cs="Times New Roman"/>
          <w:i/>
        </w:rPr>
        <w:t>代理主席，政府的物業由產業署管理，但是，產業署的工作主要是滿足政府內部對辦公室及宿舍的需求，而署方亦在網頁上訂出</w:t>
      </w:r>
      <w:r>
        <w:rPr>
          <w:rFonts w:cs="Times New Roman"/>
          <w:i/>
        </w:rPr>
        <w:t>8</w:t>
      </w:r>
      <w:r>
        <w:rPr>
          <w:rFonts w:cs="Times New Roman"/>
          <w:i/>
        </w:rPr>
        <w:t>項服務承諾指標。可是，這些指標全部與政府內部需求掛鈎。現時，非政府機構已經開始採用短期租約形式租用政府空置物業，包括局長剛才提及的校舍類及非校舍類物業。</w:t>
      </w:r>
    </w:p>
    <w:p>
      <w:pPr>
        <w:pStyle w:val="F21"/>
        <w:overflowPunct w:val="true"/>
        <w:rPr>
          <w:rFonts w:cs="Times New Roman"/>
          <w:i/>
          <w:i/>
        </w:rPr>
      </w:pPr>
      <w:r>
        <w:rPr>
          <w:rFonts w:cs="Times New Roman"/>
          <w:i/>
        </w:rPr>
      </w:r>
    </w:p>
    <w:p>
      <w:pPr>
        <w:pStyle w:val="F21"/>
        <w:overflowPunct w:val="true"/>
        <w:rPr>
          <w:rFonts w:cs="Times New Roman"/>
          <w:i/>
          <w:i/>
        </w:rPr>
      </w:pPr>
      <w:r>
        <w:rPr>
          <w:rFonts w:cs="Times New Roman"/>
          <w:i/>
        </w:rPr>
        <w:tab/>
      </w:r>
      <w:r>
        <w:rPr>
          <w:rFonts w:cs="Times New Roman"/>
          <w:i/>
        </w:rPr>
        <w:t>為配合這個變化，政府會否為產業署制訂部門以外的工作指標，以便它更積極地提供物業給外界使用或提高審批效率，以期更善用這些空置物業？</w:t>
      </w:r>
    </w:p>
    <w:p>
      <w:pPr>
        <w:pStyle w:val="F21"/>
        <w:overflowPunct w:val="true"/>
        <w:rPr>
          <w:rFonts w:eastAsia="華康中黑體" w:cs="Times New Roman"/>
          <w:b/>
          <w:b/>
          <w:szCs w:val="27"/>
        </w:rPr>
      </w:pPr>
      <w:r>
        <w:rPr>
          <w:rFonts w:eastAsia="華康中黑體" w:cs="Times New Roman"/>
          <w:b/>
          <w:szCs w:val="27"/>
        </w:rPr>
      </w:r>
    </w:p>
    <w:p>
      <w:pPr>
        <w:pStyle w:val="F21"/>
        <w:overflowPunct w:val="true"/>
        <w:rPr>
          <w:rFonts w:eastAsia="華康中黑體" w:cs="Times New Roman"/>
          <w:b/>
          <w:b/>
          <w:szCs w:val="27"/>
        </w:rPr>
      </w:pPr>
      <w:r>
        <w:rPr>
          <w:rFonts w:eastAsia="華康中黑體" w:cs="Times New Roman"/>
          <w:b/>
          <w:szCs w:val="27"/>
        </w:rPr>
      </w:r>
    </w:p>
    <w:p>
      <w:pPr>
        <w:pStyle w:val="F21"/>
        <w:overflowPunct w:val="true"/>
        <w:rPr>
          <w:rFonts w:cs="Times New Roman"/>
        </w:rPr>
      </w:pPr>
      <w:r>
        <w:rPr>
          <w:rFonts w:cs="Times New Roman" w:eastAsia="華康中黑體"/>
          <w:b/>
          <w:szCs w:val="27"/>
        </w:rPr>
        <w:t>財經事務及庫務局局長</w:t>
      </w:r>
      <w:r>
        <w:rPr>
          <w:rFonts w:cs="Times New Roman"/>
          <w:szCs w:val="27"/>
        </w:rPr>
        <w:t>：代理</w:t>
      </w:r>
      <w:r>
        <w:rPr>
          <w:rFonts w:cs="Times New Roman"/>
        </w:rPr>
        <w:t>主席，其實在開放空置政府土地方面，地政總署在網頁上已經上載空置土地的資料，供非政府機構或社企以短期租約形式申請租用作社區、團體或非牟利用途。</w:t>
      </w:r>
    </w:p>
    <w:p>
      <w:pPr>
        <w:pStyle w:val="F21"/>
        <w:overflowPunct w:val="true"/>
        <w:rPr>
          <w:rFonts w:cs="Times New Roman"/>
        </w:rPr>
      </w:pPr>
      <w:r>
        <w:rPr>
          <w:rFonts w:cs="Times New Roman"/>
        </w:rPr>
      </w:r>
    </w:p>
    <w:p>
      <w:pPr>
        <w:pStyle w:val="F21"/>
        <w:overflowPunct w:val="true"/>
        <w:rPr>
          <w:rFonts w:cs="Times New Roman"/>
        </w:rPr>
      </w:pPr>
      <w:r>
        <w:rPr>
          <w:rFonts w:cs="Times New Roman"/>
        </w:rPr>
        <w:tab/>
      </w:r>
      <w:r>
        <w:rPr>
          <w:rFonts w:cs="Times New Roman"/>
        </w:rPr>
        <w:t>我今早也瀏覽過網頁，當中有</w:t>
      </w:r>
      <w:r>
        <w:rPr>
          <w:rFonts w:cs="Times New Roman"/>
        </w:rPr>
        <w:t>800</w:t>
      </w:r>
      <w:r>
        <w:rPr>
          <w:rFonts w:cs="Times New Roman"/>
        </w:rPr>
        <w:t>多個物業可供社區、團體或社企租用。至於有關可如何與有關部門更積極地制訂工作指標，令它們可更善用土地的事宜，我們會將這個意見轉給發展局考慮。</w:t>
      </w:r>
    </w:p>
    <w:p>
      <w:pPr>
        <w:pStyle w:val="Normal"/>
        <w:tabs>
          <w:tab w:val="left" w:pos="567" w:leader="none"/>
          <w:tab w:val="left" w:pos="720" w:leader="none"/>
        </w:tabs>
        <w:overflowPunct w:val="true"/>
        <w:rPr>
          <w:spacing w:val="20"/>
          <w:sz w:val="27"/>
        </w:rPr>
      </w:pPr>
      <w:r>
        <w:rPr>
          <w:spacing w:val="20"/>
          <w:sz w:val="27"/>
        </w:rPr>
      </w:r>
    </w:p>
    <w:p>
      <w:pPr>
        <w:pStyle w:val="Normal"/>
        <w:tabs>
          <w:tab w:val="left" w:pos="567" w:leader="none"/>
          <w:tab w:val="left" w:pos="720" w:leader="none"/>
        </w:tabs>
        <w:overflowPunct w:val="true"/>
        <w:rPr>
          <w:spacing w:val="20"/>
          <w:sz w:val="27"/>
        </w:rPr>
      </w:pPr>
      <w:r>
        <w:rPr>
          <w:spacing w:val="20"/>
          <w:sz w:val="27"/>
        </w:rPr>
      </w:r>
    </w:p>
    <w:p>
      <w:pPr>
        <w:pStyle w:val="F21"/>
        <w:overflowPunct w:val="true"/>
        <w:rPr>
          <w:rFonts w:cs="Times New Roman"/>
          <w:i/>
          <w:i/>
        </w:rPr>
      </w:pPr>
      <w:r>
        <w:rPr>
          <w:rFonts w:cs="Times New Roman" w:eastAsia="華康中黑體"/>
          <w:b/>
          <w:szCs w:val="27"/>
        </w:rPr>
        <w:t>柯創盛議員</w:t>
      </w:r>
      <w:r>
        <w:rPr>
          <w:rFonts w:cs="Times New Roman"/>
        </w:rPr>
        <w:t>：</w:t>
      </w:r>
      <w:r>
        <w:rPr>
          <w:rFonts w:cs="Times New Roman"/>
          <w:i/>
        </w:rPr>
        <w:t>代理主席，局長對於由他的同事或他自己準備、供他答覆立法會的主體答覆，真的自我感覺良好。或許他的同事再一次顯示，其實他的答覆真是</w:t>
      </w:r>
      <w:r>
        <w:rPr>
          <w:rFonts w:cs="Times New Roman"/>
          <w:i/>
        </w:rPr>
        <w:t>"</w:t>
      </w:r>
      <w:r>
        <w:rPr>
          <w:rFonts w:cs="Times New Roman"/>
          <w:i/>
        </w:rPr>
        <w:t>堅離地</w:t>
      </w:r>
      <w:r>
        <w:rPr>
          <w:rFonts w:cs="Times New Roman"/>
          <w:i/>
        </w:rPr>
        <w:t>"</w:t>
      </w:r>
      <w:r>
        <w:rPr>
          <w:rFonts w:cs="Times New Roman"/>
          <w:i/>
        </w:rPr>
        <w:t>的。</w:t>
      </w:r>
    </w:p>
    <w:p>
      <w:pPr>
        <w:pStyle w:val="F21"/>
        <w:overflowPunct w:val="true"/>
        <w:rPr>
          <w:rFonts w:cs="Times New Roman"/>
          <w:i/>
          <w:i/>
        </w:rPr>
      </w:pPr>
      <w:r>
        <w:rPr>
          <w:rFonts w:cs="Times New Roman"/>
          <w:i/>
        </w:rPr>
      </w:r>
    </w:p>
    <w:p>
      <w:pPr>
        <w:pStyle w:val="F21"/>
        <w:overflowPunct w:val="true"/>
        <w:rPr>
          <w:i/>
          <w:i/>
        </w:rPr>
      </w:pPr>
      <w:r>
        <w:rPr>
          <w:rFonts w:cs="Times New Roman"/>
          <w:i/>
        </w:rPr>
        <w:tab/>
      </w:r>
      <w:r>
        <w:rPr>
          <w:rFonts w:cs="Times New Roman"/>
          <w:i/>
        </w:rPr>
        <w:t>現時的特區政府真是</w:t>
      </w:r>
      <w:r>
        <w:rPr>
          <w:rFonts w:cs="Times New Roman"/>
          <w:i/>
        </w:rPr>
        <w:t>"</w:t>
      </w:r>
      <w:r>
        <w:rPr>
          <w:rFonts w:cs="Times New Roman"/>
          <w:i/>
        </w:rPr>
        <w:t>大嘥鬼</w:t>
      </w:r>
      <w:r>
        <w:rPr>
          <w:rFonts w:cs="Times New Roman"/>
          <w:i/>
        </w:rPr>
        <w:t>"</w:t>
      </w:r>
      <w:r>
        <w:rPr>
          <w:rFonts w:cs="Times New Roman"/>
          <w:i/>
        </w:rPr>
        <w:t>。文件顯示有</w:t>
      </w:r>
      <w:r>
        <w:rPr>
          <w:rFonts w:cs="Times New Roman"/>
          <w:i/>
        </w:rPr>
        <w:t>26</w:t>
      </w:r>
      <w:r>
        <w:rPr>
          <w:rFonts w:cs="Times New Roman"/>
          <w:i/>
        </w:rPr>
        <w:t>幅來自不同部門、面積超過</w:t>
      </w:r>
      <w:r>
        <w:rPr>
          <w:rFonts w:cs="Times New Roman"/>
          <w:i/>
        </w:rPr>
        <w:t>100</w:t>
      </w:r>
      <w:r>
        <w:rPr>
          <w:rFonts w:cs="Times New Roman"/>
          <w:i/>
        </w:rPr>
        <w:t>平方米的空置土地的空置年期超過</w:t>
      </w:r>
      <w:r>
        <w:rPr>
          <w:rFonts w:cs="Times New Roman"/>
          <w:i/>
        </w:rPr>
        <w:t>10</w:t>
      </w:r>
      <w:r>
        <w:rPr>
          <w:rFonts w:cs="Times New Roman"/>
          <w:i/>
        </w:rPr>
        <w:t>年，這真是難以接受。</w:t>
      </w:r>
      <w:r>
        <w:br w:type="page"/>
      </w:r>
    </w:p>
    <w:p>
      <w:pPr>
        <w:pStyle w:val="F21"/>
        <w:overflowPunct w:val="true"/>
        <w:spacing w:lineRule="atLeast" w:line="350"/>
        <w:rPr>
          <w:rFonts w:cs="Times New Roman"/>
          <w:i/>
          <w:i/>
        </w:rPr>
      </w:pPr>
      <w:r>
        <w:rPr>
          <w:rFonts w:cs="Times New Roman"/>
          <w:i/>
        </w:rPr>
        <w:tab/>
      </w:r>
      <w:r>
        <w:rPr>
          <w:rFonts w:cs="Times New Roman"/>
          <w:i/>
        </w:rPr>
        <w:t>局長，其實我覺得現時最核心的問題，是政府各部門都在</w:t>
      </w:r>
      <w:r>
        <w:rPr>
          <w:rFonts w:cs="Times New Roman"/>
          <w:i/>
        </w:rPr>
        <w:t>"</w:t>
      </w:r>
      <w:r>
        <w:rPr>
          <w:rFonts w:cs="Times New Roman"/>
          <w:i/>
        </w:rPr>
        <w:t>生人霸死地</w:t>
      </w:r>
      <w:r>
        <w:rPr>
          <w:rFonts w:cs="Times New Roman"/>
          <w:i/>
        </w:rPr>
        <w:t>"</w:t>
      </w:r>
      <w:r>
        <w:rPr>
          <w:rFonts w:cs="Times New Roman"/>
          <w:i/>
        </w:rPr>
        <w:t>，在</w:t>
      </w:r>
      <w:r>
        <w:rPr>
          <w:rFonts w:cs="Times New Roman"/>
          <w:i/>
        </w:rPr>
        <w:t>"</w:t>
      </w:r>
      <w:r>
        <w:rPr>
          <w:rFonts w:cs="Times New Roman"/>
          <w:i/>
        </w:rPr>
        <w:t>死霸爛霸</w:t>
      </w:r>
      <w:r>
        <w:rPr>
          <w:rFonts w:cs="Times New Roman"/>
          <w:i/>
        </w:rPr>
        <w:t>"</w:t>
      </w:r>
      <w:r>
        <w:rPr>
          <w:rFonts w:cs="Times New Roman"/>
          <w:i/>
        </w:rPr>
        <w:t>之餘，大家都因為各部門無法協調，以致大家也不以最優先的次序解決這個問題，令問題遲遲未能解決。更可笑的是，局長在主體答覆內說政府會以更積極進取和協調的方式去處理這個問題。</w:t>
      </w:r>
    </w:p>
    <w:p>
      <w:pPr>
        <w:pStyle w:val="F21"/>
        <w:overflowPunct w:val="true"/>
        <w:spacing w:lineRule="atLeast" w:line="350"/>
        <w:rPr>
          <w:rFonts w:cs="Times New Roman"/>
          <w:i/>
          <w:i/>
        </w:rPr>
      </w:pPr>
      <w:r>
        <w:rPr>
          <w:rFonts w:cs="Times New Roman"/>
          <w:i/>
        </w:rPr>
      </w:r>
    </w:p>
    <w:p>
      <w:pPr>
        <w:pStyle w:val="F21"/>
        <w:overflowPunct w:val="true"/>
        <w:spacing w:lineRule="atLeast" w:line="350"/>
        <w:rPr>
          <w:rFonts w:cs="Times New Roman"/>
          <w:i/>
          <w:i/>
        </w:rPr>
      </w:pPr>
      <w:r>
        <w:rPr>
          <w:rFonts w:cs="Times New Roman"/>
          <w:i/>
        </w:rPr>
        <w:tab/>
      </w:r>
      <w:r>
        <w:rPr>
          <w:rFonts w:cs="Times New Roman"/>
          <w:i/>
        </w:rPr>
        <w:t>局長，我想問所謂的</w:t>
      </w:r>
      <w:r>
        <w:rPr>
          <w:rFonts w:cs="Times New Roman"/>
          <w:i/>
        </w:rPr>
        <w:t>"</w:t>
      </w:r>
      <w:r>
        <w:rPr>
          <w:rFonts w:cs="Times New Roman"/>
          <w:i/>
        </w:rPr>
        <w:t>積極進取和協調的方式</w:t>
      </w:r>
      <w:r>
        <w:rPr>
          <w:rFonts w:cs="Times New Roman"/>
          <w:i/>
        </w:rPr>
        <w:t>"</w:t>
      </w:r>
      <w:r>
        <w:rPr>
          <w:rFonts w:cs="Times New Roman"/>
          <w:i/>
        </w:rPr>
        <w:t>是否有甚麼具體的成效指標可向公眾作出交代，以及更好地運用這些空置土地？</w:t>
      </w:r>
    </w:p>
    <w:p>
      <w:pPr>
        <w:pStyle w:val="Normal"/>
        <w:tabs>
          <w:tab w:val="left" w:pos="567" w:leader="none"/>
          <w:tab w:val="left" w:pos="720" w:leader="none"/>
        </w:tabs>
        <w:overflowPunct w:val="true"/>
        <w:spacing w:lineRule="atLeast" w:line="350"/>
        <w:rPr>
          <w:spacing w:val="20"/>
          <w:sz w:val="27"/>
        </w:rPr>
      </w:pPr>
      <w:r>
        <w:rPr>
          <w:spacing w:val="20"/>
          <w:sz w:val="27"/>
        </w:rPr>
      </w:r>
    </w:p>
    <w:p>
      <w:pPr>
        <w:pStyle w:val="Normal"/>
        <w:tabs>
          <w:tab w:val="left" w:pos="567" w:leader="none"/>
          <w:tab w:val="left" w:pos="720" w:leader="none"/>
        </w:tabs>
        <w:overflowPunct w:val="true"/>
        <w:spacing w:lineRule="atLeast" w:line="350"/>
        <w:rPr>
          <w:spacing w:val="20"/>
          <w:sz w:val="27"/>
        </w:rPr>
      </w:pPr>
      <w:r>
        <w:rPr>
          <w:spacing w:val="20"/>
          <w:sz w:val="27"/>
        </w:rPr>
      </w:r>
    </w:p>
    <w:p>
      <w:pPr>
        <w:pStyle w:val="F21"/>
        <w:overflowPunct w:val="true"/>
        <w:spacing w:lineRule="atLeast" w:line="350"/>
        <w:rPr>
          <w:rFonts w:cs="Times New Roman"/>
          <w:szCs w:val="27"/>
        </w:rPr>
      </w:pPr>
      <w:r>
        <w:rPr>
          <w:rFonts w:cs="Times New Roman" w:eastAsia="華康中黑體"/>
          <w:b/>
          <w:szCs w:val="27"/>
        </w:rPr>
        <w:t>財經事務及庫務局局長</w:t>
      </w:r>
      <w:r>
        <w:rPr>
          <w:rFonts w:cs="Times New Roman"/>
          <w:szCs w:val="27"/>
        </w:rPr>
        <w:t>：代理主席，我首先要澄清，我剛才也說過，議員特別關注那些面積超過</w:t>
      </w:r>
      <w:r>
        <w:rPr>
          <w:rFonts w:cs="Times New Roman"/>
          <w:szCs w:val="27"/>
        </w:rPr>
        <w:t>100</w:t>
      </w:r>
      <w:r>
        <w:rPr>
          <w:rFonts w:cs="Times New Roman"/>
          <w:szCs w:val="27"/>
        </w:rPr>
        <w:t>平方米的空置物業，有很多已空置超過</w:t>
      </w:r>
      <w:r>
        <w:rPr>
          <w:rFonts w:cs="Times New Roman"/>
          <w:szCs w:val="27"/>
        </w:rPr>
        <w:t>10</w:t>
      </w:r>
      <w:r>
        <w:rPr>
          <w:rFonts w:cs="Times New Roman"/>
          <w:szCs w:val="27"/>
        </w:rPr>
        <w:t>年或更長時間。其實，在附件二中，我們亦提供了一些資料，當中可以見到有些地方的宿舍項目已在網頁上列出，歡迎非政府機構，甚至其他政府部門申請使用。但是，其實有些地方就在附近，例如花園道</w:t>
      </w:r>
      <w:r>
        <w:rPr>
          <w:rFonts w:cs="Times New Roman"/>
          <w:szCs w:val="27"/>
        </w:rPr>
        <w:t>56</w:t>
      </w:r>
      <w:r>
        <w:rPr>
          <w:rFonts w:cs="Times New Roman"/>
          <w:szCs w:val="27"/>
        </w:rPr>
        <w:t>號對面，就此我也查問過，據說是在交通及出入方面其實不太方便。因此，有些地方，例如在大潭篤、鶴咀半島炮台等長時間空置的物業，其實大部分也歡迎非政府機構申請使用。</w:t>
      </w:r>
    </w:p>
    <w:p>
      <w:pPr>
        <w:pStyle w:val="F21"/>
        <w:overflowPunct w:val="true"/>
        <w:spacing w:lineRule="atLeast" w:line="350"/>
        <w:rPr>
          <w:rFonts w:cs="Times New Roman"/>
          <w:szCs w:val="27"/>
        </w:rPr>
      </w:pPr>
      <w:r>
        <w:rPr>
          <w:rFonts w:cs="Times New Roman"/>
          <w:szCs w:val="27"/>
        </w:rPr>
      </w:r>
    </w:p>
    <w:p>
      <w:pPr>
        <w:pStyle w:val="F21"/>
        <w:overflowPunct w:val="true"/>
        <w:spacing w:lineRule="atLeast" w:line="350"/>
        <w:rPr>
          <w:rFonts w:cs="Times New Roman"/>
          <w:szCs w:val="27"/>
        </w:rPr>
      </w:pPr>
      <w:r>
        <w:rPr>
          <w:rFonts w:cs="Times New Roman"/>
          <w:spacing w:val="24"/>
          <w:szCs w:val="27"/>
        </w:rPr>
        <w:tab/>
      </w:r>
      <w:r>
        <w:rPr>
          <w:rFonts w:cs="Times New Roman"/>
          <w:szCs w:val="27"/>
        </w:rPr>
        <w:t>但是，截至目前，都沒有成功的申請，原因不是我們吝嗇、</w:t>
      </w:r>
      <w:r>
        <w:rPr>
          <w:rFonts w:cs="Times New Roman"/>
          <w:szCs w:val="27"/>
        </w:rPr>
        <w:t>"</w:t>
      </w:r>
      <w:r>
        <w:rPr>
          <w:rFonts w:cs="Times New Roman"/>
          <w:szCs w:val="27"/>
        </w:rPr>
        <w:t>堅離地</w:t>
      </w:r>
      <w:r>
        <w:rPr>
          <w:rFonts w:cs="Times New Roman"/>
          <w:szCs w:val="27"/>
        </w:rPr>
        <w:t>"</w:t>
      </w:r>
      <w:r>
        <w:rPr>
          <w:rFonts w:cs="Times New Roman"/>
          <w:szCs w:val="27"/>
        </w:rPr>
        <w:t>，不肯拿出來供人使用，而是要使用這些地方真的存在困難。其實我也有一些過剩政府物業的例子，詳情我可以後補。</w:t>
      </w:r>
      <w:r>
        <w:rPr>
          <w:rFonts w:cs="Times New Roman"/>
          <w:szCs w:val="27"/>
        </w:rPr>
        <w:t>(</w:t>
      </w:r>
      <w:r>
        <w:rPr>
          <w:rFonts w:cs="Times New Roman"/>
          <w:szCs w:val="27"/>
        </w:rPr>
        <w:t>有‍關‍物‍業‍的‍地點、照片、管理部門及用地特別注意事項請見</w:t>
      </w:r>
      <w:r>
        <w:rPr>
          <w:rFonts w:cs="Times New Roman"/>
          <w:szCs w:val="27"/>
        </w:rPr>
        <w:t>&lt;https://www.gpa.gov.hk/chinese/let/let.html&gt;</w:t>
      </w:r>
      <w:r>
        <w:rPr>
          <w:rFonts w:cs="Times New Roman"/>
          <w:szCs w:val="27"/>
        </w:rPr>
        <w:t>。</w:t>
      </w:r>
      <w:r>
        <w:rPr>
          <w:rFonts w:cs="Times New Roman"/>
          <w:szCs w:val="27"/>
        </w:rPr>
        <w:t>)</w:t>
      </w:r>
      <w:r>
        <w:rPr>
          <w:rStyle w:val="FootnoteAnchor"/>
          <w:szCs w:val="27"/>
        </w:rPr>
        <w:footnoteReference w:id="4"/>
      </w:r>
      <w:r>
        <w:rPr>
          <w:rFonts w:cs="Times New Roman"/>
          <w:szCs w:val="27"/>
        </w:rPr>
        <w:t>我們看到過往有一些過剩政府物業或土地亦曾因為檢討用地而其後用作更正面的用途，例如有些發展為住宅，有些則發展為公屋等。</w:t>
      </w:r>
    </w:p>
    <w:p>
      <w:pPr>
        <w:pStyle w:val="F21"/>
        <w:overflowPunct w:val="true"/>
        <w:spacing w:lineRule="atLeast" w:line="350"/>
        <w:rPr>
          <w:rFonts w:cs="Times New Roman"/>
          <w:szCs w:val="27"/>
        </w:rPr>
      </w:pPr>
      <w:r>
        <w:rPr>
          <w:rFonts w:cs="Times New Roman"/>
          <w:szCs w:val="27"/>
        </w:rPr>
      </w:r>
    </w:p>
    <w:p>
      <w:pPr>
        <w:pStyle w:val="F21"/>
        <w:overflowPunct w:val="true"/>
        <w:spacing w:lineRule="atLeast" w:line="350"/>
        <w:rPr>
          <w:rFonts w:cs="Times New Roman"/>
          <w:szCs w:val="27"/>
        </w:rPr>
      </w:pPr>
      <w:r>
        <w:rPr>
          <w:rFonts w:cs="Times New Roman"/>
          <w:szCs w:val="27"/>
        </w:rPr>
        <w:tab/>
      </w:r>
      <w:r>
        <w:rPr>
          <w:rFonts w:cs="Times New Roman"/>
          <w:szCs w:val="27"/>
        </w:rPr>
        <w:t>至於剛才議員關注到部門檢視善用政府物業的方法，其實，除了財經事務及庫務局會進行檢視外，審計署亦會不時進行衡工量值式審計，包括檢視我們是否有效地運用這些資源。我剛才亦提到，我們亦會主動定期進行這類檢討。其實我們看到政府在本身沒有需要時，實在是把這些地方盡量推出來，供非政府機構及社福機構使用的。</w:t>
      </w:r>
    </w:p>
    <w:p>
      <w:pPr>
        <w:pStyle w:val="F21"/>
        <w:overflowPunct w:val="true"/>
        <w:spacing w:lineRule="atLeast" w:line="350"/>
        <w:rPr>
          <w:rFonts w:cs="Times New Roman"/>
          <w:szCs w:val="27"/>
        </w:rPr>
      </w:pPr>
      <w:r>
        <w:rPr>
          <w:rFonts w:cs="Times New Roman"/>
          <w:szCs w:val="27"/>
        </w:rPr>
      </w:r>
    </w:p>
    <w:p>
      <w:pPr>
        <w:pStyle w:val="F21"/>
        <w:overflowPunct w:val="true"/>
        <w:spacing w:lineRule="atLeast" w:line="350"/>
        <w:rPr>
          <w:szCs w:val="27"/>
        </w:rPr>
      </w:pPr>
      <w:r>
        <w:rPr>
          <w:rFonts w:cs="Times New Roman"/>
          <w:szCs w:val="27"/>
        </w:rPr>
        <w:tab/>
      </w:r>
      <w:r>
        <w:rPr>
          <w:rFonts w:cs="Times New Roman"/>
          <w:szCs w:val="27"/>
        </w:rPr>
        <w:t>正如我剛才解釋，奈何那些土地或設施位於比較偏遠的位置，因此我們只能盡量提供有關資訊及加以鼓勵。我剛才在主體答覆內也指出，我們現時有一個特別基金，獲立法會財務委員會撥款</w:t>
      </w:r>
      <w:r>
        <w:rPr>
          <w:rFonts w:cs="Times New Roman"/>
          <w:szCs w:val="27"/>
        </w:rPr>
        <w:t>10</w:t>
      </w:r>
      <w:r>
        <w:rPr>
          <w:rFonts w:cs="Times New Roman"/>
          <w:szCs w:val="27"/>
        </w:rPr>
        <w:t>億元，這是一項非經常性的承擔，</w:t>
      </w:r>
      <w:r>
        <w:rPr>
          <w:szCs w:val="27"/>
        </w:rPr>
        <w:t>可以幫助一些社福機構或非政府機構，當他們要使用這些土地，而土地本身的情況並不理想時，例如有些土地須進行基本和必需的工程，使土地或校舍可在復修後使用，這些款項便可供進行斜坡加固工程、地盤平整工程等</w:t>
      </w:r>
      <w:r>
        <w:rPr>
          <w:szCs w:val="27"/>
        </w:rPr>
        <w:t>......</w:t>
      </w:r>
    </w:p>
    <w:p>
      <w:pPr>
        <w:pStyle w:val="F21"/>
        <w:overflowPunct w:val="true"/>
        <w:rPr>
          <w:szCs w:val="27"/>
        </w:rPr>
      </w:pPr>
      <w:r>
        <w:rPr>
          <w:szCs w:val="27"/>
        </w:rPr>
      </w:r>
    </w:p>
    <w:p>
      <w:pPr>
        <w:pStyle w:val="F21"/>
        <w:overflowPunct w:val="true"/>
        <w:rPr>
          <w:szCs w:val="27"/>
        </w:rPr>
      </w:pPr>
      <w:r>
        <w:rPr>
          <w:szCs w:val="27"/>
        </w:rPr>
      </w:r>
    </w:p>
    <w:p>
      <w:pPr>
        <w:pStyle w:val="F21"/>
        <w:overflowPunct w:val="true"/>
        <w:rPr>
          <w:szCs w:val="27"/>
        </w:rPr>
      </w:pPr>
      <w:r>
        <w:rPr>
          <w:rFonts w:ascii="華康中黑體" w:hAnsi="華康中黑體" w:eastAsia="華康中黑體"/>
          <w:b/>
          <w:szCs w:val="27"/>
        </w:rPr>
        <w:t>代理主席</w:t>
      </w:r>
      <w:r>
        <w:rPr>
          <w:szCs w:val="27"/>
        </w:rPr>
        <w:t>：局長，請稍停。</w:t>
      </w:r>
    </w:p>
    <w:p>
      <w:pPr>
        <w:pStyle w:val="F21"/>
        <w:overflowPunct w:val="true"/>
        <w:rPr>
          <w:szCs w:val="27"/>
        </w:rPr>
      </w:pPr>
      <w:r>
        <w:rPr>
          <w:szCs w:val="27"/>
        </w:rPr>
      </w:r>
    </w:p>
    <w:p>
      <w:pPr>
        <w:pStyle w:val="F21"/>
        <w:overflowPunct w:val="true"/>
        <w:rPr>
          <w:szCs w:val="27"/>
        </w:rPr>
      </w:pPr>
      <w:r>
        <w:rPr>
          <w:szCs w:val="27"/>
        </w:rPr>
      </w:r>
    </w:p>
    <w:p>
      <w:pPr>
        <w:pStyle w:val="F21"/>
        <w:overflowPunct w:val="true"/>
        <w:rPr>
          <w:szCs w:val="27"/>
        </w:rPr>
      </w:pPr>
      <w:r>
        <w:rPr>
          <w:rFonts w:ascii="華康中黑體" w:hAnsi="華康中黑體" w:eastAsia="華康中黑體"/>
          <w:b/>
          <w:szCs w:val="27"/>
        </w:rPr>
        <w:t>柯創盛議員</w:t>
      </w:r>
      <w:r>
        <w:rPr>
          <w:szCs w:val="27"/>
        </w:rPr>
        <w:t>：</w:t>
      </w:r>
      <w:r>
        <w:rPr>
          <w:i/>
          <w:szCs w:val="27"/>
        </w:rPr>
        <w:t>代理主席，局長說了</w:t>
      </w:r>
      <w:r>
        <w:rPr>
          <w:i/>
          <w:szCs w:val="27"/>
        </w:rPr>
        <w:t>4</w:t>
      </w:r>
      <w:r>
        <w:rPr>
          <w:i/>
          <w:szCs w:val="27"/>
        </w:rPr>
        <w:t>分鐘，卻完全沒有回答我的補充質詢。</w:t>
      </w:r>
    </w:p>
    <w:p>
      <w:pPr>
        <w:pStyle w:val="F21"/>
        <w:overflowPunct w:val="true"/>
        <w:rPr>
          <w:szCs w:val="27"/>
        </w:rPr>
      </w:pPr>
      <w:r>
        <w:rPr>
          <w:szCs w:val="27"/>
        </w:rPr>
      </w:r>
    </w:p>
    <w:p>
      <w:pPr>
        <w:pStyle w:val="F21"/>
        <w:overflowPunct w:val="true"/>
        <w:rPr>
          <w:szCs w:val="27"/>
        </w:rPr>
      </w:pPr>
      <w:r>
        <w:rPr>
          <w:szCs w:val="27"/>
        </w:rPr>
      </w:r>
    </w:p>
    <w:p>
      <w:pPr>
        <w:pStyle w:val="F21"/>
        <w:overflowPunct w:val="true"/>
        <w:rPr>
          <w:szCs w:val="27"/>
        </w:rPr>
      </w:pPr>
      <w:r>
        <w:rPr>
          <w:rFonts w:ascii="華康中黑體" w:hAnsi="華康中黑體" w:eastAsia="華康中黑體"/>
          <w:b/>
          <w:szCs w:val="27"/>
        </w:rPr>
        <w:t>代理主席</w:t>
      </w:r>
      <w:r>
        <w:rPr>
          <w:szCs w:val="27"/>
        </w:rPr>
        <w:t>：柯創盛議員，你的補充質詢哪部分未獲答覆？</w:t>
      </w:r>
    </w:p>
    <w:p>
      <w:pPr>
        <w:pStyle w:val="F21"/>
        <w:overflowPunct w:val="true"/>
        <w:rPr>
          <w:szCs w:val="27"/>
        </w:rPr>
      </w:pPr>
      <w:r>
        <w:rPr>
          <w:szCs w:val="27"/>
        </w:rPr>
      </w:r>
    </w:p>
    <w:p>
      <w:pPr>
        <w:pStyle w:val="F21"/>
        <w:overflowPunct w:val="true"/>
        <w:rPr>
          <w:szCs w:val="27"/>
        </w:rPr>
      </w:pPr>
      <w:r>
        <w:rPr>
          <w:szCs w:val="27"/>
        </w:rPr>
      </w:r>
    </w:p>
    <w:p>
      <w:pPr>
        <w:pStyle w:val="F21"/>
        <w:overflowPunct w:val="true"/>
        <w:rPr>
          <w:i/>
          <w:i/>
          <w:szCs w:val="27"/>
        </w:rPr>
      </w:pPr>
      <w:r>
        <w:rPr>
          <w:rFonts w:ascii="華康中黑體" w:hAnsi="華康中黑體" w:cs="華康中黑體" w:eastAsia="華康中黑體"/>
          <w:b/>
          <w:szCs w:val="27"/>
        </w:rPr>
        <w:t>柯創盛議員</w:t>
      </w:r>
      <w:r>
        <w:rPr>
          <w:szCs w:val="27"/>
        </w:rPr>
        <w:t>：</w:t>
      </w:r>
      <w:r>
        <w:rPr>
          <w:i/>
          <w:szCs w:val="27"/>
        </w:rPr>
        <w:t>他完全沒有回答如何簡化程序和指引。</w:t>
      </w:r>
    </w:p>
    <w:p>
      <w:pPr>
        <w:pStyle w:val="F21"/>
        <w:overflowPunct w:val="true"/>
        <w:rPr>
          <w:szCs w:val="27"/>
        </w:rPr>
      </w:pPr>
      <w:r>
        <w:rPr>
          <w:szCs w:val="27"/>
        </w:rPr>
      </w:r>
    </w:p>
    <w:p>
      <w:pPr>
        <w:pStyle w:val="F21"/>
        <w:overflowPunct w:val="true"/>
        <w:rPr>
          <w:szCs w:val="27"/>
        </w:rPr>
      </w:pPr>
      <w:r>
        <w:rPr>
          <w:szCs w:val="27"/>
        </w:rPr>
      </w:r>
    </w:p>
    <w:p>
      <w:pPr>
        <w:pStyle w:val="F21"/>
        <w:overflowPunct w:val="true"/>
        <w:rPr>
          <w:szCs w:val="27"/>
        </w:rPr>
      </w:pPr>
      <w:r>
        <w:rPr>
          <w:rFonts w:ascii="華康中黑體" w:hAnsi="華康中黑體" w:cs="華康中黑體" w:eastAsia="華康中黑體"/>
          <w:b/>
          <w:szCs w:val="27"/>
        </w:rPr>
        <w:t>代理主席</w:t>
      </w:r>
      <w:r>
        <w:rPr>
          <w:szCs w:val="27"/>
        </w:rPr>
        <w:t>：柯議員，你已指出你的補充質詢未獲答覆的部分。局長，你有否補充？請簡短作答，因為尚有</w:t>
      </w:r>
      <w:r>
        <w:rPr>
          <w:szCs w:val="27"/>
        </w:rPr>
        <w:t>3</w:t>
      </w:r>
      <w:r>
        <w:rPr>
          <w:szCs w:val="27"/>
        </w:rPr>
        <w:t>位議員輪候提問。</w:t>
      </w:r>
    </w:p>
    <w:p>
      <w:pPr>
        <w:pStyle w:val="F21"/>
        <w:overflowPunct w:val="true"/>
        <w:rPr>
          <w:szCs w:val="27"/>
        </w:rPr>
      </w:pPr>
      <w:r>
        <w:rPr>
          <w:szCs w:val="27"/>
        </w:rPr>
      </w:r>
    </w:p>
    <w:p>
      <w:pPr>
        <w:pStyle w:val="F21"/>
        <w:overflowPunct w:val="true"/>
        <w:rPr>
          <w:szCs w:val="27"/>
        </w:rPr>
      </w:pPr>
      <w:r>
        <w:rPr>
          <w:szCs w:val="27"/>
        </w:rPr>
      </w:r>
    </w:p>
    <w:p>
      <w:pPr>
        <w:pStyle w:val="F21"/>
        <w:overflowPunct w:val="true"/>
        <w:rPr>
          <w:szCs w:val="27"/>
        </w:rPr>
      </w:pPr>
      <w:r>
        <w:rPr>
          <w:rFonts w:ascii="華康中黑體" w:hAnsi="華康中黑體" w:cs="華康中黑體" w:eastAsia="華康中黑體"/>
          <w:b/>
          <w:szCs w:val="27"/>
        </w:rPr>
        <w:t>財經事務及庫務局局長</w:t>
      </w:r>
      <w:r>
        <w:rPr>
          <w:szCs w:val="27"/>
        </w:rPr>
        <w:t>：我相信議員是因為聽到我的答覆後感到不滿意，才認為我沒有回答。其實，我剛才是告訴他，因為各部門有就物業使用定期進行檢討，並與非政府機構聯繫及向它們提供這些資料，因此，這不是簡化措施的問題，而是我們有這些資訊，而申請程序也並不困難，所以，我們並非自我感覺良好，代理主席，而是我覺得我們正在做應該做的事。如果有機構認為我們的程序有改善空間，歡迎與我們聯繫，讓我們知道如何向它們提供資料。</w:t>
      </w:r>
    </w:p>
    <w:p>
      <w:pPr>
        <w:pStyle w:val="F21"/>
        <w:overflowPunct w:val="true"/>
        <w:rPr>
          <w:szCs w:val="27"/>
        </w:rPr>
      </w:pPr>
      <w:r>
        <w:rPr>
          <w:szCs w:val="27"/>
        </w:rPr>
      </w:r>
    </w:p>
    <w:p>
      <w:pPr>
        <w:pStyle w:val="F21"/>
        <w:overflowPunct w:val="true"/>
        <w:rPr>
          <w:szCs w:val="27"/>
        </w:rPr>
      </w:pPr>
      <w:r>
        <w:rPr>
          <w:szCs w:val="27"/>
        </w:rPr>
      </w:r>
    </w:p>
    <w:p>
      <w:pPr>
        <w:pStyle w:val="F21"/>
        <w:overflowPunct w:val="true"/>
        <w:rPr>
          <w:i/>
          <w:i/>
          <w:szCs w:val="27"/>
        </w:rPr>
      </w:pPr>
      <w:r>
        <w:rPr>
          <w:rFonts w:ascii="華康中黑體" w:hAnsi="華康中黑體" w:cs="華康中黑體" w:eastAsia="華康中黑體"/>
          <w:b/>
          <w:szCs w:val="27"/>
        </w:rPr>
        <w:t>盧偉國議員</w:t>
      </w:r>
      <w:r>
        <w:rPr>
          <w:szCs w:val="27"/>
        </w:rPr>
        <w:t>：</w:t>
      </w:r>
      <w:r>
        <w:rPr>
          <w:i/>
          <w:szCs w:val="27"/>
        </w:rPr>
        <w:t>代理主席，現時一手樓宇在取得</w:t>
      </w:r>
      <w:r>
        <w:rPr>
          <w:i/>
          <w:szCs w:val="27"/>
        </w:rPr>
        <w:t>"</w:t>
      </w:r>
      <w:r>
        <w:rPr>
          <w:i/>
          <w:szCs w:val="27"/>
        </w:rPr>
        <w:t>入伙紙</w:t>
      </w:r>
      <w:r>
        <w:rPr>
          <w:i/>
          <w:szCs w:val="27"/>
        </w:rPr>
        <w:t>"12</w:t>
      </w:r>
      <w:r>
        <w:rPr>
          <w:i/>
          <w:szCs w:val="27"/>
        </w:rPr>
        <w:t>個月後仍未出售或出租，便須繳交空置稅。但是，局長剛才多番解釋，他在政府閒置物業和土地方面已經相當盡力，即使閒置多年，他仍然若無其事。我想問局長，政府會否考慮也向空置了</w:t>
      </w:r>
      <w:r>
        <w:rPr>
          <w:i/>
          <w:szCs w:val="27"/>
        </w:rPr>
        <w:t>12</w:t>
      </w:r>
      <w:r>
        <w:rPr>
          <w:i/>
          <w:szCs w:val="27"/>
        </w:rPr>
        <w:t>個月以上的政府物業徵收空置稅呢？</w:t>
      </w:r>
    </w:p>
    <w:p>
      <w:pPr>
        <w:pStyle w:val="Normal"/>
        <w:widowControl/>
        <w:tabs>
          <w:tab w:val="clear" w:pos="720"/>
        </w:tabs>
        <w:snapToGrid w:val="true"/>
        <w:spacing w:lineRule="auto" w:line="276" w:before="0" w:after="200"/>
        <w:jc w:val="left"/>
        <w:rPr>
          <w:rFonts w:cs="" w:cstheme="minorBidi"/>
          <w:i/>
          <w:i/>
          <w:spacing w:val="20"/>
          <w:sz w:val="27"/>
          <w:szCs w:val="27"/>
          <w:lang w:val="en-US"/>
        </w:rPr>
      </w:pPr>
      <w:r>
        <w:rPr>
          <w:rFonts w:cs="" w:cstheme="minorBidi"/>
          <w:i/>
          <w:spacing w:val="20"/>
          <w:sz w:val="27"/>
          <w:szCs w:val="27"/>
          <w:lang w:val="en-US"/>
        </w:rPr>
      </w:r>
      <w:r>
        <w:br w:type="page"/>
      </w:r>
    </w:p>
    <w:p>
      <w:pPr>
        <w:pStyle w:val="F21"/>
        <w:overflowPunct w:val="true"/>
        <w:spacing w:lineRule="atLeast" w:line="390"/>
        <w:rPr>
          <w:szCs w:val="27"/>
        </w:rPr>
      </w:pPr>
      <w:r>
        <w:rPr>
          <w:rFonts w:ascii="華康中黑體" w:hAnsi="華康中黑體" w:cs="華康中黑體" w:eastAsia="華康中黑體"/>
          <w:b/>
          <w:szCs w:val="27"/>
        </w:rPr>
        <w:t>財經事務及庫務局局長</w:t>
      </w:r>
      <w:r>
        <w:rPr>
          <w:szCs w:val="27"/>
        </w:rPr>
        <w:t>：代理主席，我可以提供一些詳細資料，但是，議員關注到向一些長時間空置的政府物業徵收空置稅的事宜，讓我舉一個例子解釋。前旺角街市丟空了</w:t>
      </w:r>
      <w:r>
        <w:rPr>
          <w:szCs w:val="27"/>
        </w:rPr>
        <w:t>7</w:t>
      </w:r>
      <w:r>
        <w:rPr>
          <w:szCs w:val="27"/>
        </w:rPr>
        <w:t>年，為何會丟空</w:t>
      </w:r>
      <w:r>
        <w:rPr>
          <w:szCs w:val="27"/>
        </w:rPr>
        <w:t>7</w:t>
      </w:r>
      <w:r>
        <w:rPr>
          <w:szCs w:val="27"/>
        </w:rPr>
        <w:t>年呢？因為在</w:t>
      </w:r>
      <w:r>
        <w:rPr>
          <w:szCs w:val="27"/>
        </w:rPr>
        <w:t>2011</w:t>
      </w:r>
      <w:r>
        <w:rPr>
          <w:szCs w:val="27"/>
        </w:rPr>
        <w:t>年就旺角分區計劃大綱草圖有人申請司法覆核，剛剛在</w:t>
      </w:r>
      <w:r>
        <w:rPr>
          <w:szCs w:val="27"/>
        </w:rPr>
        <w:t>2018</w:t>
      </w:r>
      <w:r>
        <w:rPr>
          <w:szCs w:val="27"/>
        </w:rPr>
        <w:t>年才結束司法覆核的程序。這是一個例子，而這類情況其實不少，現時我們已經把該幅用地加入</w:t>
      </w:r>
      <w:r>
        <w:rPr>
          <w:szCs w:val="27"/>
        </w:rPr>
        <w:t>2019-2020</w:t>
      </w:r>
      <w:r>
        <w:rPr>
          <w:szCs w:val="27"/>
        </w:rPr>
        <w:t>年度的賣地計劃當中。所以，政府並非有計劃地囤積土地或不讓他人使用，而是盡量在可行情況下，騰出用地作其他公共用途、開放予非政府機構使用或出售。</w:t>
      </w:r>
    </w:p>
    <w:p>
      <w:pPr>
        <w:pStyle w:val="F21"/>
        <w:overflowPunct w:val="true"/>
        <w:spacing w:lineRule="atLeast" w:line="390"/>
        <w:rPr>
          <w:szCs w:val="27"/>
        </w:rPr>
      </w:pPr>
      <w:r>
        <w:rPr>
          <w:szCs w:val="27"/>
        </w:rPr>
      </w:r>
    </w:p>
    <w:p>
      <w:pPr>
        <w:pStyle w:val="F21"/>
        <w:overflowPunct w:val="true"/>
        <w:spacing w:lineRule="atLeast" w:line="390"/>
        <w:rPr>
          <w:szCs w:val="27"/>
        </w:rPr>
      </w:pPr>
      <w:r>
        <w:rPr>
          <w:szCs w:val="27"/>
        </w:rPr>
      </w:r>
    </w:p>
    <w:p>
      <w:pPr>
        <w:pStyle w:val="F21"/>
        <w:overflowPunct w:val="true"/>
        <w:spacing w:lineRule="atLeast" w:line="390"/>
        <w:rPr>
          <w:szCs w:val="27"/>
        </w:rPr>
      </w:pPr>
      <w:r>
        <w:rPr>
          <w:rFonts w:ascii="華康中黑體" w:hAnsi="華康中黑體" w:cs="華康中黑體" w:eastAsia="華康中黑體"/>
          <w:b/>
          <w:szCs w:val="27"/>
        </w:rPr>
        <w:t>代理主席</w:t>
      </w:r>
      <w:r>
        <w:rPr>
          <w:szCs w:val="27"/>
        </w:rPr>
        <w:t>：盧偉國議員，你的補充質詢哪部分未獲答覆？</w:t>
      </w:r>
    </w:p>
    <w:p>
      <w:pPr>
        <w:pStyle w:val="F21"/>
        <w:overflowPunct w:val="true"/>
        <w:spacing w:lineRule="atLeast" w:line="390"/>
        <w:rPr>
          <w:szCs w:val="27"/>
        </w:rPr>
      </w:pPr>
      <w:r>
        <w:rPr>
          <w:szCs w:val="27"/>
        </w:rPr>
      </w:r>
    </w:p>
    <w:p>
      <w:pPr>
        <w:pStyle w:val="F21"/>
        <w:overflowPunct w:val="true"/>
        <w:spacing w:lineRule="atLeast" w:line="390"/>
        <w:rPr>
          <w:szCs w:val="27"/>
        </w:rPr>
      </w:pPr>
      <w:r>
        <w:rPr>
          <w:szCs w:val="27"/>
        </w:rPr>
      </w:r>
    </w:p>
    <w:p>
      <w:pPr>
        <w:pStyle w:val="F21"/>
        <w:overflowPunct w:val="true"/>
        <w:spacing w:lineRule="atLeast" w:line="390"/>
        <w:rPr>
          <w:szCs w:val="27"/>
        </w:rPr>
      </w:pPr>
      <w:r>
        <w:rPr>
          <w:rFonts w:ascii="華康中黑體" w:hAnsi="華康中黑體" w:cs="華康中黑體" w:eastAsia="華康中黑體"/>
          <w:b/>
          <w:szCs w:val="27"/>
        </w:rPr>
        <w:t>盧偉國議員</w:t>
      </w:r>
      <w:r>
        <w:rPr>
          <w:szCs w:val="27"/>
        </w:rPr>
        <w:t>：</w:t>
      </w:r>
      <w:r>
        <w:rPr>
          <w:i/>
          <w:szCs w:val="27"/>
        </w:rPr>
        <w:t>因為空置稅是在</w:t>
      </w:r>
      <w:r>
        <w:rPr>
          <w:i/>
          <w:szCs w:val="27"/>
        </w:rPr>
        <w:t>12</w:t>
      </w:r>
      <w:r>
        <w:rPr>
          <w:i/>
          <w:szCs w:val="27"/>
        </w:rPr>
        <w:t>個月內，無論發展商如何努力嘗試出售或出租，只要不成功便須繳付的，所以局長剛才列舉的例子是不貼切的。</w:t>
      </w:r>
    </w:p>
    <w:p>
      <w:pPr>
        <w:pStyle w:val="F21"/>
        <w:overflowPunct w:val="true"/>
        <w:spacing w:lineRule="atLeast" w:line="390"/>
        <w:rPr>
          <w:szCs w:val="27"/>
        </w:rPr>
      </w:pPr>
      <w:r>
        <w:rPr>
          <w:szCs w:val="27"/>
        </w:rPr>
      </w:r>
    </w:p>
    <w:p>
      <w:pPr>
        <w:pStyle w:val="F21"/>
        <w:overflowPunct w:val="true"/>
        <w:spacing w:lineRule="atLeast" w:line="390"/>
        <w:rPr>
          <w:szCs w:val="27"/>
        </w:rPr>
      </w:pPr>
      <w:r>
        <w:rPr>
          <w:szCs w:val="27"/>
        </w:rPr>
      </w:r>
    </w:p>
    <w:p>
      <w:pPr>
        <w:pStyle w:val="F21"/>
        <w:overflowPunct w:val="true"/>
        <w:spacing w:lineRule="atLeast" w:line="390"/>
        <w:rPr>
          <w:szCs w:val="27"/>
        </w:rPr>
      </w:pPr>
      <w:r>
        <w:rPr>
          <w:rFonts w:ascii="華康中黑體" w:hAnsi="華康中黑體" w:eastAsia="華康中黑體"/>
          <w:b/>
          <w:szCs w:val="27"/>
        </w:rPr>
        <w:t>代理主席</w:t>
      </w:r>
      <w:r>
        <w:rPr>
          <w:szCs w:val="27"/>
        </w:rPr>
        <w:t>：盧議員，你已清楚表達立場，但立法會尚未審議相關法例。且看局長有否補充。</w:t>
      </w:r>
    </w:p>
    <w:p>
      <w:pPr>
        <w:pStyle w:val="F21"/>
        <w:overflowPunct w:val="true"/>
        <w:spacing w:lineRule="atLeast" w:line="390"/>
        <w:rPr>
          <w:szCs w:val="27"/>
        </w:rPr>
      </w:pPr>
      <w:r>
        <w:rPr>
          <w:szCs w:val="27"/>
        </w:rPr>
      </w:r>
    </w:p>
    <w:p>
      <w:pPr>
        <w:pStyle w:val="F21"/>
        <w:overflowPunct w:val="true"/>
        <w:spacing w:lineRule="atLeast" w:line="390"/>
        <w:rPr>
          <w:szCs w:val="27"/>
        </w:rPr>
      </w:pPr>
      <w:r>
        <w:rPr>
          <w:szCs w:val="27"/>
        </w:rPr>
      </w:r>
    </w:p>
    <w:p>
      <w:pPr>
        <w:pStyle w:val="F21"/>
        <w:overflowPunct w:val="true"/>
        <w:spacing w:lineRule="atLeast" w:line="390"/>
        <w:rPr>
          <w:szCs w:val="27"/>
        </w:rPr>
      </w:pPr>
      <w:r>
        <w:rPr>
          <w:rFonts w:ascii="華康中黑體" w:hAnsi="華康中黑體" w:eastAsia="華康中黑體"/>
          <w:b/>
          <w:szCs w:val="27"/>
        </w:rPr>
        <w:t>盧偉國議員</w:t>
      </w:r>
      <w:r>
        <w:rPr>
          <w:szCs w:val="27"/>
        </w:rPr>
        <w:t>：</w:t>
      </w:r>
      <w:r>
        <w:rPr>
          <w:i/>
          <w:szCs w:val="27"/>
        </w:rPr>
        <w:t>代理主席，局長沒有回答會否考慮徵收空置稅。</w:t>
      </w:r>
    </w:p>
    <w:p>
      <w:pPr>
        <w:pStyle w:val="F21"/>
        <w:overflowPunct w:val="true"/>
        <w:spacing w:lineRule="atLeast" w:line="390"/>
        <w:rPr>
          <w:szCs w:val="27"/>
        </w:rPr>
      </w:pPr>
      <w:r>
        <w:rPr>
          <w:szCs w:val="27"/>
        </w:rPr>
      </w:r>
    </w:p>
    <w:p>
      <w:pPr>
        <w:pStyle w:val="F21"/>
        <w:overflowPunct w:val="true"/>
        <w:spacing w:lineRule="atLeast" w:line="390"/>
        <w:rPr>
          <w:szCs w:val="27"/>
        </w:rPr>
      </w:pPr>
      <w:r>
        <w:rPr>
          <w:szCs w:val="27"/>
        </w:rPr>
      </w:r>
    </w:p>
    <w:p>
      <w:pPr>
        <w:pStyle w:val="F21"/>
        <w:overflowPunct w:val="true"/>
        <w:spacing w:lineRule="atLeast" w:line="390"/>
        <w:rPr>
          <w:szCs w:val="27"/>
        </w:rPr>
      </w:pPr>
      <w:r>
        <w:rPr>
          <w:rFonts w:ascii="華康中黑體" w:hAnsi="華康中黑體" w:eastAsia="華康中黑體"/>
          <w:b/>
          <w:szCs w:val="27"/>
        </w:rPr>
        <w:t>代理主席</w:t>
      </w:r>
      <w:r>
        <w:rPr>
          <w:szCs w:val="27"/>
        </w:rPr>
        <w:t>：局長，你有否補充？</w:t>
      </w:r>
    </w:p>
    <w:p>
      <w:pPr>
        <w:pStyle w:val="F21"/>
        <w:overflowPunct w:val="true"/>
        <w:spacing w:lineRule="atLeast" w:line="390"/>
        <w:rPr>
          <w:szCs w:val="27"/>
        </w:rPr>
      </w:pPr>
      <w:r>
        <w:rPr>
          <w:szCs w:val="27"/>
        </w:rPr>
      </w:r>
    </w:p>
    <w:p>
      <w:pPr>
        <w:pStyle w:val="F21"/>
        <w:overflowPunct w:val="true"/>
        <w:spacing w:lineRule="atLeast" w:line="390"/>
        <w:rPr>
          <w:szCs w:val="27"/>
        </w:rPr>
      </w:pPr>
      <w:r>
        <w:rPr>
          <w:szCs w:val="27"/>
        </w:rPr>
      </w:r>
    </w:p>
    <w:p>
      <w:pPr>
        <w:pStyle w:val="F21"/>
        <w:overflowPunct w:val="true"/>
        <w:spacing w:lineRule="atLeast" w:line="390"/>
        <w:rPr>
          <w:szCs w:val="27"/>
        </w:rPr>
      </w:pPr>
      <w:r>
        <w:rPr>
          <w:rFonts w:ascii="華康中黑體" w:hAnsi="華康中黑體" w:cs="華康中黑體" w:eastAsia="華康中黑體"/>
          <w:b/>
          <w:szCs w:val="27"/>
        </w:rPr>
        <w:t>財經事務及庫務局局長</w:t>
      </w:r>
      <w:r>
        <w:rPr>
          <w:szCs w:val="27"/>
        </w:rPr>
        <w:t>：代理主席，空置稅的用途並非針對這方面，因此不適合。</w:t>
      </w:r>
    </w:p>
    <w:p>
      <w:pPr>
        <w:pStyle w:val="F21"/>
        <w:overflowPunct w:val="true"/>
        <w:spacing w:lineRule="atLeast" w:line="390"/>
        <w:rPr>
          <w:szCs w:val="27"/>
        </w:rPr>
      </w:pPr>
      <w:r>
        <w:rPr>
          <w:szCs w:val="27"/>
        </w:rPr>
      </w:r>
    </w:p>
    <w:p>
      <w:pPr>
        <w:pStyle w:val="F21"/>
        <w:overflowPunct w:val="true"/>
        <w:spacing w:lineRule="atLeast" w:line="390"/>
        <w:rPr>
          <w:szCs w:val="27"/>
        </w:rPr>
      </w:pPr>
      <w:r>
        <w:rPr>
          <w:szCs w:val="27"/>
        </w:rPr>
      </w:r>
    </w:p>
    <w:p>
      <w:pPr>
        <w:pStyle w:val="F21"/>
        <w:overflowPunct w:val="true"/>
        <w:spacing w:lineRule="atLeast" w:line="390"/>
        <w:rPr>
          <w:rFonts w:cs="Times New Roman"/>
        </w:rPr>
      </w:pPr>
      <w:r>
        <w:rPr>
          <w:rFonts w:ascii="華康中黑體" w:hAnsi="華康中黑體" w:cs="華康中黑體" w:eastAsia="華康中黑體"/>
          <w:b/>
          <w:szCs w:val="27"/>
        </w:rPr>
        <w:t>代理主席</w:t>
      </w:r>
      <w:r>
        <w:rPr>
          <w:szCs w:val="27"/>
        </w:rPr>
        <w:t>：</w:t>
      </w:r>
      <w:r>
        <w:rPr>
          <w:rFonts w:cs="Times New Roman"/>
        </w:rPr>
        <w:t>最後一項口頭質詢。</w:t>
      </w:r>
    </w:p>
    <w:p>
      <w:pPr>
        <w:pStyle w:val="Normal"/>
        <w:widowControl/>
        <w:tabs>
          <w:tab w:val="clear" w:pos="720"/>
        </w:tabs>
        <w:snapToGrid w:val="true"/>
        <w:spacing w:lineRule="auto" w:line="276" w:before="0" w:after="200"/>
        <w:jc w:val="left"/>
        <w:rPr/>
      </w:pPr>
      <w:r>
        <w:rPr/>
      </w:r>
      <w:r>
        <w:br w:type="page"/>
      </w:r>
    </w:p>
    <w:p>
      <w:pPr>
        <w:pStyle w:val="F21"/>
        <w:overflowPunct w:val="true"/>
        <w:rPr>
          <w:rFonts w:eastAsia="華康中黑體" w:cs="Times New Roman"/>
          <w:b/>
          <w:b/>
        </w:rPr>
      </w:pPr>
      <w:bookmarkStart w:id="22" w:name="orq06"/>
      <w:r>
        <w:rPr>
          <w:rFonts w:cs="Times New Roman" w:eastAsia="華康中黑體"/>
          <w:b/>
        </w:rPr>
        <w:t>舊區重建</w:t>
      </w:r>
    </w:p>
    <w:p>
      <w:pPr>
        <w:pStyle w:val="Normal"/>
        <w:overflowPunct w:val="true"/>
        <w:rPr>
          <w:b/>
          <w:b/>
        </w:rPr>
      </w:pPr>
      <w:bookmarkStart w:id="23" w:name="orq06"/>
      <w:r>
        <w:rPr>
          <w:b/>
        </w:rPr>
        <w:t>Redevelopment of old areas</w:t>
      </w:r>
      <w:bookmarkEnd w:id="23"/>
    </w:p>
    <w:p>
      <w:pPr>
        <w:pStyle w:val="F21"/>
        <w:overflowPunct w:val="true"/>
        <w:rPr>
          <w:rFonts w:cs="Times New Roman"/>
        </w:rPr>
      </w:pPr>
      <w:r>
        <w:rPr>
          <w:rFonts w:cs="Times New Roman"/>
        </w:rPr>
      </w:r>
    </w:p>
    <w:p>
      <w:pPr>
        <w:pStyle w:val="F21"/>
        <w:rPr>
          <w:i/>
          <w:i/>
          <w:szCs w:val="27"/>
        </w:rPr>
      </w:pPr>
      <w:r>
        <w:rPr>
          <w:rFonts w:eastAsia="華康中黑體" w:cs="Times New Roman"/>
          <w:b/>
          <w:szCs w:val="27"/>
        </w:rPr>
        <w:t>6.</w:t>
        <w:tab/>
      </w:r>
      <w:r>
        <w:rPr>
          <w:rFonts w:cs="Times New Roman" w:eastAsia="華康中黑體"/>
          <w:b/>
          <w:szCs w:val="27"/>
        </w:rPr>
        <w:t>陳恒鑌議員</w:t>
      </w:r>
      <w:r>
        <w:rPr>
          <w:szCs w:val="27"/>
        </w:rPr>
        <w:t>：</w:t>
      </w:r>
      <w:r>
        <w:rPr>
          <w:i/>
          <w:szCs w:val="27"/>
        </w:rPr>
        <w:t>代理主席，據悉，有不少新界舊區</w:t>
      </w:r>
      <w:r>
        <w:rPr>
          <w:i/>
          <w:szCs w:val="27"/>
        </w:rPr>
        <w:t>(</w:t>
      </w:r>
      <w:r>
        <w:rPr>
          <w:i/>
          <w:szCs w:val="27"/>
        </w:rPr>
        <w:t>例如荃灣</w:t>
      </w:r>
      <w:r>
        <w:rPr>
          <w:i/>
          <w:szCs w:val="27"/>
        </w:rPr>
        <w:t>)</w:t>
      </w:r>
      <w:r>
        <w:rPr>
          <w:i/>
          <w:szCs w:val="27"/>
        </w:rPr>
        <w:t>屬早期發展的衞星城市，區內有很多樓宇的樓齡超過</w:t>
      </w:r>
      <w:r>
        <w:rPr>
          <w:i/>
          <w:szCs w:val="27"/>
        </w:rPr>
        <w:t>50</w:t>
      </w:r>
      <w:r>
        <w:rPr>
          <w:i/>
          <w:szCs w:val="27"/>
        </w:rPr>
        <w:t>年，更有不少懷疑曾使用鹹水興建的樓宇嚴重失修。由於有關用地的地積比率已用盡，該等樓宇欠缺重建潛力，樓宇狀況只會越來越差。就此，政府可否告知本會：</w:t>
      </w:r>
    </w:p>
    <w:p>
      <w:pPr>
        <w:pStyle w:val="F21"/>
        <w:rPr>
          <w:i/>
          <w:i/>
          <w:szCs w:val="27"/>
        </w:rPr>
      </w:pPr>
      <w:r>
        <w:rPr>
          <w:i/>
          <w:szCs w:val="27"/>
        </w:rPr>
      </w:r>
    </w:p>
    <w:p>
      <w:pPr>
        <w:pStyle w:val="F21"/>
        <w:ind w:left="1418" w:hanging="851"/>
        <w:rPr>
          <w:i/>
          <w:i/>
          <w:szCs w:val="27"/>
        </w:rPr>
      </w:pPr>
      <w:r>
        <w:rPr>
          <w:i/>
          <w:szCs w:val="27"/>
        </w:rPr>
        <w:t>(</w:t>
      </w:r>
      <w:r>
        <w:rPr>
          <w:i/>
          <w:szCs w:val="27"/>
        </w:rPr>
        <w:t>一</w:t>
      </w:r>
      <w:r>
        <w:rPr>
          <w:i/>
          <w:szCs w:val="27"/>
        </w:rPr>
        <w:t>)</w:t>
        <w:tab/>
      </w:r>
      <w:r>
        <w:rPr>
          <w:i/>
          <w:szCs w:val="27"/>
        </w:rPr>
        <w:t>有否計劃放寬新界舊區的地積比率，以增加有關用地的重建潛力；如有，詳情為何；如否，原因為何；</w:t>
      </w:r>
    </w:p>
    <w:p>
      <w:pPr>
        <w:pStyle w:val="F21"/>
        <w:ind w:left="1418" w:hanging="851"/>
        <w:rPr>
          <w:i/>
          <w:i/>
          <w:szCs w:val="27"/>
        </w:rPr>
      </w:pPr>
      <w:r>
        <w:rPr>
          <w:i/>
          <w:szCs w:val="27"/>
        </w:rPr>
      </w:r>
    </w:p>
    <w:p>
      <w:pPr>
        <w:pStyle w:val="F21"/>
        <w:ind w:left="1418" w:hanging="851"/>
        <w:rPr>
          <w:i/>
          <w:i/>
          <w:szCs w:val="27"/>
        </w:rPr>
      </w:pPr>
      <w:r>
        <w:rPr>
          <w:i/>
          <w:szCs w:val="27"/>
        </w:rPr>
        <w:t>(</w:t>
      </w:r>
      <w:r>
        <w:rPr>
          <w:i/>
          <w:szCs w:val="27"/>
        </w:rPr>
        <w:t>二</w:t>
      </w:r>
      <w:r>
        <w:rPr>
          <w:i/>
          <w:szCs w:val="27"/>
        </w:rPr>
        <w:t>)</w:t>
        <w:tab/>
      </w:r>
      <w:r>
        <w:rPr>
          <w:i/>
          <w:szCs w:val="27"/>
        </w:rPr>
        <w:t>對於欠缺重建潛力的新界舊區，政府會否向市區重建局或發展商提供經濟誘因，以加快該等地區的重建步伐；如會，詳情為何；如否，原因為何；及</w:t>
      </w:r>
    </w:p>
    <w:p>
      <w:pPr>
        <w:pStyle w:val="F21"/>
        <w:rPr>
          <w:rFonts w:cs="Times New Roman"/>
        </w:rPr>
      </w:pPr>
      <w:r>
        <w:rPr>
          <w:rFonts w:cs="Times New Roman"/>
        </w:rPr>
      </w:r>
    </w:p>
    <w:p>
      <w:pPr>
        <w:pStyle w:val="F21"/>
        <w:rPr>
          <w:rFonts w:cs="Times New Roman"/>
        </w:rPr>
      </w:pPr>
      <w:r>
        <w:rPr>
          <w:rFonts w:cs="Times New Roman"/>
        </w:rPr>
      </w:r>
    </w:p>
    <w:p>
      <w:pPr>
        <w:pStyle w:val="F21"/>
        <w:rPr>
          <w:rFonts w:cs="Times New Roman"/>
        </w:rPr>
      </w:pPr>
      <w:r>
        <w:rPr>
          <w:rFonts w:cs="Times New Roman"/>
        </w:rPr>
        <w:t>(</w:t>
      </w:r>
      <w:r>
        <w:rPr>
          <w:rFonts w:cs="Times New Roman"/>
        </w:rPr>
        <w:t>主席恢復主持會議</w:t>
      </w:r>
      <w:r>
        <w:rPr>
          <w:rFonts w:cs="Times New Roman"/>
        </w:rPr>
        <w:t>)</w:t>
      </w:r>
    </w:p>
    <w:p>
      <w:pPr>
        <w:pStyle w:val="F21"/>
        <w:ind w:left="1418" w:hanging="851"/>
        <w:rPr>
          <w:i/>
          <w:i/>
          <w:szCs w:val="27"/>
        </w:rPr>
      </w:pPr>
      <w:r>
        <w:rPr>
          <w:i/>
          <w:szCs w:val="27"/>
        </w:rPr>
      </w:r>
    </w:p>
    <w:p>
      <w:pPr>
        <w:pStyle w:val="F21"/>
        <w:ind w:left="1418" w:hanging="851"/>
        <w:rPr>
          <w:i/>
          <w:i/>
          <w:szCs w:val="27"/>
        </w:rPr>
      </w:pPr>
      <w:r>
        <w:rPr>
          <w:i/>
          <w:szCs w:val="27"/>
        </w:rPr>
      </w:r>
    </w:p>
    <w:p>
      <w:pPr>
        <w:pStyle w:val="F21"/>
        <w:ind w:left="1418" w:hanging="851"/>
        <w:rPr>
          <w:szCs w:val="27"/>
        </w:rPr>
      </w:pPr>
      <w:r>
        <w:rPr>
          <w:i/>
          <w:szCs w:val="27"/>
        </w:rPr>
        <w:t>(</w:t>
      </w:r>
      <w:r>
        <w:rPr>
          <w:i/>
          <w:szCs w:val="27"/>
        </w:rPr>
        <w:t>三</w:t>
      </w:r>
      <w:r>
        <w:rPr>
          <w:i/>
          <w:szCs w:val="27"/>
        </w:rPr>
        <w:t>)</w:t>
        <w:tab/>
      </w:r>
      <w:r>
        <w:rPr>
          <w:i/>
          <w:szCs w:val="27"/>
        </w:rPr>
        <w:t>有否具體計劃重建荃灣的舊區，以改善環境；如有，詳情為何；如否，原因為何？</w:t>
      </w:r>
    </w:p>
    <w:p>
      <w:pPr>
        <w:pStyle w:val="F21"/>
        <w:rPr>
          <w:szCs w:val="27"/>
        </w:rPr>
      </w:pPr>
      <w:r>
        <w:rPr>
          <w:szCs w:val="27"/>
        </w:rPr>
      </w:r>
    </w:p>
    <w:p>
      <w:pPr>
        <w:pStyle w:val="F21"/>
        <w:rPr>
          <w:szCs w:val="27"/>
        </w:rPr>
      </w:pPr>
      <w:r>
        <w:rPr>
          <w:szCs w:val="27"/>
        </w:rPr>
      </w:r>
    </w:p>
    <w:p>
      <w:pPr>
        <w:pStyle w:val="F21"/>
        <w:rPr>
          <w:szCs w:val="27"/>
        </w:rPr>
      </w:pPr>
      <w:r>
        <w:rPr>
          <w:rFonts w:ascii="華康中黑體" w:hAnsi="華康中黑體" w:eastAsia="華康中黑體"/>
          <w:b/>
          <w:szCs w:val="27"/>
        </w:rPr>
        <w:t>發展局局長</w:t>
      </w:r>
      <w:r>
        <w:rPr>
          <w:szCs w:val="27"/>
        </w:rPr>
        <w:t>：主席，發展局</w:t>
      </w:r>
      <w:r>
        <w:rPr>
          <w:szCs w:val="27"/>
        </w:rPr>
        <w:t>2011</w:t>
      </w:r>
      <w:r>
        <w:rPr>
          <w:szCs w:val="27"/>
        </w:rPr>
        <w:t>年公布經修訂的《市區重建策略》為處理市區老化問題制訂清晰的政策藍圖。在這個策略下，市區重建局</w:t>
      </w:r>
      <w:r>
        <w:rPr>
          <w:szCs w:val="27"/>
        </w:rPr>
        <w:t>("</w:t>
      </w:r>
      <w:r>
        <w:rPr>
          <w:szCs w:val="27"/>
        </w:rPr>
        <w:t>市建局</w:t>
      </w:r>
      <w:r>
        <w:rPr>
          <w:szCs w:val="27"/>
        </w:rPr>
        <w:t>")</w:t>
      </w:r>
      <w:r>
        <w:rPr>
          <w:szCs w:val="27"/>
        </w:rPr>
        <w:t>擔當重要的角色，並會集中資源，透過</w:t>
      </w:r>
      <w:r>
        <w:rPr>
          <w:szCs w:val="27"/>
        </w:rPr>
        <w:t>"</w:t>
      </w:r>
      <w:r>
        <w:rPr>
          <w:szCs w:val="27"/>
        </w:rPr>
        <w:t>重建發展</w:t>
      </w:r>
      <w:r>
        <w:rPr>
          <w:szCs w:val="27"/>
        </w:rPr>
        <w:t>"</w:t>
      </w:r>
      <w:r>
        <w:rPr>
          <w:szCs w:val="27"/>
        </w:rPr>
        <w:t>和</w:t>
      </w:r>
      <w:r>
        <w:rPr>
          <w:szCs w:val="27"/>
        </w:rPr>
        <w:t>"</w:t>
      </w:r>
      <w:r>
        <w:rPr>
          <w:szCs w:val="27"/>
        </w:rPr>
        <w:t>樓宇復修</w:t>
      </w:r>
      <w:r>
        <w:rPr>
          <w:szCs w:val="27"/>
        </w:rPr>
        <w:t>"</w:t>
      </w:r>
      <w:r>
        <w:rPr>
          <w:szCs w:val="27"/>
        </w:rPr>
        <w:t>，推動市區更新的工作。《市區重建策略》亦說明，除市建局外，其他持份者</w:t>
      </w:r>
      <w:r>
        <w:rPr>
          <w:rFonts w:ascii="華康細明體" w:hAnsi="華康細明體"/>
          <w:szCs w:val="27"/>
        </w:rPr>
        <w:t>和</w:t>
      </w:r>
      <w:r>
        <w:rPr>
          <w:szCs w:val="27"/>
        </w:rPr>
        <w:t>參與者亦應該參與推行《市區重建策略》。政府會繼續以</w:t>
      </w:r>
      <w:r>
        <w:rPr>
          <w:szCs w:val="27"/>
        </w:rPr>
        <w:t>"</w:t>
      </w:r>
      <w:r>
        <w:rPr>
          <w:szCs w:val="27"/>
        </w:rPr>
        <w:t>以人為</w:t>
      </w:r>
      <w:r>
        <w:rPr>
          <w:rFonts w:ascii="華康細明體" w:hAnsi="華康細明體"/>
          <w:szCs w:val="27"/>
        </w:rPr>
        <w:t>先、地區為本、與民共議</w:t>
      </w:r>
      <w:r>
        <w:rPr>
          <w:rFonts w:cs="Times New Roman"/>
          <w:szCs w:val="27"/>
        </w:rPr>
        <w:t>"</w:t>
      </w:r>
      <w:r>
        <w:rPr>
          <w:rFonts w:ascii="華康細明體" w:hAnsi="華康細明體"/>
          <w:szCs w:val="27"/>
        </w:rPr>
        <w:t>的工作方針</w:t>
      </w:r>
      <w:r>
        <w:rPr>
          <w:szCs w:val="27"/>
        </w:rPr>
        <w:t>，透過進行、鼓勵、推廣及促進本港市區更新，應對市區老化問題，改善舊區居民生活環境。</w:t>
      </w:r>
    </w:p>
    <w:p>
      <w:pPr>
        <w:pStyle w:val="F21"/>
        <w:rPr>
          <w:szCs w:val="27"/>
        </w:rPr>
      </w:pPr>
      <w:r>
        <w:rPr>
          <w:szCs w:val="27"/>
        </w:rPr>
      </w:r>
    </w:p>
    <w:p>
      <w:pPr>
        <w:pStyle w:val="F21"/>
        <w:rPr>
          <w:szCs w:val="27"/>
        </w:rPr>
      </w:pPr>
      <w:r>
        <w:rPr>
          <w:szCs w:val="27"/>
        </w:rPr>
        <w:tab/>
      </w:r>
      <w:r>
        <w:rPr>
          <w:szCs w:val="27"/>
        </w:rPr>
        <w:t>就質詢的</w:t>
      </w:r>
      <w:r>
        <w:rPr>
          <w:szCs w:val="27"/>
        </w:rPr>
        <w:t>3</w:t>
      </w:r>
      <w:r>
        <w:rPr>
          <w:szCs w:val="27"/>
        </w:rPr>
        <w:t>個部分，現答覆如下：</w:t>
      </w:r>
    </w:p>
    <w:p>
      <w:pPr>
        <w:pStyle w:val="F21"/>
        <w:rPr>
          <w:szCs w:val="27"/>
        </w:rPr>
      </w:pPr>
      <w:r>
        <w:rPr>
          <w:szCs w:val="27"/>
        </w:rPr>
      </w:r>
    </w:p>
    <w:p>
      <w:pPr>
        <w:pStyle w:val="Style15"/>
        <w:rPr>
          <w:i w:val="false"/>
          <w:i w:val="false"/>
        </w:rPr>
      </w:pPr>
      <w:r>
        <w:rPr>
          <w:i w:val="false"/>
        </w:rPr>
        <w:t>(</w:t>
      </w:r>
      <w:r>
        <w:rPr>
          <w:i w:val="false"/>
        </w:rPr>
        <w:t>一</w:t>
      </w:r>
      <w:r>
        <w:rPr>
          <w:i w:val="false"/>
        </w:rPr>
        <w:t>)</w:t>
        <w:tab/>
      </w:r>
      <w:r>
        <w:rPr>
          <w:i w:val="false"/>
        </w:rPr>
        <w:t>荃灣、屯門和沙田是香港第一代新市鎮，發展自</w:t>
      </w:r>
      <w:r>
        <w:rPr>
          <w:i w:val="false"/>
        </w:rPr>
        <w:t>1970</w:t>
      </w:r>
      <w:r>
        <w:rPr>
          <w:i w:val="false"/>
        </w:rPr>
        <w:t>年代開始。為建設更理想的生活環境，當年為這些新市鎮訂定的住用地積比率一般較市區為低。以荃灣為例，</w:t>
      </w:r>
      <w:r>
        <w:rPr>
          <w:i w:val="false"/>
        </w:rPr>
        <w:t>2003</w:t>
      </w:r>
      <w:r>
        <w:rPr>
          <w:i w:val="false"/>
        </w:rPr>
        <w:t>年規劃署曾經檢視是否適宜把荃灣的最高地積比由</w:t>
      </w:r>
      <w:r>
        <w:rPr>
          <w:i w:val="false"/>
        </w:rPr>
        <w:t>5</w:t>
      </w:r>
      <w:r>
        <w:rPr>
          <w:i w:val="false"/>
        </w:rPr>
        <w:t>倍進一步提升，惟考慮當區交通和基建容量及其他因素後，認為最高住用地積比率維持在</w:t>
      </w:r>
      <w:r>
        <w:rPr>
          <w:i w:val="false"/>
        </w:rPr>
        <w:t>5</w:t>
      </w:r>
      <w:r>
        <w:rPr>
          <w:i w:val="false"/>
        </w:rPr>
        <w:t>倍是合適的。</w:t>
      </w:r>
    </w:p>
    <w:p>
      <w:pPr>
        <w:pStyle w:val="Style15"/>
        <w:rPr>
          <w:i w:val="false"/>
          <w:i w:val="false"/>
        </w:rPr>
      </w:pPr>
      <w:r>
        <w:rPr>
          <w:i w:val="false"/>
        </w:rPr>
      </w:r>
    </w:p>
    <w:p>
      <w:pPr>
        <w:pStyle w:val="Style15"/>
        <w:rPr>
          <w:i w:val="false"/>
          <w:i w:val="false"/>
        </w:rPr>
      </w:pPr>
      <w:r>
        <w:rPr>
          <w:i w:val="false"/>
        </w:rPr>
        <w:tab/>
      </w:r>
      <w:r>
        <w:rPr>
          <w:i w:val="false"/>
        </w:rPr>
        <w:t>事實上，政府不時檢討住用地積比率政策及提高發展密度的可行方案。我們在</w:t>
      </w:r>
      <w:r>
        <w:rPr>
          <w:i w:val="false"/>
        </w:rPr>
        <w:t>2014</w:t>
      </w:r>
      <w:r>
        <w:rPr>
          <w:i w:val="false"/>
        </w:rPr>
        <w:t>年宣布，位於市區多個區域和新市鎮舊區內個別私人住宅發展若屬意在重建後增加發展密度，可向城市規劃委員會</w:t>
      </w:r>
      <w:r>
        <w:rPr>
          <w:i w:val="false"/>
        </w:rPr>
        <w:t>("</w:t>
      </w:r>
      <w:r>
        <w:rPr>
          <w:i w:val="false"/>
        </w:rPr>
        <w:t>城規會</w:t>
      </w:r>
      <w:r>
        <w:rPr>
          <w:i w:val="false"/>
        </w:rPr>
        <w:t>")</w:t>
      </w:r>
      <w:r>
        <w:rPr>
          <w:i w:val="false"/>
        </w:rPr>
        <w:t>提出規劃申請，如規劃條件許可</w:t>
      </w:r>
      <w:r>
        <w:rPr>
          <w:i w:val="false"/>
        </w:rPr>
        <w:t>(</w:t>
      </w:r>
      <w:r>
        <w:rPr>
          <w:i w:val="false"/>
        </w:rPr>
        <w:t>包括區內的交通和基建容量能應付重建新增的需求、重建規模能與地區特色兼容等</w:t>
      </w:r>
      <w:r>
        <w:rPr>
          <w:i w:val="false"/>
        </w:rPr>
        <w:t>)</w:t>
      </w:r>
      <w:r>
        <w:rPr>
          <w:i w:val="false"/>
        </w:rPr>
        <w:t>，住用地積比率最多可調高</w:t>
      </w:r>
      <w:r>
        <w:rPr>
          <w:i w:val="false"/>
        </w:rPr>
        <w:t>20%</w:t>
      </w:r>
      <w:r>
        <w:rPr>
          <w:i w:val="false"/>
        </w:rPr>
        <w:t>，以荃灣為例，最高住用地積比率可由</w:t>
      </w:r>
      <w:r>
        <w:rPr>
          <w:i w:val="false"/>
        </w:rPr>
        <w:t>5</w:t>
      </w:r>
      <w:r>
        <w:rPr>
          <w:i w:val="false"/>
        </w:rPr>
        <w:t>倍提升至</w:t>
      </w:r>
      <w:r>
        <w:rPr>
          <w:i w:val="false"/>
        </w:rPr>
        <w:t>6</w:t>
      </w:r>
      <w:r>
        <w:rPr>
          <w:i w:val="false"/>
        </w:rPr>
        <w:t>倍。行政會議於</w:t>
      </w:r>
      <w:r>
        <w:rPr>
          <w:i w:val="false"/>
        </w:rPr>
        <w:t>2018</w:t>
      </w:r>
      <w:r>
        <w:rPr>
          <w:i w:val="false"/>
        </w:rPr>
        <w:t>年</w:t>
      </w:r>
      <w:r>
        <w:rPr>
          <w:i w:val="false"/>
        </w:rPr>
        <w:t>12</w:t>
      </w:r>
      <w:r>
        <w:rPr>
          <w:i w:val="false"/>
        </w:rPr>
        <w:t>月進一步優化這項措施，如用地是用作發展公營房屋，經確立技術可行性及獲城規會批准後，最高住用地積比率可調高最多三成，即由</w:t>
      </w:r>
      <w:r>
        <w:rPr>
          <w:i w:val="false"/>
        </w:rPr>
        <w:t>5</w:t>
      </w:r>
      <w:r>
        <w:rPr>
          <w:i w:val="false"/>
        </w:rPr>
        <w:t>倍可增至最高的</w:t>
      </w:r>
      <w:r>
        <w:rPr>
          <w:i w:val="false"/>
        </w:rPr>
        <w:t>6.5</w:t>
      </w:r>
      <w:r>
        <w:rPr>
          <w:i w:val="false"/>
        </w:rPr>
        <w:t>倍。</w:t>
      </w:r>
    </w:p>
    <w:p>
      <w:pPr>
        <w:pStyle w:val="Style15"/>
        <w:rPr>
          <w:i w:val="false"/>
          <w:i w:val="false"/>
        </w:rPr>
      </w:pPr>
      <w:r>
        <w:rPr>
          <w:i w:val="false"/>
        </w:rPr>
      </w:r>
    </w:p>
    <w:p>
      <w:pPr>
        <w:pStyle w:val="Style15"/>
        <w:rPr>
          <w:i w:val="false"/>
          <w:i w:val="false"/>
        </w:rPr>
      </w:pPr>
      <w:r>
        <w:rPr>
          <w:i w:val="false"/>
        </w:rPr>
        <w:tab/>
      </w:r>
      <w:r>
        <w:rPr>
          <w:i w:val="false"/>
        </w:rPr>
        <w:t>一如以往，政府會繼續因應發展環境的演變和社會需求，適時檢討及調整發展密度，並在過程中充分顧及區內的交通和基建容量、地區特色和現有發展密度等因素，以確保調高發展密度對地區不會造成不良影響。</w:t>
      </w:r>
    </w:p>
    <w:p>
      <w:pPr>
        <w:pStyle w:val="Style15"/>
        <w:rPr>
          <w:i w:val="false"/>
          <w:i w:val="false"/>
        </w:rPr>
      </w:pPr>
      <w:r>
        <w:rPr>
          <w:i w:val="false"/>
        </w:rPr>
      </w:r>
    </w:p>
    <w:p>
      <w:pPr>
        <w:pStyle w:val="Style15"/>
        <w:rPr>
          <w:i w:val="false"/>
          <w:i w:val="false"/>
        </w:rPr>
      </w:pPr>
      <w:r>
        <w:rPr>
          <w:i w:val="false"/>
        </w:rPr>
        <w:t>(</w:t>
      </w:r>
      <w:r>
        <w:rPr>
          <w:i w:val="false"/>
        </w:rPr>
        <w:t>二</w:t>
      </w:r>
      <w:r>
        <w:rPr>
          <w:i w:val="false"/>
        </w:rPr>
        <w:t>)</w:t>
      </w:r>
      <w:r>
        <w:rPr>
          <w:i w:val="false"/>
        </w:rPr>
        <w:t>及</w:t>
      </w:r>
      <w:r>
        <w:rPr>
          <w:i w:val="false"/>
        </w:rPr>
        <w:t>(</w:t>
      </w:r>
      <w:r>
        <w:rPr>
          <w:i w:val="false"/>
        </w:rPr>
        <w:t>三</w:t>
      </w:r>
      <w:r>
        <w:rPr>
          <w:i w:val="false"/>
        </w:rPr>
        <w:t>)</w:t>
      </w:r>
    </w:p>
    <w:p>
      <w:pPr>
        <w:pStyle w:val="Style15"/>
        <w:rPr>
          <w:i w:val="false"/>
          <w:i w:val="false"/>
        </w:rPr>
      </w:pPr>
      <w:r>
        <w:rPr>
          <w:i w:val="false"/>
        </w:rPr>
      </w:r>
    </w:p>
    <w:p>
      <w:pPr>
        <w:pStyle w:val="Style15"/>
        <w:rPr>
          <w:i w:val="false"/>
          <w:i w:val="false"/>
        </w:rPr>
      </w:pPr>
      <w:r>
        <w:rPr>
          <w:i w:val="false"/>
        </w:rPr>
        <w:tab/>
      </w:r>
      <w:r>
        <w:rPr>
          <w:i w:val="false"/>
        </w:rPr>
        <w:t>正如剛才所述，市建局在市區重建擔當重要角色。在決定開展每個重建項目之前，市建局會按照《市區重建策略》，考慮多項不同因素，例如樓宇狀況、居住環境、地區上可用作安置的土地資源、重建項目對整個社區帶來規劃上的裨益及市建局的財政和人力資源等，小心處理及訂出優次。</w:t>
      </w:r>
    </w:p>
    <w:p>
      <w:pPr>
        <w:pStyle w:val="Style15"/>
        <w:rPr>
          <w:i w:val="false"/>
          <w:i w:val="false"/>
        </w:rPr>
      </w:pPr>
      <w:r>
        <w:rPr>
          <w:i w:val="false"/>
        </w:rPr>
      </w:r>
    </w:p>
    <w:p>
      <w:pPr>
        <w:pStyle w:val="Style15"/>
        <w:rPr>
          <w:i w:val="false"/>
          <w:i w:val="false"/>
        </w:rPr>
      </w:pPr>
      <w:r>
        <w:rPr>
          <w:i w:val="false"/>
        </w:rPr>
        <w:tab/>
      </w:r>
      <w:r>
        <w:rPr>
          <w:i w:val="false"/>
        </w:rPr>
        <w:t>有鑒於個別地區現時的發展密度已難以增加或剩餘可供發展地積比率不多，我們需要以區域而非個別地塊的角度出發推動市區更新。為此，市建局於</w:t>
      </w:r>
      <w:r>
        <w:rPr>
          <w:i w:val="false"/>
        </w:rPr>
        <w:t>2017</w:t>
      </w:r>
      <w:r>
        <w:rPr>
          <w:i w:val="false"/>
        </w:rPr>
        <w:t>年</w:t>
      </w:r>
      <w:r>
        <w:rPr>
          <w:i w:val="false"/>
        </w:rPr>
        <w:t>5</w:t>
      </w:r>
      <w:r>
        <w:rPr>
          <w:i w:val="false"/>
        </w:rPr>
        <w:t>月以舊樓林立的油麻地及旺角作為試點展開了地區規劃研究。這是一項策略性研究，市建局會根據研究結果，尋求更具效益和效率的方法推動市區更新，並把切實可行的理念和執行模式推展至其他地區，包括荃灣區。該研究預計在</w:t>
      </w:r>
      <w:r>
        <w:rPr>
          <w:i w:val="false"/>
        </w:rPr>
        <w:t>2019</w:t>
      </w:r>
      <w:r>
        <w:rPr>
          <w:i w:val="false"/>
        </w:rPr>
        <w:t>年年底或</w:t>
      </w:r>
      <w:r>
        <w:rPr>
          <w:i w:val="false"/>
        </w:rPr>
        <w:t>2020</w:t>
      </w:r>
      <w:r>
        <w:rPr>
          <w:i w:val="false"/>
        </w:rPr>
        <w:t>年年初左右完成。</w:t>
      </w:r>
      <w:r>
        <w:br w:type="page"/>
      </w:r>
    </w:p>
    <w:p>
      <w:pPr>
        <w:pStyle w:val="Style15"/>
        <w:rPr>
          <w:i w:val="false"/>
          <w:i w:val="false"/>
        </w:rPr>
      </w:pPr>
      <w:r>
        <w:rPr>
          <w:i w:val="false"/>
        </w:rPr>
        <w:tab/>
      </w:r>
      <w:r>
        <w:rPr>
          <w:i w:val="false"/>
        </w:rPr>
        <w:t>適時的保養維修，亦能有效減慢市區老化的速度。發展局與屋宇署、市建局及香港房屋協會多年來緊密合作，推行了多項計劃，為業主提供財政及技術支援，協助他們為其樓宇進行維修。其中，由</w:t>
      </w:r>
      <w:r>
        <w:rPr>
          <w:i w:val="false"/>
        </w:rPr>
        <w:t>2004</w:t>
      </w:r>
      <w:r>
        <w:rPr>
          <w:i w:val="false"/>
        </w:rPr>
        <w:t>年至今市建局已透過不同計劃協助約</w:t>
      </w:r>
      <w:r>
        <w:rPr>
          <w:i w:val="false"/>
        </w:rPr>
        <w:t>4 200</w:t>
      </w:r>
      <w:r>
        <w:rPr>
          <w:i w:val="false"/>
        </w:rPr>
        <w:t>幢樓宇進行維修，當中荃灣區佔約</w:t>
      </w:r>
      <w:r>
        <w:rPr>
          <w:i w:val="false"/>
        </w:rPr>
        <w:t>400</w:t>
      </w:r>
      <w:r>
        <w:rPr>
          <w:i w:val="false"/>
        </w:rPr>
        <w:t>幢。最近的一項支援計劃，是動用</w:t>
      </w:r>
      <w:r>
        <w:rPr>
          <w:i w:val="false"/>
        </w:rPr>
        <w:t>30</w:t>
      </w:r>
      <w:r>
        <w:rPr>
          <w:i w:val="false"/>
        </w:rPr>
        <w:t>億元的</w:t>
      </w:r>
      <w:r>
        <w:rPr>
          <w:i w:val="false"/>
        </w:rPr>
        <w:t>"</w:t>
      </w:r>
      <w:r>
        <w:rPr>
          <w:i w:val="false"/>
        </w:rPr>
        <w:t>樓宇更新大行動</w:t>
      </w:r>
      <w:r>
        <w:rPr>
          <w:i w:val="false"/>
        </w:rPr>
        <w:t>2.0"</w:t>
      </w:r>
      <w:r>
        <w:rPr>
          <w:i w:val="false"/>
        </w:rPr>
        <w:t>，為居於較高樓齡、應課差餉租值不超越設定上限的自住業主提供大額資助，主要用以在其樓宇內按強制驗樓計劃進行所需的檢驗及修葺工程。市建局在首輪申請階段共接獲約</w:t>
      </w:r>
      <w:r>
        <w:rPr>
          <w:i w:val="false"/>
        </w:rPr>
        <w:t>600</w:t>
      </w:r>
      <w:r>
        <w:rPr>
          <w:i w:val="false"/>
        </w:rPr>
        <w:t>宗有效申請，當中約有</w:t>
      </w:r>
      <w:r>
        <w:rPr>
          <w:i w:val="false"/>
        </w:rPr>
        <w:t>20</w:t>
      </w:r>
      <w:r>
        <w:rPr>
          <w:i w:val="false"/>
        </w:rPr>
        <w:t>宗來自荃灣區。市建局會按先後緩急陸續接觸成功申請計劃的大廈業主，協助他們開展有關檢驗及工程。</w:t>
      </w:r>
    </w:p>
    <w:p>
      <w:pPr>
        <w:pStyle w:val="Style15"/>
        <w:rPr>
          <w:i w:val="false"/>
          <w:i w:val="false"/>
        </w:rPr>
      </w:pPr>
      <w:r>
        <w:rPr>
          <w:i w:val="false"/>
        </w:rPr>
      </w:r>
    </w:p>
    <w:p>
      <w:pPr>
        <w:pStyle w:val="Style15"/>
        <w:rPr>
          <w:i w:val="false"/>
          <w:i w:val="false"/>
        </w:rPr>
      </w:pPr>
      <w:r>
        <w:rPr>
          <w:i w:val="false"/>
        </w:rPr>
        <w:tab/>
      </w:r>
      <w:r>
        <w:rPr>
          <w:i w:val="false"/>
        </w:rPr>
        <w:t>另一方面，政府亦正透過改變土地的規劃用途，例如把</w:t>
      </w:r>
      <w:r>
        <w:rPr>
          <w:i w:val="false"/>
        </w:rPr>
        <w:t>"</w:t>
      </w:r>
      <w:r>
        <w:rPr>
          <w:i w:val="false"/>
        </w:rPr>
        <w:t>工業</w:t>
      </w:r>
      <w:r>
        <w:rPr>
          <w:i w:val="false"/>
        </w:rPr>
        <w:t>"</w:t>
      </w:r>
      <w:r>
        <w:rPr>
          <w:i w:val="false"/>
        </w:rPr>
        <w:t>用地改劃作</w:t>
      </w:r>
      <w:r>
        <w:rPr>
          <w:i w:val="false"/>
        </w:rPr>
        <w:t>"</w:t>
      </w:r>
      <w:r>
        <w:rPr>
          <w:i w:val="false"/>
        </w:rPr>
        <w:t>商業</w:t>
      </w:r>
      <w:r>
        <w:rPr>
          <w:i w:val="false"/>
        </w:rPr>
        <w:t>"</w:t>
      </w:r>
      <w:r>
        <w:rPr>
          <w:i w:val="false"/>
        </w:rPr>
        <w:t>或</w:t>
      </w:r>
      <w:r>
        <w:rPr>
          <w:i w:val="false"/>
        </w:rPr>
        <w:t>"</w:t>
      </w:r>
      <w:r>
        <w:rPr>
          <w:i w:val="false"/>
        </w:rPr>
        <w:t>綜合發展</w:t>
      </w:r>
      <w:r>
        <w:rPr>
          <w:i w:val="false"/>
        </w:rPr>
        <w:t>"</w:t>
      </w:r>
      <w:r>
        <w:rPr>
          <w:i w:val="false"/>
        </w:rPr>
        <w:t>等用途，鼓勵社區更新。此外，行政長官在</w:t>
      </w:r>
      <w:r>
        <w:rPr>
          <w:i w:val="false"/>
        </w:rPr>
        <w:t>2018</w:t>
      </w:r>
      <w:r>
        <w:rPr>
          <w:i w:val="false"/>
        </w:rPr>
        <w:t>年施政綱領中提出加強在政府用地落實</w:t>
      </w:r>
      <w:r>
        <w:rPr>
          <w:i w:val="false"/>
        </w:rPr>
        <w:t>"</w:t>
      </w:r>
      <w:r>
        <w:rPr>
          <w:i w:val="false"/>
        </w:rPr>
        <w:t>一地多用</w:t>
      </w:r>
      <w:r>
        <w:rPr>
          <w:i w:val="false"/>
        </w:rPr>
        <w:t>"</w:t>
      </w:r>
      <w:r>
        <w:rPr>
          <w:i w:val="false"/>
        </w:rPr>
        <w:t>的多層發展模式，整合及提供更多</w:t>
      </w:r>
      <w:r>
        <w:rPr>
          <w:i w:val="false"/>
        </w:rPr>
        <w:t>"</w:t>
      </w:r>
      <w:r>
        <w:rPr>
          <w:i w:val="false"/>
        </w:rPr>
        <w:t>政府、機構或社區</w:t>
      </w:r>
      <w:r>
        <w:rPr>
          <w:i w:val="false"/>
        </w:rPr>
        <w:t>"</w:t>
      </w:r>
      <w:r>
        <w:rPr>
          <w:i w:val="false"/>
        </w:rPr>
        <w:t>設施，務求善用有限的土地資源，並透過重建政府設施改善社區環境。財政預算案繼而預留約</w:t>
      </w:r>
      <w:r>
        <w:rPr>
          <w:i w:val="false"/>
        </w:rPr>
        <w:t>220</w:t>
      </w:r>
      <w:r>
        <w:rPr>
          <w:i w:val="false"/>
        </w:rPr>
        <w:t>億元推展首批</w:t>
      </w:r>
      <w:r>
        <w:rPr>
          <w:i w:val="false"/>
        </w:rPr>
        <w:t>"</w:t>
      </w:r>
      <w:r>
        <w:rPr>
          <w:i w:val="false"/>
        </w:rPr>
        <w:t>一地多用</w:t>
      </w:r>
      <w:r>
        <w:rPr>
          <w:i w:val="false"/>
        </w:rPr>
        <w:t>"</w:t>
      </w:r>
      <w:r>
        <w:rPr>
          <w:i w:val="false"/>
        </w:rPr>
        <w:t>發展項目，其中包括為荃灣市中心內數幅</w:t>
      </w:r>
      <w:r>
        <w:rPr>
          <w:i w:val="false"/>
        </w:rPr>
        <w:t>"</w:t>
      </w:r>
      <w:r>
        <w:rPr>
          <w:i w:val="false"/>
        </w:rPr>
        <w:t>政府、機構或社區</w:t>
      </w:r>
      <w:r>
        <w:rPr>
          <w:i w:val="false"/>
        </w:rPr>
        <w:t>"</w:t>
      </w:r>
      <w:r>
        <w:rPr>
          <w:i w:val="false"/>
        </w:rPr>
        <w:t>用地作整全規劃。根據初步構思，荃灣市中心的項目包括荃灣大會堂及前荃灣裁判法院用地、荃灣雅麗珊社區中心用地、戴麟趾夫人普通科門診診所及聯仁街熟食中心用地。我們正研究如何整合有關設施及用地，以提供更多社區設施及釋放土地作其他配合社會需要的用途，從而帶動社區活化，並有助促進私人發展商積極參與重建毗鄰地區。</w:t>
      </w:r>
    </w:p>
    <w:p>
      <w:pPr>
        <w:pStyle w:val="Style15"/>
        <w:ind w:left="0" w:hanging="0"/>
        <w:rPr>
          <w:i w:val="false"/>
          <w:i w:val="false"/>
        </w:rPr>
      </w:pPr>
      <w:r>
        <w:rPr>
          <w:i w:val="false"/>
        </w:rPr>
      </w:r>
    </w:p>
    <w:p>
      <w:pPr>
        <w:pStyle w:val="F21"/>
        <w:overflowPunct w:val="true"/>
        <w:rPr>
          <w:rFonts w:cs="Times New Roman"/>
        </w:rPr>
      </w:pPr>
      <w:r>
        <w:rPr>
          <w:rFonts w:cs="Times New Roman"/>
        </w:rPr>
      </w:r>
    </w:p>
    <w:p>
      <w:pPr>
        <w:pStyle w:val="F21"/>
        <w:rPr>
          <w:rFonts w:cs="Times New Roman"/>
          <w:i/>
          <w:i/>
        </w:rPr>
      </w:pPr>
      <w:r>
        <w:rPr>
          <w:rFonts w:cs="Times New Roman" w:eastAsia="華康中黑體"/>
          <w:b/>
        </w:rPr>
        <w:t>陳恒鑌議員</w:t>
      </w:r>
      <w:r>
        <w:rPr>
          <w:rFonts w:cs="Times New Roman"/>
        </w:rPr>
        <w:t>：</w:t>
      </w:r>
      <w:r>
        <w:rPr>
          <w:rFonts w:cs="Times New Roman"/>
          <w:i/>
        </w:rPr>
        <w:t>主席，樓宇維修只是治標不治本，一般只會處理外牆和公共地方，但單位內的樑柱基本上不會處理。因此，維修並不能解決問題。</w:t>
      </w:r>
    </w:p>
    <w:p>
      <w:pPr>
        <w:pStyle w:val="F21"/>
        <w:rPr>
          <w:rFonts w:cs="Times New Roman"/>
          <w:i/>
          <w:i/>
        </w:rPr>
      </w:pPr>
      <w:r>
        <w:rPr>
          <w:rFonts w:cs="Times New Roman"/>
          <w:i/>
        </w:rPr>
      </w:r>
    </w:p>
    <w:p>
      <w:pPr>
        <w:pStyle w:val="F21"/>
        <w:rPr>
          <w:rFonts w:cs="Times New Roman"/>
          <w:i/>
          <w:i/>
        </w:rPr>
      </w:pPr>
      <w:r>
        <w:rPr>
          <w:rFonts w:cs="Times New Roman"/>
          <w:i/>
        </w:rPr>
        <w:tab/>
      </w:r>
      <w:r>
        <w:rPr>
          <w:rFonts w:cs="Times New Roman"/>
          <w:i/>
        </w:rPr>
        <w:t>自</w:t>
      </w:r>
      <w:r>
        <w:rPr>
          <w:rFonts w:cs="Times New Roman"/>
          <w:i/>
        </w:rPr>
        <w:t>1999</w:t>
      </w:r>
      <w:r>
        <w:rPr>
          <w:rFonts w:cs="Times New Roman"/>
          <w:i/>
        </w:rPr>
        <w:t>年的七街重建後，市建局再沒有在荃灣進行任何重建項目。我想問政府會否檢討市建局現行的重建步伐，為甚麼會舉步維艱呢？當局可否先在區內興建一些優質樓宇作安置用途，從而加快重建，或政府會否考慮為一些舊區重建項目提供補貼或注資市建局呢？</w:t>
      </w:r>
    </w:p>
    <w:p>
      <w:pPr>
        <w:pStyle w:val="Normal"/>
        <w:widowControl/>
        <w:tabs>
          <w:tab w:val="clear" w:pos="720"/>
        </w:tabs>
        <w:snapToGrid w:val="true"/>
        <w:spacing w:lineRule="auto" w:line="276" w:before="0" w:after="200"/>
        <w:jc w:val="left"/>
        <w:rPr>
          <w:i/>
          <w:i/>
          <w:spacing w:val="20"/>
          <w:sz w:val="27"/>
          <w:szCs w:val="22"/>
          <w:lang w:val="en-US"/>
        </w:rPr>
      </w:pPr>
      <w:r>
        <w:rPr>
          <w:i/>
          <w:spacing w:val="20"/>
          <w:sz w:val="27"/>
          <w:szCs w:val="22"/>
          <w:lang w:val="en-US"/>
        </w:rPr>
      </w:r>
      <w:r>
        <w:br w:type="page"/>
      </w:r>
    </w:p>
    <w:p>
      <w:pPr>
        <w:pStyle w:val="F21"/>
        <w:spacing w:lineRule="atLeast" w:line="370"/>
        <w:rPr>
          <w:rFonts w:cs="Times New Roman"/>
        </w:rPr>
      </w:pPr>
      <w:r>
        <w:rPr>
          <w:rFonts w:cs="Times New Roman" w:eastAsia="華康中黑體"/>
          <w:b/>
        </w:rPr>
        <w:t>發展局局長</w:t>
      </w:r>
      <w:r>
        <w:rPr>
          <w:rFonts w:cs="Times New Roman"/>
        </w:rPr>
        <w:t>：多謝陳恒鑌議員，我們認同有需要將市區更新的速度進一步加快。正如我剛才在主體答覆中也提到，對於市建局為油旺區進行的研究，我們寄望甚殷。這項研究正正探討如何更有效率、更快速地進行市區更新。當中除了陳議員剛才提到的建議，也包括未來財務安排的可能性，這些全部均會探討。我們期望有關研究在今年年底或明年年初可以完成，並向政府提供建議。</w:t>
      </w:r>
    </w:p>
    <w:p>
      <w:pPr>
        <w:pStyle w:val="F21"/>
        <w:spacing w:lineRule="atLeast" w:line="370"/>
        <w:rPr>
          <w:rFonts w:cs="Times New Roman"/>
        </w:rPr>
      </w:pPr>
      <w:r>
        <w:rPr>
          <w:rFonts w:cs="Times New Roman"/>
        </w:rPr>
      </w:r>
    </w:p>
    <w:p>
      <w:pPr>
        <w:pStyle w:val="F21"/>
        <w:spacing w:lineRule="atLeast" w:line="370"/>
        <w:rPr>
          <w:rFonts w:cs="Times New Roman"/>
        </w:rPr>
      </w:pPr>
      <w:r>
        <w:rPr>
          <w:rFonts w:cs="Times New Roman"/>
        </w:rPr>
      </w:r>
    </w:p>
    <w:p>
      <w:pPr>
        <w:pStyle w:val="F21"/>
        <w:spacing w:lineRule="atLeast" w:line="370"/>
        <w:rPr>
          <w:rFonts w:cs="Times New Roman"/>
          <w:i/>
          <w:i/>
        </w:rPr>
      </w:pPr>
      <w:r>
        <w:rPr>
          <w:rFonts w:cs="Times New Roman" w:eastAsia="華康中黑體"/>
          <w:b/>
        </w:rPr>
        <w:t>麥美娟議員</w:t>
      </w:r>
      <w:r>
        <w:rPr>
          <w:rFonts w:cs="Times New Roman"/>
        </w:rPr>
        <w:t>：</w:t>
      </w:r>
      <w:r>
        <w:rPr>
          <w:rFonts w:cs="Times New Roman"/>
          <w:i/>
        </w:rPr>
        <w:t>主席，我申報我是市建局的非執行董事。主席，大家要明白，在市區重建中，最大的困難是如何安置原本居住該區的市民。加上居住在這些舊區的市民，大多是基層市民，要他們搬到其他地區確實困難。</w:t>
      </w:r>
    </w:p>
    <w:p>
      <w:pPr>
        <w:pStyle w:val="F21"/>
        <w:spacing w:lineRule="atLeast" w:line="370"/>
        <w:rPr>
          <w:rFonts w:cs="Times New Roman"/>
          <w:i/>
          <w:i/>
        </w:rPr>
      </w:pPr>
      <w:r>
        <w:rPr>
          <w:rFonts w:cs="Times New Roman"/>
          <w:i/>
        </w:rPr>
      </w:r>
    </w:p>
    <w:p>
      <w:pPr>
        <w:pStyle w:val="F21"/>
        <w:spacing w:lineRule="atLeast" w:line="370"/>
        <w:rPr>
          <w:rFonts w:cs="Times New Roman"/>
          <w:i/>
          <w:i/>
        </w:rPr>
      </w:pPr>
      <w:r>
        <w:rPr>
          <w:rFonts w:cs="Times New Roman"/>
          <w:i/>
        </w:rPr>
        <w:tab/>
      </w:r>
      <w:r>
        <w:rPr>
          <w:rFonts w:cs="Times New Roman"/>
          <w:i/>
        </w:rPr>
        <w:t>對於有人指市建局的重建工程緩慢，回望以往，某些大型工程的確需要</w:t>
      </w:r>
      <w:r>
        <w:rPr>
          <w:rFonts w:cs="Times New Roman"/>
          <w:i/>
        </w:rPr>
        <w:t>10</w:t>
      </w:r>
      <w:r>
        <w:rPr>
          <w:rFonts w:cs="Times New Roman"/>
          <w:i/>
        </w:rPr>
        <w:t>年，甚至</w:t>
      </w:r>
      <w:r>
        <w:rPr>
          <w:rFonts w:cs="Times New Roman"/>
          <w:i/>
        </w:rPr>
        <w:t>12</w:t>
      </w:r>
      <w:r>
        <w:rPr>
          <w:rFonts w:cs="Times New Roman"/>
          <w:i/>
        </w:rPr>
        <w:t>年才完成，為甚麼呢？當中有大量時間用於前期安置原區居民。因此，我想問局長，為加快市區重建的速度，是否有辦法讓市建局有更多資源處理安置原區居民的問題，例如先提供土地興建樓宇作安置之用，或容許市建局與香港房屋委員會或香港房屋協會</w:t>
      </w:r>
      <w:r>
        <w:rPr>
          <w:rFonts w:cs="Times New Roman"/>
          <w:i/>
        </w:rPr>
        <w:t>("</w:t>
      </w:r>
      <w:r>
        <w:rPr>
          <w:rFonts w:cs="Times New Roman"/>
          <w:i/>
        </w:rPr>
        <w:t>房協</w:t>
      </w:r>
      <w:r>
        <w:rPr>
          <w:rFonts w:cs="Times New Roman"/>
          <w:i/>
        </w:rPr>
        <w:t>")</w:t>
      </w:r>
      <w:r>
        <w:rPr>
          <w:rFonts w:cs="Times New Roman"/>
          <w:i/>
        </w:rPr>
        <w:t>合作進行安置安排呢？</w:t>
      </w:r>
    </w:p>
    <w:p>
      <w:pPr>
        <w:pStyle w:val="F21"/>
        <w:spacing w:lineRule="atLeast" w:line="370"/>
        <w:rPr>
          <w:rFonts w:cs="Times New Roman"/>
          <w:i/>
          <w:i/>
        </w:rPr>
      </w:pPr>
      <w:r>
        <w:rPr>
          <w:rFonts w:cs="Times New Roman"/>
          <w:i/>
        </w:rPr>
      </w:r>
    </w:p>
    <w:p>
      <w:pPr>
        <w:pStyle w:val="F21"/>
        <w:spacing w:lineRule="atLeast" w:line="370"/>
        <w:rPr>
          <w:rFonts w:cs="Times New Roman"/>
          <w:i/>
          <w:i/>
        </w:rPr>
      </w:pPr>
      <w:r>
        <w:rPr>
          <w:rFonts w:cs="Times New Roman"/>
          <w:i/>
        </w:rPr>
      </w:r>
    </w:p>
    <w:p>
      <w:pPr>
        <w:pStyle w:val="F21"/>
        <w:spacing w:lineRule="atLeast" w:line="370"/>
        <w:rPr>
          <w:rFonts w:cs="Times New Roman"/>
        </w:rPr>
      </w:pPr>
      <w:r>
        <w:rPr>
          <w:rFonts w:cs="Times New Roman" w:eastAsia="華康中黑體"/>
          <w:b/>
        </w:rPr>
        <w:t>發展局局長</w:t>
      </w:r>
      <w:r>
        <w:rPr>
          <w:rFonts w:cs="Times New Roman"/>
        </w:rPr>
        <w:t>：我非常同意麥美娟議員的觀察，因為她在市建局擔任非執行董事，也很有經驗。事實上，我們需要設法改善和打破這一個限制。</w:t>
      </w:r>
    </w:p>
    <w:p>
      <w:pPr>
        <w:pStyle w:val="F21"/>
        <w:spacing w:lineRule="atLeast" w:line="370"/>
        <w:rPr>
          <w:rFonts w:cs="Times New Roman"/>
        </w:rPr>
      </w:pPr>
      <w:r>
        <w:rPr>
          <w:rFonts w:cs="Times New Roman"/>
        </w:rPr>
      </w:r>
    </w:p>
    <w:p>
      <w:pPr>
        <w:pStyle w:val="F21"/>
        <w:spacing w:lineRule="atLeast" w:line="370"/>
        <w:rPr>
          <w:rFonts w:cs="Times New Roman"/>
        </w:rPr>
      </w:pPr>
      <w:r>
        <w:rPr>
          <w:rFonts w:cs="Times New Roman"/>
        </w:rPr>
        <w:tab/>
      </w:r>
      <w:r>
        <w:rPr>
          <w:rFonts w:cs="Times New Roman"/>
        </w:rPr>
        <w:t>就目前來說，市建局跟房協已有種種配合，例如在啟德預留用地，讓市建局可為一些受重建項目影響的住戶提供適當安置。不過，目前的規模並不足夠，我期望市建局的研究可在這方面提供意見。</w:t>
      </w:r>
    </w:p>
    <w:p>
      <w:pPr>
        <w:pStyle w:val="F21"/>
        <w:spacing w:lineRule="atLeast" w:line="370"/>
        <w:rPr>
          <w:rFonts w:cs="Times New Roman"/>
        </w:rPr>
      </w:pPr>
      <w:r>
        <w:rPr>
          <w:rFonts w:cs="Times New Roman"/>
        </w:rPr>
      </w:r>
    </w:p>
    <w:p>
      <w:pPr>
        <w:pStyle w:val="F21"/>
        <w:spacing w:lineRule="atLeast" w:line="370"/>
        <w:rPr>
          <w:rFonts w:cs="Times New Roman"/>
          <w:szCs w:val="27"/>
        </w:rPr>
      </w:pPr>
      <w:r>
        <w:rPr>
          <w:rFonts w:cs="Times New Roman"/>
        </w:rPr>
        <w:tab/>
      </w:r>
      <w:r>
        <w:rPr>
          <w:rFonts w:cs="Times New Roman"/>
        </w:rPr>
        <w:t>主席，今天我不想說得太遠，但這正是我們為何指香港需要找到更多土地的原因之一。正如土地供應專責小組提交政府的建議，當中指出重建不是增加大量新樓宇供應來源的因素，而其中一個主要原因是需要覓地進行安置。因此，在土地方面，我們接下來會加大力度做適當的工夫。然而，的而且確，要在市區或鄰近市區的地方找到</w:t>
      </w:r>
      <w:r>
        <w:rPr>
          <w:rFonts w:cs="Times New Roman"/>
          <w:szCs w:val="27"/>
        </w:rPr>
        <w:t>適合作安置用途的土地，是我們需要克服的一大挑戰。</w:t>
      </w:r>
    </w:p>
    <w:p>
      <w:pPr>
        <w:pStyle w:val="F21"/>
        <w:spacing w:lineRule="atLeast" w:line="370"/>
        <w:rPr>
          <w:rFonts w:cs="Times New Roman"/>
          <w:szCs w:val="27"/>
        </w:rPr>
      </w:pPr>
      <w:r>
        <w:rPr>
          <w:rFonts w:cs="Times New Roman"/>
          <w:szCs w:val="27"/>
        </w:rPr>
      </w:r>
    </w:p>
    <w:p>
      <w:pPr>
        <w:pStyle w:val="Normal"/>
        <w:widowControl/>
        <w:tabs>
          <w:tab w:val="clear" w:pos="720"/>
        </w:tabs>
        <w:snapToGrid w:val="true"/>
        <w:spacing w:lineRule="auto" w:line="276" w:before="0" w:after="200"/>
        <w:jc w:val="left"/>
        <w:rPr>
          <w:spacing w:val="20"/>
          <w:sz w:val="27"/>
          <w:szCs w:val="27"/>
          <w:lang w:val="en-US"/>
        </w:rPr>
      </w:pPr>
      <w:r>
        <w:rPr>
          <w:spacing w:val="20"/>
          <w:sz w:val="27"/>
          <w:szCs w:val="27"/>
          <w:lang w:val="en-US"/>
        </w:rPr>
      </w:r>
      <w:r>
        <w:br w:type="page"/>
      </w:r>
    </w:p>
    <w:p>
      <w:pPr>
        <w:pStyle w:val="F21"/>
        <w:spacing w:lineRule="atLeast" w:line="370"/>
        <w:rPr>
          <w:i/>
          <w:i/>
          <w:szCs w:val="27"/>
        </w:rPr>
      </w:pPr>
      <w:bookmarkStart w:id="24" w:name="_GoBack"/>
      <w:bookmarkEnd w:id="24"/>
      <w:r>
        <w:rPr>
          <w:rFonts w:ascii="華康中黑體" w:hAnsi="華康中黑體" w:cs="華康中黑體" w:eastAsia="華康中黑體"/>
          <w:b/>
          <w:szCs w:val="27"/>
        </w:rPr>
        <w:t>盧偉國議員</w:t>
      </w:r>
      <w:r>
        <w:rPr>
          <w:szCs w:val="27"/>
        </w:rPr>
        <w:t>：</w:t>
      </w:r>
      <w:r>
        <w:rPr>
          <w:i/>
          <w:szCs w:val="27"/>
        </w:rPr>
        <w:t>主席，這項質詢有關新界舊區的發展，實際上，近日工務小組委員會亦通過了兩項在新界的重要發展項目的基建撥款申請，一項是涉及</w:t>
      </w:r>
      <w:r>
        <w:rPr>
          <w:i/>
          <w:szCs w:val="27"/>
        </w:rPr>
        <w:t>336</w:t>
      </w:r>
      <w:r>
        <w:rPr>
          <w:i/>
          <w:szCs w:val="27"/>
        </w:rPr>
        <w:t>億元的古洞北和粉嶺北發展的基建撥款，以及涉及</w:t>
      </w:r>
      <w:r>
        <w:rPr>
          <w:i/>
          <w:szCs w:val="27"/>
        </w:rPr>
        <w:t>24</w:t>
      </w:r>
      <w:r>
        <w:rPr>
          <w:i/>
          <w:szCs w:val="27"/>
        </w:rPr>
        <w:t>億元的橫洲第一期基建土地發展撥款，雖然以上撥款仍有待財委會作最後批撥，但亦可說已經看到一線曙光。</w:t>
      </w:r>
    </w:p>
    <w:p>
      <w:pPr>
        <w:pStyle w:val="F21"/>
        <w:spacing w:lineRule="atLeast" w:line="370"/>
        <w:rPr>
          <w:i/>
          <w:i/>
          <w:szCs w:val="27"/>
        </w:rPr>
      </w:pPr>
      <w:r>
        <w:rPr>
          <w:i/>
          <w:szCs w:val="27"/>
        </w:rPr>
      </w:r>
    </w:p>
    <w:p>
      <w:pPr>
        <w:pStyle w:val="F21"/>
        <w:spacing w:lineRule="atLeast" w:line="370"/>
        <w:rPr>
          <w:i/>
          <w:i/>
          <w:szCs w:val="27"/>
        </w:rPr>
      </w:pPr>
      <w:r>
        <w:rPr>
          <w:i/>
          <w:szCs w:val="27"/>
        </w:rPr>
        <w:tab/>
      </w:r>
      <w:r>
        <w:rPr>
          <w:i/>
          <w:szCs w:val="27"/>
        </w:rPr>
        <w:t>就着這些重要的新界大型舊區重建計劃，局長會否保證會全面和審慎地檢視相關的地積比率，並會盡量增加比率，令這些難得的發展機遇得以做到最好，興建更多市民所需的公屋和私樓？</w:t>
      </w:r>
    </w:p>
    <w:p>
      <w:pPr>
        <w:pStyle w:val="F21"/>
        <w:spacing w:lineRule="atLeast" w:line="370"/>
        <w:rPr>
          <w:i/>
          <w:i/>
          <w:szCs w:val="27"/>
        </w:rPr>
      </w:pPr>
      <w:r>
        <w:rPr>
          <w:i/>
          <w:szCs w:val="27"/>
        </w:rPr>
      </w:r>
    </w:p>
    <w:p>
      <w:pPr>
        <w:pStyle w:val="F21"/>
        <w:spacing w:lineRule="atLeast" w:line="370"/>
        <w:rPr>
          <w:i/>
          <w:i/>
          <w:szCs w:val="27"/>
        </w:rPr>
      </w:pPr>
      <w:r>
        <w:rPr>
          <w:i/>
          <w:szCs w:val="27"/>
        </w:rPr>
      </w:r>
    </w:p>
    <w:p>
      <w:pPr>
        <w:pStyle w:val="F21"/>
        <w:spacing w:lineRule="atLeast" w:line="370"/>
        <w:rPr>
          <w:szCs w:val="27"/>
        </w:rPr>
      </w:pPr>
      <w:r>
        <w:rPr>
          <w:rFonts w:ascii="華康中黑體" w:hAnsi="華康中黑體" w:cs="華康中黑體" w:eastAsia="華康中黑體"/>
          <w:b/>
          <w:szCs w:val="27"/>
        </w:rPr>
        <w:t>發展局局長</w:t>
      </w:r>
      <w:r>
        <w:rPr>
          <w:szCs w:val="27"/>
        </w:rPr>
        <w:t>：多謝盧偉國議員，我們多謝工務小組委員會通過相關項目，接下來亦希望在財委會可以獲得議員支持。</w:t>
      </w:r>
    </w:p>
    <w:p>
      <w:pPr>
        <w:pStyle w:val="F21"/>
        <w:spacing w:lineRule="atLeast" w:line="370"/>
        <w:rPr>
          <w:szCs w:val="27"/>
        </w:rPr>
      </w:pPr>
      <w:r>
        <w:rPr>
          <w:szCs w:val="27"/>
        </w:rPr>
      </w:r>
    </w:p>
    <w:p>
      <w:pPr>
        <w:pStyle w:val="F21"/>
        <w:spacing w:lineRule="atLeast" w:line="370"/>
        <w:rPr>
          <w:szCs w:val="27"/>
        </w:rPr>
      </w:pPr>
      <w:r>
        <w:rPr>
          <w:szCs w:val="27"/>
        </w:rPr>
        <w:tab/>
      </w:r>
      <w:r>
        <w:rPr>
          <w:szCs w:val="27"/>
        </w:rPr>
        <w:t>我們會全盤進行檢視。新發展區土地的出現，當然有助處理鄰近舊區的市區重建工作，但除了倚仗這方面外，在舊區中如何以有效方法加快重建的速度和成效，這一點也是很重要的。</w:t>
      </w:r>
    </w:p>
    <w:p>
      <w:pPr>
        <w:pStyle w:val="F21"/>
        <w:spacing w:lineRule="atLeast" w:line="370"/>
        <w:rPr>
          <w:szCs w:val="27"/>
        </w:rPr>
      </w:pPr>
      <w:r>
        <w:rPr>
          <w:szCs w:val="27"/>
        </w:rPr>
      </w:r>
    </w:p>
    <w:p>
      <w:pPr>
        <w:pStyle w:val="F21"/>
        <w:spacing w:lineRule="atLeast" w:line="370"/>
        <w:rPr>
          <w:szCs w:val="27"/>
        </w:rPr>
      </w:pPr>
      <w:r>
        <w:rPr>
          <w:szCs w:val="27"/>
        </w:rPr>
        <w:tab/>
      </w:r>
      <w:r>
        <w:rPr>
          <w:szCs w:val="27"/>
        </w:rPr>
        <w:t>我在此不想扯得太遠，但大家可以看看市建局近年一項發展，這是我們相當支持的，就是以規劃先行。以往有些時候，市建局會興建很多單幢樓宇，雖然單幢樓宇也是需要的，但單幢樓宇對區內交通網絡、居住環境等的改進未必很大。如果進行一個小社區的發展，就會對整個社區的發展有較大作用，這亦回應了盧偉國議員剛才所指，有需要整全地進行。近日沙浦道的項目正是一例，項目所選擇的位置除了可進行重建外，還達到一個</w:t>
      </w:r>
      <w:r>
        <w:rPr>
          <w:szCs w:val="27"/>
        </w:rPr>
        <w:t>gateway(</w:t>
      </w:r>
      <w:r>
        <w:rPr>
          <w:szCs w:val="27"/>
        </w:rPr>
        <w:t>通道</w:t>
      </w:r>
      <w:r>
        <w:rPr>
          <w:szCs w:val="27"/>
        </w:rPr>
        <w:t>)</w:t>
      </w:r>
      <w:r>
        <w:rPr>
          <w:szCs w:val="27"/>
        </w:rPr>
        <w:t>的效果，令九龍城和將來啟德新發展區的聯繫更好、更舒適，這也是我們相當支持的方向。</w:t>
      </w:r>
    </w:p>
    <w:p>
      <w:pPr>
        <w:pStyle w:val="F21"/>
        <w:spacing w:lineRule="atLeast" w:line="370"/>
        <w:rPr>
          <w:szCs w:val="27"/>
        </w:rPr>
      </w:pPr>
      <w:r>
        <w:rPr>
          <w:szCs w:val="27"/>
        </w:rPr>
      </w:r>
    </w:p>
    <w:p>
      <w:pPr>
        <w:pStyle w:val="F21"/>
        <w:spacing w:lineRule="atLeast" w:line="370"/>
        <w:rPr>
          <w:szCs w:val="27"/>
        </w:rPr>
      </w:pPr>
      <w:r>
        <w:rPr>
          <w:szCs w:val="27"/>
        </w:rPr>
      </w:r>
    </w:p>
    <w:p>
      <w:pPr>
        <w:pStyle w:val="F21"/>
        <w:spacing w:lineRule="atLeast" w:line="370"/>
        <w:rPr>
          <w:i/>
          <w:i/>
          <w:szCs w:val="27"/>
        </w:rPr>
      </w:pPr>
      <w:r>
        <w:rPr>
          <w:rFonts w:ascii="華康中黑體" w:hAnsi="華康中黑體" w:cs="華康中黑體" w:eastAsia="華康中黑體"/>
          <w:b/>
          <w:szCs w:val="27"/>
        </w:rPr>
        <w:t>胡志偉議員</w:t>
      </w:r>
      <w:r>
        <w:rPr>
          <w:szCs w:val="27"/>
        </w:rPr>
        <w:t>：</w:t>
      </w:r>
      <w:r>
        <w:rPr>
          <w:i/>
          <w:szCs w:val="27"/>
        </w:rPr>
        <w:t>主席，在舊區重建這議題上，我們很多時候會落入需要清拆樓宇和重建樓宇的討論，但當中的核心課題只有兩個。在清拆樓宇方面，這涉及收回私有產權的問題，當然亦涉及《收回土地條例》的運用，以及當局在行使公權力介入私有產權時，在收回過程中，如何能顯示公眾利益所在；不然這種介入往往會被視為政府運用公權力奪取私有產權。</w:t>
      </w:r>
    </w:p>
    <w:p>
      <w:pPr>
        <w:pStyle w:val="F21"/>
        <w:spacing w:lineRule="atLeast" w:line="370"/>
        <w:rPr>
          <w:i/>
          <w:i/>
          <w:szCs w:val="27"/>
        </w:rPr>
      </w:pPr>
      <w:r>
        <w:rPr>
          <w:i/>
          <w:szCs w:val="27"/>
        </w:rPr>
      </w:r>
    </w:p>
    <w:p>
      <w:pPr>
        <w:pStyle w:val="F21"/>
        <w:spacing w:lineRule="atLeast" w:line="370"/>
        <w:rPr>
          <w:i/>
          <w:i/>
          <w:szCs w:val="27"/>
        </w:rPr>
      </w:pPr>
      <w:r>
        <w:rPr>
          <w:i/>
          <w:szCs w:val="27"/>
        </w:rPr>
        <w:tab/>
      </w:r>
      <w:r>
        <w:rPr>
          <w:i/>
          <w:szCs w:val="27"/>
        </w:rPr>
        <w:t>在進行舊區重建的過程中，市建局正正是運用其公權力，履行法例賦予其進行舊區重建的責任和功能。那麼，市建局是否有一個更大的責任，在現時整個置業階梯中，擔當更清晰的角色，特別是在高階資助出售房屋，如首次置業計劃等方面？因為如果在這方面欠缺名正言順或清晰界定的角色和功能，往往會令公眾質疑市建局運用《收回土地條例》所賦權力，但興建的樓宇卻成為私人物業，樓價高不可攀，這做法無助政府推展舊區重建。</w:t>
      </w:r>
    </w:p>
    <w:p>
      <w:pPr>
        <w:pStyle w:val="F21"/>
        <w:spacing w:lineRule="atLeast" w:line="370"/>
        <w:rPr>
          <w:i/>
          <w:i/>
          <w:szCs w:val="27"/>
        </w:rPr>
      </w:pPr>
      <w:r>
        <w:rPr>
          <w:i/>
          <w:szCs w:val="27"/>
        </w:rPr>
      </w:r>
    </w:p>
    <w:p>
      <w:pPr>
        <w:pStyle w:val="F21"/>
        <w:spacing w:lineRule="atLeast" w:line="370"/>
        <w:rPr>
          <w:i/>
          <w:i/>
          <w:szCs w:val="27"/>
        </w:rPr>
      </w:pPr>
      <w:r>
        <w:rPr>
          <w:i/>
          <w:szCs w:val="27"/>
        </w:rPr>
        <w:tab/>
      </w:r>
      <w:r>
        <w:rPr>
          <w:i/>
          <w:szCs w:val="27"/>
        </w:rPr>
        <w:t>因此，我想問政府有否重新為市建局的角色和定位訂定新概念，例如由市建局承擔首次置業計劃，即我們稱為高階資助出售房屋的計劃？</w:t>
      </w:r>
    </w:p>
    <w:p>
      <w:pPr>
        <w:pStyle w:val="F21"/>
        <w:spacing w:lineRule="atLeast" w:line="370"/>
        <w:rPr>
          <w:i/>
          <w:i/>
          <w:szCs w:val="27"/>
        </w:rPr>
      </w:pPr>
      <w:r>
        <w:rPr>
          <w:i/>
          <w:szCs w:val="27"/>
        </w:rPr>
      </w:r>
    </w:p>
    <w:p>
      <w:pPr>
        <w:pStyle w:val="F21"/>
        <w:spacing w:lineRule="atLeast" w:line="370"/>
        <w:rPr>
          <w:i/>
          <w:i/>
          <w:szCs w:val="27"/>
        </w:rPr>
      </w:pPr>
      <w:r>
        <w:rPr>
          <w:i/>
          <w:szCs w:val="27"/>
        </w:rPr>
      </w:r>
    </w:p>
    <w:p>
      <w:pPr>
        <w:pStyle w:val="F21"/>
        <w:spacing w:lineRule="atLeast" w:line="370"/>
        <w:rPr/>
      </w:pPr>
      <w:r>
        <w:rPr>
          <w:rFonts w:ascii="華康中黑體" w:hAnsi="華康中黑體" w:cs="華康中黑體" w:eastAsia="華康中黑體"/>
          <w:b/>
          <w:szCs w:val="27"/>
        </w:rPr>
        <w:t>發展局局長</w:t>
      </w:r>
      <w:r>
        <w:rPr>
          <w:szCs w:val="27"/>
        </w:rPr>
        <w:t>：主席，我精簡答覆胡議員的補充質詢。我認為市建局目前的角色，主要是透過重建提供一些私人市場物業，所以其現時的主要角色並無改變。然而，當中有一些調整，以</w:t>
      </w:r>
      <w:r>
        <w:rPr>
          <w:szCs w:val="27"/>
        </w:rPr>
        <w:t>"</w:t>
      </w:r>
      <w:r>
        <w:rPr>
          <w:szCs w:val="27"/>
        </w:rPr>
        <w:t>煥然懿居</w:t>
      </w:r>
      <w:r>
        <w:rPr>
          <w:szCs w:val="27"/>
        </w:rPr>
        <w:t>"</w:t>
      </w:r>
      <w:r>
        <w:rPr>
          <w:szCs w:val="27"/>
        </w:rPr>
        <w:t>為例，</w:t>
      </w:r>
      <w:r>
        <w:rPr/>
        <w:t>就是實驗性地為一些資助性質的房屋提供一個來源。</w:t>
      </w:r>
    </w:p>
    <w:p>
      <w:pPr>
        <w:pStyle w:val="F21"/>
        <w:spacing w:lineRule="atLeast" w:line="370"/>
        <w:rPr/>
      </w:pPr>
      <w:r>
        <w:rPr/>
      </w:r>
    </w:p>
    <w:p>
      <w:pPr>
        <w:pStyle w:val="F21"/>
        <w:spacing w:lineRule="atLeast" w:line="370"/>
        <w:rPr/>
      </w:pPr>
      <w:r>
        <w:rPr/>
        <w:tab/>
        <w:t>2018</w:t>
      </w:r>
      <w:r>
        <w:rPr/>
        <w:t>年的施政報告也提到，政府已經邀請市建局為一些公務員建屋合作社的樓宇進行相關研究。我們現時看到，如果這些土地得以成功推出，不單有空間提供私人市場的樓宇，亦應有空間提供一些有資助成分的樓宇。因此，市建局牽頭的角色是會繼續的。然而，整個公共房屋或資助房屋市場應朝甚麼方向發展，我想要與運輸及房屋局商討，因為房屋政策是他們牽頭的。</w:t>
      </w:r>
    </w:p>
    <w:p>
      <w:pPr>
        <w:pStyle w:val="F21"/>
        <w:spacing w:lineRule="atLeast" w:line="370"/>
        <w:rPr/>
      </w:pPr>
      <w:r>
        <w:rPr/>
      </w:r>
    </w:p>
    <w:p>
      <w:pPr>
        <w:pStyle w:val="Normal"/>
        <w:spacing w:lineRule="atLeast" w:line="370"/>
        <w:rPr/>
      </w:pPr>
      <w:r>
        <w:rPr/>
      </w:r>
    </w:p>
    <w:p>
      <w:pPr>
        <w:pStyle w:val="F21"/>
        <w:spacing w:lineRule="atLeast" w:line="370"/>
        <w:rPr>
          <w:i/>
          <w:i/>
        </w:rPr>
      </w:pPr>
      <w:r>
        <w:rPr>
          <w:rFonts w:eastAsia="華康中黑體"/>
          <w:b/>
          <w:szCs w:val="27"/>
        </w:rPr>
        <w:t>梁美芬議員</w:t>
      </w:r>
      <w:r>
        <w:rPr/>
        <w:t>：</w:t>
      </w:r>
      <w:r>
        <w:rPr>
          <w:i/>
        </w:rPr>
        <w:t>主席，我正想問局長關於公務員建屋合作社的重建問題。我曾與局長溝通，如公務員建屋合作社重建釋出土地時，會否優先選擇附近有一些老舊公共屋邨的樓宇，如附近有樂民新村的靠背壟道的樓宇？在重建過程中，當局可否把舊型公共屋邨的居民，重置至鄰近重建後的公務員建屋合作社的樓宇，在那些區份釋出更多土地興建更大型的屋邨？當局會否優先選擇這一類在地理上配對的地區呢？</w:t>
      </w:r>
    </w:p>
    <w:p>
      <w:pPr>
        <w:pStyle w:val="F21"/>
        <w:spacing w:lineRule="atLeast" w:line="370"/>
        <w:rPr>
          <w:i/>
          <w:i/>
        </w:rPr>
      </w:pPr>
      <w:r>
        <w:rPr>
          <w:i/>
        </w:rPr>
      </w:r>
    </w:p>
    <w:p>
      <w:pPr>
        <w:pStyle w:val="F21"/>
        <w:spacing w:lineRule="atLeast" w:line="370"/>
        <w:rPr>
          <w:i/>
          <w:i/>
        </w:rPr>
      </w:pPr>
      <w:r>
        <w:rPr>
          <w:i/>
        </w:rPr>
      </w:r>
    </w:p>
    <w:p>
      <w:pPr>
        <w:pStyle w:val="F21"/>
        <w:spacing w:lineRule="atLeast" w:line="370"/>
        <w:rPr/>
      </w:pPr>
      <w:r>
        <w:rPr>
          <w:rFonts w:eastAsia="華康中黑體"/>
          <w:b/>
        </w:rPr>
        <w:t>發展局局長</w:t>
      </w:r>
      <w:r>
        <w:rPr/>
        <w:t>：多謝梁議員的補充質詢。由於市建局現正進行相關研究，我不想訂定太多限制，但任何具社會效益的因素也是需要考慮的。</w:t>
      </w:r>
    </w:p>
    <w:p>
      <w:pPr>
        <w:pStyle w:val="Normal"/>
        <w:widowControl/>
        <w:tabs>
          <w:tab w:val="clear" w:pos="720"/>
        </w:tabs>
        <w:snapToGrid w:val="true"/>
        <w:spacing w:lineRule="auto" w:line="276" w:before="0" w:after="200"/>
        <w:jc w:val="left"/>
        <w:rPr>
          <w:rFonts w:cs="" w:cstheme="minorBidi"/>
          <w:spacing w:val="20"/>
          <w:sz w:val="27"/>
          <w:szCs w:val="22"/>
          <w:lang w:val="en-US"/>
        </w:rPr>
      </w:pPr>
      <w:r>
        <w:rPr>
          <w:rFonts w:cs="" w:cstheme="minorBidi"/>
          <w:spacing w:val="20"/>
          <w:sz w:val="27"/>
          <w:szCs w:val="22"/>
          <w:lang w:val="en-US"/>
        </w:rPr>
      </w:r>
      <w:r>
        <w:br w:type="page"/>
      </w:r>
    </w:p>
    <w:p>
      <w:pPr>
        <w:pStyle w:val="F21"/>
        <w:spacing w:lineRule="atLeast" w:line="350"/>
        <w:rPr/>
      </w:pPr>
      <w:r>
        <w:rPr/>
        <w:tab/>
      </w:r>
      <w:r>
        <w:rPr/>
        <w:t>就梁議員的提議，我想向她指出一個事實，或許梁議員也知道，政府已經開始有關工作。我們在啟德特別為房協提供土地，其中一個原因就是讓房協可以重建真善美村。不過，這方面涉及房屋政策，我們要與運輸及房屋局攜手並肩去做。</w:t>
      </w:r>
    </w:p>
    <w:p>
      <w:pPr>
        <w:pStyle w:val="F21"/>
        <w:spacing w:lineRule="atLeast" w:line="350"/>
        <w:rPr/>
      </w:pPr>
      <w:r>
        <w:rPr/>
      </w:r>
    </w:p>
    <w:p>
      <w:pPr>
        <w:pStyle w:val="F21"/>
        <w:spacing w:lineRule="atLeast" w:line="350"/>
        <w:rPr/>
      </w:pPr>
      <w:r>
        <w:rPr/>
        <w:tab/>
      </w:r>
      <w:r>
        <w:rPr/>
        <w:t>至於市建局稍後的研究，我相信另一考慮就是推行後對整個社會的效益。舉例來說，現時提到單位數目或地積比率很低，如果找到地積比率相對較高的地點，或可提供更多的新單位。我剛才也曾提到，我們絕不排除這些項目中某些部分的地盤可用作發展資助房屋，但是否用作重建或其他用途，我認為在現階段是言之尚早，我們稍後會認真研究。</w:t>
      </w:r>
    </w:p>
    <w:p>
      <w:pPr>
        <w:pStyle w:val="F21"/>
        <w:spacing w:lineRule="atLeast" w:line="350"/>
        <w:rPr>
          <w:rFonts w:cs="Times New Roman"/>
          <w:szCs w:val="27"/>
        </w:rPr>
      </w:pPr>
      <w:r>
        <w:rPr>
          <w:rFonts w:cs="Times New Roman"/>
          <w:szCs w:val="27"/>
        </w:rPr>
      </w:r>
    </w:p>
    <w:p>
      <w:pPr>
        <w:pStyle w:val="F21"/>
        <w:overflowPunct w:val="true"/>
        <w:spacing w:lineRule="atLeast" w:line="350"/>
        <w:rPr>
          <w:rFonts w:cs="Times New Roman"/>
        </w:rPr>
      </w:pPr>
      <w:r>
        <w:rPr>
          <w:rFonts w:cs="Times New Roman"/>
        </w:rPr>
      </w:r>
    </w:p>
    <w:p>
      <w:pPr>
        <w:pStyle w:val="F21"/>
        <w:overflowPunct w:val="true"/>
        <w:spacing w:lineRule="atLeast" w:line="350"/>
        <w:rPr>
          <w:rFonts w:cs="Times New Roman"/>
        </w:rPr>
      </w:pPr>
      <w:r>
        <w:rPr>
          <w:rFonts w:cs="Times New Roman" w:eastAsia="華康中黑體"/>
          <w:b/>
        </w:rPr>
        <w:t>主席</w:t>
      </w:r>
      <w:r>
        <w:rPr>
          <w:rFonts w:cs="Times New Roman"/>
        </w:rPr>
        <w:t>：口頭質詢到此為止。</w:t>
      </w:r>
    </w:p>
    <w:p>
      <w:pPr>
        <w:pStyle w:val="F21"/>
        <w:overflowPunct w:val="true"/>
        <w:spacing w:lineRule="atLeast" w:line="350"/>
        <w:rPr>
          <w:rFonts w:cs="Times New Roman"/>
        </w:rPr>
      </w:pPr>
      <w:r>
        <w:rPr>
          <w:rFonts w:cs="Times New Roman"/>
        </w:rPr>
      </w:r>
    </w:p>
    <w:p>
      <w:pPr>
        <w:pStyle w:val="F21"/>
        <w:overflowPunct w:val="true"/>
        <w:spacing w:lineRule="atLeast" w:line="350"/>
        <w:rPr>
          <w:rFonts w:cs="Times New Roman"/>
        </w:rPr>
      </w:pPr>
      <w:r>
        <w:rPr>
          <w:rFonts w:cs="Times New Roman"/>
        </w:rPr>
      </w:r>
    </w:p>
    <w:p>
      <w:pPr>
        <w:pStyle w:val="F21"/>
        <w:overflowPunct w:val="true"/>
        <w:spacing w:lineRule="atLeast" w:line="350"/>
        <w:rPr>
          <w:rFonts w:eastAsia="華康中黑體" w:cs="Times New Roman"/>
          <w:b/>
          <w:b/>
          <w:sz w:val="28"/>
          <w:szCs w:val="28"/>
        </w:rPr>
      </w:pPr>
      <w:bookmarkStart w:id="25" w:name="wrq"/>
      <w:r>
        <w:rPr>
          <w:rFonts w:cs="Times New Roman" w:eastAsia="華康中黑體"/>
          <w:b/>
          <w:sz w:val="28"/>
          <w:szCs w:val="28"/>
        </w:rPr>
        <w:t>議員質詢的書面答覆</w:t>
      </w:r>
    </w:p>
    <w:p>
      <w:pPr>
        <w:pStyle w:val="Normal"/>
        <w:overflowPunct w:val="true"/>
        <w:spacing w:lineRule="atLeast" w:line="350"/>
        <w:rPr>
          <w:rFonts w:eastAsia="華康中黑體"/>
          <w:b/>
          <w:b/>
          <w:spacing w:val="20"/>
          <w:sz w:val="27"/>
          <w:szCs w:val="22"/>
          <w:lang w:val="en-US"/>
        </w:rPr>
      </w:pPr>
      <w:bookmarkStart w:id="26" w:name="wrq"/>
      <w:r>
        <w:rPr>
          <w:b/>
        </w:rPr>
        <w:t>WRITTEN ANSWERS TO QUESTIONS</w:t>
      </w:r>
      <w:bookmarkEnd w:id="26"/>
    </w:p>
    <w:p>
      <w:pPr>
        <w:pStyle w:val="F21"/>
        <w:overflowPunct w:val="true"/>
        <w:spacing w:lineRule="atLeast" w:line="350"/>
        <w:rPr>
          <w:rFonts w:cs="Times New Roman"/>
        </w:rPr>
      </w:pPr>
      <w:r>
        <w:rPr>
          <w:rFonts w:cs="Times New Roman"/>
        </w:rPr>
      </w:r>
    </w:p>
    <w:p>
      <w:pPr>
        <w:pStyle w:val="F21"/>
        <w:overflowPunct w:val="true"/>
        <w:spacing w:lineRule="atLeast" w:line="350"/>
        <w:rPr>
          <w:rFonts w:eastAsia="華康中黑體" w:cs="Times New Roman"/>
          <w:b/>
          <w:b/>
        </w:rPr>
      </w:pPr>
      <w:bookmarkStart w:id="27" w:name="wrq07"/>
      <w:r>
        <w:rPr>
          <w:rFonts w:cs="Times New Roman" w:eastAsia="華康中黑體"/>
          <w:b/>
        </w:rPr>
        <w:t>旅行社轉用電子印花徵費系統</w:t>
      </w:r>
    </w:p>
    <w:p>
      <w:pPr>
        <w:pStyle w:val="Normal"/>
        <w:overflowPunct w:val="true"/>
        <w:spacing w:lineRule="atLeast" w:line="350"/>
        <w:rPr>
          <w:b/>
          <w:b/>
        </w:rPr>
      </w:pPr>
      <w:bookmarkStart w:id="28" w:name="wrq07"/>
      <w:r>
        <w:rPr>
          <w:b/>
        </w:rPr>
        <w:t>Travel agents switching to use the E-levy System</w:t>
      </w:r>
      <w:bookmarkEnd w:id="28"/>
    </w:p>
    <w:p>
      <w:pPr>
        <w:pStyle w:val="F21"/>
        <w:overflowPunct w:val="true"/>
        <w:spacing w:lineRule="atLeast" w:line="350"/>
        <w:rPr>
          <w:rFonts w:cs="Times New Roman"/>
        </w:rPr>
      </w:pPr>
      <w:r>
        <w:rPr>
          <w:rFonts w:cs="Times New Roman"/>
        </w:rPr>
      </w:r>
    </w:p>
    <w:p>
      <w:pPr>
        <w:pStyle w:val="F21"/>
        <w:spacing w:lineRule="atLeast" w:line="350"/>
        <w:rPr>
          <w:i/>
          <w:i/>
          <w:szCs w:val="27"/>
        </w:rPr>
      </w:pPr>
      <w:r>
        <w:rPr>
          <w:rFonts w:eastAsia="華康中黑體" w:cs="Times New Roman"/>
          <w:b/>
          <w:szCs w:val="27"/>
        </w:rPr>
        <w:t>7.</w:t>
        <w:tab/>
      </w:r>
      <w:r>
        <w:rPr>
          <w:rFonts w:cs="Times New Roman" w:eastAsia="華康中黑體"/>
          <w:b/>
          <w:szCs w:val="27"/>
        </w:rPr>
        <w:t>姚思榮議員</w:t>
      </w:r>
      <w:r>
        <w:rPr>
          <w:szCs w:val="27"/>
        </w:rPr>
        <w:t>：</w:t>
      </w:r>
      <w:r>
        <w:rPr>
          <w:i/>
          <w:szCs w:val="27"/>
        </w:rPr>
        <w:t>主席，根據《旅行代理商條例》</w:t>
      </w:r>
      <w:r>
        <w:rPr>
          <w:i/>
          <w:szCs w:val="27"/>
        </w:rPr>
        <w:t>(</w:t>
      </w:r>
      <w:r>
        <w:rPr>
          <w:i/>
          <w:szCs w:val="27"/>
        </w:rPr>
        <w:t>第</w:t>
      </w:r>
      <w:r>
        <w:rPr>
          <w:i/>
          <w:szCs w:val="27"/>
        </w:rPr>
        <w:t>218</w:t>
      </w:r>
      <w:r>
        <w:rPr>
          <w:i/>
          <w:szCs w:val="27"/>
        </w:rPr>
        <w:t>章</w:t>
      </w:r>
      <w:r>
        <w:rPr>
          <w:i/>
          <w:szCs w:val="27"/>
        </w:rPr>
        <w:t>)</w:t>
      </w:r>
      <w:r>
        <w:rPr>
          <w:i/>
          <w:szCs w:val="27"/>
        </w:rPr>
        <w:t>，旅行社有法律責任就外遊旅行服務</w:t>
      </w:r>
      <w:r>
        <w:rPr>
          <w:i/>
          <w:szCs w:val="27"/>
        </w:rPr>
        <w:t>(</w:t>
      </w:r>
      <w:r>
        <w:rPr>
          <w:i/>
          <w:szCs w:val="27"/>
        </w:rPr>
        <w:t>指由香港出發的境外交通、境外住宿及境外活動的其中任何兩項或全部構成的服務</w:t>
      </w:r>
      <w:r>
        <w:rPr>
          <w:i/>
          <w:szCs w:val="27"/>
        </w:rPr>
        <w:t>)</w:t>
      </w:r>
      <w:r>
        <w:rPr>
          <w:i/>
          <w:szCs w:val="27"/>
        </w:rPr>
        <w:t>所收到的每筆外遊費繳付印花徵費。旅行社支付印花徵費時須使用傳統印花機或電子印花徵費系統</w:t>
      </w:r>
      <w:r>
        <w:rPr>
          <w:i/>
          <w:szCs w:val="27"/>
        </w:rPr>
        <w:t>(</w:t>
      </w:r>
      <w:r>
        <w:rPr>
          <w:rFonts w:cs="Times New Roman"/>
          <w:i/>
          <w:szCs w:val="27"/>
        </w:rPr>
        <w:t>"</w:t>
      </w:r>
      <w:r>
        <w:rPr>
          <w:i/>
          <w:szCs w:val="27"/>
        </w:rPr>
        <w:t>電子系統</w:t>
      </w:r>
      <w:r>
        <w:rPr>
          <w:rFonts w:cs="Times New Roman"/>
          <w:i/>
          <w:szCs w:val="27"/>
        </w:rPr>
        <w:t>"</w:t>
      </w:r>
      <w:r>
        <w:rPr>
          <w:i/>
          <w:szCs w:val="27"/>
        </w:rPr>
        <w:t>)</w:t>
      </w:r>
      <w:r>
        <w:rPr>
          <w:i/>
          <w:szCs w:val="27"/>
        </w:rPr>
        <w:t>為向顧客發出的收據加蓋印花</w:t>
      </w:r>
      <w:r>
        <w:rPr>
          <w:i/>
          <w:szCs w:val="27"/>
        </w:rPr>
        <w:t>(</w:t>
      </w:r>
      <w:r>
        <w:rPr>
          <w:i/>
          <w:szCs w:val="27"/>
        </w:rPr>
        <w:t>而旅客須持有已加蓋印花的收據，才可獲旅遊業賠償基金保障</w:t>
      </w:r>
      <w:r>
        <w:rPr>
          <w:i/>
          <w:szCs w:val="27"/>
        </w:rPr>
        <w:t>)</w:t>
      </w:r>
      <w:r>
        <w:rPr>
          <w:i/>
          <w:szCs w:val="27"/>
        </w:rPr>
        <w:t>。據悉，香港旅遊業議會</w:t>
      </w:r>
      <w:r>
        <w:rPr>
          <w:i/>
          <w:szCs w:val="27"/>
        </w:rPr>
        <w:t>(</w:t>
      </w:r>
      <w:r>
        <w:rPr>
          <w:rFonts w:cs="Times New Roman"/>
          <w:i/>
          <w:szCs w:val="27"/>
        </w:rPr>
        <w:t>"</w:t>
      </w:r>
      <w:r>
        <w:rPr>
          <w:i/>
          <w:szCs w:val="27"/>
        </w:rPr>
        <w:t>旅議會</w:t>
      </w:r>
      <w:r>
        <w:rPr>
          <w:rFonts w:cs="Times New Roman"/>
          <w:i/>
          <w:szCs w:val="27"/>
        </w:rPr>
        <w:t>"</w:t>
      </w:r>
      <w:r>
        <w:rPr>
          <w:i/>
          <w:szCs w:val="27"/>
        </w:rPr>
        <w:t>)</w:t>
      </w:r>
      <w:r>
        <w:rPr>
          <w:i/>
          <w:szCs w:val="27"/>
        </w:rPr>
        <w:t>最近通知各旅行社，由於傳統印花機供應商將不再提供服務，所有傳統印花機將由今年</w:t>
      </w:r>
      <w:r>
        <w:rPr>
          <w:i/>
          <w:szCs w:val="27"/>
        </w:rPr>
        <w:t>7</w:t>
      </w:r>
      <w:r>
        <w:rPr>
          <w:i/>
          <w:szCs w:val="27"/>
        </w:rPr>
        <w:t>月</w:t>
      </w:r>
      <w:r>
        <w:rPr>
          <w:i/>
          <w:szCs w:val="27"/>
        </w:rPr>
        <w:t>1</w:t>
      </w:r>
      <w:r>
        <w:rPr>
          <w:i/>
          <w:szCs w:val="27"/>
        </w:rPr>
        <w:t>日起停用，屆時所有旅行社必須使用電子系統為收據加蓋印花。就此，政府可否告知本會，是否知悉：</w:t>
      </w:r>
    </w:p>
    <w:p>
      <w:pPr>
        <w:pStyle w:val="F21"/>
        <w:spacing w:lineRule="atLeast" w:line="350"/>
        <w:rPr>
          <w:i/>
          <w:i/>
          <w:szCs w:val="27"/>
        </w:rPr>
      </w:pPr>
      <w:r>
        <w:rPr>
          <w:i/>
          <w:szCs w:val="27"/>
        </w:rPr>
      </w:r>
    </w:p>
    <w:p>
      <w:pPr>
        <w:pStyle w:val="F21"/>
        <w:spacing w:lineRule="atLeast" w:line="350"/>
        <w:ind w:left="1418" w:hanging="851"/>
        <w:rPr>
          <w:i/>
          <w:i/>
          <w:szCs w:val="27"/>
        </w:rPr>
      </w:pPr>
      <w:r>
        <w:rPr>
          <w:i/>
          <w:szCs w:val="27"/>
        </w:rPr>
        <w:t>(</w:t>
      </w:r>
      <w:r>
        <w:rPr>
          <w:i/>
          <w:szCs w:val="27"/>
        </w:rPr>
        <w:t>一</w:t>
      </w:r>
      <w:r>
        <w:rPr>
          <w:i/>
          <w:szCs w:val="27"/>
        </w:rPr>
        <w:t>)</w:t>
        <w:tab/>
      </w:r>
      <w:r>
        <w:rPr>
          <w:i/>
          <w:szCs w:val="27"/>
        </w:rPr>
        <w:t>所有旅行社當中，目前有使用電子系統的數目及百分比，以及旅議會有何措施確保全部旅行社在傳統印花機停用前完成轉用電子系統的準備工作；</w:t>
      </w:r>
    </w:p>
    <w:p>
      <w:pPr>
        <w:pStyle w:val="F21"/>
        <w:spacing w:lineRule="atLeast" w:line="350"/>
        <w:ind w:left="1418" w:hanging="851"/>
        <w:rPr>
          <w:i/>
          <w:i/>
          <w:szCs w:val="27"/>
        </w:rPr>
      </w:pPr>
      <w:r>
        <w:rPr>
          <w:i/>
          <w:szCs w:val="27"/>
        </w:rPr>
      </w:r>
    </w:p>
    <w:p>
      <w:pPr>
        <w:pStyle w:val="F21"/>
        <w:spacing w:lineRule="atLeast" w:line="350"/>
        <w:ind w:left="1418" w:hanging="851"/>
        <w:rPr>
          <w:i/>
          <w:i/>
          <w:szCs w:val="27"/>
        </w:rPr>
      </w:pPr>
      <w:r>
        <w:rPr>
          <w:i/>
          <w:szCs w:val="27"/>
        </w:rPr>
        <w:t>(</w:t>
      </w:r>
      <w:r>
        <w:rPr>
          <w:i/>
          <w:szCs w:val="27"/>
        </w:rPr>
        <w:t>二</w:t>
      </w:r>
      <w:r>
        <w:rPr>
          <w:i/>
          <w:szCs w:val="27"/>
        </w:rPr>
        <w:t>)</w:t>
        <w:tab/>
      </w:r>
      <w:r>
        <w:rPr>
          <w:i/>
          <w:szCs w:val="27"/>
        </w:rPr>
        <w:t>旅議會有否制訂應變方案，以應付電子系統因故障而無法為收據加蓋印花的情況；及</w:t>
      </w:r>
      <w:r>
        <w:br w:type="page"/>
      </w:r>
    </w:p>
    <w:p>
      <w:pPr>
        <w:pStyle w:val="F21"/>
        <w:spacing w:lineRule="atLeast" w:line="350"/>
        <w:ind w:left="1418" w:hanging="851"/>
        <w:rPr>
          <w:i/>
          <w:i/>
          <w:szCs w:val="27"/>
        </w:rPr>
      </w:pPr>
      <w:r>
        <w:rPr>
          <w:i/>
          <w:szCs w:val="27"/>
        </w:rPr>
        <w:t>(</w:t>
      </w:r>
      <w:r>
        <w:rPr>
          <w:i/>
          <w:szCs w:val="27"/>
        </w:rPr>
        <w:t>三</w:t>
      </w:r>
      <w:r>
        <w:rPr>
          <w:i/>
          <w:szCs w:val="27"/>
        </w:rPr>
        <w:t>)</w:t>
        <w:tab/>
      </w:r>
      <w:r>
        <w:rPr>
          <w:i/>
          <w:szCs w:val="27"/>
        </w:rPr>
        <w:t>旅議會會否擴充電子系統的功能，以收集旅行社銷售旅行團及自由行旅遊產品的數據，然後向旅遊業界發放由該等數據產生的統計數字，以作市場分析和開發新產品之用；若會，詳情為何；若否，原因為何？</w:t>
      </w:r>
    </w:p>
    <w:p>
      <w:pPr>
        <w:pStyle w:val="F21"/>
        <w:spacing w:lineRule="atLeast" w:line="350"/>
        <w:rPr>
          <w:szCs w:val="27"/>
        </w:rPr>
      </w:pPr>
      <w:r>
        <w:rPr>
          <w:szCs w:val="27"/>
        </w:rPr>
      </w:r>
    </w:p>
    <w:p>
      <w:pPr>
        <w:pStyle w:val="F21"/>
        <w:spacing w:lineRule="atLeast" w:line="350"/>
        <w:rPr>
          <w:szCs w:val="27"/>
        </w:rPr>
      </w:pPr>
      <w:r>
        <w:rPr>
          <w:szCs w:val="27"/>
        </w:rPr>
      </w:r>
    </w:p>
    <w:p>
      <w:pPr>
        <w:pStyle w:val="F21"/>
        <w:spacing w:lineRule="atLeast" w:line="350"/>
        <w:rPr>
          <w:szCs w:val="27"/>
        </w:rPr>
      </w:pPr>
      <w:r>
        <w:rPr>
          <w:rFonts w:ascii="華康中黑體" w:hAnsi="華康中黑體" w:eastAsia="華康中黑體"/>
          <w:b/>
          <w:szCs w:val="27"/>
        </w:rPr>
        <w:t>商務及經濟發展局局長</w:t>
      </w:r>
      <w:r>
        <w:rPr>
          <w:szCs w:val="27"/>
        </w:rPr>
        <w:t>：主席，旅行代理商如經營外遊旅行服務，須就旅客所支付的外遊費繳交徵費。就此，電子印花徵費系統</w:t>
      </w:r>
      <w:r>
        <w:rPr>
          <w:szCs w:val="27"/>
        </w:rPr>
        <w:t>("</w:t>
      </w:r>
      <w:r>
        <w:rPr>
          <w:szCs w:val="27"/>
        </w:rPr>
        <w:t>電子系統</w:t>
      </w:r>
      <w:r>
        <w:rPr>
          <w:szCs w:val="27"/>
        </w:rPr>
        <w:t>")</w:t>
      </w:r>
      <w:r>
        <w:rPr>
          <w:szCs w:val="27"/>
        </w:rPr>
        <w:t>提供一個電子平台，讓旅行代理商透過系統直接就旅客所支付的外遊費繳付徵費，並處理相關的事宜，例如在網上增加電子印花戶口內的金額。旅客亦可透過電子系統在網上查核旅行代理商是否已就其交易繳付徵費，確保其合乎資格獲得旅遊業賠償基金的保障。隨着科技發展，並配合市場付款模式的轉變，電子系統自</w:t>
      </w:r>
      <w:r>
        <w:rPr>
          <w:szCs w:val="27"/>
        </w:rPr>
        <w:t>2018</w:t>
      </w:r>
      <w:r>
        <w:rPr>
          <w:szCs w:val="27"/>
        </w:rPr>
        <w:t>年</w:t>
      </w:r>
      <w:r>
        <w:rPr>
          <w:szCs w:val="27"/>
        </w:rPr>
        <w:t>6</w:t>
      </w:r>
      <w:r>
        <w:rPr>
          <w:szCs w:val="27"/>
        </w:rPr>
        <w:t>月</w:t>
      </w:r>
      <w:r>
        <w:rPr>
          <w:szCs w:val="27"/>
        </w:rPr>
        <w:t>1</w:t>
      </w:r>
      <w:r>
        <w:rPr>
          <w:szCs w:val="27"/>
        </w:rPr>
        <w:t>日開始推出以來，已有越來越多的旅行代理商使用，而由於傳統印花機的服務供應商不再提供相關服務，傳統印花機亦將於</w:t>
      </w:r>
      <w:r>
        <w:rPr>
          <w:szCs w:val="27"/>
        </w:rPr>
        <w:t>2019</w:t>
      </w:r>
      <w:r>
        <w:rPr>
          <w:szCs w:val="27"/>
        </w:rPr>
        <w:t>年</w:t>
      </w:r>
      <w:r>
        <w:rPr>
          <w:szCs w:val="27"/>
        </w:rPr>
        <w:t>7</w:t>
      </w:r>
      <w:r>
        <w:rPr>
          <w:szCs w:val="27"/>
        </w:rPr>
        <w:t>月</w:t>
      </w:r>
      <w:r>
        <w:rPr>
          <w:szCs w:val="27"/>
        </w:rPr>
        <w:t>1</w:t>
      </w:r>
      <w:r>
        <w:rPr>
          <w:szCs w:val="27"/>
        </w:rPr>
        <w:t>日起停止服務。</w:t>
      </w:r>
    </w:p>
    <w:p>
      <w:pPr>
        <w:pStyle w:val="F21"/>
        <w:spacing w:lineRule="atLeast" w:line="350"/>
        <w:rPr>
          <w:szCs w:val="27"/>
        </w:rPr>
      </w:pPr>
      <w:r>
        <w:rPr>
          <w:szCs w:val="27"/>
        </w:rPr>
      </w:r>
    </w:p>
    <w:p>
      <w:pPr>
        <w:pStyle w:val="F21"/>
        <w:spacing w:lineRule="atLeast" w:line="350"/>
        <w:rPr>
          <w:szCs w:val="27"/>
        </w:rPr>
      </w:pPr>
      <w:r>
        <w:rPr>
          <w:szCs w:val="27"/>
        </w:rPr>
        <w:tab/>
      </w:r>
      <w:r>
        <w:rPr>
          <w:szCs w:val="27"/>
        </w:rPr>
        <w:t>就姚思榮議員的質詢，現答覆如下：</w:t>
      </w:r>
    </w:p>
    <w:p>
      <w:pPr>
        <w:pStyle w:val="F21"/>
        <w:spacing w:lineRule="atLeast" w:line="350"/>
        <w:rPr>
          <w:szCs w:val="27"/>
        </w:rPr>
      </w:pPr>
      <w:r>
        <w:rPr>
          <w:szCs w:val="27"/>
        </w:rPr>
      </w:r>
    </w:p>
    <w:p>
      <w:pPr>
        <w:pStyle w:val="Style15"/>
        <w:spacing w:lineRule="atLeast" w:line="350"/>
        <w:rPr>
          <w:i w:val="false"/>
          <w:i w:val="false"/>
        </w:rPr>
      </w:pPr>
      <w:r>
        <w:rPr>
          <w:i w:val="false"/>
        </w:rPr>
        <w:t>(</w:t>
      </w:r>
      <w:r>
        <w:rPr>
          <w:i w:val="false"/>
        </w:rPr>
        <w:t>一</w:t>
      </w:r>
      <w:r>
        <w:rPr>
          <w:i w:val="false"/>
        </w:rPr>
        <w:t>)</w:t>
        <w:tab/>
      </w:r>
      <w:r>
        <w:rPr>
          <w:i w:val="false"/>
        </w:rPr>
        <w:t>旅遊業賠償基金管理委員會</w:t>
      </w:r>
      <w:r>
        <w:rPr>
          <w:i w:val="false"/>
        </w:rPr>
        <w:t>("</w:t>
      </w:r>
      <w:r>
        <w:rPr>
          <w:i w:val="false"/>
        </w:rPr>
        <w:t>委員會</w:t>
      </w:r>
      <w:r>
        <w:rPr>
          <w:i w:val="false"/>
        </w:rPr>
        <w:t>")</w:t>
      </w:r>
      <w:r>
        <w:rPr>
          <w:i w:val="false"/>
        </w:rPr>
        <w:t>及香港旅遊業議會</w:t>
      </w:r>
      <w:r>
        <w:rPr>
          <w:i w:val="false"/>
        </w:rPr>
        <w:t>("</w:t>
      </w:r>
      <w:r>
        <w:rPr>
          <w:i w:val="false"/>
        </w:rPr>
        <w:t>旅議會</w:t>
      </w:r>
      <w:r>
        <w:rPr>
          <w:i w:val="false"/>
        </w:rPr>
        <w:t>")</w:t>
      </w:r>
      <w:r>
        <w:rPr>
          <w:i w:val="false"/>
        </w:rPr>
        <w:t>一直積極向旅行代理商推廣使用電子系統，並提供培訓及協助，包括開辦培訓工作坊及設立訓練專頁，讓旅行社職員熟習輸入資料及發出電子印花。此外，委員會及旅議會均設立了電話熱線解答旅行代理商的查詢，以及製作了雙語視像教材及操作手冊讓使用者隨時參考。政府亦已向旅議會撥款</w:t>
      </w:r>
      <w:r>
        <w:rPr>
          <w:i w:val="false"/>
        </w:rPr>
        <w:t>4,000</w:t>
      </w:r>
      <w:r>
        <w:rPr>
          <w:i w:val="false"/>
        </w:rPr>
        <w:t>萬元推行</w:t>
      </w:r>
      <w:r>
        <w:rPr>
          <w:i w:val="false"/>
        </w:rPr>
        <w:t>"</w:t>
      </w:r>
      <w:r>
        <w:rPr>
          <w:i w:val="false"/>
        </w:rPr>
        <w:t>旅行社資訊科技發展配對基金先導計劃</w:t>
      </w:r>
      <w:r>
        <w:rPr>
          <w:i w:val="false"/>
        </w:rPr>
        <w:t>"</w:t>
      </w:r>
      <w:r>
        <w:rPr>
          <w:i w:val="false"/>
        </w:rPr>
        <w:t>，資助旅行社透過使用資訊科技提升生產力及服務質素，當中包括使用電子系統。</w:t>
      </w:r>
    </w:p>
    <w:p>
      <w:pPr>
        <w:pStyle w:val="Style15"/>
        <w:spacing w:lineRule="atLeast" w:line="350"/>
        <w:rPr>
          <w:i w:val="false"/>
          <w:i w:val="false"/>
        </w:rPr>
      </w:pPr>
      <w:r>
        <w:rPr>
          <w:i w:val="false"/>
        </w:rPr>
      </w:r>
    </w:p>
    <w:p>
      <w:pPr>
        <w:pStyle w:val="Style15"/>
        <w:spacing w:lineRule="atLeast" w:line="350"/>
        <w:rPr>
          <w:i w:val="false"/>
          <w:i w:val="false"/>
        </w:rPr>
      </w:pPr>
      <w:r>
        <w:rPr>
          <w:i w:val="false"/>
        </w:rPr>
        <w:tab/>
      </w:r>
      <w:r>
        <w:rPr>
          <w:i w:val="false"/>
        </w:rPr>
        <w:t>現時約</w:t>
      </w:r>
      <w:r>
        <w:rPr>
          <w:i w:val="false"/>
        </w:rPr>
        <w:t>1 760</w:t>
      </w:r>
      <w:r>
        <w:rPr>
          <w:i w:val="false"/>
        </w:rPr>
        <w:t>間持牌旅行代理商中，業務上需要繳付印花徵費的旅行社共有</w:t>
      </w:r>
      <w:r>
        <w:rPr>
          <w:i w:val="false"/>
        </w:rPr>
        <w:t>1 046</w:t>
      </w:r>
      <w:r>
        <w:rPr>
          <w:i w:val="false"/>
        </w:rPr>
        <w:t>間，當中約</w:t>
      </w:r>
      <w:r>
        <w:rPr>
          <w:i w:val="false"/>
        </w:rPr>
        <w:t>460</w:t>
      </w:r>
      <w:r>
        <w:rPr>
          <w:i w:val="false"/>
        </w:rPr>
        <w:t>間已開設</w:t>
      </w:r>
      <w:r>
        <w:rPr>
          <w:rFonts w:ascii="華康細明體" w:hAnsi="華康細明體"/>
          <w:i w:val="false"/>
        </w:rPr>
        <w:t>/</w:t>
      </w:r>
      <w:r>
        <w:rPr>
          <w:i w:val="false"/>
        </w:rPr>
        <w:t>使用電子系統帳戶，可使用系統繳付徵費，佔需要繳付印花徵費的旅行社的數目約</w:t>
      </w:r>
      <w:r>
        <w:rPr>
          <w:i w:val="false"/>
        </w:rPr>
        <w:t>44%</w:t>
      </w:r>
      <w:r>
        <w:rPr>
          <w:i w:val="false"/>
        </w:rPr>
        <w:t>，而其所佔市場份額則約</w:t>
      </w:r>
      <w:r>
        <w:rPr>
          <w:i w:val="false"/>
        </w:rPr>
        <w:t>87%</w:t>
      </w:r>
      <w:r>
        <w:rPr>
          <w:i w:val="false"/>
        </w:rPr>
        <w:t>。</w:t>
      </w:r>
    </w:p>
    <w:p>
      <w:pPr>
        <w:pStyle w:val="Style15"/>
        <w:spacing w:lineRule="atLeast" w:line="350"/>
        <w:rPr>
          <w:i w:val="false"/>
          <w:i w:val="false"/>
        </w:rPr>
      </w:pPr>
      <w:r>
        <w:rPr>
          <w:i w:val="false"/>
        </w:rPr>
      </w:r>
    </w:p>
    <w:p>
      <w:pPr>
        <w:pStyle w:val="Style15"/>
        <w:spacing w:lineRule="atLeast" w:line="350"/>
        <w:rPr>
          <w:i w:val="false"/>
          <w:i w:val="false"/>
        </w:rPr>
      </w:pPr>
      <w:r>
        <w:rPr>
          <w:i w:val="false"/>
        </w:rPr>
        <w:tab/>
      </w:r>
      <w:r>
        <w:rPr>
          <w:i w:val="false"/>
        </w:rPr>
        <w:t>委員會及旅議會會繼續採取多項措施，以協助相關旅行社盡快全面轉用電子系統，包括：</w:t>
      </w:r>
    </w:p>
    <w:p>
      <w:pPr>
        <w:pStyle w:val="F21"/>
        <w:spacing w:lineRule="atLeast" w:line="350"/>
        <w:rPr>
          <w:szCs w:val="27"/>
        </w:rPr>
      </w:pPr>
      <w:r>
        <w:rPr>
          <w:szCs w:val="27"/>
        </w:rPr>
      </w:r>
    </w:p>
    <w:p>
      <w:pPr>
        <w:pStyle w:val="F21"/>
        <w:spacing w:lineRule="atLeast" w:line="350"/>
        <w:ind w:left="1985" w:hanging="567"/>
        <w:rPr>
          <w:szCs w:val="27"/>
        </w:rPr>
      </w:pPr>
      <w:r>
        <w:rPr>
          <w:szCs w:val="27"/>
        </w:rPr>
        <w:t>(1)</w:t>
        <w:tab/>
      </w:r>
      <w:r>
        <w:rPr>
          <w:szCs w:val="27"/>
        </w:rPr>
        <w:t>繼續開辦培訓工作坊供旅行社員工參加</w:t>
      </w:r>
      <w:r>
        <w:rPr>
          <w:szCs w:val="27"/>
        </w:rPr>
        <w:t>(</w:t>
      </w:r>
      <w:r>
        <w:rPr>
          <w:szCs w:val="27"/>
        </w:rPr>
        <w:t>至今已開辦</w:t>
      </w:r>
      <w:r>
        <w:rPr>
          <w:szCs w:val="27"/>
        </w:rPr>
        <w:t>21</w:t>
      </w:r>
      <w:r>
        <w:rPr>
          <w:szCs w:val="27"/>
        </w:rPr>
        <w:t>個培訓工作坊，約有</w:t>
      </w:r>
      <w:r>
        <w:rPr>
          <w:szCs w:val="27"/>
        </w:rPr>
        <w:t>800</w:t>
      </w:r>
      <w:r>
        <w:rPr>
          <w:szCs w:val="27"/>
        </w:rPr>
        <w:t>人參與</w:t>
      </w:r>
      <w:r>
        <w:rPr>
          <w:szCs w:val="27"/>
        </w:rPr>
        <w:t>)</w:t>
      </w:r>
      <w:r>
        <w:rPr>
          <w:szCs w:val="27"/>
        </w:rPr>
        <w:t>；</w:t>
      </w:r>
    </w:p>
    <w:p>
      <w:pPr>
        <w:pStyle w:val="F21"/>
        <w:spacing w:lineRule="exact" w:line="20"/>
        <w:ind w:left="1985" w:hanging="567"/>
        <w:rPr>
          <w:szCs w:val="27"/>
        </w:rPr>
      </w:pPr>
      <w:r>
        <w:rPr>
          <w:szCs w:val="27"/>
        </w:rPr>
      </w:r>
      <w:r>
        <w:br w:type="page"/>
      </w:r>
    </w:p>
    <w:p>
      <w:pPr>
        <w:pStyle w:val="F21"/>
        <w:ind w:left="1985" w:hanging="567"/>
        <w:rPr>
          <w:szCs w:val="27"/>
        </w:rPr>
      </w:pPr>
      <w:r>
        <w:rPr>
          <w:szCs w:val="27"/>
        </w:rPr>
        <w:t>(2)</w:t>
        <w:tab/>
      </w:r>
      <w:r>
        <w:rPr>
          <w:szCs w:val="27"/>
        </w:rPr>
        <w:t>為旅議會轄下</w:t>
      </w:r>
      <w:r>
        <w:rPr>
          <w:szCs w:val="27"/>
        </w:rPr>
        <w:t>8</w:t>
      </w:r>
      <w:r>
        <w:rPr>
          <w:szCs w:val="27"/>
        </w:rPr>
        <w:t>個屬會作出安排，直接為其會員旅行社開辦專場培訓；</w:t>
      </w:r>
    </w:p>
    <w:p>
      <w:pPr>
        <w:pStyle w:val="F21"/>
        <w:ind w:left="1985" w:hanging="567"/>
        <w:rPr>
          <w:szCs w:val="27"/>
        </w:rPr>
      </w:pPr>
      <w:r>
        <w:rPr>
          <w:szCs w:val="27"/>
        </w:rPr>
      </w:r>
    </w:p>
    <w:p>
      <w:pPr>
        <w:pStyle w:val="F21"/>
        <w:ind w:left="1985" w:hanging="567"/>
        <w:rPr>
          <w:szCs w:val="27"/>
        </w:rPr>
      </w:pPr>
      <w:r>
        <w:rPr>
          <w:szCs w:val="27"/>
        </w:rPr>
        <w:t>(3)</w:t>
        <w:tab/>
      </w:r>
      <w:r>
        <w:rPr>
          <w:szCs w:val="27"/>
        </w:rPr>
        <w:t>為所有參加過培訓工作坊的旅行社開立系統的管理員帳戶，方便有關旅行社使用系統；及</w:t>
      </w:r>
    </w:p>
    <w:p>
      <w:pPr>
        <w:pStyle w:val="F21"/>
        <w:ind w:left="1985" w:hanging="567"/>
        <w:rPr>
          <w:szCs w:val="27"/>
        </w:rPr>
      </w:pPr>
      <w:r>
        <w:rPr>
          <w:szCs w:val="27"/>
        </w:rPr>
      </w:r>
    </w:p>
    <w:p>
      <w:pPr>
        <w:pStyle w:val="F21"/>
        <w:ind w:left="1985" w:hanging="567"/>
        <w:rPr>
          <w:szCs w:val="27"/>
        </w:rPr>
      </w:pPr>
      <w:r>
        <w:rPr>
          <w:szCs w:val="27"/>
        </w:rPr>
        <w:t>(4)</w:t>
        <w:tab/>
      </w:r>
      <w:r>
        <w:rPr>
          <w:szCs w:val="27"/>
        </w:rPr>
        <w:t>增撥人手，專職協助旅行社解決有關電子系統的問題，包括在有需要時到旅行社實地為他們提供協助。</w:t>
      </w:r>
    </w:p>
    <w:p>
      <w:pPr>
        <w:pStyle w:val="F21"/>
        <w:rPr>
          <w:szCs w:val="27"/>
        </w:rPr>
      </w:pPr>
      <w:r>
        <w:rPr>
          <w:szCs w:val="27"/>
        </w:rPr>
      </w:r>
    </w:p>
    <w:p>
      <w:pPr>
        <w:pStyle w:val="Style15"/>
        <w:rPr>
          <w:i w:val="false"/>
          <w:i w:val="false"/>
        </w:rPr>
      </w:pPr>
      <w:r>
        <w:rPr>
          <w:i w:val="false"/>
        </w:rPr>
        <w:t>(</w:t>
      </w:r>
      <w:r>
        <w:rPr>
          <w:i w:val="false"/>
        </w:rPr>
        <w:t>二</w:t>
      </w:r>
      <w:r>
        <w:rPr>
          <w:i w:val="false"/>
        </w:rPr>
        <w:t>)</w:t>
        <w:tab/>
      </w:r>
      <w:r>
        <w:rPr>
          <w:i w:val="false"/>
        </w:rPr>
        <w:t>電子系統的設計、建立及測試均符合政府資訊科技總監辦公室的指引及標準，並由資訊科技承辦商負責監測及保養。系統自</w:t>
      </w:r>
      <w:r>
        <w:rPr>
          <w:i w:val="false"/>
        </w:rPr>
        <w:t>2018</w:t>
      </w:r>
      <w:r>
        <w:rPr>
          <w:i w:val="false"/>
        </w:rPr>
        <w:t>年</w:t>
      </w:r>
      <w:r>
        <w:rPr>
          <w:i w:val="false"/>
        </w:rPr>
        <w:t>6</w:t>
      </w:r>
      <w:r>
        <w:rPr>
          <w:i w:val="false"/>
        </w:rPr>
        <w:t>月</w:t>
      </w:r>
      <w:r>
        <w:rPr>
          <w:i w:val="false"/>
        </w:rPr>
        <w:t>1</w:t>
      </w:r>
      <w:r>
        <w:rPr>
          <w:i w:val="false"/>
        </w:rPr>
        <w:t>日推行以來，一直運作暢順。為預防受事故影響，系統設有雙重保障，其日常運作部分設有兩個伺服器，當其中一個伺服器出現問題時，另一個伺服器便會即時自動運作，以確保系統能繼續運作。此外，系統使用雙站運作模式，即運作系統與後備系統分別設於香港的不同地區，萬一運作系統受停電、火災等事故影響，位於另一地區的後備系統可投入運作，維持服務。</w:t>
      </w:r>
    </w:p>
    <w:p>
      <w:pPr>
        <w:pStyle w:val="Style15"/>
        <w:rPr>
          <w:i w:val="false"/>
          <w:i w:val="false"/>
        </w:rPr>
      </w:pPr>
      <w:r>
        <w:rPr>
          <w:i w:val="false"/>
        </w:rPr>
      </w:r>
    </w:p>
    <w:p>
      <w:pPr>
        <w:pStyle w:val="Style15"/>
        <w:rPr>
          <w:i w:val="false"/>
          <w:i w:val="false"/>
        </w:rPr>
      </w:pPr>
      <w:r>
        <w:rPr>
          <w:i w:val="false"/>
        </w:rPr>
        <w:t>(</w:t>
      </w:r>
      <w:r>
        <w:rPr>
          <w:i w:val="false"/>
        </w:rPr>
        <w:t>三</w:t>
      </w:r>
      <w:r>
        <w:rPr>
          <w:i w:val="false"/>
        </w:rPr>
        <w:t>)</w:t>
        <w:tab/>
      </w:r>
      <w:r>
        <w:rPr>
          <w:i w:val="false"/>
        </w:rPr>
        <w:t>基於相關資料的敏感性及確保運作暢順，現時的電子系統只要求輸入必須的資料，讓旅行代理商的職員可方便快捷及可靠地完成交易，故此系統現時並無儲存其他可作詳細銷售或業務分析用途的資料。我們會繼續與業界保持溝通，並在合適時間檢討系統及研究有關進一步提升其功能。</w:t>
      </w:r>
    </w:p>
    <w:p>
      <w:pPr>
        <w:pStyle w:val="F21"/>
        <w:overflowPunct w:val="true"/>
        <w:rPr>
          <w:rFonts w:cs="Times New Roman"/>
        </w:rPr>
      </w:pPr>
      <w:r>
        <w:rPr>
          <w:rFonts w:cs="Times New Roman"/>
        </w:rPr>
      </w:r>
    </w:p>
    <w:p>
      <w:pPr>
        <w:pStyle w:val="F21"/>
        <w:overflowPunct w:val="true"/>
        <w:rPr>
          <w:rFonts w:cs="Times New Roman"/>
        </w:rPr>
      </w:pPr>
      <w:r>
        <w:rPr>
          <w:rFonts w:cs="Times New Roman"/>
        </w:rPr>
      </w:r>
    </w:p>
    <w:p>
      <w:pPr>
        <w:pStyle w:val="F21"/>
        <w:overflowPunct w:val="true"/>
        <w:rPr>
          <w:rFonts w:eastAsia="華康中黑體" w:cs="Times New Roman"/>
          <w:b/>
          <w:b/>
        </w:rPr>
      </w:pPr>
      <w:bookmarkStart w:id="29" w:name="wrq08"/>
      <w:r>
        <w:rPr>
          <w:rFonts w:cs="Times New Roman" w:eastAsia="華康中黑體"/>
          <w:b/>
        </w:rPr>
        <w:t>安老服務業的人力情況</w:t>
      </w:r>
    </w:p>
    <w:p>
      <w:pPr>
        <w:pStyle w:val="Normal"/>
        <w:overflowPunct w:val="true"/>
        <w:rPr>
          <w:b/>
          <w:b/>
        </w:rPr>
      </w:pPr>
      <w:bookmarkStart w:id="30" w:name="wrq08"/>
      <w:r>
        <w:rPr>
          <w:b/>
        </w:rPr>
        <w:t>Manpower situation of the elderly service sector</w:t>
      </w:r>
      <w:bookmarkEnd w:id="30"/>
    </w:p>
    <w:p>
      <w:pPr>
        <w:pStyle w:val="F21"/>
        <w:overflowPunct w:val="true"/>
        <w:rPr>
          <w:rFonts w:cs="Times New Roman"/>
        </w:rPr>
      </w:pPr>
      <w:r>
        <w:rPr>
          <w:rFonts w:cs="Times New Roman"/>
        </w:rPr>
      </w:r>
    </w:p>
    <w:p>
      <w:pPr>
        <w:pStyle w:val="F21"/>
        <w:rPr>
          <w:i/>
          <w:i/>
          <w:szCs w:val="27"/>
        </w:rPr>
      </w:pPr>
      <w:r>
        <w:rPr>
          <w:rFonts w:eastAsia="華康中黑體" w:cs="Times New Roman"/>
          <w:b/>
          <w:szCs w:val="27"/>
        </w:rPr>
        <w:t>8.</w:t>
        <w:tab/>
      </w:r>
      <w:r>
        <w:rPr>
          <w:rFonts w:cs="Times New Roman" w:eastAsia="華康中黑體"/>
          <w:b/>
          <w:szCs w:val="27"/>
        </w:rPr>
        <w:t>郭偉强議員</w:t>
      </w:r>
      <w:r>
        <w:rPr>
          <w:szCs w:val="27"/>
        </w:rPr>
        <w:t>：</w:t>
      </w:r>
      <w:r>
        <w:rPr>
          <w:i/>
          <w:szCs w:val="27"/>
        </w:rPr>
        <w:t>主席，就安老服務業的人力情況，政府可否告知本‍會：</w:t>
      </w:r>
    </w:p>
    <w:p>
      <w:pPr>
        <w:pStyle w:val="F21"/>
        <w:rPr>
          <w:i/>
          <w:i/>
          <w:szCs w:val="27"/>
        </w:rPr>
      </w:pPr>
      <w:r>
        <w:rPr>
          <w:i/>
          <w:szCs w:val="27"/>
        </w:rPr>
      </w:r>
    </w:p>
    <w:p>
      <w:pPr>
        <w:pStyle w:val="F21"/>
        <w:ind w:left="1418" w:hanging="851"/>
        <w:rPr>
          <w:i/>
          <w:i/>
          <w:szCs w:val="27"/>
        </w:rPr>
      </w:pPr>
      <w:r>
        <w:rPr>
          <w:i/>
          <w:szCs w:val="27"/>
        </w:rPr>
        <w:t>(</w:t>
      </w:r>
      <w:r>
        <w:rPr>
          <w:i/>
          <w:szCs w:val="27"/>
        </w:rPr>
        <w:t>一</w:t>
      </w:r>
      <w:r>
        <w:rPr>
          <w:i/>
          <w:szCs w:val="27"/>
        </w:rPr>
        <w:t>)</w:t>
        <w:tab/>
      </w:r>
      <w:r>
        <w:rPr>
          <w:i/>
          <w:szCs w:val="27"/>
        </w:rPr>
        <w:t>是否知悉目前全港的</w:t>
      </w:r>
      <w:r>
        <w:rPr>
          <w:i/>
          <w:szCs w:val="27"/>
        </w:rPr>
        <w:t>(i)</w:t>
      </w:r>
      <w:r>
        <w:rPr>
          <w:i/>
          <w:szCs w:val="27"/>
        </w:rPr>
        <w:t>津助安老院舍及</w:t>
      </w:r>
      <w:r>
        <w:rPr>
          <w:i/>
          <w:szCs w:val="27"/>
        </w:rPr>
        <w:t>(ii)</w:t>
      </w:r>
      <w:r>
        <w:rPr>
          <w:i/>
          <w:szCs w:val="27"/>
        </w:rPr>
        <w:t>私營安老院舍分別僱用了多少名護理員及保健員；</w:t>
      </w:r>
    </w:p>
    <w:p>
      <w:pPr>
        <w:pStyle w:val="F21"/>
        <w:ind w:left="1418" w:hanging="851"/>
        <w:rPr>
          <w:i/>
          <w:i/>
          <w:szCs w:val="27"/>
        </w:rPr>
      </w:pPr>
      <w:r>
        <w:rPr>
          <w:i/>
          <w:szCs w:val="27"/>
        </w:rPr>
      </w:r>
    </w:p>
    <w:p>
      <w:pPr>
        <w:pStyle w:val="F21"/>
        <w:ind w:left="1418" w:hanging="851"/>
        <w:rPr>
          <w:i/>
          <w:i/>
          <w:szCs w:val="27"/>
        </w:rPr>
      </w:pPr>
      <w:r>
        <w:rPr>
          <w:i/>
          <w:szCs w:val="27"/>
        </w:rPr>
        <w:t>(</w:t>
      </w:r>
      <w:r>
        <w:rPr>
          <w:i/>
          <w:szCs w:val="27"/>
        </w:rPr>
        <w:t>二</w:t>
      </w:r>
      <w:r>
        <w:rPr>
          <w:i/>
          <w:szCs w:val="27"/>
        </w:rPr>
        <w:t>)</w:t>
        <w:tab/>
      </w:r>
      <w:r>
        <w:rPr>
          <w:i/>
          <w:szCs w:val="27"/>
        </w:rPr>
        <w:t>過去兩年，每年安老服務業在補充勞工計劃下輸入勞工的人數，以及該類勞工目前的</w:t>
      </w:r>
      <w:r>
        <w:rPr>
          <w:i/>
          <w:szCs w:val="27"/>
        </w:rPr>
        <w:t>(i)</w:t>
      </w:r>
      <w:r>
        <w:rPr>
          <w:i/>
          <w:szCs w:val="27"/>
        </w:rPr>
        <w:t>每月工資中位數及</w:t>
      </w:r>
      <w:r>
        <w:rPr>
          <w:i/>
          <w:szCs w:val="27"/>
        </w:rPr>
        <w:t>(ii)</w:t>
      </w:r>
      <w:r>
        <w:rPr>
          <w:i/>
          <w:szCs w:val="27"/>
        </w:rPr>
        <w:t>平均每周工時為何；</w:t>
      </w:r>
      <w:r>
        <w:br w:type="page"/>
      </w:r>
    </w:p>
    <w:p>
      <w:pPr>
        <w:pStyle w:val="F21"/>
        <w:spacing w:lineRule="atLeast" w:line="350"/>
        <w:ind w:left="1418" w:hanging="851"/>
        <w:rPr>
          <w:i/>
          <w:i/>
          <w:szCs w:val="27"/>
        </w:rPr>
      </w:pPr>
      <w:r>
        <w:rPr>
          <w:i/>
          <w:szCs w:val="27"/>
        </w:rPr>
        <w:t>(</w:t>
      </w:r>
      <w:r>
        <w:rPr>
          <w:i/>
          <w:szCs w:val="27"/>
        </w:rPr>
        <w:t>三</w:t>
      </w:r>
      <w:r>
        <w:rPr>
          <w:i/>
          <w:szCs w:val="27"/>
        </w:rPr>
        <w:t>)</w:t>
        <w:tab/>
      </w:r>
      <w:r>
        <w:rPr>
          <w:i/>
          <w:szCs w:val="27"/>
        </w:rPr>
        <w:t>是否知悉，過去兩年，僱員再培訓局及職業訓練局分別舉辦了多少個</w:t>
      </w:r>
      <w:r>
        <w:rPr>
          <w:i/>
          <w:szCs w:val="27"/>
        </w:rPr>
        <w:t>(a)</w:t>
      </w:r>
      <w:r>
        <w:rPr>
          <w:i/>
          <w:szCs w:val="27"/>
        </w:rPr>
        <w:t>護理員證書課程及</w:t>
      </w:r>
      <w:r>
        <w:rPr>
          <w:i/>
          <w:szCs w:val="27"/>
        </w:rPr>
        <w:t>(b)</w:t>
      </w:r>
      <w:r>
        <w:rPr>
          <w:i/>
          <w:szCs w:val="27"/>
        </w:rPr>
        <w:t>保健員證書課程，並列出該等課程的下述資料：</w:t>
      </w:r>
      <w:r>
        <w:rPr>
          <w:i/>
          <w:szCs w:val="27"/>
        </w:rPr>
        <w:t>(i)</w:t>
      </w:r>
      <w:r>
        <w:rPr>
          <w:i/>
          <w:szCs w:val="27"/>
        </w:rPr>
        <w:t>名稱、</w:t>
      </w:r>
      <w:r>
        <w:rPr>
          <w:i/>
          <w:szCs w:val="27"/>
        </w:rPr>
        <w:t>(ii)</w:t>
      </w:r>
      <w:r>
        <w:rPr>
          <w:i/>
          <w:szCs w:val="27"/>
        </w:rPr>
        <w:t>所屬類別、</w:t>
      </w:r>
      <w:r>
        <w:rPr>
          <w:i/>
          <w:szCs w:val="27"/>
        </w:rPr>
        <w:t>(iii)</w:t>
      </w:r>
      <w:r>
        <w:rPr>
          <w:i/>
          <w:szCs w:val="27"/>
        </w:rPr>
        <w:t>所屬專業範疇</w:t>
      </w:r>
      <w:r>
        <w:rPr>
          <w:i/>
          <w:szCs w:val="27"/>
        </w:rPr>
        <w:t>(</w:t>
      </w:r>
      <w:r>
        <w:rPr>
          <w:i/>
          <w:szCs w:val="27"/>
        </w:rPr>
        <w:t>例如健康護理、院舍照顧</w:t>
      </w:r>
      <w:r>
        <w:rPr>
          <w:i/>
          <w:szCs w:val="27"/>
        </w:rPr>
        <w:t>)</w:t>
      </w:r>
      <w:r>
        <w:rPr>
          <w:i/>
          <w:szCs w:val="27"/>
        </w:rPr>
        <w:t>、</w:t>
      </w:r>
      <w:r>
        <w:rPr>
          <w:i/>
          <w:szCs w:val="27"/>
        </w:rPr>
        <w:t>(iv)</w:t>
      </w:r>
      <w:r>
        <w:rPr>
          <w:i/>
          <w:szCs w:val="27"/>
        </w:rPr>
        <w:t>修讀模式、</w:t>
      </w:r>
      <w:r>
        <w:rPr>
          <w:i/>
          <w:szCs w:val="27"/>
        </w:rPr>
        <w:t>(v)‍</w:t>
      </w:r>
      <w:r>
        <w:rPr>
          <w:i/>
          <w:szCs w:val="27"/>
        </w:rPr>
        <w:t>培訓期、</w:t>
      </w:r>
      <w:r>
        <w:rPr>
          <w:i/>
          <w:szCs w:val="27"/>
        </w:rPr>
        <w:t>(vi)</w:t>
      </w:r>
      <w:r>
        <w:rPr>
          <w:i/>
          <w:szCs w:val="27"/>
        </w:rPr>
        <w:t>原先預計及實際收生人數、</w:t>
      </w:r>
      <w:r>
        <w:rPr>
          <w:i/>
          <w:szCs w:val="27"/>
        </w:rPr>
        <w:t>(vii)</w:t>
      </w:r>
      <w:r>
        <w:rPr>
          <w:i/>
          <w:szCs w:val="27"/>
        </w:rPr>
        <w:t>結業學員人數，以及</w:t>
      </w:r>
      <w:r>
        <w:rPr>
          <w:i/>
          <w:szCs w:val="27"/>
        </w:rPr>
        <w:t>(viii)</w:t>
      </w:r>
      <w:r>
        <w:rPr>
          <w:i/>
          <w:szCs w:val="27"/>
        </w:rPr>
        <w:t>學員在結業後受聘於安老服務業的百分比；及</w:t>
      </w:r>
    </w:p>
    <w:p>
      <w:pPr>
        <w:pStyle w:val="F21"/>
        <w:spacing w:lineRule="atLeast" w:line="350"/>
        <w:ind w:left="1418" w:hanging="851"/>
        <w:rPr>
          <w:i/>
          <w:i/>
          <w:szCs w:val="27"/>
        </w:rPr>
      </w:pPr>
      <w:r>
        <w:rPr>
          <w:i/>
          <w:szCs w:val="27"/>
        </w:rPr>
      </w:r>
    </w:p>
    <w:p>
      <w:pPr>
        <w:pStyle w:val="F21"/>
        <w:spacing w:lineRule="atLeast" w:line="350"/>
        <w:ind w:left="1418" w:hanging="851"/>
        <w:rPr>
          <w:i/>
          <w:i/>
          <w:szCs w:val="27"/>
        </w:rPr>
      </w:pPr>
      <w:r>
        <w:rPr>
          <w:i/>
          <w:szCs w:val="27"/>
        </w:rPr>
        <w:t>(</w:t>
      </w:r>
      <w:r>
        <w:rPr>
          <w:i/>
          <w:szCs w:val="27"/>
        </w:rPr>
        <w:t>四</w:t>
      </w:r>
      <w:r>
        <w:rPr>
          <w:i/>
          <w:szCs w:val="27"/>
        </w:rPr>
        <w:t>)</w:t>
        <w:tab/>
      </w:r>
      <w:r>
        <w:rPr>
          <w:i/>
          <w:szCs w:val="27"/>
        </w:rPr>
        <w:t>鑒於社會福利署為鼓勵青年投身安老服務業自</w:t>
      </w:r>
      <w:r>
        <w:rPr>
          <w:i/>
          <w:szCs w:val="27"/>
        </w:rPr>
        <w:t>2015</w:t>
      </w:r>
      <w:r>
        <w:rPr>
          <w:i/>
          <w:szCs w:val="27"/>
        </w:rPr>
        <w:t>年</w:t>
      </w:r>
      <w:r>
        <w:rPr>
          <w:i/>
          <w:szCs w:val="27"/>
        </w:rPr>
        <w:t>7</w:t>
      </w:r>
      <w:r>
        <w:rPr>
          <w:i/>
          <w:szCs w:val="27"/>
        </w:rPr>
        <w:t>月起推行青年護理服務啟航計劃，該計劃</w:t>
      </w:r>
      <w:r>
        <w:rPr>
          <w:i/>
          <w:szCs w:val="27"/>
        </w:rPr>
        <w:t>(i)</w:t>
      </w:r>
      <w:r>
        <w:rPr>
          <w:i/>
          <w:szCs w:val="27"/>
        </w:rPr>
        <w:t>至今的名額使用率及退出率分別為何，以及</w:t>
      </w:r>
      <w:r>
        <w:rPr>
          <w:i/>
          <w:szCs w:val="27"/>
        </w:rPr>
        <w:t>(ii)</w:t>
      </w:r>
      <w:r>
        <w:rPr>
          <w:i/>
          <w:szCs w:val="27"/>
        </w:rPr>
        <w:t>每期的參加者當中，有多少人現已完成計劃下的兩年制兼讀課程；該署會否檢討並改善參加者的薪酬待遇，以期增加該計劃的吸引力？</w:t>
      </w:r>
    </w:p>
    <w:p>
      <w:pPr>
        <w:pStyle w:val="F21"/>
        <w:spacing w:lineRule="atLeast" w:line="350"/>
        <w:rPr>
          <w:szCs w:val="27"/>
        </w:rPr>
      </w:pPr>
      <w:r>
        <w:rPr>
          <w:szCs w:val="27"/>
        </w:rPr>
      </w:r>
    </w:p>
    <w:p>
      <w:pPr>
        <w:pStyle w:val="F21"/>
        <w:spacing w:lineRule="atLeast" w:line="350"/>
        <w:rPr>
          <w:szCs w:val="27"/>
        </w:rPr>
      </w:pPr>
      <w:r>
        <w:rPr>
          <w:szCs w:val="27"/>
        </w:rPr>
      </w:r>
    </w:p>
    <w:p>
      <w:pPr>
        <w:pStyle w:val="F21"/>
        <w:spacing w:lineRule="atLeast" w:line="350"/>
        <w:rPr>
          <w:szCs w:val="27"/>
        </w:rPr>
      </w:pPr>
      <w:r>
        <w:rPr>
          <w:rFonts w:ascii="華康中黑體" w:hAnsi="華康中黑體" w:cs="Times New Roman" w:eastAsia="華康中黑體"/>
          <w:b/>
          <w:szCs w:val="27"/>
        </w:rPr>
        <w:t>勞工及福利局局長</w:t>
      </w:r>
      <w:r>
        <w:rPr>
          <w:szCs w:val="27"/>
        </w:rPr>
        <w:t>：主席，就議員的質詢，我現答覆如下：</w:t>
      </w:r>
    </w:p>
    <w:p>
      <w:pPr>
        <w:pStyle w:val="F21"/>
        <w:spacing w:lineRule="atLeast" w:line="350"/>
        <w:rPr>
          <w:szCs w:val="27"/>
        </w:rPr>
      </w:pPr>
      <w:r>
        <w:rPr>
          <w:szCs w:val="27"/>
        </w:rPr>
      </w:r>
    </w:p>
    <w:p>
      <w:pPr>
        <w:pStyle w:val="F21"/>
        <w:spacing w:lineRule="atLeast" w:line="350"/>
        <w:ind w:left="1418" w:hanging="851"/>
        <w:rPr>
          <w:szCs w:val="27"/>
        </w:rPr>
      </w:pPr>
      <w:r>
        <w:rPr>
          <w:szCs w:val="27"/>
        </w:rPr>
        <w:t>(</w:t>
      </w:r>
      <w:r>
        <w:rPr>
          <w:szCs w:val="27"/>
        </w:rPr>
        <w:t>一</w:t>
      </w:r>
      <w:r>
        <w:rPr>
          <w:szCs w:val="27"/>
        </w:rPr>
        <w:t>)</w:t>
        <w:tab/>
      </w:r>
      <w:r>
        <w:rPr>
          <w:szCs w:val="27"/>
        </w:rPr>
        <w:t>社會福利署</w:t>
      </w:r>
      <w:r>
        <w:rPr>
          <w:szCs w:val="27"/>
        </w:rPr>
        <w:t>(</w:t>
      </w:r>
      <w:r>
        <w:rPr>
          <w:rFonts w:cs="Times New Roman"/>
          <w:szCs w:val="27"/>
        </w:rPr>
        <w:t>"</w:t>
      </w:r>
      <w:r>
        <w:rPr>
          <w:szCs w:val="27"/>
        </w:rPr>
        <w:t>社署</w:t>
      </w:r>
      <w:r>
        <w:rPr>
          <w:rFonts w:cs="Times New Roman"/>
          <w:szCs w:val="27"/>
        </w:rPr>
        <w:t>"</w:t>
      </w:r>
      <w:r>
        <w:rPr>
          <w:szCs w:val="27"/>
        </w:rPr>
        <w:t>)</w:t>
      </w:r>
      <w:r>
        <w:rPr>
          <w:szCs w:val="27"/>
        </w:rPr>
        <w:t>沒有就所需的資料進行系統性統計，故未能提供有關資料。</w:t>
      </w:r>
    </w:p>
    <w:p>
      <w:pPr>
        <w:pStyle w:val="F21"/>
        <w:spacing w:lineRule="atLeast" w:line="350"/>
        <w:ind w:left="1418" w:hanging="851"/>
        <w:rPr>
          <w:szCs w:val="27"/>
        </w:rPr>
      </w:pPr>
      <w:r>
        <w:rPr>
          <w:szCs w:val="27"/>
        </w:rPr>
      </w:r>
    </w:p>
    <w:p>
      <w:pPr>
        <w:pStyle w:val="F21"/>
        <w:spacing w:lineRule="atLeast" w:line="350"/>
        <w:ind w:left="1418" w:hanging="851"/>
        <w:rPr>
          <w:szCs w:val="27"/>
        </w:rPr>
      </w:pPr>
      <w:r>
        <w:rPr>
          <w:szCs w:val="27"/>
        </w:rPr>
        <w:t>(</w:t>
      </w:r>
      <w:r>
        <w:rPr>
          <w:szCs w:val="27"/>
        </w:rPr>
        <w:t>二</w:t>
      </w:r>
      <w:r>
        <w:rPr>
          <w:szCs w:val="27"/>
        </w:rPr>
        <w:t>)</w:t>
        <w:tab/>
      </w:r>
      <w:r>
        <w:rPr>
          <w:szCs w:val="27"/>
        </w:rPr>
        <w:t>在</w:t>
      </w:r>
      <w:r>
        <w:rPr>
          <w:szCs w:val="27"/>
        </w:rPr>
        <w:t>2017</w:t>
      </w:r>
      <w:r>
        <w:rPr>
          <w:szCs w:val="27"/>
        </w:rPr>
        <w:t>年和</w:t>
      </w:r>
      <w:r>
        <w:rPr>
          <w:szCs w:val="27"/>
        </w:rPr>
        <w:t>2018</w:t>
      </w:r>
      <w:r>
        <w:rPr>
          <w:szCs w:val="27"/>
        </w:rPr>
        <w:t>年，安老服務業的僱主就其在補充勞工計劃下的申請，分別獲批輸入</w:t>
      </w:r>
      <w:r>
        <w:rPr>
          <w:szCs w:val="27"/>
        </w:rPr>
        <w:t>1 510</w:t>
      </w:r>
      <w:r>
        <w:rPr>
          <w:szCs w:val="27"/>
        </w:rPr>
        <w:t>名和</w:t>
      </w:r>
      <w:r>
        <w:rPr>
          <w:szCs w:val="27"/>
        </w:rPr>
        <w:t>1 409</w:t>
      </w:r>
      <w:r>
        <w:rPr>
          <w:szCs w:val="27"/>
        </w:rPr>
        <w:t>名護理員。根據補充勞工計劃的規定，僱主給予輸入勞工的薪酬不得少於政府統計處就補充勞工計劃所編制的相關每月工資中位數。目前適用於輸入護理員職位的每月工資中位數為</w:t>
      </w:r>
      <w:r>
        <w:rPr>
          <w:szCs w:val="27"/>
        </w:rPr>
        <w:t>13,000</w:t>
      </w:r>
      <w:r>
        <w:rPr>
          <w:szCs w:val="27"/>
        </w:rPr>
        <w:t>元</w:t>
      </w:r>
      <w:r>
        <w:rPr>
          <w:szCs w:val="27"/>
        </w:rPr>
        <w:t>(</w:t>
      </w:r>
      <w:r>
        <w:rPr>
          <w:szCs w:val="27"/>
        </w:rPr>
        <w:t>工作時數為每個工作天</w:t>
      </w:r>
      <w:r>
        <w:rPr>
          <w:szCs w:val="27"/>
        </w:rPr>
        <w:t>9</w:t>
      </w:r>
      <w:r>
        <w:rPr>
          <w:szCs w:val="27"/>
        </w:rPr>
        <w:t>小時</w:t>
      </w:r>
      <w:r>
        <w:rPr>
          <w:szCs w:val="27"/>
        </w:rPr>
        <w:t>(</w:t>
      </w:r>
      <w:r>
        <w:rPr>
          <w:szCs w:val="27"/>
        </w:rPr>
        <w:t>不包括用膳時間</w:t>
      </w:r>
      <w:r>
        <w:rPr>
          <w:szCs w:val="27"/>
        </w:rPr>
        <w:t>))</w:t>
      </w:r>
      <w:r>
        <w:rPr>
          <w:szCs w:val="27"/>
        </w:rPr>
        <w:t>。勞工處沒有備存輸入護理員的平均每周工時。</w:t>
      </w:r>
    </w:p>
    <w:p>
      <w:pPr>
        <w:pStyle w:val="F21"/>
        <w:spacing w:lineRule="atLeast" w:line="350"/>
        <w:ind w:left="1418" w:hanging="851"/>
        <w:rPr>
          <w:szCs w:val="27"/>
        </w:rPr>
      </w:pPr>
      <w:r>
        <w:rPr>
          <w:szCs w:val="27"/>
        </w:rPr>
      </w:r>
    </w:p>
    <w:p>
      <w:pPr>
        <w:pStyle w:val="F21"/>
        <w:spacing w:lineRule="atLeast" w:line="350"/>
        <w:ind w:left="1418" w:hanging="851"/>
        <w:rPr>
          <w:szCs w:val="27"/>
        </w:rPr>
      </w:pPr>
      <w:r>
        <w:rPr>
          <w:szCs w:val="27"/>
        </w:rPr>
        <w:t>(</w:t>
      </w:r>
      <w:r>
        <w:rPr>
          <w:szCs w:val="27"/>
        </w:rPr>
        <w:t>三</w:t>
      </w:r>
      <w:r>
        <w:rPr>
          <w:szCs w:val="27"/>
        </w:rPr>
        <w:t>)</w:t>
        <w:tab/>
      </w:r>
      <w:r>
        <w:rPr>
          <w:szCs w:val="27"/>
        </w:rPr>
        <w:t>過去兩年，由僱員再培訓局及職業訓練局開辦與安老服務業有關的職業教育及培訓課程</w:t>
      </w:r>
      <w:r>
        <w:rPr>
          <w:szCs w:val="27"/>
        </w:rPr>
        <w:t>(</w:t>
      </w:r>
      <w:r>
        <w:rPr>
          <w:szCs w:val="27"/>
        </w:rPr>
        <w:t>包括護理員證書、保健員證書及相關課程</w:t>
      </w:r>
      <w:r>
        <w:rPr>
          <w:szCs w:val="27"/>
        </w:rPr>
        <w:t>)</w:t>
      </w:r>
      <w:r>
        <w:rPr>
          <w:szCs w:val="27"/>
        </w:rPr>
        <w:t>的資料載於附件。</w:t>
      </w:r>
    </w:p>
    <w:p>
      <w:pPr>
        <w:pStyle w:val="F21"/>
        <w:spacing w:lineRule="atLeast" w:line="350"/>
        <w:ind w:left="1418" w:hanging="851"/>
        <w:rPr>
          <w:szCs w:val="27"/>
        </w:rPr>
      </w:pPr>
      <w:r>
        <w:rPr>
          <w:szCs w:val="27"/>
        </w:rPr>
      </w:r>
    </w:p>
    <w:p>
      <w:pPr>
        <w:pStyle w:val="F21"/>
        <w:spacing w:lineRule="atLeast" w:line="350"/>
        <w:ind w:left="1418" w:hanging="851"/>
        <w:rPr>
          <w:szCs w:val="27"/>
        </w:rPr>
      </w:pPr>
      <w:r>
        <w:rPr>
          <w:szCs w:val="27"/>
        </w:rPr>
        <w:t>(</w:t>
      </w:r>
      <w:r>
        <w:rPr>
          <w:szCs w:val="27"/>
        </w:rPr>
        <w:t>四</w:t>
      </w:r>
      <w:r>
        <w:rPr>
          <w:szCs w:val="27"/>
        </w:rPr>
        <w:t>)</w:t>
        <w:tab/>
      </w:r>
      <w:r>
        <w:rPr>
          <w:szCs w:val="27"/>
        </w:rPr>
        <w:t>社署於</w:t>
      </w:r>
      <w:r>
        <w:rPr>
          <w:szCs w:val="27"/>
        </w:rPr>
        <w:t>2015</w:t>
      </w:r>
      <w:r>
        <w:rPr>
          <w:szCs w:val="27"/>
        </w:rPr>
        <w:t>年</w:t>
      </w:r>
      <w:r>
        <w:rPr>
          <w:szCs w:val="27"/>
        </w:rPr>
        <w:t>7</w:t>
      </w:r>
      <w:r>
        <w:rPr>
          <w:szCs w:val="27"/>
        </w:rPr>
        <w:t>月推出青年護理服務啟航計劃</w:t>
      </w:r>
      <w:r>
        <w:rPr>
          <w:rFonts w:cs="Times New Roman"/>
          <w:szCs w:val="27"/>
        </w:rPr>
        <w:t>("</w:t>
      </w:r>
      <w:r>
        <w:rPr>
          <w:szCs w:val="27"/>
        </w:rPr>
        <w:t>啟航計劃</w:t>
      </w:r>
      <w:r>
        <w:rPr>
          <w:rFonts w:cs="Times New Roman"/>
          <w:szCs w:val="27"/>
        </w:rPr>
        <w:t>"</w:t>
      </w:r>
      <w:r>
        <w:rPr>
          <w:szCs w:val="27"/>
        </w:rPr>
        <w:t>)</w:t>
      </w:r>
      <w:r>
        <w:rPr>
          <w:szCs w:val="27"/>
        </w:rPr>
        <w:t>，由</w:t>
      </w:r>
      <w:r>
        <w:rPr>
          <w:szCs w:val="27"/>
        </w:rPr>
        <w:t>2015-2016</w:t>
      </w:r>
      <w:r>
        <w:rPr>
          <w:szCs w:val="27"/>
        </w:rPr>
        <w:t>年度起分期提供</w:t>
      </w:r>
      <w:r>
        <w:rPr>
          <w:szCs w:val="27"/>
        </w:rPr>
        <w:t>1 000</w:t>
      </w:r>
      <w:r>
        <w:rPr>
          <w:szCs w:val="27"/>
        </w:rPr>
        <w:t>個培訓名額，以鼓勵青年人投身安老及康復護理服務。截至</w:t>
      </w:r>
      <w:r>
        <w:rPr>
          <w:szCs w:val="27"/>
        </w:rPr>
        <w:t>2018</w:t>
      </w:r>
      <w:r>
        <w:rPr>
          <w:szCs w:val="27"/>
        </w:rPr>
        <w:t>年</w:t>
      </w:r>
      <w:r>
        <w:rPr>
          <w:szCs w:val="27"/>
        </w:rPr>
        <w:t>12</w:t>
      </w:r>
      <w:r>
        <w:rPr>
          <w:szCs w:val="27"/>
        </w:rPr>
        <w:t>月底，啟航計劃的營辦機構分期合共招收了</w:t>
      </w:r>
      <w:r>
        <w:rPr>
          <w:szCs w:val="27"/>
        </w:rPr>
        <w:t>1 018</w:t>
      </w:r>
      <w:r>
        <w:rPr>
          <w:szCs w:val="27"/>
        </w:rPr>
        <w:t>名學員，其中</w:t>
      </w:r>
      <w:r>
        <w:rPr>
          <w:szCs w:val="27"/>
        </w:rPr>
        <w:t>314</w:t>
      </w:r>
      <w:r>
        <w:rPr>
          <w:szCs w:val="27"/>
        </w:rPr>
        <w:t>名學員已畢業，仍在計劃內的學員有</w:t>
      </w:r>
      <w:r>
        <w:rPr>
          <w:szCs w:val="27"/>
        </w:rPr>
        <w:t>287</w:t>
      </w:r>
      <w:r>
        <w:rPr>
          <w:szCs w:val="27"/>
        </w:rPr>
        <w:t>名，已離開啟航計劃的學員共有</w:t>
      </w:r>
      <w:r>
        <w:rPr>
          <w:szCs w:val="27"/>
        </w:rPr>
        <w:t>417</w:t>
      </w:r>
      <w:r>
        <w:rPr>
          <w:szCs w:val="27"/>
        </w:rPr>
        <w:t>名。</w:t>
      </w:r>
      <w:r>
        <w:rPr>
          <w:szCs w:val="27"/>
        </w:rPr>
        <w:t>2019-2020</w:t>
      </w:r>
      <w:r>
        <w:rPr>
          <w:szCs w:val="27"/>
        </w:rPr>
        <w:t>年度，營辦機構會繼續因應各自的課程安排招收學員，預計提供額外</w:t>
      </w:r>
      <w:r>
        <w:rPr>
          <w:szCs w:val="27"/>
        </w:rPr>
        <w:t>200</w:t>
      </w:r>
      <w:r>
        <w:rPr>
          <w:szCs w:val="27"/>
        </w:rPr>
        <w:t>個培訓名額。</w:t>
      </w:r>
      <w:r>
        <w:br w:type="page"/>
      </w:r>
    </w:p>
    <w:p>
      <w:pPr>
        <w:pStyle w:val="F21"/>
        <w:spacing w:lineRule="atLeast" w:line="340"/>
        <w:ind w:left="1418" w:hanging="851"/>
        <w:rPr>
          <w:szCs w:val="27"/>
        </w:rPr>
      </w:pPr>
      <w:r>
        <w:rPr>
          <w:szCs w:val="27"/>
        </w:rPr>
        <w:tab/>
      </w:r>
      <w:r>
        <w:rPr>
          <w:szCs w:val="27"/>
        </w:rPr>
        <w:t>政府會繼續在</w:t>
      </w:r>
      <w:r>
        <w:rPr>
          <w:szCs w:val="27"/>
        </w:rPr>
        <w:t>2020-2021</w:t>
      </w:r>
      <w:r>
        <w:rPr>
          <w:szCs w:val="27"/>
        </w:rPr>
        <w:t>年度起的</w:t>
      </w:r>
      <w:r>
        <w:rPr>
          <w:szCs w:val="27"/>
        </w:rPr>
        <w:t>5</w:t>
      </w:r>
      <w:r>
        <w:rPr>
          <w:szCs w:val="27"/>
        </w:rPr>
        <w:t>年內合共提供</w:t>
      </w:r>
      <w:r>
        <w:rPr>
          <w:szCs w:val="27"/>
        </w:rPr>
        <w:t>1 200</w:t>
      </w:r>
      <w:r>
        <w:rPr>
          <w:szCs w:val="27"/>
        </w:rPr>
        <w:t>個啟航計劃培訓名額，並優化現行計劃，吸引更多青年人報名參加啟航計劃，進一步鼓勵他們投身安老及康復護理服務。優化措施包括擴闊計劃對象年齡、下調學員每周工作時數，讓學員可更有效地兼顧進修課程，以及上調學員薪酬等，以吸引更多青年人加入社福護理行業。</w:t>
      </w:r>
    </w:p>
    <w:p>
      <w:pPr>
        <w:pStyle w:val="F21"/>
        <w:spacing w:lineRule="atLeast" w:line="340"/>
        <w:rPr>
          <w:szCs w:val="27"/>
        </w:rPr>
      </w:pPr>
      <w:r>
        <w:rPr>
          <w:szCs w:val="27"/>
        </w:rPr>
      </w:r>
    </w:p>
    <w:p>
      <w:pPr>
        <w:pStyle w:val="F21"/>
        <w:spacing w:lineRule="atLeast" w:line="340"/>
        <w:rPr>
          <w:szCs w:val="27"/>
        </w:rPr>
      </w:pPr>
      <w:r>
        <w:rPr>
          <w:szCs w:val="27"/>
        </w:rPr>
      </w:r>
    </w:p>
    <w:p>
      <w:pPr>
        <w:pStyle w:val="F21"/>
        <w:spacing w:lineRule="atLeast" w:line="340"/>
        <w:jc w:val="right"/>
        <w:rPr>
          <w:szCs w:val="27"/>
        </w:rPr>
      </w:pPr>
      <w:r>
        <w:rPr>
          <w:szCs w:val="27"/>
        </w:rPr>
        <w:t>附件</w:t>
      </w:r>
    </w:p>
    <w:p>
      <w:pPr>
        <w:pStyle w:val="F21"/>
        <w:spacing w:lineRule="atLeast" w:line="340"/>
        <w:rPr>
          <w:szCs w:val="27"/>
        </w:rPr>
      </w:pPr>
      <w:r>
        <w:rPr>
          <w:szCs w:val="27"/>
        </w:rPr>
      </w:r>
    </w:p>
    <w:p>
      <w:pPr>
        <w:pStyle w:val="F21"/>
        <w:spacing w:lineRule="atLeast" w:line="340"/>
        <w:jc w:val="center"/>
        <w:rPr>
          <w:szCs w:val="27"/>
        </w:rPr>
      </w:pPr>
      <w:r>
        <w:rPr>
          <w:szCs w:val="27"/>
        </w:rPr>
        <w:t>過去兩年由僱員再培訓局及職業訓練局開辦與安老服務業相關的</w:t>
      </w:r>
    </w:p>
    <w:p>
      <w:pPr>
        <w:pStyle w:val="F21"/>
        <w:spacing w:lineRule="atLeast" w:line="340"/>
        <w:jc w:val="center"/>
        <w:rPr>
          <w:szCs w:val="27"/>
        </w:rPr>
      </w:pPr>
      <w:r>
        <w:rPr>
          <w:szCs w:val="27"/>
        </w:rPr>
        <w:t>職業教育及培訓課程</w:t>
      </w:r>
      <w:r>
        <w:rPr>
          <w:szCs w:val="27"/>
        </w:rPr>
        <w:t>(2017-2018</w:t>
      </w:r>
      <w:r>
        <w:rPr>
          <w:szCs w:val="27"/>
        </w:rPr>
        <w:t>年度至</w:t>
      </w:r>
      <w:r>
        <w:rPr>
          <w:szCs w:val="27"/>
        </w:rPr>
        <w:t>2018-2019</w:t>
      </w:r>
      <w:r>
        <w:rPr>
          <w:szCs w:val="27"/>
        </w:rPr>
        <w:t>年度</w:t>
      </w:r>
      <w:r>
        <w:rPr>
          <w:szCs w:val="27"/>
        </w:rPr>
        <w:t>)</w:t>
      </w:r>
      <w:r>
        <w:rPr>
          <w:rFonts w:cs="Times New Roman"/>
          <w:vertAlign w:val="superscript"/>
        </w:rPr>
        <w:t>(1)</w:t>
      </w:r>
    </w:p>
    <w:p>
      <w:pPr>
        <w:pStyle w:val="F21"/>
        <w:spacing w:lineRule="atLeast" w:line="340"/>
        <w:rPr>
          <w:szCs w:val="27"/>
        </w:rPr>
      </w:pPr>
      <w:r>
        <w:rPr>
          <w:szCs w:val="27"/>
        </w:rPr>
      </w:r>
    </w:p>
    <w:p>
      <w:pPr>
        <w:pStyle w:val="F21"/>
        <w:spacing w:lineRule="atLeast" w:line="340"/>
        <w:rPr>
          <w:szCs w:val="27"/>
        </w:rPr>
      </w:pPr>
      <w:r>
        <w:rPr>
          <w:szCs w:val="27"/>
        </w:rPr>
        <w:t>I)</w:t>
        <w:tab/>
      </w:r>
      <w:r>
        <w:rPr>
          <w:szCs w:val="27"/>
        </w:rPr>
        <w:t>僱員再培訓局</w:t>
      </w:r>
    </w:p>
    <w:p>
      <w:pPr>
        <w:pStyle w:val="F21"/>
        <w:spacing w:lineRule="atLeast" w:line="340"/>
        <w:rPr>
          <w:szCs w:val="27"/>
        </w:rPr>
      </w:pPr>
      <w:r>
        <w:rPr>
          <w:szCs w:val="27"/>
        </w:rPr>
      </w:r>
    </w:p>
    <w:tbl>
      <w:tblPr>
        <w:tblW w:w="9219" w:type="dxa"/>
        <w:jc w:val="left"/>
        <w:tblInd w:w="0" w:type="dxa"/>
        <w:tblCellMar>
          <w:top w:w="0" w:type="dxa"/>
          <w:left w:w="5" w:type="dxa"/>
          <w:bottom w:w="0" w:type="dxa"/>
          <w:right w:w="5" w:type="dxa"/>
        </w:tblCellMar>
        <w:tblLook w:val="01e0" w:noHBand="0" w:noVBand="0" w:firstColumn="1" w:lastRow="1" w:lastColumn="1" w:firstRow="1"/>
      </w:tblPr>
      <w:tblGrid>
        <w:gridCol w:w="430"/>
        <w:gridCol w:w="1417"/>
        <w:gridCol w:w="1134"/>
        <w:gridCol w:w="851"/>
        <w:gridCol w:w="850"/>
        <w:gridCol w:w="851"/>
        <w:gridCol w:w="850"/>
        <w:gridCol w:w="993"/>
        <w:gridCol w:w="709"/>
        <w:gridCol w:w="1133"/>
      </w:tblGrid>
      <w:tr>
        <w:trPr>
          <w:tblHeader w:val="true"/>
          <w:trHeight w:val="1417" w:hRule="exact"/>
        </w:trPr>
        <w:tc>
          <w:tcPr>
            <w:tcW w:w="43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40"/>
              <w:ind w:left="57" w:hanging="0"/>
              <w:jc w:val="center"/>
              <w:rPr>
                <w:spacing w:val="20"/>
                <w:sz w:val="22"/>
                <w:szCs w:val="22"/>
              </w:rPr>
            </w:pPr>
            <w:r>
              <w:rPr>
                <w:spacing w:val="20"/>
                <w:sz w:val="22"/>
                <w:szCs w:val="22"/>
              </w:rPr>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40"/>
              <w:ind w:left="57" w:hanging="0"/>
              <w:jc w:val="center"/>
              <w:rPr>
                <w:i/>
                <w:i/>
                <w:spacing w:val="20"/>
                <w:sz w:val="22"/>
                <w:szCs w:val="22"/>
              </w:rPr>
            </w:pPr>
            <w:r>
              <w:rPr>
                <w:i/>
                <w:spacing w:val="20"/>
                <w:sz w:val="22"/>
                <w:szCs w:val="22"/>
              </w:rPr>
              <w:t>課程名稱</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40"/>
              <w:ind w:left="57" w:hanging="0"/>
              <w:jc w:val="center"/>
              <w:rPr>
                <w:i/>
                <w:i/>
                <w:spacing w:val="20"/>
                <w:sz w:val="22"/>
                <w:szCs w:val="22"/>
              </w:rPr>
            </w:pPr>
            <w:r>
              <w:rPr>
                <w:i/>
                <w:spacing w:val="20"/>
                <w:sz w:val="22"/>
                <w:szCs w:val="22"/>
              </w:rPr>
              <w:t>課程</w:t>
            </w:r>
          </w:p>
          <w:p>
            <w:pPr>
              <w:pStyle w:val="Normal"/>
              <w:overflowPunct w:val="true"/>
              <w:spacing w:lineRule="exact" w:line="340"/>
              <w:ind w:left="57" w:hanging="0"/>
              <w:jc w:val="center"/>
              <w:rPr>
                <w:i/>
                <w:i/>
                <w:spacing w:val="20"/>
                <w:sz w:val="22"/>
                <w:szCs w:val="22"/>
              </w:rPr>
            </w:pPr>
            <w:r>
              <w:rPr>
                <w:i/>
                <w:spacing w:val="20"/>
                <w:sz w:val="22"/>
                <w:szCs w:val="22"/>
              </w:rPr>
              <w:t>類別</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40"/>
              <w:ind w:left="57" w:hanging="0"/>
              <w:jc w:val="center"/>
              <w:rPr>
                <w:i/>
                <w:i/>
                <w:spacing w:val="20"/>
                <w:sz w:val="22"/>
                <w:szCs w:val="22"/>
              </w:rPr>
            </w:pPr>
            <w:r>
              <w:rPr>
                <w:i/>
                <w:spacing w:val="20"/>
                <w:sz w:val="22"/>
                <w:szCs w:val="22"/>
              </w:rPr>
              <w:t>範疇</w:t>
            </w:r>
          </w:p>
          <w:p>
            <w:pPr>
              <w:pStyle w:val="Normal"/>
              <w:overflowPunct w:val="true"/>
              <w:spacing w:lineRule="exact" w:line="340"/>
              <w:ind w:left="57" w:hanging="0"/>
              <w:jc w:val="center"/>
              <w:rPr>
                <w:i/>
                <w:i/>
                <w:spacing w:val="20"/>
                <w:sz w:val="22"/>
                <w:szCs w:val="22"/>
              </w:rPr>
            </w:pPr>
            <w:r>
              <w:rPr>
                <w:i/>
                <w:spacing w:val="20"/>
                <w:sz w:val="22"/>
                <w:szCs w:val="22"/>
              </w:rPr>
              <w:t>(</w:t>
            </w:r>
            <w:r>
              <w:rPr>
                <w:i/>
                <w:spacing w:val="20"/>
                <w:sz w:val="22"/>
                <w:szCs w:val="22"/>
              </w:rPr>
              <w:t>行業</w:t>
            </w:r>
            <w:r>
              <w:rPr>
                <w:i/>
                <w:spacing w:val="20"/>
                <w:sz w:val="22"/>
                <w:szCs w:val="22"/>
              </w:rPr>
              <w:t>)</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40"/>
              <w:ind w:left="57" w:hanging="0"/>
              <w:jc w:val="center"/>
              <w:rPr>
                <w:i/>
                <w:i/>
                <w:spacing w:val="20"/>
                <w:sz w:val="22"/>
                <w:szCs w:val="22"/>
              </w:rPr>
            </w:pPr>
            <w:r>
              <w:rPr>
                <w:i/>
                <w:spacing w:val="20"/>
                <w:sz w:val="22"/>
                <w:szCs w:val="22"/>
              </w:rPr>
              <w:t>課程修讀模式</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40"/>
              <w:ind w:left="57" w:hanging="0"/>
              <w:jc w:val="center"/>
              <w:rPr>
                <w:i/>
                <w:i/>
                <w:spacing w:val="20"/>
                <w:sz w:val="22"/>
                <w:szCs w:val="22"/>
              </w:rPr>
            </w:pPr>
            <w:r>
              <w:rPr>
                <w:i/>
                <w:spacing w:val="20"/>
                <w:sz w:val="22"/>
                <w:szCs w:val="22"/>
              </w:rPr>
              <w:t>課程</w:t>
            </w:r>
          </w:p>
          <w:p>
            <w:pPr>
              <w:pStyle w:val="Normal"/>
              <w:overflowPunct w:val="true"/>
              <w:spacing w:lineRule="exact" w:line="340"/>
              <w:ind w:left="57" w:hanging="0"/>
              <w:jc w:val="center"/>
              <w:rPr>
                <w:i/>
                <w:i/>
                <w:spacing w:val="20"/>
                <w:sz w:val="22"/>
                <w:szCs w:val="22"/>
              </w:rPr>
            </w:pPr>
            <w:r>
              <w:rPr>
                <w:i/>
                <w:spacing w:val="20"/>
                <w:sz w:val="22"/>
                <w:szCs w:val="22"/>
              </w:rPr>
              <w:t>培訓期</w:t>
            </w:r>
            <w:r>
              <w:rPr>
                <w:i/>
                <w:spacing w:val="20"/>
                <w:sz w:val="22"/>
                <w:szCs w:val="22"/>
              </w:rPr>
              <w:t>(</w:t>
            </w:r>
            <w:r>
              <w:rPr>
                <w:i/>
                <w:spacing w:val="20"/>
                <w:sz w:val="22"/>
                <w:szCs w:val="22"/>
              </w:rPr>
              <w:t>小時</w:t>
            </w:r>
            <w:r>
              <w:rPr>
                <w:i/>
                <w:spacing w:val="20"/>
                <w:sz w:val="22"/>
                <w:szCs w:val="22"/>
              </w:rPr>
              <w:t>)</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40"/>
              <w:ind w:left="57" w:hanging="0"/>
              <w:jc w:val="center"/>
              <w:rPr>
                <w:i/>
                <w:i/>
                <w:spacing w:val="20"/>
                <w:sz w:val="22"/>
                <w:szCs w:val="22"/>
              </w:rPr>
            </w:pPr>
            <w:r>
              <w:rPr>
                <w:i/>
                <w:spacing w:val="20"/>
                <w:sz w:val="22"/>
                <w:szCs w:val="22"/>
              </w:rPr>
              <w:t>預計收生人次</w:t>
            </w:r>
            <w:r>
              <w:rPr>
                <w:i/>
                <w:spacing w:val="20"/>
                <w:sz w:val="22"/>
                <w:szCs w:val="22"/>
              </w:rPr>
              <w:t>(</w:t>
            </w:r>
            <w:r>
              <w:rPr>
                <w:i/>
                <w:spacing w:val="20"/>
                <w:sz w:val="22"/>
                <w:szCs w:val="22"/>
              </w:rPr>
              <w:t>培訓名額</w:t>
            </w:r>
            <w:r>
              <w:rPr>
                <w:i/>
                <w:spacing w:val="20"/>
                <w:sz w:val="22"/>
                <w:szCs w:val="22"/>
              </w:rPr>
              <w:t>)</w:t>
            </w:r>
          </w:p>
        </w:tc>
        <w:tc>
          <w:tcPr>
            <w:tcW w:w="9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40"/>
              <w:ind w:left="57" w:hanging="0"/>
              <w:jc w:val="center"/>
              <w:rPr>
                <w:i/>
                <w:i/>
                <w:spacing w:val="20"/>
                <w:sz w:val="22"/>
                <w:szCs w:val="22"/>
              </w:rPr>
            </w:pPr>
            <w:r>
              <w:rPr>
                <w:i/>
                <w:spacing w:val="20"/>
                <w:sz w:val="22"/>
                <w:szCs w:val="22"/>
              </w:rPr>
              <w:t>實際收生人次</w:t>
            </w:r>
            <w:r>
              <w:rPr>
                <w:i/>
                <w:spacing w:val="20"/>
                <w:sz w:val="22"/>
                <w:szCs w:val="22"/>
              </w:rPr>
              <w:t>(</w:t>
            </w:r>
            <w:r>
              <w:rPr>
                <w:i/>
                <w:spacing w:val="20"/>
                <w:sz w:val="22"/>
                <w:szCs w:val="22"/>
              </w:rPr>
              <w:t>入讀人次</w:t>
            </w:r>
            <w:r>
              <w:rPr>
                <w:i/>
                <w:spacing w:val="20"/>
                <w:sz w:val="22"/>
                <w:szCs w:val="22"/>
              </w:rPr>
              <w:t>)</w:t>
            </w:r>
            <w:r>
              <w:rPr>
                <w:i/>
                <w:spacing w:val="20"/>
                <w:sz w:val="22"/>
                <w:szCs w:val="22"/>
                <w:vertAlign w:val="superscript"/>
              </w:rPr>
              <w:t>(2)</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40"/>
              <w:ind w:left="57" w:hanging="0"/>
              <w:jc w:val="center"/>
              <w:rPr>
                <w:i/>
                <w:i/>
                <w:spacing w:val="20"/>
                <w:sz w:val="22"/>
                <w:szCs w:val="22"/>
              </w:rPr>
            </w:pPr>
            <w:r>
              <w:rPr>
                <w:i/>
                <w:spacing w:val="20"/>
                <w:sz w:val="22"/>
                <w:szCs w:val="22"/>
              </w:rPr>
              <w:t>畢業人次</w:t>
            </w:r>
            <w:r>
              <w:rPr>
                <w:i/>
                <w:spacing w:val="20"/>
                <w:sz w:val="22"/>
                <w:szCs w:val="22"/>
                <w:vertAlign w:val="superscript"/>
              </w:rPr>
              <w:t>(2)(3)</w:t>
            </w:r>
          </w:p>
        </w:tc>
        <w:tc>
          <w:tcPr>
            <w:tcW w:w="113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40"/>
              <w:ind w:left="57" w:hanging="0"/>
              <w:jc w:val="center"/>
              <w:rPr>
                <w:i/>
                <w:i/>
                <w:spacing w:val="20"/>
                <w:sz w:val="22"/>
                <w:szCs w:val="22"/>
              </w:rPr>
            </w:pPr>
            <w:r>
              <w:rPr>
                <w:i/>
                <w:spacing w:val="20"/>
                <w:sz w:val="22"/>
                <w:szCs w:val="22"/>
              </w:rPr>
              <w:t>完成課程後就業學員的百分比</w:t>
            </w:r>
            <w:r>
              <w:rPr>
                <w:i/>
                <w:spacing w:val="20"/>
                <w:sz w:val="22"/>
                <w:szCs w:val="22"/>
                <w:vertAlign w:val="superscript"/>
              </w:rPr>
              <w:t>(4)</w:t>
            </w:r>
          </w:p>
        </w:tc>
      </w:tr>
      <w:tr>
        <w:trPr>
          <w:trHeight w:val="794" w:hRule="exact"/>
        </w:trPr>
        <w:tc>
          <w:tcPr>
            <w:tcW w:w="43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57" w:hanging="0"/>
              <w:rPr>
                <w:spacing w:val="20"/>
                <w:sz w:val="22"/>
                <w:szCs w:val="22"/>
              </w:rPr>
            </w:pPr>
            <w:r>
              <w:rPr>
                <w:spacing w:val="20"/>
                <w:sz w:val="22"/>
                <w:szCs w:val="22"/>
              </w:rPr>
              <w:t>1.</w:t>
            </w:r>
          </w:p>
        </w:tc>
        <w:tc>
          <w:tcPr>
            <w:tcW w:w="141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57" w:right="57" w:hanging="0"/>
              <w:rPr>
                <w:spacing w:val="20"/>
                <w:sz w:val="22"/>
                <w:szCs w:val="22"/>
              </w:rPr>
            </w:pPr>
            <w:r>
              <w:rPr>
                <w:spacing w:val="20"/>
                <w:sz w:val="22"/>
                <w:szCs w:val="22"/>
              </w:rPr>
              <w:t>保健員證書</w:t>
            </w:r>
          </w:p>
        </w:tc>
        <w:tc>
          <w:tcPr>
            <w:tcW w:w="113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57" w:right="57" w:hanging="0"/>
              <w:rPr>
                <w:spacing w:val="20"/>
                <w:sz w:val="22"/>
                <w:szCs w:val="22"/>
              </w:rPr>
            </w:pPr>
            <w:r>
              <w:rPr>
                <w:spacing w:val="20"/>
                <w:sz w:val="22"/>
                <w:szCs w:val="22"/>
              </w:rPr>
              <w:t>就業掛鈎課程</w:t>
            </w:r>
          </w:p>
        </w:tc>
        <w:tc>
          <w:tcPr>
            <w:tcW w:w="85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57" w:right="57" w:hanging="0"/>
              <w:rPr>
                <w:spacing w:val="20"/>
                <w:sz w:val="22"/>
                <w:szCs w:val="22"/>
              </w:rPr>
            </w:pPr>
            <w:r>
              <w:rPr>
                <w:spacing w:val="20"/>
                <w:sz w:val="22"/>
                <w:szCs w:val="22"/>
              </w:rPr>
              <w:t>健康護理</w:t>
            </w:r>
          </w:p>
        </w:tc>
        <w:tc>
          <w:tcPr>
            <w:tcW w:w="85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57" w:right="57" w:hanging="0"/>
              <w:rPr>
                <w:spacing w:val="20"/>
                <w:sz w:val="22"/>
                <w:szCs w:val="22"/>
              </w:rPr>
            </w:pPr>
            <w:r>
              <w:rPr>
                <w:spacing w:val="20"/>
                <w:sz w:val="22"/>
                <w:szCs w:val="22"/>
              </w:rPr>
              <w:t>全日制</w:t>
            </w:r>
          </w:p>
        </w:tc>
        <w:tc>
          <w:tcPr>
            <w:tcW w:w="85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57" w:hanging="0"/>
              <w:jc w:val="center"/>
              <w:rPr>
                <w:spacing w:val="20"/>
                <w:sz w:val="22"/>
                <w:szCs w:val="22"/>
              </w:rPr>
            </w:pPr>
            <w:r>
              <w:rPr>
                <w:spacing w:val="20"/>
                <w:sz w:val="22"/>
                <w:szCs w:val="22"/>
              </w:rPr>
              <w:t>312</w:t>
            </w:r>
          </w:p>
        </w:tc>
        <w:tc>
          <w:tcPr>
            <w:tcW w:w="85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57" w:hanging="0"/>
              <w:jc w:val="center"/>
              <w:rPr>
                <w:spacing w:val="20"/>
                <w:sz w:val="22"/>
                <w:szCs w:val="22"/>
              </w:rPr>
            </w:pPr>
            <w:r>
              <w:rPr>
                <w:spacing w:val="20"/>
                <w:sz w:val="22"/>
                <w:szCs w:val="22"/>
              </w:rPr>
              <w:t>1 790</w:t>
            </w:r>
          </w:p>
        </w:tc>
        <w:tc>
          <w:tcPr>
            <w:tcW w:w="99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57" w:hanging="0"/>
              <w:jc w:val="center"/>
              <w:rPr>
                <w:spacing w:val="20"/>
                <w:sz w:val="22"/>
                <w:szCs w:val="22"/>
              </w:rPr>
            </w:pPr>
            <w:r>
              <w:rPr>
                <w:spacing w:val="20"/>
                <w:sz w:val="22"/>
                <w:szCs w:val="22"/>
              </w:rPr>
              <w:t>1 340</w:t>
            </w:r>
          </w:p>
        </w:tc>
        <w:tc>
          <w:tcPr>
            <w:tcW w:w="70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57" w:hanging="0"/>
              <w:jc w:val="center"/>
              <w:rPr>
                <w:spacing w:val="20"/>
                <w:sz w:val="22"/>
                <w:szCs w:val="22"/>
              </w:rPr>
            </w:pPr>
            <w:r>
              <w:rPr>
                <w:spacing w:val="20"/>
                <w:sz w:val="22"/>
                <w:szCs w:val="22"/>
              </w:rPr>
              <w:t>1 160</w:t>
            </w:r>
          </w:p>
        </w:tc>
        <w:tc>
          <w:tcPr>
            <w:tcW w:w="113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57" w:hanging="0"/>
              <w:jc w:val="center"/>
              <w:rPr>
                <w:spacing w:val="20"/>
                <w:sz w:val="22"/>
                <w:szCs w:val="22"/>
              </w:rPr>
            </w:pPr>
            <w:r>
              <w:rPr>
                <w:spacing w:val="20"/>
                <w:sz w:val="22"/>
                <w:szCs w:val="22"/>
              </w:rPr>
              <w:t>88%</w:t>
            </w:r>
          </w:p>
        </w:tc>
      </w:tr>
      <w:tr>
        <w:trPr>
          <w:trHeight w:val="737" w:hRule="exact"/>
        </w:trPr>
        <w:tc>
          <w:tcPr>
            <w:tcW w:w="43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57" w:hanging="0"/>
              <w:rPr>
                <w:spacing w:val="20"/>
                <w:sz w:val="22"/>
                <w:szCs w:val="22"/>
              </w:rPr>
            </w:pPr>
            <w:r>
              <w:rPr>
                <w:spacing w:val="20"/>
                <w:sz w:val="22"/>
                <w:szCs w:val="22"/>
              </w:rPr>
              <w:t>2.</w:t>
            </w:r>
          </w:p>
        </w:tc>
        <w:tc>
          <w:tcPr>
            <w:tcW w:w="141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57" w:right="57" w:hanging="0"/>
              <w:rPr>
                <w:spacing w:val="20"/>
                <w:sz w:val="22"/>
                <w:szCs w:val="22"/>
              </w:rPr>
            </w:pPr>
            <w:r>
              <w:rPr>
                <w:spacing w:val="20"/>
                <w:sz w:val="22"/>
                <w:szCs w:val="22"/>
              </w:rPr>
              <w:t>護理員基礎證書</w:t>
            </w:r>
          </w:p>
        </w:tc>
        <w:tc>
          <w:tcPr>
            <w:tcW w:w="113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57" w:right="57" w:hanging="0"/>
              <w:rPr>
                <w:spacing w:val="20"/>
                <w:sz w:val="22"/>
                <w:szCs w:val="22"/>
              </w:rPr>
            </w:pPr>
            <w:r>
              <w:rPr>
                <w:spacing w:val="20"/>
                <w:sz w:val="22"/>
                <w:szCs w:val="22"/>
              </w:rPr>
              <w:t>就業掛鈎課程</w:t>
            </w:r>
          </w:p>
        </w:tc>
        <w:tc>
          <w:tcPr>
            <w:tcW w:w="85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57" w:right="57" w:hanging="0"/>
              <w:rPr>
                <w:spacing w:val="20"/>
                <w:sz w:val="22"/>
                <w:szCs w:val="22"/>
              </w:rPr>
            </w:pPr>
            <w:r>
              <w:rPr>
                <w:spacing w:val="20"/>
                <w:sz w:val="22"/>
                <w:szCs w:val="22"/>
              </w:rPr>
              <w:t>健康護理</w:t>
            </w:r>
          </w:p>
        </w:tc>
        <w:tc>
          <w:tcPr>
            <w:tcW w:w="85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57" w:right="57" w:hanging="0"/>
              <w:rPr>
                <w:spacing w:val="20"/>
                <w:sz w:val="22"/>
                <w:szCs w:val="22"/>
              </w:rPr>
            </w:pPr>
            <w:r>
              <w:rPr>
                <w:spacing w:val="20"/>
                <w:sz w:val="22"/>
                <w:szCs w:val="22"/>
              </w:rPr>
              <w:t>全日制</w:t>
            </w:r>
          </w:p>
        </w:tc>
        <w:tc>
          <w:tcPr>
            <w:tcW w:w="85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57" w:hanging="0"/>
              <w:jc w:val="center"/>
              <w:rPr>
                <w:spacing w:val="20"/>
                <w:sz w:val="22"/>
                <w:szCs w:val="22"/>
              </w:rPr>
            </w:pPr>
            <w:r>
              <w:rPr>
                <w:spacing w:val="20"/>
                <w:sz w:val="22"/>
                <w:szCs w:val="22"/>
              </w:rPr>
              <w:t>152</w:t>
            </w:r>
          </w:p>
        </w:tc>
        <w:tc>
          <w:tcPr>
            <w:tcW w:w="85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57" w:hanging="0"/>
              <w:jc w:val="center"/>
              <w:rPr>
                <w:spacing w:val="20"/>
                <w:sz w:val="22"/>
                <w:szCs w:val="22"/>
              </w:rPr>
            </w:pPr>
            <w:r>
              <w:rPr>
                <w:spacing w:val="20"/>
                <w:sz w:val="22"/>
                <w:szCs w:val="22"/>
              </w:rPr>
              <w:t>1 220</w:t>
            </w:r>
          </w:p>
        </w:tc>
        <w:tc>
          <w:tcPr>
            <w:tcW w:w="99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57" w:hanging="0"/>
              <w:jc w:val="center"/>
              <w:rPr>
                <w:spacing w:val="20"/>
                <w:sz w:val="22"/>
                <w:szCs w:val="22"/>
              </w:rPr>
            </w:pPr>
            <w:r>
              <w:rPr>
                <w:spacing w:val="20"/>
                <w:sz w:val="22"/>
                <w:szCs w:val="22"/>
              </w:rPr>
              <w:t>770</w:t>
            </w:r>
          </w:p>
        </w:tc>
        <w:tc>
          <w:tcPr>
            <w:tcW w:w="70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57" w:hanging="0"/>
              <w:jc w:val="center"/>
              <w:rPr>
                <w:spacing w:val="20"/>
                <w:sz w:val="22"/>
                <w:szCs w:val="22"/>
              </w:rPr>
            </w:pPr>
            <w:r>
              <w:rPr>
                <w:spacing w:val="20"/>
                <w:sz w:val="22"/>
                <w:szCs w:val="22"/>
              </w:rPr>
              <w:t>680</w:t>
            </w:r>
          </w:p>
        </w:tc>
        <w:tc>
          <w:tcPr>
            <w:tcW w:w="113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57" w:hanging="0"/>
              <w:jc w:val="center"/>
              <w:rPr>
                <w:spacing w:val="20"/>
                <w:sz w:val="22"/>
                <w:szCs w:val="22"/>
              </w:rPr>
            </w:pPr>
            <w:r>
              <w:rPr>
                <w:spacing w:val="20"/>
                <w:sz w:val="22"/>
                <w:szCs w:val="22"/>
              </w:rPr>
              <w:t>87%</w:t>
            </w:r>
          </w:p>
        </w:tc>
      </w:tr>
      <w:tr>
        <w:trPr>
          <w:trHeight w:val="794" w:hRule="exact"/>
        </w:trPr>
        <w:tc>
          <w:tcPr>
            <w:tcW w:w="43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57" w:hanging="0"/>
              <w:rPr>
                <w:spacing w:val="20"/>
                <w:sz w:val="22"/>
                <w:szCs w:val="22"/>
              </w:rPr>
            </w:pPr>
            <w:r>
              <w:rPr>
                <w:spacing w:val="20"/>
                <w:sz w:val="22"/>
                <w:szCs w:val="22"/>
              </w:rPr>
              <w:t>3.</w:t>
            </w:r>
          </w:p>
        </w:tc>
        <w:tc>
          <w:tcPr>
            <w:tcW w:w="141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57" w:right="57" w:hanging="0"/>
              <w:rPr>
                <w:spacing w:val="20"/>
                <w:sz w:val="22"/>
                <w:szCs w:val="22"/>
              </w:rPr>
            </w:pPr>
            <w:r>
              <w:rPr>
                <w:spacing w:val="20"/>
                <w:sz w:val="22"/>
                <w:szCs w:val="22"/>
              </w:rPr>
              <w:t>陪診員基礎證書</w:t>
            </w:r>
          </w:p>
        </w:tc>
        <w:tc>
          <w:tcPr>
            <w:tcW w:w="113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57" w:right="57" w:hanging="0"/>
              <w:rPr>
                <w:spacing w:val="20"/>
                <w:sz w:val="22"/>
                <w:szCs w:val="22"/>
              </w:rPr>
            </w:pPr>
            <w:r>
              <w:rPr>
                <w:spacing w:val="20"/>
                <w:sz w:val="22"/>
                <w:szCs w:val="22"/>
              </w:rPr>
              <w:t>就業掛鈎課程</w:t>
            </w:r>
          </w:p>
        </w:tc>
        <w:tc>
          <w:tcPr>
            <w:tcW w:w="85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57" w:right="57" w:hanging="0"/>
              <w:rPr>
                <w:spacing w:val="20"/>
                <w:sz w:val="22"/>
                <w:szCs w:val="22"/>
              </w:rPr>
            </w:pPr>
            <w:r>
              <w:rPr>
                <w:spacing w:val="20"/>
                <w:sz w:val="22"/>
                <w:szCs w:val="22"/>
              </w:rPr>
              <w:t>健康護理</w:t>
            </w:r>
          </w:p>
        </w:tc>
        <w:tc>
          <w:tcPr>
            <w:tcW w:w="85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57" w:right="57" w:hanging="0"/>
              <w:rPr>
                <w:spacing w:val="20"/>
                <w:sz w:val="22"/>
                <w:szCs w:val="22"/>
              </w:rPr>
            </w:pPr>
            <w:r>
              <w:rPr>
                <w:spacing w:val="20"/>
                <w:sz w:val="22"/>
                <w:szCs w:val="22"/>
              </w:rPr>
              <w:t>全日制</w:t>
            </w:r>
          </w:p>
        </w:tc>
        <w:tc>
          <w:tcPr>
            <w:tcW w:w="85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57" w:hanging="0"/>
              <w:jc w:val="center"/>
              <w:rPr>
                <w:spacing w:val="20"/>
                <w:sz w:val="22"/>
                <w:szCs w:val="22"/>
              </w:rPr>
            </w:pPr>
            <w:r>
              <w:rPr>
                <w:spacing w:val="20"/>
                <w:sz w:val="22"/>
                <w:szCs w:val="22"/>
              </w:rPr>
              <w:t>116</w:t>
            </w:r>
          </w:p>
        </w:tc>
        <w:tc>
          <w:tcPr>
            <w:tcW w:w="85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57" w:hanging="0"/>
              <w:jc w:val="center"/>
              <w:rPr>
                <w:spacing w:val="20"/>
                <w:sz w:val="22"/>
                <w:szCs w:val="22"/>
              </w:rPr>
            </w:pPr>
            <w:r>
              <w:rPr>
                <w:spacing w:val="20"/>
                <w:sz w:val="22"/>
                <w:szCs w:val="22"/>
              </w:rPr>
              <w:t>400</w:t>
            </w:r>
          </w:p>
        </w:tc>
        <w:tc>
          <w:tcPr>
            <w:tcW w:w="99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57" w:hanging="0"/>
              <w:jc w:val="center"/>
              <w:rPr>
                <w:spacing w:val="20"/>
                <w:sz w:val="22"/>
                <w:szCs w:val="22"/>
              </w:rPr>
            </w:pPr>
            <w:r>
              <w:rPr>
                <w:spacing w:val="20"/>
                <w:sz w:val="22"/>
                <w:szCs w:val="22"/>
              </w:rPr>
              <w:t>220</w:t>
            </w:r>
          </w:p>
        </w:tc>
        <w:tc>
          <w:tcPr>
            <w:tcW w:w="70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57" w:hanging="0"/>
              <w:jc w:val="center"/>
              <w:rPr>
                <w:spacing w:val="20"/>
                <w:sz w:val="22"/>
                <w:szCs w:val="22"/>
              </w:rPr>
            </w:pPr>
            <w:r>
              <w:rPr>
                <w:spacing w:val="20"/>
                <w:sz w:val="22"/>
                <w:szCs w:val="22"/>
              </w:rPr>
              <w:t>200</w:t>
            </w:r>
          </w:p>
        </w:tc>
        <w:tc>
          <w:tcPr>
            <w:tcW w:w="113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57" w:hanging="0"/>
              <w:jc w:val="center"/>
              <w:rPr>
                <w:spacing w:val="20"/>
                <w:sz w:val="22"/>
                <w:szCs w:val="22"/>
              </w:rPr>
            </w:pPr>
            <w:r>
              <w:rPr>
                <w:spacing w:val="20"/>
                <w:sz w:val="22"/>
                <w:szCs w:val="22"/>
              </w:rPr>
              <w:t>85%</w:t>
            </w:r>
          </w:p>
        </w:tc>
      </w:tr>
      <w:tr>
        <w:trPr>
          <w:trHeight w:val="1417" w:hRule="exact"/>
        </w:trPr>
        <w:tc>
          <w:tcPr>
            <w:tcW w:w="43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57" w:hanging="0"/>
              <w:rPr>
                <w:spacing w:val="20"/>
                <w:sz w:val="22"/>
                <w:szCs w:val="22"/>
              </w:rPr>
            </w:pPr>
            <w:r>
              <w:rPr>
                <w:spacing w:val="20"/>
                <w:sz w:val="22"/>
                <w:szCs w:val="22"/>
              </w:rPr>
              <w:t>4.</w:t>
            </w:r>
          </w:p>
        </w:tc>
        <w:tc>
          <w:tcPr>
            <w:tcW w:w="141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57" w:right="57" w:hanging="0"/>
              <w:rPr>
                <w:spacing w:val="20"/>
                <w:sz w:val="22"/>
                <w:szCs w:val="22"/>
              </w:rPr>
            </w:pPr>
            <w:r>
              <w:rPr>
                <w:spacing w:val="20"/>
                <w:sz w:val="22"/>
                <w:szCs w:val="22"/>
              </w:rPr>
              <w:t>離院病人家居護理員基礎證書</w:t>
            </w:r>
          </w:p>
        </w:tc>
        <w:tc>
          <w:tcPr>
            <w:tcW w:w="113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57" w:right="57" w:hanging="0"/>
              <w:rPr>
                <w:spacing w:val="20"/>
                <w:sz w:val="22"/>
                <w:szCs w:val="22"/>
              </w:rPr>
            </w:pPr>
            <w:r>
              <w:rPr>
                <w:spacing w:val="20"/>
                <w:sz w:val="22"/>
                <w:szCs w:val="22"/>
              </w:rPr>
              <w:t>就業掛鈎課程</w:t>
            </w:r>
          </w:p>
        </w:tc>
        <w:tc>
          <w:tcPr>
            <w:tcW w:w="85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57" w:right="57" w:hanging="0"/>
              <w:rPr>
                <w:spacing w:val="20"/>
                <w:sz w:val="22"/>
                <w:szCs w:val="22"/>
              </w:rPr>
            </w:pPr>
            <w:r>
              <w:rPr>
                <w:spacing w:val="20"/>
                <w:sz w:val="22"/>
                <w:szCs w:val="22"/>
              </w:rPr>
              <w:t>健康護理</w:t>
            </w:r>
          </w:p>
        </w:tc>
        <w:tc>
          <w:tcPr>
            <w:tcW w:w="85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57" w:right="57" w:hanging="0"/>
              <w:rPr>
                <w:spacing w:val="20"/>
                <w:sz w:val="22"/>
                <w:szCs w:val="22"/>
              </w:rPr>
            </w:pPr>
            <w:r>
              <w:rPr>
                <w:spacing w:val="20"/>
                <w:sz w:val="22"/>
                <w:szCs w:val="22"/>
              </w:rPr>
              <w:t>全日制</w:t>
            </w:r>
          </w:p>
        </w:tc>
        <w:tc>
          <w:tcPr>
            <w:tcW w:w="85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57" w:hanging="0"/>
              <w:jc w:val="center"/>
              <w:rPr>
                <w:spacing w:val="20"/>
                <w:sz w:val="22"/>
                <w:szCs w:val="22"/>
              </w:rPr>
            </w:pPr>
            <w:r>
              <w:rPr>
                <w:spacing w:val="20"/>
                <w:sz w:val="22"/>
                <w:szCs w:val="22"/>
              </w:rPr>
              <w:t>200</w:t>
            </w:r>
          </w:p>
        </w:tc>
        <w:tc>
          <w:tcPr>
            <w:tcW w:w="85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57" w:hanging="0"/>
              <w:jc w:val="center"/>
              <w:rPr>
                <w:spacing w:val="20"/>
                <w:sz w:val="22"/>
                <w:szCs w:val="22"/>
              </w:rPr>
            </w:pPr>
            <w:r>
              <w:rPr>
                <w:spacing w:val="20"/>
                <w:sz w:val="22"/>
                <w:szCs w:val="22"/>
              </w:rPr>
              <w:t>80</w:t>
            </w:r>
          </w:p>
        </w:tc>
        <w:tc>
          <w:tcPr>
            <w:tcW w:w="99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57" w:hanging="0"/>
              <w:jc w:val="center"/>
              <w:rPr>
                <w:spacing w:val="20"/>
                <w:sz w:val="22"/>
                <w:szCs w:val="22"/>
              </w:rPr>
            </w:pPr>
            <w:r>
              <w:rPr>
                <w:spacing w:val="20"/>
                <w:sz w:val="22"/>
                <w:szCs w:val="22"/>
              </w:rPr>
              <w:t>40</w:t>
            </w:r>
          </w:p>
        </w:tc>
        <w:tc>
          <w:tcPr>
            <w:tcW w:w="70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57" w:hanging="0"/>
              <w:jc w:val="center"/>
              <w:rPr>
                <w:spacing w:val="20"/>
                <w:sz w:val="22"/>
                <w:szCs w:val="22"/>
              </w:rPr>
            </w:pPr>
            <w:r>
              <w:rPr>
                <w:spacing w:val="20"/>
                <w:sz w:val="22"/>
                <w:szCs w:val="22"/>
              </w:rPr>
              <w:t>40</w:t>
            </w:r>
          </w:p>
        </w:tc>
        <w:tc>
          <w:tcPr>
            <w:tcW w:w="113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57" w:hanging="0"/>
              <w:jc w:val="center"/>
              <w:rPr>
                <w:spacing w:val="20"/>
                <w:sz w:val="22"/>
                <w:szCs w:val="22"/>
              </w:rPr>
            </w:pPr>
            <w:r>
              <w:rPr>
                <w:spacing w:val="20"/>
                <w:sz w:val="22"/>
                <w:szCs w:val="22"/>
              </w:rPr>
              <w:t>73%</w:t>
            </w:r>
          </w:p>
        </w:tc>
      </w:tr>
      <w:tr>
        <w:trPr>
          <w:trHeight w:val="1077" w:hRule="exact"/>
        </w:trPr>
        <w:tc>
          <w:tcPr>
            <w:tcW w:w="43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57" w:hanging="0"/>
              <w:rPr>
                <w:spacing w:val="20"/>
                <w:sz w:val="22"/>
                <w:szCs w:val="22"/>
              </w:rPr>
            </w:pPr>
            <w:r>
              <w:rPr>
                <w:spacing w:val="20"/>
                <w:sz w:val="22"/>
                <w:szCs w:val="22"/>
              </w:rPr>
              <w:t>5.</w:t>
            </w:r>
          </w:p>
        </w:tc>
        <w:tc>
          <w:tcPr>
            <w:tcW w:w="141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57" w:right="57" w:hanging="0"/>
              <w:rPr>
                <w:spacing w:val="20"/>
                <w:sz w:val="22"/>
                <w:szCs w:val="22"/>
              </w:rPr>
            </w:pPr>
            <w:r>
              <w:rPr>
                <w:spacing w:val="20"/>
                <w:sz w:val="22"/>
                <w:szCs w:val="22"/>
              </w:rPr>
              <w:t>長者照顧員基礎證書</w:t>
            </w:r>
          </w:p>
        </w:tc>
        <w:tc>
          <w:tcPr>
            <w:tcW w:w="113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57" w:right="57" w:hanging="0"/>
              <w:rPr>
                <w:spacing w:val="20"/>
                <w:sz w:val="22"/>
                <w:szCs w:val="22"/>
              </w:rPr>
            </w:pPr>
            <w:r>
              <w:rPr>
                <w:spacing w:val="20"/>
                <w:sz w:val="22"/>
                <w:szCs w:val="22"/>
              </w:rPr>
              <w:t>就業掛鈎課程</w:t>
            </w:r>
          </w:p>
        </w:tc>
        <w:tc>
          <w:tcPr>
            <w:tcW w:w="85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57" w:right="57" w:hanging="0"/>
              <w:rPr>
                <w:spacing w:val="20"/>
                <w:sz w:val="22"/>
                <w:szCs w:val="22"/>
              </w:rPr>
            </w:pPr>
            <w:r>
              <w:rPr>
                <w:spacing w:val="20"/>
                <w:sz w:val="22"/>
                <w:szCs w:val="22"/>
              </w:rPr>
              <w:t>健康護理</w:t>
            </w:r>
          </w:p>
        </w:tc>
        <w:tc>
          <w:tcPr>
            <w:tcW w:w="85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57" w:right="57" w:hanging="0"/>
              <w:rPr>
                <w:spacing w:val="20"/>
                <w:sz w:val="22"/>
                <w:szCs w:val="22"/>
              </w:rPr>
            </w:pPr>
            <w:r>
              <w:rPr>
                <w:spacing w:val="20"/>
                <w:sz w:val="22"/>
                <w:szCs w:val="22"/>
              </w:rPr>
              <w:t>全日制</w:t>
            </w:r>
          </w:p>
        </w:tc>
        <w:tc>
          <w:tcPr>
            <w:tcW w:w="85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57" w:hanging="0"/>
              <w:jc w:val="center"/>
              <w:rPr>
                <w:spacing w:val="20"/>
                <w:sz w:val="22"/>
                <w:szCs w:val="22"/>
              </w:rPr>
            </w:pPr>
            <w:r>
              <w:rPr>
                <w:spacing w:val="20"/>
                <w:sz w:val="22"/>
                <w:szCs w:val="22"/>
              </w:rPr>
              <w:t>156</w:t>
            </w:r>
          </w:p>
        </w:tc>
        <w:tc>
          <w:tcPr>
            <w:tcW w:w="85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57" w:hanging="0"/>
              <w:jc w:val="center"/>
              <w:rPr>
                <w:spacing w:val="20"/>
                <w:sz w:val="22"/>
                <w:szCs w:val="22"/>
              </w:rPr>
            </w:pPr>
            <w:r>
              <w:rPr>
                <w:spacing w:val="20"/>
                <w:sz w:val="22"/>
                <w:szCs w:val="22"/>
              </w:rPr>
              <w:t>40</w:t>
            </w:r>
          </w:p>
        </w:tc>
        <w:tc>
          <w:tcPr>
            <w:tcW w:w="99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57" w:hanging="0"/>
              <w:jc w:val="center"/>
              <w:rPr>
                <w:spacing w:val="20"/>
                <w:sz w:val="22"/>
                <w:szCs w:val="22"/>
              </w:rPr>
            </w:pPr>
            <w:r>
              <w:rPr>
                <w:spacing w:val="20"/>
                <w:sz w:val="22"/>
                <w:szCs w:val="22"/>
              </w:rPr>
              <w:t>20</w:t>
            </w:r>
          </w:p>
        </w:tc>
        <w:tc>
          <w:tcPr>
            <w:tcW w:w="70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57" w:hanging="0"/>
              <w:jc w:val="center"/>
              <w:rPr>
                <w:spacing w:val="20"/>
                <w:sz w:val="22"/>
                <w:szCs w:val="22"/>
              </w:rPr>
            </w:pPr>
            <w:r>
              <w:rPr>
                <w:spacing w:val="20"/>
                <w:sz w:val="22"/>
                <w:szCs w:val="22"/>
              </w:rPr>
              <w:t>20</w:t>
            </w:r>
          </w:p>
        </w:tc>
        <w:tc>
          <w:tcPr>
            <w:tcW w:w="113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57" w:hanging="0"/>
              <w:jc w:val="center"/>
              <w:rPr>
                <w:spacing w:val="20"/>
                <w:sz w:val="22"/>
                <w:szCs w:val="22"/>
              </w:rPr>
            </w:pPr>
            <w:r>
              <w:rPr>
                <w:spacing w:val="20"/>
                <w:sz w:val="22"/>
                <w:szCs w:val="22"/>
              </w:rPr>
              <w:t>73%</w:t>
            </w:r>
          </w:p>
        </w:tc>
      </w:tr>
      <w:tr>
        <w:trPr>
          <w:trHeight w:val="1077" w:hRule="exact"/>
        </w:trPr>
        <w:tc>
          <w:tcPr>
            <w:tcW w:w="43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57" w:hanging="0"/>
              <w:rPr>
                <w:spacing w:val="20"/>
                <w:sz w:val="22"/>
                <w:szCs w:val="22"/>
              </w:rPr>
            </w:pPr>
            <w:r>
              <w:rPr>
                <w:spacing w:val="20"/>
                <w:sz w:val="22"/>
                <w:szCs w:val="22"/>
              </w:rPr>
              <w:t>6.</w:t>
            </w:r>
          </w:p>
        </w:tc>
        <w:tc>
          <w:tcPr>
            <w:tcW w:w="141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57" w:right="57" w:hanging="0"/>
              <w:rPr>
                <w:spacing w:val="20"/>
                <w:sz w:val="22"/>
                <w:szCs w:val="22"/>
              </w:rPr>
            </w:pPr>
            <w:r>
              <w:rPr>
                <w:spacing w:val="20"/>
                <w:sz w:val="22"/>
                <w:szCs w:val="22"/>
              </w:rPr>
              <w:t>綜合急救基礎證書</w:t>
            </w:r>
            <w:r>
              <w:rPr>
                <w:spacing w:val="20"/>
                <w:sz w:val="22"/>
                <w:szCs w:val="22"/>
              </w:rPr>
              <w:t>(</w:t>
            </w:r>
            <w:r>
              <w:rPr>
                <w:spacing w:val="20"/>
                <w:sz w:val="22"/>
                <w:szCs w:val="22"/>
              </w:rPr>
              <w:t>兼讀制</w:t>
            </w:r>
            <w:r>
              <w:rPr>
                <w:spacing w:val="20"/>
                <w:sz w:val="22"/>
                <w:szCs w:val="22"/>
              </w:rPr>
              <w:t>)</w:t>
            </w:r>
          </w:p>
        </w:tc>
        <w:tc>
          <w:tcPr>
            <w:tcW w:w="113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57" w:right="57" w:hanging="0"/>
              <w:rPr>
                <w:spacing w:val="20"/>
                <w:sz w:val="22"/>
                <w:szCs w:val="22"/>
              </w:rPr>
            </w:pPr>
            <w:r>
              <w:rPr>
                <w:spacing w:val="20"/>
                <w:sz w:val="22"/>
                <w:szCs w:val="22"/>
              </w:rPr>
              <w:t>"</w:t>
            </w:r>
            <w:r>
              <w:rPr>
                <w:spacing w:val="20"/>
                <w:sz w:val="22"/>
                <w:szCs w:val="22"/>
              </w:rPr>
              <w:t>新技能提升計劃</w:t>
            </w:r>
            <w:r>
              <w:rPr>
                <w:spacing w:val="20"/>
                <w:sz w:val="22"/>
                <w:szCs w:val="22"/>
              </w:rPr>
              <w:t>"</w:t>
            </w:r>
            <w:r>
              <w:rPr>
                <w:spacing w:val="20"/>
                <w:sz w:val="22"/>
                <w:szCs w:val="22"/>
              </w:rPr>
              <w:t>課程</w:t>
            </w:r>
          </w:p>
        </w:tc>
        <w:tc>
          <w:tcPr>
            <w:tcW w:w="85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57" w:right="57" w:hanging="0"/>
              <w:rPr>
                <w:spacing w:val="20"/>
                <w:sz w:val="22"/>
                <w:szCs w:val="22"/>
              </w:rPr>
            </w:pPr>
            <w:r>
              <w:rPr>
                <w:spacing w:val="20"/>
                <w:sz w:val="22"/>
                <w:szCs w:val="22"/>
              </w:rPr>
              <w:t>健康護理</w:t>
            </w:r>
          </w:p>
        </w:tc>
        <w:tc>
          <w:tcPr>
            <w:tcW w:w="85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57" w:right="57" w:hanging="0"/>
              <w:rPr>
                <w:spacing w:val="20"/>
                <w:sz w:val="22"/>
                <w:szCs w:val="22"/>
              </w:rPr>
            </w:pPr>
            <w:r>
              <w:rPr>
                <w:spacing w:val="20"/>
                <w:sz w:val="22"/>
                <w:szCs w:val="22"/>
              </w:rPr>
              <w:t>半日或晚間制</w:t>
            </w:r>
          </w:p>
        </w:tc>
        <w:tc>
          <w:tcPr>
            <w:tcW w:w="85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57" w:hanging="0"/>
              <w:jc w:val="center"/>
              <w:rPr>
                <w:spacing w:val="20"/>
                <w:sz w:val="22"/>
                <w:szCs w:val="22"/>
              </w:rPr>
            </w:pPr>
            <w:r>
              <w:rPr>
                <w:spacing w:val="20"/>
                <w:sz w:val="22"/>
                <w:szCs w:val="22"/>
              </w:rPr>
              <w:t>37</w:t>
            </w:r>
          </w:p>
        </w:tc>
        <w:tc>
          <w:tcPr>
            <w:tcW w:w="85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57" w:hanging="0"/>
              <w:jc w:val="center"/>
              <w:rPr>
                <w:spacing w:val="20"/>
                <w:sz w:val="22"/>
                <w:szCs w:val="22"/>
              </w:rPr>
            </w:pPr>
            <w:r>
              <w:rPr>
                <w:spacing w:val="20"/>
                <w:sz w:val="22"/>
                <w:szCs w:val="22"/>
              </w:rPr>
              <w:t>980</w:t>
            </w:r>
          </w:p>
        </w:tc>
        <w:tc>
          <w:tcPr>
            <w:tcW w:w="99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57" w:hanging="0"/>
              <w:jc w:val="center"/>
              <w:rPr>
                <w:spacing w:val="20"/>
                <w:sz w:val="22"/>
                <w:szCs w:val="22"/>
              </w:rPr>
            </w:pPr>
            <w:r>
              <w:rPr>
                <w:spacing w:val="20"/>
                <w:sz w:val="22"/>
                <w:szCs w:val="22"/>
              </w:rPr>
              <w:t>860</w:t>
            </w:r>
          </w:p>
        </w:tc>
        <w:tc>
          <w:tcPr>
            <w:tcW w:w="70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57" w:hanging="0"/>
              <w:jc w:val="center"/>
              <w:rPr>
                <w:spacing w:val="20"/>
                <w:sz w:val="22"/>
                <w:szCs w:val="22"/>
              </w:rPr>
            </w:pPr>
            <w:r>
              <w:rPr>
                <w:spacing w:val="20"/>
                <w:sz w:val="22"/>
                <w:szCs w:val="22"/>
              </w:rPr>
              <w:t>800</w:t>
            </w:r>
          </w:p>
        </w:tc>
        <w:tc>
          <w:tcPr>
            <w:tcW w:w="113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57" w:hanging="0"/>
              <w:jc w:val="center"/>
              <w:rPr>
                <w:spacing w:val="20"/>
                <w:sz w:val="22"/>
                <w:szCs w:val="22"/>
              </w:rPr>
            </w:pPr>
            <w:r>
              <w:rPr>
                <w:spacing w:val="20"/>
                <w:sz w:val="22"/>
                <w:szCs w:val="22"/>
              </w:rPr>
              <w:t>不適用</w:t>
            </w:r>
          </w:p>
        </w:tc>
      </w:tr>
      <w:tr>
        <w:trPr>
          <w:trHeight w:val="1134" w:hRule="atLeast"/>
        </w:trPr>
        <w:tc>
          <w:tcPr>
            <w:tcW w:w="43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57" w:hanging="0"/>
              <w:rPr>
                <w:spacing w:val="20"/>
                <w:sz w:val="22"/>
                <w:szCs w:val="22"/>
              </w:rPr>
            </w:pPr>
            <w:r>
              <w:rPr>
                <w:spacing w:val="20"/>
                <w:sz w:val="22"/>
                <w:szCs w:val="22"/>
              </w:rPr>
              <w:t>7.</w:t>
            </w:r>
          </w:p>
        </w:tc>
        <w:tc>
          <w:tcPr>
            <w:tcW w:w="141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57" w:right="57" w:hanging="0"/>
              <w:rPr>
                <w:spacing w:val="20"/>
                <w:sz w:val="22"/>
                <w:szCs w:val="22"/>
              </w:rPr>
            </w:pPr>
            <w:r>
              <w:rPr>
                <w:spacing w:val="20"/>
                <w:sz w:val="22"/>
                <w:szCs w:val="22"/>
              </w:rPr>
              <w:t>長者照顧基礎證書</w:t>
            </w:r>
            <w:r>
              <w:rPr>
                <w:spacing w:val="20"/>
                <w:sz w:val="22"/>
                <w:szCs w:val="22"/>
              </w:rPr>
              <w:t>(</w:t>
            </w:r>
            <w:r>
              <w:rPr>
                <w:spacing w:val="20"/>
                <w:sz w:val="22"/>
                <w:szCs w:val="22"/>
              </w:rPr>
              <w:t>兼讀制</w:t>
            </w:r>
            <w:r>
              <w:rPr>
                <w:spacing w:val="20"/>
                <w:sz w:val="22"/>
                <w:szCs w:val="22"/>
              </w:rPr>
              <w:t>)</w:t>
            </w:r>
          </w:p>
        </w:tc>
        <w:tc>
          <w:tcPr>
            <w:tcW w:w="113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57" w:right="57" w:hanging="0"/>
              <w:rPr>
                <w:spacing w:val="20"/>
                <w:sz w:val="22"/>
                <w:szCs w:val="22"/>
              </w:rPr>
            </w:pPr>
            <w:r>
              <w:rPr>
                <w:spacing w:val="20"/>
                <w:sz w:val="22"/>
                <w:szCs w:val="22"/>
              </w:rPr>
              <w:t>"</w:t>
            </w:r>
            <w:r>
              <w:rPr>
                <w:spacing w:val="20"/>
                <w:sz w:val="22"/>
                <w:szCs w:val="22"/>
              </w:rPr>
              <w:t>新技能提升計劃</w:t>
            </w:r>
            <w:r>
              <w:rPr>
                <w:spacing w:val="20"/>
                <w:sz w:val="22"/>
                <w:szCs w:val="22"/>
              </w:rPr>
              <w:t>"</w:t>
            </w:r>
            <w:r>
              <w:rPr>
                <w:spacing w:val="20"/>
                <w:sz w:val="22"/>
                <w:szCs w:val="22"/>
              </w:rPr>
              <w:t>課程</w:t>
            </w:r>
          </w:p>
        </w:tc>
        <w:tc>
          <w:tcPr>
            <w:tcW w:w="85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57" w:right="57" w:hanging="0"/>
              <w:rPr>
                <w:spacing w:val="20"/>
                <w:sz w:val="22"/>
                <w:szCs w:val="22"/>
              </w:rPr>
            </w:pPr>
            <w:r>
              <w:rPr>
                <w:spacing w:val="20"/>
                <w:sz w:val="22"/>
                <w:szCs w:val="22"/>
              </w:rPr>
              <w:t>健康護理</w:t>
            </w:r>
          </w:p>
        </w:tc>
        <w:tc>
          <w:tcPr>
            <w:tcW w:w="85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57" w:right="57" w:hanging="0"/>
              <w:rPr>
                <w:spacing w:val="20"/>
                <w:sz w:val="22"/>
                <w:szCs w:val="22"/>
              </w:rPr>
            </w:pPr>
            <w:r>
              <w:rPr>
                <w:spacing w:val="20"/>
                <w:sz w:val="22"/>
                <w:szCs w:val="22"/>
              </w:rPr>
              <w:t>半日或晚間制</w:t>
            </w:r>
          </w:p>
        </w:tc>
        <w:tc>
          <w:tcPr>
            <w:tcW w:w="85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57" w:hanging="0"/>
              <w:jc w:val="center"/>
              <w:rPr>
                <w:spacing w:val="20"/>
                <w:sz w:val="22"/>
                <w:szCs w:val="22"/>
              </w:rPr>
            </w:pPr>
            <w:r>
              <w:rPr>
                <w:spacing w:val="20"/>
                <w:sz w:val="22"/>
                <w:szCs w:val="22"/>
              </w:rPr>
              <w:t>66</w:t>
            </w:r>
          </w:p>
        </w:tc>
        <w:tc>
          <w:tcPr>
            <w:tcW w:w="85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57" w:hanging="0"/>
              <w:jc w:val="center"/>
              <w:rPr>
                <w:spacing w:val="20"/>
                <w:sz w:val="22"/>
                <w:szCs w:val="22"/>
              </w:rPr>
            </w:pPr>
            <w:r>
              <w:rPr>
                <w:spacing w:val="20"/>
                <w:sz w:val="22"/>
                <w:szCs w:val="22"/>
              </w:rPr>
              <w:t>100</w:t>
            </w:r>
          </w:p>
        </w:tc>
        <w:tc>
          <w:tcPr>
            <w:tcW w:w="99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57" w:hanging="0"/>
              <w:jc w:val="center"/>
              <w:rPr>
                <w:spacing w:val="20"/>
                <w:sz w:val="22"/>
                <w:szCs w:val="22"/>
              </w:rPr>
            </w:pPr>
            <w:r>
              <w:rPr>
                <w:spacing w:val="20"/>
                <w:sz w:val="22"/>
                <w:szCs w:val="22"/>
              </w:rPr>
              <w:t>60</w:t>
            </w:r>
          </w:p>
        </w:tc>
        <w:tc>
          <w:tcPr>
            <w:tcW w:w="70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57" w:hanging="0"/>
              <w:jc w:val="center"/>
              <w:rPr>
                <w:spacing w:val="20"/>
                <w:sz w:val="22"/>
                <w:szCs w:val="22"/>
              </w:rPr>
            </w:pPr>
            <w:r>
              <w:rPr>
                <w:spacing w:val="20"/>
                <w:sz w:val="22"/>
                <w:szCs w:val="22"/>
              </w:rPr>
              <w:t>50</w:t>
            </w:r>
          </w:p>
        </w:tc>
        <w:tc>
          <w:tcPr>
            <w:tcW w:w="113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57" w:hanging="0"/>
              <w:jc w:val="center"/>
              <w:rPr>
                <w:spacing w:val="20"/>
                <w:sz w:val="22"/>
                <w:szCs w:val="22"/>
              </w:rPr>
            </w:pPr>
            <w:r>
              <w:rPr>
                <w:spacing w:val="20"/>
                <w:sz w:val="22"/>
                <w:szCs w:val="22"/>
              </w:rPr>
              <w:t>不適用</w:t>
            </w:r>
          </w:p>
        </w:tc>
      </w:tr>
      <w:tr>
        <w:trPr>
          <w:trHeight w:val="1474" w:hRule="atLeast"/>
        </w:trPr>
        <w:tc>
          <w:tcPr>
            <w:tcW w:w="43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57" w:hanging="0"/>
              <w:rPr>
                <w:spacing w:val="20"/>
                <w:sz w:val="22"/>
                <w:szCs w:val="22"/>
              </w:rPr>
            </w:pPr>
            <w:r>
              <w:rPr>
                <w:spacing w:val="20"/>
                <w:sz w:val="22"/>
                <w:szCs w:val="22"/>
              </w:rPr>
              <w:t>8.</w:t>
            </w:r>
          </w:p>
        </w:tc>
        <w:tc>
          <w:tcPr>
            <w:tcW w:w="141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pacing w:val="20"/>
                <w:sz w:val="22"/>
                <w:szCs w:val="22"/>
              </w:rPr>
            </w:pPr>
            <w:r>
              <w:rPr>
                <w:spacing w:val="20"/>
                <w:sz w:val="22"/>
                <w:szCs w:val="22"/>
              </w:rPr>
              <w:t>長者復康治療技巧基礎證書</w:t>
            </w:r>
            <w:r>
              <w:rPr>
                <w:spacing w:val="20"/>
                <w:sz w:val="22"/>
                <w:szCs w:val="22"/>
              </w:rPr>
              <w:t>(</w:t>
            </w:r>
            <w:r>
              <w:rPr>
                <w:spacing w:val="20"/>
                <w:sz w:val="22"/>
                <w:szCs w:val="22"/>
              </w:rPr>
              <w:t>兼讀制</w:t>
            </w:r>
            <w:r>
              <w:rPr>
                <w:spacing w:val="20"/>
                <w:sz w:val="22"/>
                <w:szCs w:val="22"/>
              </w:rPr>
              <w:t>)</w:t>
            </w:r>
          </w:p>
        </w:tc>
        <w:tc>
          <w:tcPr>
            <w:tcW w:w="113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pacing w:val="20"/>
                <w:sz w:val="22"/>
                <w:szCs w:val="22"/>
              </w:rPr>
            </w:pPr>
            <w:r>
              <w:rPr>
                <w:spacing w:val="20"/>
                <w:sz w:val="22"/>
                <w:szCs w:val="22"/>
              </w:rPr>
              <w:t>"</w:t>
            </w:r>
            <w:r>
              <w:rPr>
                <w:spacing w:val="20"/>
                <w:sz w:val="22"/>
                <w:szCs w:val="22"/>
              </w:rPr>
              <w:t>新技能提升計劃</w:t>
            </w:r>
            <w:r>
              <w:rPr>
                <w:spacing w:val="20"/>
                <w:sz w:val="22"/>
                <w:szCs w:val="22"/>
              </w:rPr>
              <w:t>"</w:t>
            </w:r>
            <w:r>
              <w:rPr>
                <w:spacing w:val="20"/>
                <w:sz w:val="22"/>
                <w:szCs w:val="22"/>
              </w:rPr>
              <w:t>課程</w:t>
            </w:r>
          </w:p>
        </w:tc>
        <w:tc>
          <w:tcPr>
            <w:tcW w:w="85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pacing w:val="20"/>
                <w:sz w:val="22"/>
                <w:szCs w:val="22"/>
              </w:rPr>
            </w:pPr>
            <w:r>
              <w:rPr>
                <w:spacing w:val="20"/>
                <w:sz w:val="22"/>
                <w:szCs w:val="22"/>
              </w:rPr>
              <w:t>健康護理</w:t>
            </w:r>
          </w:p>
        </w:tc>
        <w:tc>
          <w:tcPr>
            <w:tcW w:w="85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pacing w:val="20"/>
                <w:sz w:val="22"/>
                <w:szCs w:val="22"/>
              </w:rPr>
            </w:pPr>
            <w:r>
              <w:rPr>
                <w:spacing w:val="20"/>
                <w:sz w:val="22"/>
                <w:szCs w:val="22"/>
              </w:rPr>
              <w:t>半日或晚間制</w:t>
            </w:r>
          </w:p>
        </w:tc>
        <w:tc>
          <w:tcPr>
            <w:tcW w:w="85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hanging="0"/>
              <w:jc w:val="center"/>
              <w:rPr>
                <w:spacing w:val="20"/>
                <w:sz w:val="22"/>
                <w:szCs w:val="22"/>
              </w:rPr>
            </w:pPr>
            <w:r>
              <w:rPr>
                <w:spacing w:val="20"/>
                <w:sz w:val="22"/>
                <w:szCs w:val="22"/>
              </w:rPr>
              <w:t>18</w:t>
            </w:r>
          </w:p>
        </w:tc>
        <w:tc>
          <w:tcPr>
            <w:tcW w:w="85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hanging="0"/>
              <w:jc w:val="center"/>
              <w:rPr>
                <w:spacing w:val="20"/>
                <w:sz w:val="22"/>
                <w:szCs w:val="22"/>
              </w:rPr>
            </w:pPr>
            <w:r>
              <w:rPr>
                <w:spacing w:val="20"/>
                <w:sz w:val="22"/>
                <w:szCs w:val="22"/>
              </w:rPr>
              <w:t>80</w:t>
            </w:r>
          </w:p>
        </w:tc>
        <w:tc>
          <w:tcPr>
            <w:tcW w:w="99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hanging="0"/>
              <w:jc w:val="center"/>
              <w:rPr>
                <w:spacing w:val="20"/>
                <w:sz w:val="22"/>
                <w:szCs w:val="22"/>
              </w:rPr>
            </w:pPr>
            <w:r>
              <w:rPr>
                <w:spacing w:val="20"/>
                <w:sz w:val="22"/>
                <w:szCs w:val="22"/>
              </w:rPr>
              <w:t>30</w:t>
            </w:r>
          </w:p>
        </w:tc>
        <w:tc>
          <w:tcPr>
            <w:tcW w:w="70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hanging="0"/>
              <w:jc w:val="center"/>
              <w:rPr>
                <w:spacing w:val="20"/>
                <w:sz w:val="22"/>
                <w:szCs w:val="22"/>
              </w:rPr>
            </w:pPr>
            <w:r>
              <w:rPr>
                <w:spacing w:val="20"/>
                <w:sz w:val="22"/>
                <w:szCs w:val="22"/>
              </w:rPr>
              <w:t>20</w:t>
            </w:r>
          </w:p>
        </w:tc>
        <w:tc>
          <w:tcPr>
            <w:tcW w:w="113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hanging="0"/>
              <w:jc w:val="center"/>
              <w:rPr>
                <w:spacing w:val="20"/>
                <w:sz w:val="22"/>
                <w:szCs w:val="22"/>
              </w:rPr>
            </w:pPr>
            <w:r>
              <w:rPr>
                <w:spacing w:val="20"/>
                <w:sz w:val="22"/>
                <w:szCs w:val="22"/>
              </w:rPr>
              <w:t>不適用</w:t>
            </w:r>
          </w:p>
        </w:tc>
      </w:tr>
      <w:tr>
        <w:trPr>
          <w:trHeight w:val="2324" w:hRule="atLeast"/>
        </w:trPr>
        <w:tc>
          <w:tcPr>
            <w:tcW w:w="43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57" w:hanging="0"/>
              <w:rPr>
                <w:spacing w:val="20"/>
                <w:sz w:val="22"/>
                <w:szCs w:val="22"/>
              </w:rPr>
            </w:pPr>
            <w:r>
              <w:rPr>
                <w:spacing w:val="20"/>
                <w:sz w:val="22"/>
                <w:szCs w:val="22"/>
              </w:rPr>
              <w:t>9.</w:t>
            </w:r>
          </w:p>
        </w:tc>
        <w:tc>
          <w:tcPr>
            <w:tcW w:w="141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pacing w:val="20"/>
                <w:sz w:val="22"/>
                <w:szCs w:val="22"/>
              </w:rPr>
            </w:pPr>
            <w:r>
              <w:rPr>
                <w:spacing w:val="20"/>
                <w:sz w:val="22"/>
                <w:szCs w:val="22"/>
              </w:rPr>
              <w:t>護理員實務技能</w:t>
            </w:r>
            <w:r>
              <w:rPr>
                <w:spacing w:val="20"/>
                <w:sz w:val="22"/>
                <w:szCs w:val="22"/>
              </w:rPr>
              <w:t>(</w:t>
            </w:r>
            <w:r>
              <w:rPr>
                <w:spacing w:val="20"/>
                <w:sz w:val="22"/>
                <w:szCs w:val="22"/>
              </w:rPr>
              <w:t>扶抱及轉移技巧</w:t>
            </w:r>
            <w:r>
              <w:rPr>
                <w:spacing w:val="20"/>
                <w:sz w:val="22"/>
                <w:szCs w:val="22"/>
              </w:rPr>
              <w:t>)</w:t>
            </w:r>
            <w:r>
              <w:rPr>
                <w:spacing w:val="20"/>
                <w:sz w:val="22"/>
                <w:szCs w:val="22"/>
              </w:rPr>
              <w:t>基礎證書</w:t>
            </w:r>
            <w:r>
              <w:rPr>
                <w:spacing w:val="20"/>
                <w:sz w:val="22"/>
                <w:szCs w:val="22"/>
              </w:rPr>
              <w:t>(</w:t>
            </w:r>
            <w:r>
              <w:rPr>
                <w:spacing w:val="20"/>
                <w:sz w:val="22"/>
                <w:szCs w:val="22"/>
              </w:rPr>
              <w:t>兼讀制</w:t>
            </w:r>
            <w:r>
              <w:rPr>
                <w:spacing w:val="20"/>
                <w:sz w:val="22"/>
                <w:szCs w:val="22"/>
              </w:rPr>
              <w:t>)</w:t>
            </w:r>
          </w:p>
        </w:tc>
        <w:tc>
          <w:tcPr>
            <w:tcW w:w="113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pacing w:val="20"/>
                <w:sz w:val="22"/>
                <w:szCs w:val="22"/>
              </w:rPr>
            </w:pPr>
            <w:r>
              <w:rPr>
                <w:spacing w:val="20"/>
                <w:sz w:val="22"/>
                <w:szCs w:val="22"/>
              </w:rPr>
              <w:t>"</w:t>
            </w:r>
            <w:r>
              <w:rPr>
                <w:spacing w:val="20"/>
                <w:sz w:val="22"/>
                <w:szCs w:val="22"/>
              </w:rPr>
              <w:t>新技能提升計劃</w:t>
            </w:r>
            <w:r>
              <w:rPr>
                <w:spacing w:val="20"/>
                <w:sz w:val="22"/>
                <w:szCs w:val="22"/>
              </w:rPr>
              <w:t>"</w:t>
            </w:r>
            <w:r>
              <w:rPr>
                <w:spacing w:val="20"/>
                <w:sz w:val="22"/>
                <w:szCs w:val="22"/>
              </w:rPr>
              <w:t>課程</w:t>
            </w:r>
          </w:p>
        </w:tc>
        <w:tc>
          <w:tcPr>
            <w:tcW w:w="85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pacing w:val="20"/>
                <w:sz w:val="22"/>
                <w:szCs w:val="22"/>
              </w:rPr>
            </w:pPr>
            <w:r>
              <w:rPr>
                <w:spacing w:val="20"/>
                <w:sz w:val="22"/>
                <w:szCs w:val="22"/>
              </w:rPr>
              <w:t>健康護理</w:t>
            </w:r>
          </w:p>
        </w:tc>
        <w:tc>
          <w:tcPr>
            <w:tcW w:w="85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pacing w:val="20"/>
                <w:sz w:val="22"/>
                <w:szCs w:val="22"/>
              </w:rPr>
            </w:pPr>
            <w:r>
              <w:rPr>
                <w:spacing w:val="20"/>
                <w:sz w:val="22"/>
                <w:szCs w:val="22"/>
              </w:rPr>
              <w:t>半日或晚間制</w:t>
            </w:r>
          </w:p>
        </w:tc>
        <w:tc>
          <w:tcPr>
            <w:tcW w:w="85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hanging="0"/>
              <w:jc w:val="center"/>
              <w:rPr>
                <w:spacing w:val="20"/>
                <w:sz w:val="22"/>
                <w:szCs w:val="22"/>
              </w:rPr>
            </w:pPr>
            <w:r>
              <w:rPr>
                <w:spacing w:val="20"/>
                <w:sz w:val="22"/>
                <w:szCs w:val="22"/>
              </w:rPr>
              <w:t>36</w:t>
            </w:r>
          </w:p>
        </w:tc>
        <w:tc>
          <w:tcPr>
            <w:tcW w:w="85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hanging="0"/>
              <w:jc w:val="center"/>
              <w:rPr>
                <w:spacing w:val="20"/>
                <w:sz w:val="22"/>
                <w:szCs w:val="22"/>
              </w:rPr>
            </w:pPr>
            <w:r>
              <w:rPr>
                <w:spacing w:val="20"/>
                <w:sz w:val="22"/>
                <w:szCs w:val="22"/>
              </w:rPr>
              <w:t>380</w:t>
            </w:r>
          </w:p>
        </w:tc>
        <w:tc>
          <w:tcPr>
            <w:tcW w:w="99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hanging="0"/>
              <w:jc w:val="center"/>
              <w:rPr>
                <w:spacing w:val="20"/>
                <w:sz w:val="22"/>
                <w:szCs w:val="22"/>
              </w:rPr>
            </w:pPr>
            <w:r>
              <w:rPr>
                <w:spacing w:val="20"/>
                <w:sz w:val="22"/>
                <w:szCs w:val="22"/>
              </w:rPr>
              <w:t>130</w:t>
            </w:r>
          </w:p>
        </w:tc>
        <w:tc>
          <w:tcPr>
            <w:tcW w:w="70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hanging="0"/>
              <w:jc w:val="center"/>
              <w:rPr>
                <w:spacing w:val="20"/>
                <w:sz w:val="22"/>
                <w:szCs w:val="22"/>
              </w:rPr>
            </w:pPr>
            <w:r>
              <w:rPr>
                <w:spacing w:val="20"/>
                <w:sz w:val="22"/>
                <w:szCs w:val="22"/>
              </w:rPr>
              <w:t>130</w:t>
            </w:r>
          </w:p>
        </w:tc>
        <w:tc>
          <w:tcPr>
            <w:tcW w:w="113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hanging="0"/>
              <w:jc w:val="center"/>
              <w:rPr>
                <w:spacing w:val="20"/>
                <w:sz w:val="22"/>
                <w:szCs w:val="22"/>
              </w:rPr>
            </w:pPr>
            <w:r>
              <w:rPr>
                <w:spacing w:val="20"/>
                <w:sz w:val="22"/>
                <w:szCs w:val="22"/>
              </w:rPr>
              <w:t>不適用</w:t>
            </w:r>
          </w:p>
        </w:tc>
      </w:tr>
      <w:tr>
        <w:trPr>
          <w:trHeight w:val="2665" w:hRule="atLeast"/>
        </w:trPr>
        <w:tc>
          <w:tcPr>
            <w:tcW w:w="43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57" w:hanging="0"/>
              <w:rPr>
                <w:spacing w:val="20"/>
                <w:sz w:val="22"/>
                <w:szCs w:val="22"/>
              </w:rPr>
            </w:pPr>
            <w:r>
              <w:rPr>
                <w:spacing w:val="20"/>
                <w:sz w:val="22"/>
                <w:szCs w:val="22"/>
              </w:rPr>
              <w:t>10.</w:t>
            </w:r>
          </w:p>
        </w:tc>
        <w:tc>
          <w:tcPr>
            <w:tcW w:w="141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pacing w:val="20"/>
                <w:sz w:val="22"/>
                <w:szCs w:val="22"/>
              </w:rPr>
            </w:pPr>
            <w:r>
              <w:rPr>
                <w:spacing w:val="20"/>
                <w:sz w:val="22"/>
                <w:szCs w:val="22"/>
              </w:rPr>
              <w:t>安老院保健員實務精修證書</w:t>
            </w:r>
            <w:r>
              <w:rPr>
                <w:spacing w:val="20"/>
                <w:sz w:val="22"/>
                <w:szCs w:val="22"/>
              </w:rPr>
              <w:t>(</w:t>
            </w:r>
            <w:r>
              <w:rPr>
                <w:spacing w:val="20"/>
                <w:sz w:val="22"/>
                <w:szCs w:val="22"/>
              </w:rPr>
              <w:t>安老院舍意外處理</w:t>
            </w:r>
            <w:r>
              <w:rPr>
                <w:spacing w:val="20"/>
                <w:sz w:val="22"/>
                <w:szCs w:val="22"/>
              </w:rPr>
              <w:t>)(</w:t>
            </w:r>
            <w:r>
              <w:rPr>
                <w:spacing w:val="20"/>
                <w:sz w:val="22"/>
                <w:szCs w:val="22"/>
              </w:rPr>
              <w:t>兼讀制</w:t>
            </w:r>
            <w:r>
              <w:rPr>
                <w:spacing w:val="20"/>
                <w:sz w:val="22"/>
                <w:szCs w:val="22"/>
              </w:rPr>
              <w:t>)</w:t>
            </w:r>
          </w:p>
        </w:tc>
        <w:tc>
          <w:tcPr>
            <w:tcW w:w="113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pacing w:val="20"/>
                <w:sz w:val="22"/>
                <w:szCs w:val="22"/>
              </w:rPr>
            </w:pPr>
            <w:r>
              <w:rPr>
                <w:spacing w:val="20"/>
                <w:sz w:val="22"/>
                <w:szCs w:val="22"/>
              </w:rPr>
              <w:t>"</w:t>
            </w:r>
            <w:r>
              <w:rPr>
                <w:spacing w:val="20"/>
                <w:sz w:val="22"/>
                <w:szCs w:val="22"/>
              </w:rPr>
              <w:t>新技能提升計劃</w:t>
            </w:r>
            <w:r>
              <w:rPr>
                <w:spacing w:val="20"/>
                <w:sz w:val="22"/>
                <w:szCs w:val="22"/>
              </w:rPr>
              <w:t>"</w:t>
            </w:r>
            <w:r>
              <w:rPr>
                <w:spacing w:val="20"/>
                <w:sz w:val="22"/>
                <w:szCs w:val="22"/>
              </w:rPr>
              <w:t>課程</w:t>
            </w:r>
          </w:p>
        </w:tc>
        <w:tc>
          <w:tcPr>
            <w:tcW w:w="85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pacing w:val="20"/>
                <w:sz w:val="22"/>
                <w:szCs w:val="22"/>
              </w:rPr>
            </w:pPr>
            <w:r>
              <w:rPr>
                <w:spacing w:val="20"/>
                <w:sz w:val="22"/>
                <w:szCs w:val="22"/>
              </w:rPr>
              <w:t>健康護理</w:t>
            </w:r>
          </w:p>
        </w:tc>
        <w:tc>
          <w:tcPr>
            <w:tcW w:w="85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pacing w:val="20"/>
                <w:sz w:val="22"/>
                <w:szCs w:val="22"/>
              </w:rPr>
            </w:pPr>
            <w:r>
              <w:rPr>
                <w:spacing w:val="20"/>
                <w:sz w:val="22"/>
                <w:szCs w:val="22"/>
              </w:rPr>
              <w:t>半日或晚間制</w:t>
            </w:r>
          </w:p>
        </w:tc>
        <w:tc>
          <w:tcPr>
            <w:tcW w:w="85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hanging="0"/>
              <w:jc w:val="center"/>
              <w:rPr>
                <w:spacing w:val="20"/>
                <w:sz w:val="22"/>
                <w:szCs w:val="22"/>
              </w:rPr>
            </w:pPr>
            <w:r>
              <w:rPr>
                <w:spacing w:val="20"/>
                <w:sz w:val="22"/>
                <w:szCs w:val="22"/>
              </w:rPr>
              <w:t>8</w:t>
            </w:r>
          </w:p>
        </w:tc>
        <w:tc>
          <w:tcPr>
            <w:tcW w:w="85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hanging="0"/>
              <w:jc w:val="center"/>
              <w:rPr>
                <w:spacing w:val="20"/>
                <w:sz w:val="22"/>
                <w:szCs w:val="22"/>
              </w:rPr>
            </w:pPr>
            <w:r>
              <w:rPr>
                <w:spacing w:val="20"/>
                <w:sz w:val="22"/>
                <w:szCs w:val="22"/>
              </w:rPr>
              <w:t>60</w:t>
            </w:r>
          </w:p>
        </w:tc>
        <w:tc>
          <w:tcPr>
            <w:tcW w:w="99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hanging="0"/>
              <w:jc w:val="center"/>
              <w:rPr>
                <w:spacing w:val="20"/>
                <w:sz w:val="22"/>
                <w:szCs w:val="22"/>
              </w:rPr>
            </w:pPr>
            <w:r>
              <w:rPr>
                <w:spacing w:val="20"/>
                <w:sz w:val="22"/>
                <w:szCs w:val="22"/>
              </w:rPr>
              <w:t>20</w:t>
            </w:r>
          </w:p>
        </w:tc>
        <w:tc>
          <w:tcPr>
            <w:tcW w:w="70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hanging="0"/>
              <w:jc w:val="center"/>
              <w:rPr>
                <w:spacing w:val="20"/>
                <w:sz w:val="22"/>
                <w:szCs w:val="22"/>
              </w:rPr>
            </w:pPr>
            <w:r>
              <w:rPr>
                <w:spacing w:val="20"/>
                <w:sz w:val="22"/>
                <w:szCs w:val="22"/>
              </w:rPr>
              <w:t>20</w:t>
            </w:r>
          </w:p>
        </w:tc>
        <w:tc>
          <w:tcPr>
            <w:tcW w:w="113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hanging="0"/>
              <w:jc w:val="center"/>
              <w:rPr>
                <w:spacing w:val="20"/>
                <w:sz w:val="22"/>
                <w:szCs w:val="22"/>
              </w:rPr>
            </w:pPr>
            <w:r>
              <w:rPr>
                <w:spacing w:val="20"/>
                <w:sz w:val="22"/>
                <w:szCs w:val="22"/>
              </w:rPr>
              <w:t>不適用</w:t>
            </w:r>
          </w:p>
        </w:tc>
      </w:tr>
      <w:tr>
        <w:trPr>
          <w:trHeight w:val="1191" w:hRule="atLeast"/>
        </w:trPr>
        <w:tc>
          <w:tcPr>
            <w:tcW w:w="43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57" w:hanging="0"/>
              <w:rPr>
                <w:spacing w:val="20"/>
                <w:sz w:val="22"/>
                <w:szCs w:val="22"/>
              </w:rPr>
            </w:pPr>
            <w:r>
              <w:rPr>
                <w:spacing w:val="20"/>
                <w:sz w:val="22"/>
                <w:szCs w:val="22"/>
              </w:rPr>
              <w:t>11.</w:t>
            </w:r>
          </w:p>
        </w:tc>
        <w:tc>
          <w:tcPr>
            <w:tcW w:w="141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pacing w:val="20"/>
                <w:sz w:val="22"/>
                <w:szCs w:val="22"/>
              </w:rPr>
            </w:pPr>
            <w:r>
              <w:rPr>
                <w:spacing w:val="20"/>
                <w:sz w:val="22"/>
                <w:szCs w:val="22"/>
              </w:rPr>
              <w:t>長者護理基礎證書</w:t>
            </w:r>
            <w:r>
              <w:rPr>
                <w:spacing w:val="20"/>
                <w:sz w:val="22"/>
                <w:szCs w:val="22"/>
              </w:rPr>
              <w:t>(</w:t>
            </w:r>
            <w:r>
              <w:rPr>
                <w:spacing w:val="20"/>
                <w:sz w:val="22"/>
                <w:szCs w:val="22"/>
              </w:rPr>
              <w:t>兼讀制</w:t>
            </w:r>
            <w:r>
              <w:rPr>
                <w:spacing w:val="20"/>
                <w:sz w:val="22"/>
                <w:szCs w:val="22"/>
              </w:rPr>
              <w:t>)</w:t>
            </w:r>
          </w:p>
        </w:tc>
        <w:tc>
          <w:tcPr>
            <w:tcW w:w="113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pacing w:val="20"/>
                <w:sz w:val="22"/>
                <w:szCs w:val="22"/>
              </w:rPr>
            </w:pPr>
            <w:r>
              <w:rPr>
                <w:spacing w:val="20"/>
                <w:sz w:val="22"/>
                <w:szCs w:val="22"/>
              </w:rPr>
              <w:t>"</w:t>
            </w:r>
            <w:r>
              <w:rPr>
                <w:spacing w:val="20"/>
                <w:sz w:val="22"/>
                <w:szCs w:val="22"/>
              </w:rPr>
              <w:t>新技能提升計劃</w:t>
            </w:r>
            <w:r>
              <w:rPr>
                <w:spacing w:val="20"/>
                <w:sz w:val="22"/>
                <w:szCs w:val="22"/>
              </w:rPr>
              <w:t>"</w:t>
            </w:r>
            <w:r>
              <w:rPr>
                <w:spacing w:val="20"/>
                <w:sz w:val="22"/>
                <w:szCs w:val="22"/>
              </w:rPr>
              <w:t>課程</w:t>
            </w:r>
          </w:p>
        </w:tc>
        <w:tc>
          <w:tcPr>
            <w:tcW w:w="85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pacing w:val="20"/>
                <w:sz w:val="22"/>
                <w:szCs w:val="22"/>
              </w:rPr>
            </w:pPr>
            <w:r>
              <w:rPr>
                <w:spacing w:val="20"/>
                <w:sz w:val="22"/>
                <w:szCs w:val="22"/>
              </w:rPr>
              <w:t>健康護理</w:t>
            </w:r>
          </w:p>
        </w:tc>
        <w:tc>
          <w:tcPr>
            <w:tcW w:w="85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pacing w:val="20"/>
                <w:sz w:val="22"/>
                <w:szCs w:val="22"/>
              </w:rPr>
            </w:pPr>
            <w:r>
              <w:rPr>
                <w:spacing w:val="20"/>
                <w:sz w:val="22"/>
                <w:szCs w:val="22"/>
              </w:rPr>
              <w:t>半日或晚間制</w:t>
            </w:r>
          </w:p>
        </w:tc>
        <w:tc>
          <w:tcPr>
            <w:tcW w:w="85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hanging="0"/>
              <w:jc w:val="center"/>
              <w:rPr>
                <w:spacing w:val="20"/>
                <w:sz w:val="22"/>
                <w:szCs w:val="22"/>
              </w:rPr>
            </w:pPr>
            <w:r>
              <w:rPr>
                <w:spacing w:val="20"/>
                <w:sz w:val="22"/>
                <w:szCs w:val="22"/>
              </w:rPr>
              <w:t>72</w:t>
            </w:r>
          </w:p>
        </w:tc>
        <w:tc>
          <w:tcPr>
            <w:tcW w:w="85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hanging="0"/>
              <w:jc w:val="center"/>
              <w:rPr>
                <w:spacing w:val="20"/>
                <w:sz w:val="22"/>
                <w:szCs w:val="22"/>
              </w:rPr>
            </w:pPr>
            <w:r>
              <w:rPr>
                <w:spacing w:val="20"/>
                <w:sz w:val="22"/>
                <w:szCs w:val="22"/>
              </w:rPr>
              <w:t>100</w:t>
            </w:r>
          </w:p>
        </w:tc>
        <w:tc>
          <w:tcPr>
            <w:tcW w:w="99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hanging="0"/>
              <w:jc w:val="center"/>
              <w:rPr>
                <w:spacing w:val="20"/>
                <w:sz w:val="22"/>
                <w:szCs w:val="22"/>
              </w:rPr>
            </w:pPr>
            <w:r>
              <w:rPr>
                <w:spacing w:val="20"/>
                <w:sz w:val="22"/>
                <w:szCs w:val="22"/>
              </w:rPr>
              <w:t>80</w:t>
            </w:r>
          </w:p>
        </w:tc>
        <w:tc>
          <w:tcPr>
            <w:tcW w:w="70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hanging="0"/>
              <w:jc w:val="center"/>
              <w:rPr>
                <w:spacing w:val="20"/>
                <w:sz w:val="22"/>
                <w:szCs w:val="22"/>
              </w:rPr>
            </w:pPr>
            <w:r>
              <w:rPr>
                <w:spacing w:val="20"/>
                <w:sz w:val="22"/>
                <w:szCs w:val="22"/>
              </w:rPr>
              <w:t>70</w:t>
            </w:r>
          </w:p>
        </w:tc>
        <w:tc>
          <w:tcPr>
            <w:tcW w:w="113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hanging="0"/>
              <w:jc w:val="center"/>
              <w:rPr>
                <w:spacing w:val="20"/>
                <w:sz w:val="22"/>
                <w:szCs w:val="22"/>
              </w:rPr>
            </w:pPr>
            <w:r>
              <w:rPr>
                <w:spacing w:val="20"/>
                <w:sz w:val="22"/>
                <w:szCs w:val="22"/>
              </w:rPr>
              <w:t>不適用</w:t>
            </w:r>
          </w:p>
        </w:tc>
      </w:tr>
      <w:tr>
        <w:trPr>
          <w:trHeight w:val="2154" w:hRule="atLeast"/>
        </w:trPr>
        <w:tc>
          <w:tcPr>
            <w:tcW w:w="43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57" w:hanging="0"/>
              <w:rPr>
                <w:spacing w:val="20"/>
                <w:sz w:val="22"/>
                <w:szCs w:val="22"/>
              </w:rPr>
            </w:pPr>
            <w:r>
              <w:rPr>
                <w:spacing w:val="20"/>
                <w:sz w:val="22"/>
                <w:szCs w:val="22"/>
              </w:rPr>
              <w:t>12.</w:t>
            </w:r>
          </w:p>
        </w:tc>
        <w:tc>
          <w:tcPr>
            <w:tcW w:w="141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pacing w:val="20"/>
                <w:sz w:val="22"/>
                <w:szCs w:val="22"/>
              </w:rPr>
            </w:pPr>
            <w:r>
              <w:rPr>
                <w:spacing w:val="20"/>
                <w:sz w:val="22"/>
                <w:szCs w:val="22"/>
              </w:rPr>
              <w:t>長者心理衞生及常見精神病的護理基礎證書</w:t>
            </w:r>
            <w:r>
              <w:rPr>
                <w:spacing w:val="20"/>
                <w:sz w:val="22"/>
                <w:szCs w:val="22"/>
              </w:rPr>
              <w:t>(</w:t>
            </w:r>
            <w:r>
              <w:rPr>
                <w:spacing w:val="20"/>
                <w:sz w:val="22"/>
                <w:szCs w:val="22"/>
              </w:rPr>
              <w:t>兼讀制</w:t>
            </w:r>
            <w:r>
              <w:rPr>
                <w:spacing w:val="20"/>
                <w:sz w:val="22"/>
                <w:szCs w:val="22"/>
              </w:rPr>
              <w:t>)</w:t>
            </w:r>
            <w:r>
              <w:rPr>
                <w:spacing w:val="20"/>
                <w:sz w:val="22"/>
                <w:szCs w:val="22"/>
                <w:vertAlign w:val="superscript"/>
              </w:rPr>
              <w:t>(5)</w:t>
            </w:r>
          </w:p>
        </w:tc>
        <w:tc>
          <w:tcPr>
            <w:tcW w:w="113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pacing w:val="20"/>
                <w:sz w:val="22"/>
                <w:szCs w:val="22"/>
              </w:rPr>
            </w:pPr>
            <w:r>
              <w:rPr>
                <w:spacing w:val="20"/>
                <w:sz w:val="22"/>
                <w:szCs w:val="22"/>
              </w:rPr>
              <w:t>"</w:t>
            </w:r>
            <w:r>
              <w:rPr>
                <w:spacing w:val="20"/>
                <w:sz w:val="22"/>
                <w:szCs w:val="22"/>
              </w:rPr>
              <w:t>新技能提升計劃</w:t>
            </w:r>
            <w:r>
              <w:rPr>
                <w:spacing w:val="20"/>
                <w:sz w:val="22"/>
                <w:szCs w:val="22"/>
              </w:rPr>
              <w:t>"</w:t>
            </w:r>
            <w:r>
              <w:rPr>
                <w:spacing w:val="20"/>
                <w:sz w:val="22"/>
                <w:szCs w:val="22"/>
              </w:rPr>
              <w:t>課程</w:t>
            </w:r>
          </w:p>
        </w:tc>
        <w:tc>
          <w:tcPr>
            <w:tcW w:w="85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pacing w:val="20"/>
                <w:sz w:val="22"/>
                <w:szCs w:val="22"/>
              </w:rPr>
            </w:pPr>
            <w:r>
              <w:rPr>
                <w:spacing w:val="20"/>
                <w:sz w:val="22"/>
                <w:szCs w:val="22"/>
              </w:rPr>
              <w:t>健康護理</w:t>
            </w:r>
          </w:p>
        </w:tc>
        <w:tc>
          <w:tcPr>
            <w:tcW w:w="85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pacing w:val="20"/>
                <w:sz w:val="22"/>
                <w:szCs w:val="22"/>
              </w:rPr>
            </w:pPr>
            <w:r>
              <w:rPr>
                <w:spacing w:val="20"/>
                <w:sz w:val="22"/>
                <w:szCs w:val="22"/>
              </w:rPr>
              <w:t>半日或晚間制</w:t>
            </w:r>
          </w:p>
        </w:tc>
        <w:tc>
          <w:tcPr>
            <w:tcW w:w="85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hanging="0"/>
              <w:jc w:val="center"/>
              <w:rPr>
                <w:spacing w:val="20"/>
                <w:sz w:val="22"/>
                <w:szCs w:val="22"/>
              </w:rPr>
            </w:pPr>
            <w:r>
              <w:rPr>
                <w:spacing w:val="20"/>
                <w:sz w:val="22"/>
                <w:szCs w:val="22"/>
              </w:rPr>
              <w:t>27</w:t>
            </w:r>
          </w:p>
        </w:tc>
        <w:tc>
          <w:tcPr>
            <w:tcW w:w="85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hanging="0"/>
              <w:jc w:val="center"/>
              <w:rPr>
                <w:spacing w:val="20"/>
                <w:sz w:val="22"/>
                <w:szCs w:val="22"/>
              </w:rPr>
            </w:pPr>
            <w:r>
              <w:rPr>
                <w:spacing w:val="20"/>
                <w:sz w:val="22"/>
                <w:szCs w:val="22"/>
              </w:rPr>
              <w:t>30</w:t>
            </w:r>
          </w:p>
        </w:tc>
        <w:tc>
          <w:tcPr>
            <w:tcW w:w="99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hanging="0"/>
              <w:jc w:val="center"/>
              <w:rPr>
                <w:spacing w:val="20"/>
                <w:sz w:val="22"/>
                <w:szCs w:val="22"/>
              </w:rPr>
            </w:pPr>
            <w:r>
              <w:rPr>
                <w:spacing w:val="20"/>
                <w:sz w:val="22"/>
                <w:szCs w:val="22"/>
              </w:rPr>
              <w:t>0</w:t>
            </w:r>
          </w:p>
        </w:tc>
        <w:tc>
          <w:tcPr>
            <w:tcW w:w="70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hanging="0"/>
              <w:jc w:val="center"/>
              <w:rPr>
                <w:spacing w:val="20"/>
                <w:sz w:val="22"/>
                <w:szCs w:val="22"/>
              </w:rPr>
            </w:pPr>
            <w:r>
              <w:rPr>
                <w:spacing w:val="20"/>
                <w:sz w:val="22"/>
                <w:szCs w:val="22"/>
              </w:rPr>
              <w:t>0</w:t>
            </w:r>
          </w:p>
        </w:tc>
        <w:tc>
          <w:tcPr>
            <w:tcW w:w="113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hanging="0"/>
              <w:jc w:val="center"/>
              <w:rPr>
                <w:spacing w:val="20"/>
                <w:sz w:val="22"/>
                <w:szCs w:val="22"/>
              </w:rPr>
            </w:pPr>
            <w:r>
              <w:rPr>
                <w:spacing w:val="20"/>
                <w:sz w:val="22"/>
                <w:szCs w:val="22"/>
              </w:rPr>
              <w:t>不適用</w:t>
            </w:r>
          </w:p>
        </w:tc>
      </w:tr>
      <w:tr>
        <w:trPr>
          <w:trHeight w:val="2211" w:hRule="exact"/>
        </w:trPr>
        <w:tc>
          <w:tcPr>
            <w:tcW w:w="43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57" w:hanging="0"/>
              <w:rPr>
                <w:spacing w:val="20"/>
                <w:sz w:val="22"/>
                <w:szCs w:val="22"/>
              </w:rPr>
            </w:pPr>
            <w:r>
              <w:rPr>
                <w:spacing w:val="20"/>
                <w:sz w:val="22"/>
                <w:szCs w:val="22"/>
              </w:rPr>
              <w:t>13.</w:t>
            </w:r>
          </w:p>
        </w:tc>
        <w:tc>
          <w:tcPr>
            <w:tcW w:w="141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pacing w:val="20"/>
                <w:sz w:val="22"/>
                <w:szCs w:val="22"/>
              </w:rPr>
            </w:pPr>
            <w:r>
              <w:rPr>
                <w:spacing w:val="20"/>
                <w:sz w:val="22"/>
                <w:szCs w:val="22"/>
              </w:rPr>
              <w:t>安老服務常用的醫學詞彙及藥物的認識證書</w:t>
            </w:r>
            <w:r>
              <w:rPr>
                <w:spacing w:val="20"/>
                <w:sz w:val="22"/>
                <w:szCs w:val="22"/>
              </w:rPr>
              <w:t>(</w:t>
            </w:r>
            <w:r>
              <w:rPr>
                <w:spacing w:val="20"/>
                <w:sz w:val="22"/>
                <w:szCs w:val="22"/>
              </w:rPr>
              <w:t>兼讀制</w:t>
            </w:r>
            <w:r>
              <w:rPr>
                <w:spacing w:val="20"/>
                <w:sz w:val="22"/>
                <w:szCs w:val="22"/>
              </w:rPr>
              <w:t>)</w:t>
            </w:r>
          </w:p>
        </w:tc>
        <w:tc>
          <w:tcPr>
            <w:tcW w:w="113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pacing w:val="20"/>
                <w:sz w:val="22"/>
                <w:szCs w:val="22"/>
              </w:rPr>
            </w:pPr>
            <w:r>
              <w:rPr>
                <w:spacing w:val="20"/>
                <w:sz w:val="22"/>
                <w:szCs w:val="22"/>
              </w:rPr>
              <w:t>"</w:t>
            </w:r>
            <w:r>
              <w:rPr>
                <w:spacing w:val="20"/>
                <w:sz w:val="22"/>
                <w:szCs w:val="22"/>
              </w:rPr>
              <w:t>新技能提升計劃</w:t>
            </w:r>
            <w:r>
              <w:rPr>
                <w:spacing w:val="20"/>
                <w:sz w:val="22"/>
                <w:szCs w:val="22"/>
              </w:rPr>
              <w:t>"</w:t>
            </w:r>
            <w:r>
              <w:rPr>
                <w:spacing w:val="20"/>
                <w:sz w:val="22"/>
                <w:szCs w:val="22"/>
              </w:rPr>
              <w:t>課程</w:t>
            </w:r>
          </w:p>
        </w:tc>
        <w:tc>
          <w:tcPr>
            <w:tcW w:w="85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pacing w:val="20"/>
                <w:sz w:val="22"/>
                <w:szCs w:val="22"/>
              </w:rPr>
            </w:pPr>
            <w:r>
              <w:rPr>
                <w:spacing w:val="20"/>
                <w:sz w:val="22"/>
                <w:szCs w:val="22"/>
              </w:rPr>
              <w:t>健康護理</w:t>
            </w:r>
          </w:p>
        </w:tc>
        <w:tc>
          <w:tcPr>
            <w:tcW w:w="85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pacing w:val="20"/>
                <w:sz w:val="22"/>
                <w:szCs w:val="22"/>
              </w:rPr>
            </w:pPr>
            <w:r>
              <w:rPr>
                <w:spacing w:val="20"/>
                <w:sz w:val="22"/>
                <w:szCs w:val="22"/>
              </w:rPr>
              <w:t>半日或晚間制</w:t>
            </w:r>
          </w:p>
        </w:tc>
        <w:tc>
          <w:tcPr>
            <w:tcW w:w="85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hanging="0"/>
              <w:jc w:val="center"/>
              <w:rPr>
                <w:spacing w:val="20"/>
                <w:sz w:val="22"/>
                <w:szCs w:val="22"/>
              </w:rPr>
            </w:pPr>
            <w:r>
              <w:rPr>
                <w:spacing w:val="20"/>
                <w:sz w:val="22"/>
                <w:szCs w:val="22"/>
              </w:rPr>
              <w:t>22</w:t>
            </w:r>
          </w:p>
        </w:tc>
        <w:tc>
          <w:tcPr>
            <w:tcW w:w="85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hanging="0"/>
              <w:jc w:val="center"/>
              <w:rPr>
                <w:spacing w:val="20"/>
                <w:sz w:val="22"/>
                <w:szCs w:val="22"/>
              </w:rPr>
            </w:pPr>
            <w:r>
              <w:rPr>
                <w:spacing w:val="20"/>
                <w:sz w:val="22"/>
                <w:szCs w:val="22"/>
              </w:rPr>
              <w:t>60</w:t>
            </w:r>
          </w:p>
        </w:tc>
        <w:tc>
          <w:tcPr>
            <w:tcW w:w="99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hanging="0"/>
              <w:jc w:val="center"/>
              <w:rPr>
                <w:spacing w:val="20"/>
                <w:sz w:val="22"/>
                <w:szCs w:val="22"/>
              </w:rPr>
            </w:pPr>
            <w:r>
              <w:rPr>
                <w:spacing w:val="20"/>
                <w:sz w:val="22"/>
                <w:szCs w:val="22"/>
              </w:rPr>
              <w:t>0</w:t>
            </w:r>
          </w:p>
        </w:tc>
        <w:tc>
          <w:tcPr>
            <w:tcW w:w="70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hanging="0"/>
              <w:jc w:val="center"/>
              <w:rPr>
                <w:spacing w:val="20"/>
                <w:sz w:val="22"/>
                <w:szCs w:val="22"/>
              </w:rPr>
            </w:pPr>
            <w:r>
              <w:rPr>
                <w:spacing w:val="20"/>
                <w:sz w:val="22"/>
                <w:szCs w:val="22"/>
              </w:rPr>
              <w:t>0</w:t>
            </w:r>
          </w:p>
        </w:tc>
        <w:tc>
          <w:tcPr>
            <w:tcW w:w="113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hanging="0"/>
              <w:jc w:val="center"/>
              <w:rPr>
                <w:spacing w:val="20"/>
                <w:sz w:val="22"/>
                <w:szCs w:val="22"/>
              </w:rPr>
            </w:pPr>
            <w:r>
              <w:rPr>
                <w:spacing w:val="20"/>
                <w:sz w:val="22"/>
                <w:szCs w:val="22"/>
              </w:rPr>
              <w:t>不適用</w:t>
            </w:r>
          </w:p>
        </w:tc>
      </w:tr>
      <w:tr>
        <w:trPr>
          <w:trHeight w:val="1644" w:hRule="exact"/>
        </w:trPr>
        <w:tc>
          <w:tcPr>
            <w:tcW w:w="43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57" w:hanging="0"/>
              <w:rPr>
                <w:spacing w:val="20"/>
                <w:sz w:val="22"/>
                <w:szCs w:val="22"/>
              </w:rPr>
            </w:pPr>
            <w:r>
              <w:rPr>
                <w:spacing w:val="20"/>
                <w:sz w:val="22"/>
                <w:szCs w:val="22"/>
              </w:rPr>
              <w:t>14.</w:t>
            </w:r>
          </w:p>
        </w:tc>
        <w:tc>
          <w:tcPr>
            <w:tcW w:w="141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pacing w:val="20"/>
                <w:sz w:val="22"/>
                <w:szCs w:val="22"/>
              </w:rPr>
            </w:pPr>
            <w:r>
              <w:rPr>
                <w:spacing w:val="20"/>
                <w:sz w:val="22"/>
                <w:szCs w:val="22"/>
              </w:rPr>
              <w:t>安老服務溝通技巧基礎證書</w:t>
            </w:r>
            <w:r>
              <w:rPr>
                <w:spacing w:val="20"/>
                <w:sz w:val="22"/>
                <w:szCs w:val="22"/>
              </w:rPr>
              <w:t>(</w:t>
            </w:r>
            <w:r>
              <w:rPr>
                <w:spacing w:val="20"/>
                <w:sz w:val="22"/>
                <w:szCs w:val="22"/>
              </w:rPr>
              <w:t>兼讀制</w:t>
            </w:r>
            <w:r>
              <w:rPr>
                <w:spacing w:val="20"/>
                <w:sz w:val="22"/>
                <w:szCs w:val="22"/>
              </w:rPr>
              <w:t>)</w:t>
            </w:r>
          </w:p>
        </w:tc>
        <w:tc>
          <w:tcPr>
            <w:tcW w:w="113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pacing w:val="20"/>
                <w:sz w:val="22"/>
                <w:szCs w:val="22"/>
              </w:rPr>
            </w:pPr>
            <w:r>
              <w:rPr>
                <w:spacing w:val="20"/>
                <w:sz w:val="22"/>
                <w:szCs w:val="22"/>
              </w:rPr>
              <w:t>"</w:t>
            </w:r>
            <w:r>
              <w:rPr>
                <w:spacing w:val="20"/>
                <w:sz w:val="22"/>
                <w:szCs w:val="22"/>
              </w:rPr>
              <w:t>新技能提升計劃</w:t>
            </w:r>
            <w:r>
              <w:rPr>
                <w:spacing w:val="20"/>
                <w:sz w:val="22"/>
                <w:szCs w:val="22"/>
              </w:rPr>
              <w:t>"</w:t>
            </w:r>
            <w:r>
              <w:rPr>
                <w:spacing w:val="20"/>
                <w:sz w:val="22"/>
                <w:szCs w:val="22"/>
              </w:rPr>
              <w:t>課程</w:t>
            </w:r>
          </w:p>
        </w:tc>
        <w:tc>
          <w:tcPr>
            <w:tcW w:w="85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pacing w:val="20"/>
                <w:sz w:val="22"/>
                <w:szCs w:val="22"/>
              </w:rPr>
            </w:pPr>
            <w:r>
              <w:rPr>
                <w:spacing w:val="20"/>
                <w:sz w:val="22"/>
                <w:szCs w:val="22"/>
              </w:rPr>
              <w:t>健康護理</w:t>
            </w:r>
          </w:p>
        </w:tc>
        <w:tc>
          <w:tcPr>
            <w:tcW w:w="85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pacing w:val="20"/>
                <w:sz w:val="22"/>
                <w:szCs w:val="22"/>
              </w:rPr>
            </w:pPr>
            <w:r>
              <w:rPr>
                <w:spacing w:val="20"/>
                <w:sz w:val="22"/>
                <w:szCs w:val="22"/>
              </w:rPr>
              <w:t>半日或晚間制</w:t>
            </w:r>
          </w:p>
        </w:tc>
        <w:tc>
          <w:tcPr>
            <w:tcW w:w="85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hanging="0"/>
              <w:jc w:val="center"/>
              <w:rPr>
                <w:spacing w:val="20"/>
                <w:sz w:val="22"/>
                <w:szCs w:val="22"/>
              </w:rPr>
            </w:pPr>
            <w:r>
              <w:rPr>
                <w:spacing w:val="20"/>
                <w:sz w:val="22"/>
                <w:szCs w:val="22"/>
              </w:rPr>
              <w:t>15</w:t>
            </w:r>
          </w:p>
        </w:tc>
        <w:tc>
          <w:tcPr>
            <w:tcW w:w="85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hanging="0"/>
              <w:jc w:val="center"/>
              <w:rPr>
                <w:spacing w:val="20"/>
                <w:sz w:val="22"/>
                <w:szCs w:val="22"/>
              </w:rPr>
            </w:pPr>
            <w:r>
              <w:rPr>
                <w:spacing w:val="20"/>
                <w:sz w:val="22"/>
                <w:szCs w:val="22"/>
              </w:rPr>
              <w:t>80</w:t>
            </w:r>
          </w:p>
        </w:tc>
        <w:tc>
          <w:tcPr>
            <w:tcW w:w="99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hanging="0"/>
              <w:jc w:val="center"/>
              <w:rPr>
                <w:spacing w:val="20"/>
                <w:sz w:val="22"/>
                <w:szCs w:val="22"/>
              </w:rPr>
            </w:pPr>
            <w:r>
              <w:rPr>
                <w:spacing w:val="20"/>
                <w:sz w:val="22"/>
                <w:szCs w:val="22"/>
              </w:rPr>
              <w:t>20</w:t>
            </w:r>
          </w:p>
        </w:tc>
        <w:tc>
          <w:tcPr>
            <w:tcW w:w="70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hanging="0"/>
              <w:jc w:val="center"/>
              <w:rPr>
                <w:spacing w:val="20"/>
                <w:sz w:val="22"/>
                <w:szCs w:val="22"/>
              </w:rPr>
            </w:pPr>
            <w:r>
              <w:rPr>
                <w:spacing w:val="20"/>
                <w:sz w:val="22"/>
                <w:szCs w:val="22"/>
              </w:rPr>
              <w:t>20</w:t>
            </w:r>
          </w:p>
        </w:tc>
        <w:tc>
          <w:tcPr>
            <w:tcW w:w="113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hanging="0"/>
              <w:jc w:val="center"/>
              <w:rPr>
                <w:spacing w:val="20"/>
                <w:sz w:val="22"/>
                <w:szCs w:val="22"/>
              </w:rPr>
            </w:pPr>
            <w:r>
              <w:rPr>
                <w:spacing w:val="20"/>
                <w:sz w:val="22"/>
                <w:szCs w:val="22"/>
              </w:rPr>
              <w:t>不適用</w:t>
            </w:r>
          </w:p>
        </w:tc>
      </w:tr>
      <w:tr>
        <w:trPr>
          <w:trHeight w:val="1984" w:hRule="exact"/>
        </w:trPr>
        <w:tc>
          <w:tcPr>
            <w:tcW w:w="43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57" w:hanging="0"/>
              <w:rPr>
                <w:spacing w:val="20"/>
                <w:sz w:val="22"/>
                <w:szCs w:val="22"/>
              </w:rPr>
            </w:pPr>
            <w:r>
              <w:rPr>
                <w:spacing w:val="20"/>
                <w:sz w:val="22"/>
                <w:szCs w:val="22"/>
              </w:rPr>
              <w:t>15.</w:t>
            </w:r>
          </w:p>
        </w:tc>
        <w:tc>
          <w:tcPr>
            <w:tcW w:w="141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pacing w:val="20"/>
                <w:sz w:val="22"/>
                <w:szCs w:val="22"/>
              </w:rPr>
            </w:pPr>
            <w:r>
              <w:rPr>
                <w:spacing w:val="20"/>
                <w:sz w:val="22"/>
                <w:szCs w:val="22"/>
              </w:rPr>
              <w:t>護理員實務技能</w:t>
            </w:r>
            <w:r>
              <w:rPr>
                <w:spacing w:val="20"/>
                <w:sz w:val="22"/>
                <w:szCs w:val="22"/>
              </w:rPr>
              <w:t>(</w:t>
            </w:r>
            <w:r>
              <w:rPr>
                <w:spacing w:val="20"/>
                <w:sz w:val="22"/>
                <w:szCs w:val="22"/>
              </w:rPr>
              <w:t>壓瘡護理</w:t>
            </w:r>
            <w:r>
              <w:rPr>
                <w:spacing w:val="20"/>
                <w:sz w:val="22"/>
                <w:szCs w:val="22"/>
              </w:rPr>
              <w:t>)</w:t>
            </w:r>
            <w:r>
              <w:rPr>
                <w:spacing w:val="20"/>
                <w:sz w:val="22"/>
                <w:szCs w:val="22"/>
              </w:rPr>
              <w:t>基礎證書</w:t>
            </w:r>
            <w:r>
              <w:rPr>
                <w:spacing w:val="20"/>
                <w:sz w:val="22"/>
                <w:szCs w:val="22"/>
              </w:rPr>
              <w:t>(</w:t>
            </w:r>
            <w:r>
              <w:rPr>
                <w:spacing w:val="20"/>
                <w:sz w:val="22"/>
                <w:szCs w:val="22"/>
              </w:rPr>
              <w:t>兼讀制</w:t>
            </w:r>
            <w:r>
              <w:rPr>
                <w:spacing w:val="20"/>
                <w:sz w:val="22"/>
                <w:szCs w:val="22"/>
              </w:rPr>
              <w:t>)</w:t>
            </w:r>
          </w:p>
        </w:tc>
        <w:tc>
          <w:tcPr>
            <w:tcW w:w="113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pacing w:val="20"/>
                <w:sz w:val="22"/>
                <w:szCs w:val="22"/>
              </w:rPr>
            </w:pPr>
            <w:r>
              <w:rPr>
                <w:spacing w:val="20"/>
                <w:sz w:val="22"/>
                <w:szCs w:val="22"/>
              </w:rPr>
              <w:t>"</w:t>
            </w:r>
            <w:r>
              <w:rPr>
                <w:spacing w:val="20"/>
                <w:sz w:val="22"/>
                <w:szCs w:val="22"/>
              </w:rPr>
              <w:t>新技能提升計劃</w:t>
            </w:r>
            <w:r>
              <w:rPr>
                <w:spacing w:val="20"/>
                <w:sz w:val="22"/>
                <w:szCs w:val="22"/>
              </w:rPr>
              <w:t>"</w:t>
            </w:r>
            <w:r>
              <w:rPr>
                <w:spacing w:val="20"/>
                <w:sz w:val="22"/>
                <w:szCs w:val="22"/>
              </w:rPr>
              <w:t>課程</w:t>
            </w:r>
          </w:p>
        </w:tc>
        <w:tc>
          <w:tcPr>
            <w:tcW w:w="85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pacing w:val="20"/>
                <w:sz w:val="22"/>
                <w:szCs w:val="22"/>
              </w:rPr>
            </w:pPr>
            <w:r>
              <w:rPr>
                <w:spacing w:val="20"/>
                <w:sz w:val="22"/>
                <w:szCs w:val="22"/>
              </w:rPr>
              <w:t>健康護理</w:t>
            </w:r>
          </w:p>
        </w:tc>
        <w:tc>
          <w:tcPr>
            <w:tcW w:w="85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pacing w:val="20"/>
                <w:sz w:val="22"/>
                <w:szCs w:val="22"/>
              </w:rPr>
            </w:pPr>
            <w:r>
              <w:rPr>
                <w:spacing w:val="20"/>
                <w:sz w:val="22"/>
                <w:szCs w:val="22"/>
              </w:rPr>
              <w:t>半日或晚間制</w:t>
            </w:r>
          </w:p>
        </w:tc>
        <w:tc>
          <w:tcPr>
            <w:tcW w:w="85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hanging="0"/>
              <w:jc w:val="center"/>
              <w:rPr>
                <w:spacing w:val="20"/>
                <w:sz w:val="22"/>
                <w:szCs w:val="22"/>
              </w:rPr>
            </w:pPr>
            <w:r>
              <w:rPr>
                <w:spacing w:val="20"/>
                <w:sz w:val="22"/>
                <w:szCs w:val="22"/>
              </w:rPr>
              <w:t>24</w:t>
            </w:r>
          </w:p>
        </w:tc>
        <w:tc>
          <w:tcPr>
            <w:tcW w:w="85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hanging="0"/>
              <w:jc w:val="center"/>
              <w:rPr>
                <w:spacing w:val="20"/>
                <w:sz w:val="22"/>
                <w:szCs w:val="22"/>
              </w:rPr>
            </w:pPr>
            <w:r>
              <w:rPr>
                <w:spacing w:val="20"/>
                <w:sz w:val="22"/>
                <w:szCs w:val="22"/>
              </w:rPr>
              <w:t>360</w:t>
            </w:r>
          </w:p>
        </w:tc>
        <w:tc>
          <w:tcPr>
            <w:tcW w:w="99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hanging="0"/>
              <w:jc w:val="center"/>
              <w:rPr>
                <w:spacing w:val="20"/>
                <w:sz w:val="22"/>
                <w:szCs w:val="22"/>
              </w:rPr>
            </w:pPr>
            <w:r>
              <w:rPr>
                <w:spacing w:val="20"/>
                <w:sz w:val="22"/>
                <w:szCs w:val="22"/>
              </w:rPr>
              <w:t>180</w:t>
            </w:r>
          </w:p>
        </w:tc>
        <w:tc>
          <w:tcPr>
            <w:tcW w:w="70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hanging="0"/>
              <w:jc w:val="center"/>
              <w:rPr>
                <w:spacing w:val="20"/>
                <w:sz w:val="22"/>
                <w:szCs w:val="22"/>
              </w:rPr>
            </w:pPr>
            <w:r>
              <w:rPr>
                <w:spacing w:val="20"/>
                <w:sz w:val="22"/>
                <w:szCs w:val="22"/>
              </w:rPr>
              <w:t>170</w:t>
            </w:r>
          </w:p>
        </w:tc>
        <w:tc>
          <w:tcPr>
            <w:tcW w:w="113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hanging="0"/>
              <w:jc w:val="center"/>
              <w:rPr>
                <w:spacing w:val="20"/>
                <w:sz w:val="22"/>
                <w:szCs w:val="22"/>
              </w:rPr>
            </w:pPr>
            <w:r>
              <w:rPr>
                <w:spacing w:val="20"/>
                <w:sz w:val="22"/>
                <w:szCs w:val="22"/>
              </w:rPr>
              <w:t>不適用</w:t>
            </w:r>
          </w:p>
        </w:tc>
      </w:tr>
      <w:tr>
        <w:trPr>
          <w:trHeight w:val="2381" w:hRule="exact"/>
        </w:trPr>
        <w:tc>
          <w:tcPr>
            <w:tcW w:w="43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57" w:hanging="0"/>
              <w:rPr>
                <w:spacing w:val="20"/>
                <w:sz w:val="22"/>
                <w:szCs w:val="22"/>
              </w:rPr>
            </w:pPr>
            <w:r>
              <w:rPr>
                <w:spacing w:val="20"/>
                <w:sz w:val="22"/>
                <w:szCs w:val="22"/>
              </w:rPr>
              <w:t>16.</w:t>
            </w:r>
          </w:p>
        </w:tc>
        <w:tc>
          <w:tcPr>
            <w:tcW w:w="141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pacing w:val="20"/>
                <w:sz w:val="22"/>
                <w:szCs w:val="22"/>
              </w:rPr>
            </w:pPr>
            <w:r>
              <w:rPr>
                <w:spacing w:val="20"/>
                <w:sz w:val="22"/>
                <w:szCs w:val="22"/>
              </w:rPr>
              <w:t>安老院保健員實務精修證書</w:t>
            </w:r>
            <w:r>
              <w:rPr>
                <w:spacing w:val="20"/>
                <w:sz w:val="22"/>
                <w:szCs w:val="22"/>
              </w:rPr>
              <w:t>(</w:t>
            </w:r>
            <w:r>
              <w:rPr>
                <w:spacing w:val="20"/>
                <w:sz w:val="22"/>
                <w:szCs w:val="22"/>
              </w:rPr>
              <w:t>傷口護理及餵食</w:t>
            </w:r>
            <w:r>
              <w:rPr>
                <w:spacing w:val="20"/>
                <w:sz w:val="22"/>
                <w:szCs w:val="22"/>
              </w:rPr>
              <w:t>)(</w:t>
            </w:r>
            <w:r>
              <w:rPr>
                <w:spacing w:val="20"/>
                <w:sz w:val="22"/>
                <w:szCs w:val="22"/>
              </w:rPr>
              <w:t>兼讀制</w:t>
            </w:r>
            <w:r>
              <w:rPr>
                <w:spacing w:val="20"/>
                <w:sz w:val="22"/>
                <w:szCs w:val="22"/>
              </w:rPr>
              <w:t>)</w:t>
            </w:r>
          </w:p>
        </w:tc>
        <w:tc>
          <w:tcPr>
            <w:tcW w:w="113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pacing w:val="20"/>
                <w:sz w:val="22"/>
                <w:szCs w:val="22"/>
              </w:rPr>
            </w:pPr>
            <w:r>
              <w:rPr>
                <w:spacing w:val="20"/>
                <w:sz w:val="22"/>
                <w:szCs w:val="22"/>
              </w:rPr>
              <w:t>"</w:t>
            </w:r>
            <w:r>
              <w:rPr>
                <w:spacing w:val="20"/>
                <w:sz w:val="22"/>
                <w:szCs w:val="22"/>
              </w:rPr>
              <w:t>新技能提升計劃</w:t>
            </w:r>
            <w:r>
              <w:rPr>
                <w:spacing w:val="20"/>
                <w:sz w:val="22"/>
                <w:szCs w:val="22"/>
              </w:rPr>
              <w:t>"</w:t>
            </w:r>
            <w:r>
              <w:rPr>
                <w:spacing w:val="20"/>
                <w:sz w:val="22"/>
                <w:szCs w:val="22"/>
              </w:rPr>
              <w:t>課程</w:t>
            </w:r>
          </w:p>
        </w:tc>
        <w:tc>
          <w:tcPr>
            <w:tcW w:w="85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pacing w:val="20"/>
                <w:sz w:val="22"/>
                <w:szCs w:val="22"/>
              </w:rPr>
            </w:pPr>
            <w:r>
              <w:rPr>
                <w:spacing w:val="20"/>
                <w:sz w:val="22"/>
                <w:szCs w:val="22"/>
              </w:rPr>
              <w:t>健康護理</w:t>
            </w:r>
          </w:p>
        </w:tc>
        <w:tc>
          <w:tcPr>
            <w:tcW w:w="85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pacing w:val="20"/>
                <w:sz w:val="22"/>
                <w:szCs w:val="22"/>
              </w:rPr>
            </w:pPr>
            <w:r>
              <w:rPr>
                <w:spacing w:val="20"/>
                <w:sz w:val="22"/>
                <w:szCs w:val="22"/>
              </w:rPr>
              <w:t>半日或晚間制</w:t>
            </w:r>
          </w:p>
        </w:tc>
        <w:tc>
          <w:tcPr>
            <w:tcW w:w="85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hanging="0"/>
              <w:jc w:val="center"/>
              <w:rPr>
                <w:spacing w:val="20"/>
                <w:sz w:val="22"/>
                <w:szCs w:val="22"/>
              </w:rPr>
            </w:pPr>
            <w:r>
              <w:rPr>
                <w:spacing w:val="20"/>
                <w:sz w:val="22"/>
                <w:szCs w:val="22"/>
              </w:rPr>
              <w:t>8</w:t>
            </w:r>
          </w:p>
        </w:tc>
        <w:tc>
          <w:tcPr>
            <w:tcW w:w="85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hanging="0"/>
              <w:jc w:val="center"/>
              <w:rPr>
                <w:spacing w:val="20"/>
                <w:sz w:val="22"/>
                <w:szCs w:val="22"/>
              </w:rPr>
            </w:pPr>
            <w:r>
              <w:rPr>
                <w:spacing w:val="20"/>
                <w:sz w:val="22"/>
                <w:szCs w:val="22"/>
              </w:rPr>
              <w:t>80</w:t>
            </w:r>
          </w:p>
        </w:tc>
        <w:tc>
          <w:tcPr>
            <w:tcW w:w="99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hanging="0"/>
              <w:jc w:val="center"/>
              <w:rPr>
                <w:spacing w:val="20"/>
                <w:sz w:val="22"/>
                <w:szCs w:val="22"/>
              </w:rPr>
            </w:pPr>
            <w:r>
              <w:rPr>
                <w:spacing w:val="20"/>
                <w:sz w:val="22"/>
                <w:szCs w:val="22"/>
              </w:rPr>
              <w:t>30</w:t>
            </w:r>
          </w:p>
        </w:tc>
        <w:tc>
          <w:tcPr>
            <w:tcW w:w="70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hanging="0"/>
              <w:jc w:val="center"/>
              <w:rPr>
                <w:spacing w:val="20"/>
                <w:sz w:val="22"/>
                <w:szCs w:val="22"/>
              </w:rPr>
            </w:pPr>
            <w:r>
              <w:rPr>
                <w:spacing w:val="20"/>
                <w:sz w:val="22"/>
                <w:szCs w:val="22"/>
              </w:rPr>
              <w:t>30</w:t>
            </w:r>
          </w:p>
        </w:tc>
        <w:tc>
          <w:tcPr>
            <w:tcW w:w="113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hanging="0"/>
              <w:jc w:val="center"/>
              <w:rPr>
                <w:spacing w:val="20"/>
                <w:sz w:val="22"/>
                <w:szCs w:val="22"/>
              </w:rPr>
            </w:pPr>
            <w:r>
              <w:rPr>
                <w:spacing w:val="20"/>
                <w:sz w:val="22"/>
                <w:szCs w:val="22"/>
              </w:rPr>
              <w:t>不適用</w:t>
            </w:r>
          </w:p>
        </w:tc>
      </w:tr>
      <w:tr>
        <w:trPr>
          <w:trHeight w:val="1984" w:hRule="exact"/>
        </w:trPr>
        <w:tc>
          <w:tcPr>
            <w:tcW w:w="43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57" w:hanging="0"/>
              <w:rPr>
                <w:spacing w:val="20"/>
                <w:sz w:val="22"/>
                <w:szCs w:val="22"/>
              </w:rPr>
            </w:pPr>
            <w:r>
              <w:rPr>
                <w:spacing w:val="20"/>
                <w:sz w:val="22"/>
                <w:szCs w:val="22"/>
              </w:rPr>
              <w:t>17.</w:t>
            </w:r>
          </w:p>
        </w:tc>
        <w:tc>
          <w:tcPr>
            <w:tcW w:w="141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pacing w:val="20"/>
                <w:sz w:val="22"/>
                <w:szCs w:val="22"/>
              </w:rPr>
            </w:pPr>
            <w:r>
              <w:rPr>
                <w:spacing w:val="20"/>
                <w:sz w:val="22"/>
                <w:szCs w:val="22"/>
              </w:rPr>
              <w:t>護理員實務技能</w:t>
            </w:r>
            <w:r>
              <w:rPr>
                <w:spacing w:val="20"/>
                <w:sz w:val="22"/>
                <w:szCs w:val="22"/>
              </w:rPr>
              <w:t>(</w:t>
            </w:r>
            <w:r>
              <w:rPr>
                <w:spacing w:val="20"/>
                <w:sz w:val="22"/>
                <w:szCs w:val="22"/>
              </w:rPr>
              <w:t>生命體徵量度</w:t>
            </w:r>
            <w:r>
              <w:rPr>
                <w:spacing w:val="20"/>
                <w:sz w:val="22"/>
                <w:szCs w:val="22"/>
              </w:rPr>
              <w:t>)</w:t>
            </w:r>
            <w:r>
              <w:rPr>
                <w:spacing w:val="20"/>
                <w:sz w:val="22"/>
                <w:szCs w:val="22"/>
              </w:rPr>
              <w:t>基礎證書</w:t>
            </w:r>
            <w:r>
              <w:rPr>
                <w:spacing w:val="20"/>
                <w:sz w:val="22"/>
                <w:szCs w:val="22"/>
              </w:rPr>
              <w:t>(</w:t>
            </w:r>
            <w:r>
              <w:rPr>
                <w:spacing w:val="20"/>
                <w:sz w:val="22"/>
                <w:szCs w:val="22"/>
              </w:rPr>
              <w:t>兼讀制</w:t>
            </w:r>
            <w:r>
              <w:rPr>
                <w:spacing w:val="20"/>
                <w:sz w:val="22"/>
                <w:szCs w:val="22"/>
              </w:rPr>
              <w:t>)</w:t>
            </w:r>
          </w:p>
        </w:tc>
        <w:tc>
          <w:tcPr>
            <w:tcW w:w="113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pacing w:val="20"/>
                <w:sz w:val="22"/>
                <w:szCs w:val="22"/>
              </w:rPr>
            </w:pPr>
            <w:r>
              <w:rPr>
                <w:spacing w:val="20"/>
                <w:sz w:val="22"/>
                <w:szCs w:val="22"/>
              </w:rPr>
              <w:t>"</w:t>
            </w:r>
            <w:r>
              <w:rPr>
                <w:spacing w:val="20"/>
                <w:sz w:val="22"/>
                <w:szCs w:val="22"/>
              </w:rPr>
              <w:t>新技能提升計劃</w:t>
            </w:r>
            <w:r>
              <w:rPr>
                <w:spacing w:val="20"/>
                <w:sz w:val="22"/>
                <w:szCs w:val="22"/>
              </w:rPr>
              <w:t>"</w:t>
            </w:r>
            <w:r>
              <w:rPr>
                <w:spacing w:val="20"/>
                <w:sz w:val="22"/>
                <w:szCs w:val="22"/>
              </w:rPr>
              <w:t>課程</w:t>
            </w:r>
          </w:p>
        </w:tc>
        <w:tc>
          <w:tcPr>
            <w:tcW w:w="85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pacing w:val="20"/>
                <w:sz w:val="22"/>
                <w:szCs w:val="22"/>
              </w:rPr>
            </w:pPr>
            <w:r>
              <w:rPr>
                <w:spacing w:val="20"/>
                <w:sz w:val="22"/>
                <w:szCs w:val="22"/>
              </w:rPr>
              <w:t>健康護理</w:t>
            </w:r>
          </w:p>
        </w:tc>
        <w:tc>
          <w:tcPr>
            <w:tcW w:w="85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pacing w:val="20"/>
                <w:sz w:val="22"/>
                <w:szCs w:val="22"/>
              </w:rPr>
            </w:pPr>
            <w:r>
              <w:rPr>
                <w:spacing w:val="20"/>
                <w:sz w:val="22"/>
                <w:szCs w:val="22"/>
              </w:rPr>
              <w:t>半日或晚間制</w:t>
            </w:r>
          </w:p>
        </w:tc>
        <w:tc>
          <w:tcPr>
            <w:tcW w:w="85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hanging="0"/>
              <w:jc w:val="center"/>
              <w:rPr>
                <w:spacing w:val="20"/>
                <w:sz w:val="22"/>
                <w:szCs w:val="22"/>
              </w:rPr>
            </w:pPr>
            <w:r>
              <w:rPr>
                <w:spacing w:val="20"/>
                <w:sz w:val="22"/>
                <w:szCs w:val="22"/>
              </w:rPr>
              <w:t>24</w:t>
            </w:r>
          </w:p>
        </w:tc>
        <w:tc>
          <w:tcPr>
            <w:tcW w:w="85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hanging="0"/>
              <w:jc w:val="center"/>
              <w:rPr>
                <w:spacing w:val="20"/>
                <w:sz w:val="22"/>
                <w:szCs w:val="22"/>
              </w:rPr>
            </w:pPr>
            <w:r>
              <w:rPr>
                <w:spacing w:val="20"/>
                <w:sz w:val="22"/>
                <w:szCs w:val="22"/>
              </w:rPr>
              <w:t>380</w:t>
            </w:r>
          </w:p>
        </w:tc>
        <w:tc>
          <w:tcPr>
            <w:tcW w:w="99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hanging="0"/>
              <w:jc w:val="center"/>
              <w:rPr>
                <w:spacing w:val="20"/>
                <w:sz w:val="22"/>
                <w:szCs w:val="22"/>
              </w:rPr>
            </w:pPr>
            <w:r>
              <w:rPr>
                <w:spacing w:val="20"/>
                <w:sz w:val="22"/>
                <w:szCs w:val="22"/>
              </w:rPr>
              <w:t>210</w:t>
            </w:r>
          </w:p>
        </w:tc>
        <w:tc>
          <w:tcPr>
            <w:tcW w:w="70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hanging="0"/>
              <w:jc w:val="center"/>
              <w:rPr>
                <w:spacing w:val="20"/>
                <w:sz w:val="22"/>
                <w:szCs w:val="22"/>
              </w:rPr>
            </w:pPr>
            <w:r>
              <w:rPr>
                <w:spacing w:val="20"/>
                <w:sz w:val="22"/>
                <w:szCs w:val="22"/>
              </w:rPr>
              <w:t>190</w:t>
            </w:r>
          </w:p>
        </w:tc>
        <w:tc>
          <w:tcPr>
            <w:tcW w:w="113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hanging="0"/>
              <w:jc w:val="center"/>
              <w:rPr>
                <w:spacing w:val="20"/>
                <w:sz w:val="22"/>
                <w:szCs w:val="22"/>
              </w:rPr>
            </w:pPr>
            <w:r>
              <w:rPr>
                <w:spacing w:val="20"/>
                <w:sz w:val="22"/>
                <w:szCs w:val="22"/>
              </w:rPr>
              <w:t>不適用</w:t>
            </w:r>
          </w:p>
        </w:tc>
      </w:tr>
      <w:tr>
        <w:trPr>
          <w:trHeight w:val="1984" w:hRule="exact"/>
        </w:trPr>
        <w:tc>
          <w:tcPr>
            <w:tcW w:w="43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57" w:hanging="0"/>
              <w:rPr>
                <w:spacing w:val="20"/>
                <w:sz w:val="22"/>
                <w:szCs w:val="22"/>
              </w:rPr>
            </w:pPr>
            <w:r>
              <w:rPr>
                <w:spacing w:val="20"/>
                <w:sz w:val="22"/>
                <w:szCs w:val="22"/>
              </w:rPr>
              <w:t>18.</w:t>
            </w:r>
          </w:p>
        </w:tc>
        <w:tc>
          <w:tcPr>
            <w:tcW w:w="141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pacing w:val="20"/>
                <w:sz w:val="22"/>
                <w:szCs w:val="22"/>
              </w:rPr>
            </w:pPr>
            <w:r>
              <w:rPr>
                <w:spacing w:val="20"/>
                <w:sz w:val="22"/>
                <w:szCs w:val="22"/>
              </w:rPr>
              <w:t>護理員實務技能</w:t>
            </w:r>
            <w:r>
              <w:rPr>
                <w:spacing w:val="20"/>
                <w:sz w:val="22"/>
                <w:szCs w:val="22"/>
              </w:rPr>
              <w:t>(</w:t>
            </w:r>
            <w:r>
              <w:rPr>
                <w:spacing w:val="20"/>
                <w:sz w:val="22"/>
                <w:szCs w:val="22"/>
              </w:rPr>
              <w:t>餵食技巧</w:t>
            </w:r>
            <w:r>
              <w:rPr>
                <w:spacing w:val="20"/>
                <w:sz w:val="22"/>
                <w:szCs w:val="22"/>
              </w:rPr>
              <w:t>)</w:t>
            </w:r>
            <w:r>
              <w:rPr>
                <w:spacing w:val="20"/>
                <w:sz w:val="22"/>
                <w:szCs w:val="22"/>
              </w:rPr>
              <w:t>基礎證書</w:t>
            </w:r>
            <w:r>
              <w:rPr>
                <w:spacing w:val="20"/>
                <w:sz w:val="22"/>
                <w:szCs w:val="22"/>
              </w:rPr>
              <w:t>(</w:t>
            </w:r>
            <w:r>
              <w:rPr>
                <w:spacing w:val="20"/>
                <w:sz w:val="22"/>
                <w:szCs w:val="22"/>
              </w:rPr>
              <w:t>兼讀制</w:t>
            </w:r>
            <w:r>
              <w:rPr>
                <w:spacing w:val="20"/>
                <w:sz w:val="22"/>
                <w:szCs w:val="22"/>
              </w:rPr>
              <w:t>)</w:t>
            </w:r>
          </w:p>
        </w:tc>
        <w:tc>
          <w:tcPr>
            <w:tcW w:w="113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pacing w:val="20"/>
                <w:sz w:val="22"/>
                <w:szCs w:val="22"/>
              </w:rPr>
            </w:pPr>
            <w:r>
              <w:rPr>
                <w:spacing w:val="20"/>
                <w:sz w:val="22"/>
                <w:szCs w:val="22"/>
              </w:rPr>
              <w:t>"</w:t>
            </w:r>
            <w:r>
              <w:rPr>
                <w:spacing w:val="20"/>
                <w:sz w:val="22"/>
                <w:szCs w:val="22"/>
              </w:rPr>
              <w:t>新技能提升計劃</w:t>
            </w:r>
            <w:r>
              <w:rPr>
                <w:spacing w:val="20"/>
                <w:sz w:val="22"/>
                <w:szCs w:val="22"/>
              </w:rPr>
              <w:t>"</w:t>
            </w:r>
            <w:r>
              <w:rPr>
                <w:spacing w:val="20"/>
                <w:sz w:val="22"/>
                <w:szCs w:val="22"/>
              </w:rPr>
              <w:t>課程</w:t>
            </w:r>
          </w:p>
        </w:tc>
        <w:tc>
          <w:tcPr>
            <w:tcW w:w="85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pacing w:val="20"/>
                <w:sz w:val="22"/>
                <w:szCs w:val="22"/>
              </w:rPr>
            </w:pPr>
            <w:r>
              <w:rPr>
                <w:spacing w:val="20"/>
                <w:sz w:val="22"/>
                <w:szCs w:val="22"/>
              </w:rPr>
              <w:t>健康護理</w:t>
            </w:r>
          </w:p>
        </w:tc>
        <w:tc>
          <w:tcPr>
            <w:tcW w:w="85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pacing w:val="20"/>
                <w:sz w:val="22"/>
                <w:szCs w:val="22"/>
              </w:rPr>
            </w:pPr>
            <w:r>
              <w:rPr>
                <w:spacing w:val="20"/>
                <w:sz w:val="22"/>
                <w:szCs w:val="22"/>
              </w:rPr>
              <w:t>半日或晚間制</w:t>
            </w:r>
          </w:p>
        </w:tc>
        <w:tc>
          <w:tcPr>
            <w:tcW w:w="85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hanging="0"/>
              <w:jc w:val="center"/>
              <w:rPr>
                <w:spacing w:val="20"/>
                <w:sz w:val="22"/>
                <w:szCs w:val="22"/>
              </w:rPr>
            </w:pPr>
            <w:r>
              <w:rPr>
                <w:spacing w:val="20"/>
                <w:sz w:val="22"/>
                <w:szCs w:val="22"/>
              </w:rPr>
              <w:t>20</w:t>
            </w:r>
          </w:p>
        </w:tc>
        <w:tc>
          <w:tcPr>
            <w:tcW w:w="85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hanging="0"/>
              <w:jc w:val="center"/>
              <w:rPr>
                <w:spacing w:val="20"/>
                <w:sz w:val="22"/>
                <w:szCs w:val="22"/>
              </w:rPr>
            </w:pPr>
            <w:r>
              <w:rPr>
                <w:spacing w:val="20"/>
                <w:sz w:val="22"/>
                <w:szCs w:val="22"/>
              </w:rPr>
              <w:t>340</w:t>
            </w:r>
          </w:p>
        </w:tc>
        <w:tc>
          <w:tcPr>
            <w:tcW w:w="99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hanging="0"/>
              <w:jc w:val="center"/>
              <w:rPr>
                <w:spacing w:val="20"/>
                <w:sz w:val="22"/>
                <w:szCs w:val="22"/>
              </w:rPr>
            </w:pPr>
            <w:r>
              <w:rPr>
                <w:spacing w:val="20"/>
                <w:sz w:val="22"/>
                <w:szCs w:val="22"/>
              </w:rPr>
              <w:t>170</w:t>
            </w:r>
          </w:p>
        </w:tc>
        <w:tc>
          <w:tcPr>
            <w:tcW w:w="70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hanging="0"/>
              <w:jc w:val="center"/>
              <w:rPr>
                <w:spacing w:val="20"/>
                <w:sz w:val="22"/>
                <w:szCs w:val="22"/>
              </w:rPr>
            </w:pPr>
            <w:r>
              <w:rPr>
                <w:spacing w:val="20"/>
                <w:sz w:val="22"/>
                <w:szCs w:val="22"/>
              </w:rPr>
              <w:t>170</w:t>
            </w:r>
          </w:p>
        </w:tc>
        <w:tc>
          <w:tcPr>
            <w:tcW w:w="113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hanging="0"/>
              <w:jc w:val="center"/>
              <w:rPr>
                <w:spacing w:val="20"/>
                <w:sz w:val="22"/>
                <w:szCs w:val="22"/>
              </w:rPr>
            </w:pPr>
            <w:r>
              <w:rPr>
                <w:spacing w:val="20"/>
                <w:sz w:val="22"/>
                <w:szCs w:val="22"/>
              </w:rPr>
              <w:t>不適用</w:t>
            </w:r>
          </w:p>
        </w:tc>
      </w:tr>
      <w:tr>
        <w:trPr>
          <w:trHeight w:val="2041" w:hRule="exact"/>
        </w:trPr>
        <w:tc>
          <w:tcPr>
            <w:tcW w:w="43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57" w:hanging="0"/>
              <w:rPr>
                <w:spacing w:val="20"/>
                <w:sz w:val="22"/>
                <w:szCs w:val="22"/>
              </w:rPr>
            </w:pPr>
            <w:r>
              <w:rPr>
                <w:spacing w:val="20"/>
                <w:sz w:val="22"/>
                <w:szCs w:val="22"/>
              </w:rPr>
              <w:t>19.</w:t>
            </w:r>
          </w:p>
        </w:tc>
        <w:tc>
          <w:tcPr>
            <w:tcW w:w="141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pacing w:val="20"/>
                <w:sz w:val="22"/>
                <w:szCs w:val="22"/>
              </w:rPr>
            </w:pPr>
            <w:r>
              <w:rPr>
                <w:spacing w:val="20"/>
                <w:sz w:val="22"/>
                <w:szCs w:val="22"/>
              </w:rPr>
              <w:t>護理員實務技能</w:t>
            </w:r>
            <w:r>
              <w:rPr>
                <w:spacing w:val="20"/>
                <w:sz w:val="22"/>
                <w:szCs w:val="22"/>
              </w:rPr>
              <w:t>(</w:t>
            </w:r>
            <w:r>
              <w:rPr>
                <w:spacing w:val="20"/>
                <w:sz w:val="22"/>
                <w:szCs w:val="22"/>
              </w:rPr>
              <w:t>失禁護理</w:t>
            </w:r>
            <w:r>
              <w:rPr>
                <w:spacing w:val="20"/>
                <w:sz w:val="22"/>
                <w:szCs w:val="22"/>
              </w:rPr>
              <w:t>)</w:t>
            </w:r>
            <w:r>
              <w:rPr>
                <w:spacing w:val="20"/>
                <w:sz w:val="22"/>
                <w:szCs w:val="22"/>
              </w:rPr>
              <w:t>基礎證書</w:t>
            </w:r>
            <w:r>
              <w:rPr>
                <w:spacing w:val="20"/>
                <w:sz w:val="22"/>
                <w:szCs w:val="22"/>
              </w:rPr>
              <w:t>(</w:t>
            </w:r>
            <w:r>
              <w:rPr>
                <w:spacing w:val="20"/>
                <w:sz w:val="22"/>
                <w:szCs w:val="22"/>
              </w:rPr>
              <w:t>兼讀制</w:t>
            </w:r>
            <w:r>
              <w:rPr>
                <w:spacing w:val="20"/>
                <w:sz w:val="22"/>
                <w:szCs w:val="22"/>
              </w:rPr>
              <w:t>)</w:t>
            </w:r>
          </w:p>
        </w:tc>
        <w:tc>
          <w:tcPr>
            <w:tcW w:w="113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pacing w:val="20"/>
                <w:sz w:val="22"/>
                <w:szCs w:val="22"/>
              </w:rPr>
            </w:pPr>
            <w:r>
              <w:rPr>
                <w:spacing w:val="20"/>
                <w:sz w:val="22"/>
                <w:szCs w:val="22"/>
              </w:rPr>
              <w:t>"</w:t>
            </w:r>
            <w:r>
              <w:rPr>
                <w:spacing w:val="20"/>
                <w:sz w:val="22"/>
                <w:szCs w:val="22"/>
              </w:rPr>
              <w:t>新技能提升計劃</w:t>
            </w:r>
            <w:r>
              <w:rPr>
                <w:spacing w:val="20"/>
                <w:sz w:val="22"/>
                <w:szCs w:val="22"/>
              </w:rPr>
              <w:t>"</w:t>
            </w:r>
            <w:r>
              <w:rPr>
                <w:spacing w:val="20"/>
                <w:sz w:val="22"/>
                <w:szCs w:val="22"/>
              </w:rPr>
              <w:t>課程</w:t>
            </w:r>
          </w:p>
        </w:tc>
        <w:tc>
          <w:tcPr>
            <w:tcW w:w="85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pacing w:val="20"/>
                <w:sz w:val="22"/>
                <w:szCs w:val="22"/>
              </w:rPr>
            </w:pPr>
            <w:r>
              <w:rPr>
                <w:spacing w:val="20"/>
                <w:sz w:val="22"/>
                <w:szCs w:val="22"/>
              </w:rPr>
              <w:t>健康護理</w:t>
            </w:r>
          </w:p>
        </w:tc>
        <w:tc>
          <w:tcPr>
            <w:tcW w:w="85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pacing w:val="20"/>
                <w:sz w:val="22"/>
                <w:szCs w:val="22"/>
              </w:rPr>
            </w:pPr>
            <w:r>
              <w:rPr>
                <w:spacing w:val="20"/>
                <w:sz w:val="22"/>
                <w:szCs w:val="22"/>
              </w:rPr>
              <w:t>半日或晚間制</w:t>
            </w:r>
          </w:p>
        </w:tc>
        <w:tc>
          <w:tcPr>
            <w:tcW w:w="85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hanging="0"/>
              <w:jc w:val="center"/>
              <w:rPr>
                <w:spacing w:val="20"/>
                <w:sz w:val="22"/>
                <w:szCs w:val="22"/>
              </w:rPr>
            </w:pPr>
            <w:r>
              <w:rPr>
                <w:spacing w:val="20"/>
                <w:sz w:val="22"/>
                <w:szCs w:val="22"/>
              </w:rPr>
              <w:t>26</w:t>
            </w:r>
          </w:p>
        </w:tc>
        <w:tc>
          <w:tcPr>
            <w:tcW w:w="85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hanging="0"/>
              <w:jc w:val="center"/>
              <w:rPr>
                <w:spacing w:val="20"/>
                <w:sz w:val="22"/>
                <w:szCs w:val="22"/>
              </w:rPr>
            </w:pPr>
            <w:r>
              <w:rPr>
                <w:spacing w:val="20"/>
                <w:sz w:val="22"/>
                <w:szCs w:val="22"/>
              </w:rPr>
              <w:t>340</w:t>
            </w:r>
          </w:p>
        </w:tc>
        <w:tc>
          <w:tcPr>
            <w:tcW w:w="99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hanging="0"/>
              <w:jc w:val="center"/>
              <w:rPr>
                <w:spacing w:val="20"/>
                <w:sz w:val="22"/>
                <w:szCs w:val="22"/>
              </w:rPr>
            </w:pPr>
            <w:r>
              <w:rPr>
                <w:spacing w:val="20"/>
                <w:sz w:val="22"/>
                <w:szCs w:val="22"/>
              </w:rPr>
              <w:t>190</w:t>
            </w:r>
          </w:p>
        </w:tc>
        <w:tc>
          <w:tcPr>
            <w:tcW w:w="70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hanging="0"/>
              <w:jc w:val="center"/>
              <w:rPr>
                <w:spacing w:val="20"/>
                <w:sz w:val="22"/>
                <w:szCs w:val="22"/>
              </w:rPr>
            </w:pPr>
            <w:r>
              <w:rPr>
                <w:spacing w:val="20"/>
                <w:sz w:val="22"/>
                <w:szCs w:val="22"/>
              </w:rPr>
              <w:t>170</w:t>
            </w:r>
          </w:p>
        </w:tc>
        <w:tc>
          <w:tcPr>
            <w:tcW w:w="113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hanging="0"/>
              <w:jc w:val="center"/>
              <w:rPr>
                <w:spacing w:val="20"/>
                <w:sz w:val="22"/>
                <w:szCs w:val="22"/>
              </w:rPr>
            </w:pPr>
            <w:r>
              <w:rPr>
                <w:spacing w:val="20"/>
                <w:sz w:val="22"/>
                <w:szCs w:val="22"/>
              </w:rPr>
              <w:t>不適用</w:t>
            </w:r>
          </w:p>
        </w:tc>
      </w:tr>
      <w:tr>
        <w:trPr>
          <w:trHeight w:val="1701" w:hRule="exact"/>
        </w:trPr>
        <w:tc>
          <w:tcPr>
            <w:tcW w:w="43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57" w:hanging="0"/>
              <w:rPr>
                <w:spacing w:val="20"/>
                <w:sz w:val="22"/>
                <w:szCs w:val="22"/>
              </w:rPr>
            </w:pPr>
            <w:r>
              <w:rPr>
                <w:spacing w:val="20"/>
                <w:sz w:val="22"/>
                <w:szCs w:val="22"/>
              </w:rPr>
              <w:t>20.</w:t>
            </w:r>
          </w:p>
        </w:tc>
        <w:tc>
          <w:tcPr>
            <w:tcW w:w="141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right="57" w:hanging="0"/>
              <w:rPr>
                <w:spacing w:val="20"/>
                <w:sz w:val="22"/>
                <w:szCs w:val="22"/>
              </w:rPr>
            </w:pPr>
            <w:r>
              <w:rPr>
                <w:spacing w:val="20"/>
                <w:sz w:val="22"/>
                <w:szCs w:val="22"/>
              </w:rPr>
              <w:t>虐老認知及預防基礎證書</w:t>
            </w:r>
            <w:r>
              <w:rPr>
                <w:spacing w:val="20"/>
                <w:sz w:val="22"/>
                <w:szCs w:val="22"/>
              </w:rPr>
              <w:t>(</w:t>
            </w:r>
            <w:r>
              <w:rPr>
                <w:spacing w:val="20"/>
                <w:sz w:val="22"/>
                <w:szCs w:val="22"/>
              </w:rPr>
              <w:t>兼讀制</w:t>
            </w:r>
            <w:r>
              <w:rPr>
                <w:spacing w:val="20"/>
                <w:sz w:val="22"/>
                <w:szCs w:val="22"/>
              </w:rPr>
              <w:t>)</w:t>
            </w:r>
          </w:p>
        </w:tc>
        <w:tc>
          <w:tcPr>
            <w:tcW w:w="113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right="57" w:hanging="0"/>
              <w:rPr>
                <w:spacing w:val="20"/>
                <w:sz w:val="22"/>
                <w:szCs w:val="22"/>
              </w:rPr>
            </w:pPr>
            <w:r>
              <w:rPr>
                <w:spacing w:val="20"/>
                <w:sz w:val="22"/>
                <w:szCs w:val="22"/>
              </w:rPr>
              <w:t>"</w:t>
            </w:r>
            <w:r>
              <w:rPr>
                <w:spacing w:val="20"/>
                <w:sz w:val="22"/>
                <w:szCs w:val="22"/>
              </w:rPr>
              <w:t>新技能提升計劃</w:t>
            </w:r>
            <w:r>
              <w:rPr>
                <w:spacing w:val="20"/>
                <w:sz w:val="22"/>
                <w:szCs w:val="22"/>
              </w:rPr>
              <w:t>"</w:t>
            </w:r>
            <w:r>
              <w:rPr>
                <w:spacing w:val="20"/>
                <w:sz w:val="22"/>
                <w:szCs w:val="22"/>
              </w:rPr>
              <w:t>課程</w:t>
            </w:r>
          </w:p>
        </w:tc>
        <w:tc>
          <w:tcPr>
            <w:tcW w:w="85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right="57" w:hanging="0"/>
              <w:rPr>
                <w:spacing w:val="20"/>
                <w:sz w:val="22"/>
                <w:szCs w:val="22"/>
              </w:rPr>
            </w:pPr>
            <w:r>
              <w:rPr>
                <w:spacing w:val="20"/>
                <w:sz w:val="22"/>
                <w:szCs w:val="22"/>
              </w:rPr>
              <w:t>健康護理</w:t>
            </w:r>
          </w:p>
        </w:tc>
        <w:tc>
          <w:tcPr>
            <w:tcW w:w="85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right="57" w:hanging="0"/>
              <w:rPr>
                <w:spacing w:val="20"/>
                <w:sz w:val="22"/>
                <w:szCs w:val="22"/>
              </w:rPr>
            </w:pPr>
            <w:r>
              <w:rPr>
                <w:spacing w:val="20"/>
                <w:sz w:val="22"/>
                <w:szCs w:val="22"/>
              </w:rPr>
              <w:t>半日或晚間制</w:t>
            </w:r>
          </w:p>
        </w:tc>
        <w:tc>
          <w:tcPr>
            <w:tcW w:w="85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hanging="0"/>
              <w:jc w:val="center"/>
              <w:rPr>
                <w:spacing w:val="20"/>
                <w:sz w:val="22"/>
                <w:szCs w:val="22"/>
              </w:rPr>
            </w:pPr>
            <w:r>
              <w:rPr>
                <w:spacing w:val="20"/>
                <w:sz w:val="22"/>
                <w:szCs w:val="22"/>
              </w:rPr>
              <w:t>18</w:t>
            </w:r>
          </w:p>
        </w:tc>
        <w:tc>
          <w:tcPr>
            <w:tcW w:w="85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hanging="0"/>
              <w:jc w:val="center"/>
              <w:rPr>
                <w:spacing w:val="20"/>
                <w:sz w:val="22"/>
                <w:szCs w:val="22"/>
              </w:rPr>
            </w:pPr>
            <w:r>
              <w:rPr>
                <w:spacing w:val="20"/>
                <w:sz w:val="22"/>
                <w:szCs w:val="22"/>
              </w:rPr>
              <w:t>60</w:t>
            </w:r>
          </w:p>
        </w:tc>
        <w:tc>
          <w:tcPr>
            <w:tcW w:w="99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hanging="0"/>
              <w:jc w:val="center"/>
              <w:rPr>
                <w:spacing w:val="20"/>
                <w:sz w:val="22"/>
                <w:szCs w:val="22"/>
              </w:rPr>
            </w:pPr>
            <w:r>
              <w:rPr>
                <w:spacing w:val="20"/>
                <w:sz w:val="22"/>
                <w:szCs w:val="22"/>
              </w:rPr>
              <w:t>20</w:t>
            </w:r>
          </w:p>
        </w:tc>
        <w:tc>
          <w:tcPr>
            <w:tcW w:w="70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hanging="0"/>
              <w:jc w:val="center"/>
              <w:rPr>
                <w:spacing w:val="20"/>
                <w:sz w:val="22"/>
                <w:szCs w:val="22"/>
              </w:rPr>
            </w:pPr>
            <w:r>
              <w:rPr>
                <w:spacing w:val="20"/>
                <w:sz w:val="22"/>
                <w:szCs w:val="22"/>
              </w:rPr>
              <w:t>10</w:t>
            </w:r>
          </w:p>
        </w:tc>
        <w:tc>
          <w:tcPr>
            <w:tcW w:w="113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hanging="0"/>
              <w:jc w:val="center"/>
              <w:rPr>
                <w:spacing w:val="20"/>
                <w:sz w:val="22"/>
                <w:szCs w:val="22"/>
              </w:rPr>
            </w:pPr>
            <w:r>
              <w:rPr>
                <w:spacing w:val="20"/>
                <w:sz w:val="22"/>
                <w:szCs w:val="22"/>
              </w:rPr>
              <w:t>不適用</w:t>
            </w:r>
          </w:p>
        </w:tc>
      </w:tr>
      <w:tr>
        <w:trPr>
          <w:trHeight w:val="2494" w:hRule="exact"/>
        </w:trPr>
        <w:tc>
          <w:tcPr>
            <w:tcW w:w="43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57" w:hanging="0"/>
              <w:rPr>
                <w:spacing w:val="20"/>
                <w:sz w:val="22"/>
                <w:szCs w:val="22"/>
              </w:rPr>
            </w:pPr>
            <w:r>
              <w:rPr>
                <w:spacing w:val="20"/>
                <w:sz w:val="22"/>
                <w:szCs w:val="22"/>
              </w:rPr>
              <w:t>21.</w:t>
            </w:r>
          </w:p>
        </w:tc>
        <w:tc>
          <w:tcPr>
            <w:tcW w:w="141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right="57" w:hanging="0"/>
              <w:rPr>
                <w:spacing w:val="20"/>
                <w:sz w:val="22"/>
                <w:szCs w:val="22"/>
              </w:rPr>
            </w:pPr>
            <w:r>
              <w:rPr>
                <w:spacing w:val="20"/>
                <w:sz w:val="22"/>
                <w:szCs w:val="22"/>
              </w:rPr>
              <w:t>家居長者行為異常問題及處理方法基礎證書</w:t>
            </w:r>
            <w:r>
              <w:rPr>
                <w:spacing w:val="20"/>
                <w:sz w:val="22"/>
                <w:szCs w:val="22"/>
              </w:rPr>
              <w:t>(</w:t>
            </w:r>
            <w:r>
              <w:rPr>
                <w:spacing w:val="20"/>
                <w:sz w:val="22"/>
                <w:szCs w:val="22"/>
              </w:rPr>
              <w:t>兼讀制</w:t>
            </w:r>
            <w:r>
              <w:rPr>
                <w:spacing w:val="20"/>
                <w:sz w:val="22"/>
                <w:szCs w:val="22"/>
              </w:rPr>
              <w:t>)</w:t>
            </w:r>
            <w:r>
              <w:rPr>
                <w:spacing w:val="20"/>
                <w:sz w:val="22"/>
                <w:szCs w:val="22"/>
                <w:vertAlign w:val="superscript"/>
              </w:rPr>
              <w:t>(5)</w:t>
            </w:r>
          </w:p>
        </w:tc>
        <w:tc>
          <w:tcPr>
            <w:tcW w:w="113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right="57" w:hanging="0"/>
              <w:rPr>
                <w:spacing w:val="20"/>
                <w:sz w:val="22"/>
                <w:szCs w:val="22"/>
              </w:rPr>
            </w:pPr>
            <w:r>
              <w:rPr>
                <w:spacing w:val="20"/>
                <w:sz w:val="22"/>
                <w:szCs w:val="22"/>
              </w:rPr>
              <w:t>"</w:t>
            </w:r>
            <w:r>
              <w:rPr>
                <w:spacing w:val="20"/>
                <w:sz w:val="22"/>
                <w:szCs w:val="22"/>
              </w:rPr>
              <w:t>新技能提升計劃</w:t>
            </w:r>
            <w:r>
              <w:rPr>
                <w:spacing w:val="20"/>
                <w:sz w:val="22"/>
                <w:szCs w:val="22"/>
              </w:rPr>
              <w:t>"</w:t>
            </w:r>
            <w:r>
              <w:rPr>
                <w:spacing w:val="20"/>
                <w:sz w:val="22"/>
                <w:szCs w:val="22"/>
              </w:rPr>
              <w:t>課程</w:t>
            </w:r>
          </w:p>
        </w:tc>
        <w:tc>
          <w:tcPr>
            <w:tcW w:w="85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right="57" w:hanging="0"/>
              <w:rPr>
                <w:spacing w:val="20"/>
                <w:sz w:val="22"/>
                <w:szCs w:val="22"/>
              </w:rPr>
            </w:pPr>
            <w:r>
              <w:rPr>
                <w:spacing w:val="20"/>
                <w:sz w:val="22"/>
                <w:szCs w:val="22"/>
              </w:rPr>
              <w:t>健康護理</w:t>
            </w:r>
          </w:p>
        </w:tc>
        <w:tc>
          <w:tcPr>
            <w:tcW w:w="85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right="57" w:hanging="0"/>
              <w:rPr>
                <w:spacing w:val="20"/>
                <w:sz w:val="22"/>
                <w:szCs w:val="22"/>
              </w:rPr>
            </w:pPr>
            <w:r>
              <w:rPr>
                <w:spacing w:val="20"/>
                <w:sz w:val="22"/>
                <w:szCs w:val="22"/>
              </w:rPr>
              <w:t>半日或晚間制</w:t>
            </w:r>
          </w:p>
        </w:tc>
        <w:tc>
          <w:tcPr>
            <w:tcW w:w="85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hanging="0"/>
              <w:jc w:val="center"/>
              <w:rPr>
                <w:spacing w:val="20"/>
                <w:sz w:val="22"/>
                <w:szCs w:val="22"/>
              </w:rPr>
            </w:pPr>
            <w:r>
              <w:rPr>
                <w:spacing w:val="20"/>
                <w:sz w:val="22"/>
                <w:szCs w:val="22"/>
              </w:rPr>
              <w:t>12</w:t>
            </w:r>
          </w:p>
        </w:tc>
        <w:tc>
          <w:tcPr>
            <w:tcW w:w="85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hanging="0"/>
              <w:jc w:val="center"/>
              <w:rPr>
                <w:spacing w:val="20"/>
                <w:sz w:val="22"/>
                <w:szCs w:val="22"/>
              </w:rPr>
            </w:pPr>
            <w:r>
              <w:rPr>
                <w:spacing w:val="20"/>
                <w:sz w:val="22"/>
                <w:szCs w:val="22"/>
              </w:rPr>
              <w:t>20</w:t>
            </w:r>
          </w:p>
        </w:tc>
        <w:tc>
          <w:tcPr>
            <w:tcW w:w="99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hanging="0"/>
              <w:jc w:val="center"/>
              <w:rPr>
                <w:spacing w:val="20"/>
                <w:sz w:val="22"/>
                <w:szCs w:val="22"/>
              </w:rPr>
            </w:pPr>
            <w:r>
              <w:rPr>
                <w:spacing w:val="20"/>
                <w:sz w:val="22"/>
                <w:szCs w:val="22"/>
              </w:rPr>
              <w:t>0</w:t>
            </w:r>
          </w:p>
        </w:tc>
        <w:tc>
          <w:tcPr>
            <w:tcW w:w="70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hanging="0"/>
              <w:jc w:val="center"/>
              <w:rPr>
                <w:spacing w:val="20"/>
                <w:sz w:val="22"/>
                <w:szCs w:val="22"/>
              </w:rPr>
            </w:pPr>
            <w:r>
              <w:rPr>
                <w:spacing w:val="20"/>
                <w:sz w:val="22"/>
                <w:szCs w:val="22"/>
              </w:rPr>
              <w:t>0</w:t>
            </w:r>
          </w:p>
        </w:tc>
        <w:tc>
          <w:tcPr>
            <w:tcW w:w="113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hanging="0"/>
              <w:jc w:val="center"/>
              <w:rPr>
                <w:spacing w:val="20"/>
                <w:sz w:val="22"/>
                <w:szCs w:val="22"/>
              </w:rPr>
            </w:pPr>
            <w:r>
              <w:rPr>
                <w:spacing w:val="20"/>
                <w:sz w:val="22"/>
                <w:szCs w:val="22"/>
              </w:rPr>
              <w:t>不適用</w:t>
            </w:r>
          </w:p>
        </w:tc>
      </w:tr>
      <w:tr>
        <w:trPr>
          <w:trHeight w:val="1304" w:hRule="exact"/>
        </w:trPr>
        <w:tc>
          <w:tcPr>
            <w:tcW w:w="43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57" w:hanging="0"/>
              <w:rPr>
                <w:spacing w:val="20"/>
                <w:sz w:val="22"/>
                <w:szCs w:val="22"/>
              </w:rPr>
            </w:pPr>
            <w:r>
              <w:rPr>
                <w:spacing w:val="20"/>
                <w:sz w:val="22"/>
                <w:szCs w:val="22"/>
              </w:rPr>
              <w:t>22.</w:t>
            </w:r>
          </w:p>
        </w:tc>
        <w:tc>
          <w:tcPr>
            <w:tcW w:w="141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right="57" w:hanging="0"/>
              <w:rPr>
                <w:spacing w:val="20"/>
                <w:sz w:val="22"/>
                <w:szCs w:val="22"/>
              </w:rPr>
            </w:pPr>
            <w:r>
              <w:rPr>
                <w:spacing w:val="20"/>
                <w:sz w:val="22"/>
                <w:szCs w:val="22"/>
              </w:rPr>
              <w:t>糖尿病護理證書</w:t>
            </w:r>
            <w:r>
              <w:rPr>
                <w:spacing w:val="20"/>
                <w:sz w:val="22"/>
                <w:szCs w:val="22"/>
              </w:rPr>
              <w:t>(</w:t>
            </w:r>
            <w:r>
              <w:rPr>
                <w:spacing w:val="20"/>
                <w:sz w:val="22"/>
                <w:szCs w:val="22"/>
              </w:rPr>
              <w:t>兼讀制</w:t>
            </w:r>
            <w:r>
              <w:rPr>
                <w:spacing w:val="20"/>
                <w:sz w:val="22"/>
                <w:szCs w:val="22"/>
              </w:rPr>
              <w:t>)</w:t>
            </w:r>
          </w:p>
        </w:tc>
        <w:tc>
          <w:tcPr>
            <w:tcW w:w="113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right="57" w:hanging="0"/>
              <w:rPr>
                <w:spacing w:val="20"/>
                <w:sz w:val="22"/>
                <w:szCs w:val="22"/>
              </w:rPr>
            </w:pPr>
            <w:r>
              <w:rPr>
                <w:spacing w:val="20"/>
                <w:sz w:val="22"/>
                <w:szCs w:val="22"/>
              </w:rPr>
              <w:t>"</w:t>
            </w:r>
            <w:r>
              <w:rPr>
                <w:spacing w:val="20"/>
                <w:sz w:val="22"/>
                <w:szCs w:val="22"/>
              </w:rPr>
              <w:t>新技能提升計劃</w:t>
            </w:r>
            <w:r>
              <w:rPr>
                <w:spacing w:val="20"/>
                <w:sz w:val="22"/>
                <w:szCs w:val="22"/>
              </w:rPr>
              <w:t>"</w:t>
            </w:r>
            <w:r>
              <w:rPr>
                <w:spacing w:val="20"/>
                <w:sz w:val="22"/>
                <w:szCs w:val="22"/>
              </w:rPr>
              <w:t>課程</w:t>
            </w:r>
          </w:p>
        </w:tc>
        <w:tc>
          <w:tcPr>
            <w:tcW w:w="85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right="57" w:hanging="0"/>
              <w:rPr>
                <w:spacing w:val="20"/>
                <w:sz w:val="22"/>
                <w:szCs w:val="22"/>
              </w:rPr>
            </w:pPr>
            <w:r>
              <w:rPr>
                <w:spacing w:val="20"/>
                <w:sz w:val="22"/>
                <w:szCs w:val="22"/>
              </w:rPr>
              <w:t>健康護理</w:t>
            </w:r>
          </w:p>
        </w:tc>
        <w:tc>
          <w:tcPr>
            <w:tcW w:w="85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right="57" w:hanging="0"/>
              <w:rPr>
                <w:spacing w:val="20"/>
                <w:sz w:val="22"/>
                <w:szCs w:val="22"/>
              </w:rPr>
            </w:pPr>
            <w:r>
              <w:rPr>
                <w:spacing w:val="20"/>
                <w:sz w:val="22"/>
                <w:szCs w:val="22"/>
              </w:rPr>
              <w:t>半日或晚間制</w:t>
            </w:r>
          </w:p>
        </w:tc>
        <w:tc>
          <w:tcPr>
            <w:tcW w:w="85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hanging="0"/>
              <w:jc w:val="center"/>
              <w:rPr>
                <w:spacing w:val="20"/>
                <w:sz w:val="22"/>
                <w:szCs w:val="22"/>
              </w:rPr>
            </w:pPr>
            <w:r>
              <w:rPr>
                <w:spacing w:val="20"/>
                <w:sz w:val="22"/>
                <w:szCs w:val="22"/>
              </w:rPr>
              <w:t>16</w:t>
            </w:r>
          </w:p>
        </w:tc>
        <w:tc>
          <w:tcPr>
            <w:tcW w:w="85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hanging="0"/>
              <w:jc w:val="center"/>
              <w:rPr>
                <w:spacing w:val="20"/>
                <w:sz w:val="22"/>
                <w:szCs w:val="22"/>
              </w:rPr>
            </w:pPr>
            <w:r>
              <w:rPr>
                <w:spacing w:val="20"/>
                <w:sz w:val="22"/>
                <w:szCs w:val="22"/>
              </w:rPr>
              <w:t>50</w:t>
            </w:r>
          </w:p>
        </w:tc>
        <w:tc>
          <w:tcPr>
            <w:tcW w:w="99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hanging="0"/>
              <w:jc w:val="center"/>
              <w:rPr>
                <w:spacing w:val="20"/>
                <w:sz w:val="22"/>
                <w:szCs w:val="22"/>
              </w:rPr>
            </w:pPr>
            <w:r>
              <w:rPr>
                <w:spacing w:val="20"/>
                <w:sz w:val="22"/>
                <w:szCs w:val="22"/>
              </w:rPr>
              <w:t>20</w:t>
            </w:r>
          </w:p>
        </w:tc>
        <w:tc>
          <w:tcPr>
            <w:tcW w:w="70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hanging="0"/>
              <w:jc w:val="center"/>
              <w:rPr>
                <w:spacing w:val="20"/>
                <w:sz w:val="22"/>
                <w:szCs w:val="22"/>
              </w:rPr>
            </w:pPr>
            <w:r>
              <w:rPr>
                <w:spacing w:val="20"/>
                <w:sz w:val="22"/>
                <w:szCs w:val="22"/>
              </w:rPr>
              <w:t>20</w:t>
            </w:r>
          </w:p>
        </w:tc>
        <w:tc>
          <w:tcPr>
            <w:tcW w:w="113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hanging="0"/>
              <w:jc w:val="center"/>
              <w:rPr>
                <w:spacing w:val="20"/>
                <w:sz w:val="22"/>
                <w:szCs w:val="22"/>
              </w:rPr>
            </w:pPr>
            <w:r>
              <w:rPr>
                <w:spacing w:val="20"/>
                <w:sz w:val="22"/>
                <w:szCs w:val="22"/>
              </w:rPr>
              <w:t>不適用</w:t>
            </w:r>
          </w:p>
        </w:tc>
      </w:tr>
      <w:tr>
        <w:trPr>
          <w:trHeight w:val="3288" w:hRule="exact"/>
        </w:trPr>
        <w:tc>
          <w:tcPr>
            <w:tcW w:w="43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57" w:hanging="0"/>
              <w:rPr>
                <w:spacing w:val="20"/>
                <w:sz w:val="22"/>
                <w:szCs w:val="22"/>
              </w:rPr>
            </w:pPr>
            <w:r>
              <w:rPr>
                <w:spacing w:val="20"/>
                <w:sz w:val="22"/>
                <w:szCs w:val="22"/>
              </w:rPr>
              <w:t>23.</w:t>
            </w:r>
          </w:p>
        </w:tc>
        <w:tc>
          <w:tcPr>
            <w:tcW w:w="141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right="57" w:hanging="0"/>
              <w:rPr>
                <w:spacing w:val="20"/>
                <w:sz w:val="22"/>
                <w:szCs w:val="22"/>
              </w:rPr>
            </w:pPr>
            <w:r>
              <w:rPr>
                <w:spacing w:val="20"/>
                <w:sz w:val="22"/>
                <w:szCs w:val="22"/>
              </w:rPr>
              <w:t>安老院保健員實務精修證書</w:t>
            </w:r>
            <w:r>
              <w:rPr>
                <w:spacing w:val="20"/>
                <w:sz w:val="22"/>
                <w:szCs w:val="22"/>
              </w:rPr>
              <w:t>(</w:t>
            </w:r>
            <w:r>
              <w:rPr>
                <w:spacing w:val="20"/>
                <w:sz w:val="22"/>
                <w:szCs w:val="22"/>
              </w:rPr>
              <w:t>基本護理需要的評估及跟進</w:t>
            </w:r>
            <w:r>
              <w:rPr>
                <w:spacing w:val="20"/>
                <w:sz w:val="22"/>
                <w:szCs w:val="22"/>
              </w:rPr>
              <w:t>)(</w:t>
            </w:r>
            <w:r>
              <w:rPr>
                <w:spacing w:val="20"/>
                <w:sz w:val="22"/>
                <w:szCs w:val="22"/>
              </w:rPr>
              <w:t>兼讀制</w:t>
            </w:r>
            <w:r>
              <w:rPr>
                <w:spacing w:val="20"/>
                <w:sz w:val="22"/>
                <w:szCs w:val="22"/>
              </w:rPr>
              <w:t>)</w:t>
            </w:r>
          </w:p>
        </w:tc>
        <w:tc>
          <w:tcPr>
            <w:tcW w:w="113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right="57" w:hanging="0"/>
              <w:rPr>
                <w:spacing w:val="20"/>
                <w:sz w:val="22"/>
                <w:szCs w:val="22"/>
              </w:rPr>
            </w:pPr>
            <w:r>
              <w:rPr>
                <w:spacing w:val="20"/>
                <w:sz w:val="22"/>
                <w:szCs w:val="22"/>
              </w:rPr>
              <w:t>"</w:t>
            </w:r>
            <w:r>
              <w:rPr>
                <w:spacing w:val="20"/>
                <w:sz w:val="22"/>
                <w:szCs w:val="22"/>
              </w:rPr>
              <w:t>新技能提升計劃</w:t>
            </w:r>
            <w:r>
              <w:rPr>
                <w:spacing w:val="20"/>
                <w:sz w:val="22"/>
                <w:szCs w:val="22"/>
              </w:rPr>
              <w:t>"</w:t>
            </w:r>
            <w:r>
              <w:rPr>
                <w:spacing w:val="20"/>
                <w:sz w:val="22"/>
                <w:szCs w:val="22"/>
              </w:rPr>
              <w:t>課程</w:t>
            </w:r>
          </w:p>
        </w:tc>
        <w:tc>
          <w:tcPr>
            <w:tcW w:w="85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right="57" w:hanging="0"/>
              <w:rPr>
                <w:spacing w:val="20"/>
                <w:sz w:val="22"/>
                <w:szCs w:val="22"/>
              </w:rPr>
            </w:pPr>
            <w:r>
              <w:rPr>
                <w:spacing w:val="20"/>
                <w:sz w:val="22"/>
                <w:szCs w:val="22"/>
              </w:rPr>
              <w:t>健康護理</w:t>
            </w:r>
          </w:p>
        </w:tc>
        <w:tc>
          <w:tcPr>
            <w:tcW w:w="85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right="57" w:hanging="0"/>
              <w:rPr>
                <w:spacing w:val="20"/>
                <w:sz w:val="22"/>
                <w:szCs w:val="22"/>
              </w:rPr>
            </w:pPr>
            <w:r>
              <w:rPr>
                <w:spacing w:val="20"/>
                <w:sz w:val="22"/>
                <w:szCs w:val="22"/>
              </w:rPr>
              <w:t>半日或晚間制</w:t>
            </w:r>
          </w:p>
        </w:tc>
        <w:tc>
          <w:tcPr>
            <w:tcW w:w="85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hanging="0"/>
              <w:jc w:val="center"/>
              <w:rPr>
                <w:spacing w:val="20"/>
                <w:sz w:val="22"/>
                <w:szCs w:val="22"/>
              </w:rPr>
            </w:pPr>
            <w:r>
              <w:rPr>
                <w:spacing w:val="20"/>
                <w:sz w:val="22"/>
                <w:szCs w:val="22"/>
              </w:rPr>
              <w:t>8</w:t>
            </w:r>
          </w:p>
        </w:tc>
        <w:tc>
          <w:tcPr>
            <w:tcW w:w="85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hanging="0"/>
              <w:jc w:val="center"/>
              <w:rPr>
                <w:spacing w:val="20"/>
                <w:sz w:val="22"/>
                <w:szCs w:val="22"/>
              </w:rPr>
            </w:pPr>
            <w:r>
              <w:rPr>
                <w:spacing w:val="20"/>
                <w:sz w:val="22"/>
                <w:szCs w:val="22"/>
              </w:rPr>
              <w:t>40</w:t>
            </w:r>
          </w:p>
        </w:tc>
        <w:tc>
          <w:tcPr>
            <w:tcW w:w="99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hanging="0"/>
              <w:jc w:val="center"/>
              <w:rPr>
                <w:spacing w:val="20"/>
                <w:sz w:val="22"/>
                <w:szCs w:val="22"/>
              </w:rPr>
            </w:pPr>
            <w:r>
              <w:rPr>
                <w:spacing w:val="20"/>
                <w:sz w:val="22"/>
                <w:szCs w:val="22"/>
              </w:rPr>
              <w:t>0</w:t>
            </w:r>
          </w:p>
        </w:tc>
        <w:tc>
          <w:tcPr>
            <w:tcW w:w="70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hanging="0"/>
              <w:jc w:val="center"/>
              <w:rPr>
                <w:spacing w:val="20"/>
                <w:sz w:val="22"/>
                <w:szCs w:val="22"/>
              </w:rPr>
            </w:pPr>
            <w:r>
              <w:rPr>
                <w:spacing w:val="20"/>
                <w:sz w:val="22"/>
                <w:szCs w:val="22"/>
              </w:rPr>
              <w:t>0</w:t>
            </w:r>
          </w:p>
        </w:tc>
        <w:tc>
          <w:tcPr>
            <w:tcW w:w="113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hanging="0"/>
              <w:jc w:val="center"/>
              <w:rPr>
                <w:spacing w:val="20"/>
                <w:sz w:val="22"/>
                <w:szCs w:val="22"/>
              </w:rPr>
            </w:pPr>
            <w:r>
              <w:rPr>
                <w:spacing w:val="20"/>
                <w:sz w:val="22"/>
                <w:szCs w:val="22"/>
              </w:rPr>
              <w:t>不適用</w:t>
            </w:r>
          </w:p>
        </w:tc>
      </w:tr>
      <w:tr>
        <w:trPr>
          <w:trHeight w:val="1361" w:hRule="exact"/>
        </w:trPr>
        <w:tc>
          <w:tcPr>
            <w:tcW w:w="43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57" w:hanging="0"/>
              <w:rPr>
                <w:spacing w:val="20"/>
                <w:sz w:val="22"/>
                <w:szCs w:val="22"/>
              </w:rPr>
            </w:pPr>
            <w:r>
              <w:rPr>
                <w:spacing w:val="20"/>
                <w:sz w:val="22"/>
                <w:szCs w:val="22"/>
              </w:rPr>
              <w:t>24.</w:t>
            </w:r>
          </w:p>
        </w:tc>
        <w:tc>
          <w:tcPr>
            <w:tcW w:w="141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right="57" w:hanging="0"/>
              <w:rPr>
                <w:spacing w:val="20"/>
                <w:sz w:val="22"/>
                <w:szCs w:val="22"/>
              </w:rPr>
            </w:pPr>
            <w:r>
              <w:rPr>
                <w:spacing w:val="20"/>
                <w:sz w:val="22"/>
                <w:szCs w:val="22"/>
              </w:rPr>
              <w:t>結腸造口護理證書</w:t>
            </w:r>
            <w:r>
              <w:rPr>
                <w:spacing w:val="20"/>
                <w:sz w:val="22"/>
                <w:szCs w:val="22"/>
              </w:rPr>
              <w:t>(</w:t>
            </w:r>
            <w:r>
              <w:rPr>
                <w:spacing w:val="20"/>
                <w:sz w:val="22"/>
                <w:szCs w:val="22"/>
              </w:rPr>
              <w:t>兼讀制</w:t>
            </w:r>
            <w:r>
              <w:rPr>
                <w:spacing w:val="20"/>
                <w:sz w:val="22"/>
                <w:szCs w:val="22"/>
              </w:rPr>
              <w:t>)</w:t>
            </w:r>
          </w:p>
        </w:tc>
        <w:tc>
          <w:tcPr>
            <w:tcW w:w="113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right="57" w:hanging="0"/>
              <w:rPr>
                <w:spacing w:val="20"/>
                <w:sz w:val="22"/>
                <w:szCs w:val="22"/>
              </w:rPr>
            </w:pPr>
            <w:r>
              <w:rPr>
                <w:spacing w:val="20"/>
                <w:sz w:val="22"/>
                <w:szCs w:val="22"/>
              </w:rPr>
              <w:t>"</w:t>
            </w:r>
            <w:r>
              <w:rPr>
                <w:spacing w:val="20"/>
                <w:sz w:val="22"/>
                <w:szCs w:val="22"/>
              </w:rPr>
              <w:t>新技能提升計劃</w:t>
            </w:r>
            <w:r>
              <w:rPr>
                <w:spacing w:val="20"/>
                <w:sz w:val="22"/>
                <w:szCs w:val="22"/>
              </w:rPr>
              <w:t>"</w:t>
            </w:r>
            <w:r>
              <w:rPr>
                <w:spacing w:val="20"/>
                <w:sz w:val="22"/>
                <w:szCs w:val="22"/>
              </w:rPr>
              <w:t>課程</w:t>
            </w:r>
          </w:p>
        </w:tc>
        <w:tc>
          <w:tcPr>
            <w:tcW w:w="85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right="57" w:hanging="0"/>
              <w:rPr>
                <w:spacing w:val="20"/>
                <w:sz w:val="22"/>
                <w:szCs w:val="22"/>
              </w:rPr>
            </w:pPr>
            <w:r>
              <w:rPr>
                <w:spacing w:val="20"/>
                <w:sz w:val="22"/>
                <w:szCs w:val="22"/>
              </w:rPr>
              <w:t>健康護理</w:t>
            </w:r>
          </w:p>
        </w:tc>
        <w:tc>
          <w:tcPr>
            <w:tcW w:w="85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right="57" w:hanging="0"/>
              <w:rPr>
                <w:spacing w:val="20"/>
                <w:sz w:val="22"/>
                <w:szCs w:val="22"/>
              </w:rPr>
            </w:pPr>
            <w:r>
              <w:rPr>
                <w:spacing w:val="20"/>
                <w:sz w:val="22"/>
                <w:szCs w:val="22"/>
              </w:rPr>
              <w:t>半日或晚間制</w:t>
            </w:r>
          </w:p>
        </w:tc>
        <w:tc>
          <w:tcPr>
            <w:tcW w:w="85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hanging="0"/>
              <w:jc w:val="center"/>
              <w:rPr>
                <w:spacing w:val="20"/>
                <w:sz w:val="22"/>
                <w:szCs w:val="22"/>
              </w:rPr>
            </w:pPr>
            <w:r>
              <w:rPr>
                <w:spacing w:val="20"/>
                <w:sz w:val="22"/>
                <w:szCs w:val="22"/>
              </w:rPr>
              <w:t>20</w:t>
            </w:r>
          </w:p>
        </w:tc>
        <w:tc>
          <w:tcPr>
            <w:tcW w:w="85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hanging="0"/>
              <w:jc w:val="center"/>
              <w:rPr>
                <w:spacing w:val="20"/>
                <w:sz w:val="22"/>
                <w:szCs w:val="22"/>
              </w:rPr>
            </w:pPr>
            <w:r>
              <w:rPr>
                <w:spacing w:val="20"/>
                <w:sz w:val="22"/>
                <w:szCs w:val="22"/>
              </w:rPr>
              <w:t>50</w:t>
            </w:r>
          </w:p>
        </w:tc>
        <w:tc>
          <w:tcPr>
            <w:tcW w:w="99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hanging="0"/>
              <w:jc w:val="center"/>
              <w:rPr>
                <w:spacing w:val="20"/>
                <w:sz w:val="22"/>
                <w:szCs w:val="22"/>
              </w:rPr>
            </w:pPr>
            <w:r>
              <w:rPr>
                <w:spacing w:val="20"/>
                <w:sz w:val="22"/>
                <w:szCs w:val="22"/>
              </w:rPr>
              <w:t>0</w:t>
            </w:r>
          </w:p>
        </w:tc>
        <w:tc>
          <w:tcPr>
            <w:tcW w:w="70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hanging="0"/>
              <w:jc w:val="center"/>
              <w:rPr>
                <w:spacing w:val="20"/>
                <w:sz w:val="22"/>
                <w:szCs w:val="22"/>
              </w:rPr>
            </w:pPr>
            <w:r>
              <w:rPr>
                <w:spacing w:val="20"/>
                <w:sz w:val="22"/>
                <w:szCs w:val="22"/>
              </w:rPr>
              <w:t>0</w:t>
            </w:r>
          </w:p>
        </w:tc>
        <w:tc>
          <w:tcPr>
            <w:tcW w:w="113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hanging="0"/>
              <w:jc w:val="center"/>
              <w:rPr>
                <w:spacing w:val="20"/>
                <w:sz w:val="22"/>
                <w:szCs w:val="22"/>
              </w:rPr>
            </w:pPr>
            <w:r>
              <w:rPr>
                <w:spacing w:val="20"/>
                <w:sz w:val="22"/>
                <w:szCs w:val="22"/>
              </w:rPr>
              <w:t>不適用</w:t>
            </w:r>
          </w:p>
        </w:tc>
      </w:tr>
      <w:tr>
        <w:trPr>
          <w:trHeight w:val="1701" w:hRule="exact"/>
        </w:trPr>
        <w:tc>
          <w:tcPr>
            <w:tcW w:w="43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57" w:hanging="0"/>
              <w:rPr>
                <w:spacing w:val="20"/>
                <w:sz w:val="22"/>
                <w:szCs w:val="22"/>
              </w:rPr>
            </w:pPr>
            <w:r>
              <w:rPr>
                <w:spacing w:val="20"/>
                <w:sz w:val="22"/>
                <w:szCs w:val="22"/>
              </w:rPr>
              <w:t>25.</w:t>
            </w:r>
          </w:p>
        </w:tc>
        <w:tc>
          <w:tcPr>
            <w:tcW w:w="141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right="57" w:hanging="0"/>
              <w:rPr>
                <w:spacing w:val="20"/>
                <w:sz w:val="22"/>
                <w:szCs w:val="22"/>
              </w:rPr>
            </w:pPr>
            <w:r>
              <w:rPr>
                <w:spacing w:val="20"/>
                <w:sz w:val="22"/>
                <w:szCs w:val="22"/>
              </w:rPr>
              <w:t>安老院舍營運管理證書</w:t>
            </w:r>
            <w:r>
              <w:rPr>
                <w:spacing w:val="20"/>
                <w:sz w:val="22"/>
                <w:szCs w:val="22"/>
              </w:rPr>
              <w:t>(</w:t>
            </w:r>
            <w:r>
              <w:rPr>
                <w:spacing w:val="20"/>
                <w:sz w:val="22"/>
                <w:szCs w:val="22"/>
              </w:rPr>
              <w:t>兼讀制</w:t>
            </w:r>
            <w:r>
              <w:rPr>
                <w:spacing w:val="20"/>
                <w:sz w:val="22"/>
                <w:szCs w:val="22"/>
              </w:rPr>
              <w:t>)</w:t>
            </w:r>
          </w:p>
        </w:tc>
        <w:tc>
          <w:tcPr>
            <w:tcW w:w="113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right="57" w:hanging="0"/>
              <w:rPr>
                <w:spacing w:val="20"/>
                <w:sz w:val="22"/>
                <w:szCs w:val="22"/>
              </w:rPr>
            </w:pPr>
            <w:r>
              <w:rPr>
                <w:spacing w:val="20"/>
                <w:sz w:val="22"/>
                <w:szCs w:val="22"/>
              </w:rPr>
              <w:t>"</w:t>
            </w:r>
            <w:r>
              <w:rPr>
                <w:spacing w:val="20"/>
                <w:sz w:val="22"/>
                <w:szCs w:val="22"/>
              </w:rPr>
              <w:t>新技能提升計劃</w:t>
            </w:r>
            <w:r>
              <w:rPr>
                <w:spacing w:val="20"/>
                <w:sz w:val="22"/>
                <w:szCs w:val="22"/>
              </w:rPr>
              <w:t>"</w:t>
            </w:r>
            <w:r>
              <w:rPr>
                <w:spacing w:val="20"/>
                <w:sz w:val="22"/>
                <w:szCs w:val="22"/>
              </w:rPr>
              <w:t>課程</w:t>
            </w:r>
          </w:p>
        </w:tc>
        <w:tc>
          <w:tcPr>
            <w:tcW w:w="85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right="57" w:hanging="0"/>
              <w:rPr>
                <w:spacing w:val="20"/>
                <w:sz w:val="22"/>
                <w:szCs w:val="22"/>
              </w:rPr>
            </w:pPr>
            <w:r>
              <w:rPr>
                <w:spacing w:val="20"/>
                <w:sz w:val="22"/>
                <w:szCs w:val="22"/>
              </w:rPr>
              <w:t>健康護理</w:t>
            </w:r>
          </w:p>
        </w:tc>
        <w:tc>
          <w:tcPr>
            <w:tcW w:w="85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right="57" w:hanging="0"/>
              <w:rPr>
                <w:spacing w:val="20"/>
                <w:sz w:val="22"/>
                <w:szCs w:val="22"/>
              </w:rPr>
            </w:pPr>
            <w:r>
              <w:rPr>
                <w:spacing w:val="20"/>
                <w:sz w:val="22"/>
                <w:szCs w:val="22"/>
              </w:rPr>
              <w:t>半日或晚間制</w:t>
            </w:r>
          </w:p>
        </w:tc>
        <w:tc>
          <w:tcPr>
            <w:tcW w:w="85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hanging="0"/>
              <w:jc w:val="center"/>
              <w:rPr>
                <w:spacing w:val="20"/>
                <w:sz w:val="22"/>
                <w:szCs w:val="22"/>
              </w:rPr>
            </w:pPr>
            <w:r>
              <w:rPr>
                <w:spacing w:val="20"/>
                <w:sz w:val="22"/>
                <w:szCs w:val="22"/>
              </w:rPr>
              <w:t>20</w:t>
            </w:r>
          </w:p>
        </w:tc>
        <w:tc>
          <w:tcPr>
            <w:tcW w:w="85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hanging="0"/>
              <w:jc w:val="center"/>
              <w:rPr>
                <w:spacing w:val="20"/>
                <w:sz w:val="22"/>
                <w:szCs w:val="22"/>
              </w:rPr>
            </w:pPr>
            <w:r>
              <w:rPr>
                <w:spacing w:val="20"/>
                <w:sz w:val="22"/>
                <w:szCs w:val="22"/>
              </w:rPr>
              <w:t>40</w:t>
            </w:r>
          </w:p>
        </w:tc>
        <w:tc>
          <w:tcPr>
            <w:tcW w:w="99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hanging="0"/>
              <w:jc w:val="center"/>
              <w:rPr>
                <w:spacing w:val="20"/>
                <w:sz w:val="22"/>
                <w:szCs w:val="22"/>
              </w:rPr>
            </w:pPr>
            <w:r>
              <w:rPr>
                <w:spacing w:val="20"/>
                <w:sz w:val="22"/>
                <w:szCs w:val="22"/>
              </w:rPr>
              <w:t>0</w:t>
            </w:r>
          </w:p>
        </w:tc>
        <w:tc>
          <w:tcPr>
            <w:tcW w:w="70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hanging="0"/>
              <w:jc w:val="center"/>
              <w:rPr>
                <w:spacing w:val="20"/>
                <w:sz w:val="22"/>
                <w:szCs w:val="22"/>
              </w:rPr>
            </w:pPr>
            <w:r>
              <w:rPr>
                <w:spacing w:val="20"/>
                <w:sz w:val="22"/>
                <w:szCs w:val="22"/>
              </w:rPr>
              <w:t>0</w:t>
            </w:r>
          </w:p>
        </w:tc>
        <w:tc>
          <w:tcPr>
            <w:tcW w:w="113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hanging="0"/>
              <w:jc w:val="center"/>
              <w:rPr>
                <w:spacing w:val="20"/>
                <w:sz w:val="22"/>
                <w:szCs w:val="22"/>
              </w:rPr>
            </w:pPr>
            <w:r>
              <w:rPr>
                <w:spacing w:val="20"/>
                <w:sz w:val="22"/>
                <w:szCs w:val="22"/>
              </w:rPr>
              <w:t>不適用</w:t>
            </w:r>
          </w:p>
        </w:tc>
      </w:tr>
      <w:tr>
        <w:trPr>
          <w:trHeight w:val="1871" w:hRule="exact"/>
        </w:trPr>
        <w:tc>
          <w:tcPr>
            <w:tcW w:w="43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57" w:hanging="0"/>
              <w:rPr>
                <w:spacing w:val="20"/>
                <w:sz w:val="22"/>
                <w:szCs w:val="22"/>
              </w:rPr>
            </w:pPr>
            <w:r>
              <w:rPr>
                <w:spacing w:val="20"/>
                <w:sz w:val="22"/>
                <w:szCs w:val="22"/>
              </w:rPr>
              <w:t>26.</w:t>
            </w:r>
          </w:p>
        </w:tc>
        <w:tc>
          <w:tcPr>
            <w:tcW w:w="1417"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pacing w:val="20"/>
                <w:sz w:val="22"/>
                <w:szCs w:val="22"/>
              </w:rPr>
            </w:pPr>
            <w:r>
              <w:rPr>
                <w:spacing w:val="20"/>
                <w:sz w:val="22"/>
                <w:szCs w:val="22"/>
              </w:rPr>
              <w:t>殘疾人士院舍保健員護理技巧增修</w:t>
            </w:r>
            <w:r>
              <w:rPr>
                <w:spacing w:val="20"/>
                <w:sz w:val="22"/>
                <w:szCs w:val="22"/>
              </w:rPr>
              <w:t>I</w:t>
            </w:r>
            <w:r>
              <w:rPr>
                <w:spacing w:val="20"/>
                <w:sz w:val="22"/>
                <w:szCs w:val="22"/>
              </w:rPr>
              <w:t>證書</w:t>
            </w:r>
            <w:r>
              <w:rPr>
                <w:spacing w:val="20"/>
                <w:sz w:val="22"/>
                <w:szCs w:val="22"/>
              </w:rPr>
              <w:t>(</w:t>
            </w:r>
            <w:r>
              <w:rPr>
                <w:spacing w:val="20"/>
                <w:sz w:val="22"/>
                <w:szCs w:val="22"/>
              </w:rPr>
              <w:t>兼讀制</w:t>
            </w:r>
            <w:r>
              <w:rPr>
                <w:spacing w:val="20"/>
                <w:sz w:val="22"/>
                <w:szCs w:val="22"/>
              </w:rPr>
              <w:t>)</w:t>
            </w:r>
          </w:p>
        </w:tc>
        <w:tc>
          <w:tcPr>
            <w:tcW w:w="1134"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pacing w:val="20"/>
                <w:sz w:val="22"/>
                <w:szCs w:val="22"/>
              </w:rPr>
            </w:pPr>
            <w:r>
              <w:rPr>
                <w:spacing w:val="20"/>
                <w:sz w:val="22"/>
                <w:szCs w:val="22"/>
              </w:rPr>
              <w:t>"</w:t>
            </w:r>
            <w:r>
              <w:rPr>
                <w:spacing w:val="20"/>
                <w:sz w:val="22"/>
                <w:szCs w:val="22"/>
              </w:rPr>
              <w:t>新技能提升計劃</w:t>
            </w:r>
            <w:r>
              <w:rPr>
                <w:spacing w:val="20"/>
                <w:sz w:val="22"/>
                <w:szCs w:val="22"/>
              </w:rPr>
              <w:t>"</w:t>
            </w:r>
            <w:r>
              <w:rPr>
                <w:spacing w:val="20"/>
                <w:sz w:val="22"/>
                <w:szCs w:val="22"/>
              </w:rPr>
              <w:t>課程</w:t>
            </w:r>
          </w:p>
        </w:tc>
        <w:tc>
          <w:tcPr>
            <w:tcW w:w="851"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pacing w:val="20"/>
                <w:sz w:val="22"/>
                <w:szCs w:val="22"/>
              </w:rPr>
            </w:pPr>
            <w:r>
              <w:rPr>
                <w:spacing w:val="20"/>
                <w:sz w:val="22"/>
                <w:szCs w:val="22"/>
              </w:rPr>
              <w:t>健康護理</w:t>
            </w:r>
          </w:p>
        </w:tc>
        <w:tc>
          <w:tcPr>
            <w:tcW w:w="850"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pacing w:val="20"/>
                <w:sz w:val="22"/>
                <w:szCs w:val="22"/>
              </w:rPr>
            </w:pPr>
            <w:r>
              <w:rPr>
                <w:spacing w:val="20"/>
                <w:sz w:val="22"/>
                <w:szCs w:val="22"/>
              </w:rPr>
              <w:t>半日或晚間制</w:t>
            </w:r>
          </w:p>
        </w:tc>
        <w:tc>
          <w:tcPr>
            <w:tcW w:w="851" w:type="dxa"/>
            <w:tcBorders>
              <w:top w:val="single" w:sz="4" w:space="0" w:color="000000"/>
              <w:left w:val="single" w:sz="4" w:space="0" w:color="000000"/>
              <w:bottom w:val="single" w:sz="4" w:space="0" w:color="000000"/>
              <w:right w:val="single" w:sz="4" w:space="0" w:color="000000"/>
            </w:tcBorders>
          </w:tcPr>
          <w:p>
            <w:pPr>
              <w:pStyle w:val="Normal"/>
              <w:overflowPunct w:val="true"/>
              <w:ind w:left="57" w:hanging="0"/>
              <w:jc w:val="center"/>
              <w:rPr>
                <w:spacing w:val="20"/>
                <w:sz w:val="22"/>
                <w:szCs w:val="22"/>
              </w:rPr>
            </w:pPr>
            <w:r>
              <w:rPr>
                <w:spacing w:val="20"/>
                <w:sz w:val="22"/>
                <w:szCs w:val="22"/>
              </w:rPr>
              <w:t>17</w:t>
            </w:r>
          </w:p>
        </w:tc>
        <w:tc>
          <w:tcPr>
            <w:tcW w:w="850" w:type="dxa"/>
            <w:tcBorders>
              <w:top w:val="single" w:sz="4" w:space="0" w:color="000000"/>
              <w:left w:val="single" w:sz="4" w:space="0" w:color="000000"/>
              <w:bottom w:val="single" w:sz="4" w:space="0" w:color="000000"/>
              <w:right w:val="single" w:sz="4" w:space="0" w:color="000000"/>
            </w:tcBorders>
          </w:tcPr>
          <w:p>
            <w:pPr>
              <w:pStyle w:val="Normal"/>
              <w:overflowPunct w:val="true"/>
              <w:ind w:left="57" w:hanging="0"/>
              <w:jc w:val="center"/>
              <w:rPr>
                <w:spacing w:val="20"/>
                <w:sz w:val="22"/>
                <w:szCs w:val="22"/>
              </w:rPr>
            </w:pPr>
            <w:r>
              <w:rPr>
                <w:spacing w:val="20"/>
                <w:sz w:val="22"/>
                <w:szCs w:val="22"/>
              </w:rPr>
              <w:t>700</w:t>
            </w:r>
          </w:p>
        </w:tc>
        <w:tc>
          <w:tcPr>
            <w:tcW w:w="993" w:type="dxa"/>
            <w:tcBorders>
              <w:top w:val="single" w:sz="4" w:space="0" w:color="000000"/>
              <w:left w:val="single" w:sz="4" w:space="0" w:color="000000"/>
              <w:bottom w:val="single" w:sz="4" w:space="0" w:color="000000"/>
              <w:right w:val="single" w:sz="4" w:space="0" w:color="000000"/>
            </w:tcBorders>
          </w:tcPr>
          <w:p>
            <w:pPr>
              <w:pStyle w:val="Normal"/>
              <w:overflowPunct w:val="true"/>
              <w:ind w:left="57" w:hanging="0"/>
              <w:jc w:val="center"/>
              <w:rPr>
                <w:spacing w:val="20"/>
                <w:sz w:val="22"/>
                <w:szCs w:val="22"/>
              </w:rPr>
            </w:pPr>
            <w:r>
              <w:rPr>
                <w:spacing w:val="20"/>
                <w:sz w:val="22"/>
                <w:szCs w:val="22"/>
              </w:rPr>
              <w:t>580</w:t>
            </w:r>
          </w:p>
        </w:tc>
        <w:tc>
          <w:tcPr>
            <w:tcW w:w="709" w:type="dxa"/>
            <w:tcBorders>
              <w:top w:val="single" w:sz="4" w:space="0" w:color="000000"/>
              <w:left w:val="single" w:sz="4" w:space="0" w:color="000000"/>
              <w:bottom w:val="single" w:sz="4" w:space="0" w:color="000000"/>
              <w:right w:val="single" w:sz="4" w:space="0" w:color="000000"/>
            </w:tcBorders>
          </w:tcPr>
          <w:p>
            <w:pPr>
              <w:pStyle w:val="Normal"/>
              <w:overflowPunct w:val="true"/>
              <w:ind w:left="57" w:hanging="0"/>
              <w:jc w:val="center"/>
              <w:rPr>
                <w:spacing w:val="20"/>
                <w:sz w:val="22"/>
                <w:szCs w:val="22"/>
              </w:rPr>
            </w:pPr>
            <w:r>
              <w:rPr>
                <w:spacing w:val="20"/>
                <w:sz w:val="22"/>
                <w:szCs w:val="22"/>
              </w:rPr>
              <w:t>570</w:t>
            </w:r>
          </w:p>
        </w:tc>
        <w:tc>
          <w:tcPr>
            <w:tcW w:w="1133" w:type="dxa"/>
            <w:tcBorders>
              <w:top w:val="single" w:sz="4" w:space="0" w:color="000000"/>
              <w:left w:val="single" w:sz="4" w:space="0" w:color="000000"/>
              <w:bottom w:val="single" w:sz="4" w:space="0" w:color="000000"/>
              <w:right w:val="single" w:sz="4" w:space="0" w:color="000000"/>
            </w:tcBorders>
          </w:tcPr>
          <w:p>
            <w:pPr>
              <w:pStyle w:val="Normal"/>
              <w:overflowPunct w:val="true"/>
              <w:ind w:left="57" w:hanging="0"/>
              <w:jc w:val="center"/>
              <w:rPr>
                <w:spacing w:val="20"/>
                <w:sz w:val="22"/>
                <w:szCs w:val="22"/>
              </w:rPr>
            </w:pPr>
            <w:r>
              <w:rPr>
                <w:spacing w:val="20"/>
                <w:sz w:val="22"/>
                <w:szCs w:val="22"/>
              </w:rPr>
              <w:t>不適用</w:t>
            </w:r>
          </w:p>
        </w:tc>
      </w:tr>
      <w:tr>
        <w:trPr>
          <w:trHeight w:val="1871" w:hRule="exact"/>
        </w:trPr>
        <w:tc>
          <w:tcPr>
            <w:tcW w:w="43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57" w:hanging="0"/>
              <w:rPr>
                <w:spacing w:val="20"/>
                <w:sz w:val="22"/>
                <w:szCs w:val="22"/>
              </w:rPr>
            </w:pPr>
            <w:r>
              <w:rPr>
                <w:spacing w:val="20"/>
                <w:sz w:val="22"/>
                <w:szCs w:val="22"/>
              </w:rPr>
              <w:t>27.</w:t>
            </w:r>
          </w:p>
        </w:tc>
        <w:tc>
          <w:tcPr>
            <w:tcW w:w="1417"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pacing w:val="20"/>
                <w:sz w:val="22"/>
                <w:szCs w:val="22"/>
              </w:rPr>
            </w:pPr>
            <w:r>
              <w:rPr>
                <w:spacing w:val="20"/>
                <w:sz w:val="22"/>
                <w:szCs w:val="22"/>
              </w:rPr>
              <w:t>殘疾人士院舍保健員護理技巧增修</w:t>
            </w:r>
            <w:r>
              <w:rPr>
                <w:spacing w:val="20"/>
                <w:sz w:val="22"/>
                <w:szCs w:val="22"/>
              </w:rPr>
              <w:t>II</w:t>
            </w:r>
            <w:r>
              <w:rPr>
                <w:spacing w:val="20"/>
                <w:sz w:val="22"/>
                <w:szCs w:val="22"/>
              </w:rPr>
              <w:t>證書</w:t>
            </w:r>
            <w:r>
              <w:rPr>
                <w:spacing w:val="20"/>
                <w:sz w:val="22"/>
                <w:szCs w:val="22"/>
              </w:rPr>
              <w:t>(</w:t>
            </w:r>
            <w:r>
              <w:rPr>
                <w:spacing w:val="20"/>
                <w:sz w:val="22"/>
                <w:szCs w:val="22"/>
              </w:rPr>
              <w:t>兼讀制</w:t>
            </w:r>
            <w:r>
              <w:rPr>
                <w:spacing w:val="20"/>
                <w:sz w:val="22"/>
                <w:szCs w:val="22"/>
              </w:rPr>
              <w:t>)</w:t>
            </w:r>
          </w:p>
        </w:tc>
        <w:tc>
          <w:tcPr>
            <w:tcW w:w="1134"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pacing w:val="20"/>
                <w:sz w:val="22"/>
                <w:szCs w:val="22"/>
              </w:rPr>
            </w:pPr>
            <w:r>
              <w:rPr>
                <w:spacing w:val="20"/>
                <w:sz w:val="22"/>
                <w:szCs w:val="22"/>
              </w:rPr>
              <w:t>"</w:t>
            </w:r>
            <w:r>
              <w:rPr>
                <w:spacing w:val="20"/>
                <w:sz w:val="22"/>
                <w:szCs w:val="22"/>
              </w:rPr>
              <w:t>新技能提升計劃</w:t>
            </w:r>
            <w:r>
              <w:rPr>
                <w:spacing w:val="20"/>
                <w:sz w:val="22"/>
                <w:szCs w:val="22"/>
              </w:rPr>
              <w:t>"</w:t>
            </w:r>
            <w:r>
              <w:rPr>
                <w:spacing w:val="20"/>
                <w:sz w:val="22"/>
                <w:szCs w:val="22"/>
              </w:rPr>
              <w:t>課程</w:t>
            </w:r>
          </w:p>
        </w:tc>
        <w:tc>
          <w:tcPr>
            <w:tcW w:w="851"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pacing w:val="20"/>
                <w:sz w:val="22"/>
                <w:szCs w:val="22"/>
              </w:rPr>
            </w:pPr>
            <w:r>
              <w:rPr>
                <w:spacing w:val="20"/>
                <w:sz w:val="22"/>
                <w:szCs w:val="22"/>
              </w:rPr>
              <w:t>健康護理</w:t>
            </w:r>
          </w:p>
        </w:tc>
        <w:tc>
          <w:tcPr>
            <w:tcW w:w="850"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pacing w:val="20"/>
                <w:sz w:val="22"/>
                <w:szCs w:val="22"/>
              </w:rPr>
            </w:pPr>
            <w:r>
              <w:rPr>
                <w:spacing w:val="20"/>
                <w:sz w:val="22"/>
                <w:szCs w:val="22"/>
              </w:rPr>
              <w:t>半日或晚間制</w:t>
            </w:r>
          </w:p>
        </w:tc>
        <w:tc>
          <w:tcPr>
            <w:tcW w:w="851" w:type="dxa"/>
            <w:tcBorders>
              <w:top w:val="single" w:sz="4" w:space="0" w:color="000000"/>
              <w:left w:val="single" w:sz="4" w:space="0" w:color="000000"/>
              <w:bottom w:val="single" w:sz="4" w:space="0" w:color="000000"/>
              <w:right w:val="single" w:sz="4" w:space="0" w:color="000000"/>
            </w:tcBorders>
          </w:tcPr>
          <w:p>
            <w:pPr>
              <w:pStyle w:val="Normal"/>
              <w:overflowPunct w:val="true"/>
              <w:ind w:left="57" w:hanging="0"/>
              <w:jc w:val="center"/>
              <w:rPr>
                <w:spacing w:val="20"/>
                <w:sz w:val="22"/>
                <w:szCs w:val="22"/>
              </w:rPr>
            </w:pPr>
            <w:r>
              <w:rPr>
                <w:spacing w:val="20"/>
                <w:sz w:val="22"/>
                <w:szCs w:val="22"/>
              </w:rPr>
              <w:t>57</w:t>
            </w:r>
          </w:p>
        </w:tc>
        <w:tc>
          <w:tcPr>
            <w:tcW w:w="850" w:type="dxa"/>
            <w:tcBorders>
              <w:top w:val="single" w:sz="4" w:space="0" w:color="000000"/>
              <w:left w:val="single" w:sz="4" w:space="0" w:color="000000"/>
              <w:bottom w:val="single" w:sz="4" w:space="0" w:color="000000"/>
              <w:right w:val="single" w:sz="4" w:space="0" w:color="000000"/>
            </w:tcBorders>
          </w:tcPr>
          <w:p>
            <w:pPr>
              <w:pStyle w:val="Normal"/>
              <w:overflowPunct w:val="true"/>
              <w:ind w:left="57" w:hanging="0"/>
              <w:jc w:val="center"/>
              <w:rPr>
                <w:spacing w:val="20"/>
                <w:sz w:val="22"/>
                <w:szCs w:val="22"/>
              </w:rPr>
            </w:pPr>
            <w:r>
              <w:rPr>
                <w:spacing w:val="20"/>
                <w:sz w:val="22"/>
                <w:szCs w:val="22"/>
              </w:rPr>
              <w:t>580</w:t>
            </w:r>
          </w:p>
        </w:tc>
        <w:tc>
          <w:tcPr>
            <w:tcW w:w="993" w:type="dxa"/>
            <w:tcBorders>
              <w:top w:val="single" w:sz="4" w:space="0" w:color="000000"/>
              <w:left w:val="single" w:sz="4" w:space="0" w:color="000000"/>
              <w:bottom w:val="single" w:sz="4" w:space="0" w:color="000000"/>
              <w:right w:val="single" w:sz="4" w:space="0" w:color="000000"/>
            </w:tcBorders>
          </w:tcPr>
          <w:p>
            <w:pPr>
              <w:pStyle w:val="Normal"/>
              <w:overflowPunct w:val="true"/>
              <w:ind w:left="57" w:hanging="0"/>
              <w:jc w:val="center"/>
              <w:rPr>
                <w:spacing w:val="20"/>
                <w:sz w:val="22"/>
                <w:szCs w:val="22"/>
              </w:rPr>
            </w:pPr>
            <w:r>
              <w:rPr>
                <w:spacing w:val="20"/>
                <w:sz w:val="22"/>
                <w:szCs w:val="22"/>
              </w:rPr>
              <w:t>480</w:t>
            </w:r>
          </w:p>
        </w:tc>
        <w:tc>
          <w:tcPr>
            <w:tcW w:w="709" w:type="dxa"/>
            <w:tcBorders>
              <w:top w:val="single" w:sz="4" w:space="0" w:color="000000"/>
              <w:left w:val="single" w:sz="4" w:space="0" w:color="000000"/>
              <w:bottom w:val="single" w:sz="4" w:space="0" w:color="000000"/>
              <w:right w:val="single" w:sz="4" w:space="0" w:color="000000"/>
            </w:tcBorders>
          </w:tcPr>
          <w:p>
            <w:pPr>
              <w:pStyle w:val="Normal"/>
              <w:overflowPunct w:val="true"/>
              <w:ind w:left="57" w:hanging="0"/>
              <w:jc w:val="center"/>
              <w:rPr>
                <w:spacing w:val="20"/>
                <w:sz w:val="22"/>
                <w:szCs w:val="22"/>
              </w:rPr>
            </w:pPr>
            <w:r>
              <w:rPr>
                <w:spacing w:val="20"/>
                <w:sz w:val="22"/>
                <w:szCs w:val="22"/>
              </w:rPr>
              <w:t>470</w:t>
            </w:r>
          </w:p>
        </w:tc>
        <w:tc>
          <w:tcPr>
            <w:tcW w:w="1133" w:type="dxa"/>
            <w:tcBorders>
              <w:top w:val="single" w:sz="4" w:space="0" w:color="000000"/>
              <w:left w:val="single" w:sz="4" w:space="0" w:color="000000"/>
              <w:bottom w:val="single" w:sz="4" w:space="0" w:color="000000"/>
              <w:right w:val="single" w:sz="4" w:space="0" w:color="000000"/>
            </w:tcBorders>
          </w:tcPr>
          <w:p>
            <w:pPr>
              <w:pStyle w:val="Normal"/>
              <w:overflowPunct w:val="true"/>
              <w:ind w:left="57" w:hanging="0"/>
              <w:jc w:val="center"/>
              <w:rPr>
                <w:spacing w:val="20"/>
                <w:sz w:val="22"/>
                <w:szCs w:val="22"/>
              </w:rPr>
            </w:pPr>
            <w:r>
              <w:rPr>
                <w:spacing w:val="20"/>
                <w:sz w:val="22"/>
                <w:szCs w:val="22"/>
              </w:rPr>
              <w:t>不適用</w:t>
            </w:r>
          </w:p>
        </w:tc>
      </w:tr>
      <w:tr>
        <w:trPr>
          <w:trHeight w:val="1191" w:hRule="exact"/>
        </w:trPr>
        <w:tc>
          <w:tcPr>
            <w:tcW w:w="43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57" w:hanging="0"/>
              <w:rPr>
                <w:spacing w:val="20"/>
                <w:sz w:val="22"/>
                <w:szCs w:val="22"/>
              </w:rPr>
            </w:pPr>
            <w:r>
              <w:rPr>
                <w:spacing w:val="20"/>
                <w:sz w:val="22"/>
                <w:szCs w:val="22"/>
              </w:rPr>
              <w:t>28.</w:t>
            </w:r>
          </w:p>
        </w:tc>
        <w:tc>
          <w:tcPr>
            <w:tcW w:w="1417"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pacing w:val="20"/>
                <w:sz w:val="22"/>
                <w:szCs w:val="22"/>
              </w:rPr>
            </w:pPr>
            <w:r>
              <w:rPr>
                <w:spacing w:val="20"/>
                <w:sz w:val="22"/>
                <w:szCs w:val="22"/>
              </w:rPr>
              <w:t>氣管造口護理證書</w:t>
            </w:r>
            <w:r>
              <w:rPr>
                <w:spacing w:val="20"/>
                <w:sz w:val="22"/>
                <w:szCs w:val="22"/>
              </w:rPr>
              <w:t>(</w:t>
            </w:r>
            <w:r>
              <w:rPr>
                <w:spacing w:val="20"/>
                <w:sz w:val="22"/>
                <w:szCs w:val="22"/>
              </w:rPr>
              <w:t>兼讀制</w:t>
            </w:r>
            <w:r>
              <w:rPr>
                <w:spacing w:val="20"/>
                <w:sz w:val="22"/>
                <w:szCs w:val="22"/>
              </w:rPr>
              <w:t>)</w:t>
            </w:r>
          </w:p>
        </w:tc>
        <w:tc>
          <w:tcPr>
            <w:tcW w:w="1134"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pacing w:val="20"/>
                <w:sz w:val="22"/>
                <w:szCs w:val="22"/>
              </w:rPr>
            </w:pPr>
            <w:r>
              <w:rPr>
                <w:spacing w:val="20"/>
                <w:sz w:val="22"/>
                <w:szCs w:val="22"/>
              </w:rPr>
              <w:t>"</w:t>
            </w:r>
            <w:r>
              <w:rPr>
                <w:spacing w:val="20"/>
                <w:sz w:val="22"/>
                <w:szCs w:val="22"/>
              </w:rPr>
              <w:t>新技能提升計劃</w:t>
            </w:r>
            <w:r>
              <w:rPr>
                <w:spacing w:val="20"/>
                <w:sz w:val="22"/>
                <w:szCs w:val="22"/>
              </w:rPr>
              <w:t>"</w:t>
            </w:r>
            <w:r>
              <w:rPr>
                <w:spacing w:val="20"/>
                <w:sz w:val="22"/>
                <w:szCs w:val="22"/>
              </w:rPr>
              <w:t>課程</w:t>
            </w:r>
          </w:p>
        </w:tc>
        <w:tc>
          <w:tcPr>
            <w:tcW w:w="851"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pacing w:val="20"/>
                <w:sz w:val="22"/>
                <w:szCs w:val="22"/>
              </w:rPr>
            </w:pPr>
            <w:r>
              <w:rPr>
                <w:spacing w:val="20"/>
                <w:sz w:val="22"/>
                <w:szCs w:val="22"/>
              </w:rPr>
              <w:t>健康護理</w:t>
            </w:r>
          </w:p>
        </w:tc>
        <w:tc>
          <w:tcPr>
            <w:tcW w:w="850"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pacing w:val="20"/>
                <w:sz w:val="22"/>
                <w:szCs w:val="22"/>
              </w:rPr>
            </w:pPr>
            <w:r>
              <w:rPr>
                <w:spacing w:val="20"/>
                <w:sz w:val="22"/>
                <w:szCs w:val="22"/>
              </w:rPr>
              <w:t>半日或晚間制</w:t>
            </w:r>
          </w:p>
        </w:tc>
        <w:tc>
          <w:tcPr>
            <w:tcW w:w="851" w:type="dxa"/>
            <w:tcBorders>
              <w:top w:val="single" w:sz="4" w:space="0" w:color="000000"/>
              <w:left w:val="single" w:sz="4" w:space="0" w:color="000000"/>
              <w:bottom w:val="single" w:sz="4" w:space="0" w:color="000000"/>
              <w:right w:val="single" w:sz="4" w:space="0" w:color="000000"/>
            </w:tcBorders>
          </w:tcPr>
          <w:p>
            <w:pPr>
              <w:pStyle w:val="Normal"/>
              <w:overflowPunct w:val="true"/>
              <w:ind w:left="57" w:hanging="0"/>
              <w:jc w:val="center"/>
              <w:rPr>
                <w:spacing w:val="20"/>
                <w:sz w:val="22"/>
                <w:szCs w:val="22"/>
              </w:rPr>
            </w:pPr>
            <w:r>
              <w:rPr>
                <w:spacing w:val="20"/>
                <w:sz w:val="22"/>
                <w:szCs w:val="22"/>
              </w:rPr>
              <w:t>20</w:t>
            </w:r>
          </w:p>
        </w:tc>
        <w:tc>
          <w:tcPr>
            <w:tcW w:w="850" w:type="dxa"/>
            <w:tcBorders>
              <w:top w:val="single" w:sz="4" w:space="0" w:color="000000"/>
              <w:left w:val="single" w:sz="4" w:space="0" w:color="000000"/>
              <w:bottom w:val="single" w:sz="4" w:space="0" w:color="000000"/>
              <w:right w:val="single" w:sz="4" w:space="0" w:color="000000"/>
            </w:tcBorders>
          </w:tcPr>
          <w:p>
            <w:pPr>
              <w:pStyle w:val="Normal"/>
              <w:overflowPunct w:val="true"/>
              <w:ind w:left="57" w:hanging="0"/>
              <w:jc w:val="center"/>
              <w:rPr>
                <w:spacing w:val="20"/>
                <w:sz w:val="22"/>
                <w:szCs w:val="22"/>
              </w:rPr>
            </w:pPr>
            <w:r>
              <w:rPr>
                <w:spacing w:val="20"/>
                <w:sz w:val="22"/>
                <w:szCs w:val="22"/>
              </w:rPr>
              <w:t>40</w:t>
            </w:r>
          </w:p>
        </w:tc>
        <w:tc>
          <w:tcPr>
            <w:tcW w:w="993" w:type="dxa"/>
            <w:tcBorders>
              <w:top w:val="single" w:sz="4" w:space="0" w:color="000000"/>
              <w:left w:val="single" w:sz="4" w:space="0" w:color="000000"/>
              <w:bottom w:val="single" w:sz="4" w:space="0" w:color="000000"/>
              <w:right w:val="single" w:sz="4" w:space="0" w:color="000000"/>
            </w:tcBorders>
          </w:tcPr>
          <w:p>
            <w:pPr>
              <w:pStyle w:val="Normal"/>
              <w:overflowPunct w:val="true"/>
              <w:ind w:left="57" w:hanging="0"/>
              <w:jc w:val="center"/>
              <w:rPr>
                <w:spacing w:val="20"/>
                <w:sz w:val="22"/>
                <w:szCs w:val="22"/>
              </w:rPr>
            </w:pPr>
            <w:r>
              <w:rPr>
                <w:spacing w:val="20"/>
                <w:sz w:val="22"/>
                <w:szCs w:val="22"/>
              </w:rPr>
              <w:t>0</w:t>
            </w:r>
          </w:p>
        </w:tc>
        <w:tc>
          <w:tcPr>
            <w:tcW w:w="709" w:type="dxa"/>
            <w:tcBorders>
              <w:top w:val="single" w:sz="4" w:space="0" w:color="000000"/>
              <w:left w:val="single" w:sz="4" w:space="0" w:color="000000"/>
              <w:bottom w:val="single" w:sz="4" w:space="0" w:color="000000"/>
              <w:right w:val="single" w:sz="4" w:space="0" w:color="000000"/>
            </w:tcBorders>
          </w:tcPr>
          <w:p>
            <w:pPr>
              <w:pStyle w:val="Normal"/>
              <w:overflowPunct w:val="true"/>
              <w:ind w:left="57" w:hanging="0"/>
              <w:jc w:val="center"/>
              <w:rPr>
                <w:spacing w:val="20"/>
                <w:sz w:val="22"/>
                <w:szCs w:val="22"/>
              </w:rPr>
            </w:pPr>
            <w:r>
              <w:rPr>
                <w:spacing w:val="20"/>
                <w:sz w:val="22"/>
                <w:szCs w:val="22"/>
              </w:rPr>
              <w:t>0</w:t>
            </w:r>
          </w:p>
        </w:tc>
        <w:tc>
          <w:tcPr>
            <w:tcW w:w="1133" w:type="dxa"/>
            <w:tcBorders>
              <w:top w:val="single" w:sz="4" w:space="0" w:color="000000"/>
              <w:left w:val="single" w:sz="4" w:space="0" w:color="000000"/>
              <w:bottom w:val="single" w:sz="4" w:space="0" w:color="000000"/>
              <w:right w:val="single" w:sz="4" w:space="0" w:color="000000"/>
            </w:tcBorders>
          </w:tcPr>
          <w:p>
            <w:pPr>
              <w:pStyle w:val="Normal"/>
              <w:overflowPunct w:val="true"/>
              <w:ind w:left="57" w:hanging="0"/>
              <w:jc w:val="center"/>
              <w:rPr>
                <w:spacing w:val="20"/>
                <w:sz w:val="22"/>
                <w:szCs w:val="22"/>
              </w:rPr>
            </w:pPr>
            <w:r>
              <w:rPr>
                <w:spacing w:val="20"/>
                <w:sz w:val="22"/>
                <w:szCs w:val="22"/>
              </w:rPr>
              <w:t>不適用</w:t>
            </w:r>
          </w:p>
        </w:tc>
      </w:tr>
      <w:tr>
        <w:trPr>
          <w:trHeight w:val="1871" w:hRule="exact"/>
        </w:trPr>
        <w:tc>
          <w:tcPr>
            <w:tcW w:w="43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57" w:hanging="0"/>
              <w:rPr>
                <w:spacing w:val="20"/>
                <w:sz w:val="22"/>
                <w:szCs w:val="22"/>
              </w:rPr>
            </w:pPr>
            <w:r>
              <w:rPr>
                <w:spacing w:val="20"/>
                <w:sz w:val="22"/>
                <w:szCs w:val="22"/>
              </w:rPr>
              <w:t>29.</w:t>
            </w:r>
          </w:p>
        </w:tc>
        <w:tc>
          <w:tcPr>
            <w:tcW w:w="1417"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pacing w:val="20"/>
                <w:sz w:val="22"/>
                <w:szCs w:val="22"/>
              </w:rPr>
            </w:pPr>
            <w:r>
              <w:rPr>
                <w:spacing w:val="20"/>
                <w:sz w:val="22"/>
                <w:szCs w:val="22"/>
              </w:rPr>
              <w:t>護理員實務技能</w:t>
            </w:r>
            <w:r>
              <w:rPr>
                <w:spacing w:val="20"/>
                <w:sz w:val="22"/>
                <w:szCs w:val="22"/>
              </w:rPr>
              <w:t>(</w:t>
            </w:r>
            <w:r>
              <w:rPr>
                <w:spacing w:val="20"/>
                <w:sz w:val="22"/>
                <w:szCs w:val="22"/>
              </w:rPr>
              <w:t>照顧智障人士</w:t>
            </w:r>
            <w:r>
              <w:rPr>
                <w:spacing w:val="20"/>
                <w:sz w:val="22"/>
                <w:szCs w:val="22"/>
              </w:rPr>
              <w:t>)</w:t>
            </w:r>
            <w:r>
              <w:rPr>
                <w:spacing w:val="20"/>
                <w:sz w:val="22"/>
                <w:szCs w:val="22"/>
              </w:rPr>
              <w:t>基礎證書</w:t>
            </w:r>
            <w:r>
              <w:rPr>
                <w:spacing w:val="20"/>
                <w:sz w:val="22"/>
                <w:szCs w:val="22"/>
              </w:rPr>
              <w:t>(</w:t>
            </w:r>
            <w:r>
              <w:rPr>
                <w:spacing w:val="20"/>
                <w:sz w:val="22"/>
                <w:szCs w:val="22"/>
              </w:rPr>
              <w:t>兼讀制</w:t>
            </w:r>
            <w:r>
              <w:rPr>
                <w:spacing w:val="20"/>
                <w:sz w:val="22"/>
                <w:szCs w:val="22"/>
              </w:rPr>
              <w:t>)</w:t>
            </w:r>
          </w:p>
        </w:tc>
        <w:tc>
          <w:tcPr>
            <w:tcW w:w="1134"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pacing w:val="20"/>
                <w:sz w:val="22"/>
                <w:szCs w:val="22"/>
              </w:rPr>
            </w:pPr>
            <w:r>
              <w:rPr>
                <w:spacing w:val="20"/>
                <w:sz w:val="22"/>
                <w:szCs w:val="22"/>
              </w:rPr>
              <w:t>"</w:t>
            </w:r>
            <w:r>
              <w:rPr>
                <w:spacing w:val="20"/>
                <w:sz w:val="22"/>
                <w:szCs w:val="22"/>
              </w:rPr>
              <w:t>新技能提升計劃</w:t>
            </w:r>
            <w:r>
              <w:rPr>
                <w:spacing w:val="20"/>
                <w:sz w:val="22"/>
                <w:szCs w:val="22"/>
              </w:rPr>
              <w:t>"</w:t>
            </w:r>
            <w:r>
              <w:rPr>
                <w:spacing w:val="20"/>
                <w:sz w:val="22"/>
                <w:szCs w:val="22"/>
              </w:rPr>
              <w:t>課程</w:t>
            </w:r>
          </w:p>
        </w:tc>
        <w:tc>
          <w:tcPr>
            <w:tcW w:w="851"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pacing w:val="20"/>
                <w:sz w:val="22"/>
                <w:szCs w:val="22"/>
              </w:rPr>
            </w:pPr>
            <w:r>
              <w:rPr>
                <w:spacing w:val="20"/>
                <w:sz w:val="22"/>
                <w:szCs w:val="22"/>
              </w:rPr>
              <w:t>健康護理</w:t>
            </w:r>
          </w:p>
        </w:tc>
        <w:tc>
          <w:tcPr>
            <w:tcW w:w="850"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pacing w:val="20"/>
                <w:sz w:val="22"/>
                <w:szCs w:val="22"/>
              </w:rPr>
            </w:pPr>
            <w:r>
              <w:rPr>
                <w:spacing w:val="20"/>
                <w:sz w:val="22"/>
                <w:szCs w:val="22"/>
              </w:rPr>
              <w:t>半日或晚間制</w:t>
            </w:r>
          </w:p>
        </w:tc>
        <w:tc>
          <w:tcPr>
            <w:tcW w:w="851" w:type="dxa"/>
            <w:tcBorders>
              <w:top w:val="single" w:sz="4" w:space="0" w:color="000000"/>
              <w:left w:val="single" w:sz="4" w:space="0" w:color="000000"/>
              <w:bottom w:val="single" w:sz="4" w:space="0" w:color="000000"/>
              <w:right w:val="single" w:sz="4" w:space="0" w:color="000000"/>
            </w:tcBorders>
          </w:tcPr>
          <w:p>
            <w:pPr>
              <w:pStyle w:val="Normal"/>
              <w:overflowPunct w:val="true"/>
              <w:ind w:left="57" w:hanging="0"/>
              <w:jc w:val="center"/>
              <w:rPr>
                <w:spacing w:val="20"/>
                <w:sz w:val="22"/>
                <w:szCs w:val="22"/>
              </w:rPr>
            </w:pPr>
            <w:r>
              <w:rPr>
                <w:spacing w:val="20"/>
                <w:sz w:val="22"/>
                <w:szCs w:val="22"/>
              </w:rPr>
              <w:t>30</w:t>
            </w:r>
          </w:p>
        </w:tc>
        <w:tc>
          <w:tcPr>
            <w:tcW w:w="850" w:type="dxa"/>
            <w:tcBorders>
              <w:top w:val="single" w:sz="4" w:space="0" w:color="000000"/>
              <w:left w:val="single" w:sz="4" w:space="0" w:color="000000"/>
              <w:bottom w:val="single" w:sz="4" w:space="0" w:color="000000"/>
              <w:right w:val="single" w:sz="4" w:space="0" w:color="000000"/>
            </w:tcBorders>
          </w:tcPr>
          <w:p>
            <w:pPr>
              <w:pStyle w:val="Normal"/>
              <w:overflowPunct w:val="true"/>
              <w:ind w:left="57" w:hanging="0"/>
              <w:jc w:val="center"/>
              <w:rPr>
                <w:spacing w:val="20"/>
                <w:sz w:val="22"/>
                <w:szCs w:val="22"/>
              </w:rPr>
            </w:pPr>
            <w:r>
              <w:rPr>
                <w:spacing w:val="20"/>
                <w:sz w:val="22"/>
                <w:szCs w:val="22"/>
              </w:rPr>
              <w:t>70</w:t>
            </w:r>
          </w:p>
        </w:tc>
        <w:tc>
          <w:tcPr>
            <w:tcW w:w="993" w:type="dxa"/>
            <w:tcBorders>
              <w:top w:val="single" w:sz="4" w:space="0" w:color="000000"/>
              <w:left w:val="single" w:sz="4" w:space="0" w:color="000000"/>
              <w:bottom w:val="single" w:sz="4" w:space="0" w:color="000000"/>
              <w:right w:val="single" w:sz="4" w:space="0" w:color="000000"/>
            </w:tcBorders>
          </w:tcPr>
          <w:p>
            <w:pPr>
              <w:pStyle w:val="Normal"/>
              <w:overflowPunct w:val="true"/>
              <w:ind w:left="57" w:hanging="0"/>
              <w:jc w:val="center"/>
              <w:rPr>
                <w:spacing w:val="20"/>
                <w:sz w:val="22"/>
                <w:szCs w:val="22"/>
              </w:rPr>
            </w:pPr>
            <w:r>
              <w:rPr>
                <w:spacing w:val="20"/>
                <w:sz w:val="22"/>
                <w:szCs w:val="22"/>
              </w:rPr>
              <w:t>20</w:t>
            </w:r>
          </w:p>
        </w:tc>
        <w:tc>
          <w:tcPr>
            <w:tcW w:w="709" w:type="dxa"/>
            <w:tcBorders>
              <w:top w:val="single" w:sz="4" w:space="0" w:color="000000"/>
              <w:left w:val="single" w:sz="4" w:space="0" w:color="000000"/>
              <w:bottom w:val="single" w:sz="4" w:space="0" w:color="000000"/>
              <w:right w:val="single" w:sz="4" w:space="0" w:color="000000"/>
            </w:tcBorders>
          </w:tcPr>
          <w:p>
            <w:pPr>
              <w:pStyle w:val="Normal"/>
              <w:overflowPunct w:val="true"/>
              <w:ind w:left="57" w:hanging="0"/>
              <w:jc w:val="center"/>
              <w:rPr>
                <w:spacing w:val="20"/>
                <w:sz w:val="22"/>
                <w:szCs w:val="22"/>
              </w:rPr>
            </w:pPr>
            <w:r>
              <w:rPr>
                <w:spacing w:val="20"/>
                <w:sz w:val="22"/>
                <w:szCs w:val="22"/>
              </w:rPr>
              <w:t>20</w:t>
            </w:r>
          </w:p>
        </w:tc>
        <w:tc>
          <w:tcPr>
            <w:tcW w:w="1133" w:type="dxa"/>
            <w:tcBorders>
              <w:top w:val="single" w:sz="4" w:space="0" w:color="000000"/>
              <w:left w:val="single" w:sz="4" w:space="0" w:color="000000"/>
              <w:bottom w:val="single" w:sz="4" w:space="0" w:color="000000"/>
              <w:right w:val="single" w:sz="4" w:space="0" w:color="000000"/>
            </w:tcBorders>
          </w:tcPr>
          <w:p>
            <w:pPr>
              <w:pStyle w:val="Normal"/>
              <w:overflowPunct w:val="true"/>
              <w:ind w:left="57" w:hanging="0"/>
              <w:jc w:val="center"/>
              <w:rPr>
                <w:spacing w:val="20"/>
                <w:sz w:val="22"/>
                <w:szCs w:val="22"/>
              </w:rPr>
            </w:pPr>
            <w:r>
              <w:rPr>
                <w:spacing w:val="20"/>
                <w:sz w:val="22"/>
                <w:szCs w:val="22"/>
              </w:rPr>
              <w:t>不適用</w:t>
            </w:r>
          </w:p>
        </w:tc>
      </w:tr>
    </w:tbl>
    <w:p>
      <w:pPr>
        <w:pStyle w:val="F21"/>
        <w:rPr>
          <w:szCs w:val="27"/>
        </w:rPr>
      </w:pPr>
      <w:r>
        <w:rPr>
          <w:szCs w:val="27"/>
        </w:rPr>
      </w:r>
    </w:p>
    <w:p>
      <w:pPr>
        <w:pStyle w:val="F21"/>
        <w:spacing w:lineRule="auto" w:line="240"/>
        <w:rPr>
          <w:sz w:val="22"/>
        </w:rPr>
      </w:pPr>
      <w:r>
        <w:rPr>
          <w:sz w:val="22"/>
        </w:rPr>
        <w:t>註：</w:t>
      </w:r>
    </w:p>
    <w:p>
      <w:pPr>
        <w:pStyle w:val="F21"/>
        <w:spacing w:lineRule="auto" w:line="240"/>
        <w:rPr>
          <w:sz w:val="22"/>
        </w:rPr>
      </w:pPr>
      <w:r>
        <w:rPr>
          <w:sz w:val="22"/>
        </w:rPr>
      </w:r>
    </w:p>
    <w:p>
      <w:pPr>
        <w:pStyle w:val="F21"/>
        <w:spacing w:lineRule="auto" w:line="240"/>
        <w:ind w:left="567" w:hanging="567"/>
        <w:rPr>
          <w:sz w:val="22"/>
        </w:rPr>
      </w:pPr>
      <w:r>
        <w:rPr>
          <w:sz w:val="22"/>
        </w:rPr>
        <w:t>(1)</w:t>
        <w:tab/>
      </w:r>
      <w:r>
        <w:rPr>
          <w:sz w:val="22"/>
        </w:rPr>
        <w:t>截至</w:t>
      </w:r>
      <w:r>
        <w:rPr>
          <w:sz w:val="22"/>
        </w:rPr>
        <w:t>2019</w:t>
      </w:r>
      <w:r>
        <w:rPr>
          <w:sz w:val="22"/>
        </w:rPr>
        <w:t>年</w:t>
      </w:r>
      <w:r>
        <w:rPr>
          <w:sz w:val="22"/>
        </w:rPr>
        <w:t>2</w:t>
      </w:r>
      <w:r>
        <w:rPr>
          <w:sz w:val="22"/>
        </w:rPr>
        <w:t>月底。</w:t>
      </w:r>
    </w:p>
    <w:p>
      <w:pPr>
        <w:pStyle w:val="F21"/>
        <w:spacing w:lineRule="auto" w:line="240"/>
        <w:ind w:left="567" w:hanging="567"/>
        <w:rPr>
          <w:sz w:val="22"/>
        </w:rPr>
      </w:pPr>
      <w:r>
        <w:rPr>
          <w:sz w:val="22"/>
        </w:rPr>
      </w:r>
    </w:p>
    <w:p>
      <w:pPr>
        <w:pStyle w:val="F21"/>
        <w:spacing w:lineRule="auto" w:line="240"/>
        <w:ind w:left="567" w:hanging="567"/>
        <w:rPr>
          <w:sz w:val="22"/>
        </w:rPr>
      </w:pPr>
      <w:r>
        <w:rPr>
          <w:sz w:val="22"/>
        </w:rPr>
        <w:t>(2)</w:t>
        <w:tab/>
      </w:r>
      <w:r>
        <w:rPr>
          <w:sz w:val="22"/>
        </w:rPr>
        <w:t>數字進位至最接近的</w:t>
      </w:r>
      <w:r>
        <w:rPr>
          <w:sz w:val="22"/>
        </w:rPr>
        <w:t>10</w:t>
      </w:r>
      <w:r>
        <w:rPr>
          <w:sz w:val="22"/>
        </w:rPr>
        <w:t>。</w:t>
      </w:r>
    </w:p>
    <w:p>
      <w:pPr>
        <w:pStyle w:val="F21"/>
        <w:spacing w:lineRule="auto" w:line="240"/>
        <w:ind w:left="567" w:hanging="567"/>
        <w:rPr>
          <w:sz w:val="22"/>
        </w:rPr>
      </w:pPr>
      <w:r>
        <w:rPr>
          <w:sz w:val="22"/>
        </w:rPr>
      </w:r>
    </w:p>
    <w:p>
      <w:pPr>
        <w:pStyle w:val="F21"/>
        <w:spacing w:lineRule="auto" w:line="240"/>
        <w:ind w:left="567" w:hanging="567"/>
        <w:rPr>
          <w:sz w:val="22"/>
        </w:rPr>
      </w:pPr>
      <w:r>
        <w:rPr>
          <w:sz w:val="22"/>
        </w:rPr>
        <w:t>(3)</w:t>
        <w:tab/>
      </w:r>
      <w:r>
        <w:rPr>
          <w:sz w:val="22"/>
        </w:rPr>
        <w:t>由於數據以</w:t>
      </w:r>
      <w:r>
        <w:rPr>
          <w:rFonts w:cs="Times New Roman"/>
          <w:sz w:val="22"/>
        </w:rPr>
        <w:t>"</w:t>
      </w:r>
      <w:r>
        <w:rPr>
          <w:sz w:val="22"/>
        </w:rPr>
        <w:t>開班日期</w:t>
      </w:r>
      <w:r>
        <w:rPr>
          <w:rFonts w:cs="Times New Roman"/>
          <w:sz w:val="22"/>
        </w:rPr>
        <w:t>"</w:t>
      </w:r>
      <w:r>
        <w:rPr>
          <w:sz w:val="22"/>
        </w:rPr>
        <w:t>計算，故部分入讀</w:t>
      </w:r>
      <w:r>
        <w:rPr>
          <w:sz w:val="22"/>
        </w:rPr>
        <w:t>2018-2019</w:t>
      </w:r>
      <w:r>
        <w:rPr>
          <w:sz w:val="22"/>
        </w:rPr>
        <w:t>年度課程的學員尚未完成課程。</w:t>
      </w:r>
    </w:p>
    <w:p>
      <w:pPr>
        <w:pStyle w:val="F21"/>
        <w:spacing w:lineRule="auto" w:line="240"/>
        <w:ind w:left="567" w:hanging="567"/>
        <w:rPr>
          <w:sz w:val="22"/>
        </w:rPr>
      </w:pPr>
      <w:r>
        <w:rPr>
          <w:sz w:val="22"/>
        </w:rPr>
      </w:r>
    </w:p>
    <w:p>
      <w:pPr>
        <w:pStyle w:val="F21"/>
        <w:spacing w:lineRule="auto" w:line="240"/>
        <w:ind w:left="567" w:hanging="567"/>
        <w:rPr>
          <w:sz w:val="22"/>
        </w:rPr>
      </w:pPr>
      <w:r>
        <w:rPr>
          <w:sz w:val="22"/>
        </w:rPr>
        <w:t>(4)</w:t>
        <w:tab/>
      </w:r>
      <w:r>
        <w:rPr>
          <w:sz w:val="22"/>
        </w:rPr>
        <w:t>僱員再培訓局</w:t>
      </w:r>
      <w:r>
        <w:rPr>
          <w:sz w:val="22"/>
        </w:rPr>
        <w:t>(</w:t>
      </w:r>
      <w:r>
        <w:rPr>
          <w:rFonts w:cs="Times New Roman"/>
          <w:sz w:val="22"/>
        </w:rPr>
        <w:t>"</w:t>
      </w:r>
      <w:r>
        <w:rPr>
          <w:sz w:val="22"/>
        </w:rPr>
        <w:t>再培訓局</w:t>
      </w:r>
      <w:r>
        <w:rPr>
          <w:rFonts w:cs="Times New Roman"/>
          <w:sz w:val="22"/>
        </w:rPr>
        <w:t>"</w:t>
      </w:r>
      <w:r>
        <w:rPr>
          <w:sz w:val="22"/>
        </w:rPr>
        <w:t>)</w:t>
      </w:r>
      <w:r>
        <w:rPr>
          <w:sz w:val="22"/>
        </w:rPr>
        <w:t>為完成就業掛鈎課程的學員提供就業跟進服務。</w:t>
      </w:r>
      <w:r>
        <w:rPr>
          <w:rFonts w:cs="Times New Roman"/>
          <w:sz w:val="22"/>
        </w:rPr>
        <w:t>"</w:t>
      </w:r>
      <w:r>
        <w:rPr>
          <w:sz w:val="22"/>
        </w:rPr>
        <w:t>完成課程後就業學員的百分比</w:t>
      </w:r>
      <w:r>
        <w:rPr>
          <w:rFonts w:cs="Times New Roman"/>
          <w:sz w:val="22"/>
        </w:rPr>
        <w:t>"</w:t>
      </w:r>
      <w:r>
        <w:rPr>
          <w:sz w:val="22"/>
        </w:rPr>
        <w:t>是指在就業跟進期內成功就業的學員人次在完成就業掛鈎課程的相關學員人次中所佔的比率。第</w:t>
      </w:r>
      <w:r>
        <w:rPr>
          <w:sz w:val="22"/>
        </w:rPr>
        <w:t>1</w:t>
      </w:r>
      <w:r>
        <w:rPr>
          <w:sz w:val="22"/>
        </w:rPr>
        <w:t>至</w:t>
      </w:r>
      <w:r>
        <w:rPr>
          <w:sz w:val="22"/>
        </w:rPr>
        <w:t>5</w:t>
      </w:r>
      <w:r>
        <w:rPr>
          <w:sz w:val="22"/>
        </w:rPr>
        <w:t>項課程的就業學員入職的相關工種涉及不同範疇，包括安老業、健康護理業等，再培訓局沒有收集只受聘於安老服務業的學員的相關數據。第</w:t>
      </w:r>
      <w:r>
        <w:rPr>
          <w:sz w:val="22"/>
        </w:rPr>
        <w:t>6</w:t>
      </w:r>
      <w:r>
        <w:rPr>
          <w:sz w:val="22"/>
        </w:rPr>
        <w:t>項及之後課程則為</w:t>
      </w:r>
      <w:r>
        <w:rPr>
          <w:rFonts w:cs="Times New Roman"/>
          <w:sz w:val="22"/>
        </w:rPr>
        <w:t>"</w:t>
      </w:r>
      <w:r>
        <w:rPr>
          <w:sz w:val="22"/>
        </w:rPr>
        <w:t>新技能提升計劃</w:t>
      </w:r>
      <w:r>
        <w:rPr>
          <w:rFonts w:cs="Times New Roman"/>
          <w:sz w:val="22"/>
        </w:rPr>
        <w:t>"</w:t>
      </w:r>
      <w:r>
        <w:rPr>
          <w:sz w:val="22"/>
        </w:rPr>
        <w:t>課程，屬非就業掛鈎課程，再培訓局沒有為此類課程收集</w:t>
      </w:r>
      <w:r>
        <w:rPr>
          <w:rFonts w:cs="Times New Roman"/>
          <w:sz w:val="22"/>
        </w:rPr>
        <w:t>"</w:t>
      </w:r>
      <w:r>
        <w:rPr>
          <w:sz w:val="22"/>
        </w:rPr>
        <w:t>完成課程後就業學員的百分比</w:t>
      </w:r>
      <w:r>
        <w:rPr>
          <w:rFonts w:cs="Times New Roman"/>
          <w:sz w:val="22"/>
        </w:rPr>
        <w:t>"</w:t>
      </w:r>
      <w:r>
        <w:rPr>
          <w:sz w:val="22"/>
        </w:rPr>
        <w:t>數據。</w:t>
      </w:r>
    </w:p>
    <w:p>
      <w:pPr>
        <w:pStyle w:val="F21"/>
        <w:spacing w:lineRule="auto" w:line="240"/>
        <w:ind w:left="567" w:hanging="567"/>
        <w:rPr>
          <w:sz w:val="22"/>
        </w:rPr>
      </w:pPr>
      <w:r>
        <w:rPr>
          <w:sz w:val="22"/>
        </w:rPr>
      </w:r>
    </w:p>
    <w:p>
      <w:pPr>
        <w:pStyle w:val="F21"/>
        <w:spacing w:lineRule="auto" w:line="240"/>
        <w:ind w:left="567" w:hanging="567"/>
        <w:rPr>
          <w:sz w:val="22"/>
        </w:rPr>
      </w:pPr>
      <w:r>
        <w:rPr>
          <w:sz w:val="22"/>
        </w:rPr>
        <w:t>(5)</w:t>
        <w:tab/>
      </w:r>
      <w:r>
        <w:rPr>
          <w:sz w:val="22"/>
        </w:rPr>
        <w:t>是項課程於</w:t>
      </w:r>
      <w:r>
        <w:rPr>
          <w:sz w:val="22"/>
        </w:rPr>
        <w:t>2018</w:t>
      </w:r>
      <w:r>
        <w:rPr>
          <w:sz w:val="22"/>
        </w:rPr>
        <w:t>年</w:t>
      </w:r>
      <w:r>
        <w:rPr>
          <w:sz w:val="22"/>
        </w:rPr>
        <w:t>4</w:t>
      </w:r>
      <w:r>
        <w:rPr>
          <w:sz w:val="22"/>
        </w:rPr>
        <w:t>月</w:t>
      </w:r>
      <w:r>
        <w:rPr>
          <w:sz w:val="22"/>
        </w:rPr>
        <w:t>1</w:t>
      </w:r>
      <w:r>
        <w:rPr>
          <w:sz w:val="22"/>
        </w:rPr>
        <w:t>日起停辦。</w:t>
      </w:r>
      <w:r>
        <w:br w:type="page"/>
      </w:r>
    </w:p>
    <w:p>
      <w:pPr>
        <w:pStyle w:val="F21"/>
        <w:rPr>
          <w:szCs w:val="27"/>
        </w:rPr>
      </w:pPr>
      <w:r>
        <w:rPr>
          <w:szCs w:val="27"/>
        </w:rPr>
        <w:t>II)</w:t>
        <w:tab/>
      </w:r>
      <w:r>
        <w:rPr>
          <w:szCs w:val="27"/>
        </w:rPr>
        <w:t>職業訓練局</w:t>
      </w:r>
      <w:r>
        <w:rPr>
          <w:rFonts w:cs="Times New Roman"/>
          <w:vertAlign w:val="superscript"/>
        </w:rPr>
        <w:t>(6)</w:t>
      </w:r>
    </w:p>
    <w:p>
      <w:pPr>
        <w:pStyle w:val="F21"/>
        <w:rPr>
          <w:szCs w:val="27"/>
        </w:rPr>
      </w:pPr>
      <w:r>
        <w:rPr>
          <w:szCs w:val="27"/>
        </w:rPr>
      </w:r>
    </w:p>
    <w:tbl>
      <w:tblPr>
        <w:tblW w:w="9214" w:type="dxa"/>
        <w:jc w:val="left"/>
        <w:tblInd w:w="5" w:type="dxa"/>
        <w:tblCellMar>
          <w:top w:w="0" w:type="dxa"/>
          <w:left w:w="5" w:type="dxa"/>
          <w:bottom w:w="0" w:type="dxa"/>
          <w:right w:w="5" w:type="dxa"/>
        </w:tblCellMar>
        <w:tblLook w:val="01e0" w:noHBand="0" w:noVBand="0" w:firstColumn="1" w:lastRow="1" w:lastColumn="1" w:firstRow="1"/>
      </w:tblPr>
      <w:tblGrid>
        <w:gridCol w:w="283"/>
        <w:gridCol w:w="1276"/>
        <w:gridCol w:w="851"/>
        <w:gridCol w:w="850"/>
        <w:gridCol w:w="851"/>
        <w:gridCol w:w="850"/>
        <w:gridCol w:w="709"/>
        <w:gridCol w:w="850"/>
        <w:gridCol w:w="993"/>
        <w:gridCol w:w="1700"/>
      </w:tblGrid>
      <w:tr>
        <w:trPr>
          <w:tblHeader w:val="true"/>
          <w:trHeight w:val="1848" w:hRule="exact"/>
        </w:trPr>
        <w:tc>
          <w:tcPr>
            <w:tcW w:w="283" w:type="dxa"/>
            <w:tcBorders>
              <w:top w:val="single" w:sz="4" w:space="0" w:color="000000"/>
              <w:left w:val="single" w:sz="4" w:space="0" w:color="000000"/>
              <w:bottom w:val="single" w:sz="4" w:space="0" w:color="000000"/>
              <w:right w:val="single" w:sz="4" w:space="0" w:color="000000"/>
            </w:tcBorders>
          </w:tcPr>
          <w:p>
            <w:pPr>
              <w:pStyle w:val="Normal"/>
              <w:overflowPunct w:val="true"/>
              <w:ind w:left="57" w:hanging="0"/>
              <w:rPr>
                <w:i/>
                <w:i/>
                <w:spacing w:val="20"/>
                <w:sz w:val="22"/>
                <w:szCs w:val="22"/>
              </w:rPr>
            </w:pPr>
            <w:r>
              <w:rPr>
                <w:i/>
                <w:spacing w:val="20"/>
                <w:sz w:val="22"/>
                <w:szCs w:val="22"/>
              </w:rPr>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57" w:hanging="0"/>
              <w:jc w:val="center"/>
              <w:rPr>
                <w:i/>
                <w:i/>
                <w:spacing w:val="20"/>
                <w:sz w:val="22"/>
                <w:szCs w:val="22"/>
              </w:rPr>
            </w:pPr>
            <w:r>
              <w:rPr>
                <w:i/>
                <w:spacing w:val="20"/>
                <w:sz w:val="22"/>
                <w:szCs w:val="22"/>
              </w:rPr>
              <w:t>課程名稱</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57" w:hanging="0"/>
              <w:jc w:val="center"/>
              <w:rPr>
                <w:i/>
                <w:i/>
                <w:spacing w:val="20"/>
                <w:sz w:val="22"/>
                <w:szCs w:val="22"/>
              </w:rPr>
            </w:pPr>
            <w:r>
              <w:rPr>
                <w:i/>
                <w:spacing w:val="20"/>
                <w:sz w:val="22"/>
                <w:szCs w:val="22"/>
              </w:rPr>
              <w:t>課程</w:t>
            </w:r>
          </w:p>
          <w:p>
            <w:pPr>
              <w:pStyle w:val="Normal"/>
              <w:overflowPunct w:val="true"/>
              <w:ind w:left="57" w:hanging="0"/>
              <w:jc w:val="center"/>
              <w:rPr>
                <w:i/>
                <w:i/>
                <w:spacing w:val="20"/>
                <w:sz w:val="22"/>
                <w:szCs w:val="22"/>
              </w:rPr>
            </w:pPr>
            <w:r>
              <w:rPr>
                <w:i/>
                <w:spacing w:val="20"/>
                <w:sz w:val="22"/>
                <w:szCs w:val="22"/>
              </w:rPr>
              <w:t>類別</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57" w:hanging="0"/>
              <w:jc w:val="center"/>
              <w:rPr>
                <w:i/>
                <w:i/>
                <w:spacing w:val="20"/>
                <w:sz w:val="22"/>
                <w:szCs w:val="22"/>
              </w:rPr>
            </w:pPr>
            <w:r>
              <w:rPr>
                <w:i/>
                <w:spacing w:val="20"/>
                <w:sz w:val="22"/>
                <w:szCs w:val="22"/>
              </w:rPr>
              <w:t>範疇</w:t>
            </w:r>
          </w:p>
          <w:p>
            <w:pPr>
              <w:pStyle w:val="Normal"/>
              <w:overflowPunct w:val="true"/>
              <w:ind w:left="57" w:hanging="0"/>
              <w:jc w:val="center"/>
              <w:rPr>
                <w:i/>
                <w:i/>
                <w:spacing w:val="20"/>
                <w:sz w:val="22"/>
                <w:szCs w:val="22"/>
              </w:rPr>
            </w:pPr>
            <w:r>
              <w:rPr>
                <w:bCs/>
                <w:i/>
                <w:spacing w:val="20"/>
                <w:sz w:val="22"/>
                <w:szCs w:val="22"/>
              </w:rPr>
              <w:t>(</w:t>
            </w:r>
            <w:r>
              <w:rPr>
                <w:i/>
                <w:spacing w:val="20"/>
                <w:sz w:val="22"/>
                <w:szCs w:val="22"/>
              </w:rPr>
              <w:t>行業</w:t>
            </w:r>
            <w:r>
              <w:rPr>
                <w:bCs/>
                <w:i/>
                <w:spacing w:val="20"/>
                <w:sz w:val="22"/>
                <w:szCs w:val="22"/>
              </w:rPr>
              <w:t>)</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57" w:hanging="0"/>
              <w:jc w:val="center"/>
              <w:rPr>
                <w:i/>
                <w:i/>
                <w:spacing w:val="20"/>
                <w:sz w:val="22"/>
                <w:szCs w:val="22"/>
              </w:rPr>
            </w:pPr>
            <w:r>
              <w:rPr>
                <w:i/>
                <w:spacing w:val="20"/>
                <w:sz w:val="22"/>
                <w:szCs w:val="22"/>
              </w:rPr>
              <w:t>課程修讀模式</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57" w:hanging="0"/>
              <w:jc w:val="center"/>
              <w:rPr>
                <w:i/>
                <w:i/>
                <w:spacing w:val="20"/>
                <w:sz w:val="22"/>
                <w:szCs w:val="22"/>
              </w:rPr>
            </w:pPr>
            <w:r>
              <w:rPr>
                <w:i/>
                <w:spacing w:val="20"/>
                <w:sz w:val="22"/>
                <w:szCs w:val="22"/>
              </w:rPr>
              <w:t>課程</w:t>
            </w:r>
          </w:p>
          <w:p>
            <w:pPr>
              <w:pStyle w:val="Normal"/>
              <w:overflowPunct w:val="true"/>
              <w:ind w:left="57" w:hanging="0"/>
              <w:jc w:val="center"/>
              <w:rPr>
                <w:i/>
                <w:i/>
                <w:spacing w:val="20"/>
                <w:sz w:val="22"/>
                <w:szCs w:val="22"/>
              </w:rPr>
            </w:pPr>
            <w:r>
              <w:rPr>
                <w:i/>
                <w:spacing w:val="20"/>
                <w:sz w:val="22"/>
                <w:szCs w:val="22"/>
              </w:rPr>
              <w:t>培訓期</w:t>
            </w:r>
            <w:r>
              <w:rPr>
                <w:bCs/>
                <w:i/>
                <w:spacing w:val="20"/>
                <w:sz w:val="22"/>
                <w:szCs w:val="22"/>
              </w:rPr>
              <w:t>(</w:t>
            </w:r>
            <w:r>
              <w:rPr>
                <w:i/>
                <w:spacing w:val="20"/>
                <w:sz w:val="22"/>
                <w:szCs w:val="22"/>
              </w:rPr>
              <w:t>小時</w:t>
            </w:r>
            <w:r>
              <w:rPr>
                <w:bCs/>
                <w:i/>
                <w:spacing w:val="20"/>
                <w:sz w:val="22"/>
                <w:szCs w:val="22"/>
              </w:rPr>
              <w:t>)</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57" w:hanging="0"/>
              <w:jc w:val="center"/>
              <w:rPr>
                <w:i/>
                <w:i/>
                <w:spacing w:val="20"/>
                <w:sz w:val="22"/>
                <w:szCs w:val="22"/>
              </w:rPr>
            </w:pPr>
            <w:r>
              <w:rPr>
                <w:i/>
                <w:spacing w:val="20"/>
                <w:sz w:val="22"/>
                <w:szCs w:val="22"/>
              </w:rPr>
              <w:t>預計收生人數</w:t>
            </w:r>
            <w:r>
              <w:rPr>
                <w:bCs/>
                <w:i/>
                <w:spacing w:val="20"/>
                <w:sz w:val="22"/>
                <w:szCs w:val="22"/>
              </w:rPr>
              <w:t>(</w:t>
            </w:r>
            <w:r>
              <w:rPr>
                <w:i/>
                <w:spacing w:val="20"/>
                <w:sz w:val="22"/>
                <w:szCs w:val="22"/>
              </w:rPr>
              <w:t>培訓學額</w:t>
            </w:r>
            <w:r>
              <w:rPr>
                <w:bCs/>
                <w:i/>
                <w:spacing w:val="20"/>
                <w:sz w:val="22"/>
                <w:szCs w:val="22"/>
              </w:rPr>
              <w:t>)</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57" w:hanging="0"/>
              <w:jc w:val="center"/>
              <w:rPr>
                <w:i/>
                <w:i/>
                <w:spacing w:val="20"/>
                <w:sz w:val="22"/>
                <w:szCs w:val="22"/>
              </w:rPr>
            </w:pPr>
            <w:r>
              <w:rPr>
                <w:i/>
                <w:spacing w:val="20"/>
                <w:sz w:val="22"/>
                <w:szCs w:val="22"/>
              </w:rPr>
              <w:t>實際收生人數</w:t>
            </w:r>
            <w:r>
              <w:rPr>
                <w:bCs/>
                <w:i/>
                <w:spacing w:val="20"/>
                <w:sz w:val="22"/>
                <w:szCs w:val="22"/>
              </w:rPr>
              <w:t>(</w:t>
            </w:r>
            <w:r>
              <w:rPr>
                <w:i/>
                <w:spacing w:val="20"/>
                <w:sz w:val="22"/>
                <w:szCs w:val="22"/>
              </w:rPr>
              <w:t>入讀人次</w:t>
            </w:r>
            <w:r>
              <w:rPr>
                <w:bCs/>
                <w:i/>
                <w:spacing w:val="20"/>
                <w:sz w:val="22"/>
                <w:szCs w:val="22"/>
              </w:rPr>
              <w:t>)</w:t>
            </w:r>
          </w:p>
        </w:tc>
        <w:tc>
          <w:tcPr>
            <w:tcW w:w="9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57" w:hanging="0"/>
              <w:jc w:val="center"/>
              <w:rPr>
                <w:i/>
                <w:i/>
                <w:spacing w:val="20"/>
                <w:sz w:val="22"/>
                <w:szCs w:val="22"/>
              </w:rPr>
            </w:pPr>
            <w:r>
              <w:rPr>
                <w:i/>
                <w:spacing w:val="20"/>
                <w:sz w:val="22"/>
                <w:szCs w:val="22"/>
              </w:rPr>
              <w:t>畢業</w:t>
            </w:r>
          </w:p>
          <w:p>
            <w:pPr>
              <w:pStyle w:val="Normal"/>
              <w:overflowPunct w:val="true"/>
              <w:ind w:left="57" w:hanging="0"/>
              <w:jc w:val="center"/>
              <w:rPr>
                <w:i/>
                <w:i/>
                <w:spacing w:val="20"/>
                <w:sz w:val="22"/>
                <w:szCs w:val="22"/>
              </w:rPr>
            </w:pPr>
            <w:r>
              <w:rPr>
                <w:i/>
                <w:spacing w:val="20"/>
                <w:sz w:val="22"/>
                <w:szCs w:val="22"/>
              </w:rPr>
              <w:t>人次</w:t>
            </w:r>
          </w:p>
        </w:tc>
        <w:tc>
          <w:tcPr>
            <w:tcW w:w="170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57" w:hanging="0"/>
              <w:jc w:val="center"/>
              <w:rPr>
                <w:i/>
                <w:i/>
                <w:spacing w:val="20"/>
                <w:sz w:val="22"/>
                <w:szCs w:val="22"/>
              </w:rPr>
            </w:pPr>
            <w:r>
              <w:rPr>
                <w:i/>
                <w:spacing w:val="20"/>
                <w:sz w:val="22"/>
                <w:szCs w:val="22"/>
              </w:rPr>
              <w:t>修畢課程或接受培訓後受聘於安老服務業的學員的百分比</w:t>
            </w:r>
            <w:r>
              <w:rPr>
                <w:bCs/>
                <w:i/>
                <w:spacing w:val="20"/>
                <w:sz w:val="22"/>
                <w:szCs w:val="22"/>
              </w:rPr>
              <w:t>(</w:t>
            </w:r>
            <w:r>
              <w:rPr>
                <w:i/>
                <w:spacing w:val="20"/>
                <w:sz w:val="22"/>
                <w:szCs w:val="22"/>
              </w:rPr>
              <w:t>就業率</w:t>
            </w:r>
            <w:r>
              <w:rPr>
                <w:bCs/>
                <w:i/>
                <w:spacing w:val="20"/>
                <w:sz w:val="22"/>
                <w:szCs w:val="22"/>
              </w:rPr>
              <w:t>)</w:t>
            </w:r>
          </w:p>
        </w:tc>
      </w:tr>
      <w:tr>
        <w:trPr>
          <w:trHeight w:val="1536" w:hRule="atLeast"/>
        </w:trPr>
        <w:tc>
          <w:tcPr>
            <w:tcW w:w="283" w:type="dxa"/>
            <w:tcBorders>
              <w:top w:val="single" w:sz="4" w:space="0" w:color="000000"/>
              <w:left w:val="single" w:sz="4" w:space="0" w:color="000000"/>
              <w:bottom w:val="single" w:sz="4" w:space="0" w:color="000000"/>
              <w:right w:val="single" w:sz="4" w:space="0" w:color="000000"/>
            </w:tcBorders>
          </w:tcPr>
          <w:p>
            <w:pPr>
              <w:pStyle w:val="Normal"/>
              <w:overflowPunct w:val="true"/>
              <w:ind w:left="57" w:hanging="0"/>
              <w:rPr>
                <w:spacing w:val="20"/>
                <w:sz w:val="22"/>
                <w:szCs w:val="22"/>
              </w:rPr>
            </w:pPr>
            <w:r>
              <w:rPr>
                <w:spacing w:val="20"/>
                <w:sz w:val="22"/>
                <w:szCs w:val="22"/>
              </w:rPr>
              <w:t>1.</w:t>
            </w:r>
          </w:p>
        </w:tc>
        <w:tc>
          <w:tcPr>
            <w:tcW w:w="1276" w:type="dxa"/>
            <w:tcBorders>
              <w:top w:val="single" w:sz="4" w:space="0" w:color="000000"/>
              <w:left w:val="single" w:sz="4" w:space="0" w:color="000000"/>
              <w:bottom w:val="single" w:sz="4" w:space="0" w:color="000000"/>
              <w:right w:val="single" w:sz="4" w:space="0" w:color="000000"/>
            </w:tcBorders>
          </w:tcPr>
          <w:p>
            <w:pPr>
              <w:pStyle w:val="Normal"/>
              <w:overflowPunct w:val="true"/>
              <w:ind w:left="57" w:hanging="0"/>
              <w:rPr>
                <w:spacing w:val="20"/>
                <w:sz w:val="22"/>
                <w:szCs w:val="22"/>
              </w:rPr>
            </w:pPr>
            <w:r>
              <w:rPr>
                <w:spacing w:val="20"/>
                <w:sz w:val="22"/>
                <w:szCs w:val="22"/>
              </w:rPr>
              <w:t>復康服務</w:t>
            </w:r>
            <w:r>
              <w:rPr>
                <w:spacing w:val="119"/>
                <w:sz w:val="22"/>
                <w:szCs w:val="22"/>
              </w:rPr>
              <w:t>高級</w:t>
            </w:r>
            <w:r>
              <w:rPr>
                <w:sz w:val="22"/>
                <w:szCs w:val="22"/>
              </w:rPr>
              <w:t>文</w:t>
            </w:r>
          </w:p>
          <w:p>
            <w:pPr>
              <w:pStyle w:val="Normal"/>
              <w:overflowPunct w:val="true"/>
              <w:ind w:left="57" w:hanging="0"/>
              <w:rPr>
                <w:spacing w:val="20"/>
                <w:sz w:val="22"/>
                <w:szCs w:val="22"/>
              </w:rPr>
            </w:pPr>
            <w:r>
              <w:rPr>
                <w:spacing w:val="20"/>
                <w:sz w:val="22"/>
                <w:szCs w:val="22"/>
              </w:rPr>
              <w:t>憑</w:t>
            </w:r>
            <w:r>
              <w:rPr>
                <w:spacing w:val="20"/>
                <w:sz w:val="22"/>
                <w:szCs w:val="22"/>
                <w:vertAlign w:val="superscript"/>
              </w:rPr>
              <w:t>(7)</w:t>
            </w:r>
          </w:p>
        </w:tc>
        <w:tc>
          <w:tcPr>
            <w:tcW w:w="851" w:type="dxa"/>
            <w:tcBorders>
              <w:top w:val="single" w:sz="4" w:space="0" w:color="000000"/>
              <w:left w:val="single" w:sz="4" w:space="0" w:color="000000"/>
              <w:bottom w:val="single" w:sz="4" w:space="0" w:color="000000"/>
              <w:right w:val="single" w:sz="4" w:space="0" w:color="000000"/>
            </w:tcBorders>
          </w:tcPr>
          <w:p>
            <w:pPr>
              <w:pStyle w:val="Normal"/>
              <w:overflowPunct w:val="true"/>
              <w:ind w:left="57" w:hanging="0"/>
              <w:rPr>
                <w:spacing w:val="20"/>
                <w:sz w:val="22"/>
                <w:szCs w:val="22"/>
              </w:rPr>
            </w:pPr>
            <w:r>
              <w:rPr>
                <w:spacing w:val="20"/>
                <w:sz w:val="22"/>
                <w:szCs w:val="22"/>
              </w:rPr>
              <w:t>高級文憑</w:t>
            </w:r>
            <w:r>
              <w:rPr>
                <w:spacing w:val="20"/>
                <w:sz w:val="22"/>
                <w:szCs w:val="22"/>
                <w:vertAlign w:val="superscript"/>
              </w:rPr>
              <w:t>(7)</w:t>
            </w:r>
          </w:p>
        </w:tc>
        <w:tc>
          <w:tcPr>
            <w:tcW w:w="850" w:type="dxa"/>
            <w:tcBorders>
              <w:top w:val="single" w:sz="4" w:space="0" w:color="000000"/>
              <w:left w:val="single" w:sz="4" w:space="0" w:color="000000"/>
              <w:bottom w:val="single" w:sz="4" w:space="0" w:color="000000"/>
              <w:right w:val="single" w:sz="4" w:space="0" w:color="000000"/>
            </w:tcBorders>
          </w:tcPr>
          <w:p>
            <w:pPr>
              <w:pStyle w:val="Normal"/>
              <w:overflowPunct w:val="true"/>
              <w:ind w:left="57" w:hanging="0"/>
              <w:rPr>
                <w:spacing w:val="20"/>
                <w:sz w:val="22"/>
                <w:szCs w:val="22"/>
              </w:rPr>
            </w:pPr>
            <w:r>
              <w:rPr>
                <w:spacing w:val="20"/>
                <w:sz w:val="22"/>
                <w:szCs w:val="22"/>
              </w:rPr>
              <w:t>安老服務業</w:t>
            </w:r>
          </w:p>
        </w:tc>
        <w:tc>
          <w:tcPr>
            <w:tcW w:w="851" w:type="dxa"/>
            <w:tcBorders>
              <w:top w:val="single" w:sz="4" w:space="0" w:color="000000"/>
              <w:left w:val="single" w:sz="4" w:space="0" w:color="000000"/>
              <w:bottom w:val="single" w:sz="4" w:space="0" w:color="000000"/>
              <w:right w:val="single" w:sz="4" w:space="0" w:color="000000"/>
            </w:tcBorders>
          </w:tcPr>
          <w:p>
            <w:pPr>
              <w:pStyle w:val="Normal"/>
              <w:overflowPunct w:val="true"/>
              <w:ind w:left="57" w:hanging="0"/>
              <w:rPr>
                <w:spacing w:val="20"/>
                <w:sz w:val="22"/>
                <w:szCs w:val="22"/>
              </w:rPr>
            </w:pPr>
            <w:r>
              <w:rPr>
                <w:spacing w:val="20"/>
                <w:sz w:val="22"/>
                <w:szCs w:val="22"/>
              </w:rPr>
              <w:t>全日制</w:t>
            </w:r>
          </w:p>
        </w:tc>
        <w:tc>
          <w:tcPr>
            <w:tcW w:w="850" w:type="dxa"/>
            <w:tcBorders>
              <w:top w:val="single" w:sz="4" w:space="0" w:color="000000"/>
              <w:left w:val="single" w:sz="4" w:space="0" w:color="000000"/>
              <w:bottom w:val="single" w:sz="4" w:space="0" w:color="000000"/>
              <w:right w:val="single" w:sz="4" w:space="0" w:color="000000"/>
            </w:tcBorders>
          </w:tcPr>
          <w:p>
            <w:pPr>
              <w:pStyle w:val="Normal"/>
              <w:overflowPunct w:val="true"/>
              <w:ind w:left="57" w:hanging="0"/>
              <w:rPr>
                <w:spacing w:val="20"/>
                <w:sz w:val="22"/>
                <w:szCs w:val="22"/>
              </w:rPr>
            </w:pPr>
            <w:r>
              <w:rPr>
                <w:spacing w:val="20"/>
                <w:sz w:val="22"/>
                <w:szCs w:val="22"/>
              </w:rPr>
              <w:t>兩年培訓期</w:t>
            </w:r>
          </w:p>
        </w:tc>
        <w:tc>
          <w:tcPr>
            <w:tcW w:w="709" w:type="dxa"/>
            <w:tcBorders>
              <w:top w:val="single" w:sz="4" w:space="0" w:color="000000"/>
              <w:left w:val="single" w:sz="4" w:space="0" w:color="000000"/>
              <w:bottom w:val="single" w:sz="4" w:space="0" w:color="000000"/>
              <w:right w:val="single" w:sz="4" w:space="0" w:color="000000"/>
            </w:tcBorders>
          </w:tcPr>
          <w:p>
            <w:pPr>
              <w:pStyle w:val="Normal"/>
              <w:overflowPunct w:val="true"/>
              <w:ind w:left="57" w:hanging="0"/>
              <w:jc w:val="center"/>
              <w:rPr>
                <w:spacing w:val="20"/>
                <w:sz w:val="22"/>
                <w:szCs w:val="22"/>
              </w:rPr>
            </w:pPr>
            <w:r>
              <w:rPr>
                <w:spacing w:val="20"/>
                <w:sz w:val="22"/>
                <w:szCs w:val="22"/>
              </w:rPr>
              <w:t>135</w:t>
            </w:r>
          </w:p>
        </w:tc>
        <w:tc>
          <w:tcPr>
            <w:tcW w:w="850" w:type="dxa"/>
            <w:tcBorders>
              <w:top w:val="single" w:sz="4" w:space="0" w:color="000000"/>
              <w:left w:val="single" w:sz="4" w:space="0" w:color="000000"/>
              <w:bottom w:val="single" w:sz="4" w:space="0" w:color="000000"/>
              <w:right w:val="single" w:sz="4" w:space="0" w:color="000000"/>
            </w:tcBorders>
          </w:tcPr>
          <w:p>
            <w:pPr>
              <w:pStyle w:val="Normal"/>
              <w:overflowPunct w:val="true"/>
              <w:ind w:left="57" w:hanging="0"/>
              <w:jc w:val="center"/>
              <w:rPr>
                <w:spacing w:val="20"/>
                <w:sz w:val="22"/>
                <w:szCs w:val="22"/>
              </w:rPr>
            </w:pPr>
            <w:r>
              <w:rPr>
                <w:spacing w:val="20"/>
                <w:sz w:val="22"/>
                <w:szCs w:val="22"/>
              </w:rPr>
              <w:t>192</w:t>
            </w:r>
          </w:p>
        </w:tc>
        <w:tc>
          <w:tcPr>
            <w:tcW w:w="993" w:type="dxa"/>
            <w:tcBorders>
              <w:top w:val="single" w:sz="4" w:space="0" w:color="000000"/>
              <w:left w:val="single" w:sz="4" w:space="0" w:color="000000"/>
              <w:bottom w:val="single" w:sz="4" w:space="0" w:color="000000"/>
              <w:right w:val="single" w:sz="4" w:space="0" w:color="000000"/>
            </w:tcBorders>
          </w:tcPr>
          <w:p>
            <w:pPr>
              <w:pStyle w:val="Normal"/>
              <w:overflowPunct w:val="true"/>
              <w:ind w:left="57" w:hanging="0"/>
              <w:rPr>
                <w:spacing w:val="20"/>
                <w:sz w:val="22"/>
                <w:szCs w:val="22"/>
              </w:rPr>
            </w:pPr>
            <w:r>
              <w:rPr>
                <w:spacing w:val="20"/>
                <w:sz w:val="22"/>
                <w:szCs w:val="22"/>
              </w:rPr>
              <w:t>首屆學生將於</w:t>
            </w:r>
            <w:r>
              <w:rPr>
                <w:spacing w:val="20"/>
                <w:sz w:val="22"/>
                <w:szCs w:val="22"/>
              </w:rPr>
              <w:t>2019</w:t>
            </w:r>
            <w:r>
              <w:rPr>
                <w:spacing w:val="20"/>
                <w:sz w:val="22"/>
                <w:szCs w:val="22"/>
              </w:rPr>
              <w:t>年畢業</w:t>
            </w:r>
          </w:p>
        </w:tc>
        <w:tc>
          <w:tcPr>
            <w:tcW w:w="1700" w:type="dxa"/>
            <w:tcBorders>
              <w:top w:val="single" w:sz="4" w:space="0" w:color="000000"/>
              <w:left w:val="single" w:sz="4" w:space="0" w:color="000000"/>
              <w:bottom w:val="single" w:sz="4" w:space="0" w:color="000000"/>
              <w:right w:val="single" w:sz="4" w:space="0" w:color="000000"/>
            </w:tcBorders>
          </w:tcPr>
          <w:p>
            <w:pPr>
              <w:pStyle w:val="Normal"/>
              <w:overflowPunct w:val="true"/>
              <w:ind w:left="57" w:hanging="0"/>
              <w:jc w:val="center"/>
              <w:rPr>
                <w:spacing w:val="20"/>
                <w:sz w:val="22"/>
                <w:szCs w:val="22"/>
              </w:rPr>
            </w:pPr>
            <w:r>
              <w:rPr>
                <w:spacing w:val="20"/>
                <w:sz w:val="22"/>
                <w:szCs w:val="22"/>
              </w:rPr>
              <w:t>不適用</w:t>
            </w:r>
          </w:p>
        </w:tc>
      </w:tr>
      <w:tr>
        <w:trPr>
          <w:trHeight w:val="1526" w:hRule="atLeast"/>
        </w:trPr>
        <w:tc>
          <w:tcPr>
            <w:tcW w:w="283" w:type="dxa"/>
            <w:tcBorders>
              <w:top w:val="single" w:sz="4" w:space="0" w:color="000000"/>
              <w:left w:val="single" w:sz="4" w:space="0" w:color="000000"/>
              <w:bottom w:val="single" w:sz="4" w:space="0" w:color="000000"/>
              <w:right w:val="single" w:sz="4" w:space="0" w:color="000000"/>
            </w:tcBorders>
          </w:tcPr>
          <w:p>
            <w:pPr>
              <w:pStyle w:val="Normal"/>
              <w:overflowPunct w:val="true"/>
              <w:ind w:left="57" w:hanging="0"/>
              <w:rPr>
                <w:spacing w:val="20"/>
                <w:sz w:val="22"/>
                <w:szCs w:val="22"/>
              </w:rPr>
            </w:pPr>
            <w:r>
              <w:rPr>
                <w:spacing w:val="20"/>
                <w:sz w:val="22"/>
                <w:szCs w:val="22"/>
              </w:rPr>
              <w:t>2.</w:t>
            </w:r>
          </w:p>
        </w:tc>
        <w:tc>
          <w:tcPr>
            <w:tcW w:w="1276" w:type="dxa"/>
            <w:tcBorders>
              <w:top w:val="single" w:sz="4" w:space="0" w:color="000000"/>
              <w:left w:val="single" w:sz="4" w:space="0" w:color="000000"/>
              <w:bottom w:val="single" w:sz="4" w:space="0" w:color="000000"/>
              <w:right w:val="single" w:sz="4" w:space="0" w:color="000000"/>
            </w:tcBorders>
          </w:tcPr>
          <w:p>
            <w:pPr>
              <w:pStyle w:val="Normal"/>
              <w:overflowPunct w:val="true"/>
              <w:ind w:left="57" w:hanging="0"/>
              <w:rPr>
                <w:spacing w:val="20"/>
                <w:sz w:val="22"/>
                <w:szCs w:val="22"/>
              </w:rPr>
            </w:pPr>
            <w:r>
              <w:rPr>
                <w:spacing w:val="20"/>
                <w:sz w:val="22"/>
                <w:szCs w:val="22"/>
              </w:rPr>
              <w:t>復康服務高級文憑</w:t>
            </w:r>
          </w:p>
        </w:tc>
        <w:tc>
          <w:tcPr>
            <w:tcW w:w="851" w:type="dxa"/>
            <w:tcBorders>
              <w:top w:val="single" w:sz="4" w:space="0" w:color="000000"/>
              <w:left w:val="single" w:sz="4" w:space="0" w:color="000000"/>
              <w:bottom w:val="single" w:sz="4" w:space="0" w:color="000000"/>
              <w:right w:val="single" w:sz="4" w:space="0" w:color="000000"/>
            </w:tcBorders>
          </w:tcPr>
          <w:p>
            <w:pPr>
              <w:pStyle w:val="Normal"/>
              <w:overflowPunct w:val="true"/>
              <w:ind w:left="57" w:hanging="0"/>
              <w:rPr>
                <w:spacing w:val="20"/>
                <w:sz w:val="22"/>
                <w:szCs w:val="22"/>
              </w:rPr>
            </w:pPr>
            <w:r>
              <w:rPr>
                <w:spacing w:val="20"/>
                <w:sz w:val="22"/>
                <w:szCs w:val="22"/>
              </w:rPr>
              <w:t>高級文憑</w:t>
            </w:r>
          </w:p>
        </w:tc>
        <w:tc>
          <w:tcPr>
            <w:tcW w:w="850" w:type="dxa"/>
            <w:tcBorders>
              <w:top w:val="single" w:sz="4" w:space="0" w:color="000000"/>
              <w:left w:val="single" w:sz="4" w:space="0" w:color="000000"/>
              <w:bottom w:val="single" w:sz="4" w:space="0" w:color="000000"/>
              <w:right w:val="single" w:sz="4" w:space="0" w:color="000000"/>
            </w:tcBorders>
          </w:tcPr>
          <w:p>
            <w:pPr>
              <w:pStyle w:val="Normal"/>
              <w:overflowPunct w:val="true"/>
              <w:ind w:left="57" w:hanging="0"/>
              <w:rPr>
                <w:spacing w:val="20"/>
                <w:sz w:val="22"/>
                <w:szCs w:val="22"/>
              </w:rPr>
            </w:pPr>
            <w:r>
              <w:rPr>
                <w:spacing w:val="20"/>
                <w:sz w:val="22"/>
                <w:szCs w:val="22"/>
              </w:rPr>
              <w:t>安老服務業</w:t>
            </w:r>
          </w:p>
        </w:tc>
        <w:tc>
          <w:tcPr>
            <w:tcW w:w="851" w:type="dxa"/>
            <w:tcBorders>
              <w:top w:val="single" w:sz="4" w:space="0" w:color="000000"/>
              <w:left w:val="single" w:sz="4" w:space="0" w:color="000000"/>
              <w:bottom w:val="single" w:sz="4" w:space="0" w:color="000000"/>
              <w:right w:val="single" w:sz="4" w:space="0" w:color="000000"/>
            </w:tcBorders>
          </w:tcPr>
          <w:p>
            <w:pPr>
              <w:pStyle w:val="Normal"/>
              <w:overflowPunct w:val="true"/>
              <w:ind w:left="57" w:hanging="0"/>
              <w:rPr>
                <w:spacing w:val="20"/>
                <w:sz w:val="22"/>
                <w:szCs w:val="22"/>
              </w:rPr>
            </w:pPr>
            <w:r>
              <w:rPr>
                <w:spacing w:val="20"/>
                <w:sz w:val="22"/>
                <w:szCs w:val="22"/>
              </w:rPr>
              <w:t>全日制</w:t>
            </w:r>
          </w:p>
        </w:tc>
        <w:tc>
          <w:tcPr>
            <w:tcW w:w="850" w:type="dxa"/>
            <w:tcBorders>
              <w:top w:val="single" w:sz="4" w:space="0" w:color="000000"/>
              <w:left w:val="single" w:sz="4" w:space="0" w:color="000000"/>
              <w:bottom w:val="single" w:sz="4" w:space="0" w:color="000000"/>
              <w:right w:val="single" w:sz="4" w:space="0" w:color="000000"/>
            </w:tcBorders>
          </w:tcPr>
          <w:p>
            <w:pPr>
              <w:pStyle w:val="Normal"/>
              <w:overflowPunct w:val="true"/>
              <w:ind w:left="57" w:hanging="0"/>
              <w:rPr>
                <w:spacing w:val="20"/>
                <w:sz w:val="22"/>
                <w:szCs w:val="22"/>
              </w:rPr>
            </w:pPr>
            <w:r>
              <w:rPr>
                <w:spacing w:val="20"/>
                <w:sz w:val="22"/>
                <w:szCs w:val="22"/>
              </w:rPr>
              <w:t>兩年培訓期</w:t>
            </w:r>
          </w:p>
        </w:tc>
        <w:tc>
          <w:tcPr>
            <w:tcW w:w="709" w:type="dxa"/>
            <w:tcBorders>
              <w:top w:val="single" w:sz="4" w:space="0" w:color="000000"/>
              <w:left w:val="single" w:sz="4" w:space="0" w:color="000000"/>
              <w:bottom w:val="single" w:sz="4" w:space="0" w:color="000000"/>
              <w:right w:val="single" w:sz="4" w:space="0" w:color="000000"/>
            </w:tcBorders>
          </w:tcPr>
          <w:p>
            <w:pPr>
              <w:pStyle w:val="Normal"/>
              <w:overflowPunct w:val="true"/>
              <w:ind w:left="57" w:hanging="0"/>
              <w:jc w:val="center"/>
              <w:rPr>
                <w:spacing w:val="20"/>
                <w:sz w:val="22"/>
                <w:szCs w:val="22"/>
              </w:rPr>
            </w:pPr>
            <w:r>
              <w:rPr>
                <w:spacing w:val="20"/>
                <w:sz w:val="22"/>
                <w:szCs w:val="22"/>
              </w:rPr>
              <w:t>135</w:t>
            </w:r>
          </w:p>
        </w:tc>
        <w:tc>
          <w:tcPr>
            <w:tcW w:w="850" w:type="dxa"/>
            <w:tcBorders>
              <w:top w:val="single" w:sz="4" w:space="0" w:color="000000"/>
              <w:left w:val="single" w:sz="4" w:space="0" w:color="000000"/>
              <w:bottom w:val="single" w:sz="4" w:space="0" w:color="000000"/>
              <w:right w:val="single" w:sz="4" w:space="0" w:color="000000"/>
            </w:tcBorders>
          </w:tcPr>
          <w:p>
            <w:pPr>
              <w:pStyle w:val="Normal"/>
              <w:overflowPunct w:val="true"/>
              <w:ind w:left="57" w:hanging="0"/>
              <w:jc w:val="center"/>
              <w:rPr>
                <w:spacing w:val="20"/>
                <w:sz w:val="22"/>
                <w:szCs w:val="22"/>
              </w:rPr>
            </w:pPr>
            <w:r>
              <w:rPr>
                <w:spacing w:val="20"/>
                <w:sz w:val="22"/>
                <w:szCs w:val="22"/>
              </w:rPr>
              <w:t>192</w:t>
            </w:r>
          </w:p>
        </w:tc>
        <w:tc>
          <w:tcPr>
            <w:tcW w:w="993" w:type="dxa"/>
            <w:tcBorders>
              <w:top w:val="single" w:sz="4" w:space="0" w:color="000000"/>
              <w:left w:val="single" w:sz="4" w:space="0" w:color="000000"/>
              <w:bottom w:val="single" w:sz="4" w:space="0" w:color="000000"/>
              <w:right w:val="single" w:sz="4" w:space="0" w:color="000000"/>
            </w:tcBorders>
          </w:tcPr>
          <w:p>
            <w:pPr>
              <w:pStyle w:val="Normal"/>
              <w:overflowPunct w:val="true"/>
              <w:ind w:left="57" w:hanging="0"/>
              <w:rPr>
                <w:spacing w:val="20"/>
                <w:sz w:val="22"/>
                <w:szCs w:val="22"/>
              </w:rPr>
            </w:pPr>
            <w:r>
              <w:rPr>
                <w:spacing w:val="20"/>
                <w:sz w:val="22"/>
                <w:szCs w:val="22"/>
              </w:rPr>
              <w:t>首屆學生將於</w:t>
            </w:r>
            <w:r>
              <w:rPr>
                <w:spacing w:val="20"/>
                <w:sz w:val="22"/>
                <w:szCs w:val="22"/>
              </w:rPr>
              <w:t>2019</w:t>
            </w:r>
            <w:r>
              <w:rPr>
                <w:spacing w:val="20"/>
                <w:sz w:val="22"/>
                <w:szCs w:val="22"/>
              </w:rPr>
              <w:t>年畢業</w:t>
            </w:r>
          </w:p>
        </w:tc>
        <w:tc>
          <w:tcPr>
            <w:tcW w:w="1700" w:type="dxa"/>
            <w:tcBorders>
              <w:top w:val="single" w:sz="4" w:space="0" w:color="000000"/>
              <w:left w:val="single" w:sz="4" w:space="0" w:color="000000"/>
              <w:bottom w:val="single" w:sz="4" w:space="0" w:color="000000"/>
              <w:right w:val="single" w:sz="4" w:space="0" w:color="000000"/>
            </w:tcBorders>
          </w:tcPr>
          <w:p>
            <w:pPr>
              <w:pStyle w:val="Normal"/>
              <w:overflowPunct w:val="true"/>
              <w:ind w:left="57" w:hanging="0"/>
              <w:jc w:val="center"/>
              <w:rPr>
                <w:spacing w:val="20"/>
                <w:sz w:val="22"/>
                <w:szCs w:val="22"/>
              </w:rPr>
            </w:pPr>
            <w:r>
              <w:rPr>
                <w:spacing w:val="20"/>
                <w:sz w:val="22"/>
                <w:szCs w:val="22"/>
              </w:rPr>
              <w:t>不適用</w:t>
            </w:r>
          </w:p>
        </w:tc>
      </w:tr>
      <w:tr>
        <w:trPr>
          <w:trHeight w:val="1516" w:hRule="atLeast"/>
        </w:trPr>
        <w:tc>
          <w:tcPr>
            <w:tcW w:w="283" w:type="dxa"/>
            <w:vMerge w:val="restart"/>
            <w:tcBorders>
              <w:top w:val="single" w:sz="4" w:space="0" w:color="000000"/>
              <w:left w:val="single" w:sz="4" w:space="0" w:color="000000"/>
              <w:right w:val="single" w:sz="4" w:space="0" w:color="000000"/>
            </w:tcBorders>
          </w:tcPr>
          <w:p>
            <w:pPr>
              <w:pStyle w:val="Normal"/>
              <w:overflowPunct w:val="true"/>
              <w:ind w:left="57" w:hanging="0"/>
              <w:rPr>
                <w:spacing w:val="20"/>
                <w:sz w:val="22"/>
                <w:szCs w:val="22"/>
              </w:rPr>
            </w:pPr>
            <w:r>
              <w:rPr>
                <w:spacing w:val="20"/>
                <w:sz w:val="22"/>
                <w:szCs w:val="22"/>
              </w:rPr>
              <w:t>3.</w:t>
            </w:r>
          </w:p>
        </w:tc>
        <w:tc>
          <w:tcPr>
            <w:tcW w:w="1276" w:type="dxa"/>
            <w:vMerge w:val="restart"/>
            <w:tcBorders>
              <w:top w:val="single" w:sz="4" w:space="0" w:color="000000"/>
              <w:left w:val="single" w:sz="4" w:space="0" w:color="000000"/>
              <w:right w:val="single" w:sz="4" w:space="0" w:color="000000"/>
            </w:tcBorders>
          </w:tcPr>
          <w:p>
            <w:pPr>
              <w:pStyle w:val="Normal"/>
              <w:overflowPunct w:val="true"/>
              <w:ind w:left="57" w:hanging="0"/>
              <w:rPr>
                <w:spacing w:val="20"/>
                <w:sz w:val="22"/>
                <w:szCs w:val="22"/>
              </w:rPr>
            </w:pPr>
            <w:r>
              <w:rPr>
                <w:spacing w:val="20"/>
                <w:sz w:val="22"/>
                <w:szCs w:val="22"/>
              </w:rPr>
              <w:t>醫療保健</w:t>
            </w:r>
            <w:r>
              <w:rPr>
                <w:spacing w:val="119"/>
                <w:sz w:val="22"/>
                <w:szCs w:val="22"/>
              </w:rPr>
              <w:t>高級</w:t>
            </w:r>
            <w:r>
              <w:rPr>
                <w:sz w:val="22"/>
                <w:szCs w:val="22"/>
              </w:rPr>
              <w:t>文</w:t>
            </w:r>
          </w:p>
          <w:p>
            <w:pPr>
              <w:pStyle w:val="Normal"/>
              <w:overflowPunct w:val="true"/>
              <w:ind w:left="57" w:hanging="0"/>
              <w:rPr>
                <w:spacing w:val="20"/>
                <w:sz w:val="22"/>
                <w:szCs w:val="22"/>
              </w:rPr>
            </w:pPr>
            <w:r>
              <w:rPr>
                <w:spacing w:val="20"/>
                <w:sz w:val="22"/>
                <w:szCs w:val="22"/>
              </w:rPr>
              <w:t>憑</w:t>
            </w:r>
            <w:r>
              <w:rPr>
                <w:spacing w:val="20"/>
                <w:sz w:val="22"/>
                <w:szCs w:val="22"/>
                <w:vertAlign w:val="superscript"/>
              </w:rPr>
              <w:t>(8)</w:t>
            </w:r>
          </w:p>
        </w:tc>
        <w:tc>
          <w:tcPr>
            <w:tcW w:w="851" w:type="dxa"/>
            <w:tcBorders>
              <w:top w:val="single" w:sz="4" w:space="0" w:color="000000"/>
              <w:left w:val="single" w:sz="4" w:space="0" w:color="000000"/>
              <w:bottom w:val="single" w:sz="4" w:space="0" w:color="000000"/>
              <w:right w:val="single" w:sz="4" w:space="0" w:color="000000"/>
            </w:tcBorders>
          </w:tcPr>
          <w:p>
            <w:pPr>
              <w:pStyle w:val="Normal"/>
              <w:overflowPunct w:val="true"/>
              <w:ind w:left="57" w:hanging="0"/>
              <w:rPr>
                <w:spacing w:val="20"/>
                <w:sz w:val="22"/>
                <w:szCs w:val="22"/>
              </w:rPr>
            </w:pPr>
            <w:r>
              <w:rPr>
                <w:spacing w:val="20"/>
                <w:sz w:val="22"/>
                <w:szCs w:val="22"/>
              </w:rPr>
              <w:t>高級文憑</w:t>
            </w:r>
          </w:p>
        </w:tc>
        <w:tc>
          <w:tcPr>
            <w:tcW w:w="850" w:type="dxa"/>
            <w:tcBorders>
              <w:top w:val="single" w:sz="4" w:space="0" w:color="000000"/>
              <w:left w:val="single" w:sz="4" w:space="0" w:color="000000"/>
              <w:bottom w:val="single" w:sz="4" w:space="0" w:color="000000"/>
              <w:right w:val="single" w:sz="4" w:space="0" w:color="000000"/>
            </w:tcBorders>
          </w:tcPr>
          <w:p>
            <w:pPr>
              <w:pStyle w:val="Normal"/>
              <w:overflowPunct w:val="true"/>
              <w:ind w:left="57" w:hanging="0"/>
              <w:rPr>
                <w:spacing w:val="20"/>
                <w:sz w:val="22"/>
                <w:szCs w:val="22"/>
              </w:rPr>
            </w:pPr>
            <w:r>
              <w:rPr>
                <w:spacing w:val="20"/>
                <w:sz w:val="22"/>
                <w:szCs w:val="22"/>
              </w:rPr>
              <w:t>安老服務業</w:t>
            </w:r>
          </w:p>
        </w:tc>
        <w:tc>
          <w:tcPr>
            <w:tcW w:w="851" w:type="dxa"/>
            <w:tcBorders>
              <w:top w:val="single" w:sz="4" w:space="0" w:color="000000"/>
              <w:left w:val="single" w:sz="4" w:space="0" w:color="000000"/>
              <w:bottom w:val="single" w:sz="4" w:space="0" w:color="000000"/>
              <w:right w:val="single" w:sz="4" w:space="0" w:color="000000"/>
            </w:tcBorders>
          </w:tcPr>
          <w:p>
            <w:pPr>
              <w:pStyle w:val="Normal"/>
              <w:overflowPunct w:val="true"/>
              <w:ind w:left="57" w:hanging="0"/>
              <w:rPr>
                <w:spacing w:val="20"/>
                <w:sz w:val="22"/>
                <w:szCs w:val="22"/>
              </w:rPr>
            </w:pPr>
            <w:r>
              <w:rPr>
                <w:spacing w:val="20"/>
                <w:sz w:val="22"/>
                <w:szCs w:val="22"/>
              </w:rPr>
              <w:t>全日制</w:t>
            </w:r>
          </w:p>
        </w:tc>
        <w:tc>
          <w:tcPr>
            <w:tcW w:w="850" w:type="dxa"/>
            <w:tcBorders>
              <w:top w:val="single" w:sz="4" w:space="0" w:color="000000"/>
              <w:left w:val="single" w:sz="4" w:space="0" w:color="000000"/>
              <w:bottom w:val="single" w:sz="4" w:space="0" w:color="000000"/>
              <w:right w:val="single" w:sz="4" w:space="0" w:color="000000"/>
            </w:tcBorders>
          </w:tcPr>
          <w:p>
            <w:pPr>
              <w:pStyle w:val="Normal"/>
              <w:overflowPunct w:val="true"/>
              <w:ind w:left="57" w:hanging="0"/>
              <w:rPr>
                <w:spacing w:val="20"/>
                <w:sz w:val="22"/>
                <w:szCs w:val="22"/>
              </w:rPr>
            </w:pPr>
            <w:r>
              <w:rPr>
                <w:spacing w:val="20"/>
                <w:sz w:val="22"/>
                <w:szCs w:val="22"/>
              </w:rPr>
              <w:t>兩年培訓期</w:t>
            </w:r>
          </w:p>
        </w:tc>
        <w:tc>
          <w:tcPr>
            <w:tcW w:w="709" w:type="dxa"/>
            <w:tcBorders>
              <w:top w:val="single" w:sz="4" w:space="0" w:color="000000"/>
              <w:left w:val="single" w:sz="4" w:space="0" w:color="000000"/>
              <w:bottom w:val="single" w:sz="4" w:space="0" w:color="000000"/>
              <w:right w:val="single" w:sz="4" w:space="0" w:color="000000"/>
            </w:tcBorders>
          </w:tcPr>
          <w:p>
            <w:pPr>
              <w:pStyle w:val="Normal"/>
              <w:overflowPunct w:val="true"/>
              <w:ind w:left="57" w:hanging="0"/>
              <w:jc w:val="center"/>
              <w:rPr>
                <w:spacing w:val="20"/>
                <w:sz w:val="22"/>
                <w:szCs w:val="22"/>
              </w:rPr>
            </w:pPr>
            <w:r>
              <w:rPr>
                <w:spacing w:val="20"/>
                <w:sz w:val="22"/>
                <w:szCs w:val="22"/>
              </w:rPr>
              <w:t>120</w:t>
            </w:r>
          </w:p>
        </w:tc>
        <w:tc>
          <w:tcPr>
            <w:tcW w:w="850" w:type="dxa"/>
            <w:tcBorders>
              <w:top w:val="single" w:sz="4" w:space="0" w:color="000000"/>
              <w:left w:val="single" w:sz="4" w:space="0" w:color="000000"/>
              <w:bottom w:val="single" w:sz="4" w:space="0" w:color="000000"/>
              <w:right w:val="single" w:sz="4" w:space="0" w:color="000000"/>
            </w:tcBorders>
          </w:tcPr>
          <w:p>
            <w:pPr>
              <w:pStyle w:val="Normal"/>
              <w:overflowPunct w:val="true"/>
              <w:ind w:left="57" w:hanging="0"/>
              <w:jc w:val="center"/>
              <w:rPr>
                <w:spacing w:val="20"/>
                <w:sz w:val="22"/>
                <w:szCs w:val="22"/>
              </w:rPr>
            </w:pPr>
            <w:r>
              <w:rPr>
                <w:spacing w:val="20"/>
                <w:sz w:val="22"/>
                <w:szCs w:val="22"/>
              </w:rPr>
              <w:t>147</w:t>
            </w:r>
          </w:p>
        </w:tc>
        <w:tc>
          <w:tcPr>
            <w:tcW w:w="993" w:type="dxa"/>
            <w:tcBorders>
              <w:top w:val="single" w:sz="4" w:space="0" w:color="000000"/>
              <w:left w:val="single" w:sz="4" w:space="0" w:color="000000"/>
              <w:bottom w:val="single" w:sz="4" w:space="0" w:color="000000"/>
              <w:right w:val="single" w:sz="4" w:space="0" w:color="000000"/>
            </w:tcBorders>
          </w:tcPr>
          <w:p>
            <w:pPr>
              <w:pStyle w:val="Normal"/>
              <w:overflowPunct w:val="true"/>
              <w:ind w:left="57" w:hanging="0"/>
              <w:rPr>
                <w:spacing w:val="20"/>
                <w:sz w:val="22"/>
                <w:szCs w:val="22"/>
              </w:rPr>
            </w:pPr>
            <w:r>
              <w:rPr>
                <w:spacing w:val="20"/>
                <w:sz w:val="22"/>
                <w:szCs w:val="22"/>
              </w:rPr>
              <w:t>首屆學生將於</w:t>
            </w:r>
            <w:r>
              <w:rPr>
                <w:spacing w:val="20"/>
                <w:sz w:val="22"/>
                <w:szCs w:val="22"/>
              </w:rPr>
              <w:t>2019</w:t>
            </w:r>
            <w:r>
              <w:rPr>
                <w:spacing w:val="20"/>
                <w:sz w:val="22"/>
                <w:szCs w:val="22"/>
              </w:rPr>
              <w:t>年畢業</w:t>
            </w:r>
          </w:p>
        </w:tc>
        <w:tc>
          <w:tcPr>
            <w:tcW w:w="1700" w:type="dxa"/>
            <w:tcBorders>
              <w:top w:val="single" w:sz="4" w:space="0" w:color="000000"/>
              <w:left w:val="single" w:sz="4" w:space="0" w:color="000000"/>
              <w:bottom w:val="single" w:sz="4" w:space="0" w:color="000000"/>
              <w:right w:val="single" w:sz="4" w:space="0" w:color="000000"/>
            </w:tcBorders>
          </w:tcPr>
          <w:p>
            <w:pPr>
              <w:pStyle w:val="Normal"/>
              <w:overflowPunct w:val="true"/>
              <w:ind w:left="57" w:hanging="0"/>
              <w:jc w:val="center"/>
              <w:rPr>
                <w:spacing w:val="20"/>
                <w:sz w:val="22"/>
                <w:szCs w:val="22"/>
              </w:rPr>
            </w:pPr>
            <w:r>
              <w:rPr>
                <w:spacing w:val="20"/>
                <w:sz w:val="22"/>
                <w:szCs w:val="22"/>
              </w:rPr>
              <w:t>不適用</w:t>
            </w:r>
          </w:p>
        </w:tc>
      </w:tr>
      <w:tr>
        <w:trPr>
          <w:trHeight w:val="1492" w:hRule="atLeast"/>
        </w:trPr>
        <w:tc>
          <w:tcPr>
            <w:tcW w:w="283" w:type="dxa"/>
            <w:vMerge w:val="continue"/>
            <w:tcBorders>
              <w:left w:val="single" w:sz="4" w:space="0" w:color="000000"/>
              <w:bottom w:val="single" w:sz="4" w:space="0" w:color="000000"/>
              <w:right w:val="single" w:sz="4" w:space="0" w:color="000000"/>
            </w:tcBorders>
          </w:tcPr>
          <w:p>
            <w:pPr>
              <w:pStyle w:val="Normal"/>
              <w:overflowPunct w:val="true"/>
              <w:ind w:left="57" w:hanging="0"/>
              <w:rPr>
                <w:spacing w:val="20"/>
                <w:sz w:val="22"/>
                <w:szCs w:val="22"/>
              </w:rPr>
            </w:pPr>
            <w:r>
              <w:rPr>
                <w:spacing w:val="20"/>
                <w:sz w:val="22"/>
                <w:szCs w:val="22"/>
              </w:rPr>
            </w:r>
          </w:p>
        </w:tc>
        <w:tc>
          <w:tcPr>
            <w:tcW w:w="1276" w:type="dxa"/>
            <w:vMerge w:val="continue"/>
            <w:tcBorders>
              <w:left w:val="single" w:sz="4" w:space="0" w:color="000000"/>
              <w:bottom w:val="single" w:sz="4" w:space="0" w:color="000000"/>
              <w:right w:val="single" w:sz="4" w:space="0" w:color="000000"/>
            </w:tcBorders>
          </w:tcPr>
          <w:p>
            <w:pPr>
              <w:pStyle w:val="Normal"/>
              <w:overflowPunct w:val="true"/>
              <w:ind w:left="57" w:hanging="0"/>
              <w:rPr>
                <w:spacing w:val="20"/>
                <w:sz w:val="22"/>
                <w:szCs w:val="22"/>
              </w:rPr>
            </w:pPr>
            <w:r>
              <w:rPr>
                <w:spacing w:val="20"/>
                <w:sz w:val="22"/>
                <w:szCs w:val="22"/>
              </w:rPr>
            </w:r>
          </w:p>
        </w:tc>
        <w:tc>
          <w:tcPr>
            <w:tcW w:w="851" w:type="dxa"/>
            <w:tcBorders>
              <w:top w:val="single" w:sz="4" w:space="0" w:color="000000"/>
              <w:left w:val="single" w:sz="4" w:space="0" w:color="000000"/>
              <w:bottom w:val="single" w:sz="4" w:space="0" w:color="000000"/>
              <w:right w:val="single" w:sz="4" w:space="0" w:color="000000"/>
            </w:tcBorders>
          </w:tcPr>
          <w:p>
            <w:pPr>
              <w:pStyle w:val="Normal"/>
              <w:overflowPunct w:val="true"/>
              <w:ind w:left="57" w:hanging="0"/>
              <w:rPr>
                <w:spacing w:val="20"/>
                <w:sz w:val="22"/>
                <w:szCs w:val="22"/>
              </w:rPr>
            </w:pPr>
            <w:r>
              <w:rPr>
                <w:spacing w:val="20"/>
                <w:sz w:val="22"/>
                <w:szCs w:val="22"/>
              </w:rPr>
              <w:t>高級文憑</w:t>
            </w:r>
            <w:r>
              <w:rPr>
                <w:spacing w:val="20"/>
                <w:sz w:val="22"/>
                <w:szCs w:val="22"/>
                <w:vertAlign w:val="superscript"/>
              </w:rPr>
              <w:t>(7)</w:t>
            </w:r>
          </w:p>
        </w:tc>
        <w:tc>
          <w:tcPr>
            <w:tcW w:w="850" w:type="dxa"/>
            <w:tcBorders>
              <w:top w:val="single" w:sz="4" w:space="0" w:color="000000"/>
              <w:left w:val="single" w:sz="4" w:space="0" w:color="000000"/>
              <w:bottom w:val="single" w:sz="4" w:space="0" w:color="000000"/>
              <w:right w:val="single" w:sz="4" w:space="0" w:color="000000"/>
            </w:tcBorders>
          </w:tcPr>
          <w:p>
            <w:pPr>
              <w:pStyle w:val="Normal"/>
              <w:overflowPunct w:val="true"/>
              <w:ind w:left="57" w:hanging="0"/>
              <w:rPr>
                <w:spacing w:val="20"/>
                <w:sz w:val="22"/>
                <w:szCs w:val="22"/>
              </w:rPr>
            </w:pPr>
            <w:r>
              <w:rPr>
                <w:spacing w:val="20"/>
                <w:sz w:val="22"/>
                <w:szCs w:val="22"/>
              </w:rPr>
              <w:t>安老服務業</w:t>
            </w:r>
          </w:p>
        </w:tc>
        <w:tc>
          <w:tcPr>
            <w:tcW w:w="851" w:type="dxa"/>
            <w:tcBorders>
              <w:top w:val="single" w:sz="4" w:space="0" w:color="000000"/>
              <w:left w:val="single" w:sz="4" w:space="0" w:color="000000"/>
              <w:bottom w:val="single" w:sz="4" w:space="0" w:color="000000"/>
              <w:right w:val="single" w:sz="4" w:space="0" w:color="000000"/>
            </w:tcBorders>
          </w:tcPr>
          <w:p>
            <w:pPr>
              <w:pStyle w:val="Normal"/>
              <w:overflowPunct w:val="true"/>
              <w:ind w:left="57" w:hanging="0"/>
              <w:rPr>
                <w:spacing w:val="20"/>
                <w:sz w:val="22"/>
                <w:szCs w:val="22"/>
              </w:rPr>
            </w:pPr>
            <w:r>
              <w:rPr>
                <w:spacing w:val="20"/>
                <w:sz w:val="22"/>
                <w:szCs w:val="22"/>
              </w:rPr>
              <w:t>全日制</w:t>
            </w:r>
          </w:p>
        </w:tc>
        <w:tc>
          <w:tcPr>
            <w:tcW w:w="850" w:type="dxa"/>
            <w:tcBorders>
              <w:top w:val="single" w:sz="4" w:space="0" w:color="000000"/>
              <w:left w:val="single" w:sz="4" w:space="0" w:color="000000"/>
              <w:bottom w:val="single" w:sz="4" w:space="0" w:color="000000"/>
              <w:right w:val="single" w:sz="4" w:space="0" w:color="000000"/>
            </w:tcBorders>
          </w:tcPr>
          <w:p>
            <w:pPr>
              <w:pStyle w:val="Normal"/>
              <w:overflowPunct w:val="true"/>
              <w:ind w:left="57" w:hanging="0"/>
              <w:rPr>
                <w:spacing w:val="20"/>
                <w:sz w:val="22"/>
                <w:szCs w:val="22"/>
              </w:rPr>
            </w:pPr>
            <w:r>
              <w:rPr>
                <w:spacing w:val="20"/>
                <w:sz w:val="22"/>
                <w:szCs w:val="22"/>
              </w:rPr>
              <w:t>兩年培訓期</w:t>
            </w:r>
          </w:p>
        </w:tc>
        <w:tc>
          <w:tcPr>
            <w:tcW w:w="709" w:type="dxa"/>
            <w:tcBorders>
              <w:top w:val="single" w:sz="4" w:space="0" w:color="000000"/>
              <w:left w:val="single" w:sz="4" w:space="0" w:color="000000"/>
              <w:bottom w:val="single" w:sz="4" w:space="0" w:color="000000"/>
              <w:right w:val="single" w:sz="4" w:space="0" w:color="000000"/>
            </w:tcBorders>
          </w:tcPr>
          <w:p>
            <w:pPr>
              <w:pStyle w:val="Normal"/>
              <w:overflowPunct w:val="true"/>
              <w:ind w:left="57" w:hanging="0"/>
              <w:jc w:val="center"/>
              <w:rPr>
                <w:spacing w:val="20"/>
                <w:sz w:val="22"/>
                <w:szCs w:val="22"/>
              </w:rPr>
            </w:pPr>
            <w:r>
              <w:rPr>
                <w:spacing w:val="20"/>
                <w:sz w:val="22"/>
                <w:szCs w:val="22"/>
              </w:rPr>
              <w:t>120</w:t>
            </w:r>
          </w:p>
        </w:tc>
        <w:tc>
          <w:tcPr>
            <w:tcW w:w="850" w:type="dxa"/>
            <w:tcBorders>
              <w:top w:val="single" w:sz="4" w:space="0" w:color="000000"/>
              <w:left w:val="single" w:sz="4" w:space="0" w:color="000000"/>
              <w:bottom w:val="single" w:sz="4" w:space="0" w:color="000000"/>
              <w:right w:val="single" w:sz="4" w:space="0" w:color="000000"/>
            </w:tcBorders>
          </w:tcPr>
          <w:p>
            <w:pPr>
              <w:pStyle w:val="Normal"/>
              <w:overflowPunct w:val="true"/>
              <w:ind w:left="57" w:hanging="0"/>
              <w:jc w:val="center"/>
              <w:rPr>
                <w:spacing w:val="20"/>
                <w:sz w:val="22"/>
                <w:szCs w:val="22"/>
              </w:rPr>
            </w:pPr>
            <w:r>
              <w:rPr>
                <w:spacing w:val="20"/>
                <w:sz w:val="22"/>
                <w:szCs w:val="22"/>
              </w:rPr>
              <w:t>154</w:t>
            </w:r>
          </w:p>
        </w:tc>
        <w:tc>
          <w:tcPr>
            <w:tcW w:w="993" w:type="dxa"/>
            <w:tcBorders>
              <w:top w:val="single" w:sz="4" w:space="0" w:color="000000"/>
              <w:left w:val="single" w:sz="4" w:space="0" w:color="000000"/>
              <w:bottom w:val="single" w:sz="4" w:space="0" w:color="000000"/>
              <w:right w:val="single" w:sz="4" w:space="0" w:color="000000"/>
            </w:tcBorders>
          </w:tcPr>
          <w:p>
            <w:pPr>
              <w:pStyle w:val="Normal"/>
              <w:overflowPunct w:val="true"/>
              <w:ind w:left="57" w:hanging="0"/>
              <w:rPr>
                <w:spacing w:val="20"/>
                <w:sz w:val="22"/>
                <w:szCs w:val="22"/>
              </w:rPr>
            </w:pPr>
            <w:r>
              <w:rPr>
                <w:spacing w:val="20"/>
                <w:sz w:val="22"/>
                <w:szCs w:val="22"/>
              </w:rPr>
              <w:t>首屆學生將於</w:t>
            </w:r>
            <w:r>
              <w:rPr>
                <w:spacing w:val="20"/>
                <w:sz w:val="22"/>
                <w:szCs w:val="22"/>
              </w:rPr>
              <w:t>2020</w:t>
            </w:r>
            <w:r>
              <w:rPr>
                <w:spacing w:val="20"/>
                <w:sz w:val="22"/>
                <w:szCs w:val="22"/>
              </w:rPr>
              <w:t>年畢業</w:t>
            </w:r>
          </w:p>
        </w:tc>
        <w:tc>
          <w:tcPr>
            <w:tcW w:w="1700" w:type="dxa"/>
            <w:tcBorders>
              <w:top w:val="single" w:sz="4" w:space="0" w:color="000000"/>
              <w:left w:val="single" w:sz="4" w:space="0" w:color="000000"/>
              <w:bottom w:val="single" w:sz="4" w:space="0" w:color="000000"/>
              <w:right w:val="single" w:sz="4" w:space="0" w:color="000000"/>
            </w:tcBorders>
          </w:tcPr>
          <w:p>
            <w:pPr>
              <w:pStyle w:val="Normal"/>
              <w:overflowPunct w:val="true"/>
              <w:ind w:left="57" w:hanging="0"/>
              <w:jc w:val="center"/>
              <w:rPr>
                <w:spacing w:val="20"/>
                <w:sz w:val="22"/>
                <w:szCs w:val="22"/>
              </w:rPr>
            </w:pPr>
            <w:r>
              <w:rPr>
                <w:spacing w:val="20"/>
                <w:sz w:val="22"/>
                <w:szCs w:val="22"/>
              </w:rPr>
              <w:t>不適用</w:t>
            </w:r>
          </w:p>
        </w:tc>
      </w:tr>
      <w:tr>
        <w:trPr>
          <w:trHeight w:val="1524" w:hRule="atLeast"/>
        </w:trPr>
        <w:tc>
          <w:tcPr>
            <w:tcW w:w="283" w:type="dxa"/>
            <w:tcBorders>
              <w:top w:val="single" w:sz="4" w:space="0" w:color="000000"/>
              <w:left w:val="single" w:sz="4" w:space="0" w:color="000000"/>
              <w:bottom w:val="single" w:sz="4" w:space="0" w:color="000000"/>
              <w:right w:val="single" w:sz="4" w:space="0" w:color="000000"/>
            </w:tcBorders>
          </w:tcPr>
          <w:p>
            <w:pPr>
              <w:pStyle w:val="Normal"/>
              <w:overflowPunct w:val="true"/>
              <w:ind w:left="57" w:hanging="0"/>
              <w:rPr>
                <w:spacing w:val="20"/>
                <w:sz w:val="22"/>
                <w:szCs w:val="22"/>
              </w:rPr>
            </w:pPr>
            <w:r>
              <w:rPr>
                <w:spacing w:val="20"/>
                <w:sz w:val="22"/>
                <w:szCs w:val="22"/>
              </w:rPr>
              <w:t>4.</w:t>
            </w:r>
          </w:p>
        </w:tc>
        <w:tc>
          <w:tcPr>
            <w:tcW w:w="1276" w:type="dxa"/>
            <w:tcBorders>
              <w:top w:val="single" w:sz="4" w:space="0" w:color="000000"/>
              <w:left w:val="single" w:sz="4" w:space="0" w:color="000000"/>
              <w:bottom w:val="single" w:sz="4" w:space="0" w:color="000000"/>
              <w:right w:val="single" w:sz="4" w:space="0" w:color="000000"/>
            </w:tcBorders>
          </w:tcPr>
          <w:p>
            <w:pPr>
              <w:pStyle w:val="Normal"/>
              <w:overflowPunct w:val="true"/>
              <w:ind w:left="57" w:hanging="0"/>
              <w:rPr>
                <w:spacing w:val="20"/>
                <w:sz w:val="22"/>
                <w:szCs w:val="22"/>
              </w:rPr>
            </w:pPr>
            <w:r>
              <w:rPr>
                <w:spacing w:val="20"/>
                <w:sz w:val="22"/>
                <w:szCs w:val="22"/>
              </w:rPr>
              <w:t>醫療保健高級文憑</w:t>
            </w:r>
          </w:p>
        </w:tc>
        <w:tc>
          <w:tcPr>
            <w:tcW w:w="851" w:type="dxa"/>
            <w:tcBorders>
              <w:top w:val="single" w:sz="4" w:space="0" w:color="000000"/>
              <w:left w:val="single" w:sz="4" w:space="0" w:color="000000"/>
              <w:bottom w:val="single" w:sz="4" w:space="0" w:color="000000"/>
              <w:right w:val="single" w:sz="4" w:space="0" w:color="000000"/>
            </w:tcBorders>
          </w:tcPr>
          <w:p>
            <w:pPr>
              <w:pStyle w:val="Normal"/>
              <w:overflowPunct w:val="true"/>
              <w:ind w:left="57" w:hanging="0"/>
              <w:rPr>
                <w:spacing w:val="20"/>
                <w:sz w:val="22"/>
                <w:szCs w:val="22"/>
              </w:rPr>
            </w:pPr>
            <w:r>
              <w:rPr>
                <w:spacing w:val="20"/>
                <w:sz w:val="22"/>
                <w:szCs w:val="22"/>
              </w:rPr>
              <w:t>高級文憑</w:t>
            </w:r>
          </w:p>
        </w:tc>
        <w:tc>
          <w:tcPr>
            <w:tcW w:w="850" w:type="dxa"/>
            <w:tcBorders>
              <w:top w:val="single" w:sz="4" w:space="0" w:color="000000"/>
              <w:left w:val="single" w:sz="4" w:space="0" w:color="000000"/>
              <w:bottom w:val="single" w:sz="4" w:space="0" w:color="000000"/>
              <w:right w:val="single" w:sz="4" w:space="0" w:color="000000"/>
            </w:tcBorders>
          </w:tcPr>
          <w:p>
            <w:pPr>
              <w:pStyle w:val="Normal"/>
              <w:overflowPunct w:val="true"/>
              <w:ind w:left="57" w:hanging="0"/>
              <w:rPr>
                <w:spacing w:val="20"/>
                <w:sz w:val="22"/>
                <w:szCs w:val="22"/>
              </w:rPr>
            </w:pPr>
            <w:r>
              <w:rPr>
                <w:spacing w:val="20"/>
                <w:sz w:val="22"/>
                <w:szCs w:val="22"/>
              </w:rPr>
              <w:t>安老服務業</w:t>
            </w:r>
          </w:p>
        </w:tc>
        <w:tc>
          <w:tcPr>
            <w:tcW w:w="851" w:type="dxa"/>
            <w:tcBorders>
              <w:top w:val="single" w:sz="4" w:space="0" w:color="000000"/>
              <w:left w:val="single" w:sz="4" w:space="0" w:color="000000"/>
              <w:bottom w:val="single" w:sz="4" w:space="0" w:color="000000"/>
              <w:right w:val="single" w:sz="4" w:space="0" w:color="000000"/>
            </w:tcBorders>
          </w:tcPr>
          <w:p>
            <w:pPr>
              <w:pStyle w:val="Normal"/>
              <w:overflowPunct w:val="true"/>
              <w:ind w:left="57" w:hanging="0"/>
              <w:rPr>
                <w:spacing w:val="20"/>
                <w:sz w:val="22"/>
                <w:szCs w:val="22"/>
              </w:rPr>
            </w:pPr>
            <w:r>
              <w:rPr>
                <w:spacing w:val="20"/>
                <w:sz w:val="22"/>
                <w:szCs w:val="22"/>
              </w:rPr>
              <w:t>全日制</w:t>
            </w:r>
          </w:p>
        </w:tc>
        <w:tc>
          <w:tcPr>
            <w:tcW w:w="850" w:type="dxa"/>
            <w:tcBorders>
              <w:top w:val="single" w:sz="4" w:space="0" w:color="000000"/>
              <w:left w:val="single" w:sz="4" w:space="0" w:color="000000"/>
              <w:bottom w:val="single" w:sz="4" w:space="0" w:color="000000"/>
              <w:right w:val="single" w:sz="4" w:space="0" w:color="000000"/>
            </w:tcBorders>
          </w:tcPr>
          <w:p>
            <w:pPr>
              <w:pStyle w:val="Normal"/>
              <w:overflowPunct w:val="true"/>
              <w:ind w:left="57" w:hanging="0"/>
              <w:rPr>
                <w:spacing w:val="20"/>
                <w:sz w:val="22"/>
                <w:szCs w:val="22"/>
              </w:rPr>
            </w:pPr>
            <w:r>
              <w:rPr>
                <w:spacing w:val="20"/>
                <w:sz w:val="22"/>
                <w:szCs w:val="22"/>
              </w:rPr>
              <w:t>兩年培訓期</w:t>
            </w:r>
          </w:p>
        </w:tc>
        <w:tc>
          <w:tcPr>
            <w:tcW w:w="709" w:type="dxa"/>
            <w:tcBorders>
              <w:top w:val="single" w:sz="4" w:space="0" w:color="000000"/>
              <w:left w:val="single" w:sz="4" w:space="0" w:color="000000"/>
              <w:bottom w:val="single" w:sz="4" w:space="0" w:color="000000"/>
              <w:right w:val="single" w:sz="4" w:space="0" w:color="000000"/>
            </w:tcBorders>
          </w:tcPr>
          <w:p>
            <w:pPr>
              <w:pStyle w:val="Normal"/>
              <w:overflowPunct w:val="true"/>
              <w:ind w:left="57" w:hanging="0"/>
              <w:jc w:val="center"/>
              <w:rPr>
                <w:spacing w:val="20"/>
                <w:sz w:val="22"/>
                <w:szCs w:val="22"/>
              </w:rPr>
            </w:pPr>
            <w:r>
              <w:rPr>
                <w:spacing w:val="20"/>
                <w:sz w:val="22"/>
                <w:szCs w:val="22"/>
              </w:rPr>
              <w:t>240</w:t>
            </w:r>
          </w:p>
        </w:tc>
        <w:tc>
          <w:tcPr>
            <w:tcW w:w="850" w:type="dxa"/>
            <w:tcBorders>
              <w:top w:val="single" w:sz="4" w:space="0" w:color="000000"/>
              <w:left w:val="single" w:sz="4" w:space="0" w:color="000000"/>
              <w:bottom w:val="single" w:sz="4" w:space="0" w:color="000000"/>
              <w:right w:val="single" w:sz="4" w:space="0" w:color="000000"/>
            </w:tcBorders>
          </w:tcPr>
          <w:p>
            <w:pPr>
              <w:pStyle w:val="Normal"/>
              <w:overflowPunct w:val="true"/>
              <w:ind w:left="57" w:hanging="0"/>
              <w:jc w:val="center"/>
              <w:rPr>
                <w:spacing w:val="20"/>
                <w:sz w:val="22"/>
                <w:szCs w:val="22"/>
              </w:rPr>
            </w:pPr>
            <w:r>
              <w:rPr>
                <w:spacing w:val="20"/>
                <w:sz w:val="22"/>
                <w:szCs w:val="22"/>
              </w:rPr>
              <w:t>301</w:t>
            </w:r>
          </w:p>
        </w:tc>
        <w:tc>
          <w:tcPr>
            <w:tcW w:w="993" w:type="dxa"/>
            <w:tcBorders>
              <w:top w:val="single" w:sz="4" w:space="0" w:color="000000"/>
              <w:left w:val="single" w:sz="4" w:space="0" w:color="000000"/>
              <w:bottom w:val="single" w:sz="4" w:space="0" w:color="000000"/>
              <w:right w:val="single" w:sz="4" w:space="0" w:color="000000"/>
            </w:tcBorders>
          </w:tcPr>
          <w:p>
            <w:pPr>
              <w:pStyle w:val="Normal"/>
              <w:overflowPunct w:val="true"/>
              <w:ind w:left="57" w:hanging="0"/>
              <w:rPr>
                <w:spacing w:val="20"/>
                <w:sz w:val="22"/>
                <w:szCs w:val="22"/>
              </w:rPr>
            </w:pPr>
            <w:r>
              <w:rPr>
                <w:spacing w:val="20"/>
                <w:sz w:val="22"/>
                <w:szCs w:val="22"/>
              </w:rPr>
              <w:t>首屆學生將於</w:t>
            </w:r>
            <w:r>
              <w:rPr>
                <w:spacing w:val="20"/>
                <w:sz w:val="22"/>
                <w:szCs w:val="22"/>
              </w:rPr>
              <w:t>2019</w:t>
            </w:r>
            <w:r>
              <w:rPr>
                <w:spacing w:val="20"/>
                <w:sz w:val="22"/>
                <w:szCs w:val="22"/>
              </w:rPr>
              <w:t>年畢業</w:t>
            </w:r>
          </w:p>
        </w:tc>
        <w:tc>
          <w:tcPr>
            <w:tcW w:w="1700" w:type="dxa"/>
            <w:tcBorders>
              <w:top w:val="single" w:sz="4" w:space="0" w:color="000000"/>
              <w:left w:val="single" w:sz="4" w:space="0" w:color="000000"/>
              <w:bottom w:val="single" w:sz="4" w:space="0" w:color="000000"/>
              <w:right w:val="single" w:sz="4" w:space="0" w:color="000000"/>
            </w:tcBorders>
          </w:tcPr>
          <w:p>
            <w:pPr>
              <w:pStyle w:val="Normal"/>
              <w:overflowPunct w:val="true"/>
              <w:ind w:left="57" w:hanging="0"/>
              <w:jc w:val="center"/>
              <w:rPr>
                <w:spacing w:val="20"/>
                <w:sz w:val="22"/>
                <w:szCs w:val="22"/>
              </w:rPr>
            </w:pPr>
            <w:r>
              <w:rPr>
                <w:spacing w:val="20"/>
                <w:sz w:val="22"/>
                <w:szCs w:val="22"/>
              </w:rPr>
              <w:t>不適用</w:t>
            </w:r>
          </w:p>
        </w:tc>
      </w:tr>
      <w:tr>
        <w:trPr>
          <w:trHeight w:val="1533" w:hRule="atLeast"/>
        </w:trPr>
        <w:tc>
          <w:tcPr>
            <w:tcW w:w="283" w:type="dxa"/>
            <w:tcBorders>
              <w:top w:val="single" w:sz="4" w:space="0" w:color="000000"/>
              <w:left w:val="single" w:sz="4" w:space="0" w:color="000000"/>
              <w:bottom w:val="single" w:sz="4" w:space="0" w:color="000000"/>
              <w:right w:val="single" w:sz="4" w:space="0" w:color="000000"/>
            </w:tcBorders>
          </w:tcPr>
          <w:p>
            <w:pPr>
              <w:pStyle w:val="Normal"/>
              <w:overflowPunct w:val="true"/>
              <w:ind w:left="57" w:hanging="0"/>
              <w:rPr>
                <w:spacing w:val="20"/>
                <w:sz w:val="22"/>
                <w:szCs w:val="22"/>
              </w:rPr>
            </w:pPr>
            <w:r>
              <w:rPr>
                <w:spacing w:val="20"/>
                <w:sz w:val="22"/>
                <w:szCs w:val="22"/>
              </w:rPr>
              <w:t>5.</w:t>
            </w:r>
          </w:p>
        </w:tc>
        <w:tc>
          <w:tcPr>
            <w:tcW w:w="1276" w:type="dxa"/>
            <w:tcBorders>
              <w:top w:val="single" w:sz="4" w:space="0" w:color="000000"/>
              <w:left w:val="single" w:sz="4" w:space="0" w:color="000000"/>
              <w:bottom w:val="single" w:sz="4" w:space="0" w:color="000000"/>
              <w:right w:val="single" w:sz="4" w:space="0" w:color="000000"/>
            </w:tcBorders>
          </w:tcPr>
          <w:p>
            <w:pPr>
              <w:pStyle w:val="Normal"/>
              <w:overflowPunct w:val="true"/>
              <w:ind w:left="57" w:hanging="0"/>
              <w:rPr>
                <w:spacing w:val="20"/>
                <w:sz w:val="22"/>
                <w:szCs w:val="22"/>
              </w:rPr>
            </w:pPr>
            <w:r>
              <w:rPr>
                <w:spacing w:val="20"/>
                <w:sz w:val="22"/>
                <w:szCs w:val="22"/>
              </w:rPr>
              <w:t>長者社區保健護理高級文憑</w:t>
            </w:r>
          </w:p>
        </w:tc>
        <w:tc>
          <w:tcPr>
            <w:tcW w:w="851" w:type="dxa"/>
            <w:tcBorders>
              <w:top w:val="single" w:sz="4" w:space="0" w:color="000000"/>
              <w:left w:val="single" w:sz="4" w:space="0" w:color="000000"/>
              <w:bottom w:val="single" w:sz="4" w:space="0" w:color="000000"/>
              <w:right w:val="single" w:sz="4" w:space="0" w:color="000000"/>
            </w:tcBorders>
          </w:tcPr>
          <w:p>
            <w:pPr>
              <w:pStyle w:val="Normal"/>
              <w:overflowPunct w:val="true"/>
              <w:ind w:left="57" w:hanging="0"/>
              <w:rPr>
                <w:spacing w:val="20"/>
                <w:sz w:val="22"/>
                <w:szCs w:val="22"/>
              </w:rPr>
            </w:pPr>
            <w:r>
              <w:rPr>
                <w:spacing w:val="20"/>
                <w:sz w:val="22"/>
                <w:szCs w:val="22"/>
              </w:rPr>
              <w:t>高級文憑</w:t>
            </w:r>
            <w:r>
              <w:rPr>
                <w:spacing w:val="20"/>
                <w:sz w:val="22"/>
                <w:szCs w:val="22"/>
                <w:vertAlign w:val="superscript"/>
              </w:rPr>
              <w:t>(7)</w:t>
            </w:r>
          </w:p>
        </w:tc>
        <w:tc>
          <w:tcPr>
            <w:tcW w:w="850" w:type="dxa"/>
            <w:tcBorders>
              <w:top w:val="single" w:sz="4" w:space="0" w:color="000000"/>
              <w:left w:val="single" w:sz="4" w:space="0" w:color="000000"/>
              <w:bottom w:val="single" w:sz="4" w:space="0" w:color="000000"/>
              <w:right w:val="single" w:sz="4" w:space="0" w:color="000000"/>
            </w:tcBorders>
          </w:tcPr>
          <w:p>
            <w:pPr>
              <w:pStyle w:val="Normal"/>
              <w:overflowPunct w:val="true"/>
              <w:ind w:left="57" w:hanging="0"/>
              <w:rPr>
                <w:spacing w:val="20"/>
                <w:sz w:val="22"/>
                <w:szCs w:val="22"/>
              </w:rPr>
            </w:pPr>
            <w:r>
              <w:rPr>
                <w:spacing w:val="20"/>
                <w:sz w:val="22"/>
                <w:szCs w:val="22"/>
              </w:rPr>
              <w:t>安老服務業</w:t>
            </w:r>
          </w:p>
        </w:tc>
        <w:tc>
          <w:tcPr>
            <w:tcW w:w="851" w:type="dxa"/>
            <w:tcBorders>
              <w:top w:val="single" w:sz="4" w:space="0" w:color="000000"/>
              <w:left w:val="single" w:sz="4" w:space="0" w:color="000000"/>
              <w:bottom w:val="single" w:sz="4" w:space="0" w:color="000000"/>
              <w:right w:val="single" w:sz="4" w:space="0" w:color="000000"/>
            </w:tcBorders>
          </w:tcPr>
          <w:p>
            <w:pPr>
              <w:pStyle w:val="Normal"/>
              <w:overflowPunct w:val="true"/>
              <w:ind w:left="57" w:hanging="0"/>
              <w:rPr>
                <w:spacing w:val="20"/>
                <w:sz w:val="22"/>
                <w:szCs w:val="22"/>
              </w:rPr>
            </w:pPr>
            <w:r>
              <w:rPr>
                <w:spacing w:val="20"/>
                <w:sz w:val="22"/>
                <w:szCs w:val="22"/>
              </w:rPr>
              <w:t>全日制</w:t>
            </w:r>
          </w:p>
        </w:tc>
        <w:tc>
          <w:tcPr>
            <w:tcW w:w="850" w:type="dxa"/>
            <w:tcBorders>
              <w:top w:val="single" w:sz="4" w:space="0" w:color="000000"/>
              <w:left w:val="single" w:sz="4" w:space="0" w:color="000000"/>
              <w:bottom w:val="single" w:sz="4" w:space="0" w:color="000000"/>
              <w:right w:val="single" w:sz="4" w:space="0" w:color="000000"/>
            </w:tcBorders>
          </w:tcPr>
          <w:p>
            <w:pPr>
              <w:pStyle w:val="Normal"/>
              <w:overflowPunct w:val="true"/>
              <w:ind w:left="57" w:hanging="0"/>
              <w:rPr>
                <w:spacing w:val="20"/>
                <w:sz w:val="22"/>
                <w:szCs w:val="22"/>
              </w:rPr>
            </w:pPr>
            <w:r>
              <w:rPr>
                <w:spacing w:val="20"/>
                <w:sz w:val="22"/>
                <w:szCs w:val="22"/>
              </w:rPr>
              <w:t>兩年培訓期</w:t>
            </w:r>
          </w:p>
        </w:tc>
        <w:tc>
          <w:tcPr>
            <w:tcW w:w="709" w:type="dxa"/>
            <w:tcBorders>
              <w:top w:val="single" w:sz="4" w:space="0" w:color="000000"/>
              <w:left w:val="single" w:sz="4" w:space="0" w:color="000000"/>
              <w:bottom w:val="single" w:sz="4" w:space="0" w:color="000000"/>
              <w:right w:val="single" w:sz="4" w:space="0" w:color="000000"/>
            </w:tcBorders>
          </w:tcPr>
          <w:p>
            <w:pPr>
              <w:pStyle w:val="Normal"/>
              <w:overflowPunct w:val="true"/>
              <w:ind w:left="57" w:hanging="0"/>
              <w:jc w:val="center"/>
              <w:rPr>
                <w:spacing w:val="20"/>
                <w:sz w:val="22"/>
                <w:szCs w:val="22"/>
              </w:rPr>
            </w:pPr>
            <w:r>
              <w:rPr>
                <w:spacing w:val="20"/>
                <w:sz w:val="22"/>
                <w:szCs w:val="22"/>
              </w:rPr>
              <w:t>60</w:t>
            </w:r>
          </w:p>
        </w:tc>
        <w:tc>
          <w:tcPr>
            <w:tcW w:w="850" w:type="dxa"/>
            <w:tcBorders>
              <w:top w:val="single" w:sz="4" w:space="0" w:color="000000"/>
              <w:left w:val="single" w:sz="4" w:space="0" w:color="000000"/>
              <w:bottom w:val="single" w:sz="4" w:space="0" w:color="000000"/>
              <w:right w:val="single" w:sz="4" w:space="0" w:color="000000"/>
            </w:tcBorders>
          </w:tcPr>
          <w:p>
            <w:pPr>
              <w:pStyle w:val="Normal"/>
              <w:overflowPunct w:val="true"/>
              <w:ind w:left="57" w:hanging="0"/>
              <w:jc w:val="center"/>
              <w:rPr>
                <w:spacing w:val="20"/>
                <w:sz w:val="22"/>
                <w:szCs w:val="22"/>
              </w:rPr>
            </w:pPr>
            <w:r>
              <w:rPr>
                <w:spacing w:val="20"/>
                <w:sz w:val="22"/>
                <w:szCs w:val="22"/>
              </w:rPr>
              <w:t>53</w:t>
            </w:r>
          </w:p>
        </w:tc>
        <w:tc>
          <w:tcPr>
            <w:tcW w:w="993" w:type="dxa"/>
            <w:tcBorders>
              <w:top w:val="single" w:sz="4" w:space="0" w:color="000000"/>
              <w:left w:val="single" w:sz="4" w:space="0" w:color="000000"/>
              <w:bottom w:val="single" w:sz="4" w:space="0" w:color="000000"/>
              <w:right w:val="single" w:sz="4" w:space="0" w:color="000000"/>
            </w:tcBorders>
          </w:tcPr>
          <w:p>
            <w:pPr>
              <w:pStyle w:val="Normal"/>
              <w:overflowPunct w:val="true"/>
              <w:ind w:left="57" w:hanging="0"/>
              <w:rPr>
                <w:spacing w:val="20"/>
                <w:sz w:val="22"/>
                <w:szCs w:val="22"/>
              </w:rPr>
            </w:pPr>
            <w:r>
              <w:rPr>
                <w:spacing w:val="20"/>
                <w:sz w:val="22"/>
                <w:szCs w:val="22"/>
              </w:rPr>
              <w:t>首屆學生將於</w:t>
            </w:r>
            <w:r>
              <w:rPr>
                <w:spacing w:val="20"/>
                <w:sz w:val="22"/>
                <w:szCs w:val="22"/>
              </w:rPr>
              <w:t>2019</w:t>
            </w:r>
            <w:r>
              <w:rPr>
                <w:spacing w:val="20"/>
                <w:sz w:val="22"/>
                <w:szCs w:val="22"/>
              </w:rPr>
              <w:t>年畢業</w:t>
            </w:r>
          </w:p>
        </w:tc>
        <w:tc>
          <w:tcPr>
            <w:tcW w:w="1700" w:type="dxa"/>
            <w:tcBorders>
              <w:top w:val="single" w:sz="4" w:space="0" w:color="000000"/>
              <w:left w:val="single" w:sz="4" w:space="0" w:color="000000"/>
              <w:bottom w:val="single" w:sz="4" w:space="0" w:color="000000"/>
              <w:right w:val="single" w:sz="4" w:space="0" w:color="000000"/>
            </w:tcBorders>
          </w:tcPr>
          <w:p>
            <w:pPr>
              <w:pStyle w:val="Normal"/>
              <w:overflowPunct w:val="true"/>
              <w:ind w:left="57" w:hanging="0"/>
              <w:jc w:val="center"/>
              <w:rPr>
                <w:spacing w:val="20"/>
                <w:sz w:val="22"/>
                <w:szCs w:val="22"/>
              </w:rPr>
            </w:pPr>
            <w:r>
              <w:rPr>
                <w:spacing w:val="20"/>
                <w:sz w:val="22"/>
                <w:szCs w:val="22"/>
              </w:rPr>
              <w:t>不適用</w:t>
            </w:r>
          </w:p>
        </w:tc>
      </w:tr>
      <w:tr>
        <w:trPr>
          <w:trHeight w:val="1479" w:hRule="atLeast"/>
        </w:trPr>
        <w:tc>
          <w:tcPr>
            <w:tcW w:w="283" w:type="dxa"/>
            <w:tcBorders>
              <w:top w:val="single" w:sz="4" w:space="0" w:color="000000"/>
              <w:left w:val="single" w:sz="4" w:space="0" w:color="000000"/>
              <w:bottom w:val="single" w:sz="4" w:space="0" w:color="000000"/>
              <w:right w:val="single" w:sz="4" w:space="0" w:color="000000"/>
            </w:tcBorders>
          </w:tcPr>
          <w:p>
            <w:pPr>
              <w:pStyle w:val="Normal"/>
              <w:overflowPunct w:val="true"/>
              <w:ind w:left="57" w:hanging="0"/>
              <w:rPr>
                <w:spacing w:val="20"/>
                <w:sz w:val="22"/>
                <w:szCs w:val="22"/>
              </w:rPr>
            </w:pPr>
            <w:r>
              <w:rPr>
                <w:spacing w:val="20"/>
                <w:sz w:val="22"/>
                <w:szCs w:val="22"/>
              </w:rPr>
              <w:t>6.</w:t>
            </w:r>
          </w:p>
        </w:tc>
        <w:tc>
          <w:tcPr>
            <w:tcW w:w="1276" w:type="dxa"/>
            <w:tcBorders>
              <w:top w:val="single" w:sz="4" w:space="0" w:color="000000"/>
              <w:left w:val="single" w:sz="4" w:space="0" w:color="000000"/>
              <w:bottom w:val="single" w:sz="4" w:space="0" w:color="000000"/>
              <w:right w:val="single" w:sz="4" w:space="0" w:color="000000"/>
            </w:tcBorders>
          </w:tcPr>
          <w:p>
            <w:pPr>
              <w:pStyle w:val="Normal"/>
              <w:overflowPunct w:val="true"/>
              <w:ind w:left="57" w:hanging="0"/>
              <w:rPr>
                <w:spacing w:val="20"/>
                <w:sz w:val="22"/>
                <w:szCs w:val="22"/>
              </w:rPr>
            </w:pPr>
            <w:r>
              <w:rPr>
                <w:spacing w:val="20"/>
                <w:sz w:val="22"/>
                <w:szCs w:val="22"/>
              </w:rPr>
              <w:t>長者社區保健護理高級文憑</w:t>
            </w:r>
          </w:p>
        </w:tc>
        <w:tc>
          <w:tcPr>
            <w:tcW w:w="851" w:type="dxa"/>
            <w:tcBorders>
              <w:top w:val="single" w:sz="4" w:space="0" w:color="000000"/>
              <w:left w:val="single" w:sz="4" w:space="0" w:color="000000"/>
              <w:bottom w:val="single" w:sz="4" w:space="0" w:color="000000"/>
              <w:right w:val="single" w:sz="4" w:space="0" w:color="000000"/>
            </w:tcBorders>
          </w:tcPr>
          <w:p>
            <w:pPr>
              <w:pStyle w:val="Normal"/>
              <w:overflowPunct w:val="true"/>
              <w:ind w:left="57" w:hanging="0"/>
              <w:rPr>
                <w:spacing w:val="20"/>
                <w:sz w:val="22"/>
                <w:szCs w:val="22"/>
              </w:rPr>
            </w:pPr>
            <w:r>
              <w:rPr>
                <w:spacing w:val="20"/>
                <w:sz w:val="22"/>
                <w:szCs w:val="22"/>
              </w:rPr>
              <w:t>高級文憑</w:t>
            </w:r>
          </w:p>
        </w:tc>
        <w:tc>
          <w:tcPr>
            <w:tcW w:w="850" w:type="dxa"/>
            <w:tcBorders>
              <w:top w:val="single" w:sz="4" w:space="0" w:color="000000"/>
              <w:left w:val="single" w:sz="4" w:space="0" w:color="000000"/>
              <w:bottom w:val="single" w:sz="4" w:space="0" w:color="000000"/>
              <w:right w:val="single" w:sz="4" w:space="0" w:color="000000"/>
            </w:tcBorders>
          </w:tcPr>
          <w:p>
            <w:pPr>
              <w:pStyle w:val="Normal"/>
              <w:overflowPunct w:val="true"/>
              <w:ind w:left="57" w:hanging="0"/>
              <w:rPr>
                <w:spacing w:val="20"/>
                <w:sz w:val="22"/>
                <w:szCs w:val="22"/>
              </w:rPr>
            </w:pPr>
            <w:r>
              <w:rPr>
                <w:spacing w:val="20"/>
                <w:sz w:val="22"/>
                <w:szCs w:val="22"/>
              </w:rPr>
              <w:t>安老服務業</w:t>
            </w:r>
          </w:p>
        </w:tc>
        <w:tc>
          <w:tcPr>
            <w:tcW w:w="851" w:type="dxa"/>
            <w:tcBorders>
              <w:top w:val="single" w:sz="4" w:space="0" w:color="000000"/>
              <w:left w:val="single" w:sz="4" w:space="0" w:color="000000"/>
              <w:bottom w:val="single" w:sz="4" w:space="0" w:color="000000"/>
              <w:right w:val="single" w:sz="4" w:space="0" w:color="000000"/>
            </w:tcBorders>
          </w:tcPr>
          <w:p>
            <w:pPr>
              <w:pStyle w:val="Normal"/>
              <w:overflowPunct w:val="true"/>
              <w:ind w:left="57" w:hanging="0"/>
              <w:rPr>
                <w:spacing w:val="20"/>
                <w:sz w:val="22"/>
                <w:szCs w:val="22"/>
              </w:rPr>
            </w:pPr>
            <w:r>
              <w:rPr>
                <w:spacing w:val="20"/>
                <w:sz w:val="22"/>
                <w:szCs w:val="22"/>
              </w:rPr>
              <w:t>全日制</w:t>
            </w:r>
          </w:p>
        </w:tc>
        <w:tc>
          <w:tcPr>
            <w:tcW w:w="850" w:type="dxa"/>
            <w:tcBorders>
              <w:top w:val="single" w:sz="4" w:space="0" w:color="000000"/>
              <w:left w:val="single" w:sz="4" w:space="0" w:color="000000"/>
              <w:bottom w:val="single" w:sz="4" w:space="0" w:color="000000"/>
              <w:right w:val="single" w:sz="4" w:space="0" w:color="000000"/>
            </w:tcBorders>
          </w:tcPr>
          <w:p>
            <w:pPr>
              <w:pStyle w:val="Normal"/>
              <w:overflowPunct w:val="true"/>
              <w:ind w:left="57" w:hanging="0"/>
              <w:rPr>
                <w:spacing w:val="20"/>
                <w:sz w:val="22"/>
                <w:szCs w:val="22"/>
              </w:rPr>
            </w:pPr>
            <w:r>
              <w:rPr>
                <w:spacing w:val="20"/>
                <w:sz w:val="22"/>
                <w:szCs w:val="22"/>
              </w:rPr>
              <w:t>兩年培訓期</w:t>
            </w:r>
          </w:p>
        </w:tc>
        <w:tc>
          <w:tcPr>
            <w:tcW w:w="709" w:type="dxa"/>
            <w:tcBorders>
              <w:top w:val="single" w:sz="4" w:space="0" w:color="000000"/>
              <w:left w:val="single" w:sz="4" w:space="0" w:color="000000"/>
              <w:bottom w:val="single" w:sz="4" w:space="0" w:color="000000"/>
              <w:right w:val="single" w:sz="4" w:space="0" w:color="000000"/>
            </w:tcBorders>
          </w:tcPr>
          <w:p>
            <w:pPr>
              <w:pStyle w:val="Normal"/>
              <w:overflowPunct w:val="true"/>
              <w:ind w:left="57" w:hanging="0"/>
              <w:jc w:val="center"/>
              <w:rPr>
                <w:spacing w:val="20"/>
                <w:sz w:val="22"/>
                <w:szCs w:val="22"/>
              </w:rPr>
            </w:pPr>
            <w:r>
              <w:rPr>
                <w:spacing w:val="20"/>
                <w:sz w:val="22"/>
                <w:szCs w:val="22"/>
              </w:rPr>
              <w:t>60</w:t>
            </w:r>
          </w:p>
        </w:tc>
        <w:tc>
          <w:tcPr>
            <w:tcW w:w="850" w:type="dxa"/>
            <w:tcBorders>
              <w:top w:val="single" w:sz="4" w:space="0" w:color="000000"/>
              <w:left w:val="single" w:sz="4" w:space="0" w:color="000000"/>
              <w:bottom w:val="single" w:sz="4" w:space="0" w:color="000000"/>
              <w:right w:val="single" w:sz="4" w:space="0" w:color="000000"/>
            </w:tcBorders>
          </w:tcPr>
          <w:p>
            <w:pPr>
              <w:pStyle w:val="Normal"/>
              <w:overflowPunct w:val="true"/>
              <w:ind w:left="57" w:hanging="0"/>
              <w:jc w:val="center"/>
              <w:rPr>
                <w:spacing w:val="20"/>
                <w:sz w:val="22"/>
                <w:szCs w:val="22"/>
              </w:rPr>
            </w:pPr>
            <w:r>
              <w:rPr>
                <w:spacing w:val="20"/>
                <w:sz w:val="22"/>
                <w:szCs w:val="22"/>
              </w:rPr>
              <w:t>53</w:t>
            </w:r>
          </w:p>
        </w:tc>
        <w:tc>
          <w:tcPr>
            <w:tcW w:w="993" w:type="dxa"/>
            <w:tcBorders>
              <w:top w:val="single" w:sz="4" w:space="0" w:color="000000"/>
              <w:left w:val="single" w:sz="4" w:space="0" w:color="000000"/>
              <w:bottom w:val="single" w:sz="4" w:space="0" w:color="000000"/>
              <w:right w:val="single" w:sz="4" w:space="0" w:color="000000"/>
            </w:tcBorders>
          </w:tcPr>
          <w:p>
            <w:pPr>
              <w:pStyle w:val="Normal"/>
              <w:overflowPunct w:val="true"/>
              <w:ind w:left="57" w:hanging="0"/>
              <w:rPr>
                <w:spacing w:val="20"/>
                <w:sz w:val="22"/>
                <w:szCs w:val="22"/>
              </w:rPr>
            </w:pPr>
            <w:r>
              <w:rPr>
                <w:spacing w:val="20"/>
                <w:sz w:val="22"/>
                <w:szCs w:val="22"/>
              </w:rPr>
              <w:t>首屆學生將於</w:t>
            </w:r>
            <w:r>
              <w:rPr>
                <w:spacing w:val="20"/>
                <w:sz w:val="22"/>
                <w:szCs w:val="22"/>
              </w:rPr>
              <w:t>2019</w:t>
            </w:r>
            <w:r>
              <w:rPr>
                <w:spacing w:val="20"/>
                <w:sz w:val="22"/>
                <w:szCs w:val="22"/>
              </w:rPr>
              <w:t>年畢業</w:t>
            </w:r>
          </w:p>
        </w:tc>
        <w:tc>
          <w:tcPr>
            <w:tcW w:w="1700" w:type="dxa"/>
            <w:tcBorders>
              <w:top w:val="single" w:sz="4" w:space="0" w:color="000000"/>
              <w:left w:val="single" w:sz="4" w:space="0" w:color="000000"/>
              <w:bottom w:val="single" w:sz="4" w:space="0" w:color="000000"/>
              <w:right w:val="single" w:sz="4" w:space="0" w:color="000000"/>
            </w:tcBorders>
          </w:tcPr>
          <w:p>
            <w:pPr>
              <w:pStyle w:val="Normal"/>
              <w:overflowPunct w:val="true"/>
              <w:ind w:left="57" w:hanging="0"/>
              <w:jc w:val="center"/>
              <w:rPr>
                <w:spacing w:val="20"/>
                <w:sz w:val="22"/>
                <w:szCs w:val="22"/>
              </w:rPr>
            </w:pPr>
            <w:r>
              <w:rPr>
                <w:spacing w:val="20"/>
                <w:sz w:val="22"/>
                <w:szCs w:val="22"/>
              </w:rPr>
              <w:t>不適用</w:t>
            </w:r>
          </w:p>
        </w:tc>
      </w:tr>
      <w:tr>
        <w:trPr>
          <w:trHeight w:val="1587" w:hRule="atLeast"/>
        </w:trPr>
        <w:tc>
          <w:tcPr>
            <w:tcW w:w="28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hanging="0"/>
              <w:rPr>
                <w:spacing w:val="20"/>
                <w:sz w:val="22"/>
                <w:szCs w:val="22"/>
              </w:rPr>
            </w:pPr>
            <w:r>
              <w:rPr>
                <w:spacing w:val="20"/>
                <w:sz w:val="22"/>
                <w:szCs w:val="22"/>
              </w:rPr>
              <w:t>7.</w:t>
            </w:r>
          </w:p>
        </w:tc>
        <w:tc>
          <w:tcPr>
            <w:tcW w:w="127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hanging="0"/>
              <w:rPr>
                <w:spacing w:val="20"/>
                <w:sz w:val="22"/>
                <w:szCs w:val="22"/>
              </w:rPr>
            </w:pPr>
            <w:r>
              <w:rPr>
                <w:spacing w:val="20"/>
                <w:sz w:val="22"/>
                <w:szCs w:val="22"/>
              </w:rPr>
              <w:t>長者照顧服務高級文憑</w:t>
            </w:r>
          </w:p>
        </w:tc>
        <w:tc>
          <w:tcPr>
            <w:tcW w:w="85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hanging="0"/>
              <w:rPr>
                <w:spacing w:val="20"/>
                <w:sz w:val="22"/>
                <w:szCs w:val="22"/>
              </w:rPr>
            </w:pPr>
            <w:r>
              <w:rPr>
                <w:spacing w:val="20"/>
                <w:sz w:val="22"/>
                <w:szCs w:val="22"/>
              </w:rPr>
              <w:t>高級文憑</w:t>
            </w:r>
            <w:r>
              <w:rPr>
                <w:spacing w:val="20"/>
                <w:sz w:val="22"/>
                <w:szCs w:val="22"/>
                <w:vertAlign w:val="superscript"/>
              </w:rPr>
              <w:t>(7)</w:t>
            </w:r>
          </w:p>
        </w:tc>
        <w:tc>
          <w:tcPr>
            <w:tcW w:w="85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hanging="0"/>
              <w:rPr>
                <w:spacing w:val="20"/>
                <w:sz w:val="22"/>
                <w:szCs w:val="22"/>
              </w:rPr>
            </w:pPr>
            <w:r>
              <w:rPr>
                <w:spacing w:val="20"/>
                <w:sz w:val="22"/>
                <w:szCs w:val="22"/>
              </w:rPr>
              <w:t>安老服務業</w:t>
            </w:r>
          </w:p>
        </w:tc>
        <w:tc>
          <w:tcPr>
            <w:tcW w:w="85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hanging="0"/>
              <w:rPr>
                <w:spacing w:val="20"/>
                <w:sz w:val="22"/>
                <w:szCs w:val="22"/>
              </w:rPr>
            </w:pPr>
            <w:r>
              <w:rPr>
                <w:spacing w:val="20"/>
                <w:sz w:val="22"/>
                <w:szCs w:val="22"/>
              </w:rPr>
              <w:t>全日制</w:t>
            </w:r>
          </w:p>
        </w:tc>
        <w:tc>
          <w:tcPr>
            <w:tcW w:w="85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hanging="0"/>
              <w:rPr>
                <w:spacing w:val="20"/>
                <w:sz w:val="22"/>
                <w:szCs w:val="22"/>
              </w:rPr>
            </w:pPr>
            <w:r>
              <w:rPr>
                <w:spacing w:val="20"/>
                <w:sz w:val="22"/>
                <w:szCs w:val="22"/>
              </w:rPr>
              <w:t>兩年培訓期</w:t>
            </w:r>
          </w:p>
        </w:tc>
        <w:tc>
          <w:tcPr>
            <w:tcW w:w="70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hanging="0"/>
              <w:jc w:val="center"/>
              <w:rPr>
                <w:spacing w:val="20"/>
                <w:sz w:val="22"/>
                <w:szCs w:val="22"/>
              </w:rPr>
            </w:pPr>
            <w:r>
              <w:rPr>
                <w:spacing w:val="20"/>
                <w:sz w:val="22"/>
                <w:szCs w:val="22"/>
              </w:rPr>
              <w:t>180</w:t>
            </w:r>
          </w:p>
        </w:tc>
        <w:tc>
          <w:tcPr>
            <w:tcW w:w="85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hanging="0"/>
              <w:jc w:val="center"/>
              <w:rPr>
                <w:spacing w:val="20"/>
                <w:sz w:val="22"/>
                <w:szCs w:val="22"/>
              </w:rPr>
            </w:pPr>
            <w:r>
              <w:rPr>
                <w:spacing w:val="20"/>
                <w:sz w:val="22"/>
                <w:szCs w:val="22"/>
              </w:rPr>
              <w:t>105</w:t>
            </w:r>
          </w:p>
        </w:tc>
        <w:tc>
          <w:tcPr>
            <w:tcW w:w="99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hanging="0"/>
              <w:rPr>
                <w:spacing w:val="20"/>
                <w:sz w:val="22"/>
                <w:szCs w:val="22"/>
              </w:rPr>
            </w:pPr>
            <w:r>
              <w:rPr>
                <w:spacing w:val="20"/>
                <w:sz w:val="22"/>
                <w:szCs w:val="22"/>
              </w:rPr>
              <w:t>首屆學生將於</w:t>
            </w:r>
            <w:r>
              <w:rPr>
                <w:spacing w:val="20"/>
                <w:sz w:val="22"/>
                <w:szCs w:val="22"/>
              </w:rPr>
              <w:t>2019</w:t>
            </w:r>
            <w:r>
              <w:rPr>
                <w:spacing w:val="20"/>
                <w:sz w:val="22"/>
                <w:szCs w:val="22"/>
              </w:rPr>
              <w:t>年畢業</w:t>
            </w:r>
          </w:p>
        </w:tc>
        <w:tc>
          <w:tcPr>
            <w:tcW w:w="170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hanging="0"/>
              <w:jc w:val="center"/>
              <w:rPr>
                <w:spacing w:val="20"/>
                <w:sz w:val="22"/>
                <w:szCs w:val="22"/>
              </w:rPr>
            </w:pPr>
            <w:r>
              <w:rPr>
                <w:spacing w:val="20"/>
                <w:sz w:val="22"/>
                <w:szCs w:val="22"/>
              </w:rPr>
              <w:t>不適用</w:t>
            </w:r>
          </w:p>
        </w:tc>
      </w:tr>
      <w:tr>
        <w:trPr>
          <w:trHeight w:val="1587" w:hRule="atLeast"/>
        </w:trPr>
        <w:tc>
          <w:tcPr>
            <w:tcW w:w="28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hanging="0"/>
              <w:rPr>
                <w:spacing w:val="20"/>
                <w:sz w:val="22"/>
                <w:szCs w:val="22"/>
              </w:rPr>
            </w:pPr>
            <w:r>
              <w:rPr>
                <w:spacing w:val="20"/>
                <w:sz w:val="22"/>
                <w:szCs w:val="22"/>
              </w:rPr>
              <w:t>8.</w:t>
            </w:r>
          </w:p>
        </w:tc>
        <w:tc>
          <w:tcPr>
            <w:tcW w:w="127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hanging="0"/>
              <w:rPr>
                <w:spacing w:val="20"/>
                <w:sz w:val="22"/>
                <w:szCs w:val="22"/>
              </w:rPr>
            </w:pPr>
            <w:r>
              <w:rPr>
                <w:spacing w:val="20"/>
                <w:sz w:val="22"/>
                <w:szCs w:val="22"/>
              </w:rPr>
              <w:t>基礎課程文憑</w:t>
            </w:r>
            <w:r>
              <w:rPr>
                <w:spacing w:val="20"/>
                <w:sz w:val="22"/>
                <w:szCs w:val="22"/>
              </w:rPr>
              <w:t>(</w:t>
            </w:r>
            <w:r>
              <w:rPr>
                <w:spacing w:val="20"/>
                <w:sz w:val="22"/>
                <w:szCs w:val="22"/>
              </w:rPr>
              <w:t>安老及康復服務</w:t>
            </w:r>
            <w:r>
              <w:rPr>
                <w:spacing w:val="20"/>
                <w:sz w:val="22"/>
                <w:szCs w:val="22"/>
              </w:rPr>
              <w:t>)</w:t>
            </w:r>
          </w:p>
        </w:tc>
        <w:tc>
          <w:tcPr>
            <w:tcW w:w="85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hanging="0"/>
              <w:rPr>
                <w:spacing w:val="20"/>
                <w:sz w:val="22"/>
                <w:szCs w:val="22"/>
              </w:rPr>
            </w:pPr>
            <w:r>
              <w:rPr>
                <w:spacing w:val="20"/>
                <w:sz w:val="22"/>
                <w:szCs w:val="22"/>
              </w:rPr>
              <w:t>基礎課程文憑</w:t>
            </w:r>
          </w:p>
        </w:tc>
        <w:tc>
          <w:tcPr>
            <w:tcW w:w="85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hanging="0"/>
              <w:rPr>
                <w:spacing w:val="20"/>
                <w:sz w:val="22"/>
                <w:szCs w:val="22"/>
              </w:rPr>
            </w:pPr>
            <w:r>
              <w:rPr>
                <w:spacing w:val="20"/>
                <w:sz w:val="22"/>
                <w:szCs w:val="22"/>
              </w:rPr>
              <w:t>安老服務業</w:t>
            </w:r>
          </w:p>
        </w:tc>
        <w:tc>
          <w:tcPr>
            <w:tcW w:w="85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hanging="0"/>
              <w:rPr>
                <w:spacing w:val="20"/>
                <w:sz w:val="22"/>
                <w:szCs w:val="22"/>
              </w:rPr>
            </w:pPr>
            <w:r>
              <w:rPr>
                <w:spacing w:val="20"/>
                <w:sz w:val="22"/>
                <w:szCs w:val="22"/>
              </w:rPr>
              <w:t>兼讀制</w:t>
            </w:r>
          </w:p>
        </w:tc>
        <w:tc>
          <w:tcPr>
            <w:tcW w:w="85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hanging="0"/>
              <w:rPr>
                <w:spacing w:val="20"/>
                <w:sz w:val="22"/>
                <w:szCs w:val="22"/>
              </w:rPr>
            </w:pPr>
            <w:r>
              <w:rPr>
                <w:spacing w:val="20"/>
                <w:sz w:val="22"/>
                <w:szCs w:val="22"/>
              </w:rPr>
              <w:t>兩年培訓期</w:t>
            </w:r>
          </w:p>
        </w:tc>
        <w:tc>
          <w:tcPr>
            <w:tcW w:w="70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hanging="0"/>
              <w:jc w:val="center"/>
              <w:rPr>
                <w:spacing w:val="20"/>
                <w:sz w:val="22"/>
                <w:szCs w:val="22"/>
              </w:rPr>
            </w:pPr>
            <w:r>
              <w:rPr>
                <w:spacing w:val="20"/>
                <w:sz w:val="22"/>
                <w:szCs w:val="22"/>
              </w:rPr>
              <w:t>100</w:t>
            </w:r>
          </w:p>
        </w:tc>
        <w:tc>
          <w:tcPr>
            <w:tcW w:w="85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hanging="0"/>
              <w:jc w:val="center"/>
              <w:rPr>
                <w:spacing w:val="20"/>
                <w:sz w:val="22"/>
                <w:szCs w:val="22"/>
              </w:rPr>
            </w:pPr>
            <w:r>
              <w:rPr>
                <w:spacing w:val="20"/>
                <w:sz w:val="22"/>
                <w:szCs w:val="22"/>
              </w:rPr>
              <w:t>106</w:t>
            </w:r>
          </w:p>
        </w:tc>
        <w:tc>
          <w:tcPr>
            <w:tcW w:w="99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hanging="0"/>
              <w:rPr>
                <w:spacing w:val="20"/>
                <w:sz w:val="22"/>
                <w:szCs w:val="22"/>
              </w:rPr>
            </w:pPr>
            <w:r>
              <w:rPr>
                <w:spacing w:val="20"/>
                <w:sz w:val="22"/>
                <w:szCs w:val="22"/>
              </w:rPr>
              <w:t>首屆學生將於</w:t>
            </w:r>
            <w:r>
              <w:rPr>
                <w:spacing w:val="20"/>
                <w:sz w:val="22"/>
                <w:szCs w:val="22"/>
              </w:rPr>
              <w:t>2019</w:t>
            </w:r>
            <w:r>
              <w:rPr>
                <w:spacing w:val="20"/>
                <w:sz w:val="22"/>
                <w:szCs w:val="22"/>
              </w:rPr>
              <w:t>年畢業</w:t>
            </w:r>
          </w:p>
        </w:tc>
        <w:tc>
          <w:tcPr>
            <w:tcW w:w="170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hanging="0"/>
              <w:jc w:val="center"/>
              <w:rPr>
                <w:spacing w:val="20"/>
                <w:sz w:val="22"/>
                <w:szCs w:val="22"/>
              </w:rPr>
            </w:pPr>
            <w:r>
              <w:rPr>
                <w:spacing w:val="20"/>
                <w:sz w:val="22"/>
                <w:szCs w:val="22"/>
              </w:rPr>
              <w:t>不適用</w:t>
            </w:r>
          </w:p>
        </w:tc>
      </w:tr>
      <w:tr>
        <w:trPr>
          <w:trHeight w:val="1587" w:hRule="atLeast"/>
        </w:trPr>
        <w:tc>
          <w:tcPr>
            <w:tcW w:w="28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hanging="0"/>
              <w:rPr>
                <w:spacing w:val="20"/>
                <w:sz w:val="22"/>
                <w:szCs w:val="22"/>
              </w:rPr>
            </w:pPr>
            <w:r>
              <w:rPr>
                <w:spacing w:val="20"/>
                <w:sz w:val="22"/>
                <w:szCs w:val="22"/>
              </w:rPr>
              <w:t>9.</w:t>
            </w:r>
          </w:p>
        </w:tc>
        <w:tc>
          <w:tcPr>
            <w:tcW w:w="127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hanging="0"/>
              <w:rPr>
                <w:spacing w:val="20"/>
                <w:sz w:val="22"/>
                <w:szCs w:val="22"/>
              </w:rPr>
            </w:pPr>
            <w:r>
              <w:rPr>
                <w:spacing w:val="20"/>
                <w:sz w:val="22"/>
                <w:szCs w:val="22"/>
              </w:rPr>
              <w:t>綜合社會及健康服務高級文憑</w:t>
            </w:r>
          </w:p>
        </w:tc>
        <w:tc>
          <w:tcPr>
            <w:tcW w:w="85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hanging="0"/>
              <w:rPr>
                <w:spacing w:val="20"/>
                <w:sz w:val="22"/>
                <w:szCs w:val="22"/>
              </w:rPr>
            </w:pPr>
            <w:r>
              <w:rPr>
                <w:spacing w:val="20"/>
                <w:sz w:val="22"/>
                <w:szCs w:val="22"/>
              </w:rPr>
              <w:t>高級文憑</w:t>
            </w:r>
            <w:r>
              <w:rPr>
                <w:spacing w:val="20"/>
                <w:sz w:val="22"/>
                <w:szCs w:val="22"/>
                <w:vertAlign w:val="superscript"/>
              </w:rPr>
              <w:t>(7)</w:t>
            </w:r>
          </w:p>
        </w:tc>
        <w:tc>
          <w:tcPr>
            <w:tcW w:w="85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hanging="0"/>
              <w:rPr>
                <w:spacing w:val="20"/>
                <w:sz w:val="22"/>
                <w:szCs w:val="22"/>
              </w:rPr>
            </w:pPr>
            <w:r>
              <w:rPr>
                <w:spacing w:val="20"/>
                <w:sz w:val="22"/>
                <w:szCs w:val="22"/>
              </w:rPr>
              <w:t>安老服務業</w:t>
            </w:r>
          </w:p>
        </w:tc>
        <w:tc>
          <w:tcPr>
            <w:tcW w:w="85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hanging="0"/>
              <w:rPr>
                <w:spacing w:val="20"/>
                <w:sz w:val="22"/>
                <w:szCs w:val="22"/>
              </w:rPr>
            </w:pPr>
            <w:r>
              <w:rPr>
                <w:spacing w:val="20"/>
                <w:sz w:val="22"/>
                <w:szCs w:val="22"/>
              </w:rPr>
              <w:t>全日制</w:t>
            </w:r>
          </w:p>
        </w:tc>
        <w:tc>
          <w:tcPr>
            <w:tcW w:w="85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hanging="0"/>
              <w:rPr>
                <w:spacing w:val="20"/>
                <w:sz w:val="22"/>
                <w:szCs w:val="22"/>
              </w:rPr>
            </w:pPr>
            <w:r>
              <w:rPr>
                <w:spacing w:val="20"/>
                <w:sz w:val="22"/>
                <w:szCs w:val="22"/>
              </w:rPr>
              <w:t>兩年培訓期</w:t>
            </w:r>
          </w:p>
        </w:tc>
        <w:tc>
          <w:tcPr>
            <w:tcW w:w="70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hanging="0"/>
              <w:jc w:val="center"/>
              <w:rPr>
                <w:spacing w:val="20"/>
                <w:sz w:val="22"/>
                <w:szCs w:val="22"/>
              </w:rPr>
            </w:pPr>
            <w:r>
              <w:rPr>
                <w:spacing w:val="20"/>
                <w:sz w:val="22"/>
                <w:szCs w:val="22"/>
              </w:rPr>
              <w:t>120</w:t>
            </w:r>
          </w:p>
        </w:tc>
        <w:tc>
          <w:tcPr>
            <w:tcW w:w="85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hanging="0"/>
              <w:jc w:val="center"/>
              <w:rPr>
                <w:spacing w:val="20"/>
                <w:sz w:val="22"/>
                <w:szCs w:val="22"/>
              </w:rPr>
            </w:pPr>
            <w:r>
              <w:rPr>
                <w:spacing w:val="20"/>
                <w:sz w:val="22"/>
                <w:szCs w:val="22"/>
              </w:rPr>
              <w:t>69</w:t>
            </w:r>
          </w:p>
        </w:tc>
        <w:tc>
          <w:tcPr>
            <w:tcW w:w="99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hanging="0"/>
              <w:rPr>
                <w:spacing w:val="20"/>
                <w:sz w:val="22"/>
                <w:szCs w:val="22"/>
              </w:rPr>
            </w:pPr>
            <w:r>
              <w:rPr>
                <w:spacing w:val="20"/>
                <w:sz w:val="22"/>
                <w:szCs w:val="22"/>
              </w:rPr>
              <w:t>首屆學生將於</w:t>
            </w:r>
            <w:r>
              <w:rPr>
                <w:spacing w:val="20"/>
                <w:sz w:val="22"/>
                <w:szCs w:val="22"/>
              </w:rPr>
              <w:t>2020</w:t>
            </w:r>
            <w:r>
              <w:rPr>
                <w:spacing w:val="20"/>
                <w:sz w:val="22"/>
                <w:szCs w:val="22"/>
              </w:rPr>
              <w:t>年畢業</w:t>
            </w:r>
          </w:p>
        </w:tc>
        <w:tc>
          <w:tcPr>
            <w:tcW w:w="170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hanging="0"/>
              <w:jc w:val="center"/>
              <w:rPr>
                <w:spacing w:val="20"/>
                <w:sz w:val="22"/>
                <w:szCs w:val="22"/>
              </w:rPr>
            </w:pPr>
            <w:r>
              <w:rPr>
                <w:spacing w:val="20"/>
                <w:sz w:val="22"/>
                <w:szCs w:val="22"/>
              </w:rPr>
              <w:t>不適用</w:t>
            </w:r>
          </w:p>
        </w:tc>
      </w:tr>
    </w:tbl>
    <w:p>
      <w:pPr>
        <w:pStyle w:val="F21"/>
        <w:spacing w:lineRule="auto" w:line="240"/>
        <w:rPr>
          <w:sz w:val="18"/>
          <w:szCs w:val="18"/>
        </w:rPr>
      </w:pPr>
      <w:r>
        <w:rPr>
          <w:sz w:val="18"/>
          <w:szCs w:val="18"/>
        </w:rPr>
      </w:r>
    </w:p>
    <w:p>
      <w:pPr>
        <w:pStyle w:val="F21"/>
        <w:spacing w:lineRule="auto" w:line="240"/>
        <w:rPr>
          <w:sz w:val="22"/>
        </w:rPr>
      </w:pPr>
      <w:r>
        <w:rPr>
          <w:sz w:val="22"/>
        </w:rPr>
        <w:t>註：</w:t>
      </w:r>
    </w:p>
    <w:p>
      <w:pPr>
        <w:pStyle w:val="F21"/>
        <w:spacing w:lineRule="auto" w:line="240"/>
        <w:rPr>
          <w:sz w:val="22"/>
        </w:rPr>
      </w:pPr>
      <w:r>
        <w:rPr>
          <w:sz w:val="22"/>
        </w:rPr>
      </w:r>
    </w:p>
    <w:p>
      <w:pPr>
        <w:pStyle w:val="F21"/>
        <w:spacing w:lineRule="auto" w:line="240"/>
        <w:ind w:left="567" w:hanging="567"/>
        <w:rPr>
          <w:sz w:val="22"/>
        </w:rPr>
      </w:pPr>
      <w:r>
        <w:rPr>
          <w:sz w:val="22"/>
        </w:rPr>
        <w:t>(6)</w:t>
        <w:tab/>
      </w:r>
      <w:r>
        <w:rPr>
          <w:sz w:val="22"/>
        </w:rPr>
        <w:t>包含</w:t>
      </w:r>
      <w:r>
        <w:rPr>
          <w:sz w:val="22"/>
        </w:rPr>
        <w:t>2017-2018</w:t>
      </w:r>
      <w:r>
        <w:rPr>
          <w:sz w:val="22"/>
        </w:rPr>
        <w:t>學年及</w:t>
      </w:r>
      <w:r>
        <w:rPr>
          <w:sz w:val="22"/>
        </w:rPr>
        <w:t>2018-2019</w:t>
      </w:r>
      <w:r>
        <w:rPr>
          <w:sz w:val="22"/>
        </w:rPr>
        <w:t>學年課程。</w:t>
      </w:r>
    </w:p>
    <w:p>
      <w:pPr>
        <w:pStyle w:val="F21"/>
        <w:spacing w:lineRule="auto" w:line="240"/>
        <w:ind w:left="567" w:hanging="567"/>
        <w:rPr>
          <w:sz w:val="22"/>
        </w:rPr>
      </w:pPr>
      <w:r>
        <w:rPr>
          <w:sz w:val="22"/>
        </w:rPr>
      </w:r>
    </w:p>
    <w:p>
      <w:pPr>
        <w:pStyle w:val="F21"/>
        <w:spacing w:lineRule="auto" w:line="240"/>
        <w:ind w:left="567" w:hanging="567"/>
        <w:rPr>
          <w:sz w:val="22"/>
        </w:rPr>
      </w:pPr>
      <w:r>
        <w:rPr>
          <w:sz w:val="22"/>
        </w:rPr>
        <w:t>(7)</w:t>
        <w:tab/>
      </w:r>
      <w:r>
        <w:rPr>
          <w:sz w:val="22"/>
        </w:rPr>
        <w:t>包含社會福利署認可的保健員培訓內容。</w:t>
      </w:r>
    </w:p>
    <w:p>
      <w:pPr>
        <w:pStyle w:val="F21"/>
        <w:spacing w:lineRule="auto" w:line="240"/>
        <w:ind w:left="567" w:hanging="567"/>
        <w:rPr>
          <w:sz w:val="22"/>
        </w:rPr>
      </w:pPr>
      <w:r>
        <w:rPr>
          <w:sz w:val="22"/>
        </w:rPr>
      </w:r>
    </w:p>
    <w:p>
      <w:pPr>
        <w:pStyle w:val="F21"/>
        <w:spacing w:lineRule="auto" w:line="240"/>
        <w:ind w:left="567" w:hanging="567"/>
        <w:rPr>
          <w:sz w:val="22"/>
        </w:rPr>
      </w:pPr>
      <w:r>
        <w:rPr>
          <w:sz w:val="22"/>
        </w:rPr>
        <w:t>(8)</w:t>
        <w:tab/>
      </w:r>
      <w:r>
        <w:rPr>
          <w:sz w:val="22"/>
        </w:rPr>
        <w:t>此課程由</w:t>
      </w:r>
      <w:r>
        <w:rPr>
          <w:sz w:val="22"/>
        </w:rPr>
        <w:t>2018-2019</w:t>
      </w:r>
      <w:r>
        <w:rPr>
          <w:sz w:val="22"/>
        </w:rPr>
        <w:t>學年起包含社會福利署認可的保健員培訓內容。</w:t>
      </w:r>
    </w:p>
    <w:p>
      <w:pPr>
        <w:pStyle w:val="F21"/>
        <w:overflowPunct w:val="true"/>
        <w:spacing w:lineRule="atLeast" w:line="350"/>
        <w:rPr>
          <w:rFonts w:cs="Times New Roman"/>
        </w:rPr>
      </w:pPr>
      <w:r>
        <w:rPr>
          <w:rFonts w:cs="Times New Roman"/>
        </w:rPr>
      </w:r>
    </w:p>
    <w:p>
      <w:pPr>
        <w:pStyle w:val="F21"/>
        <w:overflowPunct w:val="true"/>
        <w:spacing w:lineRule="atLeast" w:line="350"/>
        <w:rPr>
          <w:rFonts w:cs="Times New Roman"/>
        </w:rPr>
      </w:pPr>
      <w:r>
        <w:rPr>
          <w:rFonts w:cs="Times New Roman"/>
        </w:rPr>
      </w:r>
    </w:p>
    <w:p>
      <w:pPr>
        <w:pStyle w:val="F21"/>
        <w:overflowPunct w:val="true"/>
        <w:spacing w:lineRule="atLeast" w:line="350"/>
        <w:rPr>
          <w:rFonts w:eastAsia="華康中黑體" w:cs="Times New Roman"/>
          <w:b/>
          <w:b/>
        </w:rPr>
      </w:pPr>
      <w:bookmarkStart w:id="31" w:name="wrq09"/>
      <w:r>
        <w:rPr>
          <w:rFonts w:cs="Times New Roman" w:eastAsia="華康中黑體"/>
          <w:b/>
        </w:rPr>
        <w:t>違例停泊</w:t>
      </w:r>
    </w:p>
    <w:p>
      <w:pPr>
        <w:pStyle w:val="Normal"/>
        <w:overflowPunct w:val="true"/>
        <w:spacing w:lineRule="atLeast" w:line="350"/>
        <w:rPr>
          <w:b/>
          <w:b/>
        </w:rPr>
      </w:pPr>
      <w:bookmarkStart w:id="32" w:name="wrq09"/>
      <w:r>
        <w:rPr>
          <w:b/>
        </w:rPr>
        <w:t>Illegal parking</w:t>
      </w:r>
      <w:bookmarkEnd w:id="32"/>
    </w:p>
    <w:p>
      <w:pPr>
        <w:pStyle w:val="F21"/>
        <w:overflowPunct w:val="true"/>
        <w:spacing w:lineRule="atLeast" w:line="350"/>
        <w:rPr>
          <w:rFonts w:cs="Times New Roman"/>
        </w:rPr>
      </w:pPr>
      <w:r>
        <w:rPr>
          <w:rFonts w:cs="Times New Roman"/>
        </w:rPr>
      </w:r>
    </w:p>
    <w:p>
      <w:pPr>
        <w:pStyle w:val="F21"/>
        <w:spacing w:lineRule="atLeast" w:line="350"/>
        <w:rPr>
          <w:szCs w:val="27"/>
        </w:rPr>
      </w:pPr>
      <w:r>
        <w:rPr>
          <w:rFonts w:eastAsia="華康中黑體" w:cs="Times New Roman"/>
          <w:b/>
          <w:szCs w:val="27"/>
        </w:rPr>
        <w:t>9.</w:t>
        <w:tab/>
      </w:r>
      <w:r>
        <w:rPr>
          <w:rFonts w:cs="Times New Roman" w:eastAsia="華康中黑體"/>
          <w:b/>
          <w:szCs w:val="27"/>
        </w:rPr>
        <w:t>田北辰議員</w:t>
      </w:r>
      <w:r>
        <w:rPr>
          <w:szCs w:val="27"/>
        </w:rPr>
        <w:t>：</w:t>
      </w:r>
      <w:r>
        <w:rPr>
          <w:i/>
          <w:szCs w:val="27"/>
        </w:rPr>
        <w:t>主席，路旁停車灣的作用是供車輛上落客貨，但據悉車輛在停車灣違例停泊</w:t>
      </w:r>
      <w:r>
        <w:rPr>
          <w:i/>
          <w:szCs w:val="27"/>
        </w:rPr>
        <w:t>(</w:t>
      </w:r>
      <w:r>
        <w:rPr>
          <w:i/>
          <w:szCs w:val="27"/>
        </w:rPr>
        <w:t>包括停車等候</w:t>
      </w:r>
      <w:r>
        <w:rPr>
          <w:i/>
          <w:szCs w:val="27"/>
        </w:rPr>
        <w:t>)</w:t>
      </w:r>
      <w:r>
        <w:rPr>
          <w:i/>
          <w:szCs w:val="27"/>
        </w:rPr>
        <w:t>的問題嚴重，例子包括荃灣美環街的停車灣，而該處的違例停泊情況以周末及公眾假期期間特別嚴重。部分司機因停車灣正被人佔用而在劃有雙黃線的行車線上違例上落客貨，造成交通阻塞。另一方面，發展局起動九龍東辦事處正進行一項違例泊車監察系統的概念驗證測試，而警方將會進行另一項試驗計劃，探討以影像分析技術作交通違例事項執法之用。就此，政府可否告知本會有否研究，就司機在和不在車上的情況分別而言，警方可否單靠錄影片段作為證據對違例停泊車輛的司機或車主作出檢控；如有研究而結果為可以，詳情為何；如研究結果為不可以，政府會否考慮修訂法例，以賦權警方以此方式提出檢控？</w:t>
      </w:r>
    </w:p>
    <w:p>
      <w:pPr>
        <w:pStyle w:val="F21"/>
        <w:spacing w:lineRule="atLeast" w:line="370"/>
        <w:rPr>
          <w:szCs w:val="27"/>
        </w:rPr>
      </w:pPr>
      <w:r>
        <w:rPr>
          <w:szCs w:val="27"/>
        </w:rPr>
      </w:r>
    </w:p>
    <w:p>
      <w:pPr>
        <w:pStyle w:val="F21"/>
        <w:spacing w:lineRule="atLeast" w:line="370"/>
        <w:rPr>
          <w:szCs w:val="27"/>
        </w:rPr>
      </w:pPr>
      <w:r>
        <w:rPr>
          <w:szCs w:val="27"/>
        </w:rPr>
      </w:r>
    </w:p>
    <w:p>
      <w:pPr>
        <w:pStyle w:val="F21"/>
        <w:spacing w:lineRule="atLeast" w:line="370"/>
        <w:rPr>
          <w:szCs w:val="27"/>
        </w:rPr>
      </w:pPr>
      <w:r>
        <w:rPr>
          <w:rFonts w:ascii="華康中黑體" w:hAnsi="華康中黑體" w:eastAsia="華康中黑體"/>
          <w:b/>
          <w:szCs w:val="27"/>
        </w:rPr>
        <w:t>運輸及房屋局局長</w:t>
      </w:r>
      <w:r>
        <w:rPr>
          <w:szCs w:val="27"/>
        </w:rPr>
        <w:t>：主席，就田北辰議員的質詢，現答覆如下。</w:t>
      </w:r>
    </w:p>
    <w:p>
      <w:pPr>
        <w:pStyle w:val="F21"/>
        <w:spacing w:lineRule="atLeast" w:line="370"/>
        <w:rPr>
          <w:szCs w:val="27"/>
        </w:rPr>
      </w:pPr>
      <w:r>
        <w:rPr>
          <w:szCs w:val="27"/>
        </w:rPr>
      </w:r>
    </w:p>
    <w:p>
      <w:pPr>
        <w:pStyle w:val="F21"/>
        <w:spacing w:lineRule="atLeast" w:line="370"/>
        <w:rPr>
          <w:szCs w:val="27"/>
        </w:rPr>
      </w:pPr>
      <w:r>
        <w:rPr>
          <w:szCs w:val="27"/>
        </w:rPr>
        <w:tab/>
      </w:r>
      <w:r>
        <w:rPr>
          <w:szCs w:val="27"/>
        </w:rPr>
        <w:t>政府十分關注違例泊車及違例停車等候的情況。就此，香港警務處一直密切留意各區的交通情況，對造成嚴重阻塞交通及危害安全的車輛，採取嚴厲執法行動。</w:t>
      </w:r>
    </w:p>
    <w:p>
      <w:pPr>
        <w:pStyle w:val="F21"/>
        <w:spacing w:lineRule="atLeast" w:line="370"/>
        <w:rPr>
          <w:szCs w:val="27"/>
        </w:rPr>
      </w:pPr>
      <w:r>
        <w:rPr>
          <w:szCs w:val="27"/>
        </w:rPr>
      </w:r>
    </w:p>
    <w:p>
      <w:pPr>
        <w:pStyle w:val="F21"/>
        <w:spacing w:lineRule="atLeast" w:line="370"/>
        <w:rPr>
          <w:szCs w:val="27"/>
        </w:rPr>
      </w:pPr>
      <w:r>
        <w:rPr>
          <w:szCs w:val="27"/>
        </w:rPr>
        <w:tab/>
      </w:r>
      <w:r>
        <w:rPr>
          <w:szCs w:val="27"/>
        </w:rPr>
        <w:t>除了加強執法外，政府正積極研究應用新科技協助前線人員就交通違例事項執法，以提升執法效率及加強阻嚇力。發展局起動九龍東辦事處自</w:t>
      </w:r>
      <w:r>
        <w:rPr>
          <w:szCs w:val="27"/>
        </w:rPr>
        <w:t>2018</w:t>
      </w:r>
      <w:r>
        <w:rPr>
          <w:szCs w:val="27"/>
        </w:rPr>
        <w:t>年開始推展兩項利用影像分析技術監察不當使用路旁上落貨區及違例泊車的概念驗證測試。概念驗證測試的內容包括實地測試利用攝錄機監察，以及研究如何利用影像分析技術檢控違例泊車。警方會從交通執法的角度提供意見及協助。此外，警方正與</w:t>
      </w:r>
      <w:r>
        <w:rPr>
          <w:rFonts w:cs="Times New Roman"/>
          <w:szCs w:val="27"/>
        </w:rPr>
        <w:t>"</w:t>
      </w:r>
      <w:r>
        <w:rPr>
          <w:szCs w:val="27"/>
        </w:rPr>
        <w:t>物流及供應鏈多元技術研發中心</w:t>
      </w:r>
      <w:r>
        <w:rPr>
          <w:rFonts w:cs="Times New Roman"/>
          <w:szCs w:val="27"/>
        </w:rPr>
        <w:t>"</w:t>
      </w:r>
      <w:r>
        <w:rPr>
          <w:szCs w:val="27"/>
        </w:rPr>
        <w:t>合作，籌劃進行另一項試驗計劃，選取合適地點及高度的燈柱設置攝錄機，以影像分析技術用作實際執法，針對部分較為普遍會導致交通阻塞的罪行，包括車輛在巴士站違例停車及在不准停車範圍違例停車等。視乎籌備工作的進展，預計試驗計劃可於</w:t>
      </w:r>
      <w:r>
        <w:rPr>
          <w:szCs w:val="27"/>
        </w:rPr>
        <w:t>2019</w:t>
      </w:r>
      <w:r>
        <w:rPr>
          <w:szCs w:val="27"/>
        </w:rPr>
        <w:t>年內推行。因應上述測試結果，政府會在顧及技術可行性和成本效益等因素後，積極研究進一步應用相關技術協助警方打擊違例泊車及其他交通罪行。</w:t>
      </w:r>
    </w:p>
    <w:p>
      <w:pPr>
        <w:pStyle w:val="F21"/>
        <w:spacing w:lineRule="atLeast" w:line="370"/>
        <w:rPr>
          <w:szCs w:val="27"/>
        </w:rPr>
      </w:pPr>
      <w:r>
        <w:rPr>
          <w:szCs w:val="27"/>
        </w:rPr>
      </w:r>
    </w:p>
    <w:p>
      <w:pPr>
        <w:pStyle w:val="F21"/>
        <w:spacing w:lineRule="atLeast" w:line="370"/>
        <w:rPr>
          <w:szCs w:val="27"/>
        </w:rPr>
      </w:pPr>
      <w:r>
        <w:rPr>
          <w:szCs w:val="27"/>
        </w:rPr>
        <w:tab/>
      </w:r>
      <w:r>
        <w:rPr>
          <w:szCs w:val="27"/>
        </w:rPr>
        <w:t>根據法例，假如車輛違例停泊，無論司機是否在車上，均屬違法。至於利用錄影片段作為證據對違例停泊車輛作出檢控，警方在</w:t>
      </w:r>
      <w:r>
        <w:rPr>
          <w:szCs w:val="27"/>
        </w:rPr>
        <w:t>2018</w:t>
      </w:r>
      <w:r>
        <w:rPr>
          <w:szCs w:val="27"/>
        </w:rPr>
        <w:t>年進行了一項全港性試驗計劃，由警務人員使用手持攝錄機記錄《定額罰款</w:t>
      </w:r>
      <w:r>
        <w:rPr>
          <w:szCs w:val="27"/>
        </w:rPr>
        <w:t>(</w:t>
      </w:r>
      <w:r>
        <w:rPr>
          <w:szCs w:val="27"/>
        </w:rPr>
        <w:t>刑事訴訟</w:t>
      </w:r>
      <w:r>
        <w:rPr>
          <w:szCs w:val="27"/>
        </w:rPr>
        <w:t>)</w:t>
      </w:r>
      <w:r>
        <w:rPr>
          <w:szCs w:val="27"/>
        </w:rPr>
        <w:t>條例》</w:t>
      </w:r>
      <w:r>
        <w:rPr>
          <w:szCs w:val="27"/>
        </w:rPr>
        <w:t>(</w:t>
      </w:r>
      <w:r>
        <w:rPr>
          <w:szCs w:val="27"/>
        </w:rPr>
        <w:t>第</w:t>
      </w:r>
      <w:r>
        <w:rPr>
          <w:szCs w:val="27"/>
        </w:rPr>
        <w:t>240</w:t>
      </w:r>
      <w:r>
        <w:rPr>
          <w:szCs w:val="27"/>
        </w:rPr>
        <w:t>章</w:t>
      </w:r>
      <w:r>
        <w:rPr>
          <w:szCs w:val="27"/>
        </w:rPr>
        <w:t>)</w:t>
      </w:r>
      <w:r>
        <w:rPr>
          <w:szCs w:val="27"/>
        </w:rPr>
        <w:t>下的交通罪行，包括車輛在巴士站違例停車及在限制區內讓乘客上落或裝卸貨物等，並隨後以郵寄方式送遞定額罰款通知書。警方現正檢討試驗計劃的成效。另一方面，由於《定額罰款</w:t>
      </w:r>
      <w:r>
        <w:rPr>
          <w:szCs w:val="27"/>
        </w:rPr>
        <w:t>(</w:t>
      </w:r>
      <w:r>
        <w:rPr>
          <w:szCs w:val="27"/>
        </w:rPr>
        <w:t>交通違例事項</w:t>
      </w:r>
      <w:r>
        <w:rPr>
          <w:szCs w:val="27"/>
        </w:rPr>
        <w:t>)</w:t>
      </w:r>
      <w:r>
        <w:rPr>
          <w:szCs w:val="27"/>
        </w:rPr>
        <w:t>條例》</w:t>
      </w:r>
      <w:r>
        <w:rPr>
          <w:szCs w:val="27"/>
        </w:rPr>
        <w:t>(</w:t>
      </w:r>
      <w:r>
        <w:rPr>
          <w:szCs w:val="27"/>
        </w:rPr>
        <w:t>第</w:t>
      </w:r>
      <w:r>
        <w:rPr>
          <w:szCs w:val="27"/>
        </w:rPr>
        <w:t>237</w:t>
      </w:r>
      <w:r>
        <w:rPr>
          <w:szCs w:val="27"/>
        </w:rPr>
        <w:t>章</w:t>
      </w:r>
      <w:r>
        <w:rPr>
          <w:szCs w:val="27"/>
        </w:rPr>
        <w:t>)</w:t>
      </w:r>
      <w:r>
        <w:rPr>
          <w:szCs w:val="27"/>
        </w:rPr>
        <w:t>的條文規定警方只可把定額罰款通知書固定在車輛上，或親自送交掌管車輛的人士，而並不容許以郵寄方式送遞，因此上述試驗計劃並未能包括第‍</w:t>
      </w:r>
      <w:r>
        <w:rPr>
          <w:szCs w:val="27"/>
        </w:rPr>
        <w:t>237</w:t>
      </w:r>
      <w:r>
        <w:rPr>
          <w:szCs w:val="27"/>
        </w:rPr>
        <w:t>章下的違泊罪行。政府現正研究修改法例，增加送遞定額罰款通知書的途徑</w:t>
      </w:r>
      <w:r>
        <w:rPr>
          <w:szCs w:val="27"/>
        </w:rPr>
        <w:t>(</w:t>
      </w:r>
      <w:r>
        <w:rPr>
          <w:szCs w:val="27"/>
        </w:rPr>
        <w:t>包括以電子方式送遞</w:t>
      </w:r>
      <w:r>
        <w:rPr>
          <w:szCs w:val="27"/>
        </w:rPr>
        <w:t>)</w:t>
      </w:r>
      <w:r>
        <w:rPr>
          <w:szCs w:val="27"/>
        </w:rPr>
        <w:t>，並計劃在本年稍後時間諮詢立法會交通事務委員會。</w:t>
      </w:r>
    </w:p>
    <w:p>
      <w:pPr>
        <w:pStyle w:val="Normal"/>
        <w:widowControl/>
        <w:tabs>
          <w:tab w:val="clear" w:pos="720"/>
        </w:tabs>
        <w:snapToGrid w:val="true"/>
        <w:spacing w:lineRule="auto" w:line="276" w:before="0" w:after="200"/>
        <w:jc w:val="left"/>
        <w:rPr/>
      </w:pPr>
      <w:r>
        <w:rPr/>
      </w:r>
      <w:r>
        <w:br w:type="page"/>
      </w:r>
    </w:p>
    <w:p>
      <w:pPr>
        <w:pStyle w:val="F21"/>
        <w:overflowPunct w:val="true"/>
        <w:spacing w:lineRule="atLeast" w:line="380"/>
        <w:rPr>
          <w:rFonts w:eastAsia="華康中黑體" w:cs="Times New Roman"/>
          <w:b/>
          <w:b/>
        </w:rPr>
      </w:pPr>
      <w:bookmarkStart w:id="33" w:name="wrq10"/>
      <w:r>
        <w:rPr>
          <w:rFonts w:cs="Times New Roman" w:eastAsia="華康中黑體"/>
          <w:b/>
        </w:rPr>
        <w:t>在囚人士申請提早獲釋</w:t>
      </w:r>
    </w:p>
    <w:p>
      <w:pPr>
        <w:pStyle w:val="Normal"/>
        <w:overflowPunct w:val="true"/>
        <w:spacing w:lineRule="atLeast" w:line="380"/>
        <w:rPr>
          <w:b/>
          <w:b/>
        </w:rPr>
      </w:pPr>
      <w:bookmarkStart w:id="34" w:name="wrq10"/>
      <w:r>
        <w:rPr>
          <w:b/>
        </w:rPr>
        <w:t>Persons in custody applying for early release</w:t>
      </w:r>
      <w:bookmarkEnd w:id="34"/>
    </w:p>
    <w:p>
      <w:pPr>
        <w:pStyle w:val="F21"/>
        <w:overflowPunct w:val="true"/>
        <w:spacing w:lineRule="atLeast" w:line="380"/>
        <w:rPr>
          <w:rFonts w:cs="Times New Roman"/>
        </w:rPr>
      </w:pPr>
      <w:r>
        <w:rPr>
          <w:rFonts w:cs="Times New Roman"/>
        </w:rPr>
      </w:r>
    </w:p>
    <w:p>
      <w:pPr>
        <w:pStyle w:val="F21"/>
        <w:spacing w:lineRule="atLeast" w:line="380"/>
        <w:rPr>
          <w:i/>
          <w:i/>
          <w:szCs w:val="27"/>
        </w:rPr>
      </w:pPr>
      <w:r>
        <w:rPr>
          <w:rFonts w:eastAsia="華康中黑體" w:cs="Times New Roman"/>
          <w:b/>
          <w:szCs w:val="27"/>
        </w:rPr>
        <w:t>10.</w:t>
        <w:tab/>
      </w:r>
      <w:r>
        <w:rPr>
          <w:rFonts w:cs="Times New Roman" w:eastAsia="華康中黑體"/>
          <w:b/>
          <w:szCs w:val="27"/>
        </w:rPr>
        <w:t>邵家臻議員</w:t>
      </w:r>
      <w:r>
        <w:rPr>
          <w:szCs w:val="27"/>
        </w:rPr>
        <w:t>：</w:t>
      </w:r>
      <w:r>
        <w:rPr>
          <w:i/>
          <w:szCs w:val="27"/>
        </w:rPr>
        <w:t>主席，現時，在囚人士可根據《囚犯</w:t>
      </w:r>
      <w:r>
        <w:rPr>
          <w:i/>
          <w:szCs w:val="27"/>
        </w:rPr>
        <w:t>(</w:t>
      </w:r>
      <w:r>
        <w:rPr>
          <w:i/>
          <w:szCs w:val="27"/>
        </w:rPr>
        <w:t>監管下釋放</w:t>
      </w:r>
      <w:r>
        <w:rPr>
          <w:i/>
          <w:szCs w:val="27"/>
        </w:rPr>
        <w:t>)</w:t>
      </w:r>
      <w:r>
        <w:rPr>
          <w:i/>
          <w:szCs w:val="27"/>
        </w:rPr>
        <w:t>條例》</w:t>
      </w:r>
      <w:r>
        <w:rPr>
          <w:i/>
          <w:szCs w:val="27"/>
        </w:rPr>
        <w:t>(</w:t>
      </w:r>
      <w:r>
        <w:rPr>
          <w:i/>
          <w:szCs w:val="27"/>
        </w:rPr>
        <w:t>第</w:t>
      </w:r>
      <w:r>
        <w:rPr>
          <w:i/>
          <w:szCs w:val="27"/>
        </w:rPr>
        <w:t>325</w:t>
      </w:r>
      <w:r>
        <w:rPr>
          <w:i/>
          <w:szCs w:val="27"/>
        </w:rPr>
        <w:t>章</w:t>
      </w:r>
      <w:r>
        <w:rPr>
          <w:i/>
          <w:szCs w:val="27"/>
        </w:rPr>
        <w:t>)</w:t>
      </w:r>
      <w:r>
        <w:rPr>
          <w:i/>
          <w:szCs w:val="27"/>
        </w:rPr>
        <w:t>下的</w:t>
      </w:r>
      <w:r>
        <w:rPr>
          <w:rFonts w:cs="Times New Roman"/>
          <w:i/>
          <w:szCs w:val="27"/>
        </w:rPr>
        <w:t>"</w:t>
      </w:r>
      <w:r>
        <w:rPr>
          <w:i/>
          <w:szCs w:val="27"/>
        </w:rPr>
        <w:t>監管下釋放計劃</w:t>
      </w:r>
      <w:r>
        <w:rPr>
          <w:rFonts w:cs="Times New Roman"/>
          <w:i/>
          <w:szCs w:val="27"/>
        </w:rPr>
        <w:t>"</w:t>
      </w:r>
      <w:r>
        <w:rPr>
          <w:i/>
          <w:szCs w:val="27"/>
        </w:rPr>
        <w:t>及</w:t>
      </w:r>
      <w:r>
        <w:rPr>
          <w:rFonts w:cs="Times New Roman"/>
          <w:i/>
          <w:szCs w:val="27"/>
        </w:rPr>
        <w:t>"</w:t>
      </w:r>
      <w:r>
        <w:rPr>
          <w:i/>
          <w:szCs w:val="27"/>
        </w:rPr>
        <w:t>釋前就業計劃</w:t>
      </w:r>
      <w:r>
        <w:rPr>
          <w:rFonts w:cs="Times New Roman"/>
          <w:i/>
          <w:szCs w:val="27"/>
        </w:rPr>
        <w:t>"</w:t>
      </w:r>
      <w:r>
        <w:rPr>
          <w:i/>
          <w:szCs w:val="27"/>
        </w:rPr>
        <w:t>，申請提早釋放。監管下釋囚委員會</w:t>
      </w:r>
      <w:r>
        <w:rPr>
          <w:i/>
          <w:szCs w:val="27"/>
        </w:rPr>
        <w:t>(</w:t>
      </w:r>
      <w:r>
        <w:rPr>
          <w:rFonts w:cs="Times New Roman"/>
          <w:i/>
          <w:szCs w:val="27"/>
        </w:rPr>
        <w:t>"</w:t>
      </w:r>
      <w:r>
        <w:rPr>
          <w:i/>
          <w:szCs w:val="27"/>
        </w:rPr>
        <w:t>委員會</w:t>
      </w:r>
      <w:r>
        <w:rPr>
          <w:rFonts w:cs="Times New Roman"/>
          <w:i/>
          <w:szCs w:val="27"/>
        </w:rPr>
        <w:t>"</w:t>
      </w:r>
      <w:r>
        <w:rPr>
          <w:i/>
          <w:szCs w:val="27"/>
        </w:rPr>
        <w:t>)</w:t>
      </w:r>
      <w:r>
        <w:rPr>
          <w:i/>
          <w:szCs w:val="27"/>
        </w:rPr>
        <w:t>考慮該等申請後作出的建議，會交保安局局長行使獲行政長官根據第</w:t>
      </w:r>
      <w:r>
        <w:rPr>
          <w:i/>
          <w:szCs w:val="27"/>
        </w:rPr>
        <w:t>325</w:t>
      </w:r>
      <w:r>
        <w:rPr>
          <w:i/>
          <w:szCs w:val="27"/>
        </w:rPr>
        <w:t>章授予的權力作出決定。就此，政府可否告知本會：</w:t>
      </w:r>
    </w:p>
    <w:p>
      <w:pPr>
        <w:pStyle w:val="F21"/>
        <w:spacing w:lineRule="atLeast" w:line="380"/>
        <w:rPr>
          <w:i/>
          <w:i/>
          <w:szCs w:val="27"/>
        </w:rPr>
      </w:pPr>
      <w:r>
        <w:rPr>
          <w:i/>
          <w:szCs w:val="27"/>
        </w:rPr>
      </w:r>
    </w:p>
    <w:p>
      <w:pPr>
        <w:pStyle w:val="F21"/>
        <w:spacing w:lineRule="atLeast" w:line="380"/>
        <w:ind w:left="1418" w:hanging="851"/>
        <w:rPr>
          <w:i/>
          <w:i/>
          <w:szCs w:val="27"/>
        </w:rPr>
      </w:pPr>
      <w:r>
        <w:rPr>
          <w:i/>
          <w:szCs w:val="27"/>
        </w:rPr>
        <w:t>(</w:t>
      </w:r>
      <w:r>
        <w:rPr>
          <w:i/>
          <w:szCs w:val="27"/>
        </w:rPr>
        <w:t>一</w:t>
      </w:r>
      <w:r>
        <w:rPr>
          <w:i/>
          <w:szCs w:val="27"/>
        </w:rPr>
        <w:t>)</w:t>
        <w:tab/>
      </w:r>
      <w:r>
        <w:rPr>
          <w:i/>
          <w:szCs w:val="27"/>
        </w:rPr>
        <w:t>過去</w:t>
      </w:r>
      <w:r>
        <w:rPr>
          <w:i/>
          <w:szCs w:val="27"/>
        </w:rPr>
        <w:t>5</w:t>
      </w:r>
      <w:r>
        <w:rPr>
          <w:i/>
          <w:szCs w:val="27"/>
        </w:rPr>
        <w:t>年，每年分別有多少宗在囚人士根據上述兩項計劃提交的提早釋放申請不獲批准，以及有關原因為何；</w:t>
      </w:r>
    </w:p>
    <w:p>
      <w:pPr>
        <w:pStyle w:val="F21"/>
        <w:spacing w:lineRule="atLeast" w:line="380"/>
        <w:ind w:left="1418" w:hanging="851"/>
        <w:rPr>
          <w:i/>
          <w:i/>
          <w:szCs w:val="27"/>
        </w:rPr>
      </w:pPr>
      <w:r>
        <w:rPr>
          <w:i/>
          <w:szCs w:val="27"/>
        </w:rPr>
      </w:r>
    </w:p>
    <w:p>
      <w:pPr>
        <w:pStyle w:val="F21"/>
        <w:spacing w:lineRule="atLeast" w:line="380"/>
        <w:ind w:left="1418" w:hanging="851"/>
        <w:rPr>
          <w:i/>
          <w:i/>
          <w:szCs w:val="27"/>
        </w:rPr>
      </w:pPr>
      <w:r>
        <w:rPr>
          <w:i/>
          <w:szCs w:val="27"/>
        </w:rPr>
        <w:t>(</w:t>
      </w:r>
      <w:r>
        <w:rPr>
          <w:i/>
          <w:szCs w:val="27"/>
        </w:rPr>
        <w:t>二</w:t>
      </w:r>
      <w:r>
        <w:rPr>
          <w:i/>
          <w:szCs w:val="27"/>
        </w:rPr>
        <w:t>)</w:t>
        <w:tab/>
      </w:r>
      <w:r>
        <w:rPr>
          <w:i/>
          <w:szCs w:val="27"/>
        </w:rPr>
        <w:t>鑒於有在囚人士指稱，懲教署人員以不同理由扣起了他們擬經委員會向行政長官提交的提早釋放申請，現時各個懲教院所有否就在囚人士提交的提早釋放申請作書面紀錄，以保障他們的權利；及</w:t>
      </w:r>
    </w:p>
    <w:p>
      <w:pPr>
        <w:pStyle w:val="F21"/>
        <w:spacing w:lineRule="atLeast" w:line="380"/>
        <w:ind w:left="1418" w:hanging="851"/>
        <w:rPr>
          <w:i/>
          <w:i/>
          <w:szCs w:val="27"/>
        </w:rPr>
      </w:pPr>
      <w:r>
        <w:rPr>
          <w:i/>
          <w:szCs w:val="27"/>
        </w:rPr>
      </w:r>
    </w:p>
    <w:p>
      <w:pPr>
        <w:pStyle w:val="F21"/>
        <w:spacing w:lineRule="atLeast" w:line="380"/>
        <w:ind w:left="1418" w:hanging="851"/>
        <w:rPr>
          <w:i/>
          <w:i/>
          <w:szCs w:val="27"/>
        </w:rPr>
      </w:pPr>
      <w:r>
        <w:rPr>
          <w:i/>
          <w:szCs w:val="27"/>
        </w:rPr>
        <w:t>(</w:t>
      </w:r>
      <w:r>
        <w:rPr>
          <w:i/>
          <w:szCs w:val="27"/>
        </w:rPr>
        <w:t>三</w:t>
      </w:r>
      <w:r>
        <w:rPr>
          <w:i/>
          <w:szCs w:val="27"/>
        </w:rPr>
        <w:t>)</w:t>
        <w:tab/>
      </w:r>
      <w:r>
        <w:rPr>
          <w:i/>
          <w:szCs w:val="27"/>
        </w:rPr>
        <w:t>鑒於在囚人士必須已獲僱主聘用才可根據釋前就業計劃申請提早釋放，現時有何政策及措施，鼓勵僱主提供職位予在囚人士？</w:t>
      </w:r>
    </w:p>
    <w:p>
      <w:pPr>
        <w:pStyle w:val="F21"/>
        <w:spacing w:lineRule="atLeast" w:line="380"/>
        <w:rPr>
          <w:szCs w:val="27"/>
        </w:rPr>
      </w:pPr>
      <w:r>
        <w:rPr>
          <w:szCs w:val="27"/>
        </w:rPr>
      </w:r>
    </w:p>
    <w:p>
      <w:pPr>
        <w:pStyle w:val="F21"/>
        <w:spacing w:lineRule="atLeast" w:line="380"/>
        <w:rPr>
          <w:szCs w:val="27"/>
        </w:rPr>
      </w:pPr>
      <w:r>
        <w:rPr>
          <w:szCs w:val="27"/>
        </w:rPr>
      </w:r>
    </w:p>
    <w:p>
      <w:pPr>
        <w:pStyle w:val="F21"/>
        <w:spacing w:lineRule="atLeast" w:line="380"/>
        <w:rPr>
          <w:szCs w:val="27"/>
        </w:rPr>
      </w:pPr>
      <w:r>
        <w:rPr>
          <w:rFonts w:ascii="華康中黑體" w:hAnsi="華康中黑體" w:eastAsia="華康中黑體"/>
          <w:b/>
          <w:szCs w:val="27"/>
        </w:rPr>
        <w:t>保安局局長</w:t>
      </w:r>
      <w:r>
        <w:rPr>
          <w:szCs w:val="27"/>
        </w:rPr>
        <w:t>：主席，在囚人士可根據《囚犯</w:t>
      </w:r>
      <w:r>
        <w:rPr>
          <w:szCs w:val="27"/>
        </w:rPr>
        <w:t>(</w:t>
      </w:r>
      <w:r>
        <w:rPr>
          <w:szCs w:val="27"/>
        </w:rPr>
        <w:t>監管下釋放</w:t>
      </w:r>
      <w:r>
        <w:rPr>
          <w:szCs w:val="27"/>
        </w:rPr>
        <w:t>)</w:t>
      </w:r>
      <w:r>
        <w:rPr>
          <w:szCs w:val="27"/>
        </w:rPr>
        <w:t>條例》</w:t>
      </w:r>
      <w:r>
        <w:rPr>
          <w:szCs w:val="27"/>
        </w:rPr>
        <w:t>(</w:t>
      </w:r>
      <w:r>
        <w:rPr>
          <w:szCs w:val="27"/>
        </w:rPr>
        <w:t>第‍</w:t>
      </w:r>
      <w:r>
        <w:rPr>
          <w:szCs w:val="27"/>
        </w:rPr>
        <w:t>325</w:t>
      </w:r>
      <w:r>
        <w:rPr>
          <w:szCs w:val="27"/>
        </w:rPr>
        <w:t>章</w:t>
      </w:r>
      <w:r>
        <w:rPr>
          <w:szCs w:val="27"/>
        </w:rPr>
        <w:t>)("</w:t>
      </w:r>
      <w:r>
        <w:rPr>
          <w:szCs w:val="27"/>
        </w:rPr>
        <w:t>《條例》</w:t>
      </w:r>
      <w:r>
        <w:rPr>
          <w:szCs w:val="27"/>
        </w:rPr>
        <w:t>")</w:t>
      </w:r>
      <w:r>
        <w:rPr>
          <w:szCs w:val="27"/>
        </w:rPr>
        <w:t>下的監管下釋放計劃及釋前就業計劃，申請在監獄以外的環境接受監管。正在服</w:t>
      </w:r>
      <w:r>
        <w:rPr>
          <w:szCs w:val="27"/>
        </w:rPr>
        <w:t>3</w:t>
      </w:r>
      <w:r>
        <w:rPr>
          <w:szCs w:val="27"/>
        </w:rPr>
        <w:t>年或以上的有限期監禁刑期，而且至少已服滿刑期的一半或</w:t>
      </w:r>
      <w:r>
        <w:rPr>
          <w:szCs w:val="27"/>
        </w:rPr>
        <w:t>20</w:t>
      </w:r>
      <w:r>
        <w:rPr>
          <w:szCs w:val="27"/>
        </w:rPr>
        <w:t>個月</w:t>
      </w:r>
      <w:r>
        <w:rPr>
          <w:szCs w:val="27"/>
        </w:rPr>
        <w:t>(</w:t>
      </w:r>
      <w:r>
        <w:rPr>
          <w:szCs w:val="27"/>
        </w:rPr>
        <w:t>以較長者為準</w:t>
      </w:r>
      <w:r>
        <w:rPr>
          <w:szCs w:val="27"/>
        </w:rPr>
        <w:t>)</w:t>
      </w:r>
      <w:r>
        <w:rPr>
          <w:szCs w:val="27"/>
        </w:rPr>
        <w:t>的在囚人士，可按監管下釋放計劃申請提早獲釋；而正在服兩年或以上的有限期監禁刑期，而且在</w:t>
      </w:r>
      <w:r>
        <w:rPr>
          <w:szCs w:val="27"/>
        </w:rPr>
        <w:t>6</w:t>
      </w:r>
      <w:r>
        <w:rPr>
          <w:szCs w:val="27"/>
        </w:rPr>
        <w:t>個月內便屆最早釋放日期的在囚人士，則可按釋前就業計劃申請提早獲釋。兩項計劃的目的是幫助在囚人士早日重投社會，讓他們成為奉公守法的市民。</w:t>
      </w:r>
    </w:p>
    <w:p>
      <w:pPr>
        <w:pStyle w:val="F21"/>
        <w:spacing w:lineRule="atLeast" w:line="380"/>
        <w:rPr>
          <w:szCs w:val="27"/>
        </w:rPr>
      </w:pPr>
      <w:r>
        <w:rPr>
          <w:szCs w:val="27"/>
        </w:rPr>
      </w:r>
    </w:p>
    <w:p>
      <w:pPr>
        <w:pStyle w:val="F21"/>
        <w:spacing w:lineRule="atLeast" w:line="380"/>
        <w:rPr>
          <w:szCs w:val="27"/>
        </w:rPr>
      </w:pPr>
      <w:r>
        <w:rPr>
          <w:szCs w:val="27"/>
        </w:rPr>
        <w:tab/>
      </w:r>
      <w:r>
        <w:rPr>
          <w:szCs w:val="27"/>
        </w:rPr>
        <w:t>在囚人士就兩項計劃提出的申請，由根據《條例》而設立的監管下釋囚委員會</w:t>
      </w:r>
      <w:r>
        <w:rPr>
          <w:szCs w:val="27"/>
        </w:rPr>
        <w:t>("</w:t>
      </w:r>
      <w:r>
        <w:rPr>
          <w:szCs w:val="27"/>
        </w:rPr>
        <w:t>委員會</w:t>
      </w:r>
      <w:r>
        <w:rPr>
          <w:szCs w:val="27"/>
        </w:rPr>
        <w:t>")</w:t>
      </w:r>
      <w:r>
        <w:rPr>
          <w:szCs w:val="27"/>
        </w:rPr>
        <w:t>負責考慮並作出建議。委員會的建議會呈交保安局局長，局長可行使由行政長官根據《條例》授予的權力作出決定。</w:t>
      </w:r>
      <w:r>
        <w:br w:type="page"/>
      </w:r>
    </w:p>
    <w:p>
      <w:pPr>
        <w:pStyle w:val="F21"/>
        <w:spacing w:lineRule="atLeast" w:line="350"/>
        <w:rPr>
          <w:szCs w:val="27"/>
        </w:rPr>
      </w:pPr>
      <w:r>
        <w:rPr>
          <w:szCs w:val="27"/>
        </w:rPr>
        <w:tab/>
      </w:r>
      <w:r>
        <w:rPr>
          <w:szCs w:val="27"/>
        </w:rPr>
        <w:t>就邵議員的各項質詢，現答覆如下：</w:t>
      </w:r>
    </w:p>
    <w:p>
      <w:pPr>
        <w:pStyle w:val="F21"/>
        <w:spacing w:lineRule="atLeast" w:line="350"/>
        <w:rPr>
          <w:szCs w:val="27"/>
        </w:rPr>
      </w:pPr>
      <w:r>
        <w:rPr>
          <w:szCs w:val="27"/>
        </w:rPr>
      </w:r>
    </w:p>
    <w:p>
      <w:pPr>
        <w:pStyle w:val="F21"/>
        <w:spacing w:lineRule="atLeast" w:line="350"/>
        <w:ind w:left="1418" w:hanging="851"/>
        <w:rPr>
          <w:szCs w:val="27"/>
        </w:rPr>
      </w:pPr>
      <w:r>
        <w:rPr>
          <w:szCs w:val="27"/>
        </w:rPr>
        <w:t>(</w:t>
      </w:r>
      <w:r>
        <w:rPr>
          <w:szCs w:val="27"/>
        </w:rPr>
        <w:t>一</w:t>
      </w:r>
      <w:r>
        <w:rPr>
          <w:szCs w:val="27"/>
        </w:rPr>
        <w:t>)</w:t>
        <w:tab/>
      </w:r>
      <w:r>
        <w:rPr>
          <w:szCs w:val="27"/>
        </w:rPr>
        <w:t>在</w:t>
      </w:r>
      <w:r>
        <w:rPr>
          <w:szCs w:val="27"/>
        </w:rPr>
        <w:t>2014</w:t>
      </w:r>
      <w:r>
        <w:rPr>
          <w:szCs w:val="27"/>
        </w:rPr>
        <w:t>年至</w:t>
      </w:r>
      <w:r>
        <w:rPr>
          <w:szCs w:val="27"/>
        </w:rPr>
        <w:t>2018</w:t>
      </w:r>
      <w:r>
        <w:rPr>
          <w:szCs w:val="27"/>
        </w:rPr>
        <w:t>年期間，兩項計劃下審議和不獲批准的申請數字詳列於附件。</w:t>
      </w:r>
    </w:p>
    <w:p>
      <w:pPr>
        <w:pStyle w:val="F21"/>
        <w:spacing w:lineRule="atLeast" w:line="350"/>
        <w:ind w:left="1418" w:hanging="851"/>
        <w:rPr>
          <w:szCs w:val="27"/>
        </w:rPr>
      </w:pPr>
      <w:r>
        <w:rPr>
          <w:szCs w:val="27"/>
        </w:rPr>
      </w:r>
    </w:p>
    <w:p>
      <w:pPr>
        <w:pStyle w:val="F21"/>
        <w:spacing w:lineRule="atLeast" w:line="350"/>
        <w:ind w:left="1418" w:hanging="851"/>
        <w:rPr>
          <w:szCs w:val="27"/>
        </w:rPr>
      </w:pPr>
      <w:r>
        <w:rPr>
          <w:szCs w:val="27"/>
        </w:rPr>
        <w:tab/>
      </w:r>
      <w:r>
        <w:rPr>
          <w:szCs w:val="27"/>
        </w:rPr>
        <w:t>委員會考慮每宗申請時，必須依照相關法律條文所規定的程序和準則行事。例如，委員會須根據《囚犯</w:t>
      </w:r>
      <w:r>
        <w:rPr>
          <w:szCs w:val="27"/>
        </w:rPr>
        <w:t>(</w:t>
      </w:r>
      <w:r>
        <w:rPr>
          <w:szCs w:val="27"/>
        </w:rPr>
        <w:t>監管下釋放</w:t>
      </w:r>
      <w:r>
        <w:rPr>
          <w:szCs w:val="27"/>
        </w:rPr>
        <w:t>)</w:t>
      </w:r>
      <w:r>
        <w:rPr>
          <w:szCs w:val="27"/>
        </w:rPr>
        <w:t>規例》</w:t>
      </w:r>
      <w:r>
        <w:rPr>
          <w:szCs w:val="27"/>
        </w:rPr>
        <w:t>(</w:t>
      </w:r>
      <w:r>
        <w:rPr>
          <w:szCs w:val="27"/>
        </w:rPr>
        <w:t>第</w:t>
      </w:r>
      <w:r>
        <w:rPr>
          <w:szCs w:val="27"/>
        </w:rPr>
        <w:t>325A</w:t>
      </w:r>
      <w:r>
        <w:rPr>
          <w:szCs w:val="27"/>
        </w:rPr>
        <w:t>章</w:t>
      </w:r>
      <w:r>
        <w:rPr>
          <w:szCs w:val="27"/>
        </w:rPr>
        <w:t>)("</w:t>
      </w:r>
      <w:r>
        <w:rPr>
          <w:szCs w:val="27"/>
        </w:rPr>
        <w:t>《規例》</w:t>
      </w:r>
      <w:r>
        <w:rPr>
          <w:szCs w:val="27"/>
        </w:rPr>
        <w:t>")</w:t>
      </w:r>
      <w:r>
        <w:rPr>
          <w:szCs w:val="27"/>
        </w:rPr>
        <w:t>附表</w:t>
      </w:r>
      <w:r>
        <w:rPr>
          <w:szCs w:val="27"/>
        </w:rPr>
        <w:t>1</w:t>
      </w:r>
      <w:r>
        <w:rPr>
          <w:szCs w:val="27"/>
        </w:rPr>
        <w:t>，審閱懲教署和警務處所作的報告、為審判庭擬備用以協助法官判刑的報告及申請人的醫務報告。此外，委員會考慮申請人的個案前，須根據《規例》以書面通知該人，述明該人有權向委員會作出書面申述，以供考慮。委員會也須考慮《規例》附表‍</w:t>
      </w:r>
      <w:r>
        <w:rPr>
          <w:szCs w:val="27"/>
        </w:rPr>
        <w:t>1</w:t>
      </w:r>
      <w:r>
        <w:rPr>
          <w:szCs w:val="27"/>
        </w:rPr>
        <w:t>列出的因素，例如申請人的刑事罪行紀錄、在獄中的行為、他在承擔義務及責任方面的能力及樂意程度等。</w:t>
      </w:r>
    </w:p>
    <w:p>
      <w:pPr>
        <w:pStyle w:val="F21"/>
        <w:spacing w:lineRule="atLeast" w:line="350"/>
        <w:ind w:left="1418" w:hanging="851"/>
        <w:rPr>
          <w:szCs w:val="27"/>
        </w:rPr>
      </w:pPr>
      <w:r>
        <w:rPr>
          <w:szCs w:val="27"/>
        </w:rPr>
      </w:r>
    </w:p>
    <w:p>
      <w:pPr>
        <w:pStyle w:val="F21"/>
        <w:spacing w:lineRule="atLeast" w:line="350"/>
        <w:ind w:left="1418" w:hanging="851"/>
        <w:rPr>
          <w:szCs w:val="27"/>
        </w:rPr>
      </w:pPr>
      <w:r>
        <w:rPr>
          <w:szCs w:val="27"/>
        </w:rPr>
        <w:tab/>
      </w:r>
      <w:r>
        <w:rPr>
          <w:szCs w:val="27"/>
        </w:rPr>
        <w:t>申請不獲批准的主要原因包括：申請人相當可能不會遵守監管令的條件、鑒於申請人犯了嚴重罪行，不宜提早釋放並對申請人作出監管令，以及讓申請人繼續在懲教院所接受訓練，會使他在較後時間獲釋的守法能力大為提高。</w:t>
      </w:r>
    </w:p>
    <w:p>
      <w:pPr>
        <w:pStyle w:val="F21"/>
        <w:spacing w:lineRule="atLeast" w:line="350"/>
        <w:ind w:left="1418" w:hanging="851"/>
        <w:rPr>
          <w:szCs w:val="27"/>
        </w:rPr>
      </w:pPr>
      <w:r>
        <w:rPr>
          <w:szCs w:val="27"/>
        </w:rPr>
      </w:r>
    </w:p>
    <w:p>
      <w:pPr>
        <w:pStyle w:val="F21"/>
        <w:spacing w:lineRule="atLeast" w:line="350"/>
        <w:ind w:left="1418" w:hanging="851"/>
        <w:rPr>
          <w:szCs w:val="27"/>
        </w:rPr>
      </w:pPr>
      <w:r>
        <w:rPr>
          <w:szCs w:val="27"/>
        </w:rPr>
        <w:t>(</w:t>
      </w:r>
      <w:r>
        <w:rPr>
          <w:szCs w:val="27"/>
        </w:rPr>
        <w:t>二</w:t>
      </w:r>
      <w:r>
        <w:rPr>
          <w:szCs w:val="27"/>
        </w:rPr>
        <w:t>)</w:t>
        <w:tab/>
      </w:r>
      <w:r>
        <w:rPr>
          <w:szCs w:val="27"/>
        </w:rPr>
        <w:t>在囚人士就監管下釋放計劃或釋前就業計劃的申請文件，會由懲教院所主管經懲教署監管計劃辦事處轉交至委員會，相關文件均有書面紀錄。委員會秘書處在收到申請書後，會以書面經懲教署通知申請人，述明他的申請編號及他有權向委員會作出書面申述。</w:t>
      </w:r>
    </w:p>
    <w:p>
      <w:pPr>
        <w:pStyle w:val="F21"/>
        <w:spacing w:lineRule="atLeast" w:line="350"/>
        <w:ind w:left="1418" w:hanging="851"/>
        <w:rPr>
          <w:szCs w:val="27"/>
        </w:rPr>
      </w:pPr>
      <w:r>
        <w:rPr>
          <w:szCs w:val="27"/>
        </w:rPr>
      </w:r>
    </w:p>
    <w:p>
      <w:pPr>
        <w:pStyle w:val="F21"/>
        <w:spacing w:lineRule="atLeast" w:line="350"/>
        <w:ind w:left="1418" w:hanging="851"/>
        <w:rPr>
          <w:szCs w:val="27"/>
        </w:rPr>
      </w:pPr>
      <w:r>
        <w:rPr>
          <w:szCs w:val="27"/>
        </w:rPr>
        <w:t>(</w:t>
      </w:r>
      <w:r>
        <w:rPr>
          <w:szCs w:val="27"/>
        </w:rPr>
        <w:t>三</w:t>
      </w:r>
      <w:r>
        <w:rPr>
          <w:szCs w:val="27"/>
        </w:rPr>
        <w:t>)</w:t>
        <w:tab/>
      </w:r>
      <w:r>
        <w:rPr>
          <w:szCs w:val="27"/>
        </w:rPr>
        <w:t>在囚人士在離開院所後從事工作有助他們作出正面的改變，重新融入社會。因此，懲教署積極鼓勵商界僱主登記成為</w:t>
      </w:r>
      <w:r>
        <w:rPr>
          <w:szCs w:val="27"/>
        </w:rPr>
        <w:t>"</w:t>
      </w:r>
      <w:r>
        <w:rPr>
          <w:szCs w:val="27"/>
        </w:rPr>
        <w:t>愛心僱主</w:t>
      </w:r>
      <w:r>
        <w:rPr>
          <w:szCs w:val="27"/>
        </w:rPr>
        <w:t>"</w:t>
      </w:r>
      <w:r>
        <w:rPr>
          <w:szCs w:val="27"/>
        </w:rPr>
        <w:t>聘請更生人士。因應僱主要求，懲教署會盡量配合安排僱主或其代表前往懲教院所、或以視像探訪或電話會談的形式，方便與應徵的在囚人士進行面試。各種行業職位空缺，會定期以不同形式於院所內展示。截至</w:t>
      </w:r>
      <w:r>
        <w:rPr>
          <w:szCs w:val="27"/>
        </w:rPr>
        <w:t>2018</w:t>
      </w:r>
      <w:r>
        <w:rPr>
          <w:szCs w:val="27"/>
        </w:rPr>
        <w:t>年年底，有超過</w:t>
      </w:r>
      <w:r>
        <w:rPr>
          <w:szCs w:val="27"/>
        </w:rPr>
        <w:t>700</w:t>
      </w:r>
      <w:r>
        <w:rPr>
          <w:szCs w:val="27"/>
        </w:rPr>
        <w:t>間機構登記成為</w:t>
      </w:r>
      <w:r>
        <w:rPr>
          <w:szCs w:val="27"/>
        </w:rPr>
        <w:t>"</w:t>
      </w:r>
      <w:r>
        <w:rPr>
          <w:szCs w:val="27"/>
        </w:rPr>
        <w:t>愛心僱主</w:t>
      </w:r>
      <w:r>
        <w:rPr>
          <w:szCs w:val="27"/>
        </w:rPr>
        <w:t>"</w:t>
      </w:r>
      <w:r>
        <w:rPr>
          <w:szCs w:val="27"/>
        </w:rPr>
        <w:t>，為更生人士提供</w:t>
      </w:r>
      <w:r>
        <w:rPr>
          <w:szCs w:val="27"/>
        </w:rPr>
        <w:t>2 319</w:t>
      </w:r>
      <w:r>
        <w:rPr>
          <w:szCs w:val="27"/>
        </w:rPr>
        <w:t>個職位；署方已接獲並轉介</w:t>
      </w:r>
      <w:r>
        <w:rPr>
          <w:szCs w:val="27"/>
        </w:rPr>
        <w:t>1 450</w:t>
      </w:r>
      <w:r>
        <w:rPr>
          <w:szCs w:val="27"/>
        </w:rPr>
        <w:t>份申請，當中</w:t>
      </w:r>
      <w:r>
        <w:rPr>
          <w:szCs w:val="27"/>
        </w:rPr>
        <w:t>635</w:t>
      </w:r>
      <w:r>
        <w:rPr>
          <w:szCs w:val="27"/>
        </w:rPr>
        <w:t>名更生人士獲僱主承諾聘用。</w:t>
      </w:r>
    </w:p>
    <w:p>
      <w:pPr>
        <w:pStyle w:val="F21"/>
        <w:spacing w:lineRule="atLeast" w:line="350"/>
        <w:ind w:left="1418" w:hanging="851"/>
        <w:rPr>
          <w:szCs w:val="27"/>
        </w:rPr>
      </w:pPr>
      <w:r>
        <w:rPr>
          <w:szCs w:val="27"/>
        </w:rPr>
      </w:r>
    </w:p>
    <w:p>
      <w:pPr>
        <w:pStyle w:val="F21"/>
        <w:spacing w:lineRule="atLeast" w:line="350"/>
        <w:ind w:left="1418" w:hanging="851"/>
        <w:rPr>
          <w:szCs w:val="27"/>
        </w:rPr>
      </w:pPr>
      <w:r>
        <w:rPr>
          <w:szCs w:val="27"/>
        </w:rPr>
        <w:tab/>
      </w:r>
      <w:r>
        <w:rPr>
          <w:szCs w:val="27"/>
        </w:rPr>
        <w:t>此外，懲教署會每兩年與一間香港高等教育學院舉辦更生人士就業研討會，呼籲僱主給予更生人士公平就業機會，同時表揚為更生人士提供就業機會的</w:t>
      </w:r>
      <w:r>
        <w:rPr>
          <w:szCs w:val="27"/>
        </w:rPr>
        <w:t>"</w:t>
      </w:r>
      <w:r>
        <w:rPr>
          <w:szCs w:val="27"/>
        </w:rPr>
        <w:t>愛心僱主</w:t>
      </w:r>
      <w:r>
        <w:rPr>
          <w:szCs w:val="27"/>
        </w:rPr>
        <w:t>"</w:t>
      </w:r>
      <w:r>
        <w:rPr>
          <w:szCs w:val="27"/>
        </w:rPr>
        <w:t>。</w:t>
      </w:r>
    </w:p>
    <w:p>
      <w:pPr>
        <w:pStyle w:val="Normal"/>
        <w:widowControl/>
        <w:tabs>
          <w:tab w:val="clear" w:pos="720"/>
        </w:tabs>
        <w:spacing w:lineRule="exact" w:line="20"/>
        <w:jc w:val="left"/>
        <w:rPr>
          <w:rFonts w:cs="" w:cstheme="minorBidi"/>
          <w:spacing w:val="20"/>
          <w:sz w:val="27"/>
          <w:szCs w:val="27"/>
          <w:lang w:val="en-US"/>
        </w:rPr>
      </w:pPr>
      <w:r>
        <w:rPr>
          <w:rFonts w:cs="" w:cstheme="minorBidi"/>
          <w:spacing w:val="20"/>
          <w:sz w:val="27"/>
          <w:szCs w:val="27"/>
          <w:lang w:val="en-US"/>
        </w:rPr>
      </w:r>
      <w:r>
        <w:br w:type="page"/>
      </w:r>
    </w:p>
    <w:p>
      <w:pPr>
        <w:pStyle w:val="F21"/>
        <w:ind w:left="1418" w:hanging="851"/>
        <w:rPr>
          <w:szCs w:val="27"/>
        </w:rPr>
      </w:pPr>
      <w:r>
        <w:rPr>
          <w:szCs w:val="27"/>
        </w:rPr>
        <w:tab/>
      </w:r>
      <w:r>
        <w:rPr>
          <w:szCs w:val="27"/>
        </w:rPr>
        <w:t>除鼓勵僱主聘用更新人士外，懲教署亦同時為在囚人士提供市場導向的職業訓練及教育。近年，懲教署與多個培訓機構</w:t>
      </w:r>
      <w:r>
        <w:rPr>
          <w:szCs w:val="27"/>
        </w:rPr>
        <w:t>(</w:t>
      </w:r>
      <w:r>
        <w:rPr>
          <w:szCs w:val="27"/>
        </w:rPr>
        <w:t>例如僱員再培訓局、建造業議會和職業訓練局等</w:t>
      </w:r>
      <w:r>
        <w:rPr>
          <w:szCs w:val="27"/>
        </w:rPr>
        <w:t>)</w:t>
      </w:r>
      <w:r>
        <w:rPr>
          <w:szCs w:val="27"/>
        </w:rPr>
        <w:t>合作，因應本地就業市場情況，每年提供超過</w:t>
      </w:r>
      <w:r>
        <w:rPr>
          <w:szCs w:val="27"/>
        </w:rPr>
        <w:t>40</w:t>
      </w:r>
      <w:r>
        <w:rPr>
          <w:szCs w:val="27"/>
        </w:rPr>
        <w:t>項全日制及部分時間制的職業訓練課程。懲教署亦會因應本港整體就業市場情況及勞工需求，不時檢討職業訓練課程的內容，並會因應個別行業的就業率及在囚人士的反應作出調整。此外，署方會定期與業界檢討和引入不同新課程；透過由培訓機構提供的就業跟進服務，進一步掌握市場的變化及學員離所後的就業情況，以繼續完善職業訓練計劃。</w:t>
      </w:r>
    </w:p>
    <w:p>
      <w:pPr>
        <w:pStyle w:val="F21"/>
        <w:rPr>
          <w:szCs w:val="27"/>
        </w:rPr>
      </w:pPr>
      <w:r>
        <w:rPr>
          <w:szCs w:val="27"/>
        </w:rPr>
      </w:r>
    </w:p>
    <w:p>
      <w:pPr>
        <w:pStyle w:val="F21"/>
        <w:rPr>
          <w:szCs w:val="27"/>
        </w:rPr>
      </w:pPr>
      <w:r>
        <w:rPr>
          <w:szCs w:val="27"/>
        </w:rPr>
      </w:r>
    </w:p>
    <w:p>
      <w:pPr>
        <w:pStyle w:val="F21"/>
        <w:jc w:val="right"/>
        <w:rPr>
          <w:szCs w:val="27"/>
        </w:rPr>
      </w:pPr>
      <w:r>
        <w:rPr>
          <w:szCs w:val="27"/>
        </w:rPr>
        <w:t>附件</w:t>
      </w:r>
    </w:p>
    <w:p>
      <w:pPr>
        <w:pStyle w:val="F21"/>
        <w:rPr>
          <w:szCs w:val="27"/>
        </w:rPr>
      </w:pPr>
      <w:r>
        <w:rPr>
          <w:szCs w:val="27"/>
        </w:rPr>
      </w:r>
    </w:p>
    <w:p>
      <w:pPr>
        <w:pStyle w:val="F21"/>
        <w:jc w:val="center"/>
        <w:rPr>
          <w:szCs w:val="27"/>
        </w:rPr>
      </w:pPr>
      <w:r>
        <w:rPr>
          <w:szCs w:val="27"/>
        </w:rPr>
        <w:t>監管下釋放計劃及釋前就業計劃下</w:t>
      </w:r>
    </w:p>
    <w:p>
      <w:pPr>
        <w:pStyle w:val="F21"/>
        <w:jc w:val="center"/>
        <w:rPr>
          <w:szCs w:val="27"/>
        </w:rPr>
      </w:pPr>
      <w:r>
        <w:rPr>
          <w:szCs w:val="27"/>
        </w:rPr>
        <w:t>審議和不獲批准的申請數字</w:t>
      </w:r>
    </w:p>
    <w:p>
      <w:pPr>
        <w:pStyle w:val="F21"/>
        <w:jc w:val="center"/>
        <w:rPr>
          <w:szCs w:val="27"/>
        </w:rPr>
      </w:pPr>
      <w:r>
        <w:rPr>
          <w:szCs w:val="27"/>
        </w:rPr>
        <w:t>(2014</w:t>
      </w:r>
      <w:r>
        <w:rPr>
          <w:szCs w:val="27"/>
        </w:rPr>
        <w:t>年至</w:t>
      </w:r>
      <w:r>
        <w:rPr>
          <w:szCs w:val="27"/>
        </w:rPr>
        <w:t>2018</w:t>
      </w:r>
      <w:r>
        <w:rPr>
          <w:szCs w:val="27"/>
        </w:rPr>
        <w:t>年</w:t>
      </w:r>
      <w:r>
        <w:rPr>
          <w:szCs w:val="27"/>
        </w:rPr>
        <w:t>)</w:t>
      </w:r>
    </w:p>
    <w:p>
      <w:pPr>
        <w:pStyle w:val="F21"/>
        <w:jc w:val="center"/>
        <w:rPr>
          <w:szCs w:val="27"/>
        </w:rPr>
      </w:pPr>
      <w:r>
        <w:rPr>
          <w:szCs w:val="27"/>
        </w:rPr>
      </w:r>
    </w:p>
    <w:tbl>
      <w:tblPr>
        <w:tblStyle w:val="a9"/>
        <w:tblW w:w="9223" w:type="dxa"/>
        <w:jc w:val="left"/>
        <w:tblInd w:w="0" w:type="dxa"/>
        <w:tblCellMar>
          <w:top w:w="0" w:type="dxa"/>
          <w:left w:w="108" w:type="dxa"/>
          <w:bottom w:w="0" w:type="dxa"/>
          <w:right w:w="108" w:type="dxa"/>
        </w:tblCellMar>
        <w:tblLook w:val="04a0" w:noHBand="0" w:noVBand="1" w:firstColumn="1" w:lastRow="0" w:lastColumn="0" w:firstRow="1"/>
      </w:tblPr>
      <w:tblGrid>
        <w:gridCol w:w="713"/>
        <w:gridCol w:w="1277"/>
        <w:gridCol w:w="1559"/>
        <w:gridCol w:w="1276"/>
        <w:gridCol w:w="1561"/>
        <w:gridCol w:w="1273"/>
        <w:gridCol w:w="1563"/>
      </w:tblGrid>
      <w:tr>
        <w:trPr/>
        <w:tc>
          <w:tcPr>
            <w:tcW w:w="713" w:type="dxa"/>
            <w:tcBorders/>
            <w:vAlign w:val="center"/>
          </w:tcPr>
          <w:p>
            <w:pPr>
              <w:pStyle w:val="F21"/>
              <w:tabs>
                <w:tab w:val="clear" w:pos="567"/>
              </w:tabs>
              <w:spacing w:lineRule="atLeast" w:line="370"/>
              <w:jc w:val="center"/>
              <w:rPr>
                <w:i/>
                <w:i/>
                <w:szCs w:val="27"/>
              </w:rPr>
            </w:pPr>
            <w:r>
              <w:rPr>
                <w:i/>
                <w:szCs w:val="27"/>
              </w:rPr>
            </w:r>
          </w:p>
        </w:tc>
        <w:tc>
          <w:tcPr>
            <w:tcW w:w="2836" w:type="dxa"/>
            <w:gridSpan w:val="2"/>
            <w:tcBorders/>
            <w:vAlign w:val="center"/>
          </w:tcPr>
          <w:p>
            <w:pPr>
              <w:pStyle w:val="F21"/>
              <w:tabs>
                <w:tab w:val="clear" w:pos="567"/>
              </w:tabs>
              <w:spacing w:lineRule="atLeast" w:line="370"/>
              <w:jc w:val="center"/>
              <w:rPr>
                <w:i/>
                <w:i/>
                <w:szCs w:val="27"/>
              </w:rPr>
            </w:pPr>
            <w:r>
              <w:rPr>
                <w:i/>
                <w:szCs w:val="27"/>
              </w:rPr>
              <w:t>監管下釋放計劃</w:t>
            </w:r>
          </w:p>
        </w:tc>
        <w:tc>
          <w:tcPr>
            <w:tcW w:w="2837" w:type="dxa"/>
            <w:gridSpan w:val="2"/>
            <w:tcBorders/>
            <w:vAlign w:val="center"/>
          </w:tcPr>
          <w:p>
            <w:pPr>
              <w:pStyle w:val="F21"/>
              <w:tabs>
                <w:tab w:val="clear" w:pos="567"/>
              </w:tabs>
              <w:spacing w:lineRule="atLeast" w:line="370"/>
              <w:jc w:val="center"/>
              <w:rPr>
                <w:i/>
                <w:i/>
                <w:szCs w:val="27"/>
              </w:rPr>
            </w:pPr>
            <w:r>
              <w:rPr>
                <w:i/>
                <w:szCs w:val="27"/>
              </w:rPr>
              <w:t>釋前就業計劃</w:t>
            </w:r>
          </w:p>
        </w:tc>
        <w:tc>
          <w:tcPr>
            <w:tcW w:w="2836" w:type="dxa"/>
            <w:gridSpan w:val="2"/>
            <w:tcBorders/>
            <w:vAlign w:val="center"/>
          </w:tcPr>
          <w:p>
            <w:pPr>
              <w:pStyle w:val="F21"/>
              <w:tabs>
                <w:tab w:val="clear" w:pos="567"/>
              </w:tabs>
              <w:spacing w:lineRule="atLeast" w:line="370"/>
              <w:jc w:val="center"/>
              <w:rPr>
                <w:i/>
                <w:i/>
                <w:szCs w:val="27"/>
              </w:rPr>
            </w:pPr>
            <w:r>
              <w:rPr>
                <w:i/>
                <w:szCs w:val="27"/>
              </w:rPr>
              <w:t>總數</w:t>
            </w:r>
          </w:p>
        </w:tc>
      </w:tr>
      <w:tr>
        <w:trPr/>
        <w:tc>
          <w:tcPr>
            <w:tcW w:w="713" w:type="dxa"/>
            <w:tcBorders/>
            <w:vAlign w:val="center"/>
          </w:tcPr>
          <w:p>
            <w:pPr>
              <w:pStyle w:val="F21"/>
              <w:tabs>
                <w:tab w:val="clear" w:pos="567"/>
              </w:tabs>
              <w:spacing w:lineRule="atLeast" w:line="370"/>
              <w:jc w:val="center"/>
              <w:rPr>
                <w:i/>
                <w:i/>
                <w:szCs w:val="27"/>
              </w:rPr>
            </w:pPr>
            <w:r>
              <w:rPr>
                <w:i/>
                <w:szCs w:val="27"/>
              </w:rPr>
              <w:t>年份</w:t>
            </w:r>
          </w:p>
        </w:tc>
        <w:tc>
          <w:tcPr>
            <w:tcW w:w="1277" w:type="dxa"/>
            <w:tcBorders/>
            <w:vAlign w:val="center"/>
          </w:tcPr>
          <w:p>
            <w:pPr>
              <w:pStyle w:val="F21"/>
              <w:tabs>
                <w:tab w:val="clear" w:pos="567"/>
              </w:tabs>
              <w:spacing w:lineRule="atLeast" w:line="370"/>
              <w:jc w:val="center"/>
              <w:rPr>
                <w:i/>
                <w:i/>
                <w:szCs w:val="27"/>
              </w:rPr>
            </w:pPr>
            <w:r>
              <w:rPr>
                <w:i/>
                <w:szCs w:val="27"/>
              </w:rPr>
              <w:t>審議的</w:t>
            </w:r>
          </w:p>
          <w:p>
            <w:pPr>
              <w:pStyle w:val="F21"/>
              <w:tabs>
                <w:tab w:val="clear" w:pos="567"/>
              </w:tabs>
              <w:spacing w:lineRule="atLeast" w:line="370"/>
              <w:jc w:val="center"/>
              <w:rPr>
                <w:i/>
                <w:i/>
                <w:szCs w:val="27"/>
              </w:rPr>
            </w:pPr>
            <w:r>
              <w:rPr>
                <w:i/>
                <w:szCs w:val="27"/>
              </w:rPr>
              <w:t>申請</w:t>
            </w:r>
          </w:p>
          <w:p>
            <w:pPr>
              <w:pStyle w:val="F21"/>
              <w:tabs>
                <w:tab w:val="clear" w:pos="567"/>
              </w:tabs>
              <w:spacing w:lineRule="atLeast" w:line="370"/>
              <w:jc w:val="center"/>
              <w:rPr>
                <w:i/>
                <w:i/>
                <w:szCs w:val="27"/>
              </w:rPr>
            </w:pPr>
            <w:r>
              <w:rPr>
                <w:i/>
                <w:szCs w:val="27"/>
              </w:rPr>
              <w:t>(</w:t>
            </w:r>
            <w:r>
              <w:rPr>
                <w:i/>
                <w:szCs w:val="27"/>
              </w:rPr>
              <w:t>宗</w:t>
            </w:r>
            <w:r>
              <w:rPr>
                <w:i/>
                <w:szCs w:val="27"/>
              </w:rPr>
              <w:t>)</w:t>
            </w:r>
          </w:p>
        </w:tc>
        <w:tc>
          <w:tcPr>
            <w:tcW w:w="1559" w:type="dxa"/>
            <w:tcBorders/>
            <w:vAlign w:val="center"/>
          </w:tcPr>
          <w:p>
            <w:pPr>
              <w:pStyle w:val="F21"/>
              <w:tabs>
                <w:tab w:val="clear" w:pos="567"/>
              </w:tabs>
              <w:spacing w:lineRule="atLeast" w:line="370"/>
              <w:jc w:val="center"/>
              <w:rPr>
                <w:i/>
                <w:i/>
                <w:szCs w:val="27"/>
              </w:rPr>
            </w:pPr>
            <w:r>
              <w:rPr>
                <w:i/>
                <w:szCs w:val="27"/>
              </w:rPr>
              <w:t>不獲批准的申請</w:t>
            </w:r>
          </w:p>
          <w:p>
            <w:pPr>
              <w:pStyle w:val="F21"/>
              <w:tabs>
                <w:tab w:val="clear" w:pos="567"/>
              </w:tabs>
              <w:spacing w:lineRule="atLeast" w:line="370"/>
              <w:jc w:val="center"/>
              <w:rPr>
                <w:i/>
                <w:i/>
                <w:szCs w:val="27"/>
              </w:rPr>
            </w:pPr>
            <w:r>
              <w:rPr>
                <w:i/>
                <w:szCs w:val="27"/>
              </w:rPr>
              <w:t>(</w:t>
            </w:r>
            <w:r>
              <w:rPr>
                <w:i/>
                <w:szCs w:val="27"/>
              </w:rPr>
              <w:t>宗</w:t>
            </w:r>
            <w:r>
              <w:rPr>
                <w:i/>
                <w:szCs w:val="27"/>
              </w:rPr>
              <w:t>)</w:t>
            </w:r>
          </w:p>
        </w:tc>
        <w:tc>
          <w:tcPr>
            <w:tcW w:w="1276" w:type="dxa"/>
            <w:tcBorders/>
            <w:vAlign w:val="center"/>
          </w:tcPr>
          <w:p>
            <w:pPr>
              <w:pStyle w:val="F21"/>
              <w:tabs>
                <w:tab w:val="clear" w:pos="567"/>
              </w:tabs>
              <w:spacing w:lineRule="atLeast" w:line="370"/>
              <w:jc w:val="center"/>
              <w:rPr>
                <w:i/>
                <w:i/>
                <w:szCs w:val="27"/>
              </w:rPr>
            </w:pPr>
            <w:r>
              <w:rPr>
                <w:i/>
                <w:szCs w:val="27"/>
              </w:rPr>
              <w:t>審議的</w:t>
            </w:r>
          </w:p>
          <w:p>
            <w:pPr>
              <w:pStyle w:val="F21"/>
              <w:tabs>
                <w:tab w:val="clear" w:pos="567"/>
              </w:tabs>
              <w:spacing w:lineRule="atLeast" w:line="370"/>
              <w:jc w:val="center"/>
              <w:rPr>
                <w:i/>
                <w:i/>
                <w:szCs w:val="27"/>
              </w:rPr>
            </w:pPr>
            <w:r>
              <w:rPr>
                <w:i/>
                <w:szCs w:val="27"/>
              </w:rPr>
              <w:t>申請</w:t>
            </w:r>
          </w:p>
          <w:p>
            <w:pPr>
              <w:pStyle w:val="F21"/>
              <w:tabs>
                <w:tab w:val="clear" w:pos="567"/>
              </w:tabs>
              <w:spacing w:lineRule="atLeast" w:line="370"/>
              <w:jc w:val="center"/>
              <w:rPr>
                <w:i/>
                <w:i/>
                <w:szCs w:val="27"/>
              </w:rPr>
            </w:pPr>
            <w:r>
              <w:rPr>
                <w:i/>
                <w:szCs w:val="27"/>
              </w:rPr>
              <w:t>(</w:t>
            </w:r>
            <w:r>
              <w:rPr>
                <w:i/>
                <w:szCs w:val="27"/>
              </w:rPr>
              <w:t>宗</w:t>
            </w:r>
            <w:r>
              <w:rPr>
                <w:i/>
                <w:szCs w:val="27"/>
              </w:rPr>
              <w:t>)</w:t>
            </w:r>
          </w:p>
        </w:tc>
        <w:tc>
          <w:tcPr>
            <w:tcW w:w="1561" w:type="dxa"/>
            <w:tcBorders/>
            <w:vAlign w:val="center"/>
          </w:tcPr>
          <w:p>
            <w:pPr>
              <w:pStyle w:val="F21"/>
              <w:tabs>
                <w:tab w:val="clear" w:pos="567"/>
              </w:tabs>
              <w:spacing w:lineRule="atLeast" w:line="370"/>
              <w:jc w:val="center"/>
              <w:rPr>
                <w:i/>
                <w:i/>
                <w:szCs w:val="27"/>
              </w:rPr>
            </w:pPr>
            <w:r>
              <w:rPr>
                <w:i/>
                <w:szCs w:val="27"/>
              </w:rPr>
              <w:t>不獲批准的申請</w:t>
            </w:r>
          </w:p>
          <w:p>
            <w:pPr>
              <w:pStyle w:val="F21"/>
              <w:tabs>
                <w:tab w:val="clear" w:pos="567"/>
              </w:tabs>
              <w:spacing w:lineRule="atLeast" w:line="370"/>
              <w:jc w:val="center"/>
              <w:rPr>
                <w:i/>
                <w:i/>
                <w:szCs w:val="27"/>
              </w:rPr>
            </w:pPr>
            <w:r>
              <w:rPr>
                <w:i/>
                <w:szCs w:val="27"/>
              </w:rPr>
              <w:t>(</w:t>
            </w:r>
            <w:r>
              <w:rPr>
                <w:i/>
                <w:szCs w:val="27"/>
              </w:rPr>
              <w:t>宗</w:t>
            </w:r>
            <w:r>
              <w:rPr>
                <w:i/>
                <w:szCs w:val="27"/>
              </w:rPr>
              <w:t>)</w:t>
            </w:r>
          </w:p>
        </w:tc>
        <w:tc>
          <w:tcPr>
            <w:tcW w:w="1273" w:type="dxa"/>
            <w:tcBorders/>
            <w:vAlign w:val="center"/>
          </w:tcPr>
          <w:p>
            <w:pPr>
              <w:pStyle w:val="F21"/>
              <w:tabs>
                <w:tab w:val="clear" w:pos="567"/>
              </w:tabs>
              <w:spacing w:lineRule="atLeast" w:line="370"/>
              <w:jc w:val="center"/>
              <w:rPr>
                <w:i/>
                <w:i/>
                <w:szCs w:val="27"/>
              </w:rPr>
            </w:pPr>
            <w:r>
              <w:rPr>
                <w:i/>
                <w:szCs w:val="27"/>
              </w:rPr>
              <w:t>審議的</w:t>
            </w:r>
          </w:p>
          <w:p>
            <w:pPr>
              <w:pStyle w:val="F21"/>
              <w:tabs>
                <w:tab w:val="clear" w:pos="567"/>
              </w:tabs>
              <w:spacing w:lineRule="atLeast" w:line="370"/>
              <w:jc w:val="center"/>
              <w:rPr>
                <w:i/>
                <w:i/>
                <w:szCs w:val="27"/>
              </w:rPr>
            </w:pPr>
            <w:r>
              <w:rPr>
                <w:i/>
                <w:szCs w:val="27"/>
              </w:rPr>
              <w:t>申請</w:t>
            </w:r>
          </w:p>
          <w:p>
            <w:pPr>
              <w:pStyle w:val="F21"/>
              <w:tabs>
                <w:tab w:val="clear" w:pos="567"/>
              </w:tabs>
              <w:spacing w:lineRule="atLeast" w:line="370"/>
              <w:jc w:val="center"/>
              <w:rPr>
                <w:i/>
                <w:i/>
                <w:szCs w:val="27"/>
              </w:rPr>
            </w:pPr>
            <w:r>
              <w:rPr>
                <w:i/>
                <w:szCs w:val="27"/>
              </w:rPr>
              <w:t>(</w:t>
            </w:r>
            <w:r>
              <w:rPr>
                <w:i/>
                <w:szCs w:val="27"/>
              </w:rPr>
              <w:t>宗</w:t>
            </w:r>
            <w:r>
              <w:rPr>
                <w:i/>
                <w:szCs w:val="27"/>
              </w:rPr>
              <w:t>)</w:t>
            </w:r>
          </w:p>
        </w:tc>
        <w:tc>
          <w:tcPr>
            <w:tcW w:w="1563" w:type="dxa"/>
            <w:tcBorders/>
            <w:vAlign w:val="center"/>
          </w:tcPr>
          <w:p>
            <w:pPr>
              <w:pStyle w:val="F21"/>
              <w:tabs>
                <w:tab w:val="clear" w:pos="567"/>
              </w:tabs>
              <w:spacing w:lineRule="atLeast" w:line="370"/>
              <w:jc w:val="center"/>
              <w:rPr>
                <w:i/>
                <w:i/>
                <w:szCs w:val="27"/>
              </w:rPr>
            </w:pPr>
            <w:r>
              <w:rPr>
                <w:i/>
                <w:szCs w:val="27"/>
              </w:rPr>
              <w:t>不獲批准的申請</w:t>
            </w:r>
          </w:p>
          <w:p>
            <w:pPr>
              <w:pStyle w:val="F21"/>
              <w:tabs>
                <w:tab w:val="clear" w:pos="567"/>
              </w:tabs>
              <w:spacing w:lineRule="atLeast" w:line="370"/>
              <w:jc w:val="center"/>
              <w:rPr>
                <w:i/>
                <w:i/>
                <w:szCs w:val="27"/>
              </w:rPr>
            </w:pPr>
            <w:r>
              <w:rPr>
                <w:i/>
                <w:szCs w:val="27"/>
              </w:rPr>
              <w:t>(</w:t>
            </w:r>
            <w:r>
              <w:rPr>
                <w:i/>
                <w:szCs w:val="27"/>
              </w:rPr>
              <w:t>宗</w:t>
            </w:r>
            <w:r>
              <w:rPr>
                <w:i/>
                <w:szCs w:val="27"/>
              </w:rPr>
              <w:t>)</w:t>
            </w:r>
          </w:p>
        </w:tc>
      </w:tr>
      <w:tr>
        <w:trPr/>
        <w:tc>
          <w:tcPr>
            <w:tcW w:w="713" w:type="dxa"/>
            <w:tcBorders/>
            <w:vAlign w:val="center"/>
          </w:tcPr>
          <w:p>
            <w:pPr>
              <w:pStyle w:val="F21"/>
              <w:tabs>
                <w:tab w:val="clear" w:pos="567"/>
              </w:tabs>
              <w:spacing w:lineRule="atLeast" w:line="370"/>
              <w:jc w:val="center"/>
              <w:rPr>
                <w:szCs w:val="27"/>
              </w:rPr>
            </w:pPr>
            <w:r>
              <w:rPr>
                <w:szCs w:val="27"/>
              </w:rPr>
              <w:t>2014</w:t>
            </w:r>
          </w:p>
        </w:tc>
        <w:tc>
          <w:tcPr>
            <w:tcW w:w="1277" w:type="dxa"/>
            <w:tcBorders/>
            <w:vAlign w:val="center"/>
          </w:tcPr>
          <w:p>
            <w:pPr>
              <w:pStyle w:val="F21"/>
              <w:tabs>
                <w:tab w:val="clear" w:pos="567"/>
              </w:tabs>
              <w:spacing w:lineRule="atLeast" w:line="370"/>
              <w:ind w:right="425" w:hanging="0"/>
              <w:jc w:val="right"/>
              <w:rPr>
                <w:szCs w:val="27"/>
              </w:rPr>
            </w:pPr>
            <w:r>
              <w:rPr>
                <w:szCs w:val="27"/>
              </w:rPr>
              <w:t>35</w:t>
            </w:r>
          </w:p>
        </w:tc>
        <w:tc>
          <w:tcPr>
            <w:tcW w:w="1559" w:type="dxa"/>
            <w:tcBorders/>
            <w:vAlign w:val="center"/>
          </w:tcPr>
          <w:p>
            <w:pPr>
              <w:pStyle w:val="F21"/>
              <w:tabs>
                <w:tab w:val="clear" w:pos="567"/>
              </w:tabs>
              <w:spacing w:lineRule="atLeast" w:line="370"/>
              <w:ind w:right="619" w:hanging="0"/>
              <w:jc w:val="right"/>
              <w:rPr>
                <w:szCs w:val="27"/>
              </w:rPr>
            </w:pPr>
            <w:r>
              <w:rPr>
                <w:szCs w:val="27"/>
              </w:rPr>
              <w:t>26</w:t>
            </w:r>
          </w:p>
        </w:tc>
        <w:tc>
          <w:tcPr>
            <w:tcW w:w="1276" w:type="dxa"/>
            <w:tcBorders/>
            <w:vAlign w:val="center"/>
          </w:tcPr>
          <w:p>
            <w:pPr>
              <w:pStyle w:val="F21"/>
              <w:tabs>
                <w:tab w:val="clear" w:pos="567"/>
              </w:tabs>
              <w:spacing w:lineRule="atLeast" w:line="370"/>
              <w:ind w:right="425" w:hanging="0"/>
              <w:jc w:val="right"/>
              <w:rPr>
                <w:szCs w:val="27"/>
              </w:rPr>
            </w:pPr>
            <w:r>
              <w:rPr>
                <w:szCs w:val="27"/>
              </w:rPr>
              <w:t>61</w:t>
            </w:r>
          </w:p>
        </w:tc>
        <w:tc>
          <w:tcPr>
            <w:tcW w:w="1561" w:type="dxa"/>
            <w:tcBorders/>
            <w:vAlign w:val="center"/>
          </w:tcPr>
          <w:p>
            <w:pPr>
              <w:pStyle w:val="F21"/>
              <w:tabs>
                <w:tab w:val="clear" w:pos="567"/>
              </w:tabs>
              <w:spacing w:lineRule="atLeast" w:line="370"/>
              <w:ind w:right="569" w:hanging="0"/>
              <w:jc w:val="right"/>
              <w:rPr>
                <w:szCs w:val="27"/>
              </w:rPr>
            </w:pPr>
            <w:r>
              <w:rPr>
                <w:szCs w:val="27"/>
              </w:rPr>
              <w:t>37</w:t>
            </w:r>
          </w:p>
        </w:tc>
        <w:tc>
          <w:tcPr>
            <w:tcW w:w="1273" w:type="dxa"/>
            <w:tcBorders/>
            <w:vAlign w:val="center"/>
          </w:tcPr>
          <w:p>
            <w:pPr>
              <w:pStyle w:val="F21"/>
              <w:tabs>
                <w:tab w:val="clear" w:pos="567"/>
              </w:tabs>
              <w:spacing w:lineRule="atLeast" w:line="370"/>
              <w:ind w:right="425" w:hanging="0"/>
              <w:jc w:val="right"/>
              <w:rPr>
                <w:szCs w:val="27"/>
              </w:rPr>
            </w:pPr>
            <w:r>
              <w:rPr>
                <w:szCs w:val="27"/>
              </w:rPr>
              <w:t>96</w:t>
            </w:r>
          </w:p>
        </w:tc>
        <w:tc>
          <w:tcPr>
            <w:tcW w:w="1563" w:type="dxa"/>
            <w:tcBorders/>
            <w:vAlign w:val="center"/>
          </w:tcPr>
          <w:p>
            <w:pPr>
              <w:pStyle w:val="F21"/>
              <w:tabs>
                <w:tab w:val="clear" w:pos="567"/>
              </w:tabs>
              <w:spacing w:lineRule="atLeast" w:line="370"/>
              <w:ind w:right="569" w:hanging="0"/>
              <w:jc w:val="right"/>
              <w:rPr>
                <w:szCs w:val="27"/>
              </w:rPr>
            </w:pPr>
            <w:r>
              <w:rPr>
                <w:szCs w:val="27"/>
              </w:rPr>
              <w:t>63</w:t>
            </w:r>
          </w:p>
        </w:tc>
      </w:tr>
      <w:tr>
        <w:trPr/>
        <w:tc>
          <w:tcPr>
            <w:tcW w:w="713" w:type="dxa"/>
            <w:tcBorders/>
            <w:vAlign w:val="center"/>
          </w:tcPr>
          <w:p>
            <w:pPr>
              <w:pStyle w:val="F21"/>
              <w:tabs>
                <w:tab w:val="clear" w:pos="567"/>
              </w:tabs>
              <w:spacing w:lineRule="atLeast" w:line="370"/>
              <w:jc w:val="center"/>
              <w:rPr>
                <w:szCs w:val="27"/>
              </w:rPr>
            </w:pPr>
            <w:r>
              <w:rPr>
                <w:szCs w:val="27"/>
              </w:rPr>
              <w:t>2015</w:t>
            </w:r>
          </w:p>
        </w:tc>
        <w:tc>
          <w:tcPr>
            <w:tcW w:w="1277" w:type="dxa"/>
            <w:tcBorders/>
            <w:vAlign w:val="center"/>
          </w:tcPr>
          <w:p>
            <w:pPr>
              <w:pStyle w:val="F21"/>
              <w:tabs>
                <w:tab w:val="clear" w:pos="567"/>
              </w:tabs>
              <w:spacing w:lineRule="atLeast" w:line="370"/>
              <w:ind w:right="425" w:hanging="0"/>
              <w:jc w:val="right"/>
              <w:rPr>
                <w:szCs w:val="27"/>
              </w:rPr>
            </w:pPr>
            <w:r>
              <w:rPr>
                <w:szCs w:val="27"/>
              </w:rPr>
              <w:t>26</w:t>
            </w:r>
          </w:p>
        </w:tc>
        <w:tc>
          <w:tcPr>
            <w:tcW w:w="1559" w:type="dxa"/>
            <w:tcBorders/>
            <w:vAlign w:val="center"/>
          </w:tcPr>
          <w:p>
            <w:pPr>
              <w:pStyle w:val="F21"/>
              <w:tabs>
                <w:tab w:val="clear" w:pos="567"/>
              </w:tabs>
              <w:spacing w:lineRule="atLeast" w:line="370"/>
              <w:ind w:right="619" w:hanging="0"/>
              <w:jc w:val="right"/>
              <w:rPr>
                <w:szCs w:val="27"/>
              </w:rPr>
            </w:pPr>
            <w:r>
              <w:rPr>
                <w:szCs w:val="27"/>
              </w:rPr>
              <w:t>14</w:t>
            </w:r>
          </w:p>
        </w:tc>
        <w:tc>
          <w:tcPr>
            <w:tcW w:w="1276" w:type="dxa"/>
            <w:tcBorders/>
            <w:vAlign w:val="center"/>
          </w:tcPr>
          <w:p>
            <w:pPr>
              <w:pStyle w:val="F21"/>
              <w:tabs>
                <w:tab w:val="clear" w:pos="567"/>
              </w:tabs>
              <w:spacing w:lineRule="atLeast" w:line="370"/>
              <w:ind w:right="425" w:hanging="0"/>
              <w:jc w:val="right"/>
              <w:rPr>
                <w:szCs w:val="27"/>
              </w:rPr>
            </w:pPr>
            <w:r>
              <w:rPr>
                <w:szCs w:val="27"/>
              </w:rPr>
              <w:t>65</w:t>
            </w:r>
          </w:p>
        </w:tc>
        <w:tc>
          <w:tcPr>
            <w:tcW w:w="1561" w:type="dxa"/>
            <w:tcBorders/>
            <w:vAlign w:val="center"/>
          </w:tcPr>
          <w:p>
            <w:pPr>
              <w:pStyle w:val="F21"/>
              <w:tabs>
                <w:tab w:val="clear" w:pos="567"/>
              </w:tabs>
              <w:spacing w:lineRule="atLeast" w:line="370"/>
              <w:ind w:right="569" w:hanging="0"/>
              <w:jc w:val="right"/>
              <w:rPr>
                <w:szCs w:val="27"/>
              </w:rPr>
            </w:pPr>
            <w:r>
              <w:rPr>
                <w:szCs w:val="27"/>
              </w:rPr>
              <w:t>34</w:t>
            </w:r>
          </w:p>
        </w:tc>
        <w:tc>
          <w:tcPr>
            <w:tcW w:w="1273" w:type="dxa"/>
            <w:tcBorders/>
            <w:vAlign w:val="center"/>
          </w:tcPr>
          <w:p>
            <w:pPr>
              <w:pStyle w:val="F21"/>
              <w:tabs>
                <w:tab w:val="clear" w:pos="567"/>
              </w:tabs>
              <w:spacing w:lineRule="atLeast" w:line="370"/>
              <w:ind w:right="425" w:hanging="0"/>
              <w:jc w:val="right"/>
              <w:rPr>
                <w:szCs w:val="27"/>
              </w:rPr>
            </w:pPr>
            <w:r>
              <w:rPr>
                <w:szCs w:val="27"/>
              </w:rPr>
              <w:t>91</w:t>
            </w:r>
          </w:p>
        </w:tc>
        <w:tc>
          <w:tcPr>
            <w:tcW w:w="1563" w:type="dxa"/>
            <w:tcBorders/>
            <w:vAlign w:val="center"/>
          </w:tcPr>
          <w:p>
            <w:pPr>
              <w:pStyle w:val="F21"/>
              <w:tabs>
                <w:tab w:val="clear" w:pos="567"/>
              </w:tabs>
              <w:spacing w:lineRule="atLeast" w:line="370"/>
              <w:ind w:right="569" w:hanging="0"/>
              <w:jc w:val="right"/>
              <w:rPr>
                <w:szCs w:val="27"/>
              </w:rPr>
            </w:pPr>
            <w:r>
              <w:rPr>
                <w:szCs w:val="27"/>
              </w:rPr>
              <w:t>48</w:t>
            </w:r>
          </w:p>
        </w:tc>
      </w:tr>
      <w:tr>
        <w:trPr/>
        <w:tc>
          <w:tcPr>
            <w:tcW w:w="713" w:type="dxa"/>
            <w:tcBorders/>
            <w:vAlign w:val="center"/>
          </w:tcPr>
          <w:p>
            <w:pPr>
              <w:pStyle w:val="F21"/>
              <w:tabs>
                <w:tab w:val="clear" w:pos="567"/>
              </w:tabs>
              <w:spacing w:lineRule="atLeast" w:line="370"/>
              <w:jc w:val="center"/>
              <w:rPr>
                <w:szCs w:val="27"/>
              </w:rPr>
            </w:pPr>
            <w:r>
              <w:rPr>
                <w:szCs w:val="27"/>
              </w:rPr>
              <w:t>2016</w:t>
            </w:r>
          </w:p>
        </w:tc>
        <w:tc>
          <w:tcPr>
            <w:tcW w:w="1277" w:type="dxa"/>
            <w:tcBorders/>
            <w:vAlign w:val="center"/>
          </w:tcPr>
          <w:p>
            <w:pPr>
              <w:pStyle w:val="F21"/>
              <w:tabs>
                <w:tab w:val="clear" w:pos="567"/>
              </w:tabs>
              <w:spacing w:lineRule="atLeast" w:line="370"/>
              <w:ind w:right="425" w:hanging="0"/>
              <w:jc w:val="right"/>
              <w:rPr>
                <w:szCs w:val="27"/>
              </w:rPr>
            </w:pPr>
            <w:r>
              <w:rPr>
                <w:szCs w:val="27"/>
              </w:rPr>
              <w:t>27</w:t>
            </w:r>
          </w:p>
        </w:tc>
        <w:tc>
          <w:tcPr>
            <w:tcW w:w="1559" w:type="dxa"/>
            <w:tcBorders/>
            <w:vAlign w:val="center"/>
          </w:tcPr>
          <w:p>
            <w:pPr>
              <w:pStyle w:val="F21"/>
              <w:tabs>
                <w:tab w:val="clear" w:pos="567"/>
              </w:tabs>
              <w:spacing w:lineRule="atLeast" w:line="370"/>
              <w:ind w:right="619" w:hanging="0"/>
              <w:jc w:val="right"/>
              <w:rPr>
                <w:szCs w:val="27"/>
              </w:rPr>
            </w:pPr>
            <w:r>
              <w:rPr>
                <w:szCs w:val="27"/>
              </w:rPr>
              <w:t>9</w:t>
            </w:r>
          </w:p>
        </w:tc>
        <w:tc>
          <w:tcPr>
            <w:tcW w:w="1276" w:type="dxa"/>
            <w:tcBorders/>
            <w:vAlign w:val="center"/>
          </w:tcPr>
          <w:p>
            <w:pPr>
              <w:pStyle w:val="F21"/>
              <w:tabs>
                <w:tab w:val="clear" w:pos="567"/>
              </w:tabs>
              <w:spacing w:lineRule="atLeast" w:line="370"/>
              <w:ind w:right="425" w:hanging="0"/>
              <w:jc w:val="right"/>
              <w:rPr>
                <w:szCs w:val="27"/>
              </w:rPr>
            </w:pPr>
            <w:r>
              <w:rPr>
                <w:szCs w:val="27"/>
              </w:rPr>
              <w:t>46</w:t>
            </w:r>
          </w:p>
        </w:tc>
        <w:tc>
          <w:tcPr>
            <w:tcW w:w="1561" w:type="dxa"/>
            <w:tcBorders/>
            <w:vAlign w:val="center"/>
          </w:tcPr>
          <w:p>
            <w:pPr>
              <w:pStyle w:val="F21"/>
              <w:tabs>
                <w:tab w:val="clear" w:pos="567"/>
              </w:tabs>
              <w:spacing w:lineRule="atLeast" w:line="370"/>
              <w:ind w:right="569" w:hanging="0"/>
              <w:jc w:val="right"/>
              <w:rPr>
                <w:szCs w:val="27"/>
              </w:rPr>
            </w:pPr>
            <w:r>
              <w:rPr>
                <w:szCs w:val="27"/>
              </w:rPr>
              <w:t>23</w:t>
            </w:r>
          </w:p>
        </w:tc>
        <w:tc>
          <w:tcPr>
            <w:tcW w:w="1273" w:type="dxa"/>
            <w:tcBorders/>
            <w:vAlign w:val="center"/>
          </w:tcPr>
          <w:p>
            <w:pPr>
              <w:pStyle w:val="F21"/>
              <w:tabs>
                <w:tab w:val="clear" w:pos="567"/>
              </w:tabs>
              <w:spacing w:lineRule="atLeast" w:line="370"/>
              <w:ind w:right="425" w:hanging="0"/>
              <w:jc w:val="right"/>
              <w:rPr>
                <w:szCs w:val="27"/>
              </w:rPr>
            </w:pPr>
            <w:r>
              <w:rPr>
                <w:szCs w:val="27"/>
              </w:rPr>
              <w:t>73</w:t>
            </w:r>
          </w:p>
        </w:tc>
        <w:tc>
          <w:tcPr>
            <w:tcW w:w="1563" w:type="dxa"/>
            <w:tcBorders/>
            <w:vAlign w:val="center"/>
          </w:tcPr>
          <w:p>
            <w:pPr>
              <w:pStyle w:val="F21"/>
              <w:tabs>
                <w:tab w:val="clear" w:pos="567"/>
              </w:tabs>
              <w:spacing w:lineRule="atLeast" w:line="370"/>
              <w:ind w:right="569" w:hanging="0"/>
              <w:jc w:val="right"/>
              <w:rPr>
                <w:szCs w:val="27"/>
              </w:rPr>
            </w:pPr>
            <w:r>
              <w:rPr>
                <w:szCs w:val="27"/>
              </w:rPr>
              <w:t>32</w:t>
            </w:r>
          </w:p>
        </w:tc>
      </w:tr>
      <w:tr>
        <w:trPr/>
        <w:tc>
          <w:tcPr>
            <w:tcW w:w="713" w:type="dxa"/>
            <w:tcBorders/>
            <w:vAlign w:val="center"/>
          </w:tcPr>
          <w:p>
            <w:pPr>
              <w:pStyle w:val="F21"/>
              <w:tabs>
                <w:tab w:val="clear" w:pos="567"/>
              </w:tabs>
              <w:spacing w:lineRule="atLeast" w:line="370"/>
              <w:jc w:val="center"/>
              <w:rPr>
                <w:szCs w:val="27"/>
              </w:rPr>
            </w:pPr>
            <w:r>
              <w:rPr>
                <w:szCs w:val="27"/>
              </w:rPr>
              <w:t>2017</w:t>
            </w:r>
          </w:p>
        </w:tc>
        <w:tc>
          <w:tcPr>
            <w:tcW w:w="1277" w:type="dxa"/>
            <w:tcBorders/>
            <w:vAlign w:val="center"/>
          </w:tcPr>
          <w:p>
            <w:pPr>
              <w:pStyle w:val="F21"/>
              <w:tabs>
                <w:tab w:val="clear" w:pos="567"/>
              </w:tabs>
              <w:spacing w:lineRule="atLeast" w:line="370"/>
              <w:ind w:right="425" w:hanging="0"/>
              <w:jc w:val="right"/>
              <w:rPr>
                <w:szCs w:val="27"/>
              </w:rPr>
            </w:pPr>
            <w:r>
              <w:rPr>
                <w:szCs w:val="27"/>
              </w:rPr>
              <w:t>29</w:t>
            </w:r>
          </w:p>
        </w:tc>
        <w:tc>
          <w:tcPr>
            <w:tcW w:w="1559" w:type="dxa"/>
            <w:tcBorders/>
            <w:vAlign w:val="center"/>
          </w:tcPr>
          <w:p>
            <w:pPr>
              <w:pStyle w:val="F21"/>
              <w:tabs>
                <w:tab w:val="clear" w:pos="567"/>
              </w:tabs>
              <w:spacing w:lineRule="atLeast" w:line="370"/>
              <w:ind w:right="619" w:hanging="0"/>
              <w:jc w:val="right"/>
              <w:rPr>
                <w:szCs w:val="27"/>
              </w:rPr>
            </w:pPr>
            <w:r>
              <w:rPr>
                <w:szCs w:val="27"/>
              </w:rPr>
              <w:t>13</w:t>
            </w:r>
          </w:p>
        </w:tc>
        <w:tc>
          <w:tcPr>
            <w:tcW w:w="1276" w:type="dxa"/>
            <w:tcBorders/>
            <w:vAlign w:val="center"/>
          </w:tcPr>
          <w:p>
            <w:pPr>
              <w:pStyle w:val="F21"/>
              <w:tabs>
                <w:tab w:val="clear" w:pos="567"/>
              </w:tabs>
              <w:spacing w:lineRule="atLeast" w:line="370"/>
              <w:ind w:right="425" w:hanging="0"/>
              <w:jc w:val="right"/>
              <w:rPr>
                <w:szCs w:val="27"/>
              </w:rPr>
            </w:pPr>
            <w:r>
              <w:rPr>
                <w:szCs w:val="27"/>
              </w:rPr>
              <w:t>37</w:t>
            </w:r>
          </w:p>
        </w:tc>
        <w:tc>
          <w:tcPr>
            <w:tcW w:w="1561" w:type="dxa"/>
            <w:tcBorders/>
            <w:vAlign w:val="center"/>
          </w:tcPr>
          <w:p>
            <w:pPr>
              <w:pStyle w:val="F21"/>
              <w:tabs>
                <w:tab w:val="clear" w:pos="567"/>
              </w:tabs>
              <w:spacing w:lineRule="atLeast" w:line="370"/>
              <w:ind w:right="569" w:hanging="0"/>
              <w:jc w:val="right"/>
              <w:rPr>
                <w:szCs w:val="27"/>
              </w:rPr>
            </w:pPr>
            <w:r>
              <w:rPr>
                <w:szCs w:val="27"/>
              </w:rPr>
              <w:t>25</w:t>
            </w:r>
          </w:p>
        </w:tc>
        <w:tc>
          <w:tcPr>
            <w:tcW w:w="1273" w:type="dxa"/>
            <w:tcBorders/>
            <w:vAlign w:val="center"/>
          </w:tcPr>
          <w:p>
            <w:pPr>
              <w:pStyle w:val="F21"/>
              <w:tabs>
                <w:tab w:val="clear" w:pos="567"/>
              </w:tabs>
              <w:spacing w:lineRule="atLeast" w:line="370"/>
              <w:ind w:right="425" w:hanging="0"/>
              <w:jc w:val="right"/>
              <w:rPr>
                <w:szCs w:val="27"/>
              </w:rPr>
            </w:pPr>
            <w:r>
              <w:rPr>
                <w:szCs w:val="27"/>
              </w:rPr>
              <w:t>66</w:t>
            </w:r>
          </w:p>
        </w:tc>
        <w:tc>
          <w:tcPr>
            <w:tcW w:w="1563" w:type="dxa"/>
            <w:tcBorders/>
            <w:vAlign w:val="center"/>
          </w:tcPr>
          <w:p>
            <w:pPr>
              <w:pStyle w:val="F21"/>
              <w:tabs>
                <w:tab w:val="clear" w:pos="567"/>
              </w:tabs>
              <w:spacing w:lineRule="atLeast" w:line="370"/>
              <w:ind w:right="569" w:hanging="0"/>
              <w:jc w:val="right"/>
              <w:rPr>
                <w:szCs w:val="27"/>
              </w:rPr>
            </w:pPr>
            <w:r>
              <w:rPr>
                <w:szCs w:val="27"/>
              </w:rPr>
              <w:t>38</w:t>
            </w:r>
          </w:p>
        </w:tc>
      </w:tr>
      <w:tr>
        <w:trPr/>
        <w:tc>
          <w:tcPr>
            <w:tcW w:w="713" w:type="dxa"/>
            <w:tcBorders/>
            <w:vAlign w:val="center"/>
          </w:tcPr>
          <w:p>
            <w:pPr>
              <w:pStyle w:val="F21"/>
              <w:tabs>
                <w:tab w:val="clear" w:pos="567"/>
              </w:tabs>
              <w:spacing w:lineRule="atLeast" w:line="370"/>
              <w:jc w:val="center"/>
              <w:rPr>
                <w:szCs w:val="27"/>
              </w:rPr>
            </w:pPr>
            <w:r>
              <w:rPr>
                <w:szCs w:val="27"/>
              </w:rPr>
              <w:t>2018</w:t>
            </w:r>
          </w:p>
        </w:tc>
        <w:tc>
          <w:tcPr>
            <w:tcW w:w="1277" w:type="dxa"/>
            <w:tcBorders/>
            <w:vAlign w:val="center"/>
          </w:tcPr>
          <w:p>
            <w:pPr>
              <w:pStyle w:val="F21"/>
              <w:tabs>
                <w:tab w:val="clear" w:pos="567"/>
              </w:tabs>
              <w:spacing w:lineRule="atLeast" w:line="370"/>
              <w:ind w:right="425" w:hanging="0"/>
              <w:jc w:val="right"/>
              <w:rPr>
                <w:szCs w:val="27"/>
              </w:rPr>
            </w:pPr>
            <w:r>
              <w:rPr>
                <w:szCs w:val="27"/>
              </w:rPr>
              <w:t>26</w:t>
            </w:r>
          </w:p>
        </w:tc>
        <w:tc>
          <w:tcPr>
            <w:tcW w:w="1559" w:type="dxa"/>
            <w:tcBorders/>
            <w:vAlign w:val="center"/>
          </w:tcPr>
          <w:p>
            <w:pPr>
              <w:pStyle w:val="F21"/>
              <w:tabs>
                <w:tab w:val="clear" w:pos="567"/>
              </w:tabs>
              <w:spacing w:lineRule="atLeast" w:line="370"/>
              <w:ind w:right="619" w:hanging="0"/>
              <w:jc w:val="right"/>
              <w:rPr>
                <w:szCs w:val="27"/>
              </w:rPr>
            </w:pPr>
            <w:r>
              <w:rPr>
                <w:szCs w:val="27"/>
              </w:rPr>
              <w:t>17</w:t>
            </w:r>
          </w:p>
        </w:tc>
        <w:tc>
          <w:tcPr>
            <w:tcW w:w="1276" w:type="dxa"/>
            <w:tcBorders/>
            <w:vAlign w:val="center"/>
          </w:tcPr>
          <w:p>
            <w:pPr>
              <w:pStyle w:val="F21"/>
              <w:tabs>
                <w:tab w:val="clear" w:pos="567"/>
              </w:tabs>
              <w:spacing w:lineRule="atLeast" w:line="370"/>
              <w:ind w:right="425" w:hanging="0"/>
              <w:jc w:val="right"/>
              <w:rPr>
                <w:szCs w:val="27"/>
              </w:rPr>
            </w:pPr>
            <w:r>
              <w:rPr>
                <w:szCs w:val="27"/>
              </w:rPr>
              <w:t>26</w:t>
            </w:r>
          </w:p>
        </w:tc>
        <w:tc>
          <w:tcPr>
            <w:tcW w:w="1561" w:type="dxa"/>
            <w:tcBorders/>
            <w:vAlign w:val="center"/>
          </w:tcPr>
          <w:p>
            <w:pPr>
              <w:pStyle w:val="F21"/>
              <w:tabs>
                <w:tab w:val="clear" w:pos="567"/>
              </w:tabs>
              <w:spacing w:lineRule="atLeast" w:line="370"/>
              <w:ind w:right="569" w:hanging="0"/>
              <w:jc w:val="right"/>
              <w:rPr>
                <w:szCs w:val="27"/>
              </w:rPr>
            </w:pPr>
            <w:r>
              <w:rPr>
                <w:szCs w:val="27"/>
              </w:rPr>
              <w:t>14</w:t>
            </w:r>
          </w:p>
        </w:tc>
        <w:tc>
          <w:tcPr>
            <w:tcW w:w="1273" w:type="dxa"/>
            <w:tcBorders/>
            <w:vAlign w:val="center"/>
          </w:tcPr>
          <w:p>
            <w:pPr>
              <w:pStyle w:val="F21"/>
              <w:tabs>
                <w:tab w:val="clear" w:pos="567"/>
              </w:tabs>
              <w:spacing w:lineRule="atLeast" w:line="370"/>
              <w:ind w:right="425" w:hanging="0"/>
              <w:jc w:val="right"/>
              <w:rPr>
                <w:szCs w:val="27"/>
              </w:rPr>
            </w:pPr>
            <w:r>
              <w:rPr>
                <w:szCs w:val="27"/>
              </w:rPr>
              <w:t>52</w:t>
            </w:r>
          </w:p>
        </w:tc>
        <w:tc>
          <w:tcPr>
            <w:tcW w:w="1563" w:type="dxa"/>
            <w:tcBorders/>
            <w:vAlign w:val="center"/>
          </w:tcPr>
          <w:p>
            <w:pPr>
              <w:pStyle w:val="F21"/>
              <w:tabs>
                <w:tab w:val="clear" w:pos="567"/>
              </w:tabs>
              <w:spacing w:lineRule="atLeast" w:line="370"/>
              <w:ind w:right="569" w:hanging="0"/>
              <w:jc w:val="right"/>
              <w:rPr>
                <w:szCs w:val="27"/>
              </w:rPr>
            </w:pPr>
            <w:r>
              <w:rPr>
                <w:szCs w:val="27"/>
              </w:rPr>
              <w:t>31</w:t>
            </w:r>
          </w:p>
        </w:tc>
      </w:tr>
      <w:tr>
        <w:trPr/>
        <w:tc>
          <w:tcPr>
            <w:tcW w:w="713" w:type="dxa"/>
            <w:tcBorders/>
            <w:vAlign w:val="center"/>
          </w:tcPr>
          <w:p>
            <w:pPr>
              <w:pStyle w:val="F21"/>
              <w:tabs>
                <w:tab w:val="clear" w:pos="567"/>
              </w:tabs>
              <w:spacing w:lineRule="atLeast" w:line="370"/>
              <w:jc w:val="center"/>
              <w:rPr>
                <w:szCs w:val="27"/>
              </w:rPr>
            </w:pPr>
            <w:r>
              <w:rPr>
                <w:szCs w:val="27"/>
              </w:rPr>
              <w:t>總數</w:t>
            </w:r>
          </w:p>
        </w:tc>
        <w:tc>
          <w:tcPr>
            <w:tcW w:w="1277" w:type="dxa"/>
            <w:tcBorders/>
            <w:vAlign w:val="center"/>
          </w:tcPr>
          <w:p>
            <w:pPr>
              <w:pStyle w:val="F21"/>
              <w:tabs>
                <w:tab w:val="clear" w:pos="567"/>
              </w:tabs>
              <w:spacing w:lineRule="atLeast" w:line="370"/>
              <w:ind w:right="425" w:hanging="0"/>
              <w:jc w:val="right"/>
              <w:rPr>
                <w:szCs w:val="27"/>
              </w:rPr>
            </w:pPr>
            <w:r>
              <w:rPr>
                <w:szCs w:val="27"/>
              </w:rPr>
              <w:t>143</w:t>
            </w:r>
          </w:p>
        </w:tc>
        <w:tc>
          <w:tcPr>
            <w:tcW w:w="1559" w:type="dxa"/>
            <w:tcBorders/>
            <w:vAlign w:val="center"/>
          </w:tcPr>
          <w:p>
            <w:pPr>
              <w:pStyle w:val="F21"/>
              <w:tabs>
                <w:tab w:val="clear" w:pos="567"/>
              </w:tabs>
              <w:spacing w:lineRule="atLeast" w:line="370"/>
              <w:ind w:right="619" w:hanging="0"/>
              <w:jc w:val="right"/>
              <w:rPr>
                <w:szCs w:val="27"/>
              </w:rPr>
            </w:pPr>
            <w:r>
              <w:rPr>
                <w:szCs w:val="27"/>
              </w:rPr>
              <w:t>79</w:t>
            </w:r>
          </w:p>
        </w:tc>
        <w:tc>
          <w:tcPr>
            <w:tcW w:w="1276" w:type="dxa"/>
            <w:tcBorders/>
            <w:vAlign w:val="center"/>
          </w:tcPr>
          <w:p>
            <w:pPr>
              <w:pStyle w:val="F21"/>
              <w:tabs>
                <w:tab w:val="clear" w:pos="567"/>
              </w:tabs>
              <w:spacing w:lineRule="atLeast" w:line="370"/>
              <w:ind w:right="425" w:hanging="0"/>
              <w:jc w:val="right"/>
              <w:rPr>
                <w:szCs w:val="27"/>
              </w:rPr>
            </w:pPr>
            <w:r>
              <w:rPr>
                <w:szCs w:val="27"/>
              </w:rPr>
              <w:t>235</w:t>
            </w:r>
          </w:p>
        </w:tc>
        <w:tc>
          <w:tcPr>
            <w:tcW w:w="1561" w:type="dxa"/>
            <w:tcBorders/>
            <w:vAlign w:val="center"/>
          </w:tcPr>
          <w:p>
            <w:pPr>
              <w:pStyle w:val="F21"/>
              <w:tabs>
                <w:tab w:val="clear" w:pos="567"/>
              </w:tabs>
              <w:spacing w:lineRule="atLeast" w:line="370"/>
              <w:ind w:right="569" w:hanging="0"/>
              <w:jc w:val="right"/>
              <w:rPr>
                <w:szCs w:val="27"/>
              </w:rPr>
            </w:pPr>
            <w:r>
              <w:rPr>
                <w:szCs w:val="27"/>
              </w:rPr>
              <w:t>133</w:t>
            </w:r>
          </w:p>
        </w:tc>
        <w:tc>
          <w:tcPr>
            <w:tcW w:w="1273" w:type="dxa"/>
            <w:tcBorders/>
            <w:vAlign w:val="center"/>
          </w:tcPr>
          <w:p>
            <w:pPr>
              <w:pStyle w:val="F21"/>
              <w:tabs>
                <w:tab w:val="clear" w:pos="567"/>
              </w:tabs>
              <w:spacing w:lineRule="atLeast" w:line="370"/>
              <w:ind w:right="425" w:hanging="0"/>
              <w:jc w:val="right"/>
              <w:rPr>
                <w:szCs w:val="27"/>
              </w:rPr>
            </w:pPr>
            <w:r>
              <w:rPr>
                <w:szCs w:val="27"/>
              </w:rPr>
              <w:t>378</w:t>
            </w:r>
          </w:p>
        </w:tc>
        <w:tc>
          <w:tcPr>
            <w:tcW w:w="1563" w:type="dxa"/>
            <w:tcBorders/>
            <w:vAlign w:val="center"/>
          </w:tcPr>
          <w:p>
            <w:pPr>
              <w:pStyle w:val="F21"/>
              <w:tabs>
                <w:tab w:val="clear" w:pos="567"/>
              </w:tabs>
              <w:spacing w:lineRule="atLeast" w:line="370"/>
              <w:ind w:right="569" w:hanging="0"/>
              <w:jc w:val="right"/>
              <w:rPr>
                <w:szCs w:val="27"/>
              </w:rPr>
            </w:pPr>
            <w:r>
              <w:rPr>
                <w:szCs w:val="27"/>
              </w:rPr>
              <w:t>212</w:t>
            </w:r>
          </w:p>
        </w:tc>
      </w:tr>
    </w:tbl>
    <w:p>
      <w:pPr>
        <w:pStyle w:val="F21"/>
        <w:rPr>
          <w:szCs w:val="27"/>
        </w:rPr>
      </w:pPr>
      <w:r>
        <w:rPr>
          <w:szCs w:val="27"/>
        </w:rPr>
      </w:r>
    </w:p>
    <w:p>
      <w:pPr>
        <w:pStyle w:val="F21"/>
        <w:rPr>
          <w:szCs w:val="27"/>
        </w:rPr>
      </w:pPr>
      <w:r>
        <w:rPr>
          <w:szCs w:val="27"/>
        </w:rPr>
      </w:r>
    </w:p>
    <w:p>
      <w:pPr>
        <w:pStyle w:val="F21"/>
        <w:overflowPunct w:val="true"/>
        <w:rPr>
          <w:rFonts w:eastAsia="華康中黑體" w:cs="Times New Roman"/>
          <w:b/>
          <w:b/>
        </w:rPr>
      </w:pPr>
      <w:bookmarkStart w:id="35" w:name="wrq11"/>
      <w:r>
        <w:rPr>
          <w:rFonts w:cs="Times New Roman" w:eastAsia="華康中黑體"/>
          <w:b/>
        </w:rPr>
        <w:t>在機場禁區內發生的事件</w:t>
      </w:r>
    </w:p>
    <w:p>
      <w:pPr>
        <w:pStyle w:val="Normal"/>
        <w:overflowPunct w:val="true"/>
        <w:rPr>
          <w:b/>
          <w:b/>
        </w:rPr>
      </w:pPr>
      <w:bookmarkStart w:id="36" w:name="wrq11"/>
      <w:r>
        <w:rPr>
          <w:b/>
        </w:rPr>
        <w:t>An incident occurred in the airport restricted area</w:t>
      </w:r>
      <w:bookmarkEnd w:id="36"/>
    </w:p>
    <w:p>
      <w:pPr>
        <w:pStyle w:val="F21"/>
        <w:overflowPunct w:val="true"/>
        <w:rPr>
          <w:rFonts w:cs="Times New Roman"/>
        </w:rPr>
      </w:pPr>
      <w:r>
        <w:rPr>
          <w:rFonts w:cs="Times New Roman"/>
        </w:rPr>
      </w:r>
    </w:p>
    <w:p>
      <w:pPr>
        <w:pStyle w:val="F21"/>
        <w:rPr>
          <w:i/>
          <w:i/>
          <w:szCs w:val="27"/>
        </w:rPr>
      </w:pPr>
      <w:r>
        <w:rPr>
          <w:rFonts w:eastAsia="華康中黑體" w:cs="Times New Roman"/>
          <w:b/>
          <w:szCs w:val="27"/>
        </w:rPr>
        <w:t>11.</w:t>
        <w:tab/>
      </w:r>
      <w:r>
        <w:rPr>
          <w:rFonts w:cs="Times New Roman" w:eastAsia="華康中黑體"/>
          <w:b/>
          <w:szCs w:val="27"/>
        </w:rPr>
        <w:t>朱凱廸議員</w:t>
      </w:r>
      <w:r>
        <w:rPr>
          <w:szCs w:val="27"/>
        </w:rPr>
        <w:t>：</w:t>
      </w:r>
      <w:r>
        <w:rPr>
          <w:i/>
          <w:szCs w:val="27"/>
        </w:rPr>
        <w:t>主席，據報，去年</w:t>
      </w:r>
      <w:r>
        <w:rPr>
          <w:i/>
          <w:szCs w:val="27"/>
        </w:rPr>
        <w:t>9</w:t>
      </w:r>
      <w:r>
        <w:rPr>
          <w:i/>
          <w:szCs w:val="27"/>
        </w:rPr>
        <w:t>月，兩名擬尋求澳洲政府庇護的沙特阿拉伯</w:t>
      </w:r>
      <w:r>
        <w:rPr>
          <w:i/>
          <w:szCs w:val="27"/>
        </w:rPr>
        <w:t>(</w:t>
      </w:r>
      <w:r>
        <w:rPr>
          <w:rFonts w:cs="Times New Roman"/>
          <w:i/>
          <w:szCs w:val="27"/>
        </w:rPr>
        <w:t>"</w:t>
      </w:r>
      <w:r>
        <w:rPr>
          <w:i/>
          <w:szCs w:val="27"/>
        </w:rPr>
        <w:t>沙特</w:t>
      </w:r>
      <w:r>
        <w:rPr>
          <w:rFonts w:cs="Times New Roman"/>
          <w:i/>
          <w:szCs w:val="27"/>
        </w:rPr>
        <w:t>"</w:t>
      </w:r>
      <w:r>
        <w:rPr>
          <w:i/>
          <w:szCs w:val="27"/>
        </w:rPr>
        <w:t>)</w:t>
      </w:r>
      <w:r>
        <w:rPr>
          <w:i/>
          <w:szCs w:val="27"/>
        </w:rPr>
        <w:t>女子乘坐斯里蘭卡航空公司</w:t>
      </w:r>
      <w:r>
        <w:rPr>
          <w:i/>
          <w:szCs w:val="27"/>
        </w:rPr>
        <w:t>(</w:t>
      </w:r>
      <w:r>
        <w:rPr>
          <w:rFonts w:cs="Times New Roman"/>
          <w:i/>
          <w:szCs w:val="27"/>
        </w:rPr>
        <w:t>"</w:t>
      </w:r>
      <w:r>
        <w:rPr>
          <w:i/>
          <w:szCs w:val="27"/>
        </w:rPr>
        <w:t>斯航</w:t>
      </w:r>
      <w:r>
        <w:rPr>
          <w:rFonts w:cs="Times New Roman"/>
          <w:i/>
          <w:szCs w:val="27"/>
        </w:rPr>
        <w:t>"</w:t>
      </w:r>
      <w:r>
        <w:rPr>
          <w:i/>
          <w:szCs w:val="27"/>
        </w:rPr>
        <w:t>)</w:t>
      </w:r>
      <w:r>
        <w:rPr>
          <w:i/>
          <w:szCs w:val="27"/>
        </w:rPr>
        <w:t>航班從科倫坡飛抵香港國際機場。她們在機場禁區等候轉乘國泰航空公司</w:t>
      </w:r>
      <w:r>
        <w:rPr>
          <w:i/>
          <w:szCs w:val="27"/>
        </w:rPr>
        <w:t>(</w:t>
      </w:r>
      <w:r>
        <w:rPr>
          <w:rFonts w:cs="Times New Roman"/>
          <w:i/>
          <w:szCs w:val="27"/>
        </w:rPr>
        <w:t>"</w:t>
      </w:r>
      <w:r>
        <w:rPr>
          <w:i/>
          <w:szCs w:val="27"/>
        </w:rPr>
        <w:t>國泰</w:t>
      </w:r>
      <w:r>
        <w:rPr>
          <w:rFonts w:cs="Times New Roman"/>
          <w:i/>
          <w:szCs w:val="27"/>
        </w:rPr>
        <w:t>"</w:t>
      </w:r>
      <w:r>
        <w:rPr>
          <w:i/>
          <w:szCs w:val="27"/>
        </w:rPr>
        <w:t>)</w:t>
      </w:r>
      <w:r>
        <w:rPr>
          <w:i/>
          <w:szCs w:val="27"/>
        </w:rPr>
        <w:t>開往墨爾本航班期間，沙特駐港領事館兩名人員試圖欺騙她們登上開往杜拜的航班，而斯航和國泰職員取消了她們乘坐開往墨爾本航班的機位。該兩名女子後來獲准入境香港，並現已離港。就此，政府可否告知本會：</w:t>
      </w:r>
    </w:p>
    <w:p>
      <w:pPr>
        <w:pStyle w:val="F21"/>
        <w:rPr>
          <w:i/>
          <w:i/>
          <w:szCs w:val="27"/>
        </w:rPr>
      </w:pPr>
      <w:r>
        <w:rPr>
          <w:i/>
          <w:szCs w:val="27"/>
        </w:rPr>
      </w:r>
    </w:p>
    <w:p>
      <w:pPr>
        <w:pStyle w:val="F21"/>
        <w:ind w:left="1418" w:hanging="851"/>
        <w:rPr>
          <w:i/>
          <w:i/>
          <w:szCs w:val="27"/>
        </w:rPr>
      </w:pPr>
      <w:r>
        <w:rPr>
          <w:i/>
          <w:szCs w:val="27"/>
        </w:rPr>
        <w:t>(</w:t>
      </w:r>
      <w:r>
        <w:rPr>
          <w:i/>
          <w:szCs w:val="27"/>
        </w:rPr>
        <w:t>一</w:t>
      </w:r>
      <w:r>
        <w:rPr>
          <w:i/>
          <w:szCs w:val="27"/>
        </w:rPr>
        <w:t>)</w:t>
        <w:tab/>
      </w:r>
      <w:r>
        <w:rPr>
          <w:i/>
          <w:szCs w:val="27"/>
        </w:rPr>
        <w:t>是否知悉，沙特駐港領事人員以何方式及身份進入機場禁區範圍；有否評估他們在機場禁區內的行為有否觸犯刑事罪行；如有評估而結果為有，有何跟進行動；及</w:t>
      </w:r>
    </w:p>
    <w:p>
      <w:pPr>
        <w:pStyle w:val="F21"/>
        <w:ind w:left="1418" w:hanging="851"/>
        <w:rPr>
          <w:i/>
          <w:i/>
          <w:szCs w:val="27"/>
        </w:rPr>
      </w:pPr>
      <w:r>
        <w:rPr>
          <w:i/>
          <w:szCs w:val="27"/>
        </w:rPr>
      </w:r>
    </w:p>
    <w:p>
      <w:pPr>
        <w:pStyle w:val="F21"/>
        <w:ind w:left="1418" w:hanging="851"/>
        <w:rPr>
          <w:i/>
          <w:i/>
          <w:szCs w:val="27"/>
        </w:rPr>
      </w:pPr>
      <w:r>
        <w:rPr>
          <w:i/>
          <w:szCs w:val="27"/>
        </w:rPr>
        <w:t>(</w:t>
      </w:r>
      <w:r>
        <w:rPr>
          <w:i/>
          <w:szCs w:val="27"/>
        </w:rPr>
        <w:t>二</w:t>
      </w:r>
      <w:r>
        <w:rPr>
          <w:i/>
          <w:szCs w:val="27"/>
        </w:rPr>
        <w:t>)</w:t>
        <w:tab/>
      </w:r>
      <w:r>
        <w:rPr>
          <w:i/>
          <w:szCs w:val="27"/>
        </w:rPr>
        <w:t>有否評估，斯航及國泰的職員取消該兩名女子機位的做法，有否損害她們的消費者權益？</w:t>
      </w:r>
    </w:p>
    <w:p>
      <w:pPr>
        <w:pStyle w:val="F21"/>
        <w:rPr>
          <w:szCs w:val="27"/>
        </w:rPr>
      </w:pPr>
      <w:r>
        <w:rPr>
          <w:szCs w:val="27"/>
        </w:rPr>
      </w:r>
    </w:p>
    <w:p>
      <w:pPr>
        <w:pStyle w:val="F21"/>
        <w:rPr>
          <w:szCs w:val="27"/>
        </w:rPr>
      </w:pPr>
      <w:r>
        <w:rPr>
          <w:szCs w:val="27"/>
        </w:rPr>
      </w:r>
    </w:p>
    <w:p>
      <w:pPr>
        <w:pStyle w:val="F21"/>
        <w:rPr>
          <w:szCs w:val="27"/>
        </w:rPr>
      </w:pPr>
      <w:r>
        <w:rPr>
          <w:rFonts w:ascii="華康中黑體" w:hAnsi="華康中黑體" w:eastAsia="華康中黑體"/>
          <w:b/>
          <w:szCs w:val="27"/>
        </w:rPr>
        <w:t>保安局局長</w:t>
      </w:r>
      <w:r>
        <w:rPr>
          <w:szCs w:val="27"/>
        </w:rPr>
        <w:t>：主席，香港國際機場作為香港和區域內的航空運輸樞紐，每天有頻密的國際航班升降和大量的旅客使用，我們必須確保機場有高度的航空保安。《航空保安規例》</w:t>
      </w:r>
      <w:r>
        <w:rPr>
          <w:szCs w:val="27"/>
        </w:rPr>
        <w:t>(</w:t>
      </w:r>
      <w:r>
        <w:rPr>
          <w:szCs w:val="27"/>
        </w:rPr>
        <w:t>第</w:t>
      </w:r>
      <w:r>
        <w:rPr>
          <w:szCs w:val="27"/>
        </w:rPr>
        <w:t>494A</w:t>
      </w:r>
      <w:r>
        <w:rPr>
          <w:szCs w:val="27"/>
        </w:rPr>
        <w:t>章</w:t>
      </w:r>
      <w:r>
        <w:rPr>
          <w:szCs w:val="27"/>
        </w:rPr>
        <w:t>)</w:t>
      </w:r>
      <w:r>
        <w:rPr>
          <w:szCs w:val="27"/>
        </w:rPr>
        <w:t>第</w:t>
      </w:r>
      <w:r>
        <w:rPr>
          <w:szCs w:val="27"/>
        </w:rPr>
        <w:t>4</w:t>
      </w:r>
      <w:r>
        <w:rPr>
          <w:szCs w:val="27"/>
        </w:rPr>
        <w:t>及</w:t>
      </w:r>
      <w:r>
        <w:rPr>
          <w:szCs w:val="27"/>
        </w:rPr>
        <w:t>5</w:t>
      </w:r>
      <w:r>
        <w:rPr>
          <w:szCs w:val="27"/>
        </w:rPr>
        <w:t>條訂明，除了因乘搭航機而進入機場禁區的空勤人員或乘客，或有獲香港機場管理局</w:t>
      </w:r>
      <w:r>
        <w:rPr>
          <w:szCs w:val="27"/>
        </w:rPr>
        <w:t>("</w:t>
      </w:r>
      <w:r>
        <w:rPr>
          <w:szCs w:val="27"/>
        </w:rPr>
        <w:t>機管局</w:t>
      </w:r>
      <w:r>
        <w:rPr>
          <w:szCs w:val="27"/>
        </w:rPr>
        <w:t>")</w:t>
      </w:r>
      <w:r>
        <w:rPr>
          <w:szCs w:val="27"/>
        </w:rPr>
        <w:t>授權的人員陪同外，任何人士必須攜有有效的機場禁區通行證</w:t>
      </w:r>
      <w:r>
        <w:rPr>
          <w:szCs w:val="27"/>
        </w:rPr>
        <w:t>("</w:t>
      </w:r>
      <w:r>
        <w:rPr>
          <w:szCs w:val="27"/>
        </w:rPr>
        <w:t>通行證</w:t>
      </w:r>
      <w:r>
        <w:rPr>
          <w:szCs w:val="27"/>
        </w:rPr>
        <w:t>")</w:t>
      </w:r>
      <w:r>
        <w:rPr>
          <w:szCs w:val="27"/>
        </w:rPr>
        <w:t>，才可以進入機場禁區範圍。而根據《航空保安規例》，機管局負責制訂和實施通行證制度。通行證制度的設立是規管出入禁區的人士，確保民用航空不會受到非法干擾，通行證是由機管局根據《航空保安規例》簽發。</w:t>
      </w:r>
    </w:p>
    <w:p>
      <w:pPr>
        <w:pStyle w:val="F21"/>
        <w:rPr>
          <w:szCs w:val="27"/>
        </w:rPr>
      </w:pPr>
      <w:r>
        <w:rPr>
          <w:szCs w:val="27"/>
        </w:rPr>
      </w:r>
    </w:p>
    <w:p>
      <w:pPr>
        <w:pStyle w:val="F21"/>
        <w:rPr>
          <w:szCs w:val="27"/>
        </w:rPr>
      </w:pPr>
      <w:r>
        <w:rPr>
          <w:szCs w:val="27"/>
        </w:rPr>
        <w:tab/>
      </w:r>
      <w:r>
        <w:rPr>
          <w:szCs w:val="27"/>
        </w:rPr>
        <w:t>就朱凱廸議員的質詢，經徵詢相關政策局、部門及機管局後，我現答覆如下：</w:t>
      </w:r>
    </w:p>
    <w:p>
      <w:pPr>
        <w:pStyle w:val="F21"/>
        <w:rPr>
          <w:szCs w:val="27"/>
        </w:rPr>
      </w:pPr>
      <w:r>
        <w:rPr>
          <w:szCs w:val="27"/>
        </w:rPr>
      </w:r>
    </w:p>
    <w:p>
      <w:pPr>
        <w:pStyle w:val="Style15"/>
        <w:rPr>
          <w:i w:val="false"/>
          <w:i w:val="false"/>
        </w:rPr>
      </w:pPr>
      <w:r>
        <w:rPr>
          <w:i w:val="false"/>
        </w:rPr>
        <w:t>(</w:t>
      </w:r>
      <w:r>
        <w:rPr>
          <w:i w:val="false"/>
        </w:rPr>
        <w:t>一</w:t>
      </w:r>
      <w:r>
        <w:rPr>
          <w:i w:val="false"/>
        </w:rPr>
        <w:t>)</w:t>
        <w:tab/>
      </w:r>
      <w:r>
        <w:rPr>
          <w:i w:val="false"/>
        </w:rPr>
        <w:t>任何受僱於機場禁區工作的人員及因本身業務關係需不時進入機場禁區執行職務的人員</w:t>
      </w:r>
      <w:r>
        <w:rPr>
          <w:i w:val="false"/>
        </w:rPr>
        <w:t>(</w:t>
      </w:r>
      <w:r>
        <w:rPr>
          <w:i w:val="false"/>
        </w:rPr>
        <w:t>包括領館人員</w:t>
      </w:r>
      <w:r>
        <w:rPr>
          <w:i w:val="false"/>
        </w:rPr>
        <w:t>)</w:t>
      </w:r>
      <w:r>
        <w:rPr>
          <w:i w:val="false"/>
        </w:rPr>
        <w:t>，可向機管局申請通行證，有關申請須經有關保薦機構保薦提出。機管局會嚴謹地執行進出機場禁區的管制工作，而通行證的持有人必須在使用通行證時遵守有關法例及規則</w:t>
      </w:r>
      <w:r>
        <w:rPr>
          <w:i w:val="false"/>
        </w:rPr>
        <w:t>(</w:t>
      </w:r>
      <w:r>
        <w:rPr>
          <w:i w:val="false"/>
        </w:rPr>
        <w:t>包括通行證的簽發條件</w:t>
      </w:r>
      <w:r>
        <w:rPr>
          <w:i w:val="false"/>
        </w:rPr>
        <w:t>)</w:t>
      </w:r>
      <w:r>
        <w:rPr>
          <w:i w:val="false"/>
        </w:rPr>
        <w:t>。如發現通行證的持有人在機場禁區內有違法情況，會轉交警方跟進。</w:t>
      </w:r>
    </w:p>
    <w:p>
      <w:pPr>
        <w:pStyle w:val="Style15"/>
        <w:rPr>
          <w:i w:val="false"/>
          <w:i w:val="false"/>
        </w:rPr>
      </w:pPr>
      <w:r>
        <w:rPr>
          <w:i w:val="false"/>
        </w:rPr>
      </w:r>
    </w:p>
    <w:p>
      <w:pPr>
        <w:pStyle w:val="Style15"/>
        <w:rPr>
          <w:i w:val="false"/>
          <w:i w:val="false"/>
        </w:rPr>
      </w:pPr>
      <w:r>
        <w:rPr>
          <w:i w:val="false"/>
        </w:rPr>
        <w:tab/>
      </w:r>
      <w:r>
        <w:rPr>
          <w:i w:val="false"/>
        </w:rPr>
        <w:t>就朱議員提及的案件，我們不適宜詳細討論有關細節，但警方已表示，於</w:t>
      </w:r>
      <w:r>
        <w:rPr>
          <w:i w:val="false"/>
        </w:rPr>
        <w:t>2018</w:t>
      </w:r>
      <w:r>
        <w:rPr>
          <w:i w:val="false"/>
        </w:rPr>
        <w:t>年</w:t>
      </w:r>
      <w:r>
        <w:rPr>
          <w:i w:val="false"/>
        </w:rPr>
        <w:t>9</w:t>
      </w:r>
      <w:r>
        <w:rPr>
          <w:i w:val="false"/>
        </w:rPr>
        <w:t>月上旬分別接獲一名外籍男子和兩名外籍女子的報案。經調查後，前者所報的案件已列作</w:t>
      </w:r>
      <w:r>
        <w:rPr>
          <w:i w:val="false"/>
        </w:rPr>
        <w:t>"</w:t>
      </w:r>
      <w:r>
        <w:rPr>
          <w:i w:val="false"/>
        </w:rPr>
        <w:t>尋回失蹤人士</w:t>
      </w:r>
      <w:r>
        <w:rPr>
          <w:i w:val="false"/>
        </w:rPr>
        <w:t>"</w:t>
      </w:r>
      <w:r>
        <w:rPr>
          <w:i w:val="false"/>
        </w:rPr>
        <w:t>；後者所報的案件則列作</w:t>
      </w:r>
      <w:r>
        <w:rPr>
          <w:i w:val="false"/>
        </w:rPr>
        <w:t>"</w:t>
      </w:r>
      <w:r>
        <w:rPr>
          <w:i w:val="false"/>
        </w:rPr>
        <w:t>求警調查</w:t>
      </w:r>
      <w:r>
        <w:rPr>
          <w:i w:val="false"/>
        </w:rPr>
        <w:t>"</w:t>
      </w:r>
      <w:r>
        <w:rPr>
          <w:i w:val="false"/>
        </w:rPr>
        <w:t>，由新界南總區刑事部跟進，調查工作仍在進行中。如發現案件懷疑涉及刑事成分，警方會徵詢律政司意見並依法處理。</w:t>
      </w:r>
    </w:p>
    <w:p>
      <w:pPr>
        <w:pStyle w:val="Style15"/>
        <w:rPr>
          <w:i w:val="false"/>
          <w:i w:val="false"/>
        </w:rPr>
      </w:pPr>
      <w:r>
        <w:rPr>
          <w:i w:val="false"/>
        </w:rPr>
      </w:r>
    </w:p>
    <w:p>
      <w:pPr>
        <w:pStyle w:val="Style15"/>
        <w:rPr>
          <w:i w:val="false"/>
          <w:i w:val="false"/>
        </w:rPr>
      </w:pPr>
      <w:r>
        <w:rPr>
          <w:i w:val="false"/>
        </w:rPr>
        <w:t>(</w:t>
      </w:r>
      <w:r>
        <w:rPr>
          <w:i w:val="false"/>
        </w:rPr>
        <w:t>二</w:t>
      </w:r>
      <w:r>
        <w:rPr>
          <w:i w:val="false"/>
        </w:rPr>
        <w:t>)</w:t>
        <w:tab/>
      </w:r>
      <w:r>
        <w:rPr>
          <w:i w:val="false"/>
        </w:rPr>
        <w:t>航空公司之間有一套機制處理轉機旅客更改或取消行程，若有轉機旅客行程有更改或要取消，乘載旅客抵港的航空公司會直接通知接載轉機旅客的航空公司。旅客可就其行程安排與有關航空公司跟進。如雙方未能達成共識，則可循一般法律途徑跟進。</w:t>
      </w:r>
    </w:p>
    <w:p>
      <w:pPr>
        <w:pStyle w:val="F21"/>
        <w:rPr>
          <w:szCs w:val="27"/>
        </w:rPr>
      </w:pPr>
      <w:r>
        <w:rPr>
          <w:szCs w:val="27"/>
        </w:rPr>
      </w:r>
    </w:p>
    <w:p>
      <w:pPr>
        <w:pStyle w:val="F21"/>
        <w:rPr>
          <w:szCs w:val="27"/>
        </w:rPr>
      </w:pPr>
      <w:r>
        <w:rPr>
          <w:szCs w:val="27"/>
        </w:rPr>
      </w:r>
    </w:p>
    <w:p>
      <w:pPr>
        <w:pStyle w:val="F21"/>
        <w:overflowPunct w:val="true"/>
        <w:rPr>
          <w:rFonts w:eastAsia="華康中黑體" w:cs="Times New Roman"/>
          <w:b/>
          <w:b/>
        </w:rPr>
      </w:pPr>
      <w:bookmarkStart w:id="37" w:name="wrq12"/>
      <w:r>
        <w:rPr>
          <w:rFonts w:cs="Times New Roman" w:eastAsia="華康中黑體"/>
          <w:b/>
        </w:rPr>
        <w:t>在某些年份獲發香港身份證的人士使用公營醫療服務</w:t>
      </w:r>
    </w:p>
    <w:p>
      <w:pPr>
        <w:pStyle w:val="Normal"/>
        <w:overflowPunct w:val="true"/>
        <w:rPr>
          <w:b/>
          <w:b/>
        </w:rPr>
      </w:pPr>
      <w:bookmarkStart w:id="38" w:name="wrq12"/>
      <w:r>
        <w:rPr>
          <w:b/>
        </w:rPr>
        <w:t>Use of public health care services by persons who were issued the Hong Kong identity cards in certain years</w:t>
      </w:r>
      <w:bookmarkEnd w:id="38"/>
    </w:p>
    <w:p>
      <w:pPr>
        <w:pStyle w:val="F21"/>
        <w:overflowPunct w:val="true"/>
        <w:rPr>
          <w:rFonts w:cs="Times New Roman"/>
          <w:lang w:val="en-GB"/>
        </w:rPr>
      </w:pPr>
      <w:r>
        <w:rPr>
          <w:rFonts w:cs="Times New Roman"/>
          <w:lang w:val="en-GB"/>
        </w:rPr>
      </w:r>
    </w:p>
    <w:p>
      <w:pPr>
        <w:pStyle w:val="F21"/>
        <w:rPr>
          <w:i/>
          <w:i/>
          <w:szCs w:val="27"/>
        </w:rPr>
      </w:pPr>
      <w:r>
        <w:rPr>
          <w:rFonts w:eastAsia="華康中黑體" w:cs="Times New Roman"/>
          <w:b/>
          <w:szCs w:val="27"/>
        </w:rPr>
        <w:t>12.</w:t>
        <w:tab/>
      </w:r>
      <w:r>
        <w:rPr>
          <w:rFonts w:cs="Times New Roman" w:eastAsia="華康中黑體"/>
          <w:b/>
          <w:szCs w:val="27"/>
        </w:rPr>
        <w:t>陳沛然議員</w:t>
      </w:r>
      <w:r>
        <w:rPr>
          <w:szCs w:val="27"/>
        </w:rPr>
        <w:t>：</w:t>
      </w:r>
      <w:r>
        <w:rPr>
          <w:i/>
          <w:szCs w:val="27"/>
        </w:rPr>
        <w:t>主席，據報，由</w:t>
      </w:r>
      <w:r>
        <w:rPr>
          <w:i/>
          <w:szCs w:val="27"/>
        </w:rPr>
        <w:t>2000</w:t>
      </w:r>
      <w:r>
        <w:rPr>
          <w:i/>
          <w:szCs w:val="27"/>
        </w:rPr>
        <w:t>年</w:t>
      </w:r>
      <w:r>
        <w:rPr>
          <w:i/>
          <w:szCs w:val="27"/>
        </w:rPr>
        <w:t>12</w:t>
      </w:r>
      <w:r>
        <w:rPr>
          <w:i/>
          <w:szCs w:val="27"/>
        </w:rPr>
        <w:t>月</w:t>
      </w:r>
      <w:r>
        <w:rPr>
          <w:i/>
          <w:szCs w:val="27"/>
        </w:rPr>
        <w:t>28</w:t>
      </w:r>
      <w:r>
        <w:rPr>
          <w:i/>
          <w:szCs w:val="27"/>
        </w:rPr>
        <w:t>日至</w:t>
      </w:r>
      <w:r>
        <w:rPr>
          <w:i/>
          <w:szCs w:val="27"/>
        </w:rPr>
        <w:t>2011</w:t>
      </w:r>
      <w:r>
        <w:rPr>
          <w:i/>
          <w:szCs w:val="27"/>
        </w:rPr>
        <w:t>年</w:t>
      </w:r>
      <w:r>
        <w:rPr>
          <w:i/>
          <w:szCs w:val="27"/>
        </w:rPr>
        <w:t>7</w:t>
      </w:r>
      <w:r>
        <w:rPr>
          <w:i/>
          <w:szCs w:val="27"/>
        </w:rPr>
        <w:t>月</w:t>
      </w:r>
      <w:r>
        <w:rPr>
          <w:i/>
          <w:szCs w:val="27"/>
        </w:rPr>
        <w:t>31</w:t>
      </w:r>
      <w:r>
        <w:rPr>
          <w:i/>
          <w:szCs w:val="27"/>
        </w:rPr>
        <w:t>日期間，以及自</w:t>
      </w:r>
      <w:r>
        <w:rPr>
          <w:i/>
          <w:szCs w:val="27"/>
        </w:rPr>
        <w:t>2011</w:t>
      </w:r>
      <w:r>
        <w:rPr>
          <w:i/>
          <w:szCs w:val="27"/>
        </w:rPr>
        <w:t>年</w:t>
      </w:r>
      <w:r>
        <w:rPr>
          <w:i/>
          <w:szCs w:val="27"/>
        </w:rPr>
        <w:t>8</w:t>
      </w:r>
      <w:r>
        <w:rPr>
          <w:i/>
          <w:szCs w:val="27"/>
        </w:rPr>
        <w:t>月</w:t>
      </w:r>
      <w:r>
        <w:rPr>
          <w:i/>
          <w:szCs w:val="27"/>
        </w:rPr>
        <w:t>1</w:t>
      </w:r>
      <w:r>
        <w:rPr>
          <w:i/>
          <w:szCs w:val="27"/>
        </w:rPr>
        <w:t>日起簽發的香港身份證的號碼，分別以</w:t>
      </w:r>
      <w:r>
        <w:rPr>
          <w:rFonts w:cs="Times New Roman"/>
          <w:i/>
          <w:szCs w:val="27"/>
        </w:rPr>
        <w:t>"</w:t>
      </w:r>
      <w:r>
        <w:rPr>
          <w:i/>
          <w:szCs w:val="27"/>
        </w:rPr>
        <w:t>R</w:t>
      </w:r>
      <w:r>
        <w:rPr>
          <w:rFonts w:cs="Times New Roman"/>
          <w:i/>
          <w:szCs w:val="27"/>
        </w:rPr>
        <w:t>"</w:t>
      </w:r>
      <w:r>
        <w:rPr>
          <w:i/>
          <w:szCs w:val="27"/>
        </w:rPr>
        <w:t>及</w:t>
      </w:r>
      <w:r>
        <w:rPr>
          <w:rFonts w:cs="Times New Roman"/>
          <w:i/>
          <w:szCs w:val="27"/>
        </w:rPr>
        <w:t>"</w:t>
      </w:r>
      <w:r>
        <w:rPr>
          <w:i/>
          <w:szCs w:val="27"/>
        </w:rPr>
        <w:t>M</w:t>
      </w:r>
      <w:r>
        <w:rPr>
          <w:rFonts w:cs="Times New Roman"/>
          <w:i/>
          <w:szCs w:val="27"/>
        </w:rPr>
        <w:t>"</w:t>
      </w:r>
      <w:r>
        <w:rPr>
          <w:i/>
          <w:szCs w:val="27"/>
        </w:rPr>
        <w:t>字開首，而該等身份證的持有人</w:t>
      </w:r>
      <w:r>
        <w:rPr>
          <w:i/>
          <w:szCs w:val="27"/>
        </w:rPr>
        <w:t>(</w:t>
      </w:r>
      <w:r>
        <w:rPr>
          <w:rFonts w:cs="Times New Roman"/>
          <w:i/>
          <w:szCs w:val="27"/>
        </w:rPr>
        <w:t>"</w:t>
      </w:r>
      <w:r>
        <w:rPr>
          <w:i/>
          <w:szCs w:val="27"/>
        </w:rPr>
        <w:t>R</w:t>
      </w:r>
      <w:r>
        <w:rPr>
          <w:i/>
          <w:szCs w:val="27"/>
        </w:rPr>
        <w:t>和</w:t>
      </w:r>
      <w:r>
        <w:rPr>
          <w:i/>
          <w:szCs w:val="27"/>
        </w:rPr>
        <w:t>M</w:t>
      </w:r>
      <w:r>
        <w:rPr>
          <w:i/>
          <w:szCs w:val="27"/>
        </w:rPr>
        <w:t>人士</w:t>
      </w:r>
      <w:r>
        <w:rPr>
          <w:rFonts w:cs="Times New Roman"/>
          <w:i/>
          <w:szCs w:val="27"/>
        </w:rPr>
        <w:t>"</w:t>
      </w:r>
      <w:r>
        <w:rPr>
          <w:i/>
          <w:szCs w:val="27"/>
        </w:rPr>
        <w:t>)</w:t>
      </w:r>
      <w:r>
        <w:rPr>
          <w:i/>
          <w:szCs w:val="27"/>
        </w:rPr>
        <w:t>當中大部分是新來港定居的人士。就</w:t>
      </w:r>
      <w:r>
        <w:rPr>
          <w:i/>
          <w:szCs w:val="27"/>
        </w:rPr>
        <w:t>R</w:t>
      </w:r>
      <w:r>
        <w:rPr>
          <w:i/>
          <w:szCs w:val="27"/>
        </w:rPr>
        <w:t>和</w:t>
      </w:r>
      <w:r>
        <w:rPr>
          <w:i/>
          <w:szCs w:val="27"/>
        </w:rPr>
        <w:t>M</w:t>
      </w:r>
      <w:r>
        <w:rPr>
          <w:i/>
          <w:szCs w:val="27"/>
        </w:rPr>
        <w:t>人士使用公營醫療服務的情況，政府可否告知本會：</w:t>
      </w:r>
    </w:p>
    <w:p>
      <w:pPr>
        <w:pStyle w:val="F21"/>
        <w:rPr>
          <w:i/>
          <w:i/>
          <w:szCs w:val="27"/>
        </w:rPr>
      </w:pPr>
      <w:r>
        <w:rPr>
          <w:i/>
          <w:szCs w:val="27"/>
        </w:rPr>
      </w:r>
    </w:p>
    <w:p>
      <w:pPr>
        <w:pStyle w:val="F21"/>
        <w:ind w:left="1418" w:hanging="851"/>
        <w:rPr>
          <w:i/>
          <w:i/>
          <w:szCs w:val="27"/>
        </w:rPr>
      </w:pPr>
      <w:r>
        <w:rPr>
          <w:i/>
          <w:szCs w:val="27"/>
        </w:rPr>
        <w:t>(</w:t>
      </w:r>
      <w:r>
        <w:rPr>
          <w:i/>
          <w:szCs w:val="27"/>
        </w:rPr>
        <w:t>一</w:t>
      </w:r>
      <w:r>
        <w:rPr>
          <w:i/>
          <w:szCs w:val="27"/>
        </w:rPr>
        <w:t>)</w:t>
        <w:tab/>
      </w:r>
      <w:r>
        <w:rPr>
          <w:i/>
          <w:szCs w:val="27"/>
        </w:rPr>
        <w:t>是否知悉，</w:t>
      </w:r>
      <w:r>
        <w:rPr>
          <w:i/>
          <w:szCs w:val="27"/>
        </w:rPr>
        <w:t>2013</w:t>
      </w:r>
      <w:r>
        <w:rPr>
          <w:i/>
          <w:szCs w:val="27"/>
        </w:rPr>
        <w:t>至</w:t>
      </w:r>
      <w:r>
        <w:rPr>
          <w:i/>
          <w:szCs w:val="27"/>
        </w:rPr>
        <w:t>2018</w:t>
      </w:r>
      <w:r>
        <w:rPr>
          <w:i/>
          <w:szCs w:val="27"/>
        </w:rPr>
        <w:t>年期間，</w:t>
      </w:r>
      <w:r>
        <w:rPr>
          <w:i/>
          <w:szCs w:val="27"/>
        </w:rPr>
        <w:t>R</w:t>
      </w:r>
      <w:r>
        <w:rPr>
          <w:i/>
          <w:szCs w:val="27"/>
        </w:rPr>
        <w:t>和</w:t>
      </w:r>
      <w:r>
        <w:rPr>
          <w:i/>
          <w:szCs w:val="27"/>
        </w:rPr>
        <w:t>M</w:t>
      </w:r>
      <w:r>
        <w:rPr>
          <w:i/>
          <w:szCs w:val="27"/>
        </w:rPr>
        <w:t>人士在公立醫院被確診患上下表所列癌症的新症總數分別為何；按他們的性別及所屬年齡組別以下表列出分項數字；</w:t>
      </w:r>
    </w:p>
    <w:p>
      <w:pPr>
        <w:pStyle w:val="F21"/>
        <w:ind w:left="1418" w:hanging="851"/>
        <w:rPr>
          <w:i/>
          <w:i/>
          <w:szCs w:val="27"/>
        </w:rPr>
      </w:pPr>
      <w:r>
        <w:rPr>
          <w:i/>
          <w:szCs w:val="27"/>
        </w:rPr>
        <w:tab/>
      </w:r>
    </w:p>
    <w:tbl>
      <w:tblPr>
        <w:tblStyle w:val="a9"/>
        <w:tblW w:w="7805" w:type="dxa"/>
        <w:jc w:val="left"/>
        <w:tblInd w:w="1418" w:type="dxa"/>
        <w:tblCellMar>
          <w:top w:w="0" w:type="dxa"/>
          <w:left w:w="108" w:type="dxa"/>
          <w:bottom w:w="0" w:type="dxa"/>
          <w:right w:w="108" w:type="dxa"/>
        </w:tblCellMar>
        <w:tblLook w:val="04a0" w:noHBand="0" w:noVBand="1" w:firstColumn="1" w:lastRow="0" w:lastColumn="0" w:firstRow="1"/>
      </w:tblPr>
      <w:tblGrid>
        <w:gridCol w:w="1390"/>
        <w:gridCol w:w="883"/>
        <w:gridCol w:w="849"/>
        <w:gridCol w:w="994"/>
        <w:gridCol w:w="992"/>
        <w:gridCol w:w="992"/>
        <w:gridCol w:w="851"/>
        <w:gridCol w:w="853"/>
      </w:tblGrid>
      <w:tr>
        <w:trPr>
          <w:tblHeader w:val="true"/>
        </w:trPr>
        <w:tc>
          <w:tcPr>
            <w:tcW w:w="1390" w:type="dxa"/>
            <w:tcBorders>
              <w:bottom w:val="nil"/>
            </w:tcBorders>
          </w:tcPr>
          <w:p>
            <w:pPr>
              <w:pStyle w:val="F21"/>
              <w:overflowPunct w:val="true"/>
              <w:ind w:left="57" w:right="57" w:hanging="0"/>
              <w:jc w:val="center"/>
              <w:rPr>
                <w:i/>
                <w:i/>
                <w:szCs w:val="27"/>
              </w:rPr>
            </w:pPr>
            <w:r>
              <w:rPr>
                <w:i/>
                <w:szCs w:val="27"/>
              </w:rPr>
            </w:r>
          </w:p>
        </w:tc>
        <w:tc>
          <w:tcPr>
            <w:tcW w:w="883" w:type="dxa"/>
            <w:tcBorders>
              <w:bottom w:val="nil"/>
            </w:tcBorders>
          </w:tcPr>
          <w:p>
            <w:pPr>
              <w:pStyle w:val="F21"/>
              <w:overflowPunct w:val="true"/>
              <w:ind w:left="57" w:right="57" w:hanging="0"/>
              <w:jc w:val="center"/>
              <w:rPr>
                <w:i/>
                <w:i/>
                <w:szCs w:val="27"/>
              </w:rPr>
            </w:pPr>
            <w:r>
              <w:rPr>
                <w:i/>
                <w:szCs w:val="27"/>
              </w:rPr>
            </w:r>
          </w:p>
        </w:tc>
        <w:tc>
          <w:tcPr>
            <w:tcW w:w="4678" w:type="dxa"/>
            <w:gridSpan w:val="5"/>
            <w:tcBorders/>
          </w:tcPr>
          <w:p>
            <w:pPr>
              <w:pStyle w:val="F21"/>
              <w:overflowPunct w:val="true"/>
              <w:ind w:left="57" w:right="57" w:hanging="0"/>
              <w:jc w:val="center"/>
              <w:rPr>
                <w:i/>
                <w:i/>
                <w:szCs w:val="27"/>
              </w:rPr>
            </w:pPr>
            <w:r>
              <w:rPr>
                <w:i/>
                <w:szCs w:val="27"/>
              </w:rPr>
              <w:t>年齡組別</w:t>
            </w:r>
            <w:r>
              <w:rPr>
                <w:i/>
                <w:szCs w:val="27"/>
              </w:rPr>
              <w:t>(</w:t>
            </w:r>
            <w:r>
              <w:rPr>
                <w:i/>
                <w:szCs w:val="27"/>
              </w:rPr>
              <w:t>歲</w:t>
            </w:r>
            <w:r>
              <w:rPr>
                <w:i/>
                <w:szCs w:val="27"/>
              </w:rPr>
              <w:t>)</w:t>
            </w:r>
          </w:p>
        </w:tc>
        <w:tc>
          <w:tcPr>
            <w:tcW w:w="853" w:type="dxa"/>
            <w:tcBorders>
              <w:bottom w:val="nil"/>
            </w:tcBorders>
          </w:tcPr>
          <w:p>
            <w:pPr>
              <w:pStyle w:val="F21"/>
              <w:overflowPunct w:val="true"/>
              <w:ind w:left="57" w:right="57" w:hanging="0"/>
              <w:jc w:val="center"/>
              <w:rPr>
                <w:i/>
                <w:i/>
                <w:szCs w:val="27"/>
              </w:rPr>
            </w:pPr>
            <w:r>
              <w:rPr>
                <w:i/>
                <w:szCs w:val="27"/>
              </w:rPr>
            </w:r>
          </w:p>
        </w:tc>
      </w:tr>
      <w:tr>
        <w:trPr>
          <w:tblHeader w:val="true"/>
        </w:trPr>
        <w:tc>
          <w:tcPr>
            <w:tcW w:w="1390" w:type="dxa"/>
            <w:tcBorders>
              <w:top w:val="nil"/>
            </w:tcBorders>
          </w:tcPr>
          <w:p>
            <w:pPr>
              <w:pStyle w:val="F21"/>
              <w:overflowPunct w:val="true"/>
              <w:ind w:left="57" w:right="57" w:hanging="0"/>
              <w:jc w:val="center"/>
              <w:rPr>
                <w:i/>
                <w:i/>
                <w:szCs w:val="27"/>
              </w:rPr>
            </w:pPr>
            <w:r>
              <w:rPr>
                <w:i/>
                <w:szCs w:val="27"/>
              </w:rPr>
              <w:t>癌症類別</w:t>
            </w:r>
          </w:p>
        </w:tc>
        <w:tc>
          <w:tcPr>
            <w:tcW w:w="883" w:type="dxa"/>
            <w:tcBorders>
              <w:top w:val="nil"/>
            </w:tcBorders>
          </w:tcPr>
          <w:p>
            <w:pPr>
              <w:pStyle w:val="F21"/>
              <w:overflowPunct w:val="true"/>
              <w:ind w:left="57" w:right="57" w:hanging="0"/>
              <w:jc w:val="center"/>
              <w:rPr>
                <w:i/>
                <w:i/>
                <w:szCs w:val="27"/>
              </w:rPr>
            </w:pPr>
            <w:r>
              <w:rPr>
                <w:i/>
                <w:szCs w:val="27"/>
              </w:rPr>
              <w:t>性別</w:t>
            </w:r>
          </w:p>
        </w:tc>
        <w:tc>
          <w:tcPr>
            <w:tcW w:w="849" w:type="dxa"/>
            <w:tcBorders/>
            <w:vAlign w:val="center"/>
          </w:tcPr>
          <w:p>
            <w:pPr>
              <w:pStyle w:val="F21"/>
              <w:tabs>
                <w:tab w:val="clear" w:pos="567"/>
              </w:tabs>
              <w:overflowPunct w:val="true"/>
              <w:ind w:left="57" w:right="57" w:hanging="0"/>
              <w:jc w:val="center"/>
              <w:rPr>
                <w:i/>
                <w:i/>
                <w:szCs w:val="27"/>
              </w:rPr>
            </w:pPr>
            <w:r>
              <w:rPr>
                <w:i/>
                <w:szCs w:val="27"/>
              </w:rPr>
              <w:t>0-19</w:t>
            </w:r>
          </w:p>
        </w:tc>
        <w:tc>
          <w:tcPr>
            <w:tcW w:w="994" w:type="dxa"/>
            <w:tcBorders/>
            <w:vAlign w:val="center"/>
          </w:tcPr>
          <w:p>
            <w:pPr>
              <w:pStyle w:val="F21"/>
              <w:tabs>
                <w:tab w:val="clear" w:pos="567"/>
              </w:tabs>
              <w:overflowPunct w:val="true"/>
              <w:ind w:left="57" w:right="57" w:hanging="0"/>
              <w:jc w:val="center"/>
              <w:rPr>
                <w:i/>
                <w:i/>
                <w:szCs w:val="27"/>
              </w:rPr>
            </w:pPr>
            <w:r>
              <w:rPr>
                <w:i/>
                <w:szCs w:val="27"/>
              </w:rPr>
              <w:t>20-44</w:t>
            </w:r>
          </w:p>
        </w:tc>
        <w:tc>
          <w:tcPr>
            <w:tcW w:w="992" w:type="dxa"/>
            <w:tcBorders/>
            <w:vAlign w:val="center"/>
          </w:tcPr>
          <w:p>
            <w:pPr>
              <w:pStyle w:val="F21"/>
              <w:tabs>
                <w:tab w:val="clear" w:pos="567"/>
              </w:tabs>
              <w:overflowPunct w:val="true"/>
              <w:ind w:left="57" w:right="57" w:hanging="0"/>
              <w:jc w:val="center"/>
              <w:rPr>
                <w:i/>
                <w:i/>
                <w:szCs w:val="27"/>
              </w:rPr>
            </w:pPr>
            <w:r>
              <w:rPr>
                <w:i/>
                <w:szCs w:val="27"/>
              </w:rPr>
              <w:t>45-64</w:t>
            </w:r>
          </w:p>
        </w:tc>
        <w:tc>
          <w:tcPr>
            <w:tcW w:w="992" w:type="dxa"/>
            <w:tcBorders/>
            <w:vAlign w:val="center"/>
          </w:tcPr>
          <w:p>
            <w:pPr>
              <w:pStyle w:val="F21"/>
              <w:tabs>
                <w:tab w:val="clear" w:pos="567"/>
              </w:tabs>
              <w:overflowPunct w:val="true"/>
              <w:ind w:left="57" w:right="57" w:hanging="0"/>
              <w:jc w:val="center"/>
              <w:rPr>
                <w:i/>
                <w:i/>
                <w:szCs w:val="27"/>
              </w:rPr>
            </w:pPr>
            <w:r>
              <w:rPr>
                <w:i/>
                <w:szCs w:val="27"/>
              </w:rPr>
              <w:t>65-74</w:t>
            </w:r>
          </w:p>
        </w:tc>
        <w:tc>
          <w:tcPr>
            <w:tcW w:w="851" w:type="dxa"/>
            <w:tcBorders/>
            <w:vAlign w:val="center"/>
          </w:tcPr>
          <w:p>
            <w:pPr>
              <w:pStyle w:val="F21"/>
              <w:tabs>
                <w:tab w:val="clear" w:pos="567"/>
              </w:tabs>
              <w:overflowPunct w:val="true"/>
              <w:ind w:left="57" w:right="57" w:hanging="0"/>
              <w:jc w:val="center"/>
              <w:rPr>
                <w:i/>
                <w:i/>
                <w:szCs w:val="27"/>
              </w:rPr>
            </w:pPr>
            <w:r>
              <w:rPr>
                <w:i/>
                <w:szCs w:val="27"/>
              </w:rPr>
              <w:t>75</w:t>
            </w:r>
            <w:r>
              <w:rPr>
                <w:i/>
                <w:szCs w:val="27"/>
              </w:rPr>
              <w:t>或以上</w:t>
            </w:r>
          </w:p>
        </w:tc>
        <w:tc>
          <w:tcPr>
            <w:tcW w:w="853" w:type="dxa"/>
            <w:tcBorders>
              <w:top w:val="nil"/>
            </w:tcBorders>
            <w:vAlign w:val="center"/>
          </w:tcPr>
          <w:p>
            <w:pPr>
              <w:pStyle w:val="F21"/>
              <w:overflowPunct w:val="true"/>
              <w:ind w:left="57" w:right="57" w:hanging="0"/>
              <w:jc w:val="center"/>
              <w:rPr>
                <w:i/>
                <w:i/>
                <w:szCs w:val="27"/>
              </w:rPr>
            </w:pPr>
            <w:r>
              <w:rPr>
                <w:i/>
                <w:szCs w:val="27"/>
              </w:rPr>
              <w:t>總計</w:t>
            </w:r>
          </w:p>
        </w:tc>
      </w:tr>
      <w:tr>
        <w:trPr/>
        <w:tc>
          <w:tcPr>
            <w:tcW w:w="1390" w:type="dxa"/>
            <w:vMerge w:val="restart"/>
            <w:tcBorders/>
            <w:vAlign w:val="center"/>
          </w:tcPr>
          <w:p>
            <w:pPr>
              <w:pStyle w:val="F21"/>
              <w:overflowPunct w:val="true"/>
              <w:ind w:left="57" w:right="57" w:hanging="0"/>
              <w:rPr>
                <w:i/>
                <w:i/>
                <w:szCs w:val="27"/>
              </w:rPr>
            </w:pPr>
            <w:r>
              <w:rPr>
                <w:i/>
                <w:szCs w:val="27"/>
              </w:rPr>
              <w:t>結直腸癌</w:t>
            </w:r>
          </w:p>
        </w:tc>
        <w:tc>
          <w:tcPr>
            <w:tcW w:w="883" w:type="dxa"/>
            <w:tcBorders/>
          </w:tcPr>
          <w:p>
            <w:pPr>
              <w:pStyle w:val="F21"/>
              <w:overflowPunct w:val="true"/>
              <w:ind w:left="57" w:right="57" w:hanging="0"/>
              <w:jc w:val="center"/>
              <w:rPr>
                <w:i/>
                <w:i/>
                <w:szCs w:val="27"/>
              </w:rPr>
            </w:pPr>
            <w:r>
              <w:rPr>
                <w:i/>
                <w:szCs w:val="27"/>
              </w:rPr>
              <w:t>女</w:t>
            </w:r>
          </w:p>
        </w:tc>
        <w:tc>
          <w:tcPr>
            <w:tcW w:w="849" w:type="dxa"/>
            <w:tcBorders/>
          </w:tcPr>
          <w:p>
            <w:pPr>
              <w:pStyle w:val="F21"/>
              <w:overflowPunct w:val="true"/>
              <w:ind w:left="57" w:right="57" w:hanging="0"/>
              <w:rPr>
                <w:i/>
                <w:i/>
                <w:szCs w:val="27"/>
              </w:rPr>
            </w:pPr>
            <w:r>
              <w:rPr>
                <w:i/>
                <w:szCs w:val="27"/>
              </w:rPr>
            </w:r>
          </w:p>
        </w:tc>
        <w:tc>
          <w:tcPr>
            <w:tcW w:w="994" w:type="dxa"/>
            <w:tcBorders/>
          </w:tcPr>
          <w:p>
            <w:pPr>
              <w:pStyle w:val="F21"/>
              <w:overflowPunct w:val="true"/>
              <w:ind w:left="57" w:right="57" w:hanging="0"/>
              <w:rPr>
                <w:i/>
                <w:i/>
                <w:szCs w:val="27"/>
              </w:rPr>
            </w:pPr>
            <w:r>
              <w:rPr>
                <w:i/>
                <w:szCs w:val="27"/>
              </w:rPr>
            </w:r>
          </w:p>
        </w:tc>
        <w:tc>
          <w:tcPr>
            <w:tcW w:w="992" w:type="dxa"/>
            <w:tcBorders/>
          </w:tcPr>
          <w:p>
            <w:pPr>
              <w:pStyle w:val="F21"/>
              <w:overflowPunct w:val="true"/>
              <w:ind w:left="57" w:right="57" w:hanging="0"/>
              <w:rPr>
                <w:i/>
                <w:i/>
                <w:szCs w:val="27"/>
              </w:rPr>
            </w:pPr>
            <w:r>
              <w:rPr>
                <w:i/>
                <w:szCs w:val="27"/>
              </w:rPr>
            </w:r>
          </w:p>
        </w:tc>
        <w:tc>
          <w:tcPr>
            <w:tcW w:w="992" w:type="dxa"/>
            <w:tcBorders/>
          </w:tcPr>
          <w:p>
            <w:pPr>
              <w:pStyle w:val="F21"/>
              <w:overflowPunct w:val="true"/>
              <w:ind w:left="57" w:right="57" w:hanging="0"/>
              <w:rPr>
                <w:i/>
                <w:i/>
                <w:szCs w:val="27"/>
              </w:rPr>
            </w:pPr>
            <w:r>
              <w:rPr>
                <w:i/>
                <w:szCs w:val="27"/>
              </w:rPr>
            </w:r>
          </w:p>
        </w:tc>
        <w:tc>
          <w:tcPr>
            <w:tcW w:w="851" w:type="dxa"/>
            <w:tcBorders/>
          </w:tcPr>
          <w:p>
            <w:pPr>
              <w:pStyle w:val="F21"/>
              <w:overflowPunct w:val="true"/>
              <w:ind w:left="57" w:right="57" w:hanging="0"/>
              <w:rPr>
                <w:i/>
                <w:i/>
                <w:szCs w:val="27"/>
              </w:rPr>
            </w:pPr>
            <w:r>
              <w:rPr>
                <w:i/>
                <w:szCs w:val="27"/>
              </w:rPr>
            </w:r>
          </w:p>
        </w:tc>
        <w:tc>
          <w:tcPr>
            <w:tcW w:w="853" w:type="dxa"/>
            <w:tcBorders/>
          </w:tcPr>
          <w:p>
            <w:pPr>
              <w:pStyle w:val="F21"/>
              <w:overflowPunct w:val="true"/>
              <w:ind w:left="57" w:right="57" w:hanging="0"/>
              <w:rPr>
                <w:i/>
                <w:i/>
                <w:szCs w:val="27"/>
              </w:rPr>
            </w:pPr>
            <w:r>
              <w:rPr>
                <w:i/>
                <w:szCs w:val="27"/>
              </w:rPr>
            </w:r>
          </w:p>
        </w:tc>
      </w:tr>
      <w:tr>
        <w:trPr/>
        <w:tc>
          <w:tcPr>
            <w:tcW w:w="1390" w:type="dxa"/>
            <w:vMerge w:val="continue"/>
            <w:tcBorders/>
            <w:vAlign w:val="center"/>
          </w:tcPr>
          <w:p>
            <w:pPr>
              <w:pStyle w:val="F21"/>
              <w:overflowPunct w:val="true"/>
              <w:ind w:left="57" w:right="57" w:hanging="0"/>
              <w:rPr>
                <w:i/>
                <w:i/>
                <w:szCs w:val="27"/>
              </w:rPr>
            </w:pPr>
            <w:r>
              <w:rPr>
                <w:i/>
                <w:szCs w:val="27"/>
              </w:rPr>
            </w:r>
          </w:p>
        </w:tc>
        <w:tc>
          <w:tcPr>
            <w:tcW w:w="883" w:type="dxa"/>
            <w:tcBorders/>
          </w:tcPr>
          <w:p>
            <w:pPr>
              <w:pStyle w:val="F21"/>
              <w:overflowPunct w:val="true"/>
              <w:ind w:left="57" w:right="57" w:hanging="0"/>
              <w:jc w:val="center"/>
              <w:rPr>
                <w:i/>
                <w:i/>
                <w:szCs w:val="27"/>
              </w:rPr>
            </w:pPr>
            <w:r>
              <w:rPr>
                <w:i/>
                <w:szCs w:val="27"/>
              </w:rPr>
              <w:t>男</w:t>
            </w:r>
          </w:p>
        </w:tc>
        <w:tc>
          <w:tcPr>
            <w:tcW w:w="849" w:type="dxa"/>
            <w:tcBorders/>
          </w:tcPr>
          <w:p>
            <w:pPr>
              <w:pStyle w:val="F21"/>
              <w:overflowPunct w:val="true"/>
              <w:ind w:left="57" w:right="57" w:hanging="0"/>
              <w:rPr>
                <w:i/>
                <w:i/>
                <w:szCs w:val="27"/>
              </w:rPr>
            </w:pPr>
            <w:r>
              <w:rPr>
                <w:i/>
                <w:szCs w:val="27"/>
              </w:rPr>
            </w:r>
          </w:p>
        </w:tc>
        <w:tc>
          <w:tcPr>
            <w:tcW w:w="994" w:type="dxa"/>
            <w:tcBorders/>
          </w:tcPr>
          <w:p>
            <w:pPr>
              <w:pStyle w:val="F21"/>
              <w:overflowPunct w:val="true"/>
              <w:ind w:left="57" w:right="57" w:hanging="0"/>
              <w:rPr>
                <w:i/>
                <w:i/>
                <w:szCs w:val="27"/>
              </w:rPr>
            </w:pPr>
            <w:r>
              <w:rPr>
                <w:i/>
                <w:szCs w:val="27"/>
              </w:rPr>
            </w:r>
          </w:p>
        </w:tc>
        <w:tc>
          <w:tcPr>
            <w:tcW w:w="992" w:type="dxa"/>
            <w:tcBorders/>
          </w:tcPr>
          <w:p>
            <w:pPr>
              <w:pStyle w:val="F21"/>
              <w:overflowPunct w:val="true"/>
              <w:ind w:left="57" w:right="57" w:hanging="0"/>
              <w:rPr>
                <w:i/>
                <w:i/>
                <w:szCs w:val="27"/>
              </w:rPr>
            </w:pPr>
            <w:r>
              <w:rPr>
                <w:i/>
                <w:szCs w:val="27"/>
              </w:rPr>
            </w:r>
          </w:p>
        </w:tc>
        <w:tc>
          <w:tcPr>
            <w:tcW w:w="992" w:type="dxa"/>
            <w:tcBorders/>
          </w:tcPr>
          <w:p>
            <w:pPr>
              <w:pStyle w:val="F21"/>
              <w:overflowPunct w:val="true"/>
              <w:ind w:left="57" w:right="57" w:hanging="0"/>
              <w:rPr>
                <w:i/>
                <w:i/>
                <w:szCs w:val="27"/>
              </w:rPr>
            </w:pPr>
            <w:r>
              <w:rPr>
                <w:i/>
                <w:szCs w:val="27"/>
              </w:rPr>
            </w:r>
          </w:p>
        </w:tc>
        <w:tc>
          <w:tcPr>
            <w:tcW w:w="851" w:type="dxa"/>
            <w:tcBorders/>
          </w:tcPr>
          <w:p>
            <w:pPr>
              <w:pStyle w:val="F21"/>
              <w:overflowPunct w:val="true"/>
              <w:ind w:left="57" w:right="57" w:hanging="0"/>
              <w:rPr>
                <w:i/>
                <w:i/>
                <w:szCs w:val="27"/>
              </w:rPr>
            </w:pPr>
            <w:r>
              <w:rPr>
                <w:i/>
                <w:szCs w:val="27"/>
              </w:rPr>
            </w:r>
          </w:p>
        </w:tc>
        <w:tc>
          <w:tcPr>
            <w:tcW w:w="853" w:type="dxa"/>
            <w:tcBorders/>
          </w:tcPr>
          <w:p>
            <w:pPr>
              <w:pStyle w:val="F21"/>
              <w:overflowPunct w:val="true"/>
              <w:ind w:left="57" w:right="57" w:hanging="0"/>
              <w:rPr>
                <w:i/>
                <w:i/>
                <w:szCs w:val="27"/>
              </w:rPr>
            </w:pPr>
            <w:r>
              <w:rPr>
                <w:i/>
                <w:szCs w:val="27"/>
              </w:rPr>
            </w:r>
          </w:p>
        </w:tc>
      </w:tr>
      <w:tr>
        <w:trPr/>
        <w:tc>
          <w:tcPr>
            <w:tcW w:w="1390" w:type="dxa"/>
            <w:vMerge w:val="restart"/>
            <w:tcBorders/>
            <w:vAlign w:val="center"/>
          </w:tcPr>
          <w:p>
            <w:pPr>
              <w:pStyle w:val="F21"/>
              <w:overflowPunct w:val="true"/>
              <w:ind w:left="57" w:right="57" w:hanging="0"/>
              <w:rPr>
                <w:i/>
                <w:i/>
                <w:szCs w:val="27"/>
              </w:rPr>
            </w:pPr>
            <w:r>
              <w:rPr>
                <w:i/>
                <w:szCs w:val="27"/>
              </w:rPr>
              <w:t>肺腫瘤</w:t>
            </w:r>
          </w:p>
        </w:tc>
        <w:tc>
          <w:tcPr>
            <w:tcW w:w="883" w:type="dxa"/>
            <w:tcBorders/>
          </w:tcPr>
          <w:p>
            <w:pPr>
              <w:pStyle w:val="F21"/>
              <w:overflowPunct w:val="true"/>
              <w:ind w:left="57" w:right="57" w:hanging="0"/>
              <w:jc w:val="center"/>
              <w:rPr>
                <w:i/>
                <w:i/>
                <w:szCs w:val="27"/>
              </w:rPr>
            </w:pPr>
            <w:r>
              <w:rPr>
                <w:i/>
                <w:szCs w:val="27"/>
              </w:rPr>
              <w:t>女</w:t>
            </w:r>
          </w:p>
        </w:tc>
        <w:tc>
          <w:tcPr>
            <w:tcW w:w="849" w:type="dxa"/>
            <w:tcBorders/>
          </w:tcPr>
          <w:p>
            <w:pPr>
              <w:pStyle w:val="F21"/>
              <w:overflowPunct w:val="true"/>
              <w:ind w:left="57" w:right="57" w:hanging="0"/>
              <w:rPr>
                <w:i/>
                <w:i/>
                <w:szCs w:val="27"/>
              </w:rPr>
            </w:pPr>
            <w:r>
              <w:rPr>
                <w:i/>
                <w:szCs w:val="27"/>
              </w:rPr>
            </w:r>
          </w:p>
        </w:tc>
        <w:tc>
          <w:tcPr>
            <w:tcW w:w="994" w:type="dxa"/>
            <w:tcBorders/>
          </w:tcPr>
          <w:p>
            <w:pPr>
              <w:pStyle w:val="F21"/>
              <w:overflowPunct w:val="true"/>
              <w:ind w:left="57" w:right="57" w:hanging="0"/>
              <w:rPr>
                <w:i/>
                <w:i/>
                <w:szCs w:val="27"/>
              </w:rPr>
            </w:pPr>
            <w:r>
              <w:rPr>
                <w:i/>
                <w:szCs w:val="27"/>
              </w:rPr>
            </w:r>
          </w:p>
        </w:tc>
        <w:tc>
          <w:tcPr>
            <w:tcW w:w="992" w:type="dxa"/>
            <w:tcBorders/>
          </w:tcPr>
          <w:p>
            <w:pPr>
              <w:pStyle w:val="F21"/>
              <w:overflowPunct w:val="true"/>
              <w:ind w:left="57" w:right="57" w:hanging="0"/>
              <w:rPr>
                <w:i/>
                <w:i/>
                <w:szCs w:val="27"/>
              </w:rPr>
            </w:pPr>
            <w:r>
              <w:rPr>
                <w:i/>
                <w:szCs w:val="27"/>
              </w:rPr>
            </w:r>
          </w:p>
        </w:tc>
        <w:tc>
          <w:tcPr>
            <w:tcW w:w="992" w:type="dxa"/>
            <w:tcBorders/>
          </w:tcPr>
          <w:p>
            <w:pPr>
              <w:pStyle w:val="F21"/>
              <w:overflowPunct w:val="true"/>
              <w:ind w:left="57" w:right="57" w:hanging="0"/>
              <w:rPr>
                <w:i/>
                <w:i/>
                <w:szCs w:val="27"/>
              </w:rPr>
            </w:pPr>
            <w:r>
              <w:rPr>
                <w:i/>
                <w:szCs w:val="27"/>
              </w:rPr>
            </w:r>
          </w:p>
        </w:tc>
        <w:tc>
          <w:tcPr>
            <w:tcW w:w="851" w:type="dxa"/>
            <w:tcBorders/>
          </w:tcPr>
          <w:p>
            <w:pPr>
              <w:pStyle w:val="F21"/>
              <w:overflowPunct w:val="true"/>
              <w:ind w:left="57" w:right="57" w:hanging="0"/>
              <w:rPr>
                <w:i/>
                <w:i/>
                <w:szCs w:val="27"/>
              </w:rPr>
            </w:pPr>
            <w:r>
              <w:rPr>
                <w:i/>
                <w:szCs w:val="27"/>
              </w:rPr>
            </w:r>
          </w:p>
        </w:tc>
        <w:tc>
          <w:tcPr>
            <w:tcW w:w="853" w:type="dxa"/>
            <w:tcBorders/>
          </w:tcPr>
          <w:p>
            <w:pPr>
              <w:pStyle w:val="F21"/>
              <w:overflowPunct w:val="true"/>
              <w:ind w:left="57" w:right="57" w:hanging="0"/>
              <w:rPr>
                <w:i/>
                <w:i/>
                <w:szCs w:val="27"/>
              </w:rPr>
            </w:pPr>
            <w:r>
              <w:rPr>
                <w:i/>
                <w:szCs w:val="27"/>
              </w:rPr>
            </w:r>
          </w:p>
        </w:tc>
      </w:tr>
      <w:tr>
        <w:trPr/>
        <w:tc>
          <w:tcPr>
            <w:tcW w:w="1390" w:type="dxa"/>
            <w:vMerge w:val="continue"/>
            <w:tcBorders/>
            <w:vAlign w:val="center"/>
          </w:tcPr>
          <w:p>
            <w:pPr>
              <w:pStyle w:val="F21"/>
              <w:overflowPunct w:val="true"/>
              <w:ind w:left="57" w:right="57" w:hanging="0"/>
              <w:rPr>
                <w:i/>
                <w:i/>
                <w:szCs w:val="27"/>
              </w:rPr>
            </w:pPr>
            <w:r>
              <w:rPr>
                <w:i/>
                <w:szCs w:val="27"/>
              </w:rPr>
            </w:r>
          </w:p>
        </w:tc>
        <w:tc>
          <w:tcPr>
            <w:tcW w:w="883" w:type="dxa"/>
            <w:tcBorders/>
          </w:tcPr>
          <w:p>
            <w:pPr>
              <w:pStyle w:val="F21"/>
              <w:overflowPunct w:val="true"/>
              <w:ind w:left="57" w:right="57" w:hanging="0"/>
              <w:jc w:val="center"/>
              <w:rPr>
                <w:i/>
                <w:i/>
                <w:szCs w:val="27"/>
              </w:rPr>
            </w:pPr>
            <w:r>
              <w:rPr>
                <w:i/>
                <w:szCs w:val="27"/>
              </w:rPr>
              <w:t>男</w:t>
            </w:r>
          </w:p>
        </w:tc>
        <w:tc>
          <w:tcPr>
            <w:tcW w:w="849" w:type="dxa"/>
            <w:tcBorders/>
          </w:tcPr>
          <w:p>
            <w:pPr>
              <w:pStyle w:val="F21"/>
              <w:overflowPunct w:val="true"/>
              <w:ind w:left="57" w:right="57" w:hanging="0"/>
              <w:rPr>
                <w:i/>
                <w:i/>
                <w:szCs w:val="27"/>
              </w:rPr>
            </w:pPr>
            <w:r>
              <w:rPr>
                <w:i/>
                <w:szCs w:val="27"/>
              </w:rPr>
            </w:r>
          </w:p>
        </w:tc>
        <w:tc>
          <w:tcPr>
            <w:tcW w:w="994" w:type="dxa"/>
            <w:tcBorders/>
          </w:tcPr>
          <w:p>
            <w:pPr>
              <w:pStyle w:val="F21"/>
              <w:overflowPunct w:val="true"/>
              <w:ind w:left="57" w:right="57" w:hanging="0"/>
              <w:rPr>
                <w:i/>
                <w:i/>
                <w:szCs w:val="27"/>
              </w:rPr>
            </w:pPr>
            <w:r>
              <w:rPr>
                <w:i/>
                <w:szCs w:val="27"/>
              </w:rPr>
            </w:r>
          </w:p>
        </w:tc>
        <w:tc>
          <w:tcPr>
            <w:tcW w:w="992" w:type="dxa"/>
            <w:tcBorders/>
          </w:tcPr>
          <w:p>
            <w:pPr>
              <w:pStyle w:val="F21"/>
              <w:overflowPunct w:val="true"/>
              <w:ind w:left="57" w:right="57" w:hanging="0"/>
              <w:rPr>
                <w:i/>
                <w:i/>
                <w:szCs w:val="27"/>
              </w:rPr>
            </w:pPr>
            <w:r>
              <w:rPr>
                <w:i/>
                <w:szCs w:val="27"/>
              </w:rPr>
            </w:r>
          </w:p>
        </w:tc>
        <w:tc>
          <w:tcPr>
            <w:tcW w:w="992" w:type="dxa"/>
            <w:tcBorders/>
          </w:tcPr>
          <w:p>
            <w:pPr>
              <w:pStyle w:val="F21"/>
              <w:overflowPunct w:val="true"/>
              <w:ind w:left="57" w:right="57" w:hanging="0"/>
              <w:rPr>
                <w:i/>
                <w:i/>
                <w:szCs w:val="27"/>
              </w:rPr>
            </w:pPr>
            <w:r>
              <w:rPr>
                <w:i/>
                <w:szCs w:val="27"/>
              </w:rPr>
            </w:r>
          </w:p>
        </w:tc>
        <w:tc>
          <w:tcPr>
            <w:tcW w:w="851" w:type="dxa"/>
            <w:tcBorders/>
          </w:tcPr>
          <w:p>
            <w:pPr>
              <w:pStyle w:val="F21"/>
              <w:overflowPunct w:val="true"/>
              <w:ind w:left="57" w:right="57" w:hanging="0"/>
              <w:rPr>
                <w:i/>
                <w:i/>
                <w:szCs w:val="27"/>
              </w:rPr>
            </w:pPr>
            <w:r>
              <w:rPr>
                <w:i/>
                <w:szCs w:val="27"/>
              </w:rPr>
            </w:r>
          </w:p>
        </w:tc>
        <w:tc>
          <w:tcPr>
            <w:tcW w:w="853" w:type="dxa"/>
            <w:tcBorders/>
          </w:tcPr>
          <w:p>
            <w:pPr>
              <w:pStyle w:val="F21"/>
              <w:overflowPunct w:val="true"/>
              <w:ind w:left="57" w:right="57" w:hanging="0"/>
              <w:rPr>
                <w:i/>
                <w:i/>
                <w:szCs w:val="27"/>
              </w:rPr>
            </w:pPr>
            <w:r>
              <w:rPr>
                <w:i/>
                <w:szCs w:val="27"/>
              </w:rPr>
            </w:r>
          </w:p>
        </w:tc>
      </w:tr>
      <w:tr>
        <w:trPr/>
        <w:tc>
          <w:tcPr>
            <w:tcW w:w="1390" w:type="dxa"/>
            <w:vMerge w:val="restart"/>
            <w:tcBorders/>
            <w:vAlign w:val="center"/>
          </w:tcPr>
          <w:p>
            <w:pPr>
              <w:pStyle w:val="F21"/>
              <w:overflowPunct w:val="true"/>
              <w:ind w:left="57" w:right="57" w:hanging="0"/>
              <w:rPr>
                <w:i/>
                <w:i/>
                <w:szCs w:val="27"/>
              </w:rPr>
            </w:pPr>
            <w:r>
              <w:rPr>
                <w:i/>
                <w:szCs w:val="27"/>
              </w:rPr>
              <w:t>肝腫瘤</w:t>
            </w:r>
          </w:p>
        </w:tc>
        <w:tc>
          <w:tcPr>
            <w:tcW w:w="883" w:type="dxa"/>
            <w:tcBorders/>
          </w:tcPr>
          <w:p>
            <w:pPr>
              <w:pStyle w:val="F21"/>
              <w:overflowPunct w:val="true"/>
              <w:ind w:left="57" w:right="57" w:hanging="0"/>
              <w:jc w:val="center"/>
              <w:rPr>
                <w:i/>
                <w:i/>
                <w:szCs w:val="27"/>
              </w:rPr>
            </w:pPr>
            <w:r>
              <w:rPr>
                <w:i/>
                <w:szCs w:val="27"/>
              </w:rPr>
              <w:t>女</w:t>
            </w:r>
          </w:p>
        </w:tc>
        <w:tc>
          <w:tcPr>
            <w:tcW w:w="849" w:type="dxa"/>
            <w:tcBorders/>
          </w:tcPr>
          <w:p>
            <w:pPr>
              <w:pStyle w:val="F21"/>
              <w:overflowPunct w:val="true"/>
              <w:ind w:left="57" w:right="57" w:hanging="0"/>
              <w:rPr>
                <w:i/>
                <w:i/>
                <w:szCs w:val="27"/>
              </w:rPr>
            </w:pPr>
            <w:r>
              <w:rPr>
                <w:i/>
                <w:szCs w:val="27"/>
              </w:rPr>
            </w:r>
          </w:p>
        </w:tc>
        <w:tc>
          <w:tcPr>
            <w:tcW w:w="994" w:type="dxa"/>
            <w:tcBorders/>
          </w:tcPr>
          <w:p>
            <w:pPr>
              <w:pStyle w:val="F21"/>
              <w:overflowPunct w:val="true"/>
              <w:ind w:left="57" w:right="57" w:hanging="0"/>
              <w:rPr>
                <w:i/>
                <w:i/>
                <w:szCs w:val="27"/>
              </w:rPr>
            </w:pPr>
            <w:r>
              <w:rPr>
                <w:i/>
                <w:szCs w:val="27"/>
              </w:rPr>
            </w:r>
          </w:p>
        </w:tc>
        <w:tc>
          <w:tcPr>
            <w:tcW w:w="992" w:type="dxa"/>
            <w:tcBorders/>
          </w:tcPr>
          <w:p>
            <w:pPr>
              <w:pStyle w:val="F21"/>
              <w:overflowPunct w:val="true"/>
              <w:ind w:left="57" w:right="57" w:hanging="0"/>
              <w:rPr>
                <w:i/>
                <w:i/>
                <w:szCs w:val="27"/>
              </w:rPr>
            </w:pPr>
            <w:r>
              <w:rPr>
                <w:i/>
                <w:szCs w:val="27"/>
              </w:rPr>
            </w:r>
          </w:p>
        </w:tc>
        <w:tc>
          <w:tcPr>
            <w:tcW w:w="992" w:type="dxa"/>
            <w:tcBorders/>
          </w:tcPr>
          <w:p>
            <w:pPr>
              <w:pStyle w:val="F21"/>
              <w:overflowPunct w:val="true"/>
              <w:ind w:left="57" w:right="57" w:hanging="0"/>
              <w:rPr>
                <w:i/>
                <w:i/>
                <w:szCs w:val="27"/>
              </w:rPr>
            </w:pPr>
            <w:r>
              <w:rPr>
                <w:i/>
                <w:szCs w:val="27"/>
              </w:rPr>
            </w:r>
          </w:p>
        </w:tc>
        <w:tc>
          <w:tcPr>
            <w:tcW w:w="851" w:type="dxa"/>
            <w:tcBorders/>
          </w:tcPr>
          <w:p>
            <w:pPr>
              <w:pStyle w:val="F21"/>
              <w:overflowPunct w:val="true"/>
              <w:ind w:left="57" w:right="57" w:hanging="0"/>
              <w:rPr>
                <w:i/>
                <w:i/>
                <w:szCs w:val="27"/>
              </w:rPr>
            </w:pPr>
            <w:r>
              <w:rPr>
                <w:i/>
                <w:szCs w:val="27"/>
              </w:rPr>
            </w:r>
          </w:p>
        </w:tc>
        <w:tc>
          <w:tcPr>
            <w:tcW w:w="853" w:type="dxa"/>
            <w:tcBorders/>
          </w:tcPr>
          <w:p>
            <w:pPr>
              <w:pStyle w:val="F21"/>
              <w:overflowPunct w:val="true"/>
              <w:ind w:left="57" w:right="57" w:hanging="0"/>
              <w:rPr>
                <w:i/>
                <w:i/>
                <w:szCs w:val="27"/>
              </w:rPr>
            </w:pPr>
            <w:r>
              <w:rPr>
                <w:i/>
                <w:szCs w:val="27"/>
              </w:rPr>
            </w:r>
          </w:p>
        </w:tc>
      </w:tr>
      <w:tr>
        <w:trPr/>
        <w:tc>
          <w:tcPr>
            <w:tcW w:w="1390" w:type="dxa"/>
            <w:vMerge w:val="continue"/>
            <w:tcBorders/>
            <w:vAlign w:val="center"/>
          </w:tcPr>
          <w:p>
            <w:pPr>
              <w:pStyle w:val="F21"/>
              <w:overflowPunct w:val="true"/>
              <w:ind w:left="57" w:right="57" w:hanging="0"/>
              <w:rPr>
                <w:i/>
                <w:i/>
                <w:szCs w:val="27"/>
              </w:rPr>
            </w:pPr>
            <w:r>
              <w:rPr>
                <w:i/>
                <w:szCs w:val="27"/>
              </w:rPr>
            </w:r>
          </w:p>
        </w:tc>
        <w:tc>
          <w:tcPr>
            <w:tcW w:w="883" w:type="dxa"/>
            <w:tcBorders/>
          </w:tcPr>
          <w:p>
            <w:pPr>
              <w:pStyle w:val="F21"/>
              <w:overflowPunct w:val="true"/>
              <w:ind w:left="57" w:right="57" w:hanging="0"/>
              <w:jc w:val="center"/>
              <w:rPr>
                <w:i/>
                <w:i/>
                <w:szCs w:val="27"/>
              </w:rPr>
            </w:pPr>
            <w:r>
              <w:rPr>
                <w:i/>
                <w:szCs w:val="27"/>
              </w:rPr>
              <w:t>男</w:t>
            </w:r>
          </w:p>
        </w:tc>
        <w:tc>
          <w:tcPr>
            <w:tcW w:w="849" w:type="dxa"/>
            <w:tcBorders/>
          </w:tcPr>
          <w:p>
            <w:pPr>
              <w:pStyle w:val="F21"/>
              <w:overflowPunct w:val="true"/>
              <w:ind w:left="57" w:right="57" w:hanging="0"/>
              <w:rPr>
                <w:i/>
                <w:i/>
                <w:szCs w:val="27"/>
              </w:rPr>
            </w:pPr>
            <w:r>
              <w:rPr>
                <w:i/>
                <w:szCs w:val="27"/>
              </w:rPr>
            </w:r>
          </w:p>
        </w:tc>
        <w:tc>
          <w:tcPr>
            <w:tcW w:w="994" w:type="dxa"/>
            <w:tcBorders/>
          </w:tcPr>
          <w:p>
            <w:pPr>
              <w:pStyle w:val="F21"/>
              <w:overflowPunct w:val="true"/>
              <w:ind w:left="57" w:right="57" w:hanging="0"/>
              <w:rPr>
                <w:i/>
                <w:i/>
                <w:szCs w:val="27"/>
              </w:rPr>
            </w:pPr>
            <w:r>
              <w:rPr>
                <w:i/>
                <w:szCs w:val="27"/>
              </w:rPr>
            </w:r>
          </w:p>
        </w:tc>
        <w:tc>
          <w:tcPr>
            <w:tcW w:w="992" w:type="dxa"/>
            <w:tcBorders/>
          </w:tcPr>
          <w:p>
            <w:pPr>
              <w:pStyle w:val="F21"/>
              <w:overflowPunct w:val="true"/>
              <w:ind w:left="57" w:right="57" w:hanging="0"/>
              <w:rPr>
                <w:i/>
                <w:i/>
                <w:szCs w:val="27"/>
              </w:rPr>
            </w:pPr>
            <w:r>
              <w:rPr>
                <w:i/>
                <w:szCs w:val="27"/>
              </w:rPr>
            </w:r>
          </w:p>
        </w:tc>
        <w:tc>
          <w:tcPr>
            <w:tcW w:w="992" w:type="dxa"/>
            <w:tcBorders/>
          </w:tcPr>
          <w:p>
            <w:pPr>
              <w:pStyle w:val="F21"/>
              <w:overflowPunct w:val="true"/>
              <w:ind w:left="57" w:right="57" w:hanging="0"/>
              <w:rPr>
                <w:i/>
                <w:i/>
                <w:szCs w:val="27"/>
              </w:rPr>
            </w:pPr>
            <w:r>
              <w:rPr>
                <w:i/>
                <w:szCs w:val="27"/>
              </w:rPr>
            </w:r>
          </w:p>
        </w:tc>
        <w:tc>
          <w:tcPr>
            <w:tcW w:w="851" w:type="dxa"/>
            <w:tcBorders/>
          </w:tcPr>
          <w:p>
            <w:pPr>
              <w:pStyle w:val="F21"/>
              <w:overflowPunct w:val="true"/>
              <w:ind w:left="57" w:right="57" w:hanging="0"/>
              <w:rPr>
                <w:i/>
                <w:i/>
                <w:szCs w:val="27"/>
              </w:rPr>
            </w:pPr>
            <w:r>
              <w:rPr>
                <w:i/>
                <w:szCs w:val="27"/>
              </w:rPr>
            </w:r>
          </w:p>
        </w:tc>
        <w:tc>
          <w:tcPr>
            <w:tcW w:w="853" w:type="dxa"/>
            <w:tcBorders/>
          </w:tcPr>
          <w:p>
            <w:pPr>
              <w:pStyle w:val="F21"/>
              <w:overflowPunct w:val="true"/>
              <w:ind w:left="57" w:right="57" w:hanging="0"/>
              <w:rPr>
                <w:i/>
                <w:i/>
                <w:szCs w:val="27"/>
              </w:rPr>
            </w:pPr>
            <w:r>
              <w:rPr>
                <w:i/>
                <w:szCs w:val="27"/>
              </w:rPr>
            </w:r>
          </w:p>
        </w:tc>
      </w:tr>
      <w:tr>
        <w:trPr/>
        <w:tc>
          <w:tcPr>
            <w:tcW w:w="1390" w:type="dxa"/>
            <w:vMerge w:val="restart"/>
            <w:tcBorders/>
            <w:vAlign w:val="center"/>
          </w:tcPr>
          <w:p>
            <w:pPr>
              <w:pStyle w:val="F21"/>
              <w:overflowPunct w:val="true"/>
              <w:ind w:left="57" w:right="57" w:hanging="0"/>
              <w:rPr>
                <w:i/>
                <w:i/>
                <w:szCs w:val="27"/>
              </w:rPr>
            </w:pPr>
            <w:r>
              <w:rPr>
                <w:i/>
                <w:szCs w:val="27"/>
              </w:rPr>
              <w:t>白血病</w:t>
            </w:r>
          </w:p>
        </w:tc>
        <w:tc>
          <w:tcPr>
            <w:tcW w:w="883" w:type="dxa"/>
            <w:tcBorders/>
          </w:tcPr>
          <w:p>
            <w:pPr>
              <w:pStyle w:val="F21"/>
              <w:overflowPunct w:val="true"/>
              <w:ind w:left="57" w:right="57" w:hanging="0"/>
              <w:jc w:val="center"/>
              <w:rPr>
                <w:i/>
                <w:i/>
                <w:szCs w:val="27"/>
              </w:rPr>
            </w:pPr>
            <w:r>
              <w:rPr>
                <w:i/>
                <w:szCs w:val="27"/>
              </w:rPr>
              <w:t>女</w:t>
            </w:r>
          </w:p>
        </w:tc>
        <w:tc>
          <w:tcPr>
            <w:tcW w:w="849" w:type="dxa"/>
            <w:tcBorders/>
          </w:tcPr>
          <w:p>
            <w:pPr>
              <w:pStyle w:val="F21"/>
              <w:overflowPunct w:val="true"/>
              <w:ind w:left="57" w:right="57" w:hanging="0"/>
              <w:rPr>
                <w:i/>
                <w:i/>
                <w:szCs w:val="27"/>
              </w:rPr>
            </w:pPr>
            <w:r>
              <w:rPr>
                <w:i/>
                <w:szCs w:val="27"/>
              </w:rPr>
            </w:r>
          </w:p>
        </w:tc>
        <w:tc>
          <w:tcPr>
            <w:tcW w:w="994" w:type="dxa"/>
            <w:tcBorders/>
          </w:tcPr>
          <w:p>
            <w:pPr>
              <w:pStyle w:val="F21"/>
              <w:overflowPunct w:val="true"/>
              <w:ind w:left="57" w:right="57" w:hanging="0"/>
              <w:rPr>
                <w:i/>
                <w:i/>
                <w:szCs w:val="27"/>
              </w:rPr>
            </w:pPr>
            <w:r>
              <w:rPr>
                <w:i/>
                <w:szCs w:val="27"/>
              </w:rPr>
            </w:r>
          </w:p>
        </w:tc>
        <w:tc>
          <w:tcPr>
            <w:tcW w:w="992" w:type="dxa"/>
            <w:tcBorders/>
          </w:tcPr>
          <w:p>
            <w:pPr>
              <w:pStyle w:val="F21"/>
              <w:overflowPunct w:val="true"/>
              <w:ind w:left="57" w:right="57" w:hanging="0"/>
              <w:rPr>
                <w:i/>
                <w:i/>
                <w:szCs w:val="27"/>
              </w:rPr>
            </w:pPr>
            <w:r>
              <w:rPr>
                <w:i/>
                <w:szCs w:val="27"/>
              </w:rPr>
            </w:r>
          </w:p>
        </w:tc>
        <w:tc>
          <w:tcPr>
            <w:tcW w:w="992" w:type="dxa"/>
            <w:tcBorders/>
          </w:tcPr>
          <w:p>
            <w:pPr>
              <w:pStyle w:val="F21"/>
              <w:overflowPunct w:val="true"/>
              <w:ind w:left="57" w:right="57" w:hanging="0"/>
              <w:rPr>
                <w:i/>
                <w:i/>
                <w:szCs w:val="27"/>
              </w:rPr>
            </w:pPr>
            <w:r>
              <w:rPr>
                <w:i/>
                <w:szCs w:val="27"/>
              </w:rPr>
            </w:r>
          </w:p>
        </w:tc>
        <w:tc>
          <w:tcPr>
            <w:tcW w:w="851" w:type="dxa"/>
            <w:tcBorders/>
          </w:tcPr>
          <w:p>
            <w:pPr>
              <w:pStyle w:val="F21"/>
              <w:overflowPunct w:val="true"/>
              <w:ind w:left="57" w:right="57" w:hanging="0"/>
              <w:rPr>
                <w:i/>
                <w:i/>
                <w:szCs w:val="27"/>
              </w:rPr>
            </w:pPr>
            <w:r>
              <w:rPr>
                <w:i/>
                <w:szCs w:val="27"/>
              </w:rPr>
            </w:r>
          </w:p>
        </w:tc>
        <w:tc>
          <w:tcPr>
            <w:tcW w:w="853" w:type="dxa"/>
            <w:tcBorders/>
          </w:tcPr>
          <w:p>
            <w:pPr>
              <w:pStyle w:val="F21"/>
              <w:overflowPunct w:val="true"/>
              <w:ind w:left="57" w:right="57" w:hanging="0"/>
              <w:rPr>
                <w:i/>
                <w:i/>
                <w:szCs w:val="27"/>
              </w:rPr>
            </w:pPr>
            <w:r>
              <w:rPr>
                <w:i/>
                <w:szCs w:val="27"/>
              </w:rPr>
            </w:r>
          </w:p>
        </w:tc>
      </w:tr>
      <w:tr>
        <w:trPr/>
        <w:tc>
          <w:tcPr>
            <w:tcW w:w="1390" w:type="dxa"/>
            <w:vMerge w:val="continue"/>
            <w:tcBorders/>
            <w:vAlign w:val="center"/>
          </w:tcPr>
          <w:p>
            <w:pPr>
              <w:pStyle w:val="F21"/>
              <w:overflowPunct w:val="true"/>
              <w:ind w:left="57" w:right="57" w:hanging="0"/>
              <w:rPr>
                <w:i/>
                <w:i/>
                <w:szCs w:val="27"/>
              </w:rPr>
            </w:pPr>
            <w:r>
              <w:rPr>
                <w:i/>
                <w:szCs w:val="27"/>
              </w:rPr>
            </w:r>
          </w:p>
        </w:tc>
        <w:tc>
          <w:tcPr>
            <w:tcW w:w="883" w:type="dxa"/>
            <w:tcBorders/>
          </w:tcPr>
          <w:p>
            <w:pPr>
              <w:pStyle w:val="F21"/>
              <w:overflowPunct w:val="true"/>
              <w:ind w:left="57" w:right="57" w:hanging="0"/>
              <w:jc w:val="center"/>
              <w:rPr>
                <w:i/>
                <w:i/>
                <w:szCs w:val="27"/>
              </w:rPr>
            </w:pPr>
            <w:r>
              <w:rPr>
                <w:i/>
                <w:szCs w:val="27"/>
              </w:rPr>
              <w:t>男</w:t>
            </w:r>
          </w:p>
        </w:tc>
        <w:tc>
          <w:tcPr>
            <w:tcW w:w="849" w:type="dxa"/>
            <w:tcBorders/>
          </w:tcPr>
          <w:p>
            <w:pPr>
              <w:pStyle w:val="F21"/>
              <w:overflowPunct w:val="true"/>
              <w:ind w:left="57" w:right="57" w:hanging="0"/>
              <w:rPr>
                <w:i/>
                <w:i/>
                <w:szCs w:val="27"/>
              </w:rPr>
            </w:pPr>
            <w:r>
              <w:rPr>
                <w:i/>
                <w:szCs w:val="27"/>
              </w:rPr>
            </w:r>
          </w:p>
        </w:tc>
        <w:tc>
          <w:tcPr>
            <w:tcW w:w="994" w:type="dxa"/>
            <w:tcBorders/>
          </w:tcPr>
          <w:p>
            <w:pPr>
              <w:pStyle w:val="F21"/>
              <w:overflowPunct w:val="true"/>
              <w:ind w:left="57" w:right="57" w:hanging="0"/>
              <w:rPr>
                <w:i/>
                <w:i/>
                <w:szCs w:val="27"/>
              </w:rPr>
            </w:pPr>
            <w:r>
              <w:rPr>
                <w:i/>
                <w:szCs w:val="27"/>
              </w:rPr>
            </w:r>
          </w:p>
        </w:tc>
        <w:tc>
          <w:tcPr>
            <w:tcW w:w="992" w:type="dxa"/>
            <w:tcBorders/>
          </w:tcPr>
          <w:p>
            <w:pPr>
              <w:pStyle w:val="F21"/>
              <w:overflowPunct w:val="true"/>
              <w:ind w:left="57" w:right="57" w:hanging="0"/>
              <w:rPr>
                <w:i/>
                <w:i/>
                <w:szCs w:val="27"/>
              </w:rPr>
            </w:pPr>
            <w:r>
              <w:rPr>
                <w:i/>
                <w:szCs w:val="27"/>
              </w:rPr>
            </w:r>
          </w:p>
        </w:tc>
        <w:tc>
          <w:tcPr>
            <w:tcW w:w="992" w:type="dxa"/>
            <w:tcBorders/>
          </w:tcPr>
          <w:p>
            <w:pPr>
              <w:pStyle w:val="F21"/>
              <w:overflowPunct w:val="true"/>
              <w:ind w:left="57" w:right="57" w:hanging="0"/>
              <w:rPr>
                <w:i/>
                <w:i/>
                <w:szCs w:val="27"/>
              </w:rPr>
            </w:pPr>
            <w:r>
              <w:rPr>
                <w:i/>
                <w:szCs w:val="27"/>
              </w:rPr>
            </w:r>
          </w:p>
        </w:tc>
        <w:tc>
          <w:tcPr>
            <w:tcW w:w="851" w:type="dxa"/>
            <w:tcBorders/>
          </w:tcPr>
          <w:p>
            <w:pPr>
              <w:pStyle w:val="F21"/>
              <w:overflowPunct w:val="true"/>
              <w:ind w:left="57" w:right="57" w:hanging="0"/>
              <w:rPr>
                <w:i/>
                <w:i/>
                <w:szCs w:val="27"/>
              </w:rPr>
            </w:pPr>
            <w:r>
              <w:rPr>
                <w:i/>
                <w:szCs w:val="27"/>
              </w:rPr>
            </w:r>
          </w:p>
        </w:tc>
        <w:tc>
          <w:tcPr>
            <w:tcW w:w="853" w:type="dxa"/>
            <w:tcBorders/>
          </w:tcPr>
          <w:p>
            <w:pPr>
              <w:pStyle w:val="F21"/>
              <w:overflowPunct w:val="true"/>
              <w:ind w:left="57" w:right="57" w:hanging="0"/>
              <w:rPr>
                <w:i/>
                <w:i/>
                <w:szCs w:val="27"/>
              </w:rPr>
            </w:pPr>
            <w:r>
              <w:rPr>
                <w:i/>
                <w:szCs w:val="27"/>
              </w:rPr>
            </w:r>
          </w:p>
        </w:tc>
      </w:tr>
      <w:tr>
        <w:trPr/>
        <w:tc>
          <w:tcPr>
            <w:tcW w:w="1390" w:type="dxa"/>
            <w:vMerge w:val="restart"/>
            <w:tcBorders/>
            <w:vAlign w:val="center"/>
          </w:tcPr>
          <w:p>
            <w:pPr>
              <w:pStyle w:val="F21"/>
              <w:overflowPunct w:val="true"/>
              <w:ind w:left="57" w:right="57" w:hanging="0"/>
              <w:rPr>
                <w:i/>
                <w:i/>
                <w:szCs w:val="27"/>
              </w:rPr>
            </w:pPr>
            <w:r>
              <w:rPr>
                <w:i/>
                <w:szCs w:val="27"/>
              </w:rPr>
              <w:t>霍奇金</w:t>
            </w:r>
          </w:p>
          <w:p>
            <w:pPr>
              <w:pStyle w:val="F21"/>
              <w:overflowPunct w:val="true"/>
              <w:ind w:left="57" w:right="57" w:hanging="0"/>
              <w:rPr>
                <w:i/>
                <w:i/>
                <w:szCs w:val="27"/>
              </w:rPr>
            </w:pPr>
            <w:r>
              <w:rPr>
                <w:i/>
                <w:szCs w:val="27"/>
              </w:rPr>
              <w:t>淋巴瘤</w:t>
            </w:r>
          </w:p>
        </w:tc>
        <w:tc>
          <w:tcPr>
            <w:tcW w:w="883" w:type="dxa"/>
            <w:tcBorders/>
          </w:tcPr>
          <w:p>
            <w:pPr>
              <w:pStyle w:val="F21"/>
              <w:overflowPunct w:val="true"/>
              <w:ind w:left="57" w:right="57" w:hanging="0"/>
              <w:jc w:val="center"/>
              <w:rPr>
                <w:i/>
                <w:i/>
                <w:szCs w:val="27"/>
              </w:rPr>
            </w:pPr>
            <w:r>
              <w:rPr>
                <w:i/>
                <w:szCs w:val="27"/>
              </w:rPr>
              <w:t>女</w:t>
            </w:r>
          </w:p>
        </w:tc>
        <w:tc>
          <w:tcPr>
            <w:tcW w:w="849" w:type="dxa"/>
            <w:tcBorders/>
          </w:tcPr>
          <w:p>
            <w:pPr>
              <w:pStyle w:val="F21"/>
              <w:overflowPunct w:val="true"/>
              <w:ind w:left="57" w:right="57" w:hanging="0"/>
              <w:rPr>
                <w:i/>
                <w:i/>
                <w:szCs w:val="27"/>
              </w:rPr>
            </w:pPr>
            <w:r>
              <w:rPr>
                <w:i/>
                <w:szCs w:val="27"/>
              </w:rPr>
            </w:r>
          </w:p>
        </w:tc>
        <w:tc>
          <w:tcPr>
            <w:tcW w:w="994" w:type="dxa"/>
            <w:tcBorders/>
          </w:tcPr>
          <w:p>
            <w:pPr>
              <w:pStyle w:val="F21"/>
              <w:overflowPunct w:val="true"/>
              <w:ind w:left="57" w:right="57" w:hanging="0"/>
              <w:rPr>
                <w:i/>
                <w:i/>
                <w:szCs w:val="27"/>
              </w:rPr>
            </w:pPr>
            <w:r>
              <w:rPr>
                <w:i/>
                <w:szCs w:val="27"/>
              </w:rPr>
            </w:r>
          </w:p>
        </w:tc>
        <w:tc>
          <w:tcPr>
            <w:tcW w:w="992" w:type="dxa"/>
            <w:tcBorders/>
          </w:tcPr>
          <w:p>
            <w:pPr>
              <w:pStyle w:val="F21"/>
              <w:overflowPunct w:val="true"/>
              <w:ind w:left="57" w:right="57" w:hanging="0"/>
              <w:rPr>
                <w:i/>
                <w:i/>
                <w:szCs w:val="27"/>
              </w:rPr>
            </w:pPr>
            <w:r>
              <w:rPr>
                <w:i/>
                <w:szCs w:val="27"/>
              </w:rPr>
            </w:r>
          </w:p>
        </w:tc>
        <w:tc>
          <w:tcPr>
            <w:tcW w:w="992" w:type="dxa"/>
            <w:tcBorders/>
          </w:tcPr>
          <w:p>
            <w:pPr>
              <w:pStyle w:val="F21"/>
              <w:overflowPunct w:val="true"/>
              <w:ind w:left="57" w:right="57" w:hanging="0"/>
              <w:rPr>
                <w:i/>
                <w:i/>
                <w:szCs w:val="27"/>
              </w:rPr>
            </w:pPr>
            <w:r>
              <w:rPr>
                <w:i/>
                <w:szCs w:val="27"/>
              </w:rPr>
            </w:r>
          </w:p>
        </w:tc>
        <w:tc>
          <w:tcPr>
            <w:tcW w:w="851" w:type="dxa"/>
            <w:tcBorders/>
          </w:tcPr>
          <w:p>
            <w:pPr>
              <w:pStyle w:val="F21"/>
              <w:overflowPunct w:val="true"/>
              <w:ind w:left="57" w:right="57" w:hanging="0"/>
              <w:rPr>
                <w:i/>
                <w:i/>
                <w:szCs w:val="27"/>
              </w:rPr>
            </w:pPr>
            <w:r>
              <w:rPr>
                <w:i/>
                <w:szCs w:val="27"/>
              </w:rPr>
            </w:r>
          </w:p>
        </w:tc>
        <w:tc>
          <w:tcPr>
            <w:tcW w:w="853" w:type="dxa"/>
            <w:tcBorders/>
          </w:tcPr>
          <w:p>
            <w:pPr>
              <w:pStyle w:val="F21"/>
              <w:overflowPunct w:val="true"/>
              <w:ind w:left="57" w:right="57" w:hanging="0"/>
              <w:rPr>
                <w:i/>
                <w:i/>
                <w:szCs w:val="27"/>
              </w:rPr>
            </w:pPr>
            <w:r>
              <w:rPr>
                <w:i/>
                <w:szCs w:val="27"/>
              </w:rPr>
            </w:r>
          </w:p>
        </w:tc>
      </w:tr>
      <w:tr>
        <w:trPr/>
        <w:tc>
          <w:tcPr>
            <w:tcW w:w="1390" w:type="dxa"/>
            <w:vMerge w:val="continue"/>
            <w:tcBorders/>
            <w:vAlign w:val="center"/>
          </w:tcPr>
          <w:p>
            <w:pPr>
              <w:pStyle w:val="F21"/>
              <w:overflowPunct w:val="true"/>
              <w:ind w:left="57" w:right="57" w:hanging="0"/>
              <w:rPr>
                <w:i/>
                <w:i/>
                <w:szCs w:val="27"/>
              </w:rPr>
            </w:pPr>
            <w:r>
              <w:rPr>
                <w:i/>
                <w:szCs w:val="27"/>
              </w:rPr>
            </w:r>
          </w:p>
        </w:tc>
        <w:tc>
          <w:tcPr>
            <w:tcW w:w="883" w:type="dxa"/>
            <w:tcBorders/>
          </w:tcPr>
          <w:p>
            <w:pPr>
              <w:pStyle w:val="F21"/>
              <w:overflowPunct w:val="true"/>
              <w:ind w:left="57" w:right="57" w:hanging="0"/>
              <w:jc w:val="center"/>
              <w:rPr>
                <w:i/>
                <w:i/>
                <w:szCs w:val="27"/>
              </w:rPr>
            </w:pPr>
            <w:r>
              <w:rPr>
                <w:i/>
                <w:szCs w:val="27"/>
              </w:rPr>
              <w:t>男</w:t>
            </w:r>
          </w:p>
        </w:tc>
        <w:tc>
          <w:tcPr>
            <w:tcW w:w="849" w:type="dxa"/>
            <w:tcBorders/>
          </w:tcPr>
          <w:p>
            <w:pPr>
              <w:pStyle w:val="F21"/>
              <w:overflowPunct w:val="true"/>
              <w:ind w:left="57" w:right="57" w:hanging="0"/>
              <w:rPr>
                <w:i/>
                <w:i/>
                <w:szCs w:val="27"/>
              </w:rPr>
            </w:pPr>
            <w:r>
              <w:rPr>
                <w:i/>
                <w:szCs w:val="27"/>
              </w:rPr>
            </w:r>
          </w:p>
        </w:tc>
        <w:tc>
          <w:tcPr>
            <w:tcW w:w="994" w:type="dxa"/>
            <w:tcBorders/>
          </w:tcPr>
          <w:p>
            <w:pPr>
              <w:pStyle w:val="F21"/>
              <w:overflowPunct w:val="true"/>
              <w:ind w:left="57" w:right="57" w:hanging="0"/>
              <w:rPr>
                <w:i/>
                <w:i/>
                <w:szCs w:val="27"/>
              </w:rPr>
            </w:pPr>
            <w:r>
              <w:rPr>
                <w:i/>
                <w:szCs w:val="27"/>
              </w:rPr>
            </w:r>
          </w:p>
        </w:tc>
        <w:tc>
          <w:tcPr>
            <w:tcW w:w="992" w:type="dxa"/>
            <w:tcBorders/>
          </w:tcPr>
          <w:p>
            <w:pPr>
              <w:pStyle w:val="F21"/>
              <w:overflowPunct w:val="true"/>
              <w:ind w:left="57" w:right="57" w:hanging="0"/>
              <w:rPr>
                <w:i/>
                <w:i/>
                <w:szCs w:val="27"/>
              </w:rPr>
            </w:pPr>
            <w:r>
              <w:rPr>
                <w:i/>
                <w:szCs w:val="27"/>
              </w:rPr>
            </w:r>
          </w:p>
        </w:tc>
        <w:tc>
          <w:tcPr>
            <w:tcW w:w="992" w:type="dxa"/>
            <w:tcBorders/>
          </w:tcPr>
          <w:p>
            <w:pPr>
              <w:pStyle w:val="F21"/>
              <w:overflowPunct w:val="true"/>
              <w:ind w:left="57" w:right="57" w:hanging="0"/>
              <w:rPr>
                <w:i/>
                <w:i/>
                <w:szCs w:val="27"/>
              </w:rPr>
            </w:pPr>
            <w:r>
              <w:rPr>
                <w:i/>
                <w:szCs w:val="27"/>
              </w:rPr>
            </w:r>
          </w:p>
        </w:tc>
        <w:tc>
          <w:tcPr>
            <w:tcW w:w="851" w:type="dxa"/>
            <w:tcBorders/>
          </w:tcPr>
          <w:p>
            <w:pPr>
              <w:pStyle w:val="F21"/>
              <w:overflowPunct w:val="true"/>
              <w:ind w:left="57" w:right="57" w:hanging="0"/>
              <w:rPr>
                <w:i/>
                <w:i/>
                <w:szCs w:val="27"/>
              </w:rPr>
            </w:pPr>
            <w:r>
              <w:rPr>
                <w:i/>
                <w:szCs w:val="27"/>
              </w:rPr>
            </w:r>
          </w:p>
        </w:tc>
        <w:tc>
          <w:tcPr>
            <w:tcW w:w="853" w:type="dxa"/>
            <w:tcBorders/>
          </w:tcPr>
          <w:p>
            <w:pPr>
              <w:pStyle w:val="F21"/>
              <w:overflowPunct w:val="true"/>
              <w:ind w:left="57" w:right="57" w:hanging="0"/>
              <w:rPr>
                <w:i/>
                <w:i/>
                <w:szCs w:val="27"/>
              </w:rPr>
            </w:pPr>
            <w:r>
              <w:rPr>
                <w:i/>
                <w:szCs w:val="27"/>
              </w:rPr>
            </w:r>
          </w:p>
        </w:tc>
      </w:tr>
      <w:tr>
        <w:trPr/>
        <w:tc>
          <w:tcPr>
            <w:tcW w:w="1390" w:type="dxa"/>
            <w:vMerge w:val="restart"/>
            <w:tcBorders/>
            <w:vAlign w:val="center"/>
          </w:tcPr>
          <w:p>
            <w:pPr>
              <w:pStyle w:val="F21"/>
              <w:overflowPunct w:val="true"/>
              <w:spacing w:lineRule="atLeast" w:line="380"/>
              <w:ind w:left="57" w:right="57" w:hanging="0"/>
              <w:rPr>
                <w:i/>
                <w:i/>
                <w:szCs w:val="27"/>
              </w:rPr>
            </w:pPr>
            <w:r>
              <w:rPr>
                <w:i/>
                <w:szCs w:val="27"/>
              </w:rPr>
              <w:t>非霍奇金</w:t>
            </w:r>
          </w:p>
          <w:p>
            <w:pPr>
              <w:pStyle w:val="F21"/>
              <w:overflowPunct w:val="true"/>
              <w:spacing w:lineRule="atLeast" w:line="380"/>
              <w:ind w:left="57" w:right="57" w:hanging="0"/>
              <w:rPr>
                <w:i/>
                <w:i/>
                <w:szCs w:val="27"/>
              </w:rPr>
            </w:pPr>
            <w:r>
              <w:rPr>
                <w:i/>
                <w:szCs w:val="27"/>
              </w:rPr>
              <w:t>淋巴瘤</w:t>
            </w:r>
          </w:p>
        </w:tc>
        <w:tc>
          <w:tcPr>
            <w:tcW w:w="883" w:type="dxa"/>
            <w:tcBorders/>
          </w:tcPr>
          <w:p>
            <w:pPr>
              <w:pStyle w:val="F21"/>
              <w:overflowPunct w:val="true"/>
              <w:spacing w:lineRule="atLeast" w:line="380"/>
              <w:ind w:left="57" w:right="57" w:hanging="0"/>
              <w:jc w:val="center"/>
              <w:rPr>
                <w:i/>
                <w:i/>
                <w:szCs w:val="27"/>
              </w:rPr>
            </w:pPr>
            <w:r>
              <w:rPr>
                <w:i/>
                <w:szCs w:val="27"/>
              </w:rPr>
              <w:t>女</w:t>
            </w:r>
          </w:p>
        </w:tc>
        <w:tc>
          <w:tcPr>
            <w:tcW w:w="849" w:type="dxa"/>
            <w:tcBorders/>
          </w:tcPr>
          <w:p>
            <w:pPr>
              <w:pStyle w:val="F21"/>
              <w:overflowPunct w:val="true"/>
              <w:spacing w:lineRule="atLeast" w:line="380"/>
              <w:ind w:left="57" w:right="57" w:hanging="0"/>
              <w:rPr>
                <w:i/>
                <w:i/>
                <w:szCs w:val="27"/>
              </w:rPr>
            </w:pPr>
            <w:r>
              <w:rPr>
                <w:i/>
                <w:szCs w:val="27"/>
              </w:rPr>
            </w:r>
          </w:p>
        </w:tc>
        <w:tc>
          <w:tcPr>
            <w:tcW w:w="994" w:type="dxa"/>
            <w:tcBorders/>
          </w:tcPr>
          <w:p>
            <w:pPr>
              <w:pStyle w:val="F21"/>
              <w:overflowPunct w:val="true"/>
              <w:spacing w:lineRule="atLeast" w:line="380"/>
              <w:ind w:left="57" w:right="57" w:hanging="0"/>
              <w:rPr>
                <w:i/>
                <w:i/>
                <w:szCs w:val="27"/>
              </w:rPr>
            </w:pPr>
            <w:r>
              <w:rPr>
                <w:i/>
                <w:szCs w:val="27"/>
              </w:rPr>
            </w:r>
          </w:p>
        </w:tc>
        <w:tc>
          <w:tcPr>
            <w:tcW w:w="992" w:type="dxa"/>
            <w:tcBorders/>
          </w:tcPr>
          <w:p>
            <w:pPr>
              <w:pStyle w:val="F21"/>
              <w:overflowPunct w:val="true"/>
              <w:spacing w:lineRule="atLeast" w:line="380"/>
              <w:ind w:left="57" w:right="57" w:hanging="0"/>
              <w:rPr>
                <w:i/>
                <w:i/>
                <w:szCs w:val="27"/>
              </w:rPr>
            </w:pPr>
            <w:r>
              <w:rPr>
                <w:i/>
                <w:szCs w:val="27"/>
              </w:rPr>
            </w:r>
          </w:p>
        </w:tc>
        <w:tc>
          <w:tcPr>
            <w:tcW w:w="992" w:type="dxa"/>
            <w:tcBorders/>
          </w:tcPr>
          <w:p>
            <w:pPr>
              <w:pStyle w:val="F21"/>
              <w:overflowPunct w:val="true"/>
              <w:spacing w:lineRule="atLeast" w:line="380"/>
              <w:ind w:left="57" w:right="57" w:hanging="0"/>
              <w:rPr>
                <w:i/>
                <w:i/>
                <w:szCs w:val="27"/>
              </w:rPr>
            </w:pPr>
            <w:r>
              <w:rPr>
                <w:i/>
                <w:szCs w:val="27"/>
              </w:rPr>
            </w:r>
          </w:p>
        </w:tc>
        <w:tc>
          <w:tcPr>
            <w:tcW w:w="851" w:type="dxa"/>
            <w:tcBorders/>
          </w:tcPr>
          <w:p>
            <w:pPr>
              <w:pStyle w:val="F21"/>
              <w:overflowPunct w:val="true"/>
              <w:spacing w:lineRule="atLeast" w:line="380"/>
              <w:ind w:left="57" w:right="57" w:hanging="0"/>
              <w:rPr>
                <w:i/>
                <w:i/>
                <w:szCs w:val="27"/>
              </w:rPr>
            </w:pPr>
            <w:r>
              <w:rPr>
                <w:i/>
                <w:szCs w:val="27"/>
              </w:rPr>
            </w:r>
          </w:p>
        </w:tc>
        <w:tc>
          <w:tcPr>
            <w:tcW w:w="853" w:type="dxa"/>
            <w:tcBorders/>
          </w:tcPr>
          <w:p>
            <w:pPr>
              <w:pStyle w:val="F21"/>
              <w:overflowPunct w:val="true"/>
              <w:spacing w:lineRule="atLeast" w:line="380"/>
              <w:ind w:left="57" w:right="57" w:hanging="0"/>
              <w:rPr>
                <w:i/>
                <w:i/>
                <w:szCs w:val="27"/>
              </w:rPr>
            </w:pPr>
            <w:r>
              <w:rPr>
                <w:i/>
                <w:szCs w:val="27"/>
              </w:rPr>
            </w:r>
          </w:p>
        </w:tc>
      </w:tr>
      <w:tr>
        <w:trPr/>
        <w:tc>
          <w:tcPr>
            <w:tcW w:w="1390" w:type="dxa"/>
            <w:vMerge w:val="continue"/>
            <w:tcBorders/>
            <w:vAlign w:val="center"/>
          </w:tcPr>
          <w:p>
            <w:pPr>
              <w:pStyle w:val="F21"/>
              <w:overflowPunct w:val="true"/>
              <w:spacing w:lineRule="atLeast" w:line="380"/>
              <w:ind w:left="57" w:right="57" w:hanging="0"/>
              <w:rPr>
                <w:i/>
                <w:i/>
                <w:szCs w:val="27"/>
              </w:rPr>
            </w:pPr>
            <w:r>
              <w:rPr>
                <w:i/>
                <w:szCs w:val="27"/>
              </w:rPr>
            </w:r>
          </w:p>
        </w:tc>
        <w:tc>
          <w:tcPr>
            <w:tcW w:w="883" w:type="dxa"/>
            <w:tcBorders/>
          </w:tcPr>
          <w:p>
            <w:pPr>
              <w:pStyle w:val="F21"/>
              <w:overflowPunct w:val="true"/>
              <w:spacing w:lineRule="atLeast" w:line="380"/>
              <w:ind w:left="57" w:right="57" w:hanging="0"/>
              <w:jc w:val="center"/>
              <w:rPr>
                <w:i/>
                <w:i/>
                <w:szCs w:val="27"/>
              </w:rPr>
            </w:pPr>
            <w:r>
              <w:rPr>
                <w:i/>
                <w:szCs w:val="27"/>
              </w:rPr>
              <w:t>男</w:t>
            </w:r>
          </w:p>
        </w:tc>
        <w:tc>
          <w:tcPr>
            <w:tcW w:w="849" w:type="dxa"/>
            <w:tcBorders/>
          </w:tcPr>
          <w:p>
            <w:pPr>
              <w:pStyle w:val="F21"/>
              <w:overflowPunct w:val="true"/>
              <w:spacing w:lineRule="atLeast" w:line="380"/>
              <w:ind w:left="57" w:right="57" w:hanging="0"/>
              <w:rPr>
                <w:i/>
                <w:i/>
                <w:szCs w:val="27"/>
              </w:rPr>
            </w:pPr>
            <w:r>
              <w:rPr>
                <w:i/>
                <w:szCs w:val="27"/>
              </w:rPr>
            </w:r>
          </w:p>
        </w:tc>
        <w:tc>
          <w:tcPr>
            <w:tcW w:w="994" w:type="dxa"/>
            <w:tcBorders/>
          </w:tcPr>
          <w:p>
            <w:pPr>
              <w:pStyle w:val="F21"/>
              <w:overflowPunct w:val="true"/>
              <w:spacing w:lineRule="atLeast" w:line="380"/>
              <w:ind w:left="57" w:right="57" w:hanging="0"/>
              <w:rPr>
                <w:i/>
                <w:i/>
                <w:szCs w:val="27"/>
              </w:rPr>
            </w:pPr>
            <w:r>
              <w:rPr>
                <w:i/>
                <w:szCs w:val="27"/>
              </w:rPr>
            </w:r>
          </w:p>
        </w:tc>
        <w:tc>
          <w:tcPr>
            <w:tcW w:w="992" w:type="dxa"/>
            <w:tcBorders/>
          </w:tcPr>
          <w:p>
            <w:pPr>
              <w:pStyle w:val="F21"/>
              <w:overflowPunct w:val="true"/>
              <w:spacing w:lineRule="atLeast" w:line="380"/>
              <w:ind w:left="57" w:right="57" w:hanging="0"/>
              <w:rPr>
                <w:i/>
                <w:i/>
                <w:szCs w:val="27"/>
              </w:rPr>
            </w:pPr>
            <w:r>
              <w:rPr>
                <w:i/>
                <w:szCs w:val="27"/>
              </w:rPr>
            </w:r>
          </w:p>
        </w:tc>
        <w:tc>
          <w:tcPr>
            <w:tcW w:w="992" w:type="dxa"/>
            <w:tcBorders/>
          </w:tcPr>
          <w:p>
            <w:pPr>
              <w:pStyle w:val="F21"/>
              <w:overflowPunct w:val="true"/>
              <w:spacing w:lineRule="atLeast" w:line="380"/>
              <w:ind w:left="57" w:right="57" w:hanging="0"/>
              <w:rPr>
                <w:i/>
                <w:i/>
                <w:szCs w:val="27"/>
              </w:rPr>
            </w:pPr>
            <w:r>
              <w:rPr>
                <w:i/>
                <w:szCs w:val="27"/>
              </w:rPr>
            </w:r>
          </w:p>
        </w:tc>
        <w:tc>
          <w:tcPr>
            <w:tcW w:w="851" w:type="dxa"/>
            <w:tcBorders/>
          </w:tcPr>
          <w:p>
            <w:pPr>
              <w:pStyle w:val="F21"/>
              <w:overflowPunct w:val="true"/>
              <w:spacing w:lineRule="atLeast" w:line="380"/>
              <w:ind w:left="57" w:right="57" w:hanging="0"/>
              <w:rPr>
                <w:i/>
                <w:i/>
                <w:szCs w:val="27"/>
              </w:rPr>
            </w:pPr>
            <w:r>
              <w:rPr>
                <w:i/>
                <w:szCs w:val="27"/>
              </w:rPr>
            </w:r>
          </w:p>
        </w:tc>
        <w:tc>
          <w:tcPr>
            <w:tcW w:w="853" w:type="dxa"/>
            <w:tcBorders/>
          </w:tcPr>
          <w:p>
            <w:pPr>
              <w:pStyle w:val="F21"/>
              <w:overflowPunct w:val="true"/>
              <w:spacing w:lineRule="atLeast" w:line="380"/>
              <w:ind w:left="57" w:right="57" w:hanging="0"/>
              <w:rPr>
                <w:i/>
                <w:i/>
                <w:szCs w:val="27"/>
              </w:rPr>
            </w:pPr>
            <w:r>
              <w:rPr>
                <w:i/>
                <w:szCs w:val="27"/>
              </w:rPr>
            </w:r>
          </w:p>
        </w:tc>
      </w:tr>
      <w:tr>
        <w:trPr/>
        <w:tc>
          <w:tcPr>
            <w:tcW w:w="1390" w:type="dxa"/>
            <w:vMerge w:val="restart"/>
            <w:tcBorders/>
            <w:vAlign w:val="center"/>
          </w:tcPr>
          <w:p>
            <w:pPr>
              <w:pStyle w:val="F21"/>
              <w:overflowPunct w:val="true"/>
              <w:spacing w:lineRule="atLeast" w:line="380"/>
              <w:ind w:left="57" w:right="57" w:hanging="0"/>
              <w:rPr>
                <w:i/>
                <w:i/>
                <w:szCs w:val="27"/>
              </w:rPr>
            </w:pPr>
            <w:r>
              <w:rPr>
                <w:i/>
                <w:szCs w:val="27"/>
              </w:rPr>
              <w:t>總計：</w:t>
            </w:r>
          </w:p>
        </w:tc>
        <w:tc>
          <w:tcPr>
            <w:tcW w:w="883" w:type="dxa"/>
            <w:tcBorders/>
          </w:tcPr>
          <w:p>
            <w:pPr>
              <w:pStyle w:val="F21"/>
              <w:overflowPunct w:val="true"/>
              <w:spacing w:lineRule="atLeast" w:line="380"/>
              <w:ind w:left="57" w:right="57" w:hanging="0"/>
              <w:jc w:val="center"/>
              <w:rPr>
                <w:i/>
                <w:i/>
                <w:szCs w:val="27"/>
              </w:rPr>
            </w:pPr>
            <w:r>
              <w:rPr>
                <w:i/>
                <w:szCs w:val="27"/>
              </w:rPr>
              <w:t>女</w:t>
            </w:r>
          </w:p>
        </w:tc>
        <w:tc>
          <w:tcPr>
            <w:tcW w:w="849" w:type="dxa"/>
            <w:tcBorders/>
          </w:tcPr>
          <w:p>
            <w:pPr>
              <w:pStyle w:val="F21"/>
              <w:overflowPunct w:val="true"/>
              <w:spacing w:lineRule="atLeast" w:line="380"/>
              <w:ind w:left="57" w:right="57" w:hanging="0"/>
              <w:rPr>
                <w:i/>
                <w:i/>
                <w:szCs w:val="27"/>
              </w:rPr>
            </w:pPr>
            <w:r>
              <w:rPr>
                <w:i/>
                <w:szCs w:val="27"/>
              </w:rPr>
            </w:r>
          </w:p>
        </w:tc>
        <w:tc>
          <w:tcPr>
            <w:tcW w:w="994" w:type="dxa"/>
            <w:tcBorders/>
          </w:tcPr>
          <w:p>
            <w:pPr>
              <w:pStyle w:val="F21"/>
              <w:overflowPunct w:val="true"/>
              <w:spacing w:lineRule="atLeast" w:line="380"/>
              <w:ind w:left="57" w:right="57" w:hanging="0"/>
              <w:rPr>
                <w:i/>
                <w:i/>
                <w:szCs w:val="27"/>
              </w:rPr>
            </w:pPr>
            <w:r>
              <w:rPr>
                <w:i/>
                <w:szCs w:val="27"/>
              </w:rPr>
            </w:r>
          </w:p>
        </w:tc>
        <w:tc>
          <w:tcPr>
            <w:tcW w:w="992" w:type="dxa"/>
            <w:tcBorders/>
          </w:tcPr>
          <w:p>
            <w:pPr>
              <w:pStyle w:val="F21"/>
              <w:overflowPunct w:val="true"/>
              <w:spacing w:lineRule="atLeast" w:line="380"/>
              <w:ind w:left="57" w:right="57" w:hanging="0"/>
              <w:rPr>
                <w:i/>
                <w:i/>
                <w:szCs w:val="27"/>
              </w:rPr>
            </w:pPr>
            <w:r>
              <w:rPr>
                <w:i/>
                <w:szCs w:val="27"/>
              </w:rPr>
            </w:r>
          </w:p>
        </w:tc>
        <w:tc>
          <w:tcPr>
            <w:tcW w:w="992" w:type="dxa"/>
            <w:tcBorders/>
          </w:tcPr>
          <w:p>
            <w:pPr>
              <w:pStyle w:val="F21"/>
              <w:overflowPunct w:val="true"/>
              <w:spacing w:lineRule="atLeast" w:line="380"/>
              <w:ind w:left="57" w:right="57" w:hanging="0"/>
              <w:rPr>
                <w:i/>
                <w:i/>
                <w:szCs w:val="27"/>
              </w:rPr>
            </w:pPr>
            <w:r>
              <w:rPr>
                <w:i/>
                <w:szCs w:val="27"/>
              </w:rPr>
            </w:r>
          </w:p>
        </w:tc>
        <w:tc>
          <w:tcPr>
            <w:tcW w:w="851" w:type="dxa"/>
            <w:tcBorders/>
          </w:tcPr>
          <w:p>
            <w:pPr>
              <w:pStyle w:val="F21"/>
              <w:overflowPunct w:val="true"/>
              <w:spacing w:lineRule="atLeast" w:line="380"/>
              <w:ind w:left="57" w:right="57" w:hanging="0"/>
              <w:rPr>
                <w:i/>
                <w:i/>
                <w:szCs w:val="27"/>
              </w:rPr>
            </w:pPr>
            <w:r>
              <w:rPr>
                <w:i/>
                <w:szCs w:val="27"/>
              </w:rPr>
            </w:r>
          </w:p>
        </w:tc>
        <w:tc>
          <w:tcPr>
            <w:tcW w:w="853" w:type="dxa"/>
            <w:tcBorders/>
          </w:tcPr>
          <w:p>
            <w:pPr>
              <w:pStyle w:val="F21"/>
              <w:overflowPunct w:val="true"/>
              <w:spacing w:lineRule="atLeast" w:line="380"/>
              <w:ind w:left="57" w:right="57" w:hanging="0"/>
              <w:rPr>
                <w:i/>
                <w:i/>
                <w:szCs w:val="27"/>
              </w:rPr>
            </w:pPr>
            <w:r>
              <w:rPr>
                <w:i/>
                <w:szCs w:val="27"/>
              </w:rPr>
            </w:r>
          </w:p>
        </w:tc>
      </w:tr>
      <w:tr>
        <w:trPr/>
        <w:tc>
          <w:tcPr>
            <w:tcW w:w="1390" w:type="dxa"/>
            <w:vMerge w:val="continue"/>
            <w:tcBorders/>
          </w:tcPr>
          <w:p>
            <w:pPr>
              <w:pStyle w:val="F21"/>
              <w:overflowPunct w:val="true"/>
              <w:spacing w:lineRule="atLeast" w:line="380"/>
              <w:ind w:left="57" w:right="57" w:hanging="0"/>
              <w:rPr>
                <w:i/>
                <w:i/>
                <w:szCs w:val="27"/>
              </w:rPr>
            </w:pPr>
            <w:r>
              <w:rPr>
                <w:i/>
                <w:szCs w:val="27"/>
              </w:rPr>
            </w:r>
          </w:p>
        </w:tc>
        <w:tc>
          <w:tcPr>
            <w:tcW w:w="883" w:type="dxa"/>
            <w:tcBorders/>
          </w:tcPr>
          <w:p>
            <w:pPr>
              <w:pStyle w:val="F21"/>
              <w:overflowPunct w:val="true"/>
              <w:spacing w:lineRule="atLeast" w:line="380"/>
              <w:ind w:left="57" w:right="57" w:hanging="0"/>
              <w:jc w:val="center"/>
              <w:rPr>
                <w:i/>
                <w:i/>
                <w:szCs w:val="27"/>
              </w:rPr>
            </w:pPr>
            <w:r>
              <w:rPr>
                <w:i/>
                <w:szCs w:val="27"/>
              </w:rPr>
              <w:t>男</w:t>
            </w:r>
          </w:p>
        </w:tc>
        <w:tc>
          <w:tcPr>
            <w:tcW w:w="849" w:type="dxa"/>
            <w:tcBorders/>
          </w:tcPr>
          <w:p>
            <w:pPr>
              <w:pStyle w:val="F21"/>
              <w:overflowPunct w:val="true"/>
              <w:spacing w:lineRule="atLeast" w:line="380"/>
              <w:ind w:left="57" w:right="57" w:hanging="0"/>
              <w:rPr>
                <w:i/>
                <w:i/>
                <w:szCs w:val="27"/>
              </w:rPr>
            </w:pPr>
            <w:r>
              <w:rPr>
                <w:i/>
                <w:szCs w:val="27"/>
              </w:rPr>
            </w:r>
          </w:p>
        </w:tc>
        <w:tc>
          <w:tcPr>
            <w:tcW w:w="994" w:type="dxa"/>
            <w:tcBorders/>
          </w:tcPr>
          <w:p>
            <w:pPr>
              <w:pStyle w:val="F21"/>
              <w:overflowPunct w:val="true"/>
              <w:spacing w:lineRule="atLeast" w:line="380"/>
              <w:ind w:left="57" w:right="57" w:hanging="0"/>
              <w:rPr>
                <w:i/>
                <w:i/>
                <w:szCs w:val="27"/>
              </w:rPr>
            </w:pPr>
            <w:r>
              <w:rPr>
                <w:i/>
                <w:szCs w:val="27"/>
              </w:rPr>
            </w:r>
          </w:p>
        </w:tc>
        <w:tc>
          <w:tcPr>
            <w:tcW w:w="992" w:type="dxa"/>
            <w:tcBorders/>
          </w:tcPr>
          <w:p>
            <w:pPr>
              <w:pStyle w:val="F21"/>
              <w:overflowPunct w:val="true"/>
              <w:spacing w:lineRule="atLeast" w:line="380"/>
              <w:ind w:left="57" w:right="57" w:hanging="0"/>
              <w:rPr>
                <w:i/>
                <w:i/>
                <w:szCs w:val="27"/>
              </w:rPr>
            </w:pPr>
            <w:r>
              <w:rPr>
                <w:i/>
                <w:szCs w:val="27"/>
              </w:rPr>
            </w:r>
          </w:p>
        </w:tc>
        <w:tc>
          <w:tcPr>
            <w:tcW w:w="992" w:type="dxa"/>
            <w:tcBorders/>
          </w:tcPr>
          <w:p>
            <w:pPr>
              <w:pStyle w:val="F21"/>
              <w:overflowPunct w:val="true"/>
              <w:spacing w:lineRule="atLeast" w:line="380"/>
              <w:ind w:left="57" w:right="57" w:hanging="0"/>
              <w:rPr>
                <w:i/>
                <w:i/>
                <w:szCs w:val="27"/>
              </w:rPr>
            </w:pPr>
            <w:r>
              <w:rPr>
                <w:i/>
                <w:szCs w:val="27"/>
              </w:rPr>
            </w:r>
          </w:p>
        </w:tc>
        <w:tc>
          <w:tcPr>
            <w:tcW w:w="851" w:type="dxa"/>
            <w:tcBorders/>
          </w:tcPr>
          <w:p>
            <w:pPr>
              <w:pStyle w:val="F21"/>
              <w:overflowPunct w:val="true"/>
              <w:spacing w:lineRule="atLeast" w:line="380"/>
              <w:ind w:left="57" w:right="57" w:hanging="0"/>
              <w:rPr>
                <w:i/>
                <w:i/>
                <w:szCs w:val="27"/>
              </w:rPr>
            </w:pPr>
            <w:r>
              <w:rPr>
                <w:i/>
                <w:szCs w:val="27"/>
              </w:rPr>
            </w:r>
          </w:p>
        </w:tc>
        <w:tc>
          <w:tcPr>
            <w:tcW w:w="853" w:type="dxa"/>
            <w:tcBorders/>
          </w:tcPr>
          <w:p>
            <w:pPr>
              <w:pStyle w:val="F21"/>
              <w:overflowPunct w:val="true"/>
              <w:spacing w:lineRule="atLeast" w:line="380"/>
              <w:ind w:left="57" w:right="57" w:hanging="0"/>
              <w:rPr>
                <w:i/>
                <w:i/>
                <w:szCs w:val="27"/>
              </w:rPr>
            </w:pPr>
            <w:r>
              <w:rPr>
                <w:i/>
                <w:szCs w:val="27"/>
              </w:rPr>
            </w:r>
          </w:p>
        </w:tc>
      </w:tr>
    </w:tbl>
    <w:p>
      <w:pPr>
        <w:pStyle w:val="F21"/>
        <w:ind w:left="1418" w:hanging="851"/>
        <w:rPr>
          <w:i/>
          <w:i/>
          <w:szCs w:val="27"/>
        </w:rPr>
      </w:pPr>
      <w:r>
        <w:rPr>
          <w:i/>
          <w:szCs w:val="27"/>
        </w:rPr>
      </w:r>
    </w:p>
    <w:p>
      <w:pPr>
        <w:pStyle w:val="F21"/>
        <w:ind w:left="1418" w:hanging="851"/>
        <w:rPr>
          <w:i/>
          <w:i/>
          <w:szCs w:val="27"/>
        </w:rPr>
      </w:pPr>
      <w:r>
        <w:rPr>
          <w:i/>
          <w:szCs w:val="27"/>
        </w:rPr>
        <w:t>(</w:t>
      </w:r>
      <w:r>
        <w:rPr>
          <w:i/>
          <w:szCs w:val="27"/>
        </w:rPr>
        <w:t>二</w:t>
      </w:r>
      <w:r>
        <w:rPr>
          <w:i/>
          <w:szCs w:val="27"/>
        </w:rPr>
        <w:t>)</w:t>
        <w:tab/>
      </w:r>
      <w:r>
        <w:rPr>
          <w:i/>
          <w:szCs w:val="27"/>
        </w:rPr>
        <w:t>是否知悉，</w:t>
      </w:r>
      <w:r>
        <w:rPr>
          <w:i/>
          <w:szCs w:val="27"/>
        </w:rPr>
        <w:t>2013</w:t>
      </w:r>
      <w:r>
        <w:rPr>
          <w:i/>
          <w:szCs w:val="27"/>
        </w:rPr>
        <w:t>至</w:t>
      </w:r>
      <w:r>
        <w:rPr>
          <w:i/>
          <w:szCs w:val="27"/>
        </w:rPr>
        <w:t>2018</w:t>
      </w:r>
      <w:r>
        <w:rPr>
          <w:i/>
          <w:szCs w:val="27"/>
        </w:rPr>
        <w:t>年期間，每年</w:t>
      </w:r>
      <w:r>
        <w:rPr>
          <w:i/>
          <w:szCs w:val="27"/>
        </w:rPr>
        <w:t>R</w:t>
      </w:r>
      <w:r>
        <w:rPr>
          <w:i/>
          <w:szCs w:val="27"/>
        </w:rPr>
        <w:t>和</w:t>
      </w:r>
      <w:r>
        <w:rPr>
          <w:i/>
          <w:szCs w:val="27"/>
        </w:rPr>
        <w:t>M</w:t>
      </w:r>
      <w:r>
        <w:rPr>
          <w:i/>
          <w:szCs w:val="27"/>
        </w:rPr>
        <w:t>人士在公立醫院接受診治的新症和舊症總數分別為何，並按他們的性別、所屬年齡組別</w:t>
      </w:r>
      <w:r>
        <w:rPr>
          <w:i/>
          <w:szCs w:val="27"/>
        </w:rPr>
        <w:t>(</w:t>
      </w:r>
      <w:r>
        <w:rPr>
          <w:i/>
          <w:szCs w:val="27"/>
        </w:rPr>
        <w:t>如上表所列</w:t>
      </w:r>
      <w:r>
        <w:rPr>
          <w:i/>
          <w:szCs w:val="27"/>
        </w:rPr>
        <w:t>)</w:t>
      </w:r>
      <w:r>
        <w:rPr>
          <w:i/>
          <w:szCs w:val="27"/>
        </w:rPr>
        <w:t>及下述診治和服務以表列出分項數字：腎臟替代治療</w:t>
      </w:r>
      <w:r>
        <w:rPr>
          <w:i/>
          <w:szCs w:val="27"/>
        </w:rPr>
        <w:t>(</w:t>
      </w:r>
      <w:r>
        <w:rPr>
          <w:i/>
          <w:szCs w:val="27"/>
        </w:rPr>
        <w:t>包括腹膜透析及血液透析</w:t>
      </w:r>
      <w:r>
        <w:rPr>
          <w:i/>
          <w:szCs w:val="27"/>
        </w:rPr>
        <w:t>)</w:t>
      </w:r>
      <w:r>
        <w:rPr>
          <w:i/>
          <w:szCs w:val="27"/>
        </w:rPr>
        <w:t>、白內障手術、乙型肝炎治療，以及精神科、胸肺科、兒科及心臟科專科門診服務；</w:t>
      </w:r>
    </w:p>
    <w:p>
      <w:pPr>
        <w:pStyle w:val="F21"/>
        <w:ind w:left="1418" w:hanging="851"/>
        <w:rPr>
          <w:i/>
          <w:i/>
          <w:szCs w:val="27"/>
        </w:rPr>
      </w:pPr>
      <w:r>
        <w:rPr>
          <w:i/>
          <w:szCs w:val="27"/>
        </w:rPr>
      </w:r>
    </w:p>
    <w:p>
      <w:pPr>
        <w:pStyle w:val="F21"/>
        <w:ind w:left="1418" w:hanging="851"/>
        <w:rPr>
          <w:i/>
          <w:i/>
          <w:szCs w:val="27"/>
        </w:rPr>
      </w:pPr>
      <w:r>
        <w:rPr>
          <w:i/>
          <w:szCs w:val="27"/>
        </w:rPr>
        <w:t>(</w:t>
      </w:r>
      <w:r>
        <w:rPr>
          <w:i/>
          <w:szCs w:val="27"/>
        </w:rPr>
        <w:t>三</w:t>
      </w:r>
      <w:r>
        <w:rPr>
          <w:i/>
          <w:szCs w:val="27"/>
        </w:rPr>
        <w:t>)</w:t>
        <w:tab/>
      </w:r>
      <w:r>
        <w:rPr>
          <w:i/>
          <w:szCs w:val="27"/>
        </w:rPr>
        <w:t>鑒於新加坡、英國、加拿大及美國等國家規定，申請居留的人士必須通過身體檢查</w:t>
      </w:r>
      <w:r>
        <w:rPr>
          <w:i/>
          <w:szCs w:val="27"/>
        </w:rPr>
        <w:t>(</w:t>
      </w:r>
      <w:r>
        <w:rPr>
          <w:i/>
          <w:szCs w:val="27"/>
        </w:rPr>
        <w:t>包括確定沒有患上肺結核等傳染病、嚴重疾病或長期性疾病</w:t>
      </w:r>
      <w:r>
        <w:rPr>
          <w:i/>
          <w:szCs w:val="27"/>
        </w:rPr>
        <w:t>)</w:t>
      </w:r>
      <w:r>
        <w:rPr>
          <w:i/>
          <w:szCs w:val="27"/>
        </w:rPr>
        <w:t>，政府會否參考該做法，對來港定居人士實施類似規定，以減輕公營醫療系統的負擔；如會，詳情為何；如否，原因為何；及</w:t>
      </w:r>
    </w:p>
    <w:p>
      <w:pPr>
        <w:pStyle w:val="F21"/>
        <w:ind w:left="1418" w:hanging="851"/>
        <w:rPr>
          <w:i/>
          <w:i/>
          <w:szCs w:val="27"/>
        </w:rPr>
      </w:pPr>
      <w:r>
        <w:rPr>
          <w:i/>
          <w:szCs w:val="27"/>
        </w:rPr>
      </w:r>
    </w:p>
    <w:p>
      <w:pPr>
        <w:pStyle w:val="F21"/>
        <w:ind w:left="1418" w:hanging="851"/>
        <w:rPr>
          <w:i/>
          <w:i/>
          <w:szCs w:val="27"/>
        </w:rPr>
      </w:pPr>
      <w:r>
        <w:rPr>
          <w:i/>
          <w:szCs w:val="27"/>
        </w:rPr>
        <w:t>(</w:t>
      </w:r>
      <w:r>
        <w:rPr>
          <w:i/>
          <w:szCs w:val="27"/>
        </w:rPr>
        <w:t>四</w:t>
      </w:r>
      <w:r>
        <w:rPr>
          <w:i/>
          <w:szCs w:val="27"/>
        </w:rPr>
        <w:t>)</w:t>
        <w:tab/>
      </w:r>
      <w:r>
        <w:rPr>
          <w:i/>
          <w:szCs w:val="27"/>
        </w:rPr>
        <w:t>政府會否向中央了解，預計未來</w:t>
      </w:r>
      <w:r>
        <w:rPr>
          <w:i/>
          <w:szCs w:val="27"/>
        </w:rPr>
        <w:t>10</w:t>
      </w:r>
      <w:r>
        <w:rPr>
          <w:i/>
          <w:szCs w:val="27"/>
        </w:rPr>
        <w:t>年內地居民持《前往港澳通行證》</w:t>
      </w:r>
      <w:r>
        <w:rPr>
          <w:i/>
          <w:szCs w:val="27"/>
        </w:rPr>
        <w:t>(</w:t>
      </w:r>
      <w:r>
        <w:rPr>
          <w:i/>
          <w:szCs w:val="27"/>
        </w:rPr>
        <w:t>俗稱</w:t>
      </w:r>
      <w:r>
        <w:rPr>
          <w:rFonts w:cs="Times New Roman"/>
          <w:i/>
          <w:szCs w:val="27"/>
        </w:rPr>
        <w:t>"</w:t>
      </w:r>
      <w:r>
        <w:rPr>
          <w:i/>
          <w:szCs w:val="27"/>
        </w:rPr>
        <w:t>單程證</w:t>
      </w:r>
      <w:r>
        <w:rPr>
          <w:rFonts w:cs="Times New Roman"/>
          <w:i/>
          <w:szCs w:val="27"/>
        </w:rPr>
        <w:t>"</w:t>
      </w:r>
      <w:r>
        <w:rPr>
          <w:i/>
          <w:szCs w:val="27"/>
        </w:rPr>
        <w:t>)</w:t>
      </w:r>
      <w:r>
        <w:rPr>
          <w:i/>
          <w:szCs w:val="27"/>
        </w:rPr>
        <w:t>來港定居的人數，以及他們的年齡及性別分布，以便就本港未來的醫療及其他公共服務的需求及承受能力作準確推算及相應的規劃工作；如會，詳情為何；如否，原因為何？</w:t>
      </w:r>
    </w:p>
    <w:p>
      <w:pPr>
        <w:pStyle w:val="F21"/>
        <w:rPr>
          <w:szCs w:val="27"/>
        </w:rPr>
      </w:pPr>
      <w:r>
        <w:rPr>
          <w:szCs w:val="27"/>
        </w:rPr>
      </w:r>
    </w:p>
    <w:p>
      <w:pPr>
        <w:pStyle w:val="F21"/>
        <w:rPr>
          <w:szCs w:val="27"/>
        </w:rPr>
      </w:pPr>
      <w:r>
        <w:rPr>
          <w:szCs w:val="27"/>
        </w:rPr>
      </w:r>
    </w:p>
    <w:p>
      <w:pPr>
        <w:pStyle w:val="F21"/>
        <w:rPr>
          <w:szCs w:val="27"/>
        </w:rPr>
      </w:pPr>
      <w:r>
        <w:rPr>
          <w:rFonts w:ascii="華康中黑體" w:hAnsi="華康中黑體" w:eastAsia="華康中黑體"/>
          <w:b/>
          <w:szCs w:val="27"/>
        </w:rPr>
        <w:t>食物及衞生局局長</w:t>
      </w:r>
      <w:r>
        <w:rPr>
          <w:szCs w:val="27"/>
        </w:rPr>
        <w:t>：主席，就陳沛然議員質詢的各部分，經諮詢保安局、衞生署及醫院管理局</w:t>
      </w:r>
      <w:r>
        <w:rPr>
          <w:szCs w:val="27"/>
        </w:rPr>
        <w:t>("</w:t>
      </w:r>
      <w:r>
        <w:rPr>
          <w:szCs w:val="27"/>
        </w:rPr>
        <w:t>醫管局</w:t>
      </w:r>
      <w:r>
        <w:rPr>
          <w:szCs w:val="27"/>
        </w:rPr>
        <w:t>")</w:t>
      </w:r>
      <w:r>
        <w:rPr>
          <w:szCs w:val="27"/>
        </w:rPr>
        <w:t>後，我回應如下：</w:t>
      </w:r>
    </w:p>
    <w:p>
      <w:pPr>
        <w:pStyle w:val="F21"/>
        <w:rPr>
          <w:szCs w:val="27"/>
        </w:rPr>
      </w:pPr>
      <w:r>
        <w:rPr>
          <w:szCs w:val="27"/>
        </w:rPr>
      </w:r>
    </w:p>
    <w:p>
      <w:pPr>
        <w:pStyle w:val="F21"/>
        <w:ind w:left="1418" w:hanging="851"/>
        <w:rPr>
          <w:szCs w:val="27"/>
        </w:rPr>
      </w:pPr>
      <w:r>
        <w:rPr>
          <w:szCs w:val="27"/>
        </w:rPr>
        <w:t>(</w:t>
      </w:r>
      <w:r>
        <w:rPr>
          <w:szCs w:val="27"/>
        </w:rPr>
        <w:t>一</w:t>
      </w:r>
      <w:r>
        <w:rPr>
          <w:szCs w:val="27"/>
        </w:rPr>
        <w:t>)</w:t>
      </w:r>
      <w:r>
        <w:rPr>
          <w:szCs w:val="27"/>
        </w:rPr>
        <w:t>及</w:t>
      </w:r>
      <w:r>
        <w:rPr>
          <w:szCs w:val="27"/>
        </w:rPr>
        <w:t>(</w:t>
      </w:r>
      <w:r>
        <w:rPr>
          <w:szCs w:val="27"/>
        </w:rPr>
        <w:t>二</w:t>
      </w:r>
      <w:r>
        <w:rPr>
          <w:szCs w:val="27"/>
        </w:rPr>
        <w:t>)</w:t>
      </w:r>
    </w:p>
    <w:p>
      <w:pPr>
        <w:pStyle w:val="F21"/>
        <w:ind w:left="1418" w:hanging="851"/>
        <w:rPr>
          <w:szCs w:val="27"/>
        </w:rPr>
      </w:pPr>
      <w:r>
        <w:rPr>
          <w:szCs w:val="27"/>
        </w:rPr>
      </w:r>
    </w:p>
    <w:p>
      <w:pPr>
        <w:pStyle w:val="F21"/>
        <w:ind w:left="1418" w:hanging="851"/>
        <w:rPr>
          <w:szCs w:val="27"/>
        </w:rPr>
      </w:pPr>
      <w:r>
        <w:rPr>
          <w:szCs w:val="27"/>
        </w:rPr>
        <w:tab/>
      </w:r>
      <w:r>
        <w:rPr>
          <w:szCs w:val="27"/>
        </w:rPr>
        <w:t>根據現行政策，醫管局向病人收集的個人資料，僅用於醫護或一般相關用途。因此，醫管局未能提供按病人身份證號碼英文字頭劃分的統計數字。</w:t>
      </w:r>
    </w:p>
    <w:p>
      <w:pPr>
        <w:pStyle w:val="Normal"/>
        <w:widowControl/>
        <w:tabs>
          <w:tab w:val="clear" w:pos="720"/>
        </w:tabs>
        <w:snapToGrid w:val="true"/>
        <w:spacing w:lineRule="auto" w:line="276" w:before="0" w:after="200"/>
        <w:jc w:val="left"/>
        <w:rPr>
          <w:rFonts w:cs="" w:cstheme="minorBidi"/>
          <w:spacing w:val="20"/>
          <w:sz w:val="27"/>
          <w:szCs w:val="27"/>
          <w:lang w:val="en-US"/>
        </w:rPr>
      </w:pPr>
      <w:r>
        <w:rPr>
          <w:rFonts w:cs="" w:cstheme="minorBidi"/>
          <w:spacing w:val="20"/>
          <w:sz w:val="27"/>
          <w:szCs w:val="27"/>
          <w:lang w:val="en-US"/>
        </w:rPr>
      </w:r>
      <w:r>
        <w:br w:type="page"/>
      </w:r>
    </w:p>
    <w:p>
      <w:pPr>
        <w:pStyle w:val="F21"/>
        <w:ind w:left="1418" w:hanging="851"/>
        <w:rPr>
          <w:szCs w:val="27"/>
        </w:rPr>
      </w:pPr>
      <w:r>
        <w:rPr>
          <w:szCs w:val="27"/>
        </w:rPr>
        <w:t>(</w:t>
      </w:r>
      <w:r>
        <w:rPr>
          <w:szCs w:val="27"/>
        </w:rPr>
        <w:t>三</w:t>
      </w:r>
      <w:r>
        <w:rPr>
          <w:szCs w:val="27"/>
        </w:rPr>
        <w:t>)</w:t>
        <w:tab/>
      </w:r>
      <w:r>
        <w:rPr>
          <w:szCs w:val="27"/>
        </w:rPr>
        <w:t>各地衞生當局會因應當地的獨特情況作出相應的防疫措施。現時，香港具備有效的預防及控制傳染病系統。為確保給予公眾防疫保障，衞生署協調和推行各項公共衞生項目，包括疾病監測、疫症爆發管理、健康促進、風險傳達、應急準備及應變策劃、感染控制、疫苗接種，以及培訓與研究。在《預防及控制疾病條例》</w:t>
      </w:r>
      <w:r>
        <w:rPr>
          <w:szCs w:val="27"/>
        </w:rPr>
        <w:t>(</w:t>
      </w:r>
      <w:r>
        <w:rPr>
          <w:szCs w:val="27"/>
        </w:rPr>
        <w:t>第</w:t>
      </w:r>
      <w:r>
        <w:rPr>
          <w:szCs w:val="27"/>
        </w:rPr>
        <w:t>599</w:t>
      </w:r>
      <w:r>
        <w:rPr>
          <w:szCs w:val="27"/>
        </w:rPr>
        <w:t>章</w:t>
      </w:r>
      <w:r>
        <w:rPr>
          <w:szCs w:val="27"/>
        </w:rPr>
        <w:t>)</w:t>
      </w:r>
      <w:r>
        <w:rPr>
          <w:szCs w:val="27"/>
        </w:rPr>
        <w:t>下，醫生須向衞生署呈報懷疑及確診的法定須呈報傳染病個案，以作調查和適當的跟進。有關傳染病防控制度行之有效，衞生署會繼續不時檢討該制度，以確保給予公眾防疫保障。我們認為目前沒有需要採取其他措施，例如規定來港定居人士必須通過身體檢查。</w:t>
      </w:r>
    </w:p>
    <w:p>
      <w:pPr>
        <w:pStyle w:val="F21"/>
        <w:ind w:left="1418" w:hanging="851"/>
        <w:rPr>
          <w:szCs w:val="27"/>
        </w:rPr>
      </w:pPr>
      <w:r>
        <w:rPr>
          <w:szCs w:val="27"/>
        </w:rPr>
      </w:r>
    </w:p>
    <w:p>
      <w:pPr>
        <w:pStyle w:val="F21"/>
        <w:ind w:left="1418" w:hanging="851"/>
        <w:rPr>
          <w:szCs w:val="27"/>
        </w:rPr>
      </w:pPr>
      <w:r>
        <w:rPr>
          <w:szCs w:val="27"/>
        </w:rPr>
        <w:t>(</w:t>
      </w:r>
      <w:r>
        <w:rPr>
          <w:szCs w:val="27"/>
        </w:rPr>
        <w:t>四</w:t>
      </w:r>
      <w:r>
        <w:rPr>
          <w:szCs w:val="27"/>
        </w:rPr>
        <w:t>)</w:t>
        <w:tab/>
      </w:r>
      <w:r>
        <w:rPr>
          <w:szCs w:val="27"/>
        </w:rPr>
        <w:t>特區政府一向有就社會各界對內地居民來港家庭團聚事宜提出的意見與內地當局交換意見。</w:t>
      </w:r>
    </w:p>
    <w:p>
      <w:pPr>
        <w:pStyle w:val="F21"/>
        <w:ind w:left="1418" w:hanging="851"/>
        <w:rPr>
          <w:szCs w:val="27"/>
        </w:rPr>
      </w:pPr>
      <w:r>
        <w:rPr>
          <w:szCs w:val="27"/>
        </w:rPr>
      </w:r>
    </w:p>
    <w:p>
      <w:pPr>
        <w:pStyle w:val="F21"/>
        <w:ind w:left="1418" w:hanging="851"/>
        <w:rPr>
          <w:szCs w:val="27"/>
        </w:rPr>
      </w:pPr>
      <w:r>
        <w:rPr>
          <w:szCs w:val="27"/>
        </w:rPr>
        <w:tab/>
      </w:r>
      <w:r>
        <w:rPr>
          <w:szCs w:val="27"/>
        </w:rPr>
        <w:t>長期以來，政府統計處每</w:t>
      </w:r>
      <w:r>
        <w:rPr>
          <w:szCs w:val="27"/>
        </w:rPr>
        <w:t>2</w:t>
      </w:r>
      <w:r>
        <w:rPr>
          <w:szCs w:val="27"/>
        </w:rPr>
        <w:t>年至</w:t>
      </w:r>
      <w:r>
        <w:rPr>
          <w:szCs w:val="27"/>
        </w:rPr>
        <w:t>3</w:t>
      </w:r>
      <w:r>
        <w:rPr>
          <w:szCs w:val="27"/>
        </w:rPr>
        <w:t>年會根據最新的人口發展資料更新人口推算數字，包括新來港人士，為政府制訂房屋、醫療、教育、社會福利等政策，以及規劃各項公共服務及設施時，提供共同參考基礎。</w:t>
      </w:r>
    </w:p>
    <w:p>
      <w:pPr>
        <w:pStyle w:val="F21"/>
        <w:overflowPunct w:val="true"/>
        <w:rPr>
          <w:rFonts w:cs="Times New Roman"/>
        </w:rPr>
      </w:pPr>
      <w:r>
        <w:rPr>
          <w:rFonts w:cs="Times New Roman"/>
        </w:rPr>
      </w:r>
    </w:p>
    <w:p>
      <w:pPr>
        <w:pStyle w:val="F21"/>
        <w:overflowPunct w:val="true"/>
        <w:rPr>
          <w:rFonts w:cs="Times New Roman"/>
        </w:rPr>
      </w:pPr>
      <w:r>
        <w:rPr>
          <w:rFonts w:cs="Times New Roman"/>
        </w:rPr>
      </w:r>
    </w:p>
    <w:p>
      <w:pPr>
        <w:pStyle w:val="F21"/>
        <w:overflowPunct w:val="true"/>
        <w:rPr>
          <w:rFonts w:eastAsia="華康中黑體" w:cs="Times New Roman"/>
          <w:b/>
          <w:b/>
        </w:rPr>
      </w:pPr>
      <w:bookmarkStart w:id="39" w:name="wrq13"/>
      <w:r>
        <w:rPr>
          <w:rFonts w:cs="Times New Roman" w:eastAsia="華康中黑體"/>
          <w:b/>
        </w:rPr>
        <w:t>野鳥引起的環境衞生問題</w:t>
      </w:r>
    </w:p>
    <w:p>
      <w:pPr>
        <w:pStyle w:val="Normal"/>
        <w:overflowPunct w:val="true"/>
        <w:rPr>
          <w:b/>
          <w:b/>
        </w:rPr>
      </w:pPr>
      <w:bookmarkStart w:id="40" w:name="wrq13"/>
      <w:r>
        <w:rPr>
          <w:b/>
        </w:rPr>
        <w:t>Environmental hygiene problems caused by wild birds</w:t>
      </w:r>
      <w:bookmarkEnd w:id="40"/>
    </w:p>
    <w:p>
      <w:pPr>
        <w:pStyle w:val="F21"/>
        <w:overflowPunct w:val="true"/>
        <w:rPr>
          <w:rFonts w:cs="Times New Roman"/>
        </w:rPr>
      </w:pPr>
      <w:r>
        <w:rPr>
          <w:rFonts w:cs="Times New Roman"/>
        </w:rPr>
      </w:r>
    </w:p>
    <w:p>
      <w:pPr>
        <w:pStyle w:val="F21"/>
        <w:rPr>
          <w:i/>
          <w:i/>
          <w:szCs w:val="27"/>
        </w:rPr>
      </w:pPr>
      <w:r>
        <w:rPr>
          <w:rFonts w:eastAsia="華康中黑體" w:cs="Times New Roman"/>
          <w:b/>
          <w:szCs w:val="27"/>
        </w:rPr>
        <w:t>13.</w:t>
        <w:tab/>
      </w:r>
      <w:r>
        <w:rPr>
          <w:rFonts w:cs="Times New Roman" w:eastAsia="華康中黑體"/>
          <w:b/>
          <w:szCs w:val="27"/>
        </w:rPr>
        <w:t>葉劉淑儀議員</w:t>
      </w:r>
      <w:r>
        <w:rPr>
          <w:szCs w:val="27"/>
        </w:rPr>
        <w:t>：</w:t>
      </w:r>
      <w:r>
        <w:rPr>
          <w:i/>
          <w:szCs w:val="27"/>
        </w:rPr>
        <w:t>主席，本人接獲眾多市民投訴，指稱不時有人在公眾地方餵飼野鴿，以致野鴿聚集和留下大量糞便，嚴重影響環境衞生並威脅市民健康。野鴿聚集的地點包括美孚新邨萬事達廣場對出行車天橋橋底及附近空地</w:t>
      </w:r>
      <w:r>
        <w:rPr>
          <w:i/>
          <w:szCs w:val="27"/>
        </w:rPr>
        <w:t>(</w:t>
      </w:r>
      <w:r>
        <w:rPr>
          <w:i/>
          <w:szCs w:val="27"/>
        </w:rPr>
        <w:t>特別是黃昏時段</w:t>
      </w:r>
      <w:r>
        <w:rPr>
          <w:i/>
          <w:szCs w:val="27"/>
        </w:rPr>
        <w:t>)</w:t>
      </w:r>
      <w:r>
        <w:rPr>
          <w:i/>
          <w:szCs w:val="27"/>
        </w:rPr>
        <w:t>，以及沙角邨旁沙角街行人路</w:t>
      </w:r>
      <w:r>
        <w:rPr>
          <w:i/>
          <w:szCs w:val="27"/>
        </w:rPr>
        <w:t>(</w:t>
      </w:r>
      <w:r>
        <w:rPr>
          <w:i/>
          <w:szCs w:val="27"/>
        </w:rPr>
        <w:t>最多有超過</w:t>
      </w:r>
      <w:r>
        <w:rPr>
          <w:i/>
          <w:szCs w:val="27"/>
        </w:rPr>
        <w:t>200</w:t>
      </w:r>
      <w:r>
        <w:rPr>
          <w:i/>
          <w:szCs w:val="27"/>
        </w:rPr>
        <w:t>隻野鴿聚集</w:t>
      </w:r>
      <w:r>
        <w:rPr>
          <w:i/>
          <w:szCs w:val="27"/>
        </w:rPr>
        <w:t>)</w:t>
      </w:r>
      <w:r>
        <w:rPr>
          <w:i/>
          <w:szCs w:val="27"/>
        </w:rPr>
        <w:t>。沙田區議會</w:t>
      </w:r>
      <w:r>
        <w:rPr>
          <w:i/>
          <w:szCs w:val="27"/>
        </w:rPr>
        <w:t>10</w:t>
      </w:r>
      <w:r>
        <w:rPr>
          <w:i/>
          <w:szCs w:val="27"/>
        </w:rPr>
        <w:t>多年來一直要求相關政府部門採取措施解決野鴿聚集問題，但情況未見改善。就此，政府可否告知本會：</w:t>
      </w:r>
    </w:p>
    <w:p>
      <w:pPr>
        <w:pStyle w:val="F21"/>
        <w:rPr>
          <w:i/>
          <w:i/>
          <w:szCs w:val="27"/>
        </w:rPr>
      </w:pPr>
      <w:r>
        <w:rPr>
          <w:i/>
          <w:szCs w:val="27"/>
        </w:rPr>
      </w:r>
    </w:p>
    <w:p>
      <w:pPr>
        <w:pStyle w:val="F21"/>
        <w:ind w:left="1418" w:hanging="851"/>
        <w:rPr>
          <w:i/>
          <w:i/>
          <w:szCs w:val="27"/>
        </w:rPr>
      </w:pPr>
      <w:r>
        <w:rPr>
          <w:i/>
          <w:szCs w:val="27"/>
        </w:rPr>
        <w:t>(</w:t>
      </w:r>
      <w:r>
        <w:rPr>
          <w:i/>
          <w:szCs w:val="27"/>
        </w:rPr>
        <w:t>一</w:t>
      </w:r>
      <w:r>
        <w:rPr>
          <w:i/>
          <w:szCs w:val="27"/>
        </w:rPr>
        <w:t>)</w:t>
        <w:tab/>
      </w:r>
      <w:r>
        <w:rPr>
          <w:i/>
          <w:szCs w:val="27"/>
        </w:rPr>
        <w:t>過去</w:t>
      </w:r>
      <w:r>
        <w:rPr>
          <w:i/>
          <w:szCs w:val="27"/>
        </w:rPr>
        <w:t>3</w:t>
      </w:r>
      <w:r>
        <w:rPr>
          <w:i/>
          <w:szCs w:val="27"/>
        </w:rPr>
        <w:t>年，每年當局接獲有關鳥糞引起環境衞生問題的投訴宗數為何，並按區議會分區列出分項數字；</w:t>
      </w:r>
    </w:p>
    <w:p>
      <w:pPr>
        <w:pStyle w:val="F21"/>
        <w:ind w:left="1418" w:hanging="851"/>
        <w:rPr>
          <w:i/>
          <w:i/>
          <w:szCs w:val="27"/>
        </w:rPr>
      </w:pPr>
      <w:r>
        <w:rPr>
          <w:i/>
          <w:szCs w:val="27"/>
        </w:rPr>
      </w:r>
    </w:p>
    <w:p>
      <w:pPr>
        <w:pStyle w:val="F21"/>
        <w:ind w:left="1418" w:hanging="851"/>
        <w:rPr>
          <w:i/>
          <w:i/>
          <w:szCs w:val="27"/>
        </w:rPr>
      </w:pPr>
      <w:r>
        <w:rPr>
          <w:i/>
          <w:szCs w:val="27"/>
        </w:rPr>
        <w:t>(</w:t>
      </w:r>
      <w:r>
        <w:rPr>
          <w:i/>
          <w:szCs w:val="27"/>
        </w:rPr>
        <w:t>二</w:t>
      </w:r>
      <w:r>
        <w:rPr>
          <w:i/>
          <w:szCs w:val="27"/>
        </w:rPr>
        <w:t>)</w:t>
        <w:tab/>
      </w:r>
      <w:r>
        <w:rPr>
          <w:i/>
          <w:szCs w:val="27"/>
        </w:rPr>
        <w:t>當局會否加強執法和巡查，以遏止餵飼野鳥的行為；如會，詳情為何；及</w:t>
      </w:r>
    </w:p>
    <w:p>
      <w:pPr>
        <w:pStyle w:val="Normal"/>
        <w:widowControl/>
        <w:tabs>
          <w:tab w:val="clear" w:pos="720"/>
        </w:tabs>
        <w:snapToGrid w:val="true"/>
        <w:spacing w:lineRule="auto" w:line="276" w:before="0" w:after="200"/>
        <w:jc w:val="left"/>
        <w:rPr>
          <w:rFonts w:cs="" w:cstheme="minorBidi"/>
          <w:i/>
          <w:i/>
          <w:spacing w:val="20"/>
          <w:sz w:val="27"/>
          <w:szCs w:val="27"/>
          <w:lang w:val="en-US"/>
        </w:rPr>
      </w:pPr>
      <w:r>
        <w:rPr>
          <w:rFonts w:cs="" w:cstheme="minorBidi"/>
          <w:i/>
          <w:spacing w:val="20"/>
          <w:sz w:val="27"/>
          <w:szCs w:val="27"/>
          <w:lang w:val="en-US"/>
        </w:rPr>
      </w:r>
      <w:r>
        <w:br w:type="page"/>
      </w:r>
    </w:p>
    <w:p>
      <w:pPr>
        <w:pStyle w:val="F21"/>
        <w:ind w:left="1418" w:hanging="851"/>
        <w:rPr>
          <w:i/>
          <w:i/>
          <w:szCs w:val="27"/>
        </w:rPr>
      </w:pPr>
      <w:r>
        <w:rPr>
          <w:i/>
          <w:szCs w:val="27"/>
        </w:rPr>
        <w:t>(</w:t>
      </w:r>
      <w:r>
        <w:rPr>
          <w:i/>
          <w:szCs w:val="27"/>
        </w:rPr>
        <w:t>三</w:t>
      </w:r>
      <w:r>
        <w:rPr>
          <w:i/>
          <w:szCs w:val="27"/>
        </w:rPr>
        <w:t>)</w:t>
        <w:tab/>
      </w:r>
      <w:r>
        <w:rPr>
          <w:i/>
          <w:szCs w:val="27"/>
        </w:rPr>
        <w:t>過去</w:t>
      </w:r>
      <w:r>
        <w:rPr>
          <w:i/>
          <w:szCs w:val="27"/>
        </w:rPr>
        <w:t>3</w:t>
      </w:r>
      <w:r>
        <w:rPr>
          <w:i/>
          <w:szCs w:val="27"/>
        </w:rPr>
        <w:t>年，除了在有關地點安裝網絡攝錄機以遏止非法餵飼野鳥的行為外，當局還採取了哪些阻止野鳥聚集的措施及其成效為何；會否考慮在該等地點加建圍網防止野鳥進入；如會，詳情為何？</w:t>
      </w:r>
    </w:p>
    <w:p>
      <w:pPr>
        <w:pStyle w:val="F21"/>
        <w:rPr>
          <w:szCs w:val="27"/>
        </w:rPr>
      </w:pPr>
      <w:r>
        <w:rPr>
          <w:szCs w:val="27"/>
        </w:rPr>
      </w:r>
    </w:p>
    <w:p>
      <w:pPr>
        <w:pStyle w:val="F21"/>
        <w:rPr>
          <w:szCs w:val="27"/>
        </w:rPr>
      </w:pPr>
      <w:r>
        <w:rPr>
          <w:szCs w:val="27"/>
        </w:rPr>
      </w:r>
    </w:p>
    <w:p>
      <w:pPr>
        <w:pStyle w:val="F21"/>
        <w:rPr>
          <w:szCs w:val="27"/>
        </w:rPr>
      </w:pPr>
      <w:r>
        <w:rPr>
          <w:rFonts w:ascii="華康中黑體" w:hAnsi="華康中黑體" w:eastAsia="華康中黑體"/>
          <w:b/>
          <w:szCs w:val="27"/>
        </w:rPr>
        <w:t>食物及衞生局局長</w:t>
      </w:r>
      <w:r>
        <w:rPr>
          <w:szCs w:val="27"/>
        </w:rPr>
        <w:t>：主席，如公眾人士餵飼雀鳥致弄污公眾地方，例如遺下殘餘飼料在地上，會違反《公眾潔淨及防止妨擾規例》</w:t>
      </w:r>
      <w:r>
        <w:rPr>
          <w:szCs w:val="27"/>
        </w:rPr>
        <w:t>(</w:t>
      </w:r>
      <w:r>
        <w:rPr>
          <w:szCs w:val="27"/>
        </w:rPr>
        <w:t>第‍</w:t>
      </w:r>
      <w:r>
        <w:rPr>
          <w:szCs w:val="27"/>
        </w:rPr>
        <w:t>132BK</w:t>
      </w:r>
      <w:r>
        <w:rPr>
          <w:szCs w:val="27"/>
        </w:rPr>
        <w:t>章</w:t>
      </w:r>
      <w:r>
        <w:rPr>
          <w:szCs w:val="27"/>
        </w:rPr>
        <w:t>)</w:t>
      </w:r>
      <w:r>
        <w:rPr>
          <w:szCs w:val="27"/>
        </w:rPr>
        <w:t>第</w:t>
      </w:r>
      <w:r>
        <w:rPr>
          <w:szCs w:val="27"/>
        </w:rPr>
        <w:t>4(1)</w:t>
      </w:r>
      <w:r>
        <w:rPr>
          <w:szCs w:val="27"/>
        </w:rPr>
        <w:t>條，食物環境衞生署</w:t>
      </w:r>
      <w:r>
        <w:rPr>
          <w:szCs w:val="27"/>
        </w:rPr>
        <w:t>("</w:t>
      </w:r>
      <w:r>
        <w:rPr>
          <w:szCs w:val="27"/>
        </w:rPr>
        <w:t>食環署</w:t>
      </w:r>
      <w:r>
        <w:rPr>
          <w:szCs w:val="27"/>
        </w:rPr>
        <w:t>")</w:t>
      </w:r>
      <w:r>
        <w:rPr>
          <w:szCs w:val="27"/>
        </w:rPr>
        <w:t>執法人員可根據《定額罰款</w:t>
      </w:r>
      <w:r>
        <w:rPr>
          <w:szCs w:val="27"/>
        </w:rPr>
        <w:t>(</w:t>
      </w:r>
      <w:r>
        <w:rPr>
          <w:szCs w:val="27"/>
        </w:rPr>
        <w:t>公眾地方潔淨及阻礙</w:t>
      </w:r>
      <w:r>
        <w:rPr>
          <w:szCs w:val="27"/>
        </w:rPr>
        <w:t>)</w:t>
      </w:r>
      <w:r>
        <w:rPr>
          <w:szCs w:val="27"/>
        </w:rPr>
        <w:t>條例》</w:t>
      </w:r>
      <w:r>
        <w:rPr>
          <w:szCs w:val="27"/>
        </w:rPr>
        <w:t>(</w:t>
      </w:r>
      <w:r>
        <w:rPr>
          <w:szCs w:val="27"/>
        </w:rPr>
        <w:t>第</w:t>
      </w:r>
      <w:r>
        <w:rPr>
          <w:szCs w:val="27"/>
        </w:rPr>
        <w:t>570</w:t>
      </w:r>
      <w:r>
        <w:rPr>
          <w:szCs w:val="27"/>
        </w:rPr>
        <w:t>章</w:t>
      </w:r>
      <w:r>
        <w:rPr>
          <w:szCs w:val="27"/>
        </w:rPr>
        <w:t>)</w:t>
      </w:r>
      <w:r>
        <w:rPr>
          <w:szCs w:val="27"/>
        </w:rPr>
        <w:t>向違例人士採取執法行動。</w:t>
      </w:r>
    </w:p>
    <w:p>
      <w:pPr>
        <w:pStyle w:val="F21"/>
        <w:rPr>
          <w:szCs w:val="27"/>
        </w:rPr>
      </w:pPr>
      <w:r>
        <w:rPr>
          <w:szCs w:val="27"/>
        </w:rPr>
      </w:r>
    </w:p>
    <w:p>
      <w:pPr>
        <w:pStyle w:val="F21"/>
        <w:rPr>
          <w:szCs w:val="27"/>
        </w:rPr>
      </w:pPr>
      <w:r>
        <w:rPr>
          <w:szCs w:val="27"/>
        </w:rPr>
        <w:tab/>
      </w:r>
      <w:r>
        <w:rPr>
          <w:szCs w:val="27"/>
        </w:rPr>
        <w:t>就議員的質詢，我現答覆如下：</w:t>
      </w:r>
    </w:p>
    <w:p>
      <w:pPr>
        <w:pStyle w:val="F21"/>
        <w:rPr>
          <w:szCs w:val="27"/>
        </w:rPr>
      </w:pPr>
      <w:r>
        <w:rPr>
          <w:szCs w:val="27"/>
        </w:rPr>
      </w:r>
    </w:p>
    <w:p>
      <w:pPr>
        <w:pStyle w:val="F21"/>
        <w:ind w:left="1418" w:hanging="851"/>
        <w:rPr>
          <w:szCs w:val="27"/>
        </w:rPr>
      </w:pPr>
      <w:r>
        <w:rPr>
          <w:szCs w:val="27"/>
        </w:rPr>
        <w:t>(</w:t>
      </w:r>
      <w:r>
        <w:rPr>
          <w:szCs w:val="27"/>
        </w:rPr>
        <w:t>一</w:t>
      </w:r>
      <w:r>
        <w:rPr>
          <w:szCs w:val="27"/>
        </w:rPr>
        <w:t>)</w:t>
        <w:tab/>
      </w:r>
      <w:r>
        <w:rPr>
          <w:szCs w:val="27"/>
        </w:rPr>
        <w:t>食環署在</w:t>
      </w:r>
      <w:r>
        <w:rPr>
          <w:szCs w:val="27"/>
        </w:rPr>
        <w:t>2016-2017</w:t>
      </w:r>
      <w:r>
        <w:rPr>
          <w:szCs w:val="27"/>
        </w:rPr>
        <w:t>年度、</w:t>
      </w:r>
      <w:r>
        <w:rPr>
          <w:szCs w:val="27"/>
        </w:rPr>
        <w:t>2017-2018</w:t>
      </w:r>
      <w:r>
        <w:rPr>
          <w:szCs w:val="27"/>
        </w:rPr>
        <w:t>年度及</w:t>
      </w:r>
      <w:r>
        <w:rPr>
          <w:szCs w:val="27"/>
        </w:rPr>
        <w:t>2018-2019</w:t>
      </w:r>
      <w:r>
        <w:rPr>
          <w:szCs w:val="27"/>
        </w:rPr>
        <w:t>年度</w:t>
      </w:r>
      <w:r>
        <w:rPr>
          <w:szCs w:val="27"/>
        </w:rPr>
        <w:t>(</w:t>
      </w:r>
      <w:r>
        <w:rPr>
          <w:szCs w:val="27"/>
        </w:rPr>
        <w:t>截至</w:t>
      </w:r>
      <w:r>
        <w:rPr>
          <w:szCs w:val="27"/>
        </w:rPr>
        <w:t>2019</w:t>
      </w:r>
      <w:r>
        <w:rPr>
          <w:szCs w:val="27"/>
        </w:rPr>
        <w:t>年</w:t>
      </w:r>
      <w:r>
        <w:rPr>
          <w:szCs w:val="27"/>
        </w:rPr>
        <w:t>2</w:t>
      </w:r>
      <w:r>
        <w:rPr>
          <w:szCs w:val="27"/>
        </w:rPr>
        <w:t>月</w:t>
      </w:r>
      <w:r>
        <w:rPr>
          <w:szCs w:val="27"/>
        </w:rPr>
        <w:t>)</w:t>
      </w:r>
      <w:r>
        <w:rPr>
          <w:szCs w:val="27"/>
        </w:rPr>
        <w:t>分別接獲</w:t>
      </w:r>
      <w:r>
        <w:rPr>
          <w:szCs w:val="27"/>
        </w:rPr>
        <w:t>372</w:t>
      </w:r>
      <w:r>
        <w:rPr>
          <w:szCs w:val="27"/>
        </w:rPr>
        <w:t>宗、</w:t>
      </w:r>
      <w:r>
        <w:rPr>
          <w:szCs w:val="27"/>
        </w:rPr>
        <w:t>478</w:t>
      </w:r>
      <w:r>
        <w:rPr>
          <w:szCs w:val="27"/>
        </w:rPr>
        <w:t>宗及</w:t>
      </w:r>
      <w:r>
        <w:rPr>
          <w:szCs w:val="27"/>
        </w:rPr>
        <w:t>474</w:t>
      </w:r>
      <w:r>
        <w:rPr>
          <w:szCs w:val="27"/>
        </w:rPr>
        <w:t>宗有關公眾人士餵飼雀鳥致弄污公眾地方的投訴，按區議會分區列出的分項數字如下：</w:t>
      </w:r>
    </w:p>
    <w:p>
      <w:pPr>
        <w:pStyle w:val="F21"/>
        <w:ind w:left="1418" w:hanging="851"/>
        <w:rPr>
          <w:szCs w:val="27"/>
        </w:rPr>
      </w:pPr>
      <w:r>
        <w:rPr>
          <w:szCs w:val="27"/>
        </w:rPr>
      </w:r>
    </w:p>
    <w:tbl>
      <w:tblPr>
        <w:tblStyle w:val="a9"/>
        <w:tblW w:w="7805" w:type="dxa"/>
        <w:jc w:val="left"/>
        <w:tblInd w:w="1418" w:type="dxa"/>
        <w:tblCellMar>
          <w:top w:w="0" w:type="dxa"/>
          <w:left w:w="108" w:type="dxa"/>
          <w:bottom w:w="0" w:type="dxa"/>
          <w:right w:w="108" w:type="dxa"/>
        </w:tblCellMar>
        <w:tblLook w:val="04a0" w:noHBand="0" w:noVBand="1" w:firstColumn="1" w:lastRow="0" w:lastColumn="0" w:firstRow="1"/>
      </w:tblPr>
      <w:tblGrid>
        <w:gridCol w:w="1422"/>
        <w:gridCol w:w="1984"/>
        <w:gridCol w:w="1984"/>
        <w:gridCol w:w="2414"/>
      </w:tblGrid>
      <w:tr>
        <w:trPr>
          <w:tblHeader w:val="true"/>
        </w:trPr>
        <w:tc>
          <w:tcPr>
            <w:tcW w:w="1422" w:type="dxa"/>
            <w:tcBorders/>
            <w:vAlign w:val="center"/>
          </w:tcPr>
          <w:p>
            <w:pPr>
              <w:pStyle w:val="F21"/>
              <w:jc w:val="center"/>
              <w:rPr>
                <w:i/>
                <w:i/>
                <w:szCs w:val="27"/>
              </w:rPr>
            </w:pPr>
            <w:r>
              <w:rPr>
                <w:i/>
                <w:szCs w:val="27"/>
              </w:rPr>
              <w:t>分區</w:t>
            </w:r>
          </w:p>
        </w:tc>
        <w:tc>
          <w:tcPr>
            <w:tcW w:w="1984" w:type="dxa"/>
            <w:tcBorders/>
            <w:vAlign w:val="center"/>
          </w:tcPr>
          <w:p>
            <w:pPr>
              <w:pStyle w:val="F21"/>
              <w:jc w:val="center"/>
              <w:rPr>
                <w:i/>
                <w:i/>
                <w:szCs w:val="27"/>
              </w:rPr>
            </w:pPr>
            <w:r>
              <w:rPr>
                <w:i/>
                <w:szCs w:val="27"/>
              </w:rPr>
              <w:t>2016-2017</w:t>
            </w:r>
          </w:p>
          <w:p>
            <w:pPr>
              <w:pStyle w:val="F21"/>
              <w:jc w:val="center"/>
              <w:rPr>
                <w:i/>
                <w:i/>
                <w:szCs w:val="27"/>
              </w:rPr>
            </w:pPr>
            <w:r>
              <w:rPr>
                <w:i/>
                <w:szCs w:val="27"/>
              </w:rPr>
              <w:t>年度</w:t>
            </w:r>
          </w:p>
        </w:tc>
        <w:tc>
          <w:tcPr>
            <w:tcW w:w="1984" w:type="dxa"/>
            <w:tcBorders/>
            <w:vAlign w:val="center"/>
          </w:tcPr>
          <w:p>
            <w:pPr>
              <w:pStyle w:val="F21"/>
              <w:jc w:val="center"/>
              <w:rPr>
                <w:i/>
                <w:i/>
                <w:szCs w:val="27"/>
              </w:rPr>
            </w:pPr>
            <w:r>
              <w:rPr>
                <w:i/>
                <w:szCs w:val="27"/>
              </w:rPr>
              <w:t>2017-2018</w:t>
            </w:r>
          </w:p>
          <w:p>
            <w:pPr>
              <w:pStyle w:val="F21"/>
              <w:jc w:val="center"/>
              <w:rPr>
                <w:i/>
                <w:i/>
                <w:szCs w:val="27"/>
              </w:rPr>
            </w:pPr>
            <w:r>
              <w:rPr>
                <w:i/>
                <w:szCs w:val="27"/>
              </w:rPr>
              <w:t>年度</w:t>
            </w:r>
          </w:p>
        </w:tc>
        <w:tc>
          <w:tcPr>
            <w:tcW w:w="2414" w:type="dxa"/>
            <w:tcBorders/>
            <w:vAlign w:val="center"/>
          </w:tcPr>
          <w:p>
            <w:pPr>
              <w:pStyle w:val="F21"/>
              <w:jc w:val="center"/>
              <w:rPr>
                <w:i/>
                <w:i/>
                <w:szCs w:val="27"/>
              </w:rPr>
            </w:pPr>
            <w:r>
              <w:rPr>
                <w:i/>
                <w:szCs w:val="27"/>
              </w:rPr>
              <w:t>2018-2019</w:t>
            </w:r>
            <w:r>
              <w:rPr>
                <w:i/>
                <w:szCs w:val="27"/>
              </w:rPr>
              <w:t>年度</w:t>
            </w:r>
            <w:r>
              <w:rPr>
                <w:i/>
                <w:szCs w:val="27"/>
              </w:rPr>
              <w:t>(</w:t>
            </w:r>
            <w:r>
              <w:rPr>
                <w:i/>
                <w:szCs w:val="27"/>
              </w:rPr>
              <w:t>截至</w:t>
            </w:r>
            <w:r>
              <w:rPr>
                <w:i/>
                <w:szCs w:val="27"/>
              </w:rPr>
              <w:t>2019</w:t>
            </w:r>
            <w:r>
              <w:rPr>
                <w:i/>
                <w:szCs w:val="27"/>
              </w:rPr>
              <w:t>年</w:t>
            </w:r>
            <w:r>
              <w:rPr>
                <w:i/>
                <w:szCs w:val="27"/>
              </w:rPr>
              <w:t>2</w:t>
            </w:r>
            <w:r>
              <w:rPr>
                <w:i/>
                <w:szCs w:val="27"/>
              </w:rPr>
              <w:t>月</w:t>
            </w:r>
            <w:r>
              <w:rPr>
                <w:i/>
                <w:szCs w:val="27"/>
              </w:rPr>
              <w:t>)</w:t>
            </w:r>
          </w:p>
        </w:tc>
      </w:tr>
      <w:tr>
        <w:trPr/>
        <w:tc>
          <w:tcPr>
            <w:tcW w:w="1422" w:type="dxa"/>
            <w:tcBorders/>
            <w:vAlign w:val="center"/>
          </w:tcPr>
          <w:p>
            <w:pPr>
              <w:pStyle w:val="F21"/>
              <w:ind w:left="57" w:hanging="0"/>
              <w:rPr>
                <w:szCs w:val="27"/>
              </w:rPr>
            </w:pPr>
            <w:r>
              <w:rPr>
                <w:szCs w:val="27"/>
              </w:rPr>
              <w:t>中西區</w:t>
            </w:r>
          </w:p>
        </w:tc>
        <w:tc>
          <w:tcPr>
            <w:tcW w:w="1984" w:type="dxa"/>
            <w:tcBorders/>
            <w:vAlign w:val="center"/>
          </w:tcPr>
          <w:p>
            <w:pPr>
              <w:pStyle w:val="F21"/>
              <w:ind w:right="748" w:hanging="0"/>
              <w:jc w:val="right"/>
              <w:rPr>
                <w:szCs w:val="27"/>
              </w:rPr>
            </w:pPr>
            <w:r>
              <w:rPr>
                <w:szCs w:val="27"/>
              </w:rPr>
              <w:t>41</w:t>
            </w:r>
          </w:p>
        </w:tc>
        <w:tc>
          <w:tcPr>
            <w:tcW w:w="1984" w:type="dxa"/>
            <w:tcBorders/>
            <w:vAlign w:val="center"/>
          </w:tcPr>
          <w:p>
            <w:pPr>
              <w:pStyle w:val="F21"/>
              <w:ind w:right="748" w:hanging="0"/>
              <w:jc w:val="right"/>
              <w:rPr>
                <w:szCs w:val="27"/>
              </w:rPr>
            </w:pPr>
            <w:r>
              <w:rPr>
                <w:szCs w:val="27"/>
              </w:rPr>
              <w:t>45</w:t>
            </w:r>
          </w:p>
        </w:tc>
        <w:tc>
          <w:tcPr>
            <w:tcW w:w="2414" w:type="dxa"/>
            <w:tcBorders/>
            <w:vAlign w:val="center"/>
          </w:tcPr>
          <w:p>
            <w:pPr>
              <w:pStyle w:val="F21"/>
              <w:ind w:right="958" w:hanging="0"/>
              <w:jc w:val="right"/>
              <w:rPr>
                <w:szCs w:val="27"/>
              </w:rPr>
            </w:pPr>
            <w:r>
              <w:rPr>
                <w:szCs w:val="27"/>
              </w:rPr>
              <w:t>66</w:t>
            </w:r>
          </w:p>
        </w:tc>
      </w:tr>
      <w:tr>
        <w:trPr/>
        <w:tc>
          <w:tcPr>
            <w:tcW w:w="1422" w:type="dxa"/>
            <w:tcBorders/>
            <w:vAlign w:val="center"/>
          </w:tcPr>
          <w:p>
            <w:pPr>
              <w:pStyle w:val="F21"/>
              <w:ind w:left="57" w:hanging="0"/>
              <w:rPr>
                <w:szCs w:val="27"/>
              </w:rPr>
            </w:pPr>
            <w:r>
              <w:rPr>
                <w:szCs w:val="27"/>
              </w:rPr>
              <w:t>灣仔區</w:t>
            </w:r>
          </w:p>
        </w:tc>
        <w:tc>
          <w:tcPr>
            <w:tcW w:w="1984" w:type="dxa"/>
            <w:tcBorders/>
            <w:vAlign w:val="center"/>
          </w:tcPr>
          <w:p>
            <w:pPr>
              <w:pStyle w:val="F21"/>
              <w:ind w:right="748" w:hanging="0"/>
              <w:jc w:val="right"/>
              <w:rPr>
                <w:szCs w:val="27"/>
              </w:rPr>
            </w:pPr>
            <w:r>
              <w:rPr>
                <w:szCs w:val="27"/>
              </w:rPr>
              <w:t>37</w:t>
            </w:r>
          </w:p>
        </w:tc>
        <w:tc>
          <w:tcPr>
            <w:tcW w:w="1984" w:type="dxa"/>
            <w:tcBorders/>
            <w:vAlign w:val="center"/>
          </w:tcPr>
          <w:p>
            <w:pPr>
              <w:pStyle w:val="F21"/>
              <w:ind w:right="748" w:hanging="0"/>
              <w:jc w:val="right"/>
              <w:rPr>
                <w:szCs w:val="27"/>
              </w:rPr>
            </w:pPr>
            <w:r>
              <w:rPr>
                <w:szCs w:val="27"/>
              </w:rPr>
              <w:t>61</w:t>
            </w:r>
          </w:p>
        </w:tc>
        <w:tc>
          <w:tcPr>
            <w:tcW w:w="2414" w:type="dxa"/>
            <w:tcBorders/>
            <w:vAlign w:val="center"/>
          </w:tcPr>
          <w:p>
            <w:pPr>
              <w:pStyle w:val="F21"/>
              <w:ind w:right="958" w:hanging="0"/>
              <w:jc w:val="right"/>
              <w:rPr>
                <w:szCs w:val="27"/>
              </w:rPr>
            </w:pPr>
            <w:r>
              <w:rPr>
                <w:szCs w:val="27"/>
              </w:rPr>
              <w:t>49</w:t>
            </w:r>
          </w:p>
        </w:tc>
      </w:tr>
      <w:tr>
        <w:trPr/>
        <w:tc>
          <w:tcPr>
            <w:tcW w:w="1422" w:type="dxa"/>
            <w:tcBorders/>
            <w:vAlign w:val="center"/>
          </w:tcPr>
          <w:p>
            <w:pPr>
              <w:pStyle w:val="F21"/>
              <w:ind w:left="57" w:hanging="0"/>
              <w:rPr>
                <w:szCs w:val="27"/>
              </w:rPr>
            </w:pPr>
            <w:r>
              <w:rPr>
                <w:szCs w:val="27"/>
              </w:rPr>
              <w:t>東區</w:t>
            </w:r>
          </w:p>
        </w:tc>
        <w:tc>
          <w:tcPr>
            <w:tcW w:w="1984" w:type="dxa"/>
            <w:tcBorders/>
            <w:vAlign w:val="center"/>
          </w:tcPr>
          <w:p>
            <w:pPr>
              <w:pStyle w:val="F21"/>
              <w:ind w:right="748" w:hanging="0"/>
              <w:jc w:val="right"/>
              <w:rPr>
                <w:szCs w:val="27"/>
              </w:rPr>
            </w:pPr>
            <w:r>
              <w:rPr>
                <w:szCs w:val="27"/>
              </w:rPr>
              <w:t>51</w:t>
            </w:r>
          </w:p>
        </w:tc>
        <w:tc>
          <w:tcPr>
            <w:tcW w:w="1984" w:type="dxa"/>
            <w:tcBorders/>
            <w:vAlign w:val="center"/>
          </w:tcPr>
          <w:p>
            <w:pPr>
              <w:pStyle w:val="F21"/>
              <w:ind w:right="748" w:hanging="0"/>
              <w:jc w:val="right"/>
              <w:rPr>
                <w:szCs w:val="27"/>
              </w:rPr>
            </w:pPr>
            <w:r>
              <w:rPr>
                <w:szCs w:val="27"/>
              </w:rPr>
              <w:t>53</w:t>
            </w:r>
          </w:p>
        </w:tc>
        <w:tc>
          <w:tcPr>
            <w:tcW w:w="2414" w:type="dxa"/>
            <w:tcBorders/>
            <w:vAlign w:val="center"/>
          </w:tcPr>
          <w:p>
            <w:pPr>
              <w:pStyle w:val="F21"/>
              <w:ind w:right="958" w:hanging="0"/>
              <w:jc w:val="right"/>
              <w:rPr>
                <w:szCs w:val="27"/>
              </w:rPr>
            </w:pPr>
            <w:r>
              <w:rPr>
                <w:szCs w:val="27"/>
              </w:rPr>
              <w:t>48</w:t>
            </w:r>
          </w:p>
        </w:tc>
      </w:tr>
      <w:tr>
        <w:trPr/>
        <w:tc>
          <w:tcPr>
            <w:tcW w:w="1422" w:type="dxa"/>
            <w:tcBorders/>
            <w:vAlign w:val="center"/>
          </w:tcPr>
          <w:p>
            <w:pPr>
              <w:pStyle w:val="F21"/>
              <w:ind w:left="57" w:hanging="0"/>
              <w:rPr>
                <w:szCs w:val="27"/>
              </w:rPr>
            </w:pPr>
            <w:r>
              <w:rPr>
                <w:szCs w:val="27"/>
              </w:rPr>
              <w:t>南區</w:t>
            </w:r>
          </w:p>
        </w:tc>
        <w:tc>
          <w:tcPr>
            <w:tcW w:w="1984" w:type="dxa"/>
            <w:tcBorders/>
            <w:vAlign w:val="center"/>
          </w:tcPr>
          <w:p>
            <w:pPr>
              <w:pStyle w:val="F21"/>
              <w:ind w:right="748" w:hanging="0"/>
              <w:jc w:val="right"/>
              <w:rPr>
                <w:szCs w:val="27"/>
              </w:rPr>
            </w:pPr>
            <w:r>
              <w:rPr>
                <w:szCs w:val="27"/>
              </w:rPr>
              <w:t>28</w:t>
            </w:r>
          </w:p>
        </w:tc>
        <w:tc>
          <w:tcPr>
            <w:tcW w:w="1984" w:type="dxa"/>
            <w:tcBorders/>
            <w:vAlign w:val="center"/>
          </w:tcPr>
          <w:p>
            <w:pPr>
              <w:pStyle w:val="F21"/>
              <w:ind w:right="748" w:hanging="0"/>
              <w:jc w:val="right"/>
              <w:rPr>
                <w:szCs w:val="27"/>
              </w:rPr>
            </w:pPr>
            <w:r>
              <w:rPr>
                <w:szCs w:val="27"/>
              </w:rPr>
              <w:t>19</w:t>
            </w:r>
          </w:p>
        </w:tc>
        <w:tc>
          <w:tcPr>
            <w:tcW w:w="2414" w:type="dxa"/>
            <w:tcBorders/>
            <w:vAlign w:val="center"/>
          </w:tcPr>
          <w:p>
            <w:pPr>
              <w:pStyle w:val="F21"/>
              <w:ind w:right="958" w:hanging="0"/>
              <w:jc w:val="right"/>
              <w:rPr>
                <w:szCs w:val="27"/>
              </w:rPr>
            </w:pPr>
            <w:r>
              <w:rPr>
                <w:szCs w:val="27"/>
              </w:rPr>
              <w:t>11</w:t>
            </w:r>
          </w:p>
        </w:tc>
      </w:tr>
      <w:tr>
        <w:trPr/>
        <w:tc>
          <w:tcPr>
            <w:tcW w:w="1422" w:type="dxa"/>
            <w:tcBorders/>
            <w:vAlign w:val="center"/>
          </w:tcPr>
          <w:p>
            <w:pPr>
              <w:pStyle w:val="F21"/>
              <w:ind w:left="57" w:hanging="0"/>
              <w:rPr>
                <w:szCs w:val="27"/>
              </w:rPr>
            </w:pPr>
            <w:r>
              <w:rPr>
                <w:szCs w:val="27"/>
              </w:rPr>
              <w:t>離島區</w:t>
            </w:r>
          </w:p>
        </w:tc>
        <w:tc>
          <w:tcPr>
            <w:tcW w:w="1984" w:type="dxa"/>
            <w:tcBorders/>
            <w:vAlign w:val="center"/>
          </w:tcPr>
          <w:p>
            <w:pPr>
              <w:pStyle w:val="F21"/>
              <w:ind w:right="748" w:hanging="0"/>
              <w:jc w:val="right"/>
              <w:rPr>
                <w:szCs w:val="27"/>
              </w:rPr>
            </w:pPr>
            <w:r>
              <w:rPr>
                <w:szCs w:val="27"/>
              </w:rPr>
              <w:t>2</w:t>
            </w:r>
          </w:p>
        </w:tc>
        <w:tc>
          <w:tcPr>
            <w:tcW w:w="1984" w:type="dxa"/>
            <w:tcBorders/>
            <w:vAlign w:val="center"/>
          </w:tcPr>
          <w:p>
            <w:pPr>
              <w:pStyle w:val="F21"/>
              <w:ind w:right="748" w:hanging="0"/>
              <w:jc w:val="right"/>
              <w:rPr>
                <w:szCs w:val="27"/>
              </w:rPr>
            </w:pPr>
            <w:r>
              <w:rPr>
                <w:szCs w:val="27"/>
              </w:rPr>
              <w:t>5</w:t>
            </w:r>
          </w:p>
        </w:tc>
        <w:tc>
          <w:tcPr>
            <w:tcW w:w="2414" w:type="dxa"/>
            <w:tcBorders/>
            <w:vAlign w:val="center"/>
          </w:tcPr>
          <w:p>
            <w:pPr>
              <w:pStyle w:val="F21"/>
              <w:ind w:right="958" w:hanging="0"/>
              <w:jc w:val="right"/>
              <w:rPr>
                <w:szCs w:val="27"/>
              </w:rPr>
            </w:pPr>
            <w:r>
              <w:rPr>
                <w:szCs w:val="27"/>
              </w:rPr>
              <w:t>10</w:t>
            </w:r>
          </w:p>
        </w:tc>
      </w:tr>
      <w:tr>
        <w:trPr/>
        <w:tc>
          <w:tcPr>
            <w:tcW w:w="1422" w:type="dxa"/>
            <w:tcBorders/>
            <w:vAlign w:val="center"/>
          </w:tcPr>
          <w:p>
            <w:pPr>
              <w:pStyle w:val="F21"/>
              <w:ind w:left="57" w:hanging="0"/>
              <w:rPr>
                <w:szCs w:val="27"/>
              </w:rPr>
            </w:pPr>
            <w:r>
              <w:rPr>
                <w:szCs w:val="27"/>
              </w:rPr>
              <w:t>油尖旺區</w:t>
            </w:r>
          </w:p>
        </w:tc>
        <w:tc>
          <w:tcPr>
            <w:tcW w:w="1984" w:type="dxa"/>
            <w:tcBorders/>
            <w:vAlign w:val="center"/>
          </w:tcPr>
          <w:p>
            <w:pPr>
              <w:pStyle w:val="F21"/>
              <w:ind w:right="748" w:hanging="0"/>
              <w:jc w:val="right"/>
              <w:rPr>
                <w:szCs w:val="27"/>
              </w:rPr>
            </w:pPr>
            <w:r>
              <w:rPr>
                <w:szCs w:val="27"/>
              </w:rPr>
              <w:t>30</w:t>
            </w:r>
          </w:p>
        </w:tc>
        <w:tc>
          <w:tcPr>
            <w:tcW w:w="1984" w:type="dxa"/>
            <w:tcBorders/>
            <w:vAlign w:val="center"/>
          </w:tcPr>
          <w:p>
            <w:pPr>
              <w:pStyle w:val="F21"/>
              <w:ind w:right="748" w:hanging="0"/>
              <w:jc w:val="right"/>
              <w:rPr>
                <w:szCs w:val="27"/>
              </w:rPr>
            </w:pPr>
            <w:r>
              <w:rPr>
                <w:szCs w:val="27"/>
              </w:rPr>
              <w:t>53</w:t>
            </w:r>
          </w:p>
        </w:tc>
        <w:tc>
          <w:tcPr>
            <w:tcW w:w="2414" w:type="dxa"/>
            <w:tcBorders/>
            <w:vAlign w:val="center"/>
          </w:tcPr>
          <w:p>
            <w:pPr>
              <w:pStyle w:val="F21"/>
              <w:ind w:right="958" w:hanging="0"/>
              <w:jc w:val="right"/>
              <w:rPr>
                <w:szCs w:val="27"/>
              </w:rPr>
            </w:pPr>
            <w:r>
              <w:rPr>
                <w:szCs w:val="27"/>
              </w:rPr>
              <w:t>54</w:t>
            </w:r>
          </w:p>
        </w:tc>
      </w:tr>
      <w:tr>
        <w:trPr/>
        <w:tc>
          <w:tcPr>
            <w:tcW w:w="1422" w:type="dxa"/>
            <w:tcBorders/>
            <w:vAlign w:val="center"/>
          </w:tcPr>
          <w:p>
            <w:pPr>
              <w:pStyle w:val="F21"/>
              <w:ind w:left="57" w:hanging="0"/>
              <w:rPr>
                <w:szCs w:val="27"/>
              </w:rPr>
            </w:pPr>
            <w:r>
              <w:rPr>
                <w:szCs w:val="27"/>
              </w:rPr>
              <w:t>深水埗區</w:t>
            </w:r>
          </w:p>
        </w:tc>
        <w:tc>
          <w:tcPr>
            <w:tcW w:w="1984" w:type="dxa"/>
            <w:tcBorders/>
            <w:vAlign w:val="center"/>
          </w:tcPr>
          <w:p>
            <w:pPr>
              <w:pStyle w:val="F21"/>
              <w:ind w:right="748" w:hanging="0"/>
              <w:jc w:val="right"/>
              <w:rPr>
                <w:szCs w:val="27"/>
              </w:rPr>
            </w:pPr>
            <w:r>
              <w:rPr>
                <w:szCs w:val="27"/>
              </w:rPr>
              <w:t>51</w:t>
            </w:r>
          </w:p>
        </w:tc>
        <w:tc>
          <w:tcPr>
            <w:tcW w:w="1984" w:type="dxa"/>
            <w:tcBorders/>
            <w:vAlign w:val="center"/>
          </w:tcPr>
          <w:p>
            <w:pPr>
              <w:pStyle w:val="F21"/>
              <w:ind w:right="748" w:hanging="0"/>
              <w:jc w:val="right"/>
              <w:rPr>
                <w:szCs w:val="27"/>
              </w:rPr>
            </w:pPr>
            <w:r>
              <w:rPr>
                <w:szCs w:val="27"/>
              </w:rPr>
              <w:t>47</w:t>
            </w:r>
          </w:p>
        </w:tc>
        <w:tc>
          <w:tcPr>
            <w:tcW w:w="2414" w:type="dxa"/>
            <w:tcBorders/>
            <w:vAlign w:val="center"/>
          </w:tcPr>
          <w:p>
            <w:pPr>
              <w:pStyle w:val="F21"/>
              <w:ind w:right="958" w:hanging="0"/>
              <w:jc w:val="right"/>
              <w:rPr>
                <w:szCs w:val="27"/>
              </w:rPr>
            </w:pPr>
            <w:r>
              <w:rPr>
                <w:szCs w:val="27"/>
              </w:rPr>
              <w:t>50</w:t>
            </w:r>
          </w:p>
        </w:tc>
      </w:tr>
      <w:tr>
        <w:trPr/>
        <w:tc>
          <w:tcPr>
            <w:tcW w:w="1422" w:type="dxa"/>
            <w:tcBorders/>
            <w:vAlign w:val="center"/>
          </w:tcPr>
          <w:p>
            <w:pPr>
              <w:pStyle w:val="F21"/>
              <w:ind w:left="57" w:hanging="0"/>
              <w:rPr>
                <w:szCs w:val="27"/>
              </w:rPr>
            </w:pPr>
            <w:r>
              <w:rPr>
                <w:szCs w:val="27"/>
              </w:rPr>
              <w:t>九龍城區</w:t>
            </w:r>
          </w:p>
        </w:tc>
        <w:tc>
          <w:tcPr>
            <w:tcW w:w="1984" w:type="dxa"/>
            <w:tcBorders/>
            <w:vAlign w:val="center"/>
          </w:tcPr>
          <w:p>
            <w:pPr>
              <w:pStyle w:val="F21"/>
              <w:ind w:right="748" w:hanging="0"/>
              <w:jc w:val="right"/>
              <w:rPr>
                <w:szCs w:val="27"/>
              </w:rPr>
            </w:pPr>
            <w:r>
              <w:rPr>
                <w:szCs w:val="27"/>
              </w:rPr>
              <w:t>12</w:t>
            </w:r>
          </w:p>
        </w:tc>
        <w:tc>
          <w:tcPr>
            <w:tcW w:w="1984" w:type="dxa"/>
            <w:tcBorders/>
            <w:vAlign w:val="center"/>
          </w:tcPr>
          <w:p>
            <w:pPr>
              <w:pStyle w:val="F21"/>
              <w:ind w:right="748" w:hanging="0"/>
              <w:jc w:val="right"/>
              <w:rPr>
                <w:szCs w:val="27"/>
              </w:rPr>
            </w:pPr>
            <w:r>
              <w:rPr>
                <w:szCs w:val="27"/>
              </w:rPr>
              <w:t>28</w:t>
            </w:r>
          </w:p>
        </w:tc>
        <w:tc>
          <w:tcPr>
            <w:tcW w:w="2414" w:type="dxa"/>
            <w:tcBorders/>
            <w:vAlign w:val="center"/>
          </w:tcPr>
          <w:p>
            <w:pPr>
              <w:pStyle w:val="F21"/>
              <w:ind w:right="958" w:hanging="0"/>
              <w:jc w:val="right"/>
              <w:rPr>
                <w:szCs w:val="27"/>
              </w:rPr>
            </w:pPr>
            <w:r>
              <w:rPr>
                <w:szCs w:val="27"/>
              </w:rPr>
              <w:t>47</w:t>
            </w:r>
          </w:p>
        </w:tc>
      </w:tr>
      <w:tr>
        <w:trPr/>
        <w:tc>
          <w:tcPr>
            <w:tcW w:w="1422" w:type="dxa"/>
            <w:tcBorders/>
            <w:vAlign w:val="center"/>
          </w:tcPr>
          <w:p>
            <w:pPr>
              <w:pStyle w:val="F21"/>
              <w:ind w:left="57" w:hanging="0"/>
              <w:rPr>
                <w:szCs w:val="27"/>
              </w:rPr>
            </w:pPr>
            <w:r>
              <w:rPr>
                <w:szCs w:val="27"/>
              </w:rPr>
              <w:t>黃大仙區</w:t>
            </w:r>
          </w:p>
        </w:tc>
        <w:tc>
          <w:tcPr>
            <w:tcW w:w="1984" w:type="dxa"/>
            <w:tcBorders/>
            <w:vAlign w:val="center"/>
          </w:tcPr>
          <w:p>
            <w:pPr>
              <w:pStyle w:val="F21"/>
              <w:ind w:right="748" w:hanging="0"/>
              <w:jc w:val="right"/>
              <w:rPr>
                <w:szCs w:val="27"/>
              </w:rPr>
            </w:pPr>
            <w:r>
              <w:rPr>
                <w:szCs w:val="27"/>
              </w:rPr>
              <w:t>9</w:t>
            </w:r>
          </w:p>
        </w:tc>
        <w:tc>
          <w:tcPr>
            <w:tcW w:w="1984" w:type="dxa"/>
            <w:tcBorders/>
            <w:vAlign w:val="center"/>
          </w:tcPr>
          <w:p>
            <w:pPr>
              <w:pStyle w:val="F21"/>
              <w:ind w:right="748" w:hanging="0"/>
              <w:jc w:val="right"/>
              <w:rPr>
                <w:szCs w:val="27"/>
              </w:rPr>
            </w:pPr>
            <w:r>
              <w:rPr>
                <w:szCs w:val="27"/>
              </w:rPr>
              <w:t>11</w:t>
            </w:r>
          </w:p>
        </w:tc>
        <w:tc>
          <w:tcPr>
            <w:tcW w:w="2414" w:type="dxa"/>
            <w:tcBorders/>
            <w:vAlign w:val="center"/>
          </w:tcPr>
          <w:p>
            <w:pPr>
              <w:pStyle w:val="F21"/>
              <w:ind w:right="958" w:hanging="0"/>
              <w:jc w:val="right"/>
              <w:rPr>
                <w:szCs w:val="27"/>
              </w:rPr>
            </w:pPr>
            <w:r>
              <w:rPr>
                <w:szCs w:val="27"/>
              </w:rPr>
              <w:t>7</w:t>
            </w:r>
          </w:p>
        </w:tc>
      </w:tr>
      <w:tr>
        <w:trPr/>
        <w:tc>
          <w:tcPr>
            <w:tcW w:w="1422" w:type="dxa"/>
            <w:tcBorders/>
            <w:vAlign w:val="center"/>
          </w:tcPr>
          <w:p>
            <w:pPr>
              <w:pStyle w:val="F21"/>
              <w:ind w:left="57" w:hanging="0"/>
              <w:rPr>
                <w:szCs w:val="27"/>
              </w:rPr>
            </w:pPr>
            <w:r>
              <w:rPr>
                <w:szCs w:val="27"/>
              </w:rPr>
              <w:t>觀塘區</w:t>
            </w:r>
          </w:p>
        </w:tc>
        <w:tc>
          <w:tcPr>
            <w:tcW w:w="1984" w:type="dxa"/>
            <w:tcBorders/>
            <w:vAlign w:val="center"/>
          </w:tcPr>
          <w:p>
            <w:pPr>
              <w:pStyle w:val="F21"/>
              <w:ind w:right="748" w:hanging="0"/>
              <w:jc w:val="right"/>
              <w:rPr>
                <w:szCs w:val="27"/>
              </w:rPr>
            </w:pPr>
            <w:r>
              <w:rPr>
                <w:szCs w:val="27"/>
              </w:rPr>
              <w:t>22</w:t>
            </w:r>
          </w:p>
        </w:tc>
        <w:tc>
          <w:tcPr>
            <w:tcW w:w="1984" w:type="dxa"/>
            <w:tcBorders/>
            <w:vAlign w:val="center"/>
          </w:tcPr>
          <w:p>
            <w:pPr>
              <w:pStyle w:val="F21"/>
              <w:ind w:right="748" w:hanging="0"/>
              <w:jc w:val="right"/>
              <w:rPr>
                <w:szCs w:val="27"/>
              </w:rPr>
            </w:pPr>
            <w:r>
              <w:rPr>
                <w:szCs w:val="27"/>
              </w:rPr>
              <w:t>20</w:t>
            </w:r>
          </w:p>
        </w:tc>
        <w:tc>
          <w:tcPr>
            <w:tcW w:w="2414" w:type="dxa"/>
            <w:tcBorders/>
            <w:vAlign w:val="center"/>
          </w:tcPr>
          <w:p>
            <w:pPr>
              <w:pStyle w:val="F21"/>
              <w:ind w:right="958" w:hanging="0"/>
              <w:jc w:val="right"/>
              <w:rPr>
                <w:szCs w:val="27"/>
              </w:rPr>
            </w:pPr>
            <w:r>
              <w:rPr>
                <w:szCs w:val="27"/>
              </w:rPr>
              <w:t>15</w:t>
            </w:r>
          </w:p>
        </w:tc>
      </w:tr>
      <w:tr>
        <w:trPr/>
        <w:tc>
          <w:tcPr>
            <w:tcW w:w="1422" w:type="dxa"/>
            <w:tcBorders/>
            <w:vAlign w:val="center"/>
          </w:tcPr>
          <w:p>
            <w:pPr>
              <w:pStyle w:val="F21"/>
              <w:ind w:left="57" w:hanging="0"/>
              <w:rPr>
                <w:szCs w:val="27"/>
              </w:rPr>
            </w:pPr>
            <w:r>
              <w:rPr>
                <w:szCs w:val="27"/>
              </w:rPr>
              <w:t>葵青區</w:t>
            </w:r>
          </w:p>
        </w:tc>
        <w:tc>
          <w:tcPr>
            <w:tcW w:w="1984" w:type="dxa"/>
            <w:tcBorders/>
            <w:vAlign w:val="center"/>
          </w:tcPr>
          <w:p>
            <w:pPr>
              <w:pStyle w:val="F21"/>
              <w:ind w:right="748" w:hanging="0"/>
              <w:jc w:val="right"/>
              <w:rPr>
                <w:szCs w:val="27"/>
              </w:rPr>
            </w:pPr>
            <w:r>
              <w:rPr>
                <w:szCs w:val="27"/>
              </w:rPr>
              <w:t>6</w:t>
            </w:r>
          </w:p>
        </w:tc>
        <w:tc>
          <w:tcPr>
            <w:tcW w:w="1984" w:type="dxa"/>
            <w:tcBorders/>
            <w:vAlign w:val="center"/>
          </w:tcPr>
          <w:p>
            <w:pPr>
              <w:pStyle w:val="F21"/>
              <w:ind w:right="748" w:hanging="0"/>
              <w:jc w:val="right"/>
              <w:rPr>
                <w:szCs w:val="27"/>
              </w:rPr>
            </w:pPr>
            <w:r>
              <w:rPr>
                <w:szCs w:val="27"/>
              </w:rPr>
              <w:t>14</w:t>
            </w:r>
          </w:p>
        </w:tc>
        <w:tc>
          <w:tcPr>
            <w:tcW w:w="2414" w:type="dxa"/>
            <w:tcBorders/>
            <w:vAlign w:val="center"/>
          </w:tcPr>
          <w:p>
            <w:pPr>
              <w:pStyle w:val="F21"/>
              <w:ind w:right="958" w:hanging="0"/>
              <w:jc w:val="right"/>
              <w:rPr>
                <w:szCs w:val="27"/>
              </w:rPr>
            </w:pPr>
            <w:r>
              <w:rPr>
                <w:szCs w:val="27"/>
              </w:rPr>
              <w:t>8</w:t>
            </w:r>
          </w:p>
        </w:tc>
      </w:tr>
      <w:tr>
        <w:trPr/>
        <w:tc>
          <w:tcPr>
            <w:tcW w:w="1422" w:type="dxa"/>
            <w:tcBorders/>
            <w:vAlign w:val="center"/>
          </w:tcPr>
          <w:p>
            <w:pPr>
              <w:pStyle w:val="F21"/>
              <w:ind w:left="57" w:hanging="0"/>
              <w:rPr>
                <w:szCs w:val="27"/>
              </w:rPr>
            </w:pPr>
            <w:r>
              <w:rPr>
                <w:szCs w:val="27"/>
              </w:rPr>
              <w:t>荃灣區</w:t>
            </w:r>
          </w:p>
        </w:tc>
        <w:tc>
          <w:tcPr>
            <w:tcW w:w="1984" w:type="dxa"/>
            <w:tcBorders/>
            <w:vAlign w:val="center"/>
          </w:tcPr>
          <w:p>
            <w:pPr>
              <w:pStyle w:val="F21"/>
              <w:ind w:right="748" w:hanging="0"/>
              <w:jc w:val="right"/>
              <w:rPr>
                <w:szCs w:val="27"/>
              </w:rPr>
            </w:pPr>
            <w:r>
              <w:rPr>
                <w:szCs w:val="27"/>
              </w:rPr>
              <w:t>2</w:t>
            </w:r>
          </w:p>
        </w:tc>
        <w:tc>
          <w:tcPr>
            <w:tcW w:w="1984" w:type="dxa"/>
            <w:tcBorders/>
            <w:vAlign w:val="center"/>
          </w:tcPr>
          <w:p>
            <w:pPr>
              <w:pStyle w:val="F21"/>
              <w:ind w:right="748" w:hanging="0"/>
              <w:jc w:val="right"/>
              <w:rPr>
                <w:szCs w:val="27"/>
              </w:rPr>
            </w:pPr>
            <w:r>
              <w:rPr>
                <w:szCs w:val="27"/>
              </w:rPr>
              <w:t>5</w:t>
            </w:r>
          </w:p>
        </w:tc>
        <w:tc>
          <w:tcPr>
            <w:tcW w:w="2414" w:type="dxa"/>
            <w:tcBorders/>
            <w:vAlign w:val="center"/>
          </w:tcPr>
          <w:p>
            <w:pPr>
              <w:pStyle w:val="F21"/>
              <w:ind w:right="958" w:hanging="0"/>
              <w:jc w:val="right"/>
              <w:rPr>
                <w:szCs w:val="27"/>
              </w:rPr>
            </w:pPr>
            <w:r>
              <w:rPr>
                <w:szCs w:val="27"/>
              </w:rPr>
              <w:t>4</w:t>
            </w:r>
          </w:p>
        </w:tc>
      </w:tr>
      <w:tr>
        <w:trPr/>
        <w:tc>
          <w:tcPr>
            <w:tcW w:w="1422" w:type="dxa"/>
            <w:tcBorders/>
            <w:vAlign w:val="center"/>
          </w:tcPr>
          <w:p>
            <w:pPr>
              <w:pStyle w:val="F21"/>
              <w:ind w:left="57" w:hanging="0"/>
              <w:rPr>
                <w:szCs w:val="27"/>
              </w:rPr>
            </w:pPr>
            <w:r>
              <w:rPr>
                <w:szCs w:val="27"/>
              </w:rPr>
              <w:t>屯門區</w:t>
            </w:r>
          </w:p>
        </w:tc>
        <w:tc>
          <w:tcPr>
            <w:tcW w:w="1984" w:type="dxa"/>
            <w:tcBorders/>
            <w:vAlign w:val="center"/>
          </w:tcPr>
          <w:p>
            <w:pPr>
              <w:pStyle w:val="F21"/>
              <w:ind w:right="748" w:hanging="0"/>
              <w:jc w:val="right"/>
              <w:rPr>
                <w:szCs w:val="27"/>
              </w:rPr>
            </w:pPr>
            <w:r>
              <w:rPr>
                <w:szCs w:val="27"/>
              </w:rPr>
              <w:t>5</w:t>
            </w:r>
          </w:p>
        </w:tc>
        <w:tc>
          <w:tcPr>
            <w:tcW w:w="1984" w:type="dxa"/>
            <w:tcBorders/>
            <w:vAlign w:val="center"/>
          </w:tcPr>
          <w:p>
            <w:pPr>
              <w:pStyle w:val="F21"/>
              <w:ind w:right="748" w:hanging="0"/>
              <w:jc w:val="right"/>
              <w:rPr>
                <w:szCs w:val="27"/>
              </w:rPr>
            </w:pPr>
            <w:r>
              <w:rPr>
                <w:szCs w:val="27"/>
              </w:rPr>
              <w:t>6</w:t>
            </w:r>
          </w:p>
        </w:tc>
        <w:tc>
          <w:tcPr>
            <w:tcW w:w="2414" w:type="dxa"/>
            <w:tcBorders/>
            <w:vAlign w:val="center"/>
          </w:tcPr>
          <w:p>
            <w:pPr>
              <w:pStyle w:val="F21"/>
              <w:ind w:right="958" w:hanging="0"/>
              <w:jc w:val="right"/>
              <w:rPr>
                <w:szCs w:val="27"/>
              </w:rPr>
            </w:pPr>
            <w:r>
              <w:rPr>
                <w:szCs w:val="27"/>
              </w:rPr>
              <w:t>7</w:t>
            </w:r>
          </w:p>
        </w:tc>
      </w:tr>
      <w:tr>
        <w:trPr/>
        <w:tc>
          <w:tcPr>
            <w:tcW w:w="1422" w:type="dxa"/>
            <w:tcBorders/>
            <w:vAlign w:val="center"/>
          </w:tcPr>
          <w:p>
            <w:pPr>
              <w:pStyle w:val="F21"/>
              <w:ind w:left="57" w:hanging="0"/>
              <w:rPr>
                <w:szCs w:val="27"/>
              </w:rPr>
            </w:pPr>
            <w:r>
              <w:rPr>
                <w:szCs w:val="27"/>
              </w:rPr>
              <w:t>元朗區</w:t>
            </w:r>
          </w:p>
        </w:tc>
        <w:tc>
          <w:tcPr>
            <w:tcW w:w="1984" w:type="dxa"/>
            <w:tcBorders/>
            <w:vAlign w:val="center"/>
          </w:tcPr>
          <w:p>
            <w:pPr>
              <w:pStyle w:val="F21"/>
              <w:ind w:right="748" w:hanging="0"/>
              <w:jc w:val="right"/>
              <w:rPr>
                <w:szCs w:val="27"/>
              </w:rPr>
            </w:pPr>
            <w:r>
              <w:rPr>
                <w:szCs w:val="27"/>
              </w:rPr>
              <w:t>21</w:t>
            </w:r>
          </w:p>
        </w:tc>
        <w:tc>
          <w:tcPr>
            <w:tcW w:w="1984" w:type="dxa"/>
            <w:tcBorders/>
            <w:vAlign w:val="center"/>
          </w:tcPr>
          <w:p>
            <w:pPr>
              <w:pStyle w:val="F21"/>
              <w:ind w:right="748" w:hanging="0"/>
              <w:jc w:val="right"/>
              <w:rPr>
                <w:szCs w:val="27"/>
              </w:rPr>
            </w:pPr>
            <w:r>
              <w:rPr>
                <w:szCs w:val="27"/>
              </w:rPr>
              <w:t>42</w:t>
            </w:r>
          </w:p>
        </w:tc>
        <w:tc>
          <w:tcPr>
            <w:tcW w:w="2414" w:type="dxa"/>
            <w:tcBorders/>
            <w:vAlign w:val="center"/>
          </w:tcPr>
          <w:p>
            <w:pPr>
              <w:pStyle w:val="F21"/>
              <w:ind w:right="958" w:hanging="0"/>
              <w:jc w:val="right"/>
              <w:rPr>
                <w:szCs w:val="27"/>
              </w:rPr>
            </w:pPr>
            <w:r>
              <w:rPr>
                <w:szCs w:val="27"/>
              </w:rPr>
              <w:t>33</w:t>
            </w:r>
          </w:p>
        </w:tc>
      </w:tr>
      <w:tr>
        <w:trPr/>
        <w:tc>
          <w:tcPr>
            <w:tcW w:w="1422" w:type="dxa"/>
            <w:tcBorders/>
            <w:vAlign w:val="center"/>
          </w:tcPr>
          <w:p>
            <w:pPr>
              <w:pStyle w:val="F21"/>
              <w:ind w:left="57" w:hanging="0"/>
              <w:rPr>
                <w:szCs w:val="27"/>
              </w:rPr>
            </w:pPr>
            <w:r>
              <w:rPr>
                <w:szCs w:val="27"/>
              </w:rPr>
              <w:t>北區</w:t>
            </w:r>
          </w:p>
        </w:tc>
        <w:tc>
          <w:tcPr>
            <w:tcW w:w="1984" w:type="dxa"/>
            <w:tcBorders/>
            <w:vAlign w:val="center"/>
          </w:tcPr>
          <w:p>
            <w:pPr>
              <w:pStyle w:val="F21"/>
              <w:ind w:right="748" w:hanging="0"/>
              <w:jc w:val="right"/>
              <w:rPr>
                <w:szCs w:val="27"/>
              </w:rPr>
            </w:pPr>
            <w:r>
              <w:rPr>
                <w:szCs w:val="27"/>
              </w:rPr>
              <w:t>0</w:t>
            </w:r>
          </w:p>
        </w:tc>
        <w:tc>
          <w:tcPr>
            <w:tcW w:w="1984" w:type="dxa"/>
            <w:tcBorders/>
            <w:vAlign w:val="center"/>
          </w:tcPr>
          <w:p>
            <w:pPr>
              <w:pStyle w:val="F21"/>
              <w:ind w:right="748" w:hanging="0"/>
              <w:jc w:val="right"/>
              <w:rPr>
                <w:szCs w:val="27"/>
              </w:rPr>
            </w:pPr>
            <w:r>
              <w:rPr>
                <w:szCs w:val="27"/>
              </w:rPr>
              <w:t>5</w:t>
            </w:r>
          </w:p>
        </w:tc>
        <w:tc>
          <w:tcPr>
            <w:tcW w:w="2414" w:type="dxa"/>
            <w:tcBorders/>
            <w:vAlign w:val="center"/>
          </w:tcPr>
          <w:p>
            <w:pPr>
              <w:pStyle w:val="F21"/>
              <w:ind w:right="958" w:hanging="0"/>
              <w:jc w:val="right"/>
              <w:rPr>
                <w:szCs w:val="27"/>
              </w:rPr>
            </w:pPr>
            <w:r>
              <w:rPr>
                <w:szCs w:val="27"/>
              </w:rPr>
              <w:t>2</w:t>
            </w:r>
          </w:p>
        </w:tc>
      </w:tr>
      <w:tr>
        <w:trPr/>
        <w:tc>
          <w:tcPr>
            <w:tcW w:w="1422" w:type="dxa"/>
            <w:tcBorders/>
            <w:vAlign w:val="center"/>
          </w:tcPr>
          <w:p>
            <w:pPr>
              <w:pStyle w:val="F21"/>
              <w:ind w:left="57" w:hanging="0"/>
              <w:rPr>
                <w:szCs w:val="27"/>
              </w:rPr>
            </w:pPr>
            <w:r>
              <w:rPr>
                <w:szCs w:val="27"/>
              </w:rPr>
              <w:t>大埔區</w:t>
            </w:r>
          </w:p>
        </w:tc>
        <w:tc>
          <w:tcPr>
            <w:tcW w:w="1984" w:type="dxa"/>
            <w:tcBorders/>
            <w:vAlign w:val="center"/>
          </w:tcPr>
          <w:p>
            <w:pPr>
              <w:pStyle w:val="F21"/>
              <w:ind w:right="748" w:hanging="0"/>
              <w:jc w:val="right"/>
              <w:rPr>
                <w:szCs w:val="27"/>
              </w:rPr>
            </w:pPr>
            <w:r>
              <w:rPr>
                <w:szCs w:val="27"/>
              </w:rPr>
              <w:t>12</w:t>
            </w:r>
          </w:p>
        </w:tc>
        <w:tc>
          <w:tcPr>
            <w:tcW w:w="1984" w:type="dxa"/>
            <w:tcBorders/>
            <w:vAlign w:val="center"/>
          </w:tcPr>
          <w:p>
            <w:pPr>
              <w:pStyle w:val="F21"/>
              <w:ind w:right="748" w:hanging="0"/>
              <w:jc w:val="right"/>
              <w:rPr>
                <w:szCs w:val="27"/>
              </w:rPr>
            </w:pPr>
            <w:r>
              <w:rPr>
                <w:szCs w:val="27"/>
              </w:rPr>
              <w:t>11</w:t>
            </w:r>
          </w:p>
        </w:tc>
        <w:tc>
          <w:tcPr>
            <w:tcW w:w="2414" w:type="dxa"/>
            <w:tcBorders/>
            <w:vAlign w:val="center"/>
          </w:tcPr>
          <w:p>
            <w:pPr>
              <w:pStyle w:val="F21"/>
              <w:ind w:right="958" w:hanging="0"/>
              <w:jc w:val="right"/>
              <w:rPr>
                <w:szCs w:val="27"/>
              </w:rPr>
            </w:pPr>
            <w:r>
              <w:rPr>
                <w:szCs w:val="27"/>
              </w:rPr>
              <w:t>19</w:t>
            </w:r>
          </w:p>
        </w:tc>
      </w:tr>
      <w:tr>
        <w:trPr/>
        <w:tc>
          <w:tcPr>
            <w:tcW w:w="1422" w:type="dxa"/>
            <w:tcBorders/>
            <w:vAlign w:val="center"/>
          </w:tcPr>
          <w:p>
            <w:pPr>
              <w:pStyle w:val="F21"/>
              <w:spacing w:lineRule="atLeast" w:line="380"/>
              <w:ind w:left="57" w:hanging="0"/>
              <w:rPr>
                <w:szCs w:val="27"/>
              </w:rPr>
            </w:pPr>
            <w:r>
              <w:rPr>
                <w:szCs w:val="27"/>
              </w:rPr>
              <w:t>沙田區</w:t>
            </w:r>
          </w:p>
        </w:tc>
        <w:tc>
          <w:tcPr>
            <w:tcW w:w="1984" w:type="dxa"/>
            <w:tcBorders/>
            <w:vAlign w:val="center"/>
          </w:tcPr>
          <w:p>
            <w:pPr>
              <w:pStyle w:val="F21"/>
              <w:spacing w:lineRule="atLeast" w:line="380"/>
              <w:ind w:right="748" w:hanging="0"/>
              <w:jc w:val="right"/>
              <w:rPr>
                <w:szCs w:val="27"/>
              </w:rPr>
            </w:pPr>
            <w:r>
              <w:rPr>
                <w:szCs w:val="27"/>
              </w:rPr>
              <w:t>20</w:t>
            </w:r>
          </w:p>
        </w:tc>
        <w:tc>
          <w:tcPr>
            <w:tcW w:w="1984" w:type="dxa"/>
            <w:tcBorders/>
            <w:vAlign w:val="center"/>
          </w:tcPr>
          <w:p>
            <w:pPr>
              <w:pStyle w:val="F21"/>
              <w:spacing w:lineRule="atLeast" w:line="380"/>
              <w:ind w:right="748" w:hanging="0"/>
              <w:jc w:val="right"/>
              <w:rPr>
                <w:szCs w:val="27"/>
              </w:rPr>
            </w:pPr>
            <w:r>
              <w:rPr>
                <w:szCs w:val="27"/>
              </w:rPr>
              <w:t>23</w:t>
            </w:r>
          </w:p>
        </w:tc>
        <w:tc>
          <w:tcPr>
            <w:tcW w:w="2414" w:type="dxa"/>
            <w:tcBorders/>
            <w:vAlign w:val="center"/>
          </w:tcPr>
          <w:p>
            <w:pPr>
              <w:pStyle w:val="F21"/>
              <w:spacing w:lineRule="atLeast" w:line="380"/>
              <w:ind w:right="958" w:hanging="0"/>
              <w:jc w:val="right"/>
              <w:rPr>
                <w:szCs w:val="27"/>
              </w:rPr>
            </w:pPr>
            <w:r>
              <w:rPr>
                <w:szCs w:val="27"/>
              </w:rPr>
              <w:t>9</w:t>
            </w:r>
          </w:p>
        </w:tc>
      </w:tr>
      <w:tr>
        <w:trPr/>
        <w:tc>
          <w:tcPr>
            <w:tcW w:w="1422" w:type="dxa"/>
            <w:tcBorders/>
            <w:vAlign w:val="center"/>
          </w:tcPr>
          <w:p>
            <w:pPr>
              <w:pStyle w:val="F21"/>
              <w:spacing w:lineRule="atLeast" w:line="380"/>
              <w:ind w:left="57" w:hanging="0"/>
              <w:rPr>
                <w:szCs w:val="27"/>
              </w:rPr>
            </w:pPr>
            <w:r>
              <w:rPr>
                <w:szCs w:val="27"/>
              </w:rPr>
              <w:t>西貢區</w:t>
            </w:r>
          </w:p>
        </w:tc>
        <w:tc>
          <w:tcPr>
            <w:tcW w:w="1984" w:type="dxa"/>
            <w:tcBorders/>
            <w:vAlign w:val="center"/>
          </w:tcPr>
          <w:p>
            <w:pPr>
              <w:pStyle w:val="F21"/>
              <w:spacing w:lineRule="atLeast" w:line="380"/>
              <w:ind w:right="748" w:hanging="0"/>
              <w:jc w:val="right"/>
              <w:rPr>
                <w:szCs w:val="27"/>
              </w:rPr>
            </w:pPr>
            <w:r>
              <w:rPr>
                <w:szCs w:val="27"/>
              </w:rPr>
              <w:t>23</w:t>
            </w:r>
          </w:p>
        </w:tc>
        <w:tc>
          <w:tcPr>
            <w:tcW w:w="1984" w:type="dxa"/>
            <w:tcBorders/>
            <w:vAlign w:val="center"/>
          </w:tcPr>
          <w:p>
            <w:pPr>
              <w:pStyle w:val="F21"/>
              <w:spacing w:lineRule="atLeast" w:line="380"/>
              <w:ind w:right="748" w:hanging="0"/>
              <w:jc w:val="right"/>
              <w:rPr>
                <w:szCs w:val="27"/>
              </w:rPr>
            </w:pPr>
            <w:r>
              <w:rPr>
                <w:szCs w:val="27"/>
              </w:rPr>
              <w:t>30</w:t>
            </w:r>
          </w:p>
        </w:tc>
        <w:tc>
          <w:tcPr>
            <w:tcW w:w="2414" w:type="dxa"/>
            <w:tcBorders/>
            <w:vAlign w:val="center"/>
          </w:tcPr>
          <w:p>
            <w:pPr>
              <w:pStyle w:val="F21"/>
              <w:spacing w:lineRule="atLeast" w:line="380"/>
              <w:ind w:right="958" w:hanging="0"/>
              <w:jc w:val="right"/>
              <w:rPr>
                <w:szCs w:val="27"/>
              </w:rPr>
            </w:pPr>
            <w:r>
              <w:rPr>
                <w:szCs w:val="27"/>
              </w:rPr>
              <w:t>35</w:t>
            </w:r>
          </w:p>
        </w:tc>
      </w:tr>
      <w:tr>
        <w:trPr/>
        <w:tc>
          <w:tcPr>
            <w:tcW w:w="1422" w:type="dxa"/>
            <w:tcBorders/>
            <w:vAlign w:val="center"/>
          </w:tcPr>
          <w:p>
            <w:pPr>
              <w:pStyle w:val="F21"/>
              <w:spacing w:lineRule="atLeast" w:line="380"/>
              <w:ind w:left="57" w:hanging="0"/>
              <w:rPr>
                <w:szCs w:val="27"/>
              </w:rPr>
            </w:pPr>
            <w:r>
              <w:rPr>
                <w:szCs w:val="27"/>
              </w:rPr>
              <w:t>總數</w:t>
            </w:r>
          </w:p>
        </w:tc>
        <w:tc>
          <w:tcPr>
            <w:tcW w:w="1984" w:type="dxa"/>
            <w:tcBorders/>
            <w:vAlign w:val="center"/>
          </w:tcPr>
          <w:p>
            <w:pPr>
              <w:pStyle w:val="F21"/>
              <w:spacing w:lineRule="atLeast" w:line="380"/>
              <w:ind w:right="748" w:hanging="0"/>
              <w:jc w:val="right"/>
              <w:rPr>
                <w:szCs w:val="27"/>
              </w:rPr>
            </w:pPr>
            <w:r>
              <w:rPr>
                <w:szCs w:val="27"/>
              </w:rPr>
              <w:t>372</w:t>
            </w:r>
          </w:p>
        </w:tc>
        <w:tc>
          <w:tcPr>
            <w:tcW w:w="1984" w:type="dxa"/>
            <w:tcBorders/>
            <w:vAlign w:val="center"/>
          </w:tcPr>
          <w:p>
            <w:pPr>
              <w:pStyle w:val="F21"/>
              <w:spacing w:lineRule="atLeast" w:line="380"/>
              <w:ind w:right="748" w:hanging="0"/>
              <w:jc w:val="right"/>
              <w:rPr>
                <w:szCs w:val="27"/>
              </w:rPr>
            </w:pPr>
            <w:r>
              <w:rPr>
                <w:szCs w:val="27"/>
              </w:rPr>
              <w:t>478</w:t>
            </w:r>
          </w:p>
        </w:tc>
        <w:tc>
          <w:tcPr>
            <w:tcW w:w="2414" w:type="dxa"/>
            <w:tcBorders/>
            <w:vAlign w:val="center"/>
          </w:tcPr>
          <w:p>
            <w:pPr>
              <w:pStyle w:val="F21"/>
              <w:spacing w:lineRule="atLeast" w:line="380"/>
              <w:ind w:right="958" w:hanging="0"/>
              <w:jc w:val="right"/>
              <w:rPr>
                <w:szCs w:val="27"/>
              </w:rPr>
            </w:pPr>
            <w:r>
              <w:rPr>
                <w:szCs w:val="27"/>
              </w:rPr>
              <w:t>474</w:t>
            </w:r>
          </w:p>
        </w:tc>
      </w:tr>
    </w:tbl>
    <w:p>
      <w:pPr>
        <w:pStyle w:val="F21"/>
        <w:spacing w:lineRule="atLeast" w:line="380"/>
        <w:ind w:left="1418" w:hanging="851"/>
        <w:rPr>
          <w:szCs w:val="27"/>
        </w:rPr>
      </w:pPr>
      <w:r>
        <w:rPr>
          <w:szCs w:val="27"/>
        </w:rPr>
      </w:r>
    </w:p>
    <w:p>
      <w:pPr>
        <w:pStyle w:val="F21"/>
        <w:spacing w:lineRule="atLeast" w:line="380"/>
        <w:ind w:left="1418" w:hanging="851"/>
        <w:rPr>
          <w:szCs w:val="27"/>
        </w:rPr>
      </w:pPr>
      <w:r>
        <w:rPr>
          <w:szCs w:val="27"/>
        </w:rPr>
        <w:t>(</w:t>
      </w:r>
      <w:r>
        <w:rPr>
          <w:szCs w:val="27"/>
        </w:rPr>
        <w:t>二</w:t>
      </w:r>
      <w:r>
        <w:rPr>
          <w:szCs w:val="27"/>
        </w:rPr>
        <w:t>)</w:t>
      </w:r>
      <w:r>
        <w:rPr>
          <w:szCs w:val="27"/>
        </w:rPr>
        <w:t>及</w:t>
      </w:r>
      <w:r>
        <w:rPr>
          <w:szCs w:val="27"/>
        </w:rPr>
        <w:t>(</w:t>
      </w:r>
      <w:r>
        <w:rPr>
          <w:szCs w:val="27"/>
        </w:rPr>
        <w:t>三</w:t>
      </w:r>
      <w:r>
        <w:rPr>
          <w:szCs w:val="27"/>
        </w:rPr>
        <w:t>)</w:t>
      </w:r>
    </w:p>
    <w:p>
      <w:pPr>
        <w:pStyle w:val="F21"/>
        <w:spacing w:lineRule="atLeast" w:line="380"/>
        <w:ind w:left="1418" w:hanging="851"/>
        <w:rPr>
          <w:szCs w:val="27"/>
        </w:rPr>
      </w:pPr>
      <w:r>
        <w:rPr>
          <w:szCs w:val="27"/>
        </w:rPr>
      </w:r>
    </w:p>
    <w:p>
      <w:pPr>
        <w:pStyle w:val="F21"/>
        <w:spacing w:lineRule="atLeast" w:line="380"/>
        <w:ind w:left="1418" w:hanging="851"/>
        <w:rPr>
          <w:szCs w:val="27"/>
        </w:rPr>
      </w:pPr>
      <w:r>
        <w:rPr>
          <w:szCs w:val="27"/>
        </w:rPr>
        <w:tab/>
      </w:r>
      <w:r>
        <w:rPr>
          <w:szCs w:val="27"/>
        </w:rPr>
        <w:t>食環署已設立</w:t>
      </w:r>
      <w:r>
        <w:rPr>
          <w:szCs w:val="27"/>
        </w:rPr>
        <w:t>19</w:t>
      </w:r>
      <w:r>
        <w:rPr>
          <w:szCs w:val="27"/>
        </w:rPr>
        <w:t>支專責執法小隊，主要負責加強對違反公眾地方潔淨法例</w:t>
      </w:r>
      <w:r>
        <w:rPr>
          <w:szCs w:val="27"/>
        </w:rPr>
        <w:t>(</w:t>
      </w:r>
      <w:r>
        <w:rPr>
          <w:szCs w:val="27"/>
        </w:rPr>
        <w:t>包括餵飼雀鳥致弄污公眾地方的人士</w:t>
      </w:r>
      <w:r>
        <w:rPr>
          <w:szCs w:val="27"/>
        </w:rPr>
        <w:t>)</w:t>
      </w:r>
      <w:r>
        <w:rPr>
          <w:szCs w:val="27"/>
        </w:rPr>
        <w:t>採取執法行動，並計劃在</w:t>
      </w:r>
      <w:r>
        <w:rPr>
          <w:szCs w:val="27"/>
        </w:rPr>
        <w:t>2019</w:t>
      </w:r>
      <w:r>
        <w:rPr>
          <w:szCs w:val="27"/>
        </w:rPr>
        <w:t>年再增設專責執法小隊。除恆常的執法行動外，食環署亦會安排專責執法小隊進行突擊檢控行動，遏止餵飼雀鳥致弄污公眾地方的違法行為。</w:t>
      </w:r>
    </w:p>
    <w:p>
      <w:pPr>
        <w:pStyle w:val="F21"/>
        <w:spacing w:lineRule="atLeast" w:line="380"/>
        <w:ind w:left="1418" w:hanging="851"/>
        <w:rPr>
          <w:szCs w:val="27"/>
        </w:rPr>
      </w:pPr>
      <w:r>
        <w:rPr>
          <w:szCs w:val="27"/>
        </w:rPr>
      </w:r>
    </w:p>
    <w:p>
      <w:pPr>
        <w:pStyle w:val="F21"/>
        <w:spacing w:lineRule="atLeast" w:line="380"/>
        <w:ind w:left="1418" w:hanging="851"/>
        <w:rPr>
          <w:szCs w:val="27"/>
        </w:rPr>
      </w:pPr>
      <w:r>
        <w:rPr>
          <w:szCs w:val="27"/>
        </w:rPr>
        <w:tab/>
      </w:r>
      <w:r>
        <w:rPr>
          <w:szCs w:val="27"/>
        </w:rPr>
        <w:t>除提供恆常的街道清掃及清洗服務外，食環署會按實際情況加強清洗街道，並使用稀釋漂白水消毒野鳥聚集的公眾地方，以保持環境整潔衞生。</w:t>
      </w:r>
    </w:p>
    <w:p>
      <w:pPr>
        <w:pStyle w:val="F21"/>
        <w:spacing w:lineRule="atLeast" w:line="380"/>
        <w:ind w:left="1418" w:hanging="851"/>
        <w:rPr>
          <w:szCs w:val="27"/>
        </w:rPr>
      </w:pPr>
      <w:r>
        <w:rPr>
          <w:szCs w:val="27"/>
        </w:rPr>
      </w:r>
    </w:p>
    <w:p>
      <w:pPr>
        <w:pStyle w:val="F21"/>
        <w:spacing w:lineRule="atLeast" w:line="380"/>
        <w:ind w:left="1418" w:hanging="851"/>
        <w:rPr>
          <w:szCs w:val="27"/>
        </w:rPr>
      </w:pPr>
      <w:r>
        <w:rPr>
          <w:szCs w:val="27"/>
        </w:rPr>
        <w:tab/>
      </w:r>
      <w:r>
        <w:rPr>
          <w:szCs w:val="27"/>
        </w:rPr>
        <w:t>加建圍網的建議須由相關地點的管理者考慮決定。如餵飼活動持續，在固定地方加建圍網後雀鳥仍會停留於附近，未必是應對可隨處轉移的餵飼行為的治本之道。透過加強公眾教育，提升市民不要餵飼雀鳥的意識才能根本地解決問題。</w:t>
      </w:r>
    </w:p>
    <w:p>
      <w:pPr>
        <w:pStyle w:val="F21"/>
        <w:spacing w:lineRule="atLeast" w:line="380"/>
        <w:ind w:left="1418" w:hanging="851"/>
        <w:rPr>
          <w:szCs w:val="27"/>
        </w:rPr>
      </w:pPr>
      <w:r>
        <w:rPr>
          <w:szCs w:val="27"/>
        </w:rPr>
      </w:r>
    </w:p>
    <w:p>
      <w:pPr>
        <w:pStyle w:val="F21"/>
        <w:spacing w:lineRule="atLeast" w:line="380"/>
        <w:ind w:left="1418" w:hanging="851"/>
        <w:rPr>
          <w:szCs w:val="27"/>
        </w:rPr>
      </w:pPr>
      <w:r>
        <w:rPr>
          <w:szCs w:val="27"/>
        </w:rPr>
        <w:tab/>
      </w:r>
      <w:r>
        <w:rPr>
          <w:szCs w:val="27"/>
        </w:rPr>
        <w:t>食環署一直透過不同的渠道，包括豎立警告牌、派發小冊子等，呼籲市民切勿餵飼野生雀鳥，並且要注意環境衞生，從而避免吸引雀鳥聚集。</w:t>
      </w:r>
    </w:p>
    <w:p>
      <w:pPr>
        <w:pStyle w:val="F21"/>
        <w:spacing w:lineRule="atLeast" w:line="380"/>
        <w:ind w:left="1418" w:hanging="851"/>
        <w:rPr>
          <w:szCs w:val="27"/>
        </w:rPr>
      </w:pPr>
      <w:r>
        <w:rPr>
          <w:szCs w:val="27"/>
        </w:rPr>
      </w:r>
    </w:p>
    <w:p>
      <w:pPr>
        <w:pStyle w:val="F21"/>
        <w:spacing w:lineRule="atLeast" w:line="380"/>
        <w:ind w:left="1418" w:hanging="851"/>
        <w:rPr>
          <w:szCs w:val="27"/>
        </w:rPr>
      </w:pPr>
      <w:r>
        <w:rPr>
          <w:szCs w:val="27"/>
        </w:rPr>
        <w:tab/>
      </w:r>
      <w:r>
        <w:rPr>
          <w:szCs w:val="27"/>
        </w:rPr>
        <w:t>此外，漁農自然護理署會繼續從不同渠道教育市民切勿餵飼雀鳥，包括在不同媒體或平台播放新製作的電視宣傳片、電台宣傳聲帶及微電影等，並已開設專題網頁</w:t>
      </w:r>
      <w:r>
        <w:rPr>
          <w:szCs w:val="27"/>
        </w:rPr>
        <w:t>(</w:t>
      </w:r>
      <w:r>
        <w:rPr>
          <w:szCs w:val="27"/>
        </w:rPr>
        <w:t>網‍址</w:t>
      </w:r>
      <w:r>
        <w:rPr>
          <w:szCs w:val="27"/>
        </w:rPr>
        <w:t>:&lt;http://nofeeding.afcd.gov.hk/&gt;)</w:t>
      </w:r>
      <w:r>
        <w:rPr>
          <w:szCs w:val="27"/>
        </w:rPr>
        <w:t>配合宣傳。此外，該署亦已製作全新的宣傳橫額、海報、小冊子，於雀鳥聚集點懸掛及提供予各部門和私人屋苑張貼及派發，並會繼續於不同地區舉行巡迴展覽。</w:t>
      </w:r>
    </w:p>
    <w:p>
      <w:pPr>
        <w:pStyle w:val="Normal"/>
        <w:widowControl/>
        <w:tabs>
          <w:tab w:val="clear" w:pos="720"/>
        </w:tabs>
        <w:snapToGrid w:val="true"/>
        <w:spacing w:lineRule="auto" w:line="276" w:before="0" w:after="200"/>
        <w:jc w:val="left"/>
        <w:rPr>
          <w:rFonts w:cs="" w:cstheme="minorBidi"/>
          <w:spacing w:val="20"/>
          <w:sz w:val="27"/>
          <w:szCs w:val="27"/>
          <w:lang w:val="en-US"/>
        </w:rPr>
      </w:pPr>
      <w:r>
        <w:rPr>
          <w:rFonts w:cs="" w:cstheme="minorBidi"/>
          <w:spacing w:val="20"/>
          <w:sz w:val="27"/>
          <w:szCs w:val="27"/>
          <w:lang w:val="en-US"/>
        </w:rPr>
      </w:r>
      <w:r>
        <w:br w:type="page"/>
      </w:r>
    </w:p>
    <w:p>
      <w:pPr>
        <w:pStyle w:val="F21"/>
        <w:overflowPunct w:val="true"/>
        <w:rPr>
          <w:rFonts w:eastAsia="華康中黑體" w:cs="Times New Roman"/>
          <w:b/>
          <w:b/>
        </w:rPr>
      </w:pPr>
      <w:bookmarkStart w:id="41" w:name="wrq14"/>
      <w:r>
        <w:rPr>
          <w:rFonts w:cs="Times New Roman" w:eastAsia="華康中黑體"/>
          <w:b/>
        </w:rPr>
        <w:t>建造業的人力資源情況</w:t>
      </w:r>
    </w:p>
    <w:p>
      <w:pPr>
        <w:pStyle w:val="Normal"/>
        <w:overflowPunct w:val="true"/>
        <w:rPr>
          <w:b/>
          <w:b/>
        </w:rPr>
      </w:pPr>
      <w:bookmarkStart w:id="42" w:name="wrq14"/>
      <w:r>
        <w:rPr>
          <w:b/>
        </w:rPr>
        <w:t>Manpower situation of the construction industry</w:t>
      </w:r>
      <w:bookmarkEnd w:id="42"/>
    </w:p>
    <w:p>
      <w:pPr>
        <w:pStyle w:val="F21"/>
        <w:overflowPunct w:val="true"/>
        <w:rPr>
          <w:rFonts w:cs="Times New Roman"/>
        </w:rPr>
      </w:pPr>
      <w:r>
        <w:rPr>
          <w:rFonts w:cs="Times New Roman"/>
        </w:rPr>
      </w:r>
    </w:p>
    <w:p>
      <w:pPr>
        <w:pStyle w:val="F21"/>
        <w:rPr>
          <w:i/>
          <w:i/>
          <w:szCs w:val="27"/>
        </w:rPr>
      </w:pPr>
      <w:r>
        <w:rPr>
          <w:rFonts w:eastAsia="華康中黑體" w:cs="Times New Roman"/>
          <w:b/>
          <w:szCs w:val="27"/>
        </w:rPr>
        <w:t>14.</w:t>
        <w:tab/>
      </w:r>
      <w:r>
        <w:rPr>
          <w:rFonts w:cs="Times New Roman" w:eastAsia="華康中黑體"/>
          <w:b/>
          <w:szCs w:val="27"/>
        </w:rPr>
        <w:t>何啟明議員</w:t>
      </w:r>
      <w:r>
        <w:rPr>
          <w:szCs w:val="27"/>
        </w:rPr>
        <w:t>：</w:t>
      </w:r>
      <w:r>
        <w:rPr>
          <w:i/>
          <w:szCs w:val="27"/>
        </w:rPr>
        <w:t>主席，建造業議會於</w:t>
      </w:r>
      <w:r>
        <w:rPr>
          <w:i/>
          <w:szCs w:val="27"/>
        </w:rPr>
        <w:t>2014</w:t>
      </w:r>
      <w:r>
        <w:rPr>
          <w:i/>
          <w:szCs w:val="27"/>
        </w:rPr>
        <w:t>年制訂了一份涉及</w:t>
      </w:r>
      <w:r>
        <w:rPr>
          <w:i/>
          <w:szCs w:val="27"/>
        </w:rPr>
        <w:t>26</w:t>
      </w:r>
      <w:r>
        <w:rPr>
          <w:i/>
          <w:szCs w:val="27"/>
        </w:rPr>
        <w:t>個建造業工種的勞動力供應名單。就此，政府可否告知本會：</w:t>
      </w:r>
    </w:p>
    <w:p>
      <w:pPr>
        <w:pStyle w:val="F21"/>
        <w:rPr>
          <w:i/>
          <w:i/>
          <w:szCs w:val="27"/>
        </w:rPr>
      </w:pPr>
      <w:r>
        <w:rPr>
          <w:i/>
          <w:szCs w:val="27"/>
        </w:rPr>
      </w:r>
    </w:p>
    <w:p>
      <w:pPr>
        <w:pStyle w:val="F21"/>
        <w:ind w:left="1418" w:hanging="851"/>
        <w:rPr>
          <w:i/>
          <w:i/>
          <w:szCs w:val="27"/>
        </w:rPr>
      </w:pPr>
      <w:r>
        <w:rPr>
          <w:i/>
          <w:szCs w:val="27"/>
        </w:rPr>
        <w:t>(</w:t>
      </w:r>
      <w:r>
        <w:rPr>
          <w:i/>
          <w:szCs w:val="27"/>
        </w:rPr>
        <w:t>一</w:t>
      </w:r>
      <w:r>
        <w:rPr>
          <w:i/>
          <w:szCs w:val="27"/>
        </w:rPr>
        <w:t>)</w:t>
        <w:tab/>
      </w:r>
      <w:r>
        <w:rPr>
          <w:i/>
          <w:szCs w:val="27"/>
        </w:rPr>
        <w:t>是否知悉，目前該</w:t>
      </w:r>
      <w:r>
        <w:rPr>
          <w:i/>
          <w:szCs w:val="27"/>
        </w:rPr>
        <w:t>26</w:t>
      </w:r>
      <w:r>
        <w:rPr>
          <w:i/>
          <w:szCs w:val="27"/>
        </w:rPr>
        <w:t>個工種每個的</w:t>
      </w:r>
      <w:r>
        <w:rPr>
          <w:i/>
          <w:szCs w:val="27"/>
        </w:rPr>
        <w:t>(i)</w:t>
      </w:r>
      <w:r>
        <w:rPr>
          <w:i/>
          <w:szCs w:val="27"/>
        </w:rPr>
        <w:t>僱用工人形式</w:t>
      </w:r>
      <w:r>
        <w:rPr>
          <w:i/>
          <w:szCs w:val="27"/>
        </w:rPr>
        <w:t>(</w:t>
      </w:r>
      <w:r>
        <w:rPr>
          <w:i/>
          <w:szCs w:val="27"/>
        </w:rPr>
        <w:t>即受僱或自僱</w:t>
      </w:r>
      <w:r>
        <w:rPr>
          <w:i/>
          <w:szCs w:val="27"/>
        </w:rPr>
        <w:t>)</w:t>
      </w:r>
      <w:r>
        <w:rPr>
          <w:i/>
          <w:szCs w:val="27"/>
        </w:rPr>
        <w:t>、</w:t>
      </w:r>
      <w:r>
        <w:rPr>
          <w:i/>
          <w:szCs w:val="27"/>
        </w:rPr>
        <w:t>(ii)</w:t>
      </w:r>
      <w:r>
        <w:rPr>
          <w:i/>
          <w:szCs w:val="27"/>
        </w:rPr>
        <w:t>薪酬計算方法，以及</w:t>
      </w:r>
      <w:r>
        <w:rPr>
          <w:i/>
          <w:szCs w:val="27"/>
        </w:rPr>
        <w:t>(iii)</w:t>
      </w:r>
      <w:r>
        <w:rPr>
          <w:i/>
          <w:szCs w:val="27"/>
        </w:rPr>
        <w:t>平均每名工人每周工作的時數，並以表一列出該等資料；</w:t>
      </w:r>
    </w:p>
    <w:p>
      <w:pPr>
        <w:pStyle w:val="F21"/>
        <w:ind w:left="1418" w:hanging="851"/>
        <w:rPr>
          <w:i/>
          <w:i/>
          <w:szCs w:val="27"/>
        </w:rPr>
      </w:pPr>
      <w:r>
        <w:rPr>
          <w:i/>
          <w:szCs w:val="27"/>
        </w:rPr>
      </w:r>
    </w:p>
    <w:p>
      <w:pPr>
        <w:pStyle w:val="F21"/>
        <w:ind w:left="1418" w:hanging="851"/>
        <w:rPr>
          <w:i/>
          <w:i/>
          <w:szCs w:val="27"/>
        </w:rPr>
      </w:pPr>
      <w:r>
        <w:rPr>
          <w:i/>
          <w:szCs w:val="27"/>
        </w:rPr>
        <w:tab/>
      </w:r>
      <w:r>
        <w:rPr>
          <w:i/>
          <w:szCs w:val="27"/>
        </w:rPr>
        <w:t>表一</w:t>
      </w:r>
    </w:p>
    <w:tbl>
      <w:tblPr>
        <w:tblStyle w:val="a9"/>
        <w:tblW w:w="7804" w:type="dxa"/>
        <w:jc w:val="left"/>
        <w:tblInd w:w="1418" w:type="dxa"/>
        <w:tblCellMar>
          <w:top w:w="0" w:type="dxa"/>
          <w:left w:w="108" w:type="dxa"/>
          <w:bottom w:w="0" w:type="dxa"/>
          <w:right w:w="108" w:type="dxa"/>
        </w:tblCellMar>
        <w:tblLook w:val="04a0" w:noHBand="0" w:noVBand="1" w:firstColumn="1" w:lastRow="0" w:lastColumn="0" w:firstRow="1"/>
      </w:tblPr>
      <w:tblGrid>
        <w:gridCol w:w="2839"/>
        <w:gridCol w:w="1655"/>
        <w:gridCol w:w="1655"/>
        <w:gridCol w:w="1654"/>
      </w:tblGrid>
      <w:tr>
        <w:trPr/>
        <w:tc>
          <w:tcPr>
            <w:tcW w:w="2839" w:type="dxa"/>
            <w:tcBorders/>
            <w:vAlign w:val="center"/>
          </w:tcPr>
          <w:p>
            <w:pPr>
              <w:pStyle w:val="F21"/>
              <w:tabs>
                <w:tab w:val="clear" w:pos="567"/>
              </w:tabs>
              <w:ind w:left="57" w:right="57" w:hanging="0"/>
              <w:jc w:val="center"/>
              <w:rPr>
                <w:i/>
                <w:i/>
                <w:szCs w:val="27"/>
              </w:rPr>
            </w:pPr>
            <w:r>
              <w:rPr>
                <w:i/>
                <w:szCs w:val="27"/>
              </w:rPr>
              <w:t>工種</w:t>
            </w:r>
          </w:p>
        </w:tc>
        <w:tc>
          <w:tcPr>
            <w:tcW w:w="1655" w:type="dxa"/>
            <w:tcBorders/>
            <w:vAlign w:val="center"/>
          </w:tcPr>
          <w:p>
            <w:pPr>
              <w:pStyle w:val="F21"/>
              <w:tabs>
                <w:tab w:val="clear" w:pos="567"/>
              </w:tabs>
              <w:ind w:left="57" w:right="57" w:hanging="0"/>
              <w:jc w:val="center"/>
              <w:rPr>
                <w:i/>
                <w:i/>
                <w:szCs w:val="27"/>
              </w:rPr>
            </w:pPr>
            <w:r>
              <w:rPr>
                <w:i/>
                <w:szCs w:val="27"/>
              </w:rPr>
              <w:t>(i)</w:t>
            </w:r>
          </w:p>
        </w:tc>
        <w:tc>
          <w:tcPr>
            <w:tcW w:w="1655" w:type="dxa"/>
            <w:tcBorders/>
            <w:vAlign w:val="center"/>
          </w:tcPr>
          <w:p>
            <w:pPr>
              <w:pStyle w:val="F21"/>
              <w:ind w:left="57" w:right="57" w:hanging="0"/>
              <w:jc w:val="center"/>
              <w:rPr>
                <w:i/>
                <w:i/>
                <w:szCs w:val="27"/>
              </w:rPr>
            </w:pPr>
            <w:r>
              <w:rPr>
                <w:i/>
                <w:szCs w:val="27"/>
              </w:rPr>
              <w:t>(ii)</w:t>
            </w:r>
          </w:p>
        </w:tc>
        <w:tc>
          <w:tcPr>
            <w:tcW w:w="1654" w:type="dxa"/>
            <w:tcBorders/>
            <w:vAlign w:val="center"/>
          </w:tcPr>
          <w:p>
            <w:pPr>
              <w:pStyle w:val="F21"/>
              <w:ind w:left="57" w:right="57" w:hanging="0"/>
              <w:jc w:val="center"/>
              <w:rPr>
                <w:i/>
                <w:i/>
                <w:szCs w:val="27"/>
              </w:rPr>
            </w:pPr>
            <w:r>
              <w:rPr>
                <w:i/>
                <w:szCs w:val="27"/>
              </w:rPr>
              <w:t>(iii)</w:t>
            </w:r>
          </w:p>
        </w:tc>
      </w:tr>
      <w:tr>
        <w:trPr/>
        <w:tc>
          <w:tcPr>
            <w:tcW w:w="2839" w:type="dxa"/>
            <w:tcBorders/>
          </w:tcPr>
          <w:p>
            <w:pPr>
              <w:pStyle w:val="F21"/>
              <w:tabs>
                <w:tab w:val="clear" w:pos="567"/>
              </w:tabs>
              <w:ind w:left="57" w:right="57" w:hanging="0"/>
              <w:rPr>
                <w:i/>
                <w:i/>
                <w:szCs w:val="27"/>
              </w:rPr>
            </w:pPr>
            <w:r>
              <w:rPr>
                <w:i/>
                <w:szCs w:val="27"/>
              </w:rPr>
              <w:t>1.</w:t>
              <w:tab/>
            </w:r>
            <w:r>
              <w:rPr>
                <w:i/>
                <w:szCs w:val="27"/>
              </w:rPr>
              <w:t>鋼筋屈紮工</w:t>
            </w:r>
          </w:p>
        </w:tc>
        <w:tc>
          <w:tcPr>
            <w:tcW w:w="1655" w:type="dxa"/>
            <w:tcBorders/>
          </w:tcPr>
          <w:p>
            <w:pPr>
              <w:pStyle w:val="F21"/>
              <w:tabs>
                <w:tab w:val="clear" w:pos="567"/>
              </w:tabs>
              <w:ind w:left="57" w:right="57" w:hanging="0"/>
              <w:rPr>
                <w:i/>
                <w:i/>
                <w:szCs w:val="27"/>
              </w:rPr>
            </w:pPr>
            <w:r>
              <w:rPr>
                <w:i/>
                <w:szCs w:val="27"/>
              </w:rPr>
            </w:r>
          </w:p>
        </w:tc>
        <w:tc>
          <w:tcPr>
            <w:tcW w:w="1655" w:type="dxa"/>
            <w:tcBorders/>
          </w:tcPr>
          <w:p>
            <w:pPr>
              <w:pStyle w:val="F21"/>
              <w:ind w:left="57" w:right="57" w:hanging="0"/>
              <w:rPr>
                <w:i/>
                <w:i/>
                <w:szCs w:val="27"/>
              </w:rPr>
            </w:pPr>
            <w:r>
              <w:rPr>
                <w:i/>
                <w:szCs w:val="27"/>
              </w:rPr>
            </w:r>
          </w:p>
        </w:tc>
        <w:tc>
          <w:tcPr>
            <w:tcW w:w="1654" w:type="dxa"/>
            <w:tcBorders/>
          </w:tcPr>
          <w:p>
            <w:pPr>
              <w:pStyle w:val="F21"/>
              <w:ind w:left="57" w:right="57" w:hanging="0"/>
              <w:rPr>
                <w:i/>
                <w:i/>
                <w:szCs w:val="27"/>
              </w:rPr>
            </w:pPr>
            <w:r>
              <w:rPr>
                <w:i/>
                <w:szCs w:val="27"/>
              </w:rPr>
            </w:r>
          </w:p>
        </w:tc>
      </w:tr>
      <w:tr>
        <w:trPr/>
        <w:tc>
          <w:tcPr>
            <w:tcW w:w="2839" w:type="dxa"/>
            <w:tcBorders/>
          </w:tcPr>
          <w:p>
            <w:pPr>
              <w:pStyle w:val="F21"/>
              <w:tabs>
                <w:tab w:val="clear" w:pos="567"/>
              </w:tabs>
              <w:ind w:left="57" w:right="57" w:hanging="0"/>
              <w:rPr>
                <w:i/>
                <w:i/>
                <w:szCs w:val="27"/>
              </w:rPr>
            </w:pPr>
            <w:r>
              <w:rPr>
                <w:i/>
                <w:szCs w:val="27"/>
              </w:rPr>
              <w:t>2.</w:t>
              <w:tab/>
            </w:r>
            <w:r>
              <w:rPr>
                <w:i/>
                <w:szCs w:val="27"/>
              </w:rPr>
              <w:t>木模板工</w:t>
            </w:r>
          </w:p>
        </w:tc>
        <w:tc>
          <w:tcPr>
            <w:tcW w:w="1655" w:type="dxa"/>
            <w:tcBorders/>
          </w:tcPr>
          <w:p>
            <w:pPr>
              <w:pStyle w:val="F21"/>
              <w:tabs>
                <w:tab w:val="clear" w:pos="567"/>
              </w:tabs>
              <w:ind w:left="57" w:right="57" w:hanging="0"/>
              <w:rPr>
                <w:i/>
                <w:i/>
                <w:szCs w:val="27"/>
              </w:rPr>
            </w:pPr>
            <w:r>
              <w:rPr>
                <w:i/>
                <w:szCs w:val="27"/>
              </w:rPr>
            </w:r>
          </w:p>
        </w:tc>
        <w:tc>
          <w:tcPr>
            <w:tcW w:w="1655" w:type="dxa"/>
            <w:tcBorders/>
          </w:tcPr>
          <w:p>
            <w:pPr>
              <w:pStyle w:val="F21"/>
              <w:ind w:left="57" w:right="57" w:hanging="0"/>
              <w:rPr>
                <w:i/>
                <w:i/>
                <w:szCs w:val="27"/>
              </w:rPr>
            </w:pPr>
            <w:r>
              <w:rPr>
                <w:i/>
                <w:szCs w:val="27"/>
              </w:rPr>
            </w:r>
          </w:p>
        </w:tc>
        <w:tc>
          <w:tcPr>
            <w:tcW w:w="1654" w:type="dxa"/>
            <w:tcBorders/>
          </w:tcPr>
          <w:p>
            <w:pPr>
              <w:pStyle w:val="F21"/>
              <w:ind w:left="57" w:right="57" w:hanging="0"/>
              <w:rPr>
                <w:i/>
                <w:i/>
                <w:szCs w:val="27"/>
              </w:rPr>
            </w:pPr>
            <w:r>
              <w:rPr>
                <w:i/>
                <w:szCs w:val="27"/>
              </w:rPr>
            </w:r>
          </w:p>
        </w:tc>
      </w:tr>
      <w:tr>
        <w:trPr/>
        <w:tc>
          <w:tcPr>
            <w:tcW w:w="2839" w:type="dxa"/>
            <w:tcBorders/>
          </w:tcPr>
          <w:p>
            <w:pPr>
              <w:pStyle w:val="F21"/>
              <w:tabs>
                <w:tab w:val="clear" w:pos="567"/>
              </w:tabs>
              <w:ind w:left="57" w:right="57" w:hanging="0"/>
              <w:rPr>
                <w:i/>
                <w:i/>
                <w:szCs w:val="27"/>
              </w:rPr>
            </w:pPr>
            <w:r>
              <w:rPr>
                <w:i/>
                <w:szCs w:val="27"/>
              </w:rPr>
              <w:t>...</w:t>
            </w:r>
          </w:p>
        </w:tc>
        <w:tc>
          <w:tcPr>
            <w:tcW w:w="1655" w:type="dxa"/>
            <w:tcBorders/>
          </w:tcPr>
          <w:p>
            <w:pPr>
              <w:pStyle w:val="F21"/>
              <w:tabs>
                <w:tab w:val="clear" w:pos="567"/>
              </w:tabs>
              <w:ind w:left="57" w:right="57" w:hanging="0"/>
              <w:rPr>
                <w:i/>
                <w:i/>
                <w:szCs w:val="27"/>
              </w:rPr>
            </w:pPr>
            <w:r>
              <w:rPr>
                <w:i/>
                <w:szCs w:val="27"/>
              </w:rPr>
            </w:r>
          </w:p>
        </w:tc>
        <w:tc>
          <w:tcPr>
            <w:tcW w:w="1655" w:type="dxa"/>
            <w:tcBorders/>
          </w:tcPr>
          <w:p>
            <w:pPr>
              <w:pStyle w:val="F21"/>
              <w:ind w:left="57" w:right="57" w:hanging="0"/>
              <w:rPr>
                <w:i/>
                <w:i/>
                <w:szCs w:val="27"/>
              </w:rPr>
            </w:pPr>
            <w:r>
              <w:rPr>
                <w:i/>
                <w:szCs w:val="27"/>
              </w:rPr>
            </w:r>
          </w:p>
        </w:tc>
        <w:tc>
          <w:tcPr>
            <w:tcW w:w="1654" w:type="dxa"/>
            <w:tcBorders/>
          </w:tcPr>
          <w:p>
            <w:pPr>
              <w:pStyle w:val="F21"/>
              <w:ind w:left="57" w:right="57" w:hanging="0"/>
              <w:rPr>
                <w:i/>
                <w:i/>
                <w:szCs w:val="27"/>
              </w:rPr>
            </w:pPr>
            <w:r>
              <w:rPr>
                <w:i/>
                <w:szCs w:val="27"/>
              </w:rPr>
            </w:r>
          </w:p>
        </w:tc>
      </w:tr>
      <w:tr>
        <w:trPr/>
        <w:tc>
          <w:tcPr>
            <w:tcW w:w="2839" w:type="dxa"/>
            <w:tcBorders/>
          </w:tcPr>
          <w:p>
            <w:pPr>
              <w:pStyle w:val="F21"/>
              <w:tabs>
                <w:tab w:val="clear" w:pos="567"/>
              </w:tabs>
              <w:ind w:left="57" w:right="57" w:hanging="0"/>
              <w:rPr>
                <w:i/>
                <w:i/>
                <w:szCs w:val="27"/>
              </w:rPr>
            </w:pPr>
            <w:r>
              <w:rPr>
                <w:i/>
                <w:szCs w:val="27"/>
              </w:rPr>
              <w:t>25.</w:t>
              <w:tab/>
            </w:r>
            <w:r>
              <w:rPr>
                <w:i/>
                <w:szCs w:val="27"/>
              </w:rPr>
              <w:t>鋪軌工</w:t>
            </w:r>
          </w:p>
        </w:tc>
        <w:tc>
          <w:tcPr>
            <w:tcW w:w="1655" w:type="dxa"/>
            <w:tcBorders/>
          </w:tcPr>
          <w:p>
            <w:pPr>
              <w:pStyle w:val="F21"/>
              <w:tabs>
                <w:tab w:val="clear" w:pos="567"/>
              </w:tabs>
              <w:ind w:left="57" w:right="57" w:hanging="0"/>
              <w:rPr>
                <w:i/>
                <w:i/>
                <w:szCs w:val="27"/>
              </w:rPr>
            </w:pPr>
            <w:r>
              <w:rPr>
                <w:i/>
                <w:szCs w:val="27"/>
              </w:rPr>
            </w:r>
          </w:p>
        </w:tc>
        <w:tc>
          <w:tcPr>
            <w:tcW w:w="1655" w:type="dxa"/>
            <w:tcBorders/>
          </w:tcPr>
          <w:p>
            <w:pPr>
              <w:pStyle w:val="F21"/>
              <w:ind w:left="57" w:right="57" w:hanging="0"/>
              <w:rPr>
                <w:i/>
                <w:i/>
                <w:szCs w:val="27"/>
              </w:rPr>
            </w:pPr>
            <w:r>
              <w:rPr>
                <w:i/>
                <w:szCs w:val="27"/>
              </w:rPr>
            </w:r>
          </w:p>
        </w:tc>
        <w:tc>
          <w:tcPr>
            <w:tcW w:w="1654" w:type="dxa"/>
            <w:tcBorders/>
          </w:tcPr>
          <w:p>
            <w:pPr>
              <w:pStyle w:val="F21"/>
              <w:ind w:left="57" w:right="57" w:hanging="0"/>
              <w:rPr>
                <w:i/>
                <w:i/>
                <w:szCs w:val="27"/>
              </w:rPr>
            </w:pPr>
            <w:r>
              <w:rPr>
                <w:i/>
                <w:szCs w:val="27"/>
              </w:rPr>
            </w:r>
          </w:p>
        </w:tc>
      </w:tr>
      <w:tr>
        <w:trPr/>
        <w:tc>
          <w:tcPr>
            <w:tcW w:w="2839" w:type="dxa"/>
            <w:tcBorders/>
          </w:tcPr>
          <w:p>
            <w:pPr>
              <w:pStyle w:val="F21"/>
              <w:tabs>
                <w:tab w:val="clear" w:pos="567"/>
              </w:tabs>
              <w:ind w:left="57" w:right="57" w:hanging="0"/>
              <w:rPr>
                <w:i/>
                <w:i/>
                <w:szCs w:val="27"/>
              </w:rPr>
            </w:pPr>
            <w:r>
              <w:rPr>
                <w:i/>
                <w:szCs w:val="27"/>
              </w:rPr>
              <w:t>26.</w:t>
              <w:tab/>
            </w:r>
            <w:r>
              <w:rPr>
                <w:i/>
                <w:szCs w:val="27"/>
              </w:rPr>
              <w:t>爆石工</w:t>
            </w:r>
          </w:p>
        </w:tc>
        <w:tc>
          <w:tcPr>
            <w:tcW w:w="1655" w:type="dxa"/>
            <w:tcBorders/>
          </w:tcPr>
          <w:p>
            <w:pPr>
              <w:pStyle w:val="F21"/>
              <w:tabs>
                <w:tab w:val="clear" w:pos="567"/>
              </w:tabs>
              <w:ind w:left="57" w:right="57" w:hanging="0"/>
              <w:rPr>
                <w:i/>
                <w:i/>
                <w:szCs w:val="27"/>
              </w:rPr>
            </w:pPr>
            <w:r>
              <w:rPr>
                <w:i/>
                <w:szCs w:val="27"/>
              </w:rPr>
            </w:r>
          </w:p>
        </w:tc>
        <w:tc>
          <w:tcPr>
            <w:tcW w:w="1655" w:type="dxa"/>
            <w:tcBorders/>
          </w:tcPr>
          <w:p>
            <w:pPr>
              <w:pStyle w:val="F21"/>
              <w:ind w:left="57" w:right="57" w:hanging="0"/>
              <w:rPr>
                <w:i/>
                <w:i/>
                <w:szCs w:val="27"/>
              </w:rPr>
            </w:pPr>
            <w:r>
              <w:rPr>
                <w:i/>
                <w:szCs w:val="27"/>
              </w:rPr>
            </w:r>
          </w:p>
        </w:tc>
        <w:tc>
          <w:tcPr>
            <w:tcW w:w="1654" w:type="dxa"/>
            <w:tcBorders/>
          </w:tcPr>
          <w:p>
            <w:pPr>
              <w:pStyle w:val="F21"/>
              <w:ind w:left="57" w:right="57" w:hanging="0"/>
              <w:rPr>
                <w:i/>
                <w:i/>
                <w:szCs w:val="27"/>
              </w:rPr>
            </w:pPr>
            <w:r>
              <w:rPr>
                <w:i/>
                <w:szCs w:val="27"/>
              </w:rPr>
            </w:r>
          </w:p>
        </w:tc>
      </w:tr>
    </w:tbl>
    <w:p>
      <w:pPr>
        <w:pStyle w:val="F21"/>
        <w:rPr>
          <w:i/>
          <w:i/>
          <w:szCs w:val="27"/>
        </w:rPr>
      </w:pPr>
      <w:r>
        <w:rPr>
          <w:i/>
          <w:szCs w:val="27"/>
        </w:rPr>
      </w:r>
    </w:p>
    <w:p>
      <w:pPr>
        <w:pStyle w:val="F21"/>
        <w:ind w:left="1418" w:hanging="851"/>
        <w:rPr>
          <w:i/>
          <w:i/>
          <w:szCs w:val="27"/>
        </w:rPr>
      </w:pPr>
      <w:r>
        <w:rPr>
          <w:i/>
          <w:szCs w:val="27"/>
        </w:rPr>
        <w:t>(</w:t>
      </w:r>
      <w:r>
        <w:rPr>
          <w:i/>
          <w:szCs w:val="27"/>
        </w:rPr>
        <w:t>二</w:t>
      </w:r>
      <w:r>
        <w:rPr>
          <w:i/>
          <w:szCs w:val="27"/>
        </w:rPr>
        <w:t>)</w:t>
        <w:tab/>
      </w:r>
      <w:r>
        <w:rPr>
          <w:i/>
          <w:szCs w:val="27"/>
        </w:rPr>
        <w:t>是否知悉，過去</w:t>
      </w:r>
      <w:r>
        <w:rPr>
          <w:i/>
          <w:szCs w:val="27"/>
        </w:rPr>
        <w:t>5</w:t>
      </w:r>
      <w:r>
        <w:rPr>
          <w:i/>
          <w:szCs w:val="27"/>
        </w:rPr>
        <w:t>年，該</w:t>
      </w:r>
      <w:r>
        <w:rPr>
          <w:i/>
          <w:szCs w:val="27"/>
        </w:rPr>
        <w:t>26</w:t>
      </w:r>
      <w:r>
        <w:rPr>
          <w:i/>
          <w:szCs w:val="27"/>
        </w:rPr>
        <w:t>個工種每個每年的</w:t>
      </w:r>
      <w:r>
        <w:rPr>
          <w:i/>
          <w:szCs w:val="27"/>
        </w:rPr>
        <w:t>(i)</w:t>
      </w:r>
      <w:r>
        <w:rPr>
          <w:i/>
          <w:szCs w:val="27"/>
        </w:rPr>
        <w:t>就業人數、</w:t>
      </w:r>
      <w:r>
        <w:rPr>
          <w:i/>
          <w:szCs w:val="27"/>
        </w:rPr>
        <w:t>(ii)</w:t>
      </w:r>
      <w:r>
        <w:rPr>
          <w:i/>
          <w:szCs w:val="27"/>
        </w:rPr>
        <w:t>求職人數、</w:t>
      </w:r>
      <w:r>
        <w:rPr>
          <w:i/>
          <w:szCs w:val="27"/>
        </w:rPr>
        <w:t>(iii)</w:t>
      </w:r>
      <w:r>
        <w:rPr>
          <w:i/>
          <w:szCs w:val="27"/>
        </w:rPr>
        <w:t>職位空缺數目、</w:t>
      </w:r>
      <w:r>
        <w:rPr>
          <w:i/>
          <w:szCs w:val="27"/>
        </w:rPr>
        <w:t>(iv)</w:t>
      </w:r>
      <w:r>
        <w:rPr>
          <w:i/>
          <w:szCs w:val="27"/>
        </w:rPr>
        <w:t>職位空缺率、</w:t>
      </w:r>
      <w:r>
        <w:rPr>
          <w:i/>
          <w:szCs w:val="27"/>
        </w:rPr>
        <w:t>(v)</w:t>
      </w:r>
      <w:r>
        <w:rPr>
          <w:i/>
          <w:szCs w:val="27"/>
        </w:rPr>
        <w:t>工業意外數目，以及</w:t>
      </w:r>
      <w:r>
        <w:rPr>
          <w:i/>
          <w:szCs w:val="27"/>
        </w:rPr>
        <w:t>(vi)</w:t>
      </w:r>
      <w:r>
        <w:rPr>
          <w:i/>
          <w:szCs w:val="27"/>
        </w:rPr>
        <w:t>申請及獲批輸入勞工的數目分別為何，並使用與表二相同格式的表格列出該等數字；</w:t>
      </w:r>
    </w:p>
    <w:p>
      <w:pPr>
        <w:pStyle w:val="F21"/>
        <w:ind w:left="1418" w:hanging="851"/>
        <w:rPr>
          <w:i/>
          <w:i/>
          <w:szCs w:val="27"/>
        </w:rPr>
      </w:pPr>
      <w:r>
        <w:rPr>
          <w:i/>
          <w:szCs w:val="27"/>
        </w:rPr>
      </w:r>
    </w:p>
    <w:p>
      <w:pPr>
        <w:pStyle w:val="F21"/>
        <w:ind w:left="1418" w:hanging="851"/>
        <w:rPr>
          <w:i/>
          <w:i/>
          <w:szCs w:val="27"/>
          <w:u w:val="single"/>
        </w:rPr>
      </w:pPr>
      <w:r>
        <w:rPr>
          <w:i/>
          <w:szCs w:val="27"/>
        </w:rPr>
        <w:tab/>
      </w:r>
      <w:r>
        <w:rPr>
          <w:i/>
          <w:szCs w:val="27"/>
        </w:rPr>
        <w:t>表二　　年份：</w:t>
      </w:r>
      <w:r>
        <w:rPr>
          <w:i/>
          <w:szCs w:val="27"/>
          <w:u w:val="single"/>
        </w:rPr>
        <w:t>＿＿＿＿＿＿＿</w:t>
      </w:r>
    </w:p>
    <w:tbl>
      <w:tblPr>
        <w:tblStyle w:val="a9"/>
        <w:tblW w:w="7805" w:type="dxa"/>
        <w:jc w:val="left"/>
        <w:tblInd w:w="1418" w:type="dxa"/>
        <w:tblCellMar>
          <w:top w:w="0" w:type="dxa"/>
          <w:left w:w="108" w:type="dxa"/>
          <w:bottom w:w="0" w:type="dxa"/>
          <w:right w:w="108" w:type="dxa"/>
        </w:tblCellMar>
        <w:tblLook w:val="04a0" w:noHBand="0" w:noVBand="1" w:firstColumn="1" w:lastRow="0" w:lastColumn="0" w:firstRow="1"/>
      </w:tblPr>
      <w:tblGrid>
        <w:gridCol w:w="2353"/>
        <w:gridCol w:w="909"/>
        <w:gridCol w:w="908"/>
        <w:gridCol w:w="909"/>
        <w:gridCol w:w="908"/>
        <w:gridCol w:w="909"/>
        <w:gridCol w:w="908"/>
      </w:tblGrid>
      <w:tr>
        <w:trPr/>
        <w:tc>
          <w:tcPr>
            <w:tcW w:w="2353" w:type="dxa"/>
            <w:tcBorders/>
            <w:vAlign w:val="center"/>
          </w:tcPr>
          <w:p>
            <w:pPr>
              <w:pStyle w:val="F21"/>
              <w:ind w:left="57" w:right="57" w:hanging="0"/>
              <w:jc w:val="center"/>
              <w:rPr>
                <w:i/>
                <w:i/>
                <w:szCs w:val="27"/>
              </w:rPr>
            </w:pPr>
            <w:r>
              <w:rPr>
                <w:i/>
                <w:szCs w:val="27"/>
              </w:rPr>
              <w:t>工種</w:t>
            </w:r>
          </w:p>
        </w:tc>
        <w:tc>
          <w:tcPr>
            <w:tcW w:w="909" w:type="dxa"/>
            <w:tcBorders/>
            <w:vAlign w:val="center"/>
          </w:tcPr>
          <w:p>
            <w:pPr>
              <w:pStyle w:val="F21"/>
              <w:ind w:left="57" w:right="57" w:hanging="0"/>
              <w:jc w:val="center"/>
              <w:rPr>
                <w:i/>
                <w:i/>
                <w:szCs w:val="27"/>
              </w:rPr>
            </w:pPr>
            <w:r>
              <w:rPr>
                <w:i/>
                <w:szCs w:val="27"/>
              </w:rPr>
              <w:t>(i)</w:t>
            </w:r>
          </w:p>
        </w:tc>
        <w:tc>
          <w:tcPr>
            <w:tcW w:w="908" w:type="dxa"/>
            <w:tcBorders/>
            <w:vAlign w:val="center"/>
          </w:tcPr>
          <w:p>
            <w:pPr>
              <w:pStyle w:val="F21"/>
              <w:ind w:left="57" w:right="57" w:hanging="0"/>
              <w:jc w:val="center"/>
              <w:rPr>
                <w:i/>
                <w:i/>
                <w:szCs w:val="27"/>
              </w:rPr>
            </w:pPr>
            <w:r>
              <w:rPr>
                <w:i/>
                <w:szCs w:val="27"/>
              </w:rPr>
              <w:t>(ii)</w:t>
            </w:r>
          </w:p>
        </w:tc>
        <w:tc>
          <w:tcPr>
            <w:tcW w:w="909" w:type="dxa"/>
            <w:tcBorders/>
            <w:vAlign w:val="center"/>
          </w:tcPr>
          <w:p>
            <w:pPr>
              <w:pStyle w:val="F21"/>
              <w:ind w:left="57" w:right="57" w:hanging="0"/>
              <w:jc w:val="center"/>
              <w:rPr>
                <w:i/>
                <w:i/>
                <w:szCs w:val="27"/>
              </w:rPr>
            </w:pPr>
            <w:r>
              <w:rPr>
                <w:i/>
                <w:szCs w:val="27"/>
              </w:rPr>
              <w:t>(iii)</w:t>
            </w:r>
          </w:p>
        </w:tc>
        <w:tc>
          <w:tcPr>
            <w:tcW w:w="908" w:type="dxa"/>
            <w:tcBorders/>
            <w:vAlign w:val="center"/>
          </w:tcPr>
          <w:p>
            <w:pPr>
              <w:pStyle w:val="F21"/>
              <w:ind w:left="57" w:right="57" w:hanging="0"/>
              <w:jc w:val="center"/>
              <w:rPr>
                <w:i/>
                <w:i/>
                <w:szCs w:val="27"/>
              </w:rPr>
            </w:pPr>
            <w:r>
              <w:rPr>
                <w:i/>
                <w:szCs w:val="27"/>
              </w:rPr>
              <w:t>(iv)</w:t>
            </w:r>
          </w:p>
        </w:tc>
        <w:tc>
          <w:tcPr>
            <w:tcW w:w="909" w:type="dxa"/>
            <w:tcBorders/>
            <w:vAlign w:val="center"/>
          </w:tcPr>
          <w:p>
            <w:pPr>
              <w:pStyle w:val="F21"/>
              <w:ind w:left="57" w:right="57" w:hanging="0"/>
              <w:jc w:val="center"/>
              <w:rPr>
                <w:i/>
                <w:i/>
                <w:szCs w:val="27"/>
              </w:rPr>
            </w:pPr>
            <w:r>
              <w:rPr>
                <w:i/>
                <w:szCs w:val="27"/>
              </w:rPr>
              <w:t>(v)</w:t>
            </w:r>
          </w:p>
        </w:tc>
        <w:tc>
          <w:tcPr>
            <w:tcW w:w="908" w:type="dxa"/>
            <w:tcBorders/>
            <w:vAlign w:val="center"/>
          </w:tcPr>
          <w:p>
            <w:pPr>
              <w:pStyle w:val="F21"/>
              <w:ind w:left="57" w:right="57" w:hanging="0"/>
              <w:jc w:val="center"/>
              <w:rPr>
                <w:i/>
                <w:i/>
                <w:szCs w:val="27"/>
              </w:rPr>
            </w:pPr>
            <w:r>
              <w:rPr>
                <w:i/>
                <w:szCs w:val="27"/>
              </w:rPr>
              <w:t>(vi)</w:t>
            </w:r>
          </w:p>
        </w:tc>
      </w:tr>
      <w:tr>
        <w:trPr/>
        <w:tc>
          <w:tcPr>
            <w:tcW w:w="2353" w:type="dxa"/>
            <w:tcBorders/>
          </w:tcPr>
          <w:p>
            <w:pPr>
              <w:pStyle w:val="F21"/>
              <w:ind w:left="57" w:right="57" w:hanging="0"/>
              <w:rPr>
                <w:i/>
                <w:i/>
                <w:szCs w:val="27"/>
              </w:rPr>
            </w:pPr>
            <w:r>
              <w:rPr>
                <w:i/>
                <w:szCs w:val="27"/>
              </w:rPr>
              <w:t>1.</w:t>
              <w:tab/>
            </w:r>
            <w:r>
              <w:rPr>
                <w:i/>
                <w:szCs w:val="27"/>
              </w:rPr>
              <w:t>鋼筋屈紮工</w:t>
            </w:r>
          </w:p>
        </w:tc>
        <w:tc>
          <w:tcPr>
            <w:tcW w:w="909" w:type="dxa"/>
            <w:tcBorders/>
          </w:tcPr>
          <w:p>
            <w:pPr>
              <w:pStyle w:val="F21"/>
              <w:ind w:left="57" w:right="57" w:hanging="0"/>
              <w:rPr>
                <w:i/>
                <w:i/>
                <w:szCs w:val="27"/>
              </w:rPr>
            </w:pPr>
            <w:r>
              <w:rPr>
                <w:i/>
                <w:szCs w:val="27"/>
              </w:rPr>
            </w:r>
          </w:p>
        </w:tc>
        <w:tc>
          <w:tcPr>
            <w:tcW w:w="908" w:type="dxa"/>
            <w:tcBorders/>
          </w:tcPr>
          <w:p>
            <w:pPr>
              <w:pStyle w:val="F21"/>
              <w:ind w:left="57" w:right="57" w:hanging="0"/>
              <w:rPr>
                <w:i/>
                <w:i/>
                <w:szCs w:val="27"/>
              </w:rPr>
            </w:pPr>
            <w:r>
              <w:rPr>
                <w:i/>
                <w:szCs w:val="27"/>
              </w:rPr>
            </w:r>
          </w:p>
        </w:tc>
        <w:tc>
          <w:tcPr>
            <w:tcW w:w="909" w:type="dxa"/>
            <w:tcBorders/>
          </w:tcPr>
          <w:p>
            <w:pPr>
              <w:pStyle w:val="F21"/>
              <w:ind w:left="57" w:right="57" w:hanging="0"/>
              <w:rPr>
                <w:i/>
                <w:i/>
                <w:szCs w:val="27"/>
              </w:rPr>
            </w:pPr>
            <w:r>
              <w:rPr>
                <w:i/>
                <w:szCs w:val="27"/>
              </w:rPr>
            </w:r>
          </w:p>
        </w:tc>
        <w:tc>
          <w:tcPr>
            <w:tcW w:w="908" w:type="dxa"/>
            <w:tcBorders/>
          </w:tcPr>
          <w:p>
            <w:pPr>
              <w:pStyle w:val="F21"/>
              <w:ind w:left="57" w:right="57" w:hanging="0"/>
              <w:rPr>
                <w:i/>
                <w:i/>
                <w:szCs w:val="27"/>
              </w:rPr>
            </w:pPr>
            <w:r>
              <w:rPr>
                <w:i/>
                <w:szCs w:val="27"/>
              </w:rPr>
            </w:r>
          </w:p>
        </w:tc>
        <w:tc>
          <w:tcPr>
            <w:tcW w:w="909" w:type="dxa"/>
            <w:tcBorders/>
          </w:tcPr>
          <w:p>
            <w:pPr>
              <w:pStyle w:val="F21"/>
              <w:ind w:left="57" w:right="57" w:hanging="0"/>
              <w:rPr>
                <w:i/>
                <w:i/>
                <w:szCs w:val="27"/>
              </w:rPr>
            </w:pPr>
            <w:r>
              <w:rPr>
                <w:i/>
                <w:szCs w:val="27"/>
              </w:rPr>
            </w:r>
          </w:p>
        </w:tc>
        <w:tc>
          <w:tcPr>
            <w:tcW w:w="908" w:type="dxa"/>
            <w:tcBorders/>
          </w:tcPr>
          <w:p>
            <w:pPr>
              <w:pStyle w:val="F21"/>
              <w:ind w:left="57" w:right="57" w:hanging="0"/>
              <w:rPr>
                <w:i/>
                <w:i/>
                <w:szCs w:val="27"/>
              </w:rPr>
            </w:pPr>
            <w:r>
              <w:rPr>
                <w:i/>
                <w:szCs w:val="27"/>
              </w:rPr>
            </w:r>
          </w:p>
        </w:tc>
      </w:tr>
      <w:tr>
        <w:trPr/>
        <w:tc>
          <w:tcPr>
            <w:tcW w:w="2353" w:type="dxa"/>
            <w:tcBorders/>
          </w:tcPr>
          <w:p>
            <w:pPr>
              <w:pStyle w:val="F21"/>
              <w:ind w:left="57" w:right="57" w:hanging="0"/>
              <w:rPr>
                <w:i/>
                <w:i/>
                <w:szCs w:val="27"/>
              </w:rPr>
            </w:pPr>
            <w:r>
              <w:rPr>
                <w:i/>
                <w:szCs w:val="27"/>
              </w:rPr>
              <w:t>2.</w:t>
              <w:tab/>
            </w:r>
            <w:r>
              <w:rPr>
                <w:i/>
                <w:szCs w:val="27"/>
              </w:rPr>
              <w:t>木模板工</w:t>
            </w:r>
          </w:p>
        </w:tc>
        <w:tc>
          <w:tcPr>
            <w:tcW w:w="909" w:type="dxa"/>
            <w:tcBorders/>
          </w:tcPr>
          <w:p>
            <w:pPr>
              <w:pStyle w:val="F21"/>
              <w:ind w:left="57" w:right="57" w:hanging="0"/>
              <w:rPr>
                <w:i/>
                <w:i/>
                <w:szCs w:val="27"/>
              </w:rPr>
            </w:pPr>
            <w:r>
              <w:rPr>
                <w:i/>
                <w:szCs w:val="27"/>
              </w:rPr>
            </w:r>
          </w:p>
        </w:tc>
        <w:tc>
          <w:tcPr>
            <w:tcW w:w="908" w:type="dxa"/>
            <w:tcBorders/>
          </w:tcPr>
          <w:p>
            <w:pPr>
              <w:pStyle w:val="F21"/>
              <w:ind w:left="57" w:right="57" w:hanging="0"/>
              <w:rPr>
                <w:i/>
                <w:i/>
                <w:szCs w:val="27"/>
              </w:rPr>
            </w:pPr>
            <w:r>
              <w:rPr>
                <w:i/>
                <w:szCs w:val="27"/>
              </w:rPr>
            </w:r>
          </w:p>
        </w:tc>
        <w:tc>
          <w:tcPr>
            <w:tcW w:w="909" w:type="dxa"/>
            <w:tcBorders/>
          </w:tcPr>
          <w:p>
            <w:pPr>
              <w:pStyle w:val="F21"/>
              <w:ind w:left="57" w:right="57" w:hanging="0"/>
              <w:rPr>
                <w:i/>
                <w:i/>
                <w:szCs w:val="27"/>
              </w:rPr>
            </w:pPr>
            <w:r>
              <w:rPr>
                <w:i/>
                <w:szCs w:val="27"/>
              </w:rPr>
            </w:r>
          </w:p>
        </w:tc>
        <w:tc>
          <w:tcPr>
            <w:tcW w:w="908" w:type="dxa"/>
            <w:tcBorders/>
          </w:tcPr>
          <w:p>
            <w:pPr>
              <w:pStyle w:val="F21"/>
              <w:ind w:left="57" w:right="57" w:hanging="0"/>
              <w:rPr>
                <w:i/>
                <w:i/>
                <w:szCs w:val="27"/>
              </w:rPr>
            </w:pPr>
            <w:r>
              <w:rPr>
                <w:i/>
                <w:szCs w:val="27"/>
              </w:rPr>
            </w:r>
          </w:p>
        </w:tc>
        <w:tc>
          <w:tcPr>
            <w:tcW w:w="909" w:type="dxa"/>
            <w:tcBorders/>
          </w:tcPr>
          <w:p>
            <w:pPr>
              <w:pStyle w:val="F21"/>
              <w:ind w:left="57" w:right="57" w:hanging="0"/>
              <w:rPr>
                <w:i/>
                <w:i/>
                <w:szCs w:val="27"/>
              </w:rPr>
            </w:pPr>
            <w:r>
              <w:rPr>
                <w:i/>
                <w:szCs w:val="27"/>
              </w:rPr>
            </w:r>
          </w:p>
        </w:tc>
        <w:tc>
          <w:tcPr>
            <w:tcW w:w="908" w:type="dxa"/>
            <w:tcBorders/>
          </w:tcPr>
          <w:p>
            <w:pPr>
              <w:pStyle w:val="F21"/>
              <w:ind w:left="57" w:right="57" w:hanging="0"/>
              <w:rPr>
                <w:i/>
                <w:i/>
                <w:szCs w:val="27"/>
              </w:rPr>
            </w:pPr>
            <w:r>
              <w:rPr>
                <w:i/>
                <w:szCs w:val="27"/>
              </w:rPr>
            </w:r>
          </w:p>
        </w:tc>
      </w:tr>
      <w:tr>
        <w:trPr/>
        <w:tc>
          <w:tcPr>
            <w:tcW w:w="2353" w:type="dxa"/>
            <w:tcBorders/>
          </w:tcPr>
          <w:p>
            <w:pPr>
              <w:pStyle w:val="F21"/>
              <w:ind w:left="57" w:right="57" w:hanging="0"/>
              <w:rPr>
                <w:i/>
                <w:i/>
                <w:szCs w:val="27"/>
              </w:rPr>
            </w:pPr>
            <w:r>
              <w:rPr>
                <w:i/>
                <w:szCs w:val="27"/>
              </w:rPr>
              <w:t>...</w:t>
            </w:r>
          </w:p>
        </w:tc>
        <w:tc>
          <w:tcPr>
            <w:tcW w:w="909" w:type="dxa"/>
            <w:tcBorders/>
          </w:tcPr>
          <w:p>
            <w:pPr>
              <w:pStyle w:val="F21"/>
              <w:ind w:left="57" w:right="57" w:hanging="0"/>
              <w:rPr>
                <w:i/>
                <w:i/>
                <w:szCs w:val="27"/>
              </w:rPr>
            </w:pPr>
            <w:r>
              <w:rPr>
                <w:i/>
                <w:szCs w:val="27"/>
              </w:rPr>
            </w:r>
          </w:p>
        </w:tc>
        <w:tc>
          <w:tcPr>
            <w:tcW w:w="908" w:type="dxa"/>
            <w:tcBorders/>
          </w:tcPr>
          <w:p>
            <w:pPr>
              <w:pStyle w:val="F21"/>
              <w:ind w:left="57" w:right="57" w:hanging="0"/>
              <w:rPr>
                <w:i/>
                <w:i/>
                <w:szCs w:val="27"/>
              </w:rPr>
            </w:pPr>
            <w:r>
              <w:rPr>
                <w:i/>
                <w:szCs w:val="27"/>
              </w:rPr>
            </w:r>
          </w:p>
        </w:tc>
        <w:tc>
          <w:tcPr>
            <w:tcW w:w="909" w:type="dxa"/>
            <w:tcBorders/>
          </w:tcPr>
          <w:p>
            <w:pPr>
              <w:pStyle w:val="F21"/>
              <w:ind w:left="57" w:right="57" w:hanging="0"/>
              <w:rPr>
                <w:i/>
                <w:i/>
                <w:szCs w:val="27"/>
              </w:rPr>
            </w:pPr>
            <w:r>
              <w:rPr>
                <w:i/>
                <w:szCs w:val="27"/>
              </w:rPr>
            </w:r>
          </w:p>
        </w:tc>
        <w:tc>
          <w:tcPr>
            <w:tcW w:w="908" w:type="dxa"/>
            <w:tcBorders/>
          </w:tcPr>
          <w:p>
            <w:pPr>
              <w:pStyle w:val="F21"/>
              <w:ind w:left="57" w:right="57" w:hanging="0"/>
              <w:rPr>
                <w:i/>
                <w:i/>
                <w:szCs w:val="27"/>
              </w:rPr>
            </w:pPr>
            <w:r>
              <w:rPr>
                <w:i/>
                <w:szCs w:val="27"/>
              </w:rPr>
            </w:r>
          </w:p>
        </w:tc>
        <w:tc>
          <w:tcPr>
            <w:tcW w:w="909" w:type="dxa"/>
            <w:tcBorders/>
          </w:tcPr>
          <w:p>
            <w:pPr>
              <w:pStyle w:val="F21"/>
              <w:ind w:left="57" w:right="57" w:hanging="0"/>
              <w:rPr>
                <w:i/>
                <w:i/>
                <w:szCs w:val="27"/>
              </w:rPr>
            </w:pPr>
            <w:r>
              <w:rPr>
                <w:i/>
                <w:szCs w:val="27"/>
              </w:rPr>
            </w:r>
          </w:p>
        </w:tc>
        <w:tc>
          <w:tcPr>
            <w:tcW w:w="908" w:type="dxa"/>
            <w:tcBorders/>
          </w:tcPr>
          <w:p>
            <w:pPr>
              <w:pStyle w:val="F21"/>
              <w:ind w:left="57" w:right="57" w:hanging="0"/>
              <w:rPr>
                <w:i/>
                <w:i/>
                <w:szCs w:val="27"/>
              </w:rPr>
            </w:pPr>
            <w:r>
              <w:rPr>
                <w:i/>
                <w:szCs w:val="27"/>
              </w:rPr>
            </w:r>
          </w:p>
        </w:tc>
      </w:tr>
      <w:tr>
        <w:trPr/>
        <w:tc>
          <w:tcPr>
            <w:tcW w:w="2353" w:type="dxa"/>
            <w:tcBorders/>
          </w:tcPr>
          <w:p>
            <w:pPr>
              <w:pStyle w:val="F21"/>
              <w:ind w:left="57" w:right="57" w:hanging="0"/>
              <w:rPr>
                <w:i/>
                <w:i/>
                <w:szCs w:val="27"/>
              </w:rPr>
            </w:pPr>
            <w:r>
              <w:rPr>
                <w:i/>
                <w:szCs w:val="27"/>
              </w:rPr>
              <w:t>25.</w:t>
              <w:tab/>
            </w:r>
            <w:r>
              <w:rPr>
                <w:i/>
                <w:szCs w:val="27"/>
              </w:rPr>
              <w:t>鋪軌工</w:t>
            </w:r>
          </w:p>
        </w:tc>
        <w:tc>
          <w:tcPr>
            <w:tcW w:w="909" w:type="dxa"/>
            <w:tcBorders/>
          </w:tcPr>
          <w:p>
            <w:pPr>
              <w:pStyle w:val="F21"/>
              <w:ind w:left="57" w:right="57" w:hanging="0"/>
              <w:rPr>
                <w:i/>
                <w:i/>
                <w:szCs w:val="27"/>
              </w:rPr>
            </w:pPr>
            <w:r>
              <w:rPr>
                <w:i/>
                <w:szCs w:val="27"/>
              </w:rPr>
            </w:r>
          </w:p>
        </w:tc>
        <w:tc>
          <w:tcPr>
            <w:tcW w:w="908" w:type="dxa"/>
            <w:tcBorders/>
          </w:tcPr>
          <w:p>
            <w:pPr>
              <w:pStyle w:val="F21"/>
              <w:ind w:left="57" w:right="57" w:hanging="0"/>
              <w:rPr>
                <w:i/>
                <w:i/>
                <w:szCs w:val="27"/>
              </w:rPr>
            </w:pPr>
            <w:r>
              <w:rPr>
                <w:i/>
                <w:szCs w:val="27"/>
              </w:rPr>
            </w:r>
          </w:p>
        </w:tc>
        <w:tc>
          <w:tcPr>
            <w:tcW w:w="909" w:type="dxa"/>
            <w:tcBorders/>
          </w:tcPr>
          <w:p>
            <w:pPr>
              <w:pStyle w:val="F21"/>
              <w:ind w:left="57" w:right="57" w:hanging="0"/>
              <w:rPr>
                <w:i/>
                <w:i/>
                <w:szCs w:val="27"/>
              </w:rPr>
            </w:pPr>
            <w:r>
              <w:rPr>
                <w:i/>
                <w:szCs w:val="27"/>
              </w:rPr>
            </w:r>
          </w:p>
        </w:tc>
        <w:tc>
          <w:tcPr>
            <w:tcW w:w="908" w:type="dxa"/>
            <w:tcBorders/>
          </w:tcPr>
          <w:p>
            <w:pPr>
              <w:pStyle w:val="F21"/>
              <w:ind w:left="57" w:right="57" w:hanging="0"/>
              <w:rPr>
                <w:i/>
                <w:i/>
                <w:szCs w:val="27"/>
              </w:rPr>
            </w:pPr>
            <w:r>
              <w:rPr>
                <w:i/>
                <w:szCs w:val="27"/>
              </w:rPr>
            </w:r>
          </w:p>
        </w:tc>
        <w:tc>
          <w:tcPr>
            <w:tcW w:w="909" w:type="dxa"/>
            <w:tcBorders/>
          </w:tcPr>
          <w:p>
            <w:pPr>
              <w:pStyle w:val="F21"/>
              <w:ind w:left="57" w:right="57" w:hanging="0"/>
              <w:rPr>
                <w:i/>
                <w:i/>
                <w:szCs w:val="27"/>
              </w:rPr>
            </w:pPr>
            <w:r>
              <w:rPr>
                <w:i/>
                <w:szCs w:val="27"/>
              </w:rPr>
            </w:r>
          </w:p>
        </w:tc>
        <w:tc>
          <w:tcPr>
            <w:tcW w:w="908" w:type="dxa"/>
            <w:tcBorders/>
          </w:tcPr>
          <w:p>
            <w:pPr>
              <w:pStyle w:val="F21"/>
              <w:ind w:left="57" w:right="57" w:hanging="0"/>
              <w:rPr>
                <w:i/>
                <w:i/>
                <w:szCs w:val="27"/>
              </w:rPr>
            </w:pPr>
            <w:r>
              <w:rPr>
                <w:i/>
                <w:szCs w:val="27"/>
              </w:rPr>
            </w:r>
          </w:p>
        </w:tc>
      </w:tr>
      <w:tr>
        <w:trPr/>
        <w:tc>
          <w:tcPr>
            <w:tcW w:w="2353" w:type="dxa"/>
            <w:tcBorders/>
          </w:tcPr>
          <w:p>
            <w:pPr>
              <w:pStyle w:val="F21"/>
              <w:ind w:left="57" w:right="57" w:hanging="0"/>
              <w:rPr>
                <w:i/>
                <w:i/>
                <w:szCs w:val="27"/>
              </w:rPr>
            </w:pPr>
            <w:r>
              <w:rPr>
                <w:i/>
                <w:szCs w:val="27"/>
              </w:rPr>
              <w:t>26.</w:t>
              <w:tab/>
            </w:r>
            <w:r>
              <w:rPr>
                <w:i/>
                <w:szCs w:val="27"/>
              </w:rPr>
              <w:t>爆石工</w:t>
            </w:r>
          </w:p>
        </w:tc>
        <w:tc>
          <w:tcPr>
            <w:tcW w:w="909" w:type="dxa"/>
            <w:tcBorders/>
          </w:tcPr>
          <w:p>
            <w:pPr>
              <w:pStyle w:val="F21"/>
              <w:ind w:left="57" w:right="57" w:hanging="0"/>
              <w:rPr>
                <w:i/>
                <w:i/>
                <w:szCs w:val="27"/>
              </w:rPr>
            </w:pPr>
            <w:r>
              <w:rPr>
                <w:i/>
                <w:szCs w:val="27"/>
              </w:rPr>
            </w:r>
          </w:p>
        </w:tc>
        <w:tc>
          <w:tcPr>
            <w:tcW w:w="908" w:type="dxa"/>
            <w:tcBorders/>
          </w:tcPr>
          <w:p>
            <w:pPr>
              <w:pStyle w:val="F21"/>
              <w:ind w:left="57" w:right="57" w:hanging="0"/>
              <w:rPr>
                <w:i/>
                <w:i/>
                <w:szCs w:val="27"/>
              </w:rPr>
            </w:pPr>
            <w:r>
              <w:rPr>
                <w:i/>
                <w:szCs w:val="27"/>
              </w:rPr>
            </w:r>
          </w:p>
        </w:tc>
        <w:tc>
          <w:tcPr>
            <w:tcW w:w="909" w:type="dxa"/>
            <w:tcBorders/>
          </w:tcPr>
          <w:p>
            <w:pPr>
              <w:pStyle w:val="F21"/>
              <w:ind w:left="57" w:right="57" w:hanging="0"/>
              <w:rPr>
                <w:i/>
                <w:i/>
                <w:szCs w:val="27"/>
              </w:rPr>
            </w:pPr>
            <w:r>
              <w:rPr>
                <w:i/>
                <w:szCs w:val="27"/>
              </w:rPr>
            </w:r>
          </w:p>
        </w:tc>
        <w:tc>
          <w:tcPr>
            <w:tcW w:w="908" w:type="dxa"/>
            <w:tcBorders/>
          </w:tcPr>
          <w:p>
            <w:pPr>
              <w:pStyle w:val="F21"/>
              <w:ind w:left="57" w:right="57" w:hanging="0"/>
              <w:rPr>
                <w:i/>
                <w:i/>
                <w:szCs w:val="27"/>
              </w:rPr>
            </w:pPr>
            <w:r>
              <w:rPr>
                <w:i/>
                <w:szCs w:val="27"/>
              </w:rPr>
            </w:r>
          </w:p>
        </w:tc>
        <w:tc>
          <w:tcPr>
            <w:tcW w:w="909" w:type="dxa"/>
            <w:tcBorders/>
          </w:tcPr>
          <w:p>
            <w:pPr>
              <w:pStyle w:val="F21"/>
              <w:ind w:left="57" w:right="57" w:hanging="0"/>
              <w:rPr>
                <w:i/>
                <w:i/>
                <w:szCs w:val="27"/>
              </w:rPr>
            </w:pPr>
            <w:r>
              <w:rPr>
                <w:i/>
                <w:szCs w:val="27"/>
              </w:rPr>
            </w:r>
          </w:p>
        </w:tc>
        <w:tc>
          <w:tcPr>
            <w:tcW w:w="908" w:type="dxa"/>
            <w:tcBorders/>
          </w:tcPr>
          <w:p>
            <w:pPr>
              <w:pStyle w:val="F21"/>
              <w:ind w:left="57" w:right="57" w:hanging="0"/>
              <w:rPr>
                <w:i/>
                <w:i/>
                <w:szCs w:val="27"/>
              </w:rPr>
            </w:pPr>
            <w:r>
              <w:rPr>
                <w:i/>
                <w:szCs w:val="27"/>
              </w:rPr>
            </w:r>
          </w:p>
        </w:tc>
      </w:tr>
    </w:tbl>
    <w:p>
      <w:pPr>
        <w:pStyle w:val="F21"/>
        <w:ind w:left="1418" w:hanging="851"/>
        <w:rPr>
          <w:i/>
          <w:i/>
          <w:szCs w:val="27"/>
        </w:rPr>
      </w:pPr>
      <w:r>
        <w:rPr>
          <w:i/>
          <w:szCs w:val="27"/>
        </w:rPr>
      </w:r>
    </w:p>
    <w:p>
      <w:pPr>
        <w:pStyle w:val="F21"/>
        <w:ind w:left="1418" w:hanging="851"/>
        <w:rPr>
          <w:i/>
          <w:i/>
          <w:szCs w:val="27"/>
        </w:rPr>
      </w:pPr>
      <w:r>
        <w:rPr>
          <w:i/>
          <w:szCs w:val="27"/>
        </w:rPr>
        <w:t>(</w:t>
      </w:r>
      <w:r>
        <w:rPr>
          <w:i/>
          <w:szCs w:val="27"/>
        </w:rPr>
        <w:t>三</w:t>
      </w:r>
      <w:r>
        <w:rPr>
          <w:i/>
          <w:szCs w:val="27"/>
        </w:rPr>
        <w:t>)</w:t>
        <w:tab/>
      </w:r>
      <w:r>
        <w:rPr>
          <w:i/>
          <w:szCs w:val="27"/>
        </w:rPr>
        <w:t>是否知悉，過去</w:t>
      </w:r>
      <w:r>
        <w:rPr>
          <w:i/>
          <w:szCs w:val="27"/>
        </w:rPr>
        <w:t>5</w:t>
      </w:r>
      <w:r>
        <w:rPr>
          <w:i/>
          <w:szCs w:val="27"/>
        </w:rPr>
        <w:t>年，職業訓練局及建造業議會</w:t>
      </w:r>
      <w:r>
        <w:rPr>
          <w:i/>
          <w:szCs w:val="27"/>
        </w:rPr>
        <w:t>(</w:t>
      </w:r>
      <w:r>
        <w:rPr>
          <w:i/>
          <w:szCs w:val="27"/>
        </w:rPr>
        <w:t>包括其轄下培訓機構</w:t>
      </w:r>
      <w:r>
        <w:rPr>
          <w:i/>
          <w:szCs w:val="27"/>
        </w:rPr>
        <w:t>)</w:t>
      </w:r>
      <w:r>
        <w:rPr>
          <w:i/>
          <w:szCs w:val="27"/>
        </w:rPr>
        <w:t>就該</w:t>
      </w:r>
      <w:r>
        <w:rPr>
          <w:i/>
          <w:szCs w:val="27"/>
        </w:rPr>
        <w:t>26</w:t>
      </w:r>
      <w:r>
        <w:rPr>
          <w:i/>
          <w:szCs w:val="27"/>
        </w:rPr>
        <w:t>個工種共提供多少個培訓課程，以及每個課程的</w:t>
      </w:r>
      <w:r>
        <w:rPr>
          <w:i/>
          <w:szCs w:val="27"/>
        </w:rPr>
        <w:t>(i)</w:t>
      </w:r>
      <w:r>
        <w:rPr>
          <w:i/>
          <w:szCs w:val="27"/>
        </w:rPr>
        <w:t>名稱、</w:t>
      </w:r>
      <w:r>
        <w:rPr>
          <w:i/>
          <w:szCs w:val="27"/>
        </w:rPr>
        <w:t>(ii)</w:t>
      </w:r>
      <w:r>
        <w:rPr>
          <w:i/>
          <w:szCs w:val="27"/>
        </w:rPr>
        <w:t>開辦年份、</w:t>
      </w:r>
      <w:r>
        <w:rPr>
          <w:i/>
          <w:szCs w:val="27"/>
        </w:rPr>
        <w:t>(iii)</w:t>
      </w:r>
      <w:r>
        <w:rPr>
          <w:i/>
          <w:szCs w:val="27"/>
        </w:rPr>
        <w:t>培訓名額、</w:t>
      </w:r>
      <w:r>
        <w:rPr>
          <w:i/>
          <w:szCs w:val="27"/>
        </w:rPr>
        <w:t>(iv)</w:t>
      </w:r>
      <w:r>
        <w:rPr>
          <w:i/>
          <w:szCs w:val="27"/>
        </w:rPr>
        <w:t>入讀資格、</w:t>
      </w:r>
      <w:r>
        <w:rPr>
          <w:i/>
          <w:szCs w:val="27"/>
        </w:rPr>
        <w:t>(v)</w:t>
      </w:r>
      <w:r>
        <w:rPr>
          <w:i/>
          <w:szCs w:val="27"/>
        </w:rPr>
        <w:t>培訓期，以及</w:t>
      </w:r>
      <w:r>
        <w:rPr>
          <w:i/>
          <w:szCs w:val="27"/>
        </w:rPr>
        <w:t>(vi)</w:t>
      </w:r>
      <w:r>
        <w:rPr>
          <w:i/>
          <w:szCs w:val="27"/>
        </w:rPr>
        <w:t>結業學員的就業率；按工種及培訓機構，並使用與表三相同格式的表格列出該等資料；及</w:t>
      </w:r>
    </w:p>
    <w:p>
      <w:pPr>
        <w:pStyle w:val="F21"/>
        <w:ind w:left="1418" w:hanging="851"/>
        <w:rPr>
          <w:i/>
          <w:i/>
          <w:szCs w:val="27"/>
        </w:rPr>
      </w:pPr>
      <w:r>
        <w:rPr>
          <w:i/>
          <w:szCs w:val="27"/>
        </w:rPr>
        <w:tab/>
      </w:r>
      <w:r>
        <w:br w:type="page"/>
      </w:r>
    </w:p>
    <w:p>
      <w:pPr>
        <w:pStyle w:val="F21"/>
        <w:ind w:left="1418" w:hanging="851"/>
        <w:rPr>
          <w:i/>
          <w:i/>
          <w:szCs w:val="27"/>
          <w:u w:val="single"/>
        </w:rPr>
      </w:pPr>
      <w:r>
        <w:rPr>
          <w:i/>
          <w:szCs w:val="27"/>
        </w:rPr>
        <w:tab/>
      </w:r>
      <w:r>
        <w:rPr>
          <w:i/>
          <w:szCs w:val="27"/>
        </w:rPr>
        <w:t>表三　　工種：</w:t>
      </w:r>
      <w:r>
        <w:rPr>
          <w:i/>
          <w:szCs w:val="27"/>
          <w:u w:val="single"/>
        </w:rPr>
        <w:t>＿＿＿＿＿＿＿</w:t>
      </w:r>
    </w:p>
    <w:tbl>
      <w:tblPr>
        <w:tblStyle w:val="a9"/>
        <w:tblW w:w="7804" w:type="dxa"/>
        <w:jc w:val="left"/>
        <w:tblInd w:w="1418" w:type="dxa"/>
        <w:tblCellMar>
          <w:top w:w="0" w:type="dxa"/>
          <w:left w:w="108" w:type="dxa"/>
          <w:bottom w:w="0" w:type="dxa"/>
          <w:right w:w="108" w:type="dxa"/>
        </w:tblCellMar>
        <w:tblLook w:val="04a0" w:noHBand="0" w:noVBand="1" w:firstColumn="1" w:lastRow="0" w:lastColumn="0" w:firstRow="1"/>
      </w:tblPr>
      <w:tblGrid>
        <w:gridCol w:w="1988"/>
        <w:gridCol w:w="969"/>
        <w:gridCol w:w="969"/>
        <w:gridCol w:w="970"/>
        <w:gridCol w:w="969"/>
        <w:gridCol w:w="968"/>
        <w:gridCol w:w="970"/>
      </w:tblGrid>
      <w:tr>
        <w:trPr/>
        <w:tc>
          <w:tcPr>
            <w:tcW w:w="1988" w:type="dxa"/>
            <w:tcBorders/>
            <w:vAlign w:val="center"/>
          </w:tcPr>
          <w:p>
            <w:pPr>
              <w:pStyle w:val="F21"/>
              <w:ind w:left="57" w:right="57" w:hanging="0"/>
              <w:jc w:val="center"/>
              <w:rPr>
                <w:i/>
                <w:i/>
                <w:szCs w:val="27"/>
              </w:rPr>
            </w:pPr>
            <w:r>
              <w:rPr>
                <w:i/>
                <w:szCs w:val="27"/>
              </w:rPr>
              <w:t>培訓機構</w:t>
            </w:r>
          </w:p>
        </w:tc>
        <w:tc>
          <w:tcPr>
            <w:tcW w:w="969" w:type="dxa"/>
            <w:tcBorders/>
            <w:vAlign w:val="center"/>
          </w:tcPr>
          <w:p>
            <w:pPr>
              <w:pStyle w:val="F21"/>
              <w:ind w:left="57" w:right="57" w:hanging="0"/>
              <w:jc w:val="center"/>
              <w:rPr>
                <w:i/>
                <w:i/>
                <w:szCs w:val="27"/>
              </w:rPr>
            </w:pPr>
            <w:r>
              <w:rPr>
                <w:i/>
                <w:szCs w:val="27"/>
              </w:rPr>
              <w:t>(i)</w:t>
            </w:r>
          </w:p>
        </w:tc>
        <w:tc>
          <w:tcPr>
            <w:tcW w:w="969" w:type="dxa"/>
            <w:tcBorders/>
            <w:vAlign w:val="center"/>
          </w:tcPr>
          <w:p>
            <w:pPr>
              <w:pStyle w:val="F21"/>
              <w:ind w:left="57" w:right="57" w:hanging="0"/>
              <w:jc w:val="center"/>
              <w:rPr>
                <w:i/>
                <w:i/>
                <w:szCs w:val="27"/>
              </w:rPr>
            </w:pPr>
            <w:r>
              <w:rPr>
                <w:i/>
                <w:szCs w:val="27"/>
              </w:rPr>
              <w:t>(ii)</w:t>
            </w:r>
          </w:p>
        </w:tc>
        <w:tc>
          <w:tcPr>
            <w:tcW w:w="970" w:type="dxa"/>
            <w:tcBorders/>
            <w:vAlign w:val="center"/>
          </w:tcPr>
          <w:p>
            <w:pPr>
              <w:pStyle w:val="F21"/>
              <w:ind w:left="57" w:right="57" w:hanging="0"/>
              <w:jc w:val="center"/>
              <w:rPr>
                <w:i/>
                <w:i/>
                <w:szCs w:val="27"/>
              </w:rPr>
            </w:pPr>
            <w:r>
              <w:rPr>
                <w:i/>
                <w:szCs w:val="27"/>
              </w:rPr>
              <w:t>(iii)</w:t>
            </w:r>
          </w:p>
        </w:tc>
        <w:tc>
          <w:tcPr>
            <w:tcW w:w="969" w:type="dxa"/>
            <w:tcBorders/>
            <w:vAlign w:val="center"/>
          </w:tcPr>
          <w:p>
            <w:pPr>
              <w:pStyle w:val="F21"/>
              <w:ind w:left="57" w:right="57" w:hanging="0"/>
              <w:jc w:val="center"/>
              <w:rPr>
                <w:i/>
                <w:i/>
                <w:szCs w:val="27"/>
              </w:rPr>
            </w:pPr>
            <w:r>
              <w:rPr>
                <w:i/>
                <w:szCs w:val="27"/>
              </w:rPr>
              <w:t>(iv)</w:t>
            </w:r>
          </w:p>
        </w:tc>
        <w:tc>
          <w:tcPr>
            <w:tcW w:w="968" w:type="dxa"/>
            <w:tcBorders/>
            <w:vAlign w:val="center"/>
          </w:tcPr>
          <w:p>
            <w:pPr>
              <w:pStyle w:val="F21"/>
              <w:ind w:left="57" w:right="57" w:hanging="0"/>
              <w:jc w:val="center"/>
              <w:rPr>
                <w:i/>
                <w:i/>
                <w:szCs w:val="27"/>
              </w:rPr>
            </w:pPr>
            <w:r>
              <w:rPr>
                <w:i/>
                <w:szCs w:val="27"/>
              </w:rPr>
              <w:t>(v)</w:t>
            </w:r>
          </w:p>
        </w:tc>
        <w:tc>
          <w:tcPr>
            <w:tcW w:w="970" w:type="dxa"/>
            <w:tcBorders/>
            <w:vAlign w:val="center"/>
          </w:tcPr>
          <w:p>
            <w:pPr>
              <w:pStyle w:val="F21"/>
              <w:ind w:left="57" w:right="57" w:hanging="0"/>
              <w:jc w:val="center"/>
              <w:rPr>
                <w:i/>
                <w:i/>
                <w:szCs w:val="27"/>
              </w:rPr>
            </w:pPr>
            <w:r>
              <w:rPr>
                <w:i/>
                <w:szCs w:val="27"/>
              </w:rPr>
              <w:t>(vi)</w:t>
            </w:r>
          </w:p>
        </w:tc>
      </w:tr>
      <w:tr>
        <w:trPr/>
        <w:tc>
          <w:tcPr>
            <w:tcW w:w="1988" w:type="dxa"/>
            <w:tcBorders/>
          </w:tcPr>
          <w:p>
            <w:pPr>
              <w:pStyle w:val="F21"/>
              <w:ind w:left="57" w:right="57" w:hanging="0"/>
              <w:rPr>
                <w:i/>
                <w:i/>
                <w:szCs w:val="27"/>
              </w:rPr>
            </w:pPr>
            <w:r>
              <w:rPr>
                <w:i/>
                <w:szCs w:val="27"/>
              </w:rPr>
            </w:r>
          </w:p>
        </w:tc>
        <w:tc>
          <w:tcPr>
            <w:tcW w:w="969" w:type="dxa"/>
            <w:tcBorders/>
          </w:tcPr>
          <w:p>
            <w:pPr>
              <w:pStyle w:val="F21"/>
              <w:ind w:left="57" w:right="57" w:hanging="0"/>
              <w:rPr>
                <w:i/>
                <w:i/>
                <w:szCs w:val="27"/>
              </w:rPr>
            </w:pPr>
            <w:r>
              <w:rPr>
                <w:i/>
                <w:szCs w:val="27"/>
              </w:rPr>
            </w:r>
          </w:p>
        </w:tc>
        <w:tc>
          <w:tcPr>
            <w:tcW w:w="969" w:type="dxa"/>
            <w:tcBorders/>
          </w:tcPr>
          <w:p>
            <w:pPr>
              <w:pStyle w:val="F21"/>
              <w:ind w:left="57" w:right="57" w:hanging="0"/>
              <w:rPr>
                <w:i/>
                <w:i/>
                <w:szCs w:val="27"/>
              </w:rPr>
            </w:pPr>
            <w:r>
              <w:rPr>
                <w:i/>
                <w:szCs w:val="27"/>
              </w:rPr>
            </w:r>
          </w:p>
        </w:tc>
        <w:tc>
          <w:tcPr>
            <w:tcW w:w="970" w:type="dxa"/>
            <w:tcBorders/>
          </w:tcPr>
          <w:p>
            <w:pPr>
              <w:pStyle w:val="F21"/>
              <w:ind w:left="57" w:right="57" w:hanging="0"/>
              <w:rPr>
                <w:i/>
                <w:i/>
                <w:szCs w:val="27"/>
              </w:rPr>
            </w:pPr>
            <w:r>
              <w:rPr>
                <w:i/>
                <w:szCs w:val="27"/>
              </w:rPr>
            </w:r>
          </w:p>
        </w:tc>
        <w:tc>
          <w:tcPr>
            <w:tcW w:w="969" w:type="dxa"/>
            <w:tcBorders/>
          </w:tcPr>
          <w:p>
            <w:pPr>
              <w:pStyle w:val="F21"/>
              <w:ind w:left="57" w:right="57" w:hanging="0"/>
              <w:rPr>
                <w:i/>
                <w:i/>
                <w:szCs w:val="27"/>
              </w:rPr>
            </w:pPr>
            <w:r>
              <w:rPr>
                <w:i/>
                <w:szCs w:val="27"/>
              </w:rPr>
            </w:r>
          </w:p>
        </w:tc>
        <w:tc>
          <w:tcPr>
            <w:tcW w:w="968" w:type="dxa"/>
            <w:tcBorders/>
          </w:tcPr>
          <w:p>
            <w:pPr>
              <w:pStyle w:val="F21"/>
              <w:ind w:left="57" w:right="57" w:hanging="0"/>
              <w:rPr>
                <w:i/>
                <w:i/>
                <w:szCs w:val="27"/>
              </w:rPr>
            </w:pPr>
            <w:r>
              <w:rPr>
                <w:i/>
                <w:szCs w:val="27"/>
              </w:rPr>
            </w:r>
          </w:p>
        </w:tc>
        <w:tc>
          <w:tcPr>
            <w:tcW w:w="970" w:type="dxa"/>
            <w:tcBorders/>
          </w:tcPr>
          <w:p>
            <w:pPr>
              <w:pStyle w:val="F21"/>
              <w:ind w:left="57" w:right="57" w:hanging="0"/>
              <w:rPr>
                <w:i/>
                <w:i/>
                <w:szCs w:val="27"/>
              </w:rPr>
            </w:pPr>
            <w:r>
              <w:rPr>
                <w:i/>
                <w:szCs w:val="27"/>
              </w:rPr>
            </w:r>
          </w:p>
        </w:tc>
      </w:tr>
      <w:tr>
        <w:trPr/>
        <w:tc>
          <w:tcPr>
            <w:tcW w:w="1988" w:type="dxa"/>
            <w:tcBorders/>
          </w:tcPr>
          <w:p>
            <w:pPr>
              <w:pStyle w:val="F21"/>
              <w:ind w:left="57" w:right="57" w:hanging="0"/>
              <w:rPr>
                <w:i/>
                <w:i/>
                <w:szCs w:val="27"/>
              </w:rPr>
            </w:pPr>
            <w:r>
              <w:rPr>
                <w:i/>
                <w:szCs w:val="27"/>
              </w:rPr>
            </w:r>
          </w:p>
        </w:tc>
        <w:tc>
          <w:tcPr>
            <w:tcW w:w="969" w:type="dxa"/>
            <w:tcBorders/>
          </w:tcPr>
          <w:p>
            <w:pPr>
              <w:pStyle w:val="F21"/>
              <w:ind w:left="57" w:right="57" w:hanging="0"/>
              <w:rPr>
                <w:i/>
                <w:i/>
                <w:szCs w:val="27"/>
              </w:rPr>
            </w:pPr>
            <w:r>
              <w:rPr>
                <w:i/>
                <w:szCs w:val="27"/>
              </w:rPr>
            </w:r>
          </w:p>
        </w:tc>
        <w:tc>
          <w:tcPr>
            <w:tcW w:w="969" w:type="dxa"/>
            <w:tcBorders/>
          </w:tcPr>
          <w:p>
            <w:pPr>
              <w:pStyle w:val="F21"/>
              <w:ind w:left="57" w:right="57" w:hanging="0"/>
              <w:rPr>
                <w:i/>
                <w:i/>
                <w:szCs w:val="27"/>
              </w:rPr>
            </w:pPr>
            <w:r>
              <w:rPr>
                <w:i/>
                <w:szCs w:val="27"/>
              </w:rPr>
            </w:r>
          </w:p>
        </w:tc>
        <w:tc>
          <w:tcPr>
            <w:tcW w:w="970" w:type="dxa"/>
            <w:tcBorders/>
          </w:tcPr>
          <w:p>
            <w:pPr>
              <w:pStyle w:val="F21"/>
              <w:ind w:left="57" w:right="57" w:hanging="0"/>
              <w:rPr>
                <w:i/>
                <w:i/>
                <w:szCs w:val="27"/>
              </w:rPr>
            </w:pPr>
            <w:r>
              <w:rPr>
                <w:i/>
                <w:szCs w:val="27"/>
              </w:rPr>
            </w:r>
          </w:p>
        </w:tc>
        <w:tc>
          <w:tcPr>
            <w:tcW w:w="969" w:type="dxa"/>
            <w:tcBorders/>
          </w:tcPr>
          <w:p>
            <w:pPr>
              <w:pStyle w:val="F21"/>
              <w:ind w:left="57" w:right="57" w:hanging="0"/>
              <w:rPr>
                <w:i/>
                <w:i/>
                <w:szCs w:val="27"/>
              </w:rPr>
            </w:pPr>
            <w:r>
              <w:rPr>
                <w:i/>
                <w:szCs w:val="27"/>
              </w:rPr>
            </w:r>
          </w:p>
        </w:tc>
        <w:tc>
          <w:tcPr>
            <w:tcW w:w="968" w:type="dxa"/>
            <w:tcBorders/>
          </w:tcPr>
          <w:p>
            <w:pPr>
              <w:pStyle w:val="F21"/>
              <w:ind w:left="57" w:right="57" w:hanging="0"/>
              <w:rPr>
                <w:i/>
                <w:i/>
                <w:szCs w:val="27"/>
              </w:rPr>
            </w:pPr>
            <w:r>
              <w:rPr>
                <w:i/>
                <w:szCs w:val="27"/>
              </w:rPr>
            </w:r>
          </w:p>
        </w:tc>
        <w:tc>
          <w:tcPr>
            <w:tcW w:w="970" w:type="dxa"/>
            <w:tcBorders/>
          </w:tcPr>
          <w:p>
            <w:pPr>
              <w:pStyle w:val="F21"/>
              <w:ind w:left="57" w:right="57" w:hanging="0"/>
              <w:rPr>
                <w:i/>
                <w:i/>
                <w:szCs w:val="27"/>
              </w:rPr>
            </w:pPr>
            <w:r>
              <w:rPr>
                <w:i/>
                <w:szCs w:val="27"/>
              </w:rPr>
            </w:r>
          </w:p>
        </w:tc>
      </w:tr>
      <w:tr>
        <w:trPr/>
        <w:tc>
          <w:tcPr>
            <w:tcW w:w="1988" w:type="dxa"/>
            <w:tcBorders/>
          </w:tcPr>
          <w:p>
            <w:pPr>
              <w:pStyle w:val="F21"/>
              <w:ind w:left="57" w:right="57" w:hanging="0"/>
              <w:rPr>
                <w:i/>
                <w:i/>
                <w:szCs w:val="27"/>
              </w:rPr>
            </w:pPr>
            <w:r>
              <w:rPr>
                <w:i/>
                <w:szCs w:val="27"/>
              </w:rPr>
            </w:r>
          </w:p>
        </w:tc>
        <w:tc>
          <w:tcPr>
            <w:tcW w:w="969" w:type="dxa"/>
            <w:tcBorders/>
          </w:tcPr>
          <w:p>
            <w:pPr>
              <w:pStyle w:val="F21"/>
              <w:ind w:left="57" w:right="57" w:hanging="0"/>
              <w:rPr>
                <w:i/>
                <w:i/>
                <w:szCs w:val="27"/>
              </w:rPr>
            </w:pPr>
            <w:r>
              <w:rPr>
                <w:i/>
                <w:szCs w:val="27"/>
              </w:rPr>
            </w:r>
          </w:p>
        </w:tc>
        <w:tc>
          <w:tcPr>
            <w:tcW w:w="969" w:type="dxa"/>
            <w:tcBorders/>
          </w:tcPr>
          <w:p>
            <w:pPr>
              <w:pStyle w:val="F21"/>
              <w:ind w:left="57" w:right="57" w:hanging="0"/>
              <w:rPr>
                <w:i/>
                <w:i/>
                <w:szCs w:val="27"/>
              </w:rPr>
            </w:pPr>
            <w:r>
              <w:rPr>
                <w:i/>
                <w:szCs w:val="27"/>
              </w:rPr>
            </w:r>
          </w:p>
        </w:tc>
        <w:tc>
          <w:tcPr>
            <w:tcW w:w="970" w:type="dxa"/>
            <w:tcBorders/>
          </w:tcPr>
          <w:p>
            <w:pPr>
              <w:pStyle w:val="F21"/>
              <w:ind w:left="57" w:right="57" w:hanging="0"/>
              <w:rPr>
                <w:i/>
                <w:i/>
                <w:szCs w:val="27"/>
              </w:rPr>
            </w:pPr>
            <w:r>
              <w:rPr>
                <w:i/>
                <w:szCs w:val="27"/>
              </w:rPr>
            </w:r>
          </w:p>
        </w:tc>
        <w:tc>
          <w:tcPr>
            <w:tcW w:w="969" w:type="dxa"/>
            <w:tcBorders/>
          </w:tcPr>
          <w:p>
            <w:pPr>
              <w:pStyle w:val="F21"/>
              <w:ind w:left="57" w:right="57" w:hanging="0"/>
              <w:rPr>
                <w:i/>
                <w:i/>
                <w:szCs w:val="27"/>
              </w:rPr>
            </w:pPr>
            <w:r>
              <w:rPr>
                <w:i/>
                <w:szCs w:val="27"/>
              </w:rPr>
            </w:r>
          </w:p>
        </w:tc>
        <w:tc>
          <w:tcPr>
            <w:tcW w:w="968" w:type="dxa"/>
            <w:tcBorders/>
          </w:tcPr>
          <w:p>
            <w:pPr>
              <w:pStyle w:val="F21"/>
              <w:ind w:left="57" w:right="57" w:hanging="0"/>
              <w:rPr>
                <w:i/>
                <w:i/>
                <w:szCs w:val="27"/>
              </w:rPr>
            </w:pPr>
            <w:r>
              <w:rPr>
                <w:i/>
                <w:szCs w:val="27"/>
              </w:rPr>
            </w:r>
          </w:p>
        </w:tc>
        <w:tc>
          <w:tcPr>
            <w:tcW w:w="970" w:type="dxa"/>
            <w:tcBorders/>
          </w:tcPr>
          <w:p>
            <w:pPr>
              <w:pStyle w:val="F21"/>
              <w:ind w:left="57" w:right="57" w:hanging="0"/>
              <w:rPr>
                <w:i/>
                <w:i/>
                <w:szCs w:val="27"/>
              </w:rPr>
            </w:pPr>
            <w:r>
              <w:rPr>
                <w:i/>
                <w:szCs w:val="27"/>
              </w:rPr>
            </w:r>
          </w:p>
        </w:tc>
      </w:tr>
      <w:tr>
        <w:trPr/>
        <w:tc>
          <w:tcPr>
            <w:tcW w:w="1988" w:type="dxa"/>
            <w:tcBorders/>
          </w:tcPr>
          <w:p>
            <w:pPr>
              <w:pStyle w:val="F21"/>
              <w:ind w:left="57" w:right="57" w:hanging="0"/>
              <w:rPr>
                <w:i/>
                <w:i/>
                <w:szCs w:val="27"/>
              </w:rPr>
            </w:pPr>
            <w:r>
              <w:rPr>
                <w:i/>
                <w:szCs w:val="27"/>
              </w:rPr>
            </w:r>
          </w:p>
        </w:tc>
        <w:tc>
          <w:tcPr>
            <w:tcW w:w="969" w:type="dxa"/>
            <w:tcBorders/>
          </w:tcPr>
          <w:p>
            <w:pPr>
              <w:pStyle w:val="F21"/>
              <w:ind w:left="57" w:right="57" w:hanging="0"/>
              <w:rPr>
                <w:i/>
                <w:i/>
                <w:szCs w:val="27"/>
              </w:rPr>
            </w:pPr>
            <w:r>
              <w:rPr>
                <w:i/>
                <w:szCs w:val="27"/>
              </w:rPr>
            </w:r>
          </w:p>
        </w:tc>
        <w:tc>
          <w:tcPr>
            <w:tcW w:w="969" w:type="dxa"/>
            <w:tcBorders/>
          </w:tcPr>
          <w:p>
            <w:pPr>
              <w:pStyle w:val="F21"/>
              <w:ind w:left="57" w:right="57" w:hanging="0"/>
              <w:rPr>
                <w:i/>
                <w:i/>
                <w:szCs w:val="27"/>
              </w:rPr>
            </w:pPr>
            <w:r>
              <w:rPr>
                <w:i/>
                <w:szCs w:val="27"/>
              </w:rPr>
            </w:r>
          </w:p>
        </w:tc>
        <w:tc>
          <w:tcPr>
            <w:tcW w:w="970" w:type="dxa"/>
            <w:tcBorders/>
          </w:tcPr>
          <w:p>
            <w:pPr>
              <w:pStyle w:val="F21"/>
              <w:ind w:left="57" w:right="57" w:hanging="0"/>
              <w:rPr>
                <w:i/>
                <w:i/>
                <w:szCs w:val="27"/>
              </w:rPr>
            </w:pPr>
            <w:r>
              <w:rPr>
                <w:i/>
                <w:szCs w:val="27"/>
              </w:rPr>
            </w:r>
          </w:p>
        </w:tc>
        <w:tc>
          <w:tcPr>
            <w:tcW w:w="969" w:type="dxa"/>
            <w:tcBorders/>
          </w:tcPr>
          <w:p>
            <w:pPr>
              <w:pStyle w:val="F21"/>
              <w:ind w:left="57" w:right="57" w:hanging="0"/>
              <w:rPr>
                <w:i/>
                <w:i/>
                <w:szCs w:val="27"/>
              </w:rPr>
            </w:pPr>
            <w:r>
              <w:rPr>
                <w:i/>
                <w:szCs w:val="27"/>
              </w:rPr>
            </w:r>
          </w:p>
        </w:tc>
        <w:tc>
          <w:tcPr>
            <w:tcW w:w="968" w:type="dxa"/>
            <w:tcBorders/>
          </w:tcPr>
          <w:p>
            <w:pPr>
              <w:pStyle w:val="F21"/>
              <w:ind w:left="57" w:right="57" w:hanging="0"/>
              <w:rPr>
                <w:i/>
                <w:i/>
                <w:szCs w:val="27"/>
              </w:rPr>
            </w:pPr>
            <w:r>
              <w:rPr>
                <w:i/>
                <w:szCs w:val="27"/>
              </w:rPr>
            </w:r>
          </w:p>
        </w:tc>
        <w:tc>
          <w:tcPr>
            <w:tcW w:w="970" w:type="dxa"/>
            <w:tcBorders/>
          </w:tcPr>
          <w:p>
            <w:pPr>
              <w:pStyle w:val="F21"/>
              <w:ind w:left="57" w:right="57" w:hanging="0"/>
              <w:rPr>
                <w:i/>
                <w:i/>
                <w:szCs w:val="27"/>
              </w:rPr>
            </w:pPr>
            <w:r>
              <w:rPr>
                <w:i/>
                <w:szCs w:val="27"/>
              </w:rPr>
            </w:r>
          </w:p>
        </w:tc>
      </w:tr>
      <w:tr>
        <w:trPr/>
        <w:tc>
          <w:tcPr>
            <w:tcW w:w="1988" w:type="dxa"/>
            <w:tcBorders/>
          </w:tcPr>
          <w:p>
            <w:pPr>
              <w:pStyle w:val="F21"/>
              <w:ind w:left="57" w:right="57" w:hanging="0"/>
              <w:rPr>
                <w:i/>
                <w:i/>
                <w:szCs w:val="27"/>
              </w:rPr>
            </w:pPr>
            <w:r>
              <w:rPr>
                <w:i/>
                <w:szCs w:val="27"/>
              </w:rPr>
            </w:r>
          </w:p>
        </w:tc>
        <w:tc>
          <w:tcPr>
            <w:tcW w:w="969" w:type="dxa"/>
            <w:tcBorders/>
          </w:tcPr>
          <w:p>
            <w:pPr>
              <w:pStyle w:val="F21"/>
              <w:ind w:left="57" w:right="57" w:hanging="0"/>
              <w:rPr>
                <w:i/>
                <w:i/>
                <w:szCs w:val="27"/>
              </w:rPr>
            </w:pPr>
            <w:r>
              <w:rPr>
                <w:i/>
                <w:szCs w:val="27"/>
              </w:rPr>
            </w:r>
          </w:p>
        </w:tc>
        <w:tc>
          <w:tcPr>
            <w:tcW w:w="969" w:type="dxa"/>
            <w:tcBorders/>
          </w:tcPr>
          <w:p>
            <w:pPr>
              <w:pStyle w:val="F21"/>
              <w:ind w:left="57" w:right="57" w:hanging="0"/>
              <w:rPr>
                <w:i/>
                <w:i/>
                <w:szCs w:val="27"/>
              </w:rPr>
            </w:pPr>
            <w:r>
              <w:rPr>
                <w:i/>
                <w:szCs w:val="27"/>
              </w:rPr>
            </w:r>
          </w:p>
        </w:tc>
        <w:tc>
          <w:tcPr>
            <w:tcW w:w="970" w:type="dxa"/>
            <w:tcBorders/>
          </w:tcPr>
          <w:p>
            <w:pPr>
              <w:pStyle w:val="F21"/>
              <w:ind w:left="57" w:right="57" w:hanging="0"/>
              <w:rPr>
                <w:i/>
                <w:i/>
                <w:szCs w:val="27"/>
              </w:rPr>
            </w:pPr>
            <w:r>
              <w:rPr>
                <w:i/>
                <w:szCs w:val="27"/>
              </w:rPr>
            </w:r>
          </w:p>
        </w:tc>
        <w:tc>
          <w:tcPr>
            <w:tcW w:w="969" w:type="dxa"/>
            <w:tcBorders/>
          </w:tcPr>
          <w:p>
            <w:pPr>
              <w:pStyle w:val="F21"/>
              <w:ind w:left="57" w:right="57" w:hanging="0"/>
              <w:rPr>
                <w:i/>
                <w:i/>
                <w:szCs w:val="27"/>
              </w:rPr>
            </w:pPr>
            <w:r>
              <w:rPr>
                <w:i/>
                <w:szCs w:val="27"/>
              </w:rPr>
            </w:r>
          </w:p>
        </w:tc>
        <w:tc>
          <w:tcPr>
            <w:tcW w:w="968" w:type="dxa"/>
            <w:tcBorders/>
          </w:tcPr>
          <w:p>
            <w:pPr>
              <w:pStyle w:val="F21"/>
              <w:ind w:left="57" w:right="57" w:hanging="0"/>
              <w:rPr>
                <w:i/>
                <w:i/>
                <w:szCs w:val="27"/>
              </w:rPr>
            </w:pPr>
            <w:r>
              <w:rPr>
                <w:i/>
                <w:szCs w:val="27"/>
              </w:rPr>
            </w:r>
          </w:p>
        </w:tc>
        <w:tc>
          <w:tcPr>
            <w:tcW w:w="970" w:type="dxa"/>
            <w:tcBorders/>
          </w:tcPr>
          <w:p>
            <w:pPr>
              <w:pStyle w:val="F21"/>
              <w:ind w:left="57" w:right="57" w:hanging="0"/>
              <w:rPr>
                <w:i/>
                <w:i/>
                <w:szCs w:val="27"/>
              </w:rPr>
            </w:pPr>
            <w:r>
              <w:rPr>
                <w:i/>
                <w:szCs w:val="27"/>
              </w:rPr>
            </w:r>
          </w:p>
        </w:tc>
      </w:tr>
    </w:tbl>
    <w:p>
      <w:pPr>
        <w:pStyle w:val="F21"/>
        <w:ind w:left="1418" w:hanging="851"/>
        <w:rPr>
          <w:i/>
          <w:i/>
          <w:szCs w:val="27"/>
        </w:rPr>
      </w:pPr>
      <w:r>
        <w:rPr>
          <w:i/>
          <w:szCs w:val="27"/>
        </w:rPr>
      </w:r>
    </w:p>
    <w:p>
      <w:pPr>
        <w:pStyle w:val="F21"/>
        <w:ind w:left="1418" w:hanging="851"/>
        <w:rPr>
          <w:i/>
          <w:i/>
          <w:szCs w:val="27"/>
        </w:rPr>
      </w:pPr>
      <w:r>
        <w:rPr>
          <w:i/>
          <w:szCs w:val="27"/>
        </w:rPr>
        <w:t>(</w:t>
      </w:r>
      <w:r>
        <w:rPr>
          <w:i/>
          <w:szCs w:val="27"/>
        </w:rPr>
        <w:t>四</w:t>
      </w:r>
      <w:r>
        <w:rPr>
          <w:i/>
          <w:szCs w:val="27"/>
        </w:rPr>
        <w:t>)</w:t>
        <w:tab/>
      </w:r>
      <w:r>
        <w:rPr>
          <w:i/>
          <w:szCs w:val="27"/>
        </w:rPr>
        <w:t>當局有否制訂新措施，以吸引本地工人加入建造業從事該</w:t>
      </w:r>
      <w:r>
        <w:rPr>
          <w:i/>
          <w:szCs w:val="27"/>
        </w:rPr>
        <w:t>26</w:t>
      </w:r>
      <w:r>
        <w:rPr>
          <w:i/>
          <w:szCs w:val="27"/>
        </w:rPr>
        <w:t>個工種的工作，並且減少該等工種人手流失的情況；若有，詳情為何；若否，原因為何？</w:t>
      </w:r>
    </w:p>
    <w:p>
      <w:pPr>
        <w:pStyle w:val="F21"/>
        <w:rPr>
          <w:szCs w:val="27"/>
        </w:rPr>
      </w:pPr>
      <w:r>
        <w:rPr>
          <w:szCs w:val="27"/>
        </w:rPr>
      </w:r>
    </w:p>
    <w:p>
      <w:pPr>
        <w:pStyle w:val="F21"/>
        <w:rPr>
          <w:szCs w:val="27"/>
        </w:rPr>
      </w:pPr>
      <w:r>
        <w:rPr>
          <w:szCs w:val="27"/>
        </w:rPr>
      </w:r>
    </w:p>
    <w:p>
      <w:pPr>
        <w:pStyle w:val="F21"/>
        <w:rPr>
          <w:szCs w:val="27"/>
        </w:rPr>
      </w:pPr>
      <w:r>
        <w:rPr>
          <w:rFonts w:ascii="華康中黑體" w:hAnsi="華康中黑體" w:eastAsia="華康中黑體"/>
          <w:b/>
          <w:szCs w:val="27"/>
        </w:rPr>
        <w:t>發展局局長</w:t>
      </w:r>
      <w:r>
        <w:rPr>
          <w:szCs w:val="27"/>
        </w:rPr>
        <w:t>：主席，就何啟明議員質詢的</w:t>
      </w:r>
      <w:r>
        <w:rPr>
          <w:szCs w:val="27"/>
        </w:rPr>
        <w:t>4</w:t>
      </w:r>
      <w:r>
        <w:rPr>
          <w:szCs w:val="27"/>
        </w:rPr>
        <w:t>個部分，現答覆如下：</w:t>
      </w:r>
    </w:p>
    <w:p>
      <w:pPr>
        <w:pStyle w:val="F21"/>
        <w:rPr>
          <w:szCs w:val="27"/>
        </w:rPr>
      </w:pPr>
      <w:r>
        <w:rPr>
          <w:szCs w:val="27"/>
        </w:rPr>
      </w:r>
    </w:p>
    <w:p>
      <w:pPr>
        <w:pStyle w:val="F21"/>
        <w:ind w:left="1418" w:hanging="851"/>
        <w:rPr>
          <w:szCs w:val="27"/>
        </w:rPr>
      </w:pPr>
      <w:r>
        <w:rPr>
          <w:szCs w:val="27"/>
        </w:rPr>
        <w:t>(</w:t>
      </w:r>
      <w:r>
        <w:rPr>
          <w:szCs w:val="27"/>
        </w:rPr>
        <w:t>一</w:t>
      </w:r>
      <w:r>
        <w:rPr>
          <w:szCs w:val="27"/>
        </w:rPr>
        <w:t>)</w:t>
        <w:tab/>
      </w:r>
      <w:r>
        <w:rPr>
          <w:szCs w:val="27"/>
        </w:rPr>
        <w:t>建造業大部分工作都是以分判形式進行，參與的技術工人同時存在受僱和自僱的情況。薪酬計算方法是由市場主導，主要以按日薪、月薪或生產量計算。我們沒有個別工種僱用工人形式及薪酬計算方法的資料。</w:t>
      </w:r>
    </w:p>
    <w:p>
      <w:pPr>
        <w:pStyle w:val="F21"/>
        <w:ind w:left="1418" w:hanging="851"/>
        <w:rPr>
          <w:szCs w:val="27"/>
        </w:rPr>
      </w:pPr>
      <w:r>
        <w:rPr>
          <w:szCs w:val="27"/>
        </w:rPr>
      </w:r>
    </w:p>
    <w:p>
      <w:pPr>
        <w:pStyle w:val="F21"/>
        <w:ind w:left="1418" w:hanging="851"/>
        <w:rPr>
          <w:szCs w:val="27"/>
        </w:rPr>
      </w:pPr>
      <w:r>
        <w:rPr>
          <w:szCs w:val="27"/>
        </w:rPr>
        <w:tab/>
      </w:r>
      <w:r>
        <w:rPr>
          <w:szCs w:val="27"/>
        </w:rPr>
        <w:t>根據建造業議會</w:t>
      </w:r>
      <w:r>
        <w:rPr>
          <w:szCs w:val="27"/>
        </w:rPr>
        <w:t>(</w:t>
      </w:r>
      <w:r>
        <w:rPr>
          <w:rFonts w:cs="Times New Roman"/>
          <w:szCs w:val="27"/>
        </w:rPr>
        <w:t>"</w:t>
      </w:r>
      <w:r>
        <w:rPr>
          <w:szCs w:val="27"/>
        </w:rPr>
        <w:t>議會</w:t>
      </w:r>
      <w:r>
        <w:rPr>
          <w:rFonts w:cs="Times New Roman"/>
          <w:szCs w:val="27"/>
        </w:rPr>
        <w:t>"</w:t>
      </w:r>
      <w:r>
        <w:rPr>
          <w:szCs w:val="27"/>
        </w:rPr>
        <w:t>)</w:t>
      </w:r>
      <w:r>
        <w:rPr>
          <w:szCs w:val="27"/>
        </w:rPr>
        <w:t>於</w:t>
      </w:r>
      <w:r>
        <w:rPr>
          <w:szCs w:val="27"/>
        </w:rPr>
        <w:t>2018</w:t>
      </w:r>
      <w:r>
        <w:rPr>
          <w:szCs w:val="27"/>
        </w:rPr>
        <w:t>年</w:t>
      </w:r>
      <w:r>
        <w:rPr>
          <w:szCs w:val="27"/>
        </w:rPr>
        <w:t>6</w:t>
      </w:r>
      <w:r>
        <w:rPr>
          <w:szCs w:val="27"/>
        </w:rPr>
        <w:t>月至</w:t>
      </w:r>
      <w:r>
        <w:rPr>
          <w:szCs w:val="27"/>
        </w:rPr>
        <w:t>9</w:t>
      </w:r>
      <w:r>
        <w:rPr>
          <w:szCs w:val="27"/>
        </w:rPr>
        <w:t>月進行的電話調查，該</w:t>
      </w:r>
      <w:r>
        <w:rPr>
          <w:szCs w:val="27"/>
        </w:rPr>
        <w:t>26</w:t>
      </w:r>
      <w:r>
        <w:rPr>
          <w:szCs w:val="27"/>
        </w:rPr>
        <w:t>個工種的工人平均每周工作日數表列如下：</w:t>
      </w:r>
    </w:p>
    <w:p>
      <w:pPr>
        <w:pStyle w:val="F21"/>
        <w:rPr>
          <w:szCs w:val="27"/>
        </w:rPr>
      </w:pPr>
      <w:r>
        <w:rPr>
          <w:szCs w:val="27"/>
        </w:rPr>
      </w:r>
    </w:p>
    <w:tbl>
      <w:tblPr>
        <w:tblStyle w:val="a9"/>
        <w:tblW w:w="7777" w:type="dxa"/>
        <w:jc w:val="left"/>
        <w:tblInd w:w="1447" w:type="dxa"/>
        <w:tblCellMar>
          <w:top w:w="0" w:type="dxa"/>
          <w:left w:w="108" w:type="dxa"/>
          <w:bottom w:w="0" w:type="dxa"/>
          <w:right w:w="108" w:type="dxa"/>
        </w:tblCellMar>
        <w:tblLook w:val="04a0" w:noHBand="0" w:noVBand="1" w:firstColumn="1" w:lastRow="0" w:lastColumn="0" w:firstRow="1"/>
      </w:tblPr>
      <w:tblGrid>
        <w:gridCol w:w="4732"/>
        <w:gridCol w:w="3044"/>
      </w:tblGrid>
      <w:tr>
        <w:trPr>
          <w:tblHeader w:val="true"/>
        </w:trPr>
        <w:tc>
          <w:tcPr>
            <w:tcW w:w="4732" w:type="dxa"/>
            <w:tcBorders/>
          </w:tcPr>
          <w:p>
            <w:pPr>
              <w:pStyle w:val="F21"/>
              <w:tabs>
                <w:tab w:val="clear" w:pos="567"/>
              </w:tabs>
              <w:ind w:left="140" w:right="140" w:hanging="0"/>
              <w:jc w:val="center"/>
              <w:rPr>
                <w:i/>
                <w:i/>
                <w:szCs w:val="27"/>
              </w:rPr>
            </w:pPr>
            <w:r>
              <w:rPr>
                <w:i/>
                <w:szCs w:val="27"/>
              </w:rPr>
              <w:t>工種</w:t>
            </w:r>
          </w:p>
        </w:tc>
        <w:tc>
          <w:tcPr>
            <w:tcW w:w="3044" w:type="dxa"/>
            <w:tcBorders/>
          </w:tcPr>
          <w:p>
            <w:pPr>
              <w:pStyle w:val="F21"/>
              <w:tabs>
                <w:tab w:val="clear" w:pos="567"/>
              </w:tabs>
              <w:ind w:left="140" w:right="140" w:hanging="0"/>
              <w:jc w:val="center"/>
              <w:rPr>
                <w:i/>
                <w:i/>
                <w:szCs w:val="27"/>
              </w:rPr>
            </w:pPr>
            <w:r>
              <w:rPr>
                <w:i/>
                <w:szCs w:val="27"/>
              </w:rPr>
              <w:t>平均每周工作日數</w:t>
            </w:r>
          </w:p>
        </w:tc>
      </w:tr>
      <w:tr>
        <w:trPr/>
        <w:tc>
          <w:tcPr>
            <w:tcW w:w="4732" w:type="dxa"/>
            <w:tcBorders/>
          </w:tcPr>
          <w:p>
            <w:pPr>
              <w:pStyle w:val="F21"/>
              <w:tabs>
                <w:tab w:val="clear" w:pos="567"/>
              </w:tabs>
              <w:ind w:left="140" w:right="140" w:hanging="0"/>
              <w:rPr>
                <w:szCs w:val="27"/>
              </w:rPr>
            </w:pPr>
            <w:r>
              <w:rPr>
                <w:szCs w:val="27"/>
              </w:rPr>
              <w:t>1.</w:t>
              <w:tab/>
            </w:r>
            <w:r>
              <w:rPr>
                <w:szCs w:val="27"/>
              </w:rPr>
              <w:t>鋼筋屈紮工</w:t>
            </w:r>
          </w:p>
        </w:tc>
        <w:tc>
          <w:tcPr>
            <w:tcW w:w="3044" w:type="dxa"/>
            <w:tcBorders/>
          </w:tcPr>
          <w:p>
            <w:pPr>
              <w:pStyle w:val="F21"/>
              <w:tabs>
                <w:tab w:val="clear" w:pos="567"/>
              </w:tabs>
              <w:ind w:left="140" w:right="140" w:hanging="0"/>
              <w:jc w:val="center"/>
              <w:rPr>
                <w:szCs w:val="27"/>
              </w:rPr>
            </w:pPr>
            <w:r>
              <w:rPr>
                <w:szCs w:val="27"/>
              </w:rPr>
              <w:t>4.3</w:t>
            </w:r>
            <w:r>
              <w:rPr>
                <w:szCs w:val="27"/>
              </w:rPr>
              <w:t>天</w:t>
            </w:r>
          </w:p>
        </w:tc>
      </w:tr>
      <w:tr>
        <w:trPr/>
        <w:tc>
          <w:tcPr>
            <w:tcW w:w="4732" w:type="dxa"/>
            <w:tcBorders/>
          </w:tcPr>
          <w:p>
            <w:pPr>
              <w:pStyle w:val="F21"/>
              <w:tabs>
                <w:tab w:val="clear" w:pos="567"/>
              </w:tabs>
              <w:ind w:left="140" w:right="140" w:hanging="0"/>
              <w:rPr>
                <w:szCs w:val="27"/>
              </w:rPr>
            </w:pPr>
            <w:r>
              <w:rPr>
                <w:szCs w:val="27"/>
              </w:rPr>
              <w:t>2.</w:t>
              <w:tab/>
            </w:r>
            <w:r>
              <w:rPr>
                <w:szCs w:val="27"/>
              </w:rPr>
              <w:t>木模板工</w:t>
            </w:r>
          </w:p>
        </w:tc>
        <w:tc>
          <w:tcPr>
            <w:tcW w:w="3044" w:type="dxa"/>
            <w:tcBorders/>
          </w:tcPr>
          <w:p>
            <w:pPr>
              <w:pStyle w:val="F21"/>
              <w:tabs>
                <w:tab w:val="clear" w:pos="567"/>
              </w:tabs>
              <w:ind w:left="140" w:right="140" w:hanging="0"/>
              <w:jc w:val="center"/>
              <w:rPr>
                <w:szCs w:val="27"/>
              </w:rPr>
            </w:pPr>
            <w:r>
              <w:rPr>
                <w:szCs w:val="27"/>
              </w:rPr>
              <w:t>4.1</w:t>
            </w:r>
            <w:r>
              <w:rPr>
                <w:szCs w:val="27"/>
              </w:rPr>
              <w:t>天</w:t>
            </w:r>
          </w:p>
        </w:tc>
      </w:tr>
      <w:tr>
        <w:trPr/>
        <w:tc>
          <w:tcPr>
            <w:tcW w:w="4732" w:type="dxa"/>
            <w:tcBorders/>
          </w:tcPr>
          <w:p>
            <w:pPr>
              <w:pStyle w:val="F21"/>
              <w:tabs>
                <w:tab w:val="clear" w:pos="567"/>
              </w:tabs>
              <w:ind w:left="140" w:right="140" w:hanging="0"/>
              <w:rPr>
                <w:szCs w:val="27"/>
              </w:rPr>
            </w:pPr>
            <w:r>
              <w:rPr>
                <w:szCs w:val="27"/>
              </w:rPr>
              <w:t>3.</w:t>
              <w:tab/>
            </w:r>
            <w:r>
              <w:rPr>
                <w:szCs w:val="27"/>
              </w:rPr>
              <w:t>混凝土工</w:t>
            </w:r>
          </w:p>
        </w:tc>
        <w:tc>
          <w:tcPr>
            <w:tcW w:w="3044" w:type="dxa"/>
            <w:tcBorders/>
          </w:tcPr>
          <w:p>
            <w:pPr>
              <w:pStyle w:val="F21"/>
              <w:tabs>
                <w:tab w:val="clear" w:pos="567"/>
              </w:tabs>
              <w:ind w:left="140" w:right="140" w:hanging="0"/>
              <w:jc w:val="center"/>
              <w:rPr>
                <w:szCs w:val="27"/>
              </w:rPr>
            </w:pPr>
            <w:r>
              <w:rPr>
                <w:szCs w:val="27"/>
              </w:rPr>
              <w:t>3.8</w:t>
            </w:r>
            <w:r>
              <w:rPr>
                <w:szCs w:val="27"/>
              </w:rPr>
              <w:t>天</w:t>
            </w:r>
          </w:p>
        </w:tc>
      </w:tr>
      <w:tr>
        <w:trPr/>
        <w:tc>
          <w:tcPr>
            <w:tcW w:w="4732" w:type="dxa"/>
            <w:tcBorders/>
          </w:tcPr>
          <w:p>
            <w:pPr>
              <w:pStyle w:val="F21"/>
              <w:tabs>
                <w:tab w:val="clear" w:pos="567"/>
              </w:tabs>
              <w:ind w:left="140" w:right="140" w:hanging="0"/>
              <w:rPr>
                <w:szCs w:val="27"/>
              </w:rPr>
            </w:pPr>
            <w:r>
              <w:rPr>
                <w:szCs w:val="27"/>
              </w:rPr>
              <w:t>4.</w:t>
              <w:tab/>
            </w:r>
            <w:r>
              <w:rPr>
                <w:szCs w:val="27"/>
              </w:rPr>
              <w:t>索具工</w:t>
            </w:r>
            <w:r>
              <w:rPr>
                <w:rFonts w:ascii="華康細明體" w:hAnsi="華康細明體"/>
                <w:szCs w:val="27"/>
              </w:rPr>
              <w:t>/</w:t>
            </w:r>
            <w:r>
              <w:rPr>
                <w:szCs w:val="27"/>
              </w:rPr>
              <w:t>金屬模板裝嵌工</w:t>
            </w:r>
          </w:p>
        </w:tc>
        <w:tc>
          <w:tcPr>
            <w:tcW w:w="3044" w:type="dxa"/>
            <w:tcBorders/>
          </w:tcPr>
          <w:p>
            <w:pPr>
              <w:pStyle w:val="F21"/>
              <w:tabs>
                <w:tab w:val="clear" w:pos="567"/>
              </w:tabs>
              <w:ind w:left="140" w:right="140" w:hanging="0"/>
              <w:jc w:val="center"/>
              <w:rPr>
                <w:szCs w:val="27"/>
              </w:rPr>
            </w:pPr>
            <w:r>
              <w:rPr>
                <w:szCs w:val="27"/>
              </w:rPr>
              <w:t>5.2</w:t>
            </w:r>
            <w:r>
              <w:rPr>
                <w:szCs w:val="27"/>
              </w:rPr>
              <w:t>天</w:t>
            </w:r>
          </w:p>
        </w:tc>
      </w:tr>
      <w:tr>
        <w:trPr/>
        <w:tc>
          <w:tcPr>
            <w:tcW w:w="4732" w:type="dxa"/>
            <w:tcBorders/>
          </w:tcPr>
          <w:p>
            <w:pPr>
              <w:pStyle w:val="F21"/>
              <w:tabs>
                <w:tab w:val="clear" w:pos="567"/>
              </w:tabs>
              <w:ind w:left="140" w:right="140" w:hanging="0"/>
              <w:rPr>
                <w:szCs w:val="27"/>
              </w:rPr>
            </w:pPr>
            <w:r>
              <w:rPr>
                <w:szCs w:val="27"/>
              </w:rPr>
              <w:t>5.</w:t>
              <w:tab/>
            </w:r>
            <w:r>
              <w:rPr>
                <w:szCs w:val="27"/>
              </w:rPr>
              <w:t>普通焊接工</w:t>
            </w:r>
          </w:p>
        </w:tc>
        <w:tc>
          <w:tcPr>
            <w:tcW w:w="3044" w:type="dxa"/>
            <w:tcBorders/>
          </w:tcPr>
          <w:p>
            <w:pPr>
              <w:pStyle w:val="F21"/>
              <w:tabs>
                <w:tab w:val="clear" w:pos="567"/>
              </w:tabs>
              <w:ind w:left="140" w:right="140" w:hanging="0"/>
              <w:jc w:val="center"/>
              <w:rPr>
                <w:szCs w:val="27"/>
              </w:rPr>
            </w:pPr>
            <w:r>
              <w:rPr>
                <w:szCs w:val="27"/>
              </w:rPr>
              <w:t>5.1</w:t>
            </w:r>
            <w:r>
              <w:rPr>
                <w:szCs w:val="27"/>
              </w:rPr>
              <w:t>天</w:t>
            </w:r>
          </w:p>
        </w:tc>
      </w:tr>
      <w:tr>
        <w:trPr/>
        <w:tc>
          <w:tcPr>
            <w:tcW w:w="4732" w:type="dxa"/>
            <w:tcBorders/>
          </w:tcPr>
          <w:p>
            <w:pPr>
              <w:pStyle w:val="F21"/>
              <w:tabs>
                <w:tab w:val="clear" w:pos="567"/>
              </w:tabs>
              <w:ind w:left="140" w:right="140" w:hanging="0"/>
              <w:rPr>
                <w:szCs w:val="27"/>
              </w:rPr>
            </w:pPr>
            <w:r>
              <w:rPr>
                <w:szCs w:val="27"/>
              </w:rPr>
              <w:t>6.</w:t>
              <w:tab/>
            </w:r>
            <w:r>
              <w:rPr>
                <w:szCs w:val="27"/>
              </w:rPr>
              <w:t>平水工</w:t>
            </w:r>
          </w:p>
        </w:tc>
        <w:tc>
          <w:tcPr>
            <w:tcW w:w="3044" w:type="dxa"/>
            <w:tcBorders/>
          </w:tcPr>
          <w:p>
            <w:pPr>
              <w:pStyle w:val="F21"/>
              <w:tabs>
                <w:tab w:val="clear" w:pos="567"/>
              </w:tabs>
              <w:ind w:left="140" w:right="140" w:hanging="0"/>
              <w:jc w:val="center"/>
              <w:rPr>
                <w:szCs w:val="27"/>
              </w:rPr>
            </w:pPr>
            <w:r>
              <w:rPr>
                <w:szCs w:val="27"/>
              </w:rPr>
              <w:t>5.5</w:t>
            </w:r>
            <w:r>
              <w:rPr>
                <w:szCs w:val="27"/>
              </w:rPr>
              <w:t>天</w:t>
            </w:r>
          </w:p>
        </w:tc>
      </w:tr>
      <w:tr>
        <w:trPr/>
        <w:tc>
          <w:tcPr>
            <w:tcW w:w="4732" w:type="dxa"/>
            <w:tcBorders/>
          </w:tcPr>
          <w:p>
            <w:pPr>
              <w:pStyle w:val="F21"/>
              <w:tabs>
                <w:tab w:val="clear" w:pos="567"/>
              </w:tabs>
              <w:ind w:left="140" w:right="140" w:hanging="0"/>
              <w:rPr>
                <w:szCs w:val="27"/>
              </w:rPr>
            </w:pPr>
            <w:r>
              <w:rPr>
                <w:szCs w:val="27"/>
              </w:rPr>
              <w:t>7.</w:t>
              <w:tab/>
            </w:r>
            <w:r>
              <w:rPr>
                <w:szCs w:val="27"/>
              </w:rPr>
              <w:t>批盪工</w:t>
            </w:r>
          </w:p>
        </w:tc>
        <w:tc>
          <w:tcPr>
            <w:tcW w:w="3044" w:type="dxa"/>
            <w:tcBorders/>
          </w:tcPr>
          <w:p>
            <w:pPr>
              <w:pStyle w:val="F21"/>
              <w:tabs>
                <w:tab w:val="clear" w:pos="567"/>
              </w:tabs>
              <w:ind w:left="140" w:right="140" w:hanging="0"/>
              <w:jc w:val="center"/>
              <w:rPr>
                <w:szCs w:val="27"/>
              </w:rPr>
            </w:pPr>
            <w:r>
              <w:rPr>
                <w:szCs w:val="27"/>
              </w:rPr>
              <w:t>5.1</w:t>
            </w:r>
            <w:r>
              <w:rPr>
                <w:szCs w:val="27"/>
              </w:rPr>
              <w:t>天</w:t>
            </w:r>
          </w:p>
        </w:tc>
      </w:tr>
      <w:tr>
        <w:trPr/>
        <w:tc>
          <w:tcPr>
            <w:tcW w:w="4732" w:type="dxa"/>
            <w:tcBorders/>
          </w:tcPr>
          <w:p>
            <w:pPr>
              <w:pStyle w:val="F21"/>
              <w:tabs>
                <w:tab w:val="clear" w:pos="567"/>
              </w:tabs>
              <w:ind w:left="140" w:right="140" w:hanging="0"/>
              <w:rPr>
                <w:szCs w:val="27"/>
              </w:rPr>
            </w:pPr>
            <w:r>
              <w:rPr>
                <w:szCs w:val="27"/>
              </w:rPr>
              <w:t>8.</w:t>
              <w:tab/>
            </w:r>
            <w:r>
              <w:rPr>
                <w:szCs w:val="27"/>
              </w:rPr>
              <w:t>砌磚工</w:t>
            </w:r>
          </w:p>
        </w:tc>
        <w:tc>
          <w:tcPr>
            <w:tcW w:w="3044" w:type="dxa"/>
            <w:tcBorders/>
          </w:tcPr>
          <w:p>
            <w:pPr>
              <w:pStyle w:val="F21"/>
              <w:tabs>
                <w:tab w:val="clear" w:pos="567"/>
              </w:tabs>
              <w:ind w:left="140" w:right="140" w:hanging="0"/>
              <w:jc w:val="center"/>
              <w:rPr>
                <w:szCs w:val="27"/>
              </w:rPr>
            </w:pPr>
            <w:r>
              <w:rPr>
                <w:szCs w:val="27"/>
              </w:rPr>
              <w:t>4.7</w:t>
            </w:r>
            <w:r>
              <w:rPr>
                <w:szCs w:val="27"/>
              </w:rPr>
              <w:t>天</w:t>
            </w:r>
          </w:p>
        </w:tc>
      </w:tr>
      <w:tr>
        <w:trPr/>
        <w:tc>
          <w:tcPr>
            <w:tcW w:w="4732" w:type="dxa"/>
            <w:tcBorders/>
          </w:tcPr>
          <w:p>
            <w:pPr>
              <w:pStyle w:val="F21"/>
              <w:tabs>
                <w:tab w:val="clear" w:pos="567"/>
              </w:tabs>
              <w:ind w:left="140" w:right="140" w:hanging="0"/>
              <w:rPr>
                <w:szCs w:val="27"/>
              </w:rPr>
            </w:pPr>
            <w:r>
              <w:rPr>
                <w:szCs w:val="27"/>
              </w:rPr>
              <w:t>9.</w:t>
              <w:tab/>
            </w:r>
            <w:r>
              <w:rPr>
                <w:szCs w:val="27"/>
              </w:rPr>
              <w:t>金屬棚架工</w:t>
            </w:r>
          </w:p>
        </w:tc>
        <w:tc>
          <w:tcPr>
            <w:tcW w:w="3044" w:type="dxa"/>
            <w:tcBorders/>
          </w:tcPr>
          <w:p>
            <w:pPr>
              <w:pStyle w:val="F21"/>
              <w:tabs>
                <w:tab w:val="clear" w:pos="567"/>
              </w:tabs>
              <w:ind w:left="140" w:right="140" w:hanging="0"/>
              <w:jc w:val="center"/>
              <w:rPr>
                <w:szCs w:val="27"/>
              </w:rPr>
            </w:pPr>
            <w:r>
              <w:rPr>
                <w:szCs w:val="27"/>
              </w:rPr>
              <w:t>5.4</w:t>
            </w:r>
            <w:r>
              <w:rPr>
                <w:szCs w:val="27"/>
              </w:rPr>
              <w:t>天</w:t>
            </w:r>
          </w:p>
        </w:tc>
      </w:tr>
      <w:tr>
        <w:trPr/>
        <w:tc>
          <w:tcPr>
            <w:tcW w:w="4732" w:type="dxa"/>
            <w:tcBorders/>
          </w:tcPr>
          <w:p>
            <w:pPr>
              <w:pStyle w:val="F21"/>
              <w:tabs>
                <w:tab w:val="clear" w:pos="567"/>
              </w:tabs>
              <w:ind w:left="140" w:right="140" w:hanging="0"/>
              <w:rPr>
                <w:szCs w:val="27"/>
              </w:rPr>
            </w:pPr>
            <w:r>
              <w:rPr>
                <w:szCs w:val="27"/>
              </w:rPr>
              <w:t>10.</w:t>
              <w:tab/>
            </w:r>
            <w:r>
              <w:rPr>
                <w:szCs w:val="27"/>
              </w:rPr>
              <w:t>金屬工</w:t>
            </w:r>
          </w:p>
        </w:tc>
        <w:tc>
          <w:tcPr>
            <w:tcW w:w="3044" w:type="dxa"/>
            <w:tcBorders/>
          </w:tcPr>
          <w:p>
            <w:pPr>
              <w:pStyle w:val="F21"/>
              <w:tabs>
                <w:tab w:val="clear" w:pos="567"/>
              </w:tabs>
              <w:ind w:left="140" w:right="140" w:hanging="0"/>
              <w:jc w:val="center"/>
              <w:rPr>
                <w:szCs w:val="27"/>
              </w:rPr>
            </w:pPr>
            <w:r>
              <w:rPr>
                <w:szCs w:val="27"/>
              </w:rPr>
              <w:t>5.1</w:t>
            </w:r>
            <w:r>
              <w:rPr>
                <w:szCs w:val="27"/>
              </w:rPr>
              <w:t>天</w:t>
            </w:r>
          </w:p>
        </w:tc>
      </w:tr>
      <w:tr>
        <w:trPr/>
        <w:tc>
          <w:tcPr>
            <w:tcW w:w="4732" w:type="dxa"/>
            <w:tcBorders/>
          </w:tcPr>
          <w:p>
            <w:pPr>
              <w:pStyle w:val="F21"/>
              <w:tabs>
                <w:tab w:val="clear" w:pos="567"/>
              </w:tabs>
              <w:ind w:left="140" w:right="140" w:hanging="0"/>
              <w:rPr>
                <w:szCs w:val="27"/>
              </w:rPr>
            </w:pPr>
            <w:r>
              <w:rPr>
                <w:szCs w:val="27"/>
              </w:rPr>
              <w:t>11.</w:t>
              <w:tab/>
            </w:r>
            <w:r>
              <w:rPr>
                <w:szCs w:val="27"/>
              </w:rPr>
              <w:t>結構鋼材焊接工</w:t>
            </w:r>
          </w:p>
        </w:tc>
        <w:tc>
          <w:tcPr>
            <w:tcW w:w="3044" w:type="dxa"/>
            <w:tcBorders/>
          </w:tcPr>
          <w:p>
            <w:pPr>
              <w:pStyle w:val="F21"/>
              <w:tabs>
                <w:tab w:val="clear" w:pos="567"/>
              </w:tabs>
              <w:ind w:left="140" w:right="140" w:hanging="0"/>
              <w:jc w:val="center"/>
              <w:rPr>
                <w:szCs w:val="27"/>
              </w:rPr>
            </w:pPr>
            <w:r>
              <w:rPr>
                <w:szCs w:val="27"/>
              </w:rPr>
              <w:t>未有資料</w:t>
            </w:r>
          </w:p>
        </w:tc>
      </w:tr>
      <w:tr>
        <w:trPr/>
        <w:tc>
          <w:tcPr>
            <w:tcW w:w="4732" w:type="dxa"/>
            <w:tcBorders/>
          </w:tcPr>
          <w:p>
            <w:pPr>
              <w:pStyle w:val="F21"/>
              <w:tabs>
                <w:tab w:val="clear" w:pos="567"/>
              </w:tabs>
              <w:ind w:left="140" w:right="140" w:hanging="0"/>
              <w:rPr>
                <w:szCs w:val="27"/>
              </w:rPr>
            </w:pPr>
            <w:r>
              <w:rPr>
                <w:szCs w:val="27"/>
              </w:rPr>
              <w:t>12.</w:t>
              <w:tab/>
            </w:r>
            <w:r>
              <w:rPr>
                <w:szCs w:val="27"/>
              </w:rPr>
              <w:t>髹漆及裝飾工</w:t>
            </w:r>
          </w:p>
        </w:tc>
        <w:tc>
          <w:tcPr>
            <w:tcW w:w="3044" w:type="dxa"/>
            <w:tcBorders/>
          </w:tcPr>
          <w:p>
            <w:pPr>
              <w:pStyle w:val="F21"/>
              <w:tabs>
                <w:tab w:val="clear" w:pos="567"/>
              </w:tabs>
              <w:ind w:left="140" w:right="140" w:hanging="0"/>
              <w:jc w:val="center"/>
              <w:rPr>
                <w:szCs w:val="27"/>
              </w:rPr>
            </w:pPr>
            <w:r>
              <w:rPr>
                <w:szCs w:val="27"/>
              </w:rPr>
              <w:t>5.0</w:t>
            </w:r>
            <w:r>
              <w:rPr>
                <w:szCs w:val="27"/>
              </w:rPr>
              <w:t>天</w:t>
            </w:r>
          </w:p>
        </w:tc>
      </w:tr>
      <w:tr>
        <w:trPr/>
        <w:tc>
          <w:tcPr>
            <w:tcW w:w="4732" w:type="dxa"/>
            <w:tcBorders/>
          </w:tcPr>
          <w:p>
            <w:pPr>
              <w:pStyle w:val="F21"/>
              <w:tabs>
                <w:tab w:val="clear" w:pos="567"/>
              </w:tabs>
              <w:ind w:left="140" w:right="140" w:hanging="0"/>
              <w:rPr>
                <w:szCs w:val="27"/>
              </w:rPr>
            </w:pPr>
            <w:r>
              <w:rPr>
                <w:szCs w:val="27"/>
              </w:rPr>
              <w:t>13.</w:t>
              <w:tab/>
            </w:r>
            <w:r>
              <w:rPr>
                <w:szCs w:val="27"/>
              </w:rPr>
              <w:t>幕牆工</w:t>
            </w:r>
          </w:p>
        </w:tc>
        <w:tc>
          <w:tcPr>
            <w:tcW w:w="3044" w:type="dxa"/>
            <w:tcBorders/>
          </w:tcPr>
          <w:p>
            <w:pPr>
              <w:pStyle w:val="F21"/>
              <w:tabs>
                <w:tab w:val="clear" w:pos="567"/>
              </w:tabs>
              <w:ind w:left="140" w:right="140" w:hanging="0"/>
              <w:jc w:val="center"/>
              <w:rPr>
                <w:szCs w:val="27"/>
              </w:rPr>
            </w:pPr>
            <w:r>
              <w:rPr>
                <w:szCs w:val="27"/>
              </w:rPr>
              <w:t>未有資料</w:t>
            </w:r>
          </w:p>
        </w:tc>
      </w:tr>
      <w:tr>
        <w:trPr/>
        <w:tc>
          <w:tcPr>
            <w:tcW w:w="4732" w:type="dxa"/>
            <w:tcBorders/>
          </w:tcPr>
          <w:p>
            <w:pPr>
              <w:pStyle w:val="F21"/>
              <w:tabs>
                <w:tab w:val="clear" w:pos="567"/>
              </w:tabs>
              <w:ind w:left="140" w:right="140" w:hanging="0"/>
              <w:rPr>
                <w:szCs w:val="27"/>
              </w:rPr>
            </w:pPr>
            <w:r>
              <w:rPr>
                <w:szCs w:val="27"/>
              </w:rPr>
              <w:t>14.</w:t>
              <w:tab/>
            </w:r>
            <w:r>
              <w:rPr>
                <w:szCs w:val="27"/>
              </w:rPr>
              <w:t>結構鋼架工</w:t>
            </w:r>
          </w:p>
        </w:tc>
        <w:tc>
          <w:tcPr>
            <w:tcW w:w="3044" w:type="dxa"/>
            <w:tcBorders/>
          </w:tcPr>
          <w:p>
            <w:pPr>
              <w:pStyle w:val="F21"/>
              <w:tabs>
                <w:tab w:val="clear" w:pos="567"/>
              </w:tabs>
              <w:ind w:left="140" w:right="140" w:hanging="0"/>
              <w:jc w:val="center"/>
              <w:rPr>
                <w:szCs w:val="27"/>
              </w:rPr>
            </w:pPr>
            <w:r>
              <w:rPr>
                <w:szCs w:val="27"/>
              </w:rPr>
              <w:t>未有資料</w:t>
            </w:r>
          </w:p>
        </w:tc>
      </w:tr>
      <w:tr>
        <w:trPr/>
        <w:tc>
          <w:tcPr>
            <w:tcW w:w="4732" w:type="dxa"/>
            <w:tcBorders/>
          </w:tcPr>
          <w:p>
            <w:pPr>
              <w:pStyle w:val="F21"/>
              <w:tabs>
                <w:tab w:val="clear" w:pos="567"/>
              </w:tabs>
              <w:ind w:left="140" w:right="140" w:hanging="0"/>
              <w:rPr>
                <w:szCs w:val="27"/>
              </w:rPr>
            </w:pPr>
            <w:r>
              <w:rPr>
                <w:szCs w:val="27"/>
              </w:rPr>
              <w:t>15.</w:t>
              <w:tab/>
            </w:r>
            <w:r>
              <w:rPr>
                <w:szCs w:val="27"/>
              </w:rPr>
              <w:t>自動梯技工</w:t>
            </w:r>
          </w:p>
        </w:tc>
        <w:tc>
          <w:tcPr>
            <w:tcW w:w="3044" w:type="dxa"/>
            <w:tcBorders/>
          </w:tcPr>
          <w:p>
            <w:pPr>
              <w:pStyle w:val="F21"/>
              <w:tabs>
                <w:tab w:val="clear" w:pos="567"/>
              </w:tabs>
              <w:ind w:left="140" w:right="140" w:hanging="0"/>
              <w:jc w:val="center"/>
              <w:rPr>
                <w:szCs w:val="27"/>
              </w:rPr>
            </w:pPr>
            <w:r>
              <w:rPr>
                <w:szCs w:val="27"/>
              </w:rPr>
              <w:t>6.0</w:t>
            </w:r>
            <w:r>
              <w:rPr>
                <w:szCs w:val="27"/>
              </w:rPr>
              <w:t>天</w:t>
            </w:r>
          </w:p>
        </w:tc>
      </w:tr>
      <w:tr>
        <w:trPr/>
        <w:tc>
          <w:tcPr>
            <w:tcW w:w="4732" w:type="dxa"/>
            <w:tcBorders/>
          </w:tcPr>
          <w:p>
            <w:pPr>
              <w:pStyle w:val="F21"/>
              <w:tabs>
                <w:tab w:val="clear" w:pos="567"/>
              </w:tabs>
              <w:ind w:left="140" w:right="140" w:hanging="0"/>
              <w:rPr>
                <w:szCs w:val="27"/>
              </w:rPr>
            </w:pPr>
            <w:r>
              <w:rPr>
                <w:szCs w:val="27"/>
              </w:rPr>
              <w:t>16.</w:t>
              <w:tab/>
            </w:r>
            <w:r>
              <w:rPr>
                <w:szCs w:val="27"/>
              </w:rPr>
              <w:t>升降機技工</w:t>
            </w:r>
          </w:p>
        </w:tc>
        <w:tc>
          <w:tcPr>
            <w:tcW w:w="3044" w:type="dxa"/>
            <w:tcBorders/>
          </w:tcPr>
          <w:p>
            <w:pPr>
              <w:pStyle w:val="F21"/>
              <w:tabs>
                <w:tab w:val="clear" w:pos="567"/>
              </w:tabs>
              <w:ind w:left="140" w:right="140" w:hanging="0"/>
              <w:jc w:val="center"/>
              <w:rPr>
                <w:szCs w:val="27"/>
              </w:rPr>
            </w:pPr>
            <w:r>
              <w:rPr>
                <w:szCs w:val="27"/>
              </w:rPr>
              <w:t>5.9</w:t>
            </w:r>
            <w:r>
              <w:rPr>
                <w:szCs w:val="27"/>
              </w:rPr>
              <w:t>天</w:t>
            </w:r>
          </w:p>
        </w:tc>
      </w:tr>
      <w:tr>
        <w:trPr/>
        <w:tc>
          <w:tcPr>
            <w:tcW w:w="4732" w:type="dxa"/>
            <w:tcBorders/>
          </w:tcPr>
          <w:p>
            <w:pPr>
              <w:pStyle w:val="F21"/>
              <w:tabs>
                <w:tab w:val="clear" w:pos="567"/>
              </w:tabs>
              <w:ind w:left="140" w:right="140" w:hanging="0"/>
              <w:rPr>
                <w:szCs w:val="27"/>
              </w:rPr>
            </w:pPr>
            <w:r>
              <w:rPr>
                <w:szCs w:val="27"/>
              </w:rPr>
              <w:t>17.</w:t>
              <w:tab/>
            </w:r>
            <w:r>
              <w:rPr>
                <w:szCs w:val="27"/>
              </w:rPr>
              <w:t>水喉工</w:t>
            </w:r>
          </w:p>
        </w:tc>
        <w:tc>
          <w:tcPr>
            <w:tcW w:w="3044" w:type="dxa"/>
            <w:tcBorders/>
          </w:tcPr>
          <w:p>
            <w:pPr>
              <w:pStyle w:val="F21"/>
              <w:tabs>
                <w:tab w:val="clear" w:pos="567"/>
              </w:tabs>
              <w:ind w:left="140" w:right="140" w:hanging="0"/>
              <w:jc w:val="center"/>
              <w:rPr>
                <w:szCs w:val="27"/>
              </w:rPr>
            </w:pPr>
            <w:r>
              <w:rPr>
                <w:szCs w:val="27"/>
              </w:rPr>
              <w:t>5.2</w:t>
            </w:r>
            <w:r>
              <w:rPr>
                <w:szCs w:val="27"/>
              </w:rPr>
              <w:t>天</w:t>
            </w:r>
          </w:p>
        </w:tc>
      </w:tr>
      <w:tr>
        <w:trPr/>
        <w:tc>
          <w:tcPr>
            <w:tcW w:w="4732" w:type="dxa"/>
            <w:tcBorders/>
          </w:tcPr>
          <w:p>
            <w:pPr>
              <w:pStyle w:val="F21"/>
              <w:tabs>
                <w:tab w:val="clear" w:pos="567"/>
              </w:tabs>
              <w:ind w:left="140" w:right="140" w:hanging="0"/>
              <w:rPr>
                <w:szCs w:val="27"/>
              </w:rPr>
            </w:pPr>
            <w:r>
              <w:rPr>
                <w:szCs w:val="27"/>
              </w:rPr>
              <w:t>18.</w:t>
              <w:tab/>
            </w:r>
            <w:r>
              <w:rPr>
                <w:szCs w:val="27"/>
              </w:rPr>
              <w:t>消防機械裝配工</w:t>
            </w:r>
          </w:p>
        </w:tc>
        <w:tc>
          <w:tcPr>
            <w:tcW w:w="3044" w:type="dxa"/>
            <w:tcBorders/>
          </w:tcPr>
          <w:p>
            <w:pPr>
              <w:pStyle w:val="F21"/>
              <w:tabs>
                <w:tab w:val="clear" w:pos="567"/>
              </w:tabs>
              <w:ind w:left="140" w:right="140" w:hanging="0"/>
              <w:jc w:val="center"/>
              <w:rPr>
                <w:szCs w:val="27"/>
              </w:rPr>
            </w:pPr>
            <w:r>
              <w:rPr>
                <w:szCs w:val="27"/>
              </w:rPr>
              <w:t>未有資料</w:t>
            </w:r>
          </w:p>
        </w:tc>
      </w:tr>
      <w:tr>
        <w:trPr/>
        <w:tc>
          <w:tcPr>
            <w:tcW w:w="4732" w:type="dxa"/>
            <w:tcBorders/>
          </w:tcPr>
          <w:p>
            <w:pPr>
              <w:pStyle w:val="F21"/>
              <w:tabs>
                <w:tab w:val="clear" w:pos="567"/>
              </w:tabs>
              <w:ind w:left="140" w:right="140" w:hanging="0"/>
              <w:rPr>
                <w:szCs w:val="27"/>
              </w:rPr>
            </w:pPr>
            <w:r>
              <w:rPr>
                <w:szCs w:val="27"/>
              </w:rPr>
              <w:t>19.</w:t>
              <w:tab/>
            </w:r>
            <w:r>
              <w:rPr>
                <w:szCs w:val="27"/>
              </w:rPr>
              <w:t>消防電氣裝配工</w:t>
            </w:r>
          </w:p>
        </w:tc>
        <w:tc>
          <w:tcPr>
            <w:tcW w:w="3044" w:type="dxa"/>
            <w:tcBorders/>
          </w:tcPr>
          <w:p>
            <w:pPr>
              <w:pStyle w:val="F21"/>
              <w:tabs>
                <w:tab w:val="clear" w:pos="567"/>
              </w:tabs>
              <w:ind w:left="140" w:right="140" w:hanging="0"/>
              <w:jc w:val="center"/>
              <w:rPr>
                <w:szCs w:val="27"/>
              </w:rPr>
            </w:pPr>
            <w:r>
              <w:rPr>
                <w:szCs w:val="27"/>
              </w:rPr>
              <w:t>未有資料</w:t>
            </w:r>
          </w:p>
        </w:tc>
      </w:tr>
      <w:tr>
        <w:trPr/>
        <w:tc>
          <w:tcPr>
            <w:tcW w:w="4732" w:type="dxa"/>
            <w:tcBorders/>
          </w:tcPr>
          <w:p>
            <w:pPr>
              <w:pStyle w:val="F21"/>
              <w:tabs>
                <w:tab w:val="clear" w:pos="567"/>
              </w:tabs>
              <w:ind w:left="140" w:right="140" w:hanging="0"/>
              <w:rPr>
                <w:szCs w:val="27"/>
              </w:rPr>
            </w:pPr>
            <w:r>
              <w:rPr>
                <w:szCs w:val="27"/>
              </w:rPr>
              <w:t>20.</w:t>
              <w:tab/>
            </w:r>
            <w:r>
              <w:rPr>
                <w:szCs w:val="27"/>
              </w:rPr>
              <w:t>空調製冷設備技工</w:t>
            </w:r>
            <w:r>
              <w:rPr>
                <w:szCs w:val="27"/>
              </w:rPr>
              <w:t>(</w:t>
            </w:r>
            <w:r>
              <w:rPr>
                <w:szCs w:val="27"/>
              </w:rPr>
              <w:t>送風系統</w:t>
            </w:r>
            <w:r>
              <w:rPr>
                <w:szCs w:val="27"/>
              </w:rPr>
              <w:t>)</w:t>
            </w:r>
          </w:p>
        </w:tc>
        <w:tc>
          <w:tcPr>
            <w:tcW w:w="3044" w:type="dxa"/>
            <w:tcBorders/>
          </w:tcPr>
          <w:p>
            <w:pPr>
              <w:pStyle w:val="F21"/>
              <w:tabs>
                <w:tab w:val="clear" w:pos="567"/>
              </w:tabs>
              <w:ind w:left="140" w:right="140" w:hanging="0"/>
              <w:jc w:val="center"/>
              <w:rPr>
                <w:szCs w:val="27"/>
              </w:rPr>
            </w:pPr>
            <w:r>
              <w:rPr>
                <w:szCs w:val="27"/>
              </w:rPr>
              <w:t>5.3</w:t>
            </w:r>
            <w:r>
              <w:rPr>
                <w:szCs w:val="27"/>
              </w:rPr>
              <w:t>天</w:t>
            </w:r>
          </w:p>
        </w:tc>
      </w:tr>
      <w:tr>
        <w:trPr/>
        <w:tc>
          <w:tcPr>
            <w:tcW w:w="4732" w:type="dxa"/>
            <w:tcBorders/>
          </w:tcPr>
          <w:p>
            <w:pPr>
              <w:pStyle w:val="F21"/>
              <w:tabs>
                <w:tab w:val="clear" w:pos="567"/>
              </w:tabs>
              <w:ind w:left="140" w:right="140" w:hanging="0"/>
              <w:rPr>
                <w:szCs w:val="27"/>
              </w:rPr>
            </w:pPr>
            <w:r>
              <w:rPr>
                <w:szCs w:val="27"/>
              </w:rPr>
              <w:t>21.</w:t>
              <w:tab/>
            </w:r>
            <w:r>
              <w:rPr>
                <w:szCs w:val="27"/>
              </w:rPr>
              <w:t>空調製冷設備技工</w:t>
            </w:r>
            <w:r>
              <w:rPr>
                <w:szCs w:val="27"/>
              </w:rPr>
              <w:t>(</w:t>
            </w:r>
            <w:r>
              <w:rPr>
                <w:szCs w:val="27"/>
              </w:rPr>
              <w:t>水系統</w:t>
            </w:r>
            <w:r>
              <w:rPr>
                <w:szCs w:val="27"/>
              </w:rPr>
              <w:t>)</w:t>
            </w:r>
          </w:p>
        </w:tc>
        <w:tc>
          <w:tcPr>
            <w:tcW w:w="3044" w:type="dxa"/>
            <w:tcBorders/>
          </w:tcPr>
          <w:p>
            <w:pPr>
              <w:pStyle w:val="F21"/>
              <w:tabs>
                <w:tab w:val="clear" w:pos="567"/>
              </w:tabs>
              <w:ind w:left="140" w:right="140" w:hanging="0"/>
              <w:jc w:val="center"/>
              <w:rPr>
                <w:szCs w:val="27"/>
              </w:rPr>
            </w:pPr>
            <w:r>
              <w:rPr>
                <w:szCs w:val="27"/>
              </w:rPr>
              <w:t>5.3</w:t>
            </w:r>
            <w:r>
              <w:rPr>
                <w:szCs w:val="27"/>
              </w:rPr>
              <w:t>天</w:t>
            </w:r>
          </w:p>
        </w:tc>
      </w:tr>
      <w:tr>
        <w:trPr/>
        <w:tc>
          <w:tcPr>
            <w:tcW w:w="4732" w:type="dxa"/>
            <w:tcBorders/>
          </w:tcPr>
          <w:p>
            <w:pPr>
              <w:pStyle w:val="F21"/>
              <w:tabs>
                <w:tab w:val="clear" w:pos="567"/>
              </w:tabs>
              <w:ind w:left="140" w:right="140" w:hanging="0"/>
              <w:rPr>
                <w:szCs w:val="27"/>
              </w:rPr>
            </w:pPr>
            <w:r>
              <w:rPr>
                <w:szCs w:val="27"/>
              </w:rPr>
              <w:t>22.</w:t>
              <w:tab/>
            </w:r>
            <w:r>
              <w:rPr>
                <w:szCs w:val="27"/>
              </w:rPr>
              <w:t>隧道工</w:t>
            </w:r>
          </w:p>
        </w:tc>
        <w:tc>
          <w:tcPr>
            <w:tcW w:w="3044" w:type="dxa"/>
            <w:tcBorders/>
          </w:tcPr>
          <w:p>
            <w:pPr>
              <w:pStyle w:val="F21"/>
              <w:tabs>
                <w:tab w:val="clear" w:pos="567"/>
              </w:tabs>
              <w:ind w:left="140" w:right="140" w:hanging="0"/>
              <w:jc w:val="center"/>
              <w:rPr>
                <w:szCs w:val="27"/>
              </w:rPr>
            </w:pPr>
            <w:r>
              <w:rPr>
                <w:szCs w:val="27"/>
              </w:rPr>
              <w:t>未有資料</w:t>
            </w:r>
          </w:p>
        </w:tc>
      </w:tr>
      <w:tr>
        <w:trPr/>
        <w:tc>
          <w:tcPr>
            <w:tcW w:w="4732" w:type="dxa"/>
            <w:tcBorders/>
          </w:tcPr>
          <w:p>
            <w:pPr>
              <w:pStyle w:val="F21"/>
              <w:tabs>
                <w:tab w:val="clear" w:pos="567"/>
              </w:tabs>
              <w:ind w:left="140" w:right="140" w:hanging="0"/>
              <w:rPr>
                <w:szCs w:val="27"/>
              </w:rPr>
            </w:pPr>
            <w:r>
              <w:rPr>
                <w:szCs w:val="27"/>
              </w:rPr>
              <w:t>23.</w:t>
              <w:tab/>
            </w:r>
            <w:r>
              <w:rPr>
                <w:szCs w:val="27"/>
              </w:rPr>
              <w:t>壓氣作業工</w:t>
            </w:r>
          </w:p>
        </w:tc>
        <w:tc>
          <w:tcPr>
            <w:tcW w:w="3044" w:type="dxa"/>
            <w:tcBorders/>
          </w:tcPr>
          <w:p>
            <w:pPr>
              <w:pStyle w:val="F21"/>
              <w:tabs>
                <w:tab w:val="clear" w:pos="567"/>
              </w:tabs>
              <w:ind w:left="140" w:right="140" w:hanging="0"/>
              <w:jc w:val="center"/>
              <w:rPr>
                <w:szCs w:val="27"/>
              </w:rPr>
            </w:pPr>
            <w:r>
              <w:rPr>
                <w:szCs w:val="27"/>
              </w:rPr>
              <w:t>未有資料</w:t>
            </w:r>
          </w:p>
        </w:tc>
      </w:tr>
      <w:tr>
        <w:trPr/>
        <w:tc>
          <w:tcPr>
            <w:tcW w:w="4732" w:type="dxa"/>
            <w:tcBorders/>
          </w:tcPr>
          <w:p>
            <w:pPr>
              <w:pStyle w:val="F21"/>
              <w:tabs>
                <w:tab w:val="clear" w:pos="567"/>
              </w:tabs>
              <w:ind w:left="537" w:right="140" w:hanging="397"/>
              <w:rPr>
                <w:szCs w:val="27"/>
              </w:rPr>
            </w:pPr>
            <w:r>
              <w:rPr>
                <w:szCs w:val="27"/>
              </w:rPr>
              <w:t>24.</w:t>
            </w:r>
            <w:r>
              <w:rPr>
                <w:szCs w:val="27"/>
              </w:rPr>
              <w:t>機械設備操作工</w:t>
            </w:r>
            <w:r>
              <w:rPr>
                <w:szCs w:val="27"/>
              </w:rPr>
              <w:t>(</w:t>
            </w:r>
            <w:r>
              <w:rPr>
                <w:szCs w:val="27"/>
              </w:rPr>
              <w:t>隧道</w:t>
            </w:r>
            <w:r>
              <w:rPr>
                <w:szCs w:val="27"/>
              </w:rPr>
              <w:t>)—</w:t>
            </w:r>
            <w:r>
              <w:rPr>
                <w:szCs w:val="27"/>
              </w:rPr>
              <w:t>鑽挖機械—盾構司機</w:t>
            </w:r>
          </w:p>
        </w:tc>
        <w:tc>
          <w:tcPr>
            <w:tcW w:w="3044" w:type="dxa"/>
            <w:tcBorders/>
          </w:tcPr>
          <w:p>
            <w:pPr>
              <w:pStyle w:val="F21"/>
              <w:tabs>
                <w:tab w:val="clear" w:pos="567"/>
              </w:tabs>
              <w:ind w:left="140" w:right="140" w:hanging="0"/>
              <w:jc w:val="center"/>
              <w:rPr>
                <w:szCs w:val="27"/>
              </w:rPr>
            </w:pPr>
            <w:r>
              <w:rPr>
                <w:szCs w:val="27"/>
              </w:rPr>
              <w:t>未有資料</w:t>
            </w:r>
          </w:p>
        </w:tc>
      </w:tr>
      <w:tr>
        <w:trPr/>
        <w:tc>
          <w:tcPr>
            <w:tcW w:w="4732" w:type="dxa"/>
            <w:tcBorders/>
          </w:tcPr>
          <w:p>
            <w:pPr>
              <w:pStyle w:val="F21"/>
              <w:tabs>
                <w:tab w:val="clear" w:pos="567"/>
              </w:tabs>
              <w:ind w:left="140" w:right="140" w:hanging="0"/>
              <w:rPr>
                <w:szCs w:val="27"/>
              </w:rPr>
            </w:pPr>
            <w:r>
              <w:rPr>
                <w:szCs w:val="27"/>
              </w:rPr>
              <w:t>25.</w:t>
              <w:tab/>
            </w:r>
            <w:r>
              <w:rPr>
                <w:szCs w:val="27"/>
              </w:rPr>
              <w:t>鋪軌工</w:t>
            </w:r>
          </w:p>
        </w:tc>
        <w:tc>
          <w:tcPr>
            <w:tcW w:w="3044" w:type="dxa"/>
            <w:tcBorders/>
          </w:tcPr>
          <w:p>
            <w:pPr>
              <w:pStyle w:val="F21"/>
              <w:tabs>
                <w:tab w:val="clear" w:pos="567"/>
              </w:tabs>
              <w:ind w:left="140" w:right="140" w:hanging="0"/>
              <w:jc w:val="center"/>
              <w:rPr>
                <w:szCs w:val="27"/>
              </w:rPr>
            </w:pPr>
            <w:r>
              <w:rPr>
                <w:szCs w:val="27"/>
              </w:rPr>
              <w:t>未有資料</w:t>
            </w:r>
          </w:p>
        </w:tc>
      </w:tr>
      <w:tr>
        <w:trPr/>
        <w:tc>
          <w:tcPr>
            <w:tcW w:w="4732" w:type="dxa"/>
            <w:tcBorders/>
          </w:tcPr>
          <w:p>
            <w:pPr>
              <w:pStyle w:val="F21"/>
              <w:tabs>
                <w:tab w:val="clear" w:pos="567"/>
              </w:tabs>
              <w:ind w:left="140" w:right="140" w:hanging="0"/>
              <w:rPr>
                <w:szCs w:val="27"/>
              </w:rPr>
            </w:pPr>
            <w:r>
              <w:rPr>
                <w:szCs w:val="27"/>
              </w:rPr>
              <w:t>26.</w:t>
              <w:tab/>
            </w:r>
            <w:r>
              <w:rPr>
                <w:szCs w:val="27"/>
              </w:rPr>
              <w:t>爆石工</w:t>
            </w:r>
          </w:p>
        </w:tc>
        <w:tc>
          <w:tcPr>
            <w:tcW w:w="3044" w:type="dxa"/>
            <w:tcBorders/>
          </w:tcPr>
          <w:p>
            <w:pPr>
              <w:pStyle w:val="F21"/>
              <w:tabs>
                <w:tab w:val="clear" w:pos="567"/>
              </w:tabs>
              <w:ind w:left="140" w:right="140" w:hanging="0"/>
              <w:jc w:val="center"/>
              <w:rPr>
                <w:szCs w:val="27"/>
              </w:rPr>
            </w:pPr>
            <w:r>
              <w:rPr>
                <w:szCs w:val="27"/>
              </w:rPr>
              <w:t>未有資料</w:t>
            </w:r>
          </w:p>
        </w:tc>
      </w:tr>
    </w:tbl>
    <w:p>
      <w:pPr>
        <w:pStyle w:val="F21"/>
        <w:rPr>
          <w:szCs w:val="27"/>
        </w:rPr>
      </w:pPr>
      <w:r>
        <w:rPr>
          <w:szCs w:val="27"/>
        </w:rPr>
      </w:r>
    </w:p>
    <w:p>
      <w:pPr>
        <w:pStyle w:val="F21"/>
        <w:ind w:left="1418" w:hanging="851"/>
        <w:rPr>
          <w:szCs w:val="27"/>
        </w:rPr>
      </w:pPr>
      <w:r>
        <w:rPr>
          <w:szCs w:val="27"/>
        </w:rPr>
        <w:tab/>
      </w:r>
      <w:r>
        <w:rPr>
          <w:szCs w:val="27"/>
        </w:rPr>
        <w:t>由於建造業的工作屬體力勞動性質，所以個別工種的工人平均每周工作超過</w:t>
      </w:r>
      <w:r>
        <w:rPr>
          <w:szCs w:val="27"/>
        </w:rPr>
        <w:t>4</w:t>
      </w:r>
      <w:r>
        <w:rPr>
          <w:szCs w:val="27"/>
        </w:rPr>
        <w:t>天，已被視為全職受僱。</w:t>
      </w:r>
    </w:p>
    <w:p>
      <w:pPr>
        <w:pStyle w:val="F21"/>
        <w:ind w:left="1418" w:hanging="851"/>
        <w:rPr>
          <w:szCs w:val="27"/>
        </w:rPr>
      </w:pPr>
      <w:r>
        <w:rPr>
          <w:szCs w:val="27"/>
        </w:rPr>
      </w:r>
    </w:p>
    <w:p>
      <w:pPr>
        <w:pStyle w:val="F21"/>
        <w:ind w:left="1418" w:hanging="851"/>
        <w:rPr>
          <w:szCs w:val="27"/>
        </w:rPr>
      </w:pPr>
      <w:r>
        <w:rPr>
          <w:szCs w:val="27"/>
        </w:rPr>
        <w:t>(</w:t>
      </w:r>
      <w:r>
        <w:rPr>
          <w:szCs w:val="27"/>
        </w:rPr>
        <w:t>二</w:t>
      </w:r>
      <w:r>
        <w:rPr>
          <w:szCs w:val="27"/>
        </w:rPr>
        <w:t>)</w:t>
        <w:tab/>
      </w:r>
      <w:r>
        <w:rPr>
          <w:szCs w:val="27"/>
        </w:rPr>
        <w:t>政府沒有按</w:t>
      </w:r>
      <w:r>
        <w:rPr>
          <w:szCs w:val="27"/>
        </w:rPr>
        <w:t>26</w:t>
      </w:r>
      <w:r>
        <w:rPr>
          <w:szCs w:val="27"/>
        </w:rPr>
        <w:t>個工種劃分的就業人數、求職人數、職位空缺數目、職位空缺率及工業意外數目的分項數字。根據政府統計處及勞工處的資料，過去</w:t>
      </w:r>
      <w:r>
        <w:rPr>
          <w:szCs w:val="27"/>
        </w:rPr>
        <w:t>5</w:t>
      </w:r>
      <w:r>
        <w:rPr>
          <w:szCs w:val="27"/>
        </w:rPr>
        <w:t>年，建造業整體就業人數、職位空缺率</w:t>
      </w:r>
      <w:r>
        <w:rPr>
          <w:szCs w:val="27"/>
        </w:rPr>
        <w:t>(</w:t>
      </w:r>
      <w:r>
        <w:rPr>
          <w:szCs w:val="27"/>
        </w:rPr>
        <w:t>建築地盤工人</w:t>
      </w:r>
      <w:r>
        <w:rPr>
          <w:szCs w:val="27"/>
        </w:rPr>
        <w:t>)</w:t>
      </w:r>
      <w:r>
        <w:rPr>
          <w:szCs w:val="27"/>
        </w:rPr>
        <w:t>，以及建造業工業意外總數，表列如下：</w:t>
      </w:r>
    </w:p>
    <w:p>
      <w:pPr>
        <w:pStyle w:val="F21"/>
        <w:rPr>
          <w:szCs w:val="27"/>
        </w:rPr>
      </w:pPr>
      <w:r>
        <w:rPr>
          <w:szCs w:val="27"/>
        </w:rPr>
      </w:r>
    </w:p>
    <w:tbl>
      <w:tblPr>
        <w:tblStyle w:val="a9"/>
        <w:tblW w:w="7777" w:type="dxa"/>
        <w:jc w:val="left"/>
        <w:tblInd w:w="1447" w:type="dxa"/>
        <w:tblCellMar>
          <w:top w:w="0" w:type="dxa"/>
          <w:left w:w="108" w:type="dxa"/>
          <w:bottom w:w="0" w:type="dxa"/>
          <w:right w:w="108" w:type="dxa"/>
        </w:tblCellMar>
        <w:tblLook w:val="04a0" w:noHBand="0" w:noVBand="1" w:firstColumn="1" w:lastRow="0" w:lastColumn="0" w:firstRow="1"/>
      </w:tblPr>
      <w:tblGrid>
        <w:gridCol w:w="1484"/>
        <w:gridCol w:w="1904"/>
        <w:gridCol w:w="2444"/>
        <w:gridCol w:w="1944"/>
      </w:tblGrid>
      <w:tr>
        <w:trPr/>
        <w:tc>
          <w:tcPr>
            <w:tcW w:w="1484" w:type="dxa"/>
            <w:tcBorders/>
            <w:vAlign w:val="center"/>
          </w:tcPr>
          <w:p>
            <w:pPr>
              <w:pStyle w:val="F21"/>
              <w:tabs>
                <w:tab w:val="clear" w:pos="567"/>
              </w:tabs>
              <w:jc w:val="center"/>
              <w:rPr>
                <w:i/>
                <w:i/>
                <w:szCs w:val="27"/>
              </w:rPr>
            </w:pPr>
            <w:r>
              <w:rPr>
                <w:i/>
                <w:szCs w:val="27"/>
              </w:rPr>
            </w:r>
          </w:p>
        </w:tc>
        <w:tc>
          <w:tcPr>
            <w:tcW w:w="1904" w:type="dxa"/>
            <w:tcBorders/>
            <w:vAlign w:val="center"/>
          </w:tcPr>
          <w:p>
            <w:pPr>
              <w:pStyle w:val="F21"/>
              <w:tabs>
                <w:tab w:val="clear" w:pos="567"/>
              </w:tabs>
              <w:jc w:val="center"/>
              <w:rPr>
                <w:i/>
                <w:i/>
                <w:szCs w:val="27"/>
              </w:rPr>
            </w:pPr>
            <w:r>
              <w:rPr>
                <w:i/>
                <w:szCs w:val="27"/>
              </w:rPr>
              <w:t>建造業</w:t>
            </w:r>
          </w:p>
          <w:p>
            <w:pPr>
              <w:pStyle w:val="F21"/>
              <w:tabs>
                <w:tab w:val="clear" w:pos="567"/>
              </w:tabs>
              <w:jc w:val="center"/>
              <w:rPr>
                <w:i/>
                <w:i/>
                <w:szCs w:val="27"/>
              </w:rPr>
            </w:pPr>
            <w:r>
              <w:rPr>
                <w:i/>
                <w:szCs w:val="27"/>
              </w:rPr>
              <w:t>就業人數</w:t>
            </w:r>
          </w:p>
        </w:tc>
        <w:tc>
          <w:tcPr>
            <w:tcW w:w="2444" w:type="dxa"/>
            <w:tcBorders/>
            <w:vAlign w:val="center"/>
          </w:tcPr>
          <w:p>
            <w:pPr>
              <w:pStyle w:val="F21"/>
              <w:tabs>
                <w:tab w:val="clear" w:pos="567"/>
              </w:tabs>
              <w:jc w:val="center"/>
              <w:rPr>
                <w:i/>
                <w:i/>
                <w:szCs w:val="27"/>
              </w:rPr>
            </w:pPr>
            <w:r>
              <w:rPr>
                <w:i/>
                <w:szCs w:val="27"/>
              </w:rPr>
              <w:t>建築地盤工人</w:t>
            </w:r>
          </w:p>
          <w:p>
            <w:pPr>
              <w:pStyle w:val="F21"/>
              <w:tabs>
                <w:tab w:val="clear" w:pos="567"/>
              </w:tabs>
              <w:jc w:val="center"/>
              <w:rPr>
                <w:i/>
                <w:i/>
                <w:szCs w:val="27"/>
              </w:rPr>
            </w:pPr>
            <w:r>
              <w:rPr>
                <w:i/>
                <w:szCs w:val="27"/>
              </w:rPr>
              <w:t>平均職位空缺率</w:t>
            </w:r>
            <w:r>
              <w:rPr>
                <w:i/>
                <w:szCs w:val="27"/>
              </w:rPr>
              <w:t>(%)</w:t>
            </w:r>
          </w:p>
        </w:tc>
        <w:tc>
          <w:tcPr>
            <w:tcW w:w="1944" w:type="dxa"/>
            <w:tcBorders/>
            <w:vAlign w:val="center"/>
          </w:tcPr>
          <w:p>
            <w:pPr>
              <w:pStyle w:val="F21"/>
              <w:tabs>
                <w:tab w:val="clear" w:pos="567"/>
              </w:tabs>
              <w:jc w:val="center"/>
              <w:rPr>
                <w:i/>
                <w:i/>
                <w:szCs w:val="27"/>
              </w:rPr>
            </w:pPr>
            <w:r>
              <w:rPr>
                <w:i/>
                <w:szCs w:val="27"/>
              </w:rPr>
              <w:t>建造業</w:t>
            </w:r>
          </w:p>
          <w:p>
            <w:pPr>
              <w:pStyle w:val="F21"/>
              <w:tabs>
                <w:tab w:val="clear" w:pos="567"/>
              </w:tabs>
              <w:jc w:val="center"/>
              <w:rPr>
                <w:i/>
                <w:i/>
                <w:szCs w:val="27"/>
              </w:rPr>
            </w:pPr>
            <w:r>
              <w:rPr>
                <w:i/>
                <w:szCs w:val="27"/>
              </w:rPr>
              <w:t>工業意外總數</w:t>
            </w:r>
          </w:p>
        </w:tc>
      </w:tr>
      <w:tr>
        <w:trPr/>
        <w:tc>
          <w:tcPr>
            <w:tcW w:w="1484" w:type="dxa"/>
            <w:tcBorders/>
          </w:tcPr>
          <w:p>
            <w:pPr>
              <w:pStyle w:val="F21"/>
              <w:tabs>
                <w:tab w:val="clear" w:pos="567"/>
              </w:tabs>
              <w:jc w:val="center"/>
              <w:rPr>
                <w:szCs w:val="27"/>
              </w:rPr>
            </w:pPr>
            <w:r>
              <w:rPr>
                <w:szCs w:val="27"/>
              </w:rPr>
              <w:t>2014</w:t>
            </w:r>
            <w:r>
              <w:rPr>
                <w:szCs w:val="27"/>
              </w:rPr>
              <w:t>年</w:t>
            </w:r>
          </w:p>
        </w:tc>
        <w:tc>
          <w:tcPr>
            <w:tcW w:w="1904" w:type="dxa"/>
            <w:tcBorders/>
          </w:tcPr>
          <w:p>
            <w:pPr>
              <w:pStyle w:val="F21"/>
              <w:tabs>
                <w:tab w:val="clear" w:pos="567"/>
              </w:tabs>
              <w:jc w:val="center"/>
              <w:rPr>
                <w:szCs w:val="27"/>
              </w:rPr>
            </w:pPr>
            <w:r>
              <w:rPr>
                <w:szCs w:val="27"/>
              </w:rPr>
              <w:t>309 700</w:t>
            </w:r>
          </w:p>
        </w:tc>
        <w:tc>
          <w:tcPr>
            <w:tcW w:w="2444" w:type="dxa"/>
            <w:tcBorders/>
          </w:tcPr>
          <w:p>
            <w:pPr>
              <w:pStyle w:val="F21"/>
              <w:tabs>
                <w:tab w:val="clear" w:pos="567"/>
              </w:tabs>
              <w:jc w:val="center"/>
              <w:rPr>
                <w:szCs w:val="27"/>
              </w:rPr>
            </w:pPr>
            <w:r>
              <w:rPr>
                <w:szCs w:val="27"/>
              </w:rPr>
              <w:t>1.6</w:t>
            </w:r>
          </w:p>
        </w:tc>
        <w:tc>
          <w:tcPr>
            <w:tcW w:w="1944" w:type="dxa"/>
            <w:tcBorders/>
          </w:tcPr>
          <w:p>
            <w:pPr>
              <w:pStyle w:val="F21"/>
              <w:tabs>
                <w:tab w:val="clear" w:pos="567"/>
              </w:tabs>
              <w:jc w:val="center"/>
              <w:rPr>
                <w:szCs w:val="27"/>
              </w:rPr>
            </w:pPr>
            <w:r>
              <w:rPr>
                <w:szCs w:val="27"/>
              </w:rPr>
              <w:t>3 467</w:t>
            </w:r>
          </w:p>
        </w:tc>
      </w:tr>
      <w:tr>
        <w:trPr/>
        <w:tc>
          <w:tcPr>
            <w:tcW w:w="1484" w:type="dxa"/>
            <w:tcBorders/>
          </w:tcPr>
          <w:p>
            <w:pPr>
              <w:pStyle w:val="F21"/>
              <w:tabs>
                <w:tab w:val="clear" w:pos="567"/>
              </w:tabs>
              <w:jc w:val="center"/>
              <w:rPr>
                <w:szCs w:val="27"/>
              </w:rPr>
            </w:pPr>
            <w:r>
              <w:rPr>
                <w:szCs w:val="27"/>
              </w:rPr>
              <w:t>2015</w:t>
            </w:r>
            <w:r>
              <w:rPr>
                <w:szCs w:val="27"/>
              </w:rPr>
              <w:t>年</w:t>
            </w:r>
          </w:p>
        </w:tc>
        <w:tc>
          <w:tcPr>
            <w:tcW w:w="1904" w:type="dxa"/>
            <w:tcBorders/>
          </w:tcPr>
          <w:p>
            <w:pPr>
              <w:pStyle w:val="F21"/>
              <w:tabs>
                <w:tab w:val="clear" w:pos="567"/>
              </w:tabs>
              <w:jc w:val="center"/>
              <w:rPr>
                <w:szCs w:val="27"/>
              </w:rPr>
            </w:pPr>
            <w:r>
              <w:rPr>
                <w:szCs w:val="27"/>
              </w:rPr>
              <w:t>316 700</w:t>
            </w:r>
          </w:p>
        </w:tc>
        <w:tc>
          <w:tcPr>
            <w:tcW w:w="2444" w:type="dxa"/>
            <w:tcBorders/>
          </w:tcPr>
          <w:p>
            <w:pPr>
              <w:pStyle w:val="F21"/>
              <w:tabs>
                <w:tab w:val="clear" w:pos="567"/>
              </w:tabs>
              <w:jc w:val="center"/>
              <w:rPr>
                <w:szCs w:val="27"/>
              </w:rPr>
            </w:pPr>
            <w:r>
              <w:rPr>
                <w:szCs w:val="27"/>
              </w:rPr>
              <w:t>0.8</w:t>
            </w:r>
          </w:p>
        </w:tc>
        <w:tc>
          <w:tcPr>
            <w:tcW w:w="1944" w:type="dxa"/>
            <w:tcBorders/>
          </w:tcPr>
          <w:p>
            <w:pPr>
              <w:pStyle w:val="F21"/>
              <w:tabs>
                <w:tab w:val="clear" w:pos="567"/>
              </w:tabs>
              <w:jc w:val="center"/>
              <w:rPr>
                <w:szCs w:val="27"/>
              </w:rPr>
            </w:pPr>
            <w:r>
              <w:rPr>
                <w:szCs w:val="27"/>
              </w:rPr>
              <w:t>3 723</w:t>
            </w:r>
          </w:p>
        </w:tc>
      </w:tr>
      <w:tr>
        <w:trPr/>
        <w:tc>
          <w:tcPr>
            <w:tcW w:w="1484" w:type="dxa"/>
            <w:tcBorders/>
          </w:tcPr>
          <w:p>
            <w:pPr>
              <w:pStyle w:val="F21"/>
              <w:tabs>
                <w:tab w:val="clear" w:pos="567"/>
              </w:tabs>
              <w:jc w:val="center"/>
              <w:rPr>
                <w:szCs w:val="27"/>
              </w:rPr>
            </w:pPr>
            <w:r>
              <w:rPr>
                <w:szCs w:val="27"/>
              </w:rPr>
              <w:t>2016</w:t>
            </w:r>
            <w:r>
              <w:rPr>
                <w:szCs w:val="27"/>
              </w:rPr>
              <w:t>年</w:t>
            </w:r>
          </w:p>
        </w:tc>
        <w:tc>
          <w:tcPr>
            <w:tcW w:w="1904" w:type="dxa"/>
            <w:tcBorders/>
          </w:tcPr>
          <w:p>
            <w:pPr>
              <w:pStyle w:val="F21"/>
              <w:tabs>
                <w:tab w:val="clear" w:pos="567"/>
              </w:tabs>
              <w:jc w:val="center"/>
              <w:rPr>
                <w:szCs w:val="27"/>
              </w:rPr>
            </w:pPr>
            <w:r>
              <w:rPr>
                <w:szCs w:val="27"/>
              </w:rPr>
              <w:t>328 400</w:t>
            </w:r>
          </w:p>
        </w:tc>
        <w:tc>
          <w:tcPr>
            <w:tcW w:w="2444" w:type="dxa"/>
            <w:tcBorders/>
          </w:tcPr>
          <w:p>
            <w:pPr>
              <w:pStyle w:val="F21"/>
              <w:tabs>
                <w:tab w:val="clear" w:pos="567"/>
              </w:tabs>
              <w:jc w:val="center"/>
              <w:rPr>
                <w:szCs w:val="27"/>
              </w:rPr>
            </w:pPr>
            <w:r>
              <w:rPr>
                <w:szCs w:val="27"/>
              </w:rPr>
              <w:t>1.7</w:t>
            </w:r>
          </w:p>
        </w:tc>
        <w:tc>
          <w:tcPr>
            <w:tcW w:w="1944" w:type="dxa"/>
            <w:tcBorders/>
          </w:tcPr>
          <w:p>
            <w:pPr>
              <w:pStyle w:val="F21"/>
              <w:tabs>
                <w:tab w:val="clear" w:pos="567"/>
              </w:tabs>
              <w:jc w:val="center"/>
              <w:rPr>
                <w:szCs w:val="27"/>
              </w:rPr>
            </w:pPr>
            <w:r>
              <w:rPr>
                <w:szCs w:val="27"/>
              </w:rPr>
              <w:t>3 720</w:t>
            </w:r>
          </w:p>
        </w:tc>
      </w:tr>
      <w:tr>
        <w:trPr/>
        <w:tc>
          <w:tcPr>
            <w:tcW w:w="1484" w:type="dxa"/>
            <w:tcBorders/>
          </w:tcPr>
          <w:p>
            <w:pPr>
              <w:pStyle w:val="F21"/>
              <w:tabs>
                <w:tab w:val="clear" w:pos="567"/>
              </w:tabs>
              <w:jc w:val="center"/>
              <w:rPr>
                <w:szCs w:val="27"/>
              </w:rPr>
            </w:pPr>
            <w:r>
              <w:rPr>
                <w:szCs w:val="27"/>
              </w:rPr>
              <w:t>2017</w:t>
            </w:r>
            <w:r>
              <w:rPr>
                <w:szCs w:val="27"/>
              </w:rPr>
              <w:t>年</w:t>
            </w:r>
          </w:p>
        </w:tc>
        <w:tc>
          <w:tcPr>
            <w:tcW w:w="1904" w:type="dxa"/>
            <w:tcBorders/>
          </w:tcPr>
          <w:p>
            <w:pPr>
              <w:pStyle w:val="F21"/>
              <w:tabs>
                <w:tab w:val="clear" w:pos="567"/>
              </w:tabs>
              <w:jc w:val="center"/>
              <w:rPr>
                <w:szCs w:val="27"/>
              </w:rPr>
            </w:pPr>
            <w:r>
              <w:rPr>
                <w:szCs w:val="27"/>
              </w:rPr>
              <w:t>342 000</w:t>
            </w:r>
          </w:p>
        </w:tc>
        <w:tc>
          <w:tcPr>
            <w:tcW w:w="2444" w:type="dxa"/>
            <w:tcBorders/>
          </w:tcPr>
          <w:p>
            <w:pPr>
              <w:pStyle w:val="F21"/>
              <w:tabs>
                <w:tab w:val="clear" w:pos="567"/>
              </w:tabs>
              <w:jc w:val="center"/>
              <w:rPr>
                <w:szCs w:val="27"/>
              </w:rPr>
            </w:pPr>
            <w:r>
              <w:rPr>
                <w:szCs w:val="27"/>
              </w:rPr>
              <w:t>1.9</w:t>
            </w:r>
          </w:p>
        </w:tc>
        <w:tc>
          <w:tcPr>
            <w:tcW w:w="1944" w:type="dxa"/>
            <w:tcBorders/>
          </w:tcPr>
          <w:p>
            <w:pPr>
              <w:pStyle w:val="F21"/>
              <w:tabs>
                <w:tab w:val="clear" w:pos="567"/>
              </w:tabs>
              <w:jc w:val="center"/>
              <w:rPr>
                <w:szCs w:val="27"/>
              </w:rPr>
            </w:pPr>
            <w:r>
              <w:rPr>
                <w:szCs w:val="27"/>
              </w:rPr>
              <w:t>3 902</w:t>
            </w:r>
          </w:p>
        </w:tc>
      </w:tr>
      <w:tr>
        <w:trPr/>
        <w:tc>
          <w:tcPr>
            <w:tcW w:w="1484" w:type="dxa"/>
            <w:tcBorders/>
          </w:tcPr>
          <w:p>
            <w:pPr>
              <w:pStyle w:val="F21"/>
              <w:tabs>
                <w:tab w:val="clear" w:pos="567"/>
              </w:tabs>
              <w:jc w:val="center"/>
              <w:rPr>
                <w:szCs w:val="27"/>
              </w:rPr>
            </w:pPr>
            <w:r>
              <w:rPr>
                <w:szCs w:val="27"/>
              </w:rPr>
              <w:t>2018</w:t>
            </w:r>
            <w:r>
              <w:rPr>
                <w:szCs w:val="27"/>
              </w:rPr>
              <w:t>年</w:t>
            </w:r>
          </w:p>
        </w:tc>
        <w:tc>
          <w:tcPr>
            <w:tcW w:w="1904" w:type="dxa"/>
            <w:tcBorders/>
          </w:tcPr>
          <w:p>
            <w:pPr>
              <w:pStyle w:val="F21"/>
              <w:tabs>
                <w:tab w:val="clear" w:pos="567"/>
              </w:tabs>
              <w:jc w:val="center"/>
              <w:rPr>
                <w:szCs w:val="27"/>
              </w:rPr>
            </w:pPr>
            <w:r>
              <w:rPr>
                <w:szCs w:val="27"/>
              </w:rPr>
              <w:t>未有資料</w:t>
            </w:r>
          </w:p>
        </w:tc>
        <w:tc>
          <w:tcPr>
            <w:tcW w:w="2444" w:type="dxa"/>
            <w:tcBorders/>
          </w:tcPr>
          <w:p>
            <w:pPr>
              <w:pStyle w:val="F21"/>
              <w:tabs>
                <w:tab w:val="clear" w:pos="567"/>
              </w:tabs>
              <w:jc w:val="center"/>
              <w:rPr>
                <w:szCs w:val="27"/>
              </w:rPr>
            </w:pPr>
            <w:r>
              <w:rPr>
                <w:szCs w:val="27"/>
              </w:rPr>
              <w:t>1.6</w:t>
            </w:r>
          </w:p>
        </w:tc>
        <w:tc>
          <w:tcPr>
            <w:tcW w:w="1944" w:type="dxa"/>
            <w:tcBorders/>
          </w:tcPr>
          <w:p>
            <w:pPr>
              <w:pStyle w:val="F21"/>
              <w:tabs>
                <w:tab w:val="clear" w:pos="567"/>
              </w:tabs>
              <w:jc w:val="center"/>
              <w:rPr>
                <w:szCs w:val="27"/>
              </w:rPr>
            </w:pPr>
            <w:r>
              <w:rPr>
                <w:szCs w:val="27"/>
              </w:rPr>
              <w:t>2 703</w:t>
            </w:r>
          </w:p>
          <w:p>
            <w:pPr>
              <w:pStyle w:val="F21"/>
              <w:tabs>
                <w:tab w:val="clear" w:pos="567"/>
              </w:tabs>
              <w:jc w:val="center"/>
              <w:rPr>
                <w:szCs w:val="27"/>
              </w:rPr>
            </w:pPr>
            <w:r>
              <w:rPr>
                <w:szCs w:val="27"/>
              </w:rPr>
              <w:t>(2018</w:t>
            </w:r>
            <w:r>
              <w:rPr>
                <w:szCs w:val="27"/>
              </w:rPr>
              <w:t>年首</w:t>
            </w:r>
            <w:r>
              <w:rPr>
                <w:szCs w:val="27"/>
              </w:rPr>
              <w:t>3</w:t>
            </w:r>
            <w:r>
              <w:rPr>
                <w:szCs w:val="27"/>
              </w:rPr>
              <w:t>季</w:t>
            </w:r>
            <w:r>
              <w:rPr>
                <w:szCs w:val="27"/>
              </w:rPr>
              <w:t>)</w:t>
            </w:r>
          </w:p>
        </w:tc>
      </w:tr>
    </w:tbl>
    <w:p>
      <w:pPr>
        <w:pStyle w:val="F21"/>
        <w:rPr>
          <w:szCs w:val="27"/>
        </w:rPr>
      </w:pPr>
      <w:r>
        <w:rPr>
          <w:szCs w:val="27"/>
        </w:rPr>
      </w:r>
    </w:p>
    <w:p>
      <w:pPr>
        <w:pStyle w:val="F21"/>
        <w:ind w:left="1418" w:hanging="851"/>
        <w:rPr>
          <w:szCs w:val="27"/>
        </w:rPr>
      </w:pPr>
      <w:r>
        <w:rPr>
          <w:szCs w:val="27"/>
        </w:rPr>
        <w:tab/>
      </w:r>
      <w:r>
        <w:rPr>
          <w:szCs w:val="27"/>
        </w:rPr>
        <w:t>過去</w:t>
      </w:r>
      <w:r>
        <w:rPr>
          <w:szCs w:val="27"/>
        </w:rPr>
        <w:t>5</w:t>
      </w:r>
      <w:r>
        <w:rPr>
          <w:szCs w:val="27"/>
        </w:rPr>
        <w:t>年，按</w:t>
      </w:r>
      <w:r>
        <w:rPr>
          <w:szCs w:val="27"/>
        </w:rPr>
        <w:t>26</w:t>
      </w:r>
      <w:r>
        <w:rPr>
          <w:szCs w:val="27"/>
        </w:rPr>
        <w:t>個工種申請及獲批輸入的勞工數目，請參閱附件一。</w:t>
      </w:r>
      <w:r>
        <w:br w:type="page"/>
      </w:r>
    </w:p>
    <w:p>
      <w:pPr>
        <w:pStyle w:val="F21"/>
        <w:ind w:left="1418" w:hanging="851"/>
        <w:rPr>
          <w:szCs w:val="27"/>
        </w:rPr>
      </w:pPr>
      <w:r>
        <w:rPr>
          <w:szCs w:val="27"/>
        </w:rPr>
        <w:t>(</w:t>
      </w:r>
      <w:r>
        <w:rPr>
          <w:szCs w:val="27"/>
        </w:rPr>
        <w:t>三</w:t>
      </w:r>
      <w:r>
        <w:rPr>
          <w:szCs w:val="27"/>
        </w:rPr>
        <w:t>)</w:t>
        <w:tab/>
      </w:r>
      <w:r>
        <w:rPr>
          <w:szCs w:val="27"/>
        </w:rPr>
        <w:t>在</w:t>
      </w:r>
      <w:r>
        <w:rPr>
          <w:szCs w:val="27"/>
        </w:rPr>
        <w:t>26</w:t>
      </w:r>
      <w:r>
        <w:rPr>
          <w:szCs w:val="27"/>
        </w:rPr>
        <w:t>個人手短缺工種當中，過去</w:t>
      </w:r>
      <w:r>
        <w:rPr>
          <w:szCs w:val="27"/>
        </w:rPr>
        <w:t>5</w:t>
      </w:r>
      <w:r>
        <w:rPr>
          <w:szCs w:val="27"/>
        </w:rPr>
        <w:t>年，議會及職業訓練局所提供培訓資料載於附件二。</w:t>
      </w:r>
    </w:p>
    <w:p>
      <w:pPr>
        <w:pStyle w:val="F21"/>
        <w:ind w:left="1418" w:hanging="851"/>
        <w:rPr>
          <w:szCs w:val="27"/>
        </w:rPr>
      </w:pPr>
      <w:r>
        <w:rPr>
          <w:szCs w:val="27"/>
        </w:rPr>
      </w:r>
    </w:p>
    <w:p>
      <w:pPr>
        <w:pStyle w:val="F21"/>
        <w:ind w:left="1418" w:hanging="851"/>
        <w:rPr>
          <w:szCs w:val="27"/>
        </w:rPr>
      </w:pPr>
      <w:r>
        <w:rPr>
          <w:szCs w:val="27"/>
        </w:rPr>
        <w:t>(</w:t>
      </w:r>
      <w:r>
        <w:rPr>
          <w:szCs w:val="27"/>
        </w:rPr>
        <w:t>四</w:t>
      </w:r>
      <w:r>
        <w:rPr>
          <w:szCs w:val="27"/>
        </w:rPr>
        <w:t>)</w:t>
        <w:tab/>
      </w:r>
      <w:r>
        <w:rPr>
          <w:szCs w:val="27"/>
        </w:rPr>
        <w:t>為吸引更多新人加入建造業，尤其是年輕人，以及鼓勵現有工人繼續在業內工作，我們與議會及業界近年合作推出了多項措施：</w:t>
      </w:r>
    </w:p>
    <w:p>
      <w:pPr>
        <w:pStyle w:val="F21"/>
        <w:ind w:left="1418" w:hanging="851"/>
        <w:rPr>
          <w:szCs w:val="27"/>
        </w:rPr>
      </w:pPr>
      <w:r>
        <w:rPr>
          <w:szCs w:val="27"/>
        </w:rPr>
      </w:r>
    </w:p>
    <w:p>
      <w:pPr>
        <w:pStyle w:val="F21"/>
        <w:ind w:left="1985" w:hanging="567"/>
        <w:rPr>
          <w:szCs w:val="27"/>
        </w:rPr>
      </w:pPr>
      <w:r>
        <w:rPr>
          <w:szCs w:val="27"/>
        </w:rPr>
        <w:t>(a)</w:t>
        <w:tab/>
      </w:r>
      <w:r>
        <w:rPr>
          <w:szCs w:val="27"/>
        </w:rPr>
        <w:t>建造學院提供全面課程：在議會轄下成立的香港建造學院，提供獲資歷架構認可的課程及清晰的發展路向，有助鼓勵年輕人加入建造業。</w:t>
      </w:r>
    </w:p>
    <w:p>
      <w:pPr>
        <w:pStyle w:val="F21"/>
        <w:ind w:left="1985" w:hanging="567"/>
        <w:rPr>
          <w:szCs w:val="27"/>
        </w:rPr>
      </w:pPr>
      <w:r>
        <w:rPr>
          <w:szCs w:val="27"/>
        </w:rPr>
      </w:r>
    </w:p>
    <w:p>
      <w:pPr>
        <w:pStyle w:val="F21"/>
        <w:ind w:left="1985" w:hanging="567"/>
        <w:rPr>
          <w:szCs w:val="27"/>
        </w:rPr>
      </w:pPr>
      <w:r>
        <w:rPr>
          <w:szCs w:val="27"/>
        </w:rPr>
        <w:t>(b)</w:t>
        <w:tab/>
      </w:r>
      <w:r>
        <w:rPr>
          <w:szCs w:val="27"/>
        </w:rPr>
        <w:t>擴大建造業學徒計劃：在</w:t>
      </w:r>
      <w:r>
        <w:rPr>
          <w:szCs w:val="27"/>
        </w:rPr>
        <w:t>2019-2020</w:t>
      </w:r>
      <w:r>
        <w:rPr>
          <w:szCs w:val="27"/>
        </w:rPr>
        <w:t>年度的財政預算案中，我們擬撥備</w:t>
      </w:r>
      <w:r>
        <w:rPr>
          <w:szCs w:val="27"/>
        </w:rPr>
        <w:t>2</w:t>
      </w:r>
      <w:r>
        <w:rPr>
          <w:szCs w:val="27"/>
        </w:rPr>
        <w:t>億元以擴大議會的建造業學徒計劃，涵蓋更多人手短缺的工種，和增加一年全日制課程新學員的津貼，吸引新人入行，並鼓勵在職工友進修，提升技術水平及留在行業繼續發展。</w:t>
      </w:r>
    </w:p>
    <w:p>
      <w:pPr>
        <w:pStyle w:val="F21"/>
        <w:ind w:left="1985" w:hanging="567"/>
        <w:rPr>
          <w:szCs w:val="27"/>
        </w:rPr>
      </w:pPr>
      <w:r>
        <w:rPr>
          <w:szCs w:val="27"/>
        </w:rPr>
      </w:r>
    </w:p>
    <w:p>
      <w:pPr>
        <w:pStyle w:val="F21"/>
        <w:ind w:left="1985" w:hanging="567"/>
        <w:rPr>
          <w:szCs w:val="27"/>
        </w:rPr>
      </w:pPr>
      <w:r>
        <w:rPr>
          <w:szCs w:val="27"/>
        </w:rPr>
        <w:t>(c)</w:t>
        <w:tab/>
      </w:r>
      <w:r>
        <w:rPr>
          <w:szCs w:val="27"/>
        </w:rPr>
        <w:t>通過</w:t>
      </w:r>
      <w:r>
        <w:rPr>
          <w:szCs w:val="27"/>
        </w:rPr>
        <w:t>STEM</w:t>
      </w:r>
      <w:r>
        <w:rPr>
          <w:szCs w:val="27"/>
        </w:rPr>
        <w:t>聯盟介紹建造業：為引起學生對建造業的興趣，香港建造學院設立了</w:t>
      </w:r>
      <w:r>
        <w:rPr>
          <w:szCs w:val="27"/>
        </w:rPr>
        <w:t>STEM</w:t>
      </w:r>
      <w:r>
        <w:rPr>
          <w:szCs w:val="27"/>
        </w:rPr>
        <w:t>聯盟計劃，讓學生和老師加深了解和認識建造業以助吸引新人入行。</w:t>
      </w:r>
    </w:p>
    <w:p>
      <w:pPr>
        <w:pStyle w:val="F21"/>
        <w:ind w:left="1985" w:hanging="567"/>
        <w:rPr>
          <w:szCs w:val="27"/>
        </w:rPr>
      </w:pPr>
      <w:r>
        <w:rPr>
          <w:szCs w:val="27"/>
        </w:rPr>
      </w:r>
    </w:p>
    <w:p>
      <w:pPr>
        <w:pStyle w:val="F21"/>
        <w:ind w:left="1985" w:hanging="567"/>
        <w:rPr>
          <w:szCs w:val="27"/>
        </w:rPr>
      </w:pPr>
      <w:r>
        <w:rPr>
          <w:szCs w:val="27"/>
        </w:rPr>
        <w:t xml:space="preserve">(d) </w:t>
      </w:r>
      <w:r>
        <w:rPr>
          <w:szCs w:val="27"/>
        </w:rPr>
        <w:t>提升建造業的正面形象：我們一直與議會攜手，通過在電視及電台播放宣傳短片、建築地盤圍板宣傳、推動建造業運動和義工計劃及其他宣傳措施，提升業界的形象以助吸引新人入行。</w:t>
      </w:r>
    </w:p>
    <w:p>
      <w:pPr>
        <w:pStyle w:val="F21"/>
        <w:ind w:left="1985" w:hanging="567"/>
        <w:rPr>
          <w:szCs w:val="27"/>
        </w:rPr>
      </w:pPr>
      <w:r>
        <w:rPr>
          <w:szCs w:val="27"/>
        </w:rPr>
      </w:r>
    </w:p>
    <w:p>
      <w:pPr>
        <w:pStyle w:val="F21"/>
        <w:ind w:left="1985" w:hanging="567"/>
        <w:rPr>
          <w:szCs w:val="27"/>
        </w:rPr>
      </w:pPr>
      <w:r>
        <w:rPr>
          <w:szCs w:val="27"/>
        </w:rPr>
        <w:t>(e)</w:t>
        <w:tab/>
      </w:r>
      <w:r>
        <w:rPr>
          <w:szCs w:val="27"/>
        </w:rPr>
        <w:t>鼓勵業界採用創新建築技術：政府從</w:t>
      </w:r>
      <w:r>
        <w:rPr>
          <w:szCs w:val="27"/>
        </w:rPr>
        <w:t>2018</w:t>
      </w:r>
      <w:r>
        <w:rPr>
          <w:szCs w:val="27"/>
        </w:rPr>
        <w:t>年</w:t>
      </w:r>
      <w:r>
        <w:rPr>
          <w:szCs w:val="27"/>
        </w:rPr>
        <w:t>1</w:t>
      </w:r>
      <w:r>
        <w:rPr>
          <w:szCs w:val="27"/>
        </w:rPr>
        <w:t>月開始，價值超過</w:t>
      </w:r>
      <w:r>
        <w:rPr>
          <w:szCs w:val="27"/>
        </w:rPr>
        <w:t>3,000</w:t>
      </w:r>
      <w:r>
        <w:rPr>
          <w:szCs w:val="27"/>
        </w:rPr>
        <w:t>萬元的基本工程項目，由設計至施工階段必須採用建築信息模擬技術。而我們在</w:t>
      </w:r>
      <w:r>
        <w:rPr>
          <w:szCs w:val="27"/>
        </w:rPr>
        <w:t>2018</w:t>
      </w:r>
      <w:r>
        <w:rPr>
          <w:szCs w:val="27"/>
        </w:rPr>
        <w:t>年</w:t>
      </w:r>
      <w:r>
        <w:rPr>
          <w:szCs w:val="27"/>
        </w:rPr>
        <w:t>10</w:t>
      </w:r>
      <w:r>
        <w:rPr>
          <w:szCs w:val="27"/>
        </w:rPr>
        <w:t>月聯同議會推出</w:t>
      </w:r>
      <w:r>
        <w:rPr>
          <w:szCs w:val="27"/>
        </w:rPr>
        <w:t>10</w:t>
      </w:r>
      <w:r>
        <w:rPr>
          <w:szCs w:val="27"/>
        </w:rPr>
        <w:t>億元的建造業創新及科技基金，藉創新科技提升生產力、建造質素、工地安全及環保效益，從而提升業界水平。建造業以科技為本，對年輕人會有更大吸引力。</w:t>
      </w:r>
    </w:p>
    <w:p>
      <w:pPr>
        <w:pStyle w:val="F21"/>
        <w:ind w:left="1985" w:hanging="567"/>
        <w:rPr>
          <w:szCs w:val="27"/>
        </w:rPr>
      </w:pPr>
      <w:r>
        <w:rPr>
          <w:szCs w:val="27"/>
        </w:rPr>
      </w:r>
    </w:p>
    <w:p>
      <w:pPr>
        <w:pStyle w:val="F21"/>
        <w:ind w:left="1985" w:hanging="567"/>
        <w:rPr>
          <w:szCs w:val="27"/>
        </w:rPr>
      </w:pPr>
      <w:r>
        <w:rPr>
          <w:szCs w:val="27"/>
        </w:rPr>
        <w:t>(f)</w:t>
        <w:tab/>
      </w:r>
      <w:r>
        <w:rPr>
          <w:szCs w:val="27"/>
        </w:rPr>
        <w:t>協助學員融入工作環境：議會一直有為學員和僱主提供輔導、舉辦定期分享活動和進行跟進探訪，協助他們適應工作環境，繼續在業內工作。</w:t>
      </w:r>
    </w:p>
    <w:p>
      <w:pPr>
        <w:pStyle w:val="Normal"/>
        <w:widowControl/>
        <w:tabs>
          <w:tab w:val="clear" w:pos="720"/>
        </w:tabs>
        <w:snapToGrid w:val="true"/>
        <w:spacing w:lineRule="auto" w:line="276" w:before="0" w:after="200"/>
        <w:jc w:val="left"/>
        <w:rPr>
          <w:rFonts w:cs="" w:cstheme="minorBidi"/>
          <w:spacing w:val="20"/>
          <w:sz w:val="27"/>
          <w:szCs w:val="27"/>
          <w:lang w:val="en-US"/>
        </w:rPr>
      </w:pPr>
      <w:r>
        <w:rPr>
          <w:rFonts w:cs="" w:cstheme="minorBidi"/>
          <w:spacing w:val="20"/>
          <w:sz w:val="27"/>
          <w:szCs w:val="27"/>
          <w:lang w:val="en-US"/>
        </w:rPr>
      </w:r>
      <w:r>
        <w:br w:type="page"/>
      </w:r>
    </w:p>
    <w:p>
      <w:pPr>
        <w:pStyle w:val="F21"/>
        <w:spacing w:lineRule="atLeast" w:line="340"/>
        <w:ind w:left="1985" w:hanging="567"/>
        <w:rPr>
          <w:szCs w:val="27"/>
        </w:rPr>
      </w:pPr>
      <w:r>
        <w:rPr>
          <w:szCs w:val="27"/>
        </w:rPr>
        <w:t>(g)</w:t>
        <w:tab/>
      </w:r>
      <w:r>
        <w:rPr>
          <w:szCs w:val="27"/>
        </w:rPr>
        <w:t>提供晉升階梯：議會提供不同程度及可銜接的培訓課程，讓學員取得實際工作經驗後，可繼續提升為熟練技術工人，或修讀更高水平的監工或管理人員課程，為工人提供晉升階梯，讓他們留在行內繼續發展。</w:t>
      </w:r>
    </w:p>
    <w:p>
      <w:pPr>
        <w:pStyle w:val="F21"/>
        <w:spacing w:lineRule="atLeast" w:line="340"/>
        <w:rPr>
          <w:szCs w:val="27"/>
        </w:rPr>
      </w:pPr>
      <w:r>
        <w:rPr>
          <w:szCs w:val="27"/>
        </w:rPr>
      </w:r>
    </w:p>
    <w:p>
      <w:pPr>
        <w:pStyle w:val="F21"/>
        <w:spacing w:lineRule="atLeast" w:line="340"/>
        <w:rPr>
          <w:szCs w:val="27"/>
        </w:rPr>
      </w:pPr>
      <w:r>
        <w:rPr>
          <w:szCs w:val="27"/>
        </w:rPr>
      </w:r>
    </w:p>
    <w:p>
      <w:pPr>
        <w:pStyle w:val="F21"/>
        <w:spacing w:lineRule="atLeast" w:line="340"/>
        <w:jc w:val="right"/>
        <w:rPr>
          <w:szCs w:val="27"/>
        </w:rPr>
      </w:pPr>
      <w:r>
        <w:rPr>
          <w:szCs w:val="27"/>
        </w:rPr>
        <w:t>附件一</w:t>
      </w:r>
    </w:p>
    <w:p>
      <w:pPr>
        <w:pStyle w:val="F21"/>
        <w:spacing w:lineRule="atLeast" w:line="340"/>
        <w:jc w:val="right"/>
        <w:rPr>
          <w:szCs w:val="27"/>
        </w:rPr>
      </w:pPr>
      <w:r>
        <w:rPr>
          <w:szCs w:val="27"/>
        </w:rPr>
      </w:r>
    </w:p>
    <w:p>
      <w:pPr>
        <w:pStyle w:val="F21"/>
        <w:spacing w:lineRule="atLeast" w:line="340"/>
        <w:jc w:val="center"/>
        <w:rPr>
          <w:szCs w:val="27"/>
        </w:rPr>
      </w:pPr>
      <w:r>
        <w:rPr>
          <w:szCs w:val="27"/>
        </w:rPr>
        <w:t>2014</w:t>
      </w:r>
      <w:r>
        <w:rPr>
          <w:szCs w:val="27"/>
        </w:rPr>
        <w:t>年至</w:t>
      </w:r>
      <w:r>
        <w:rPr>
          <w:szCs w:val="27"/>
        </w:rPr>
        <w:t>2018</w:t>
      </w:r>
      <w:r>
        <w:rPr>
          <w:szCs w:val="27"/>
        </w:rPr>
        <w:t>年在</w:t>
      </w:r>
      <w:r>
        <w:rPr>
          <w:szCs w:val="27"/>
        </w:rPr>
        <w:t>"</w:t>
      </w:r>
      <w:r>
        <w:rPr>
          <w:szCs w:val="27"/>
        </w:rPr>
        <w:t>補充勞工計劃</w:t>
      </w:r>
      <w:r>
        <w:rPr>
          <w:szCs w:val="27"/>
        </w:rPr>
        <w:t>"</w:t>
      </w:r>
      <w:r>
        <w:rPr>
          <w:szCs w:val="27"/>
        </w:rPr>
        <w:t>下</w:t>
      </w:r>
    </w:p>
    <w:p>
      <w:pPr>
        <w:pStyle w:val="F21"/>
        <w:spacing w:lineRule="atLeast" w:line="340"/>
        <w:jc w:val="center"/>
        <w:rPr>
          <w:szCs w:val="27"/>
          <w:vertAlign w:val="superscript"/>
        </w:rPr>
      </w:pPr>
      <w:r>
        <w:rPr>
          <w:szCs w:val="27"/>
        </w:rPr>
        <w:t>申請輸入及獲批輸入的勞工數目</w:t>
      </w:r>
      <w:r>
        <w:rPr>
          <w:szCs w:val="27"/>
          <w:vertAlign w:val="superscript"/>
        </w:rPr>
        <w:t>*</w:t>
      </w:r>
    </w:p>
    <w:p>
      <w:pPr>
        <w:pStyle w:val="F21"/>
        <w:spacing w:lineRule="atLeast" w:line="340"/>
        <w:jc w:val="center"/>
        <w:rPr>
          <w:szCs w:val="27"/>
        </w:rPr>
      </w:pPr>
      <w:r>
        <w:rPr>
          <w:szCs w:val="27"/>
        </w:rPr>
      </w:r>
    </w:p>
    <w:tbl>
      <w:tblPr>
        <w:tblStyle w:val="a9"/>
        <w:tblW w:w="9224" w:type="dxa"/>
        <w:jc w:val="left"/>
        <w:tblInd w:w="0" w:type="dxa"/>
        <w:tblCellMar>
          <w:top w:w="0" w:type="dxa"/>
          <w:left w:w="108" w:type="dxa"/>
          <w:bottom w:w="0" w:type="dxa"/>
          <w:right w:w="108" w:type="dxa"/>
        </w:tblCellMar>
        <w:tblLook w:val="04a0" w:noHBand="0" w:noVBand="1" w:firstColumn="1" w:lastRow="0" w:lastColumn="0" w:firstRow="1"/>
      </w:tblPr>
      <w:tblGrid>
        <w:gridCol w:w="1223"/>
        <w:gridCol w:w="811"/>
        <w:gridCol w:w="784"/>
        <w:gridCol w:w="841"/>
        <w:gridCol w:w="798"/>
        <w:gridCol w:w="840"/>
        <w:gridCol w:w="797"/>
        <w:gridCol w:w="784"/>
        <w:gridCol w:w="784"/>
        <w:gridCol w:w="784"/>
        <w:gridCol w:w="776"/>
      </w:tblGrid>
      <w:tr>
        <w:trPr>
          <w:tblHeader w:val="true"/>
        </w:trPr>
        <w:tc>
          <w:tcPr>
            <w:tcW w:w="1223" w:type="dxa"/>
            <w:vMerge w:val="restart"/>
            <w:tcBorders/>
            <w:vAlign w:val="center"/>
          </w:tcPr>
          <w:p>
            <w:pPr>
              <w:pStyle w:val="F21"/>
              <w:tabs>
                <w:tab w:val="clear" w:pos="567"/>
              </w:tabs>
              <w:ind w:left="28" w:right="28" w:hanging="0"/>
              <w:jc w:val="center"/>
              <w:rPr>
                <w:i/>
                <w:i/>
                <w:spacing w:val="8"/>
                <w:sz w:val="22"/>
              </w:rPr>
            </w:pPr>
            <w:r>
              <w:rPr>
                <w:i/>
                <w:spacing w:val="8"/>
                <w:sz w:val="22"/>
              </w:rPr>
              <w:t>工種</w:t>
            </w:r>
          </w:p>
        </w:tc>
        <w:tc>
          <w:tcPr>
            <w:tcW w:w="1595" w:type="dxa"/>
            <w:gridSpan w:val="2"/>
            <w:tcBorders/>
            <w:vAlign w:val="center"/>
          </w:tcPr>
          <w:p>
            <w:pPr>
              <w:pStyle w:val="F21"/>
              <w:tabs>
                <w:tab w:val="clear" w:pos="567"/>
              </w:tabs>
              <w:ind w:left="28" w:right="28" w:hanging="0"/>
              <w:jc w:val="center"/>
              <w:rPr>
                <w:i/>
                <w:i/>
                <w:spacing w:val="8"/>
                <w:sz w:val="22"/>
              </w:rPr>
            </w:pPr>
            <w:r>
              <w:rPr>
                <w:i/>
                <w:spacing w:val="8"/>
                <w:sz w:val="22"/>
              </w:rPr>
              <w:t>2014</w:t>
            </w:r>
            <w:r>
              <w:rPr>
                <w:i/>
                <w:spacing w:val="8"/>
                <w:sz w:val="22"/>
              </w:rPr>
              <w:t>年</w:t>
            </w:r>
          </w:p>
        </w:tc>
        <w:tc>
          <w:tcPr>
            <w:tcW w:w="1639" w:type="dxa"/>
            <w:gridSpan w:val="2"/>
            <w:tcBorders/>
            <w:vAlign w:val="center"/>
          </w:tcPr>
          <w:p>
            <w:pPr>
              <w:pStyle w:val="F21"/>
              <w:tabs>
                <w:tab w:val="clear" w:pos="567"/>
              </w:tabs>
              <w:ind w:left="28" w:right="28" w:hanging="0"/>
              <w:jc w:val="center"/>
              <w:rPr>
                <w:i/>
                <w:i/>
                <w:spacing w:val="8"/>
                <w:sz w:val="22"/>
              </w:rPr>
            </w:pPr>
            <w:r>
              <w:rPr>
                <w:i/>
                <w:spacing w:val="8"/>
                <w:sz w:val="22"/>
              </w:rPr>
              <w:t>2015</w:t>
            </w:r>
            <w:r>
              <w:rPr>
                <w:i/>
                <w:spacing w:val="8"/>
                <w:sz w:val="22"/>
              </w:rPr>
              <w:t>年</w:t>
            </w:r>
          </w:p>
        </w:tc>
        <w:tc>
          <w:tcPr>
            <w:tcW w:w="1637" w:type="dxa"/>
            <w:gridSpan w:val="2"/>
            <w:tcBorders/>
            <w:vAlign w:val="center"/>
          </w:tcPr>
          <w:p>
            <w:pPr>
              <w:pStyle w:val="F21"/>
              <w:tabs>
                <w:tab w:val="clear" w:pos="567"/>
              </w:tabs>
              <w:ind w:left="28" w:right="28" w:hanging="0"/>
              <w:jc w:val="center"/>
              <w:rPr>
                <w:i/>
                <w:i/>
                <w:spacing w:val="8"/>
                <w:sz w:val="22"/>
              </w:rPr>
            </w:pPr>
            <w:r>
              <w:rPr>
                <w:i/>
                <w:spacing w:val="8"/>
                <w:sz w:val="22"/>
              </w:rPr>
              <w:t>2016</w:t>
            </w:r>
            <w:r>
              <w:rPr>
                <w:i/>
                <w:spacing w:val="8"/>
                <w:sz w:val="22"/>
              </w:rPr>
              <w:t>年</w:t>
            </w:r>
          </w:p>
        </w:tc>
        <w:tc>
          <w:tcPr>
            <w:tcW w:w="1568" w:type="dxa"/>
            <w:gridSpan w:val="2"/>
            <w:tcBorders/>
            <w:vAlign w:val="center"/>
          </w:tcPr>
          <w:p>
            <w:pPr>
              <w:pStyle w:val="F21"/>
              <w:tabs>
                <w:tab w:val="clear" w:pos="567"/>
              </w:tabs>
              <w:ind w:left="28" w:right="28" w:hanging="0"/>
              <w:jc w:val="center"/>
              <w:rPr>
                <w:i/>
                <w:i/>
                <w:spacing w:val="8"/>
                <w:sz w:val="22"/>
              </w:rPr>
            </w:pPr>
            <w:r>
              <w:rPr>
                <w:i/>
                <w:spacing w:val="8"/>
                <w:sz w:val="22"/>
              </w:rPr>
              <w:t>2017</w:t>
            </w:r>
            <w:r>
              <w:rPr>
                <w:i/>
                <w:spacing w:val="8"/>
                <w:sz w:val="22"/>
              </w:rPr>
              <w:t>年</w:t>
            </w:r>
          </w:p>
        </w:tc>
        <w:tc>
          <w:tcPr>
            <w:tcW w:w="1560" w:type="dxa"/>
            <w:gridSpan w:val="2"/>
            <w:tcBorders/>
            <w:vAlign w:val="center"/>
          </w:tcPr>
          <w:p>
            <w:pPr>
              <w:pStyle w:val="F21"/>
              <w:tabs>
                <w:tab w:val="clear" w:pos="567"/>
              </w:tabs>
              <w:ind w:left="28" w:right="28" w:hanging="0"/>
              <w:jc w:val="center"/>
              <w:rPr>
                <w:i/>
                <w:i/>
                <w:spacing w:val="8"/>
                <w:sz w:val="22"/>
              </w:rPr>
            </w:pPr>
            <w:r>
              <w:rPr>
                <w:i/>
                <w:spacing w:val="8"/>
                <w:sz w:val="22"/>
              </w:rPr>
              <w:t>2018</w:t>
            </w:r>
            <w:r>
              <w:rPr>
                <w:i/>
                <w:spacing w:val="8"/>
                <w:sz w:val="22"/>
              </w:rPr>
              <w:t>年</w:t>
            </w:r>
          </w:p>
        </w:tc>
      </w:tr>
      <w:tr>
        <w:trPr>
          <w:tblHeader w:val="true"/>
        </w:trPr>
        <w:tc>
          <w:tcPr>
            <w:tcW w:w="1223" w:type="dxa"/>
            <w:vMerge w:val="continue"/>
            <w:tcBorders/>
            <w:vAlign w:val="center"/>
          </w:tcPr>
          <w:p>
            <w:pPr>
              <w:pStyle w:val="F21"/>
              <w:tabs>
                <w:tab w:val="clear" w:pos="567"/>
              </w:tabs>
              <w:ind w:left="28" w:right="28" w:hanging="0"/>
              <w:jc w:val="center"/>
              <w:rPr>
                <w:i/>
                <w:i/>
                <w:spacing w:val="8"/>
                <w:sz w:val="22"/>
              </w:rPr>
            </w:pPr>
            <w:r>
              <w:rPr>
                <w:i/>
                <w:spacing w:val="8"/>
                <w:sz w:val="22"/>
              </w:rPr>
            </w:r>
          </w:p>
        </w:tc>
        <w:tc>
          <w:tcPr>
            <w:tcW w:w="811" w:type="dxa"/>
            <w:tcBorders/>
            <w:vAlign w:val="center"/>
          </w:tcPr>
          <w:p>
            <w:pPr>
              <w:pStyle w:val="F21"/>
              <w:tabs>
                <w:tab w:val="clear" w:pos="567"/>
              </w:tabs>
              <w:ind w:left="28" w:right="28" w:hanging="0"/>
              <w:jc w:val="center"/>
              <w:rPr>
                <w:i/>
                <w:i/>
                <w:spacing w:val="8"/>
                <w:sz w:val="22"/>
              </w:rPr>
            </w:pPr>
            <w:r>
              <w:rPr>
                <w:i/>
                <w:spacing w:val="8"/>
                <w:sz w:val="22"/>
              </w:rPr>
              <w:t>申請</w:t>
            </w:r>
          </w:p>
          <w:p>
            <w:pPr>
              <w:pStyle w:val="F21"/>
              <w:tabs>
                <w:tab w:val="clear" w:pos="567"/>
              </w:tabs>
              <w:ind w:left="28" w:right="28" w:hanging="0"/>
              <w:jc w:val="center"/>
              <w:rPr>
                <w:i/>
                <w:i/>
                <w:spacing w:val="8"/>
                <w:sz w:val="22"/>
              </w:rPr>
            </w:pPr>
            <w:r>
              <w:rPr>
                <w:i/>
                <w:spacing w:val="8"/>
                <w:sz w:val="22"/>
              </w:rPr>
              <w:t>輸入的勞工</w:t>
            </w:r>
          </w:p>
          <w:p>
            <w:pPr>
              <w:pStyle w:val="F21"/>
              <w:tabs>
                <w:tab w:val="clear" w:pos="567"/>
              </w:tabs>
              <w:ind w:left="28" w:right="28" w:hanging="0"/>
              <w:jc w:val="center"/>
              <w:rPr>
                <w:i/>
                <w:i/>
                <w:spacing w:val="8"/>
                <w:sz w:val="22"/>
              </w:rPr>
            </w:pPr>
            <w:r>
              <w:rPr>
                <w:i/>
                <w:spacing w:val="8"/>
                <w:sz w:val="22"/>
              </w:rPr>
              <w:t>數目</w:t>
            </w:r>
          </w:p>
        </w:tc>
        <w:tc>
          <w:tcPr>
            <w:tcW w:w="784" w:type="dxa"/>
            <w:tcBorders/>
            <w:vAlign w:val="center"/>
          </w:tcPr>
          <w:p>
            <w:pPr>
              <w:pStyle w:val="F21"/>
              <w:tabs>
                <w:tab w:val="clear" w:pos="567"/>
              </w:tabs>
              <w:ind w:left="28" w:right="28" w:hanging="0"/>
              <w:jc w:val="center"/>
              <w:rPr>
                <w:i/>
                <w:i/>
                <w:spacing w:val="8"/>
                <w:sz w:val="22"/>
              </w:rPr>
            </w:pPr>
            <w:r>
              <w:rPr>
                <w:i/>
                <w:spacing w:val="8"/>
                <w:sz w:val="22"/>
              </w:rPr>
              <w:t>獲批</w:t>
            </w:r>
          </w:p>
          <w:p>
            <w:pPr>
              <w:pStyle w:val="F21"/>
              <w:tabs>
                <w:tab w:val="clear" w:pos="567"/>
              </w:tabs>
              <w:ind w:left="28" w:right="28" w:hanging="0"/>
              <w:jc w:val="center"/>
              <w:rPr>
                <w:i/>
                <w:i/>
                <w:spacing w:val="8"/>
                <w:sz w:val="22"/>
              </w:rPr>
            </w:pPr>
            <w:r>
              <w:rPr>
                <w:i/>
                <w:spacing w:val="8"/>
                <w:sz w:val="22"/>
              </w:rPr>
              <w:t>輸入的勞工</w:t>
            </w:r>
          </w:p>
          <w:p>
            <w:pPr>
              <w:pStyle w:val="F21"/>
              <w:tabs>
                <w:tab w:val="clear" w:pos="567"/>
              </w:tabs>
              <w:ind w:left="28" w:right="28" w:hanging="0"/>
              <w:jc w:val="center"/>
              <w:rPr>
                <w:i/>
                <w:i/>
                <w:spacing w:val="8"/>
                <w:sz w:val="22"/>
              </w:rPr>
            </w:pPr>
            <w:r>
              <w:rPr>
                <w:i/>
                <w:spacing w:val="8"/>
                <w:sz w:val="22"/>
              </w:rPr>
              <w:t>數目</w:t>
            </w:r>
          </w:p>
        </w:tc>
        <w:tc>
          <w:tcPr>
            <w:tcW w:w="841" w:type="dxa"/>
            <w:tcBorders/>
            <w:vAlign w:val="center"/>
          </w:tcPr>
          <w:p>
            <w:pPr>
              <w:pStyle w:val="F21"/>
              <w:tabs>
                <w:tab w:val="clear" w:pos="567"/>
              </w:tabs>
              <w:ind w:left="28" w:right="28" w:hanging="0"/>
              <w:jc w:val="center"/>
              <w:rPr>
                <w:i/>
                <w:i/>
                <w:spacing w:val="8"/>
                <w:sz w:val="22"/>
              </w:rPr>
            </w:pPr>
            <w:r>
              <w:rPr>
                <w:i/>
                <w:spacing w:val="8"/>
                <w:sz w:val="22"/>
              </w:rPr>
              <w:t>申請</w:t>
            </w:r>
          </w:p>
          <w:p>
            <w:pPr>
              <w:pStyle w:val="F21"/>
              <w:tabs>
                <w:tab w:val="clear" w:pos="567"/>
              </w:tabs>
              <w:ind w:left="28" w:right="28" w:hanging="0"/>
              <w:jc w:val="center"/>
              <w:rPr>
                <w:i/>
                <w:i/>
                <w:spacing w:val="8"/>
                <w:sz w:val="22"/>
              </w:rPr>
            </w:pPr>
            <w:r>
              <w:rPr>
                <w:i/>
                <w:spacing w:val="8"/>
                <w:sz w:val="22"/>
              </w:rPr>
              <w:t>輸入的勞工</w:t>
            </w:r>
          </w:p>
          <w:p>
            <w:pPr>
              <w:pStyle w:val="F21"/>
              <w:tabs>
                <w:tab w:val="clear" w:pos="567"/>
              </w:tabs>
              <w:ind w:left="28" w:right="28" w:hanging="0"/>
              <w:jc w:val="center"/>
              <w:rPr>
                <w:i/>
                <w:i/>
                <w:spacing w:val="8"/>
                <w:sz w:val="22"/>
              </w:rPr>
            </w:pPr>
            <w:r>
              <w:rPr>
                <w:i/>
                <w:spacing w:val="8"/>
                <w:sz w:val="22"/>
              </w:rPr>
              <w:t>數目</w:t>
            </w:r>
          </w:p>
        </w:tc>
        <w:tc>
          <w:tcPr>
            <w:tcW w:w="798" w:type="dxa"/>
            <w:tcBorders/>
            <w:vAlign w:val="center"/>
          </w:tcPr>
          <w:p>
            <w:pPr>
              <w:pStyle w:val="F21"/>
              <w:tabs>
                <w:tab w:val="clear" w:pos="567"/>
              </w:tabs>
              <w:ind w:left="28" w:right="28" w:hanging="0"/>
              <w:jc w:val="center"/>
              <w:rPr>
                <w:i/>
                <w:i/>
                <w:spacing w:val="8"/>
                <w:sz w:val="22"/>
              </w:rPr>
            </w:pPr>
            <w:r>
              <w:rPr>
                <w:i/>
                <w:spacing w:val="8"/>
                <w:sz w:val="22"/>
              </w:rPr>
              <w:t>獲批</w:t>
            </w:r>
          </w:p>
          <w:p>
            <w:pPr>
              <w:pStyle w:val="F21"/>
              <w:tabs>
                <w:tab w:val="clear" w:pos="567"/>
              </w:tabs>
              <w:ind w:left="28" w:right="28" w:hanging="0"/>
              <w:jc w:val="center"/>
              <w:rPr>
                <w:i/>
                <w:i/>
                <w:spacing w:val="8"/>
                <w:sz w:val="22"/>
              </w:rPr>
            </w:pPr>
            <w:r>
              <w:rPr>
                <w:i/>
                <w:spacing w:val="8"/>
                <w:sz w:val="22"/>
              </w:rPr>
              <w:t>輸入的勞工</w:t>
            </w:r>
          </w:p>
          <w:p>
            <w:pPr>
              <w:pStyle w:val="F21"/>
              <w:tabs>
                <w:tab w:val="clear" w:pos="567"/>
              </w:tabs>
              <w:ind w:left="28" w:right="28" w:hanging="0"/>
              <w:jc w:val="center"/>
              <w:rPr>
                <w:i/>
                <w:i/>
                <w:spacing w:val="8"/>
                <w:sz w:val="22"/>
              </w:rPr>
            </w:pPr>
            <w:r>
              <w:rPr>
                <w:i/>
                <w:spacing w:val="8"/>
                <w:sz w:val="22"/>
              </w:rPr>
              <w:t>數目</w:t>
            </w:r>
          </w:p>
        </w:tc>
        <w:tc>
          <w:tcPr>
            <w:tcW w:w="840" w:type="dxa"/>
            <w:tcBorders/>
            <w:vAlign w:val="center"/>
          </w:tcPr>
          <w:p>
            <w:pPr>
              <w:pStyle w:val="F21"/>
              <w:tabs>
                <w:tab w:val="clear" w:pos="567"/>
              </w:tabs>
              <w:ind w:left="28" w:right="28" w:hanging="0"/>
              <w:jc w:val="center"/>
              <w:rPr>
                <w:i/>
                <w:i/>
                <w:spacing w:val="8"/>
                <w:sz w:val="22"/>
              </w:rPr>
            </w:pPr>
            <w:r>
              <w:rPr>
                <w:i/>
                <w:spacing w:val="8"/>
                <w:sz w:val="22"/>
              </w:rPr>
              <w:t>申請</w:t>
            </w:r>
          </w:p>
          <w:p>
            <w:pPr>
              <w:pStyle w:val="F21"/>
              <w:tabs>
                <w:tab w:val="clear" w:pos="567"/>
              </w:tabs>
              <w:ind w:left="28" w:right="28" w:hanging="0"/>
              <w:jc w:val="center"/>
              <w:rPr>
                <w:i/>
                <w:i/>
                <w:spacing w:val="8"/>
                <w:sz w:val="22"/>
              </w:rPr>
            </w:pPr>
            <w:r>
              <w:rPr>
                <w:i/>
                <w:spacing w:val="8"/>
                <w:sz w:val="22"/>
              </w:rPr>
              <w:t>輸入的勞工</w:t>
            </w:r>
          </w:p>
          <w:p>
            <w:pPr>
              <w:pStyle w:val="F21"/>
              <w:tabs>
                <w:tab w:val="clear" w:pos="567"/>
              </w:tabs>
              <w:ind w:left="28" w:right="28" w:hanging="0"/>
              <w:jc w:val="center"/>
              <w:rPr>
                <w:i/>
                <w:i/>
                <w:spacing w:val="8"/>
                <w:sz w:val="22"/>
              </w:rPr>
            </w:pPr>
            <w:r>
              <w:rPr>
                <w:i/>
                <w:spacing w:val="8"/>
                <w:sz w:val="22"/>
              </w:rPr>
              <w:t>數目</w:t>
            </w:r>
          </w:p>
        </w:tc>
        <w:tc>
          <w:tcPr>
            <w:tcW w:w="797" w:type="dxa"/>
            <w:tcBorders/>
            <w:vAlign w:val="center"/>
          </w:tcPr>
          <w:p>
            <w:pPr>
              <w:pStyle w:val="F21"/>
              <w:tabs>
                <w:tab w:val="clear" w:pos="567"/>
              </w:tabs>
              <w:ind w:left="28" w:right="28" w:hanging="0"/>
              <w:jc w:val="center"/>
              <w:rPr>
                <w:i/>
                <w:i/>
                <w:spacing w:val="8"/>
                <w:sz w:val="22"/>
              </w:rPr>
            </w:pPr>
            <w:r>
              <w:rPr>
                <w:i/>
                <w:spacing w:val="8"/>
                <w:sz w:val="22"/>
              </w:rPr>
              <w:t>獲批</w:t>
            </w:r>
          </w:p>
          <w:p>
            <w:pPr>
              <w:pStyle w:val="F21"/>
              <w:tabs>
                <w:tab w:val="clear" w:pos="567"/>
              </w:tabs>
              <w:ind w:left="28" w:right="28" w:hanging="0"/>
              <w:jc w:val="center"/>
              <w:rPr>
                <w:i/>
                <w:i/>
                <w:spacing w:val="8"/>
                <w:sz w:val="22"/>
              </w:rPr>
            </w:pPr>
            <w:r>
              <w:rPr>
                <w:i/>
                <w:spacing w:val="8"/>
                <w:sz w:val="22"/>
              </w:rPr>
              <w:t>輸入的勞工</w:t>
            </w:r>
          </w:p>
          <w:p>
            <w:pPr>
              <w:pStyle w:val="F21"/>
              <w:tabs>
                <w:tab w:val="clear" w:pos="567"/>
              </w:tabs>
              <w:ind w:left="28" w:right="28" w:hanging="0"/>
              <w:jc w:val="center"/>
              <w:rPr>
                <w:i/>
                <w:i/>
                <w:spacing w:val="8"/>
                <w:sz w:val="22"/>
              </w:rPr>
            </w:pPr>
            <w:r>
              <w:rPr>
                <w:i/>
                <w:spacing w:val="8"/>
                <w:sz w:val="22"/>
              </w:rPr>
              <w:t>數目</w:t>
            </w:r>
          </w:p>
        </w:tc>
        <w:tc>
          <w:tcPr>
            <w:tcW w:w="784" w:type="dxa"/>
            <w:tcBorders/>
            <w:vAlign w:val="center"/>
          </w:tcPr>
          <w:p>
            <w:pPr>
              <w:pStyle w:val="F21"/>
              <w:tabs>
                <w:tab w:val="clear" w:pos="567"/>
              </w:tabs>
              <w:ind w:left="28" w:right="28" w:hanging="0"/>
              <w:jc w:val="center"/>
              <w:rPr>
                <w:i/>
                <w:i/>
                <w:spacing w:val="8"/>
                <w:sz w:val="22"/>
              </w:rPr>
            </w:pPr>
            <w:r>
              <w:rPr>
                <w:i/>
                <w:spacing w:val="8"/>
                <w:sz w:val="22"/>
              </w:rPr>
              <w:t>申請</w:t>
            </w:r>
          </w:p>
          <w:p>
            <w:pPr>
              <w:pStyle w:val="F21"/>
              <w:tabs>
                <w:tab w:val="clear" w:pos="567"/>
              </w:tabs>
              <w:ind w:left="28" w:right="28" w:hanging="0"/>
              <w:jc w:val="center"/>
              <w:rPr>
                <w:i/>
                <w:i/>
                <w:spacing w:val="8"/>
                <w:sz w:val="22"/>
              </w:rPr>
            </w:pPr>
            <w:r>
              <w:rPr>
                <w:i/>
                <w:spacing w:val="8"/>
                <w:sz w:val="22"/>
              </w:rPr>
              <w:t>輸入的勞工</w:t>
            </w:r>
          </w:p>
          <w:p>
            <w:pPr>
              <w:pStyle w:val="F21"/>
              <w:tabs>
                <w:tab w:val="clear" w:pos="567"/>
              </w:tabs>
              <w:ind w:left="28" w:right="28" w:hanging="0"/>
              <w:jc w:val="center"/>
              <w:rPr>
                <w:i/>
                <w:i/>
                <w:spacing w:val="8"/>
                <w:sz w:val="22"/>
              </w:rPr>
            </w:pPr>
            <w:r>
              <w:rPr>
                <w:i/>
                <w:spacing w:val="8"/>
                <w:sz w:val="22"/>
              </w:rPr>
              <w:t>數目</w:t>
            </w:r>
          </w:p>
        </w:tc>
        <w:tc>
          <w:tcPr>
            <w:tcW w:w="784" w:type="dxa"/>
            <w:tcBorders/>
            <w:vAlign w:val="center"/>
          </w:tcPr>
          <w:p>
            <w:pPr>
              <w:pStyle w:val="F21"/>
              <w:tabs>
                <w:tab w:val="clear" w:pos="567"/>
              </w:tabs>
              <w:ind w:left="28" w:right="28" w:hanging="0"/>
              <w:jc w:val="center"/>
              <w:rPr>
                <w:i/>
                <w:i/>
                <w:spacing w:val="8"/>
                <w:sz w:val="22"/>
              </w:rPr>
            </w:pPr>
            <w:r>
              <w:rPr>
                <w:i/>
                <w:spacing w:val="8"/>
                <w:sz w:val="22"/>
              </w:rPr>
              <w:t>獲批</w:t>
            </w:r>
          </w:p>
          <w:p>
            <w:pPr>
              <w:pStyle w:val="F21"/>
              <w:tabs>
                <w:tab w:val="clear" w:pos="567"/>
              </w:tabs>
              <w:ind w:left="28" w:right="28" w:hanging="0"/>
              <w:jc w:val="center"/>
              <w:rPr>
                <w:i/>
                <w:i/>
                <w:spacing w:val="8"/>
                <w:sz w:val="22"/>
              </w:rPr>
            </w:pPr>
            <w:r>
              <w:rPr>
                <w:i/>
                <w:spacing w:val="8"/>
                <w:sz w:val="22"/>
              </w:rPr>
              <w:t>輸入的勞工</w:t>
            </w:r>
          </w:p>
          <w:p>
            <w:pPr>
              <w:pStyle w:val="F21"/>
              <w:tabs>
                <w:tab w:val="clear" w:pos="567"/>
              </w:tabs>
              <w:ind w:left="28" w:right="28" w:hanging="0"/>
              <w:jc w:val="center"/>
              <w:rPr>
                <w:i/>
                <w:i/>
                <w:spacing w:val="8"/>
                <w:sz w:val="22"/>
              </w:rPr>
            </w:pPr>
            <w:r>
              <w:rPr>
                <w:i/>
                <w:spacing w:val="8"/>
                <w:sz w:val="22"/>
              </w:rPr>
              <w:t>數目</w:t>
            </w:r>
          </w:p>
        </w:tc>
        <w:tc>
          <w:tcPr>
            <w:tcW w:w="784" w:type="dxa"/>
            <w:tcBorders/>
            <w:vAlign w:val="center"/>
          </w:tcPr>
          <w:p>
            <w:pPr>
              <w:pStyle w:val="F21"/>
              <w:tabs>
                <w:tab w:val="clear" w:pos="567"/>
              </w:tabs>
              <w:ind w:left="28" w:right="28" w:hanging="0"/>
              <w:jc w:val="center"/>
              <w:rPr>
                <w:i/>
                <w:i/>
                <w:spacing w:val="8"/>
                <w:sz w:val="22"/>
              </w:rPr>
            </w:pPr>
            <w:r>
              <w:rPr>
                <w:i/>
                <w:spacing w:val="8"/>
                <w:sz w:val="22"/>
              </w:rPr>
              <w:t>申請</w:t>
            </w:r>
          </w:p>
          <w:p>
            <w:pPr>
              <w:pStyle w:val="F21"/>
              <w:tabs>
                <w:tab w:val="clear" w:pos="567"/>
              </w:tabs>
              <w:ind w:left="28" w:right="28" w:hanging="0"/>
              <w:jc w:val="center"/>
              <w:rPr>
                <w:i/>
                <w:i/>
                <w:spacing w:val="8"/>
                <w:sz w:val="22"/>
              </w:rPr>
            </w:pPr>
            <w:r>
              <w:rPr>
                <w:i/>
                <w:spacing w:val="8"/>
                <w:sz w:val="22"/>
              </w:rPr>
              <w:t>輸入的勞工</w:t>
            </w:r>
          </w:p>
          <w:p>
            <w:pPr>
              <w:pStyle w:val="F21"/>
              <w:tabs>
                <w:tab w:val="clear" w:pos="567"/>
              </w:tabs>
              <w:ind w:left="28" w:right="28" w:hanging="0"/>
              <w:jc w:val="center"/>
              <w:rPr>
                <w:i/>
                <w:i/>
                <w:spacing w:val="8"/>
                <w:sz w:val="22"/>
              </w:rPr>
            </w:pPr>
            <w:r>
              <w:rPr>
                <w:i/>
                <w:spacing w:val="8"/>
                <w:sz w:val="22"/>
              </w:rPr>
              <w:t>數目</w:t>
            </w:r>
          </w:p>
        </w:tc>
        <w:tc>
          <w:tcPr>
            <w:tcW w:w="776" w:type="dxa"/>
            <w:tcBorders/>
            <w:vAlign w:val="center"/>
          </w:tcPr>
          <w:p>
            <w:pPr>
              <w:pStyle w:val="F21"/>
              <w:tabs>
                <w:tab w:val="clear" w:pos="567"/>
              </w:tabs>
              <w:ind w:left="28" w:right="28" w:hanging="0"/>
              <w:jc w:val="center"/>
              <w:rPr>
                <w:i/>
                <w:i/>
                <w:spacing w:val="8"/>
                <w:sz w:val="22"/>
              </w:rPr>
            </w:pPr>
            <w:r>
              <w:rPr>
                <w:i/>
                <w:spacing w:val="8"/>
                <w:sz w:val="22"/>
              </w:rPr>
              <w:t>獲批</w:t>
            </w:r>
          </w:p>
          <w:p>
            <w:pPr>
              <w:pStyle w:val="F21"/>
              <w:tabs>
                <w:tab w:val="clear" w:pos="567"/>
              </w:tabs>
              <w:ind w:left="28" w:right="28" w:hanging="0"/>
              <w:jc w:val="center"/>
              <w:rPr>
                <w:i/>
                <w:i/>
                <w:spacing w:val="8"/>
                <w:sz w:val="22"/>
              </w:rPr>
            </w:pPr>
            <w:r>
              <w:rPr>
                <w:i/>
                <w:spacing w:val="8"/>
                <w:sz w:val="22"/>
              </w:rPr>
              <w:t>輸入的勞工</w:t>
            </w:r>
          </w:p>
          <w:p>
            <w:pPr>
              <w:pStyle w:val="F21"/>
              <w:tabs>
                <w:tab w:val="clear" w:pos="567"/>
              </w:tabs>
              <w:ind w:left="28" w:right="28" w:hanging="0"/>
              <w:jc w:val="center"/>
              <w:rPr>
                <w:i/>
                <w:i/>
                <w:spacing w:val="8"/>
                <w:sz w:val="22"/>
              </w:rPr>
            </w:pPr>
            <w:r>
              <w:rPr>
                <w:i/>
                <w:spacing w:val="8"/>
                <w:sz w:val="22"/>
              </w:rPr>
              <w:t>數目</w:t>
            </w:r>
          </w:p>
        </w:tc>
      </w:tr>
      <w:tr>
        <w:trPr/>
        <w:tc>
          <w:tcPr>
            <w:tcW w:w="1223" w:type="dxa"/>
            <w:tcBorders/>
          </w:tcPr>
          <w:p>
            <w:pPr>
              <w:pStyle w:val="F21"/>
              <w:tabs>
                <w:tab w:val="clear" w:pos="567"/>
              </w:tabs>
              <w:ind w:left="312" w:right="28" w:hanging="284"/>
              <w:rPr>
                <w:spacing w:val="8"/>
                <w:sz w:val="22"/>
              </w:rPr>
            </w:pPr>
            <w:r>
              <w:rPr>
                <w:spacing w:val="8"/>
                <w:sz w:val="22"/>
              </w:rPr>
              <w:t>1.</w:t>
              <w:tab/>
            </w:r>
            <w:r>
              <w:rPr>
                <w:spacing w:val="8"/>
                <w:sz w:val="22"/>
              </w:rPr>
              <w:t>鋼筋屈紮工</w:t>
            </w:r>
          </w:p>
        </w:tc>
        <w:tc>
          <w:tcPr>
            <w:tcW w:w="811" w:type="dxa"/>
            <w:tcBorders/>
          </w:tcPr>
          <w:p>
            <w:pPr>
              <w:pStyle w:val="F21"/>
              <w:tabs>
                <w:tab w:val="clear" w:pos="567"/>
              </w:tabs>
              <w:ind w:left="28" w:right="227" w:hanging="0"/>
              <w:jc w:val="right"/>
              <w:rPr>
                <w:spacing w:val="8"/>
                <w:sz w:val="22"/>
              </w:rPr>
            </w:pPr>
            <w:r>
              <w:rPr>
                <w:spacing w:val="8"/>
                <w:sz w:val="22"/>
              </w:rPr>
              <w:t>162</w:t>
            </w:r>
          </w:p>
        </w:tc>
        <w:tc>
          <w:tcPr>
            <w:tcW w:w="784" w:type="dxa"/>
            <w:tcBorders/>
          </w:tcPr>
          <w:p>
            <w:pPr>
              <w:pStyle w:val="F21"/>
              <w:tabs>
                <w:tab w:val="clear" w:pos="567"/>
              </w:tabs>
              <w:ind w:left="28" w:right="227" w:hanging="0"/>
              <w:jc w:val="right"/>
              <w:rPr>
                <w:spacing w:val="8"/>
                <w:sz w:val="22"/>
              </w:rPr>
            </w:pPr>
            <w:r>
              <w:rPr>
                <w:spacing w:val="8"/>
                <w:sz w:val="22"/>
              </w:rPr>
              <w:t>0</w:t>
            </w:r>
          </w:p>
        </w:tc>
        <w:tc>
          <w:tcPr>
            <w:tcW w:w="841" w:type="dxa"/>
            <w:tcBorders/>
          </w:tcPr>
          <w:p>
            <w:pPr>
              <w:pStyle w:val="F21"/>
              <w:tabs>
                <w:tab w:val="clear" w:pos="567"/>
              </w:tabs>
              <w:ind w:left="28" w:right="280" w:hanging="0"/>
              <w:jc w:val="right"/>
              <w:rPr>
                <w:spacing w:val="8"/>
                <w:sz w:val="22"/>
              </w:rPr>
            </w:pPr>
            <w:r>
              <w:rPr>
                <w:spacing w:val="8"/>
                <w:sz w:val="22"/>
              </w:rPr>
              <w:t>200</w:t>
            </w:r>
          </w:p>
        </w:tc>
        <w:tc>
          <w:tcPr>
            <w:tcW w:w="798" w:type="dxa"/>
            <w:tcBorders/>
          </w:tcPr>
          <w:p>
            <w:pPr>
              <w:pStyle w:val="F21"/>
              <w:tabs>
                <w:tab w:val="clear" w:pos="567"/>
              </w:tabs>
              <w:ind w:left="28" w:right="280" w:hanging="0"/>
              <w:jc w:val="right"/>
              <w:rPr>
                <w:spacing w:val="8"/>
                <w:sz w:val="22"/>
              </w:rPr>
            </w:pPr>
            <w:r>
              <w:rPr>
                <w:spacing w:val="8"/>
                <w:sz w:val="22"/>
              </w:rPr>
              <w:t>103</w:t>
            </w:r>
          </w:p>
        </w:tc>
        <w:tc>
          <w:tcPr>
            <w:tcW w:w="840" w:type="dxa"/>
            <w:tcBorders/>
          </w:tcPr>
          <w:p>
            <w:pPr>
              <w:pStyle w:val="F21"/>
              <w:tabs>
                <w:tab w:val="clear" w:pos="567"/>
              </w:tabs>
              <w:ind w:left="28" w:right="280" w:hanging="0"/>
              <w:jc w:val="right"/>
              <w:rPr>
                <w:spacing w:val="8"/>
                <w:sz w:val="22"/>
              </w:rPr>
            </w:pPr>
            <w:r>
              <w:rPr>
                <w:spacing w:val="8"/>
                <w:sz w:val="22"/>
              </w:rPr>
              <w:t>20</w:t>
            </w:r>
          </w:p>
        </w:tc>
        <w:tc>
          <w:tcPr>
            <w:tcW w:w="797" w:type="dxa"/>
            <w:tcBorders/>
          </w:tcPr>
          <w:p>
            <w:pPr>
              <w:pStyle w:val="F21"/>
              <w:tabs>
                <w:tab w:val="clear" w:pos="567"/>
              </w:tabs>
              <w:ind w:left="28" w:right="280" w:hanging="0"/>
              <w:jc w:val="right"/>
              <w:rPr>
                <w:spacing w:val="8"/>
                <w:sz w:val="22"/>
              </w:rPr>
            </w:pPr>
            <w:r>
              <w:rPr>
                <w:spacing w:val="8"/>
                <w:sz w:val="22"/>
              </w:rPr>
              <w:t>51</w:t>
            </w:r>
          </w:p>
        </w:tc>
        <w:tc>
          <w:tcPr>
            <w:tcW w:w="784" w:type="dxa"/>
            <w:tcBorders/>
          </w:tcPr>
          <w:p>
            <w:pPr>
              <w:pStyle w:val="F21"/>
              <w:tabs>
                <w:tab w:val="clear" w:pos="567"/>
              </w:tabs>
              <w:ind w:left="28" w:right="420" w:hanging="0"/>
              <w:jc w:val="right"/>
              <w:rPr>
                <w:spacing w:val="8"/>
                <w:sz w:val="22"/>
              </w:rPr>
            </w:pPr>
            <w:r>
              <w:rPr>
                <w:spacing w:val="8"/>
                <w:sz w:val="22"/>
              </w:rPr>
              <w:t>0</w:t>
            </w:r>
          </w:p>
        </w:tc>
        <w:tc>
          <w:tcPr>
            <w:tcW w:w="784" w:type="dxa"/>
            <w:tcBorders/>
          </w:tcPr>
          <w:p>
            <w:pPr>
              <w:pStyle w:val="F21"/>
              <w:tabs>
                <w:tab w:val="clear" w:pos="567"/>
              </w:tabs>
              <w:ind w:left="28" w:right="420" w:hanging="0"/>
              <w:jc w:val="right"/>
              <w:rPr>
                <w:spacing w:val="8"/>
                <w:sz w:val="22"/>
              </w:rPr>
            </w:pPr>
            <w:r>
              <w:rPr>
                <w:spacing w:val="8"/>
                <w:sz w:val="22"/>
              </w:rPr>
              <w:t>0</w:t>
            </w:r>
          </w:p>
        </w:tc>
        <w:tc>
          <w:tcPr>
            <w:tcW w:w="784" w:type="dxa"/>
            <w:tcBorders/>
          </w:tcPr>
          <w:p>
            <w:pPr>
              <w:pStyle w:val="F21"/>
              <w:tabs>
                <w:tab w:val="clear" w:pos="567"/>
              </w:tabs>
              <w:ind w:left="28" w:right="227" w:hanging="0"/>
              <w:jc w:val="right"/>
              <w:rPr>
                <w:spacing w:val="8"/>
                <w:sz w:val="22"/>
              </w:rPr>
            </w:pPr>
            <w:r>
              <w:rPr>
                <w:spacing w:val="8"/>
                <w:sz w:val="22"/>
              </w:rPr>
              <w:t>0</w:t>
            </w:r>
          </w:p>
        </w:tc>
        <w:tc>
          <w:tcPr>
            <w:tcW w:w="776" w:type="dxa"/>
            <w:tcBorders/>
          </w:tcPr>
          <w:p>
            <w:pPr>
              <w:pStyle w:val="F21"/>
              <w:tabs>
                <w:tab w:val="clear" w:pos="567"/>
              </w:tabs>
              <w:ind w:left="28" w:right="284" w:hanging="0"/>
              <w:jc w:val="right"/>
              <w:rPr>
                <w:spacing w:val="8"/>
                <w:sz w:val="22"/>
              </w:rPr>
            </w:pPr>
            <w:r>
              <w:rPr>
                <w:spacing w:val="8"/>
                <w:sz w:val="22"/>
              </w:rPr>
              <w:t>0</w:t>
            </w:r>
          </w:p>
        </w:tc>
      </w:tr>
      <w:tr>
        <w:trPr/>
        <w:tc>
          <w:tcPr>
            <w:tcW w:w="1223" w:type="dxa"/>
            <w:tcBorders/>
          </w:tcPr>
          <w:p>
            <w:pPr>
              <w:pStyle w:val="F21"/>
              <w:tabs>
                <w:tab w:val="clear" w:pos="567"/>
              </w:tabs>
              <w:ind w:left="312" w:right="28" w:hanging="284"/>
              <w:rPr>
                <w:spacing w:val="8"/>
                <w:sz w:val="22"/>
              </w:rPr>
            </w:pPr>
            <w:r>
              <w:rPr>
                <w:spacing w:val="8"/>
                <w:sz w:val="22"/>
              </w:rPr>
              <w:t>2.</w:t>
              <w:tab/>
            </w:r>
            <w:r>
              <w:rPr>
                <w:spacing w:val="8"/>
                <w:sz w:val="22"/>
              </w:rPr>
              <w:t>木模板工</w:t>
            </w:r>
          </w:p>
        </w:tc>
        <w:tc>
          <w:tcPr>
            <w:tcW w:w="811" w:type="dxa"/>
            <w:tcBorders/>
          </w:tcPr>
          <w:p>
            <w:pPr>
              <w:pStyle w:val="F21"/>
              <w:tabs>
                <w:tab w:val="clear" w:pos="567"/>
              </w:tabs>
              <w:ind w:left="28" w:right="227" w:hanging="0"/>
              <w:jc w:val="right"/>
              <w:rPr>
                <w:spacing w:val="8"/>
                <w:sz w:val="22"/>
              </w:rPr>
            </w:pPr>
            <w:r>
              <w:rPr>
                <w:spacing w:val="8"/>
                <w:sz w:val="22"/>
              </w:rPr>
              <w:t>175</w:t>
            </w:r>
          </w:p>
        </w:tc>
        <w:tc>
          <w:tcPr>
            <w:tcW w:w="784" w:type="dxa"/>
            <w:tcBorders/>
          </w:tcPr>
          <w:p>
            <w:pPr>
              <w:pStyle w:val="F21"/>
              <w:tabs>
                <w:tab w:val="clear" w:pos="567"/>
              </w:tabs>
              <w:ind w:left="28" w:right="227" w:hanging="0"/>
              <w:jc w:val="right"/>
              <w:rPr>
                <w:spacing w:val="8"/>
                <w:sz w:val="22"/>
              </w:rPr>
            </w:pPr>
            <w:r>
              <w:rPr>
                <w:spacing w:val="8"/>
                <w:sz w:val="22"/>
              </w:rPr>
              <w:t>0</w:t>
            </w:r>
          </w:p>
        </w:tc>
        <w:tc>
          <w:tcPr>
            <w:tcW w:w="841" w:type="dxa"/>
            <w:tcBorders/>
          </w:tcPr>
          <w:p>
            <w:pPr>
              <w:pStyle w:val="F21"/>
              <w:tabs>
                <w:tab w:val="clear" w:pos="567"/>
              </w:tabs>
              <w:ind w:left="28" w:right="280" w:hanging="0"/>
              <w:jc w:val="right"/>
              <w:rPr>
                <w:spacing w:val="8"/>
                <w:sz w:val="22"/>
              </w:rPr>
            </w:pPr>
            <w:r>
              <w:rPr>
                <w:spacing w:val="8"/>
                <w:sz w:val="22"/>
              </w:rPr>
              <w:t>70</w:t>
            </w:r>
          </w:p>
        </w:tc>
        <w:tc>
          <w:tcPr>
            <w:tcW w:w="798" w:type="dxa"/>
            <w:tcBorders/>
          </w:tcPr>
          <w:p>
            <w:pPr>
              <w:pStyle w:val="F21"/>
              <w:tabs>
                <w:tab w:val="clear" w:pos="567"/>
              </w:tabs>
              <w:ind w:left="28" w:right="280" w:hanging="0"/>
              <w:jc w:val="right"/>
              <w:rPr>
                <w:spacing w:val="8"/>
                <w:sz w:val="22"/>
              </w:rPr>
            </w:pPr>
            <w:r>
              <w:rPr>
                <w:spacing w:val="8"/>
                <w:sz w:val="22"/>
              </w:rPr>
              <w:t>56</w:t>
            </w:r>
          </w:p>
        </w:tc>
        <w:tc>
          <w:tcPr>
            <w:tcW w:w="840" w:type="dxa"/>
            <w:tcBorders/>
          </w:tcPr>
          <w:p>
            <w:pPr>
              <w:pStyle w:val="F21"/>
              <w:tabs>
                <w:tab w:val="clear" w:pos="567"/>
              </w:tabs>
              <w:ind w:left="28" w:right="280" w:hanging="0"/>
              <w:jc w:val="right"/>
              <w:rPr>
                <w:spacing w:val="8"/>
                <w:sz w:val="22"/>
              </w:rPr>
            </w:pPr>
            <w:r>
              <w:rPr>
                <w:spacing w:val="8"/>
                <w:sz w:val="22"/>
              </w:rPr>
              <w:t>65</w:t>
            </w:r>
          </w:p>
        </w:tc>
        <w:tc>
          <w:tcPr>
            <w:tcW w:w="797" w:type="dxa"/>
            <w:tcBorders/>
          </w:tcPr>
          <w:p>
            <w:pPr>
              <w:pStyle w:val="F21"/>
              <w:tabs>
                <w:tab w:val="clear" w:pos="567"/>
              </w:tabs>
              <w:ind w:left="28" w:right="280" w:hanging="0"/>
              <w:jc w:val="right"/>
              <w:rPr>
                <w:spacing w:val="8"/>
                <w:sz w:val="22"/>
              </w:rPr>
            </w:pPr>
            <w:r>
              <w:rPr>
                <w:spacing w:val="8"/>
                <w:sz w:val="22"/>
              </w:rPr>
              <w:t>37</w:t>
            </w:r>
          </w:p>
        </w:tc>
        <w:tc>
          <w:tcPr>
            <w:tcW w:w="784" w:type="dxa"/>
            <w:tcBorders/>
          </w:tcPr>
          <w:p>
            <w:pPr>
              <w:pStyle w:val="F21"/>
              <w:tabs>
                <w:tab w:val="clear" w:pos="567"/>
              </w:tabs>
              <w:ind w:left="28" w:right="420" w:hanging="0"/>
              <w:jc w:val="right"/>
              <w:rPr>
                <w:spacing w:val="8"/>
                <w:sz w:val="22"/>
              </w:rPr>
            </w:pPr>
            <w:r>
              <w:rPr>
                <w:spacing w:val="8"/>
                <w:sz w:val="22"/>
              </w:rPr>
              <w:t>0</w:t>
            </w:r>
          </w:p>
        </w:tc>
        <w:tc>
          <w:tcPr>
            <w:tcW w:w="784" w:type="dxa"/>
            <w:tcBorders/>
          </w:tcPr>
          <w:p>
            <w:pPr>
              <w:pStyle w:val="F21"/>
              <w:tabs>
                <w:tab w:val="clear" w:pos="567"/>
              </w:tabs>
              <w:ind w:left="28" w:right="420" w:hanging="0"/>
              <w:jc w:val="right"/>
              <w:rPr>
                <w:spacing w:val="8"/>
                <w:sz w:val="22"/>
              </w:rPr>
            </w:pPr>
            <w:r>
              <w:rPr>
                <w:spacing w:val="8"/>
                <w:sz w:val="22"/>
              </w:rPr>
              <w:t>0</w:t>
            </w:r>
          </w:p>
        </w:tc>
        <w:tc>
          <w:tcPr>
            <w:tcW w:w="784" w:type="dxa"/>
            <w:tcBorders/>
          </w:tcPr>
          <w:p>
            <w:pPr>
              <w:pStyle w:val="F21"/>
              <w:tabs>
                <w:tab w:val="clear" w:pos="567"/>
              </w:tabs>
              <w:ind w:left="28" w:right="227" w:hanging="0"/>
              <w:jc w:val="right"/>
              <w:rPr>
                <w:spacing w:val="8"/>
                <w:sz w:val="22"/>
              </w:rPr>
            </w:pPr>
            <w:r>
              <w:rPr>
                <w:spacing w:val="8"/>
                <w:sz w:val="22"/>
              </w:rPr>
              <w:t>0</w:t>
            </w:r>
          </w:p>
        </w:tc>
        <w:tc>
          <w:tcPr>
            <w:tcW w:w="776" w:type="dxa"/>
            <w:tcBorders/>
          </w:tcPr>
          <w:p>
            <w:pPr>
              <w:pStyle w:val="F21"/>
              <w:tabs>
                <w:tab w:val="clear" w:pos="567"/>
              </w:tabs>
              <w:ind w:left="28" w:right="284" w:hanging="0"/>
              <w:jc w:val="right"/>
              <w:rPr>
                <w:spacing w:val="8"/>
                <w:sz w:val="22"/>
              </w:rPr>
            </w:pPr>
            <w:r>
              <w:rPr>
                <w:spacing w:val="8"/>
                <w:sz w:val="22"/>
              </w:rPr>
              <w:t>0</w:t>
            </w:r>
          </w:p>
        </w:tc>
      </w:tr>
      <w:tr>
        <w:trPr/>
        <w:tc>
          <w:tcPr>
            <w:tcW w:w="1223" w:type="dxa"/>
            <w:tcBorders/>
          </w:tcPr>
          <w:p>
            <w:pPr>
              <w:pStyle w:val="F21"/>
              <w:tabs>
                <w:tab w:val="clear" w:pos="567"/>
                <w:tab w:val="left" w:pos="290" w:leader="none"/>
              </w:tabs>
              <w:ind w:left="312" w:right="28" w:hanging="284"/>
              <w:rPr>
                <w:spacing w:val="8"/>
                <w:sz w:val="22"/>
              </w:rPr>
            </w:pPr>
            <w:r>
              <w:rPr>
                <w:spacing w:val="8"/>
                <w:sz w:val="22"/>
              </w:rPr>
              <w:t>3.</w:t>
              <w:tab/>
            </w:r>
            <w:r>
              <w:rPr>
                <w:spacing w:val="8"/>
                <w:sz w:val="22"/>
              </w:rPr>
              <w:t>混凝土工</w:t>
            </w:r>
          </w:p>
        </w:tc>
        <w:tc>
          <w:tcPr>
            <w:tcW w:w="811" w:type="dxa"/>
            <w:tcBorders/>
          </w:tcPr>
          <w:p>
            <w:pPr>
              <w:pStyle w:val="F21"/>
              <w:tabs>
                <w:tab w:val="clear" w:pos="567"/>
              </w:tabs>
              <w:ind w:left="28" w:right="227" w:hanging="0"/>
              <w:jc w:val="right"/>
              <w:rPr>
                <w:spacing w:val="8"/>
                <w:sz w:val="22"/>
              </w:rPr>
            </w:pPr>
            <w:r>
              <w:rPr>
                <w:spacing w:val="8"/>
                <w:sz w:val="22"/>
              </w:rPr>
              <w:t>47</w:t>
            </w:r>
          </w:p>
        </w:tc>
        <w:tc>
          <w:tcPr>
            <w:tcW w:w="784" w:type="dxa"/>
            <w:tcBorders/>
          </w:tcPr>
          <w:p>
            <w:pPr>
              <w:pStyle w:val="F21"/>
              <w:tabs>
                <w:tab w:val="clear" w:pos="567"/>
              </w:tabs>
              <w:ind w:left="28" w:right="227" w:hanging="0"/>
              <w:jc w:val="right"/>
              <w:rPr>
                <w:spacing w:val="8"/>
                <w:sz w:val="22"/>
              </w:rPr>
            </w:pPr>
            <w:r>
              <w:rPr>
                <w:spacing w:val="8"/>
                <w:sz w:val="22"/>
              </w:rPr>
              <w:t>0</w:t>
            </w:r>
          </w:p>
        </w:tc>
        <w:tc>
          <w:tcPr>
            <w:tcW w:w="841" w:type="dxa"/>
            <w:tcBorders/>
          </w:tcPr>
          <w:p>
            <w:pPr>
              <w:pStyle w:val="F21"/>
              <w:tabs>
                <w:tab w:val="clear" w:pos="567"/>
              </w:tabs>
              <w:ind w:left="28" w:right="280" w:hanging="0"/>
              <w:jc w:val="right"/>
              <w:rPr>
                <w:spacing w:val="8"/>
                <w:sz w:val="22"/>
              </w:rPr>
            </w:pPr>
            <w:r>
              <w:rPr>
                <w:spacing w:val="8"/>
                <w:sz w:val="22"/>
              </w:rPr>
              <w:t>70</w:t>
            </w:r>
          </w:p>
        </w:tc>
        <w:tc>
          <w:tcPr>
            <w:tcW w:w="798" w:type="dxa"/>
            <w:tcBorders/>
          </w:tcPr>
          <w:p>
            <w:pPr>
              <w:pStyle w:val="F21"/>
              <w:tabs>
                <w:tab w:val="clear" w:pos="567"/>
              </w:tabs>
              <w:ind w:left="28" w:right="280" w:hanging="0"/>
              <w:jc w:val="right"/>
              <w:rPr>
                <w:spacing w:val="8"/>
                <w:sz w:val="22"/>
              </w:rPr>
            </w:pPr>
            <w:r>
              <w:rPr>
                <w:spacing w:val="8"/>
                <w:sz w:val="22"/>
              </w:rPr>
              <w:t>11</w:t>
            </w:r>
          </w:p>
        </w:tc>
        <w:tc>
          <w:tcPr>
            <w:tcW w:w="840" w:type="dxa"/>
            <w:tcBorders/>
          </w:tcPr>
          <w:p>
            <w:pPr>
              <w:pStyle w:val="F21"/>
              <w:tabs>
                <w:tab w:val="clear" w:pos="567"/>
              </w:tabs>
              <w:ind w:left="28" w:right="280" w:hanging="0"/>
              <w:jc w:val="right"/>
              <w:rPr>
                <w:spacing w:val="8"/>
                <w:sz w:val="22"/>
              </w:rPr>
            </w:pPr>
            <w:r>
              <w:rPr>
                <w:spacing w:val="8"/>
                <w:sz w:val="22"/>
              </w:rPr>
              <w:t>10</w:t>
            </w:r>
          </w:p>
        </w:tc>
        <w:tc>
          <w:tcPr>
            <w:tcW w:w="797" w:type="dxa"/>
            <w:tcBorders/>
          </w:tcPr>
          <w:p>
            <w:pPr>
              <w:pStyle w:val="F21"/>
              <w:tabs>
                <w:tab w:val="clear" w:pos="567"/>
              </w:tabs>
              <w:ind w:left="28" w:right="280" w:hanging="0"/>
              <w:jc w:val="right"/>
              <w:rPr>
                <w:spacing w:val="8"/>
                <w:sz w:val="22"/>
              </w:rPr>
            </w:pPr>
            <w:r>
              <w:rPr>
                <w:spacing w:val="8"/>
                <w:sz w:val="22"/>
              </w:rPr>
              <w:t>76</w:t>
            </w:r>
          </w:p>
        </w:tc>
        <w:tc>
          <w:tcPr>
            <w:tcW w:w="784" w:type="dxa"/>
            <w:tcBorders/>
          </w:tcPr>
          <w:p>
            <w:pPr>
              <w:pStyle w:val="F21"/>
              <w:tabs>
                <w:tab w:val="clear" w:pos="567"/>
              </w:tabs>
              <w:ind w:left="28" w:right="420" w:hanging="0"/>
              <w:jc w:val="right"/>
              <w:rPr>
                <w:spacing w:val="8"/>
                <w:sz w:val="22"/>
              </w:rPr>
            </w:pPr>
            <w:r>
              <w:rPr>
                <w:spacing w:val="8"/>
                <w:sz w:val="22"/>
              </w:rPr>
              <w:t>0</w:t>
            </w:r>
          </w:p>
        </w:tc>
        <w:tc>
          <w:tcPr>
            <w:tcW w:w="784" w:type="dxa"/>
            <w:tcBorders/>
          </w:tcPr>
          <w:p>
            <w:pPr>
              <w:pStyle w:val="F21"/>
              <w:tabs>
                <w:tab w:val="clear" w:pos="567"/>
              </w:tabs>
              <w:ind w:left="28" w:right="420" w:hanging="0"/>
              <w:jc w:val="right"/>
              <w:rPr>
                <w:spacing w:val="8"/>
                <w:sz w:val="22"/>
              </w:rPr>
            </w:pPr>
            <w:r>
              <w:rPr>
                <w:spacing w:val="8"/>
                <w:sz w:val="22"/>
              </w:rPr>
              <w:t>0</w:t>
            </w:r>
          </w:p>
        </w:tc>
        <w:tc>
          <w:tcPr>
            <w:tcW w:w="784" w:type="dxa"/>
            <w:tcBorders/>
          </w:tcPr>
          <w:p>
            <w:pPr>
              <w:pStyle w:val="F21"/>
              <w:tabs>
                <w:tab w:val="clear" w:pos="567"/>
              </w:tabs>
              <w:ind w:left="28" w:right="227" w:hanging="0"/>
              <w:jc w:val="right"/>
              <w:rPr>
                <w:spacing w:val="8"/>
                <w:sz w:val="22"/>
              </w:rPr>
            </w:pPr>
            <w:r>
              <w:rPr>
                <w:spacing w:val="8"/>
                <w:sz w:val="22"/>
              </w:rPr>
              <w:t>0</w:t>
            </w:r>
          </w:p>
        </w:tc>
        <w:tc>
          <w:tcPr>
            <w:tcW w:w="776" w:type="dxa"/>
            <w:tcBorders/>
          </w:tcPr>
          <w:p>
            <w:pPr>
              <w:pStyle w:val="F21"/>
              <w:tabs>
                <w:tab w:val="clear" w:pos="567"/>
              </w:tabs>
              <w:ind w:left="28" w:right="284" w:hanging="0"/>
              <w:jc w:val="right"/>
              <w:rPr>
                <w:spacing w:val="8"/>
                <w:sz w:val="22"/>
              </w:rPr>
            </w:pPr>
            <w:r>
              <w:rPr>
                <w:spacing w:val="8"/>
                <w:sz w:val="22"/>
              </w:rPr>
              <w:t>0</w:t>
            </w:r>
          </w:p>
        </w:tc>
      </w:tr>
      <w:tr>
        <w:trPr/>
        <w:tc>
          <w:tcPr>
            <w:tcW w:w="1223" w:type="dxa"/>
            <w:tcBorders/>
          </w:tcPr>
          <w:p>
            <w:pPr>
              <w:pStyle w:val="F21"/>
              <w:tabs>
                <w:tab w:val="clear" w:pos="567"/>
              </w:tabs>
              <w:ind w:left="312" w:right="28" w:hanging="284"/>
              <w:rPr>
                <w:spacing w:val="8"/>
                <w:sz w:val="22"/>
              </w:rPr>
            </w:pPr>
            <w:r>
              <w:rPr>
                <w:spacing w:val="8"/>
                <w:sz w:val="22"/>
              </w:rPr>
              <w:t>4.</w:t>
            </w:r>
            <w:r>
              <w:rPr>
                <w:spacing w:val="8"/>
                <w:sz w:val="22"/>
              </w:rPr>
              <w:t>索具工</w:t>
            </w:r>
            <w:r>
              <w:rPr>
                <w:spacing w:val="8"/>
                <w:sz w:val="22"/>
              </w:rPr>
              <w:t>(</w:t>
            </w:r>
            <w:r>
              <w:rPr>
                <w:spacing w:val="8"/>
                <w:sz w:val="22"/>
              </w:rPr>
              <w:t>叻㗎</w:t>
            </w:r>
            <w:r>
              <w:rPr>
                <w:spacing w:val="8"/>
                <w:sz w:val="22"/>
              </w:rPr>
              <w:t>)</w:t>
            </w:r>
            <w:r>
              <w:rPr>
                <w:rFonts w:ascii="華康細明體" w:hAnsi="華康細明體"/>
                <w:spacing w:val="8"/>
                <w:sz w:val="22"/>
              </w:rPr>
              <w:t>/</w:t>
            </w:r>
            <w:r>
              <w:rPr>
                <w:spacing w:val="8"/>
                <w:sz w:val="22"/>
              </w:rPr>
              <w:t>金屬模板裝嵌工</w:t>
            </w:r>
          </w:p>
        </w:tc>
        <w:tc>
          <w:tcPr>
            <w:tcW w:w="811" w:type="dxa"/>
            <w:tcBorders/>
          </w:tcPr>
          <w:p>
            <w:pPr>
              <w:pStyle w:val="F21"/>
              <w:tabs>
                <w:tab w:val="clear" w:pos="567"/>
              </w:tabs>
              <w:ind w:left="28" w:right="227" w:hanging="0"/>
              <w:jc w:val="right"/>
              <w:rPr>
                <w:spacing w:val="8"/>
                <w:sz w:val="22"/>
              </w:rPr>
            </w:pPr>
            <w:r>
              <w:rPr>
                <w:spacing w:val="8"/>
                <w:sz w:val="22"/>
              </w:rPr>
              <w:t>122</w:t>
            </w:r>
          </w:p>
        </w:tc>
        <w:tc>
          <w:tcPr>
            <w:tcW w:w="784" w:type="dxa"/>
            <w:tcBorders/>
          </w:tcPr>
          <w:p>
            <w:pPr>
              <w:pStyle w:val="F21"/>
              <w:tabs>
                <w:tab w:val="clear" w:pos="567"/>
              </w:tabs>
              <w:ind w:left="28" w:right="227" w:hanging="0"/>
              <w:jc w:val="right"/>
              <w:rPr>
                <w:spacing w:val="8"/>
                <w:sz w:val="22"/>
              </w:rPr>
            </w:pPr>
            <w:r>
              <w:rPr>
                <w:spacing w:val="8"/>
                <w:sz w:val="22"/>
              </w:rPr>
              <w:t>1</w:t>
            </w:r>
          </w:p>
        </w:tc>
        <w:tc>
          <w:tcPr>
            <w:tcW w:w="841" w:type="dxa"/>
            <w:tcBorders/>
          </w:tcPr>
          <w:p>
            <w:pPr>
              <w:pStyle w:val="F21"/>
              <w:tabs>
                <w:tab w:val="clear" w:pos="567"/>
              </w:tabs>
              <w:ind w:left="28" w:right="280" w:hanging="0"/>
              <w:jc w:val="right"/>
              <w:rPr>
                <w:spacing w:val="8"/>
                <w:sz w:val="22"/>
              </w:rPr>
            </w:pPr>
            <w:r>
              <w:rPr>
                <w:spacing w:val="8"/>
                <w:sz w:val="22"/>
              </w:rPr>
              <w:t>110</w:t>
            </w:r>
          </w:p>
        </w:tc>
        <w:tc>
          <w:tcPr>
            <w:tcW w:w="798" w:type="dxa"/>
            <w:tcBorders/>
          </w:tcPr>
          <w:p>
            <w:pPr>
              <w:pStyle w:val="F21"/>
              <w:tabs>
                <w:tab w:val="clear" w:pos="567"/>
              </w:tabs>
              <w:ind w:left="28" w:right="280" w:hanging="0"/>
              <w:jc w:val="right"/>
              <w:rPr>
                <w:spacing w:val="8"/>
                <w:sz w:val="22"/>
              </w:rPr>
            </w:pPr>
            <w:r>
              <w:rPr>
                <w:spacing w:val="8"/>
                <w:sz w:val="22"/>
              </w:rPr>
              <w:t>30</w:t>
            </w:r>
          </w:p>
        </w:tc>
        <w:tc>
          <w:tcPr>
            <w:tcW w:w="840" w:type="dxa"/>
            <w:tcBorders/>
          </w:tcPr>
          <w:p>
            <w:pPr>
              <w:pStyle w:val="F21"/>
              <w:tabs>
                <w:tab w:val="clear" w:pos="567"/>
              </w:tabs>
              <w:ind w:left="28" w:right="280" w:hanging="0"/>
              <w:jc w:val="right"/>
              <w:rPr>
                <w:spacing w:val="8"/>
                <w:sz w:val="22"/>
              </w:rPr>
            </w:pPr>
            <w:r>
              <w:rPr>
                <w:spacing w:val="8"/>
                <w:sz w:val="22"/>
              </w:rPr>
              <w:t>15</w:t>
            </w:r>
          </w:p>
        </w:tc>
        <w:tc>
          <w:tcPr>
            <w:tcW w:w="797" w:type="dxa"/>
            <w:tcBorders/>
          </w:tcPr>
          <w:p>
            <w:pPr>
              <w:pStyle w:val="F21"/>
              <w:tabs>
                <w:tab w:val="clear" w:pos="567"/>
              </w:tabs>
              <w:ind w:left="28" w:right="280" w:hanging="0"/>
              <w:jc w:val="right"/>
              <w:rPr>
                <w:spacing w:val="8"/>
                <w:sz w:val="22"/>
              </w:rPr>
            </w:pPr>
            <w:r>
              <w:rPr>
                <w:spacing w:val="8"/>
                <w:sz w:val="22"/>
              </w:rPr>
              <w:t>96</w:t>
            </w:r>
          </w:p>
        </w:tc>
        <w:tc>
          <w:tcPr>
            <w:tcW w:w="784" w:type="dxa"/>
            <w:tcBorders/>
          </w:tcPr>
          <w:p>
            <w:pPr>
              <w:pStyle w:val="F21"/>
              <w:tabs>
                <w:tab w:val="clear" w:pos="567"/>
              </w:tabs>
              <w:ind w:left="28" w:right="420" w:hanging="0"/>
              <w:jc w:val="right"/>
              <w:rPr>
                <w:spacing w:val="8"/>
                <w:sz w:val="22"/>
              </w:rPr>
            </w:pPr>
            <w:r>
              <w:rPr>
                <w:spacing w:val="8"/>
                <w:sz w:val="22"/>
              </w:rPr>
              <w:t>0</w:t>
            </w:r>
          </w:p>
        </w:tc>
        <w:tc>
          <w:tcPr>
            <w:tcW w:w="784" w:type="dxa"/>
            <w:tcBorders/>
          </w:tcPr>
          <w:p>
            <w:pPr>
              <w:pStyle w:val="F21"/>
              <w:tabs>
                <w:tab w:val="clear" w:pos="567"/>
              </w:tabs>
              <w:ind w:left="28" w:right="420" w:hanging="0"/>
              <w:jc w:val="right"/>
              <w:rPr>
                <w:spacing w:val="8"/>
                <w:sz w:val="22"/>
              </w:rPr>
            </w:pPr>
            <w:r>
              <w:rPr>
                <w:spacing w:val="8"/>
                <w:sz w:val="22"/>
              </w:rPr>
              <w:t>0</w:t>
            </w:r>
          </w:p>
        </w:tc>
        <w:tc>
          <w:tcPr>
            <w:tcW w:w="784" w:type="dxa"/>
            <w:tcBorders/>
          </w:tcPr>
          <w:p>
            <w:pPr>
              <w:pStyle w:val="F21"/>
              <w:tabs>
                <w:tab w:val="clear" w:pos="567"/>
              </w:tabs>
              <w:ind w:left="28" w:right="227" w:hanging="0"/>
              <w:jc w:val="right"/>
              <w:rPr>
                <w:spacing w:val="8"/>
                <w:sz w:val="22"/>
              </w:rPr>
            </w:pPr>
            <w:r>
              <w:rPr>
                <w:spacing w:val="8"/>
                <w:sz w:val="22"/>
              </w:rPr>
              <w:t>0</w:t>
            </w:r>
          </w:p>
        </w:tc>
        <w:tc>
          <w:tcPr>
            <w:tcW w:w="776" w:type="dxa"/>
            <w:tcBorders/>
          </w:tcPr>
          <w:p>
            <w:pPr>
              <w:pStyle w:val="F21"/>
              <w:tabs>
                <w:tab w:val="clear" w:pos="567"/>
              </w:tabs>
              <w:ind w:left="28" w:right="284" w:hanging="0"/>
              <w:jc w:val="right"/>
              <w:rPr>
                <w:spacing w:val="8"/>
                <w:sz w:val="22"/>
              </w:rPr>
            </w:pPr>
            <w:r>
              <w:rPr>
                <w:spacing w:val="8"/>
                <w:sz w:val="22"/>
              </w:rPr>
              <w:t>0</w:t>
            </w:r>
          </w:p>
        </w:tc>
      </w:tr>
      <w:tr>
        <w:trPr/>
        <w:tc>
          <w:tcPr>
            <w:tcW w:w="1223" w:type="dxa"/>
            <w:tcBorders/>
          </w:tcPr>
          <w:p>
            <w:pPr>
              <w:pStyle w:val="F21"/>
              <w:tabs>
                <w:tab w:val="clear" w:pos="567"/>
              </w:tabs>
              <w:ind w:left="312" w:right="28" w:hanging="284"/>
              <w:rPr>
                <w:spacing w:val="8"/>
                <w:sz w:val="22"/>
              </w:rPr>
            </w:pPr>
            <w:r>
              <w:rPr>
                <w:spacing w:val="8"/>
                <w:sz w:val="22"/>
              </w:rPr>
              <w:t>5.</w:t>
              <w:tab/>
            </w:r>
            <w:r>
              <w:rPr>
                <w:spacing w:val="8"/>
                <w:sz w:val="22"/>
              </w:rPr>
              <w:t>普通焊接工</w:t>
            </w:r>
          </w:p>
        </w:tc>
        <w:tc>
          <w:tcPr>
            <w:tcW w:w="811" w:type="dxa"/>
            <w:tcBorders/>
          </w:tcPr>
          <w:p>
            <w:pPr>
              <w:pStyle w:val="F21"/>
              <w:tabs>
                <w:tab w:val="clear" w:pos="567"/>
              </w:tabs>
              <w:ind w:left="28" w:right="227" w:hanging="0"/>
              <w:jc w:val="right"/>
              <w:rPr>
                <w:spacing w:val="8"/>
                <w:sz w:val="22"/>
              </w:rPr>
            </w:pPr>
            <w:r>
              <w:rPr>
                <w:spacing w:val="8"/>
                <w:sz w:val="22"/>
              </w:rPr>
              <w:t>77</w:t>
            </w:r>
          </w:p>
        </w:tc>
        <w:tc>
          <w:tcPr>
            <w:tcW w:w="784" w:type="dxa"/>
            <w:tcBorders/>
          </w:tcPr>
          <w:p>
            <w:pPr>
              <w:pStyle w:val="F21"/>
              <w:tabs>
                <w:tab w:val="clear" w:pos="567"/>
              </w:tabs>
              <w:ind w:left="28" w:right="227" w:hanging="0"/>
              <w:jc w:val="right"/>
              <w:rPr>
                <w:spacing w:val="8"/>
                <w:sz w:val="22"/>
              </w:rPr>
            </w:pPr>
            <w:r>
              <w:rPr>
                <w:spacing w:val="8"/>
                <w:sz w:val="22"/>
              </w:rPr>
              <w:t>5</w:t>
            </w:r>
          </w:p>
        </w:tc>
        <w:tc>
          <w:tcPr>
            <w:tcW w:w="841" w:type="dxa"/>
            <w:tcBorders/>
          </w:tcPr>
          <w:p>
            <w:pPr>
              <w:pStyle w:val="F21"/>
              <w:tabs>
                <w:tab w:val="clear" w:pos="567"/>
              </w:tabs>
              <w:ind w:left="28" w:right="280" w:hanging="0"/>
              <w:jc w:val="right"/>
              <w:rPr>
                <w:spacing w:val="8"/>
                <w:sz w:val="22"/>
              </w:rPr>
            </w:pPr>
            <w:r>
              <w:rPr>
                <w:spacing w:val="8"/>
                <w:sz w:val="22"/>
              </w:rPr>
              <w:t>65</w:t>
            </w:r>
          </w:p>
        </w:tc>
        <w:tc>
          <w:tcPr>
            <w:tcW w:w="798" w:type="dxa"/>
            <w:tcBorders/>
          </w:tcPr>
          <w:p>
            <w:pPr>
              <w:pStyle w:val="F21"/>
              <w:tabs>
                <w:tab w:val="clear" w:pos="567"/>
              </w:tabs>
              <w:ind w:left="28" w:right="280" w:hanging="0"/>
              <w:jc w:val="right"/>
              <w:rPr>
                <w:spacing w:val="8"/>
                <w:sz w:val="22"/>
              </w:rPr>
            </w:pPr>
            <w:r>
              <w:rPr>
                <w:spacing w:val="8"/>
                <w:sz w:val="22"/>
              </w:rPr>
              <w:t>53</w:t>
            </w:r>
          </w:p>
        </w:tc>
        <w:tc>
          <w:tcPr>
            <w:tcW w:w="840" w:type="dxa"/>
            <w:tcBorders/>
          </w:tcPr>
          <w:p>
            <w:pPr>
              <w:pStyle w:val="F21"/>
              <w:tabs>
                <w:tab w:val="clear" w:pos="567"/>
              </w:tabs>
              <w:ind w:left="28" w:right="280" w:hanging="0"/>
              <w:jc w:val="right"/>
              <w:rPr>
                <w:spacing w:val="8"/>
                <w:sz w:val="22"/>
              </w:rPr>
            </w:pPr>
            <w:r>
              <w:rPr>
                <w:spacing w:val="8"/>
                <w:sz w:val="22"/>
              </w:rPr>
              <w:t>63</w:t>
            </w:r>
          </w:p>
        </w:tc>
        <w:tc>
          <w:tcPr>
            <w:tcW w:w="797" w:type="dxa"/>
            <w:tcBorders/>
          </w:tcPr>
          <w:p>
            <w:pPr>
              <w:pStyle w:val="F21"/>
              <w:tabs>
                <w:tab w:val="clear" w:pos="567"/>
              </w:tabs>
              <w:ind w:left="28" w:right="280" w:hanging="0"/>
              <w:jc w:val="right"/>
              <w:rPr>
                <w:spacing w:val="8"/>
                <w:sz w:val="22"/>
              </w:rPr>
            </w:pPr>
            <w:r>
              <w:rPr>
                <w:spacing w:val="8"/>
                <w:sz w:val="22"/>
              </w:rPr>
              <w:t>30</w:t>
            </w:r>
          </w:p>
        </w:tc>
        <w:tc>
          <w:tcPr>
            <w:tcW w:w="784" w:type="dxa"/>
            <w:tcBorders/>
          </w:tcPr>
          <w:p>
            <w:pPr>
              <w:pStyle w:val="F21"/>
              <w:tabs>
                <w:tab w:val="clear" w:pos="567"/>
              </w:tabs>
              <w:ind w:left="28" w:right="420" w:hanging="0"/>
              <w:jc w:val="right"/>
              <w:rPr>
                <w:spacing w:val="8"/>
                <w:sz w:val="22"/>
              </w:rPr>
            </w:pPr>
            <w:r>
              <w:rPr>
                <w:spacing w:val="8"/>
                <w:sz w:val="22"/>
              </w:rPr>
              <w:t>0</w:t>
            </w:r>
          </w:p>
        </w:tc>
        <w:tc>
          <w:tcPr>
            <w:tcW w:w="784" w:type="dxa"/>
            <w:tcBorders/>
          </w:tcPr>
          <w:p>
            <w:pPr>
              <w:pStyle w:val="F21"/>
              <w:tabs>
                <w:tab w:val="clear" w:pos="567"/>
              </w:tabs>
              <w:ind w:left="28" w:right="420" w:hanging="0"/>
              <w:jc w:val="right"/>
              <w:rPr>
                <w:spacing w:val="8"/>
                <w:sz w:val="22"/>
              </w:rPr>
            </w:pPr>
            <w:r>
              <w:rPr>
                <w:spacing w:val="8"/>
                <w:sz w:val="22"/>
              </w:rPr>
              <w:t>0</w:t>
            </w:r>
          </w:p>
        </w:tc>
        <w:tc>
          <w:tcPr>
            <w:tcW w:w="784" w:type="dxa"/>
            <w:tcBorders/>
          </w:tcPr>
          <w:p>
            <w:pPr>
              <w:pStyle w:val="F21"/>
              <w:tabs>
                <w:tab w:val="clear" w:pos="567"/>
              </w:tabs>
              <w:ind w:left="28" w:right="227" w:hanging="0"/>
              <w:jc w:val="right"/>
              <w:rPr>
                <w:spacing w:val="8"/>
                <w:sz w:val="22"/>
              </w:rPr>
            </w:pPr>
            <w:r>
              <w:rPr>
                <w:spacing w:val="8"/>
                <w:sz w:val="22"/>
              </w:rPr>
              <w:t>0</w:t>
            </w:r>
          </w:p>
        </w:tc>
        <w:tc>
          <w:tcPr>
            <w:tcW w:w="776" w:type="dxa"/>
            <w:tcBorders/>
          </w:tcPr>
          <w:p>
            <w:pPr>
              <w:pStyle w:val="F21"/>
              <w:tabs>
                <w:tab w:val="clear" w:pos="567"/>
              </w:tabs>
              <w:ind w:left="28" w:right="284" w:hanging="0"/>
              <w:jc w:val="right"/>
              <w:rPr>
                <w:spacing w:val="8"/>
                <w:sz w:val="22"/>
              </w:rPr>
            </w:pPr>
            <w:r>
              <w:rPr>
                <w:spacing w:val="8"/>
                <w:sz w:val="22"/>
              </w:rPr>
              <w:t>0</w:t>
            </w:r>
          </w:p>
        </w:tc>
      </w:tr>
      <w:tr>
        <w:trPr/>
        <w:tc>
          <w:tcPr>
            <w:tcW w:w="1223" w:type="dxa"/>
            <w:tcBorders/>
          </w:tcPr>
          <w:p>
            <w:pPr>
              <w:pStyle w:val="F21"/>
              <w:tabs>
                <w:tab w:val="clear" w:pos="567"/>
              </w:tabs>
              <w:ind w:left="312" w:right="28" w:hanging="284"/>
              <w:rPr>
                <w:spacing w:val="8"/>
                <w:sz w:val="22"/>
              </w:rPr>
            </w:pPr>
            <w:r>
              <w:rPr>
                <w:spacing w:val="8"/>
                <w:sz w:val="22"/>
              </w:rPr>
              <w:t>6.</w:t>
              <w:tab/>
            </w:r>
            <w:r>
              <w:rPr>
                <w:spacing w:val="8"/>
                <w:sz w:val="22"/>
              </w:rPr>
              <w:t>平水工</w:t>
            </w:r>
          </w:p>
        </w:tc>
        <w:tc>
          <w:tcPr>
            <w:tcW w:w="811" w:type="dxa"/>
            <w:tcBorders/>
          </w:tcPr>
          <w:p>
            <w:pPr>
              <w:pStyle w:val="F21"/>
              <w:tabs>
                <w:tab w:val="clear" w:pos="567"/>
              </w:tabs>
              <w:ind w:left="28" w:right="227" w:hanging="0"/>
              <w:jc w:val="right"/>
              <w:rPr>
                <w:spacing w:val="8"/>
                <w:sz w:val="22"/>
              </w:rPr>
            </w:pPr>
            <w:r>
              <w:rPr>
                <w:spacing w:val="8"/>
                <w:sz w:val="22"/>
              </w:rPr>
              <w:t>33</w:t>
            </w:r>
          </w:p>
        </w:tc>
        <w:tc>
          <w:tcPr>
            <w:tcW w:w="784" w:type="dxa"/>
            <w:tcBorders/>
          </w:tcPr>
          <w:p>
            <w:pPr>
              <w:pStyle w:val="F21"/>
              <w:tabs>
                <w:tab w:val="clear" w:pos="567"/>
              </w:tabs>
              <w:ind w:left="28" w:right="227" w:hanging="0"/>
              <w:jc w:val="right"/>
              <w:rPr>
                <w:spacing w:val="8"/>
                <w:sz w:val="22"/>
              </w:rPr>
            </w:pPr>
            <w:r>
              <w:rPr>
                <w:spacing w:val="8"/>
                <w:sz w:val="22"/>
              </w:rPr>
              <w:t>0</w:t>
            </w:r>
          </w:p>
        </w:tc>
        <w:tc>
          <w:tcPr>
            <w:tcW w:w="841" w:type="dxa"/>
            <w:tcBorders/>
          </w:tcPr>
          <w:p>
            <w:pPr>
              <w:pStyle w:val="F21"/>
              <w:tabs>
                <w:tab w:val="clear" w:pos="567"/>
              </w:tabs>
              <w:ind w:left="28" w:right="280" w:hanging="0"/>
              <w:jc w:val="right"/>
              <w:rPr>
                <w:spacing w:val="8"/>
                <w:sz w:val="22"/>
              </w:rPr>
            </w:pPr>
            <w:r>
              <w:rPr>
                <w:spacing w:val="8"/>
                <w:sz w:val="22"/>
              </w:rPr>
              <w:t>20</w:t>
            </w:r>
          </w:p>
        </w:tc>
        <w:tc>
          <w:tcPr>
            <w:tcW w:w="798" w:type="dxa"/>
            <w:tcBorders/>
          </w:tcPr>
          <w:p>
            <w:pPr>
              <w:pStyle w:val="F21"/>
              <w:tabs>
                <w:tab w:val="clear" w:pos="567"/>
              </w:tabs>
              <w:ind w:left="28" w:right="280" w:hanging="0"/>
              <w:jc w:val="right"/>
              <w:rPr>
                <w:spacing w:val="8"/>
                <w:sz w:val="22"/>
              </w:rPr>
            </w:pPr>
            <w:r>
              <w:rPr>
                <w:spacing w:val="8"/>
                <w:sz w:val="22"/>
              </w:rPr>
              <w:t>3</w:t>
            </w:r>
          </w:p>
        </w:tc>
        <w:tc>
          <w:tcPr>
            <w:tcW w:w="840" w:type="dxa"/>
            <w:tcBorders/>
          </w:tcPr>
          <w:p>
            <w:pPr>
              <w:pStyle w:val="F21"/>
              <w:tabs>
                <w:tab w:val="clear" w:pos="567"/>
              </w:tabs>
              <w:ind w:left="28" w:right="280" w:hanging="0"/>
              <w:jc w:val="right"/>
              <w:rPr>
                <w:spacing w:val="8"/>
                <w:sz w:val="22"/>
              </w:rPr>
            </w:pPr>
            <w:r>
              <w:rPr>
                <w:spacing w:val="8"/>
                <w:sz w:val="22"/>
              </w:rPr>
              <w:t>0</w:t>
            </w:r>
          </w:p>
        </w:tc>
        <w:tc>
          <w:tcPr>
            <w:tcW w:w="797" w:type="dxa"/>
            <w:tcBorders/>
          </w:tcPr>
          <w:p>
            <w:pPr>
              <w:pStyle w:val="F21"/>
              <w:tabs>
                <w:tab w:val="clear" w:pos="567"/>
              </w:tabs>
              <w:ind w:left="28" w:right="280" w:hanging="0"/>
              <w:jc w:val="right"/>
              <w:rPr>
                <w:spacing w:val="8"/>
                <w:sz w:val="22"/>
              </w:rPr>
            </w:pPr>
            <w:r>
              <w:rPr>
                <w:spacing w:val="8"/>
                <w:sz w:val="22"/>
              </w:rPr>
              <w:t>0</w:t>
            </w:r>
          </w:p>
        </w:tc>
        <w:tc>
          <w:tcPr>
            <w:tcW w:w="784" w:type="dxa"/>
            <w:tcBorders/>
          </w:tcPr>
          <w:p>
            <w:pPr>
              <w:pStyle w:val="F21"/>
              <w:tabs>
                <w:tab w:val="clear" w:pos="567"/>
              </w:tabs>
              <w:ind w:left="28" w:right="420" w:hanging="0"/>
              <w:jc w:val="right"/>
              <w:rPr>
                <w:spacing w:val="8"/>
                <w:sz w:val="22"/>
              </w:rPr>
            </w:pPr>
            <w:r>
              <w:rPr>
                <w:spacing w:val="8"/>
                <w:sz w:val="22"/>
              </w:rPr>
              <w:t>0</w:t>
            </w:r>
          </w:p>
        </w:tc>
        <w:tc>
          <w:tcPr>
            <w:tcW w:w="784" w:type="dxa"/>
            <w:tcBorders/>
          </w:tcPr>
          <w:p>
            <w:pPr>
              <w:pStyle w:val="F21"/>
              <w:tabs>
                <w:tab w:val="clear" w:pos="567"/>
              </w:tabs>
              <w:ind w:left="28" w:right="420" w:hanging="0"/>
              <w:jc w:val="right"/>
              <w:rPr>
                <w:spacing w:val="8"/>
                <w:sz w:val="22"/>
              </w:rPr>
            </w:pPr>
            <w:r>
              <w:rPr>
                <w:spacing w:val="8"/>
                <w:sz w:val="22"/>
              </w:rPr>
              <w:t>0</w:t>
            </w:r>
          </w:p>
        </w:tc>
        <w:tc>
          <w:tcPr>
            <w:tcW w:w="784" w:type="dxa"/>
            <w:tcBorders/>
          </w:tcPr>
          <w:p>
            <w:pPr>
              <w:pStyle w:val="F21"/>
              <w:tabs>
                <w:tab w:val="clear" w:pos="567"/>
              </w:tabs>
              <w:ind w:left="28" w:right="227" w:hanging="0"/>
              <w:jc w:val="right"/>
              <w:rPr>
                <w:spacing w:val="8"/>
                <w:sz w:val="22"/>
              </w:rPr>
            </w:pPr>
            <w:r>
              <w:rPr>
                <w:spacing w:val="8"/>
                <w:sz w:val="22"/>
              </w:rPr>
              <w:t>0</w:t>
            </w:r>
          </w:p>
        </w:tc>
        <w:tc>
          <w:tcPr>
            <w:tcW w:w="776" w:type="dxa"/>
            <w:tcBorders/>
          </w:tcPr>
          <w:p>
            <w:pPr>
              <w:pStyle w:val="F21"/>
              <w:tabs>
                <w:tab w:val="clear" w:pos="567"/>
              </w:tabs>
              <w:ind w:left="28" w:right="284" w:hanging="0"/>
              <w:jc w:val="right"/>
              <w:rPr>
                <w:spacing w:val="8"/>
                <w:sz w:val="22"/>
              </w:rPr>
            </w:pPr>
            <w:r>
              <w:rPr>
                <w:spacing w:val="8"/>
                <w:sz w:val="22"/>
              </w:rPr>
              <w:t>0</w:t>
            </w:r>
          </w:p>
        </w:tc>
      </w:tr>
      <w:tr>
        <w:trPr/>
        <w:tc>
          <w:tcPr>
            <w:tcW w:w="1223" w:type="dxa"/>
            <w:tcBorders/>
          </w:tcPr>
          <w:p>
            <w:pPr>
              <w:pStyle w:val="F21"/>
              <w:tabs>
                <w:tab w:val="clear" w:pos="567"/>
              </w:tabs>
              <w:ind w:left="312" w:right="28" w:hanging="284"/>
              <w:rPr>
                <w:spacing w:val="8"/>
                <w:sz w:val="22"/>
              </w:rPr>
            </w:pPr>
            <w:r>
              <w:rPr>
                <w:spacing w:val="8"/>
                <w:sz w:val="22"/>
              </w:rPr>
              <w:t>7.</w:t>
              <w:tab/>
            </w:r>
            <w:r>
              <w:rPr>
                <w:spacing w:val="8"/>
                <w:sz w:val="22"/>
              </w:rPr>
              <w:t>批盪工</w:t>
            </w:r>
          </w:p>
        </w:tc>
        <w:tc>
          <w:tcPr>
            <w:tcW w:w="811" w:type="dxa"/>
            <w:tcBorders/>
          </w:tcPr>
          <w:p>
            <w:pPr>
              <w:pStyle w:val="F21"/>
              <w:tabs>
                <w:tab w:val="clear" w:pos="567"/>
              </w:tabs>
              <w:ind w:left="28" w:right="227" w:hanging="0"/>
              <w:jc w:val="right"/>
              <w:rPr>
                <w:spacing w:val="8"/>
                <w:sz w:val="22"/>
              </w:rPr>
            </w:pPr>
            <w:r>
              <w:rPr>
                <w:spacing w:val="8"/>
                <w:sz w:val="22"/>
              </w:rPr>
              <w:t>51</w:t>
            </w:r>
          </w:p>
        </w:tc>
        <w:tc>
          <w:tcPr>
            <w:tcW w:w="784" w:type="dxa"/>
            <w:tcBorders/>
          </w:tcPr>
          <w:p>
            <w:pPr>
              <w:pStyle w:val="F21"/>
              <w:tabs>
                <w:tab w:val="clear" w:pos="567"/>
              </w:tabs>
              <w:ind w:left="28" w:right="227" w:hanging="0"/>
              <w:jc w:val="right"/>
              <w:rPr>
                <w:spacing w:val="8"/>
                <w:sz w:val="22"/>
              </w:rPr>
            </w:pPr>
            <w:r>
              <w:rPr>
                <w:spacing w:val="8"/>
                <w:sz w:val="22"/>
              </w:rPr>
              <w:t>0</w:t>
            </w:r>
          </w:p>
        </w:tc>
        <w:tc>
          <w:tcPr>
            <w:tcW w:w="841" w:type="dxa"/>
            <w:tcBorders/>
          </w:tcPr>
          <w:p>
            <w:pPr>
              <w:pStyle w:val="F21"/>
              <w:tabs>
                <w:tab w:val="clear" w:pos="567"/>
              </w:tabs>
              <w:ind w:left="28" w:right="280" w:hanging="0"/>
              <w:jc w:val="right"/>
              <w:rPr>
                <w:spacing w:val="8"/>
                <w:sz w:val="22"/>
              </w:rPr>
            </w:pPr>
            <w:r>
              <w:rPr>
                <w:spacing w:val="8"/>
                <w:sz w:val="22"/>
              </w:rPr>
              <w:t>50</w:t>
            </w:r>
          </w:p>
        </w:tc>
        <w:tc>
          <w:tcPr>
            <w:tcW w:w="798" w:type="dxa"/>
            <w:tcBorders/>
          </w:tcPr>
          <w:p>
            <w:pPr>
              <w:pStyle w:val="F21"/>
              <w:tabs>
                <w:tab w:val="clear" w:pos="567"/>
              </w:tabs>
              <w:ind w:left="28" w:right="280" w:hanging="0"/>
              <w:jc w:val="right"/>
              <w:rPr>
                <w:spacing w:val="8"/>
                <w:sz w:val="22"/>
              </w:rPr>
            </w:pPr>
            <w:r>
              <w:rPr>
                <w:spacing w:val="8"/>
                <w:sz w:val="22"/>
              </w:rPr>
              <w:t>25</w:t>
            </w:r>
          </w:p>
        </w:tc>
        <w:tc>
          <w:tcPr>
            <w:tcW w:w="840" w:type="dxa"/>
            <w:tcBorders/>
          </w:tcPr>
          <w:p>
            <w:pPr>
              <w:pStyle w:val="F21"/>
              <w:tabs>
                <w:tab w:val="clear" w:pos="567"/>
              </w:tabs>
              <w:ind w:left="28" w:right="280" w:hanging="0"/>
              <w:jc w:val="right"/>
              <w:rPr>
                <w:spacing w:val="8"/>
                <w:sz w:val="22"/>
              </w:rPr>
            </w:pPr>
            <w:r>
              <w:rPr>
                <w:spacing w:val="8"/>
                <w:sz w:val="22"/>
              </w:rPr>
              <w:t>40</w:t>
            </w:r>
          </w:p>
        </w:tc>
        <w:tc>
          <w:tcPr>
            <w:tcW w:w="797" w:type="dxa"/>
            <w:tcBorders/>
          </w:tcPr>
          <w:p>
            <w:pPr>
              <w:pStyle w:val="F21"/>
              <w:tabs>
                <w:tab w:val="clear" w:pos="567"/>
              </w:tabs>
              <w:ind w:left="28" w:right="280" w:hanging="0"/>
              <w:jc w:val="right"/>
              <w:rPr>
                <w:spacing w:val="8"/>
                <w:sz w:val="22"/>
              </w:rPr>
            </w:pPr>
            <w:r>
              <w:rPr>
                <w:spacing w:val="8"/>
                <w:sz w:val="22"/>
              </w:rPr>
              <w:t>40</w:t>
            </w:r>
          </w:p>
        </w:tc>
        <w:tc>
          <w:tcPr>
            <w:tcW w:w="784" w:type="dxa"/>
            <w:tcBorders/>
          </w:tcPr>
          <w:p>
            <w:pPr>
              <w:pStyle w:val="F21"/>
              <w:tabs>
                <w:tab w:val="clear" w:pos="567"/>
              </w:tabs>
              <w:ind w:left="28" w:right="420" w:hanging="0"/>
              <w:jc w:val="right"/>
              <w:rPr>
                <w:spacing w:val="8"/>
                <w:sz w:val="22"/>
              </w:rPr>
            </w:pPr>
            <w:r>
              <w:rPr>
                <w:spacing w:val="8"/>
                <w:sz w:val="22"/>
              </w:rPr>
              <w:t>0</w:t>
            </w:r>
          </w:p>
        </w:tc>
        <w:tc>
          <w:tcPr>
            <w:tcW w:w="784" w:type="dxa"/>
            <w:tcBorders/>
          </w:tcPr>
          <w:p>
            <w:pPr>
              <w:pStyle w:val="F21"/>
              <w:tabs>
                <w:tab w:val="clear" w:pos="567"/>
              </w:tabs>
              <w:ind w:left="28" w:right="420" w:hanging="0"/>
              <w:jc w:val="right"/>
              <w:rPr>
                <w:spacing w:val="8"/>
                <w:sz w:val="22"/>
              </w:rPr>
            </w:pPr>
            <w:r>
              <w:rPr>
                <w:spacing w:val="8"/>
                <w:sz w:val="22"/>
              </w:rPr>
              <w:t>0</w:t>
            </w:r>
          </w:p>
        </w:tc>
        <w:tc>
          <w:tcPr>
            <w:tcW w:w="784" w:type="dxa"/>
            <w:tcBorders/>
          </w:tcPr>
          <w:p>
            <w:pPr>
              <w:pStyle w:val="F21"/>
              <w:tabs>
                <w:tab w:val="clear" w:pos="567"/>
              </w:tabs>
              <w:ind w:left="28" w:right="227" w:hanging="0"/>
              <w:jc w:val="right"/>
              <w:rPr>
                <w:spacing w:val="8"/>
                <w:sz w:val="22"/>
              </w:rPr>
            </w:pPr>
            <w:r>
              <w:rPr>
                <w:spacing w:val="8"/>
                <w:sz w:val="22"/>
              </w:rPr>
              <w:t>0</w:t>
            </w:r>
          </w:p>
        </w:tc>
        <w:tc>
          <w:tcPr>
            <w:tcW w:w="776" w:type="dxa"/>
            <w:tcBorders/>
          </w:tcPr>
          <w:p>
            <w:pPr>
              <w:pStyle w:val="F21"/>
              <w:tabs>
                <w:tab w:val="clear" w:pos="567"/>
              </w:tabs>
              <w:ind w:left="28" w:right="284" w:hanging="0"/>
              <w:jc w:val="right"/>
              <w:rPr>
                <w:spacing w:val="8"/>
                <w:sz w:val="22"/>
              </w:rPr>
            </w:pPr>
            <w:r>
              <w:rPr>
                <w:spacing w:val="8"/>
                <w:sz w:val="22"/>
              </w:rPr>
              <w:t>0</w:t>
            </w:r>
          </w:p>
        </w:tc>
      </w:tr>
      <w:tr>
        <w:trPr/>
        <w:tc>
          <w:tcPr>
            <w:tcW w:w="1223" w:type="dxa"/>
            <w:tcBorders/>
          </w:tcPr>
          <w:p>
            <w:pPr>
              <w:pStyle w:val="F21"/>
              <w:tabs>
                <w:tab w:val="clear" w:pos="567"/>
              </w:tabs>
              <w:ind w:left="312" w:right="28" w:hanging="284"/>
              <w:rPr>
                <w:spacing w:val="8"/>
                <w:sz w:val="22"/>
              </w:rPr>
            </w:pPr>
            <w:r>
              <w:rPr>
                <w:spacing w:val="8"/>
                <w:sz w:val="22"/>
              </w:rPr>
              <w:t>8.</w:t>
              <w:tab/>
            </w:r>
            <w:r>
              <w:rPr>
                <w:spacing w:val="8"/>
                <w:sz w:val="22"/>
              </w:rPr>
              <w:t>砌磚工</w:t>
            </w:r>
          </w:p>
        </w:tc>
        <w:tc>
          <w:tcPr>
            <w:tcW w:w="811" w:type="dxa"/>
            <w:tcBorders/>
          </w:tcPr>
          <w:p>
            <w:pPr>
              <w:pStyle w:val="F21"/>
              <w:tabs>
                <w:tab w:val="clear" w:pos="567"/>
              </w:tabs>
              <w:ind w:left="28" w:right="227" w:hanging="0"/>
              <w:jc w:val="right"/>
              <w:rPr>
                <w:spacing w:val="8"/>
                <w:sz w:val="22"/>
              </w:rPr>
            </w:pPr>
            <w:r>
              <w:rPr>
                <w:spacing w:val="8"/>
                <w:sz w:val="22"/>
              </w:rPr>
              <w:t>20</w:t>
            </w:r>
          </w:p>
        </w:tc>
        <w:tc>
          <w:tcPr>
            <w:tcW w:w="784" w:type="dxa"/>
            <w:tcBorders/>
          </w:tcPr>
          <w:p>
            <w:pPr>
              <w:pStyle w:val="F21"/>
              <w:tabs>
                <w:tab w:val="clear" w:pos="567"/>
              </w:tabs>
              <w:ind w:left="28" w:right="227" w:hanging="0"/>
              <w:jc w:val="right"/>
              <w:rPr>
                <w:spacing w:val="8"/>
                <w:sz w:val="22"/>
              </w:rPr>
            </w:pPr>
            <w:r>
              <w:rPr>
                <w:spacing w:val="8"/>
                <w:sz w:val="22"/>
              </w:rPr>
              <w:t>0</w:t>
            </w:r>
          </w:p>
        </w:tc>
        <w:tc>
          <w:tcPr>
            <w:tcW w:w="841" w:type="dxa"/>
            <w:tcBorders/>
          </w:tcPr>
          <w:p>
            <w:pPr>
              <w:pStyle w:val="F21"/>
              <w:tabs>
                <w:tab w:val="clear" w:pos="567"/>
              </w:tabs>
              <w:ind w:left="28" w:right="280" w:hanging="0"/>
              <w:jc w:val="right"/>
              <w:rPr>
                <w:spacing w:val="8"/>
                <w:sz w:val="22"/>
              </w:rPr>
            </w:pPr>
            <w:r>
              <w:rPr>
                <w:spacing w:val="8"/>
                <w:sz w:val="22"/>
              </w:rPr>
              <w:t>40</w:t>
            </w:r>
          </w:p>
        </w:tc>
        <w:tc>
          <w:tcPr>
            <w:tcW w:w="798" w:type="dxa"/>
            <w:tcBorders/>
          </w:tcPr>
          <w:p>
            <w:pPr>
              <w:pStyle w:val="F21"/>
              <w:tabs>
                <w:tab w:val="clear" w:pos="567"/>
              </w:tabs>
              <w:ind w:left="28" w:right="280" w:hanging="0"/>
              <w:jc w:val="right"/>
              <w:rPr>
                <w:spacing w:val="8"/>
                <w:sz w:val="22"/>
              </w:rPr>
            </w:pPr>
            <w:r>
              <w:rPr>
                <w:spacing w:val="8"/>
                <w:sz w:val="22"/>
              </w:rPr>
              <w:t>17</w:t>
            </w:r>
          </w:p>
        </w:tc>
        <w:tc>
          <w:tcPr>
            <w:tcW w:w="840" w:type="dxa"/>
            <w:tcBorders/>
          </w:tcPr>
          <w:p>
            <w:pPr>
              <w:pStyle w:val="F21"/>
              <w:tabs>
                <w:tab w:val="clear" w:pos="567"/>
              </w:tabs>
              <w:ind w:left="28" w:right="280" w:hanging="0"/>
              <w:jc w:val="right"/>
              <w:rPr>
                <w:spacing w:val="8"/>
                <w:sz w:val="22"/>
              </w:rPr>
            </w:pPr>
            <w:r>
              <w:rPr>
                <w:spacing w:val="8"/>
                <w:sz w:val="22"/>
              </w:rPr>
              <w:t>50</w:t>
            </w:r>
          </w:p>
        </w:tc>
        <w:tc>
          <w:tcPr>
            <w:tcW w:w="797" w:type="dxa"/>
            <w:tcBorders/>
          </w:tcPr>
          <w:p>
            <w:pPr>
              <w:pStyle w:val="F21"/>
              <w:tabs>
                <w:tab w:val="clear" w:pos="567"/>
              </w:tabs>
              <w:ind w:left="28" w:right="280" w:hanging="0"/>
              <w:jc w:val="right"/>
              <w:rPr>
                <w:spacing w:val="8"/>
                <w:sz w:val="22"/>
              </w:rPr>
            </w:pPr>
            <w:r>
              <w:rPr>
                <w:spacing w:val="8"/>
                <w:sz w:val="22"/>
              </w:rPr>
              <w:t>38</w:t>
            </w:r>
          </w:p>
        </w:tc>
        <w:tc>
          <w:tcPr>
            <w:tcW w:w="784" w:type="dxa"/>
            <w:tcBorders/>
          </w:tcPr>
          <w:p>
            <w:pPr>
              <w:pStyle w:val="F21"/>
              <w:tabs>
                <w:tab w:val="clear" w:pos="567"/>
              </w:tabs>
              <w:ind w:left="28" w:right="420" w:hanging="0"/>
              <w:jc w:val="right"/>
              <w:rPr>
                <w:spacing w:val="8"/>
                <w:sz w:val="22"/>
              </w:rPr>
            </w:pPr>
            <w:r>
              <w:rPr>
                <w:spacing w:val="8"/>
                <w:sz w:val="22"/>
              </w:rPr>
              <w:t>0</w:t>
            </w:r>
          </w:p>
        </w:tc>
        <w:tc>
          <w:tcPr>
            <w:tcW w:w="784" w:type="dxa"/>
            <w:tcBorders/>
          </w:tcPr>
          <w:p>
            <w:pPr>
              <w:pStyle w:val="F21"/>
              <w:tabs>
                <w:tab w:val="clear" w:pos="567"/>
              </w:tabs>
              <w:ind w:left="28" w:right="420" w:hanging="0"/>
              <w:jc w:val="right"/>
              <w:rPr>
                <w:spacing w:val="8"/>
                <w:sz w:val="22"/>
              </w:rPr>
            </w:pPr>
            <w:r>
              <w:rPr>
                <w:spacing w:val="8"/>
                <w:sz w:val="22"/>
              </w:rPr>
              <w:t>0</w:t>
            </w:r>
          </w:p>
        </w:tc>
        <w:tc>
          <w:tcPr>
            <w:tcW w:w="784" w:type="dxa"/>
            <w:tcBorders/>
          </w:tcPr>
          <w:p>
            <w:pPr>
              <w:pStyle w:val="F21"/>
              <w:tabs>
                <w:tab w:val="clear" w:pos="567"/>
              </w:tabs>
              <w:ind w:left="28" w:right="227" w:hanging="0"/>
              <w:jc w:val="right"/>
              <w:rPr>
                <w:spacing w:val="8"/>
                <w:sz w:val="22"/>
              </w:rPr>
            </w:pPr>
            <w:r>
              <w:rPr>
                <w:spacing w:val="8"/>
                <w:sz w:val="22"/>
              </w:rPr>
              <w:t>0</w:t>
            </w:r>
          </w:p>
        </w:tc>
        <w:tc>
          <w:tcPr>
            <w:tcW w:w="776" w:type="dxa"/>
            <w:tcBorders/>
          </w:tcPr>
          <w:p>
            <w:pPr>
              <w:pStyle w:val="F21"/>
              <w:tabs>
                <w:tab w:val="clear" w:pos="567"/>
              </w:tabs>
              <w:ind w:left="28" w:right="284" w:hanging="0"/>
              <w:jc w:val="right"/>
              <w:rPr>
                <w:spacing w:val="8"/>
                <w:sz w:val="22"/>
              </w:rPr>
            </w:pPr>
            <w:r>
              <w:rPr>
                <w:spacing w:val="8"/>
                <w:sz w:val="22"/>
              </w:rPr>
              <w:t>0</w:t>
            </w:r>
          </w:p>
        </w:tc>
      </w:tr>
      <w:tr>
        <w:trPr/>
        <w:tc>
          <w:tcPr>
            <w:tcW w:w="1223" w:type="dxa"/>
            <w:tcBorders/>
          </w:tcPr>
          <w:p>
            <w:pPr>
              <w:pStyle w:val="F21"/>
              <w:tabs>
                <w:tab w:val="clear" w:pos="567"/>
              </w:tabs>
              <w:ind w:left="312" w:right="28" w:hanging="284"/>
              <w:rPr>
                <w:spacing w:val="8"/>
                <w:sz w:val="22"/>
              </w:rPr>
            </w:pPr>
            <w:r>
              <w:rPr>
                <w:spacing w:val="8"/>
                <w:sz w:val="22"/>
              </w:rPr>
              <w:t>9.</w:t>
              <w:tab/>
            </w:r>
            <w:r>
              <w:rPr>
                <w:spacing w:val="8"/>
                <w:sz w:val="22"/>
              </w:rPr>
              <w:t>金屬棚架工</w:t>
            </w:r>
          </w:p>
        </w:tc>
        <w:tc>
          <w:tcPr>
            <w:tcW w:w="811" w:type="dxa"/>
            <w:tcBorders/>
          </w:tcPr>
          <w:p>
            <w:pPr>
              <w:pStyle w:val="F21"/>
              <w:tabs>
                <w:tab w:val="clear" w:pos="567"/>
              </w:tabs>
              <w:ind w:left="28" w:right="227" w:hanging="0"/>
              <w:jc w:val="right"/>
              <w:rPr>
                <w:spacing w:val="8"/>
                <w:sz w:val="22"/>
              </w:rPr>
            </w:pPr>
            <w:r>
              <w:rPr>
                <w:spacing w:val="8"/>
                <w:sz w:val="22"/>
              </w:rPr>
              <w:t>25</w:t>
            </w:r>
          </w:p>
        </w:tc>
        <w:tc>
          <w:tcPr>
            <w:tcW w:w="784" w:type="dxa"/>
            <w:tcBorders/>
          </w:tcPr>
          <w:p>
            <w:pPr>
              <w:pStyle w:val="F21"/>
              <w:tabs>
                <w:tab w:val="clear" w:pos="567"/>
              </w:tabs>
              <w:ind w:left="28" w:right="227" w:hanging="0"/>
              <w:jc w:val="right"/>
              <w:rPr>
                <w:spacing w:val="8"/>
                <w:sz w:val="22"/>
              </w:rPr>
            </w:pPr>
            <w:r>
              <w:rPr>
                <w:spacing w:val="8"/>
                <w:sz w:val="22"/>
              </w:rPr>
              <w:t>0</w:t>
            </w:r>
          </w:p>
        </w:tc>
        <w:tc>
          <w:tcPr>
            <w:tcW w:w="841" w:type="dxa"/>
            <w:tcBorders/>
          </w:tcPr>
          <w:p>
            <w:pPr>
              <w:pStyle w:val="F21"/>
              <w:tabs>
                <w:tab w:val="clear" w:pos="567"/>
              </w:tabs>
              <w:ind w:left="28" w:right="280" w:hanging="0"/>
              <w:jc w:val="right"/>
              <w:rPr>
                <w:spacing w:val="8"/>
                <w:sz w:val="22"/>
              </w:rPr>
            </w:pPr>
            <w:r>
              <w:rPr>
                <w:spacing w:val="8"/>
                <w:sz w:val="22"/>
              </w:rPr>
              <w:t>60</w:t>
            </w:r>
          </w:p>
        </w:tc>
        <w:tc>
          <w:tcPr>
            <w:tcW w:w="798" w:type="dxa"/>
            <w:tcBorders/>
          </w:tcPr>
          <w:p>
            <w:pPr>
              <w:pStyle w:val="F21"/>
              <w:tabs>
                <w:tab w:val="clear" w:pos="567"/>
              </w:tabs>
              <w:ind w:left="28" w:right="280" w:hanging="0"/>
              <w:jc w:val="right"/>
              <w:rPr>
                <w:spacing w:val="8"/>
                <w:sz w:val="22"/>
              </w:rPr>
            </w:pPr>
            <w:r>
              <w:rPr>
                <w:spacing w:val="8"/>
                <w:sz w:val="22"/>
              </w:rPr>
              <w:t>0</w:t>
            </w:r>
          </w:p>
        </w:tc>
        <w:tc>
          <w:tcPr>
            <w:tcW w:w="840" w:type="dxa"/>
            <w:tcBorders/>
          </w:tcPr>
          <w:p>
            <w:pPr>
              <w:pStyle w:val="F21"/>
              <w:tabs>
                <w:tab w:val="clear" w:pos="567"/>
              </w:tabs>
              <w:ind w:left="28" w:right="280" w:hanging="0"/>
              <w:jc w:val="right"/>
              <w:rPr>
                <w:spacing w:val="8"/>
                <w:sz w:val="22"/>
              </w:rPr>
            </w:pPr>
            <w:r>
              <w:rPr>
                <w:spacing w:val="8"/>
                <w:sz w:val="22"/>
              </w:rPr>
              <w:t>35</w:t>
            </w:r>
          </w:p>
        </w:tc>
        <w:tc>
          <w:tcPr>
            <w:tcW w:w="797" w:type="dxa"/>
            <w:tcBorders/>
          </w:tcPr>
          <w:p>
            <w:pPr>
              <w:pStyle w:val="F21"/>
              <w:tabs>
                <w:tab w:val="clear" w:pos="567"/>
              </w:tabs>
              <w:ind w:left="28" w:right="280" w:hanging="0"/>
              <w:jc w:val="right"/>
              <w:rPr>
                <w:spacing w:val="8"/>
                <w:sz w:val="22"/>
              </w:rPr>
            </w:pPr>
            <w:r>
              <w:rPr>
                <w:spacing w:val="8"/>
                <w:sz w:val="22"/>
              </w:rPr>
              <w:t>63</w:t>
            </w:r>
          </w:p>
        </w:tc>
        <w:tc>
          <w:tcPr>
            <w:tcW w:w="784" w:type="dxa"/>
            <w:tcBorders/>
          </w:tcPr>
          <w:p>
            <w:pPr>
              <w:pStyle w:val="F21"/>
              <w:tabs>
                <w:tab w:val="clear" w:pos="567"/>
              </w:tabs>
              <w:ind w:left="28" w:right="420" w:hanging="0"/>
              <w:jc w:val="right"/>
              <w:rPr>
                <w:spacing w:val="8"/>
                <w:sz w:val="22"/>
              </w:rPr>
            </w:pPr>
            <w:r>
              <w:rPr>
                <w:spacing w:val="8"/>
                <w:sz w:val="22"/>
              </w:rPr>
              <w:t>0</w:t>
            </w:r>
          </w:p>
        </w:tc>
        <w:tc>
          <w:tcPr>
            <w:tcW w:w="784" w:type="dxa"/>
            <w:tcBorders/>
          </w:tcPr>
          <w:p>
            <w:pPr>
              <w:pStyle w:val="F21"/>
              <w:tabs>
                <w:tab w:val="clear" w:pos="567"/>
              </w:tabs>
              <w:ind w:left="28" w:right="420" w:hanging="0"/>
              <w:jc w:val="right"/>
              <w:rPr>
                <w:spacing w:val="8"/>
                <w:sz w:val="22"/>
              </w:rPr>
            </w:pPr>
            <w:r>
              <w:rPr>
                <w:spacing w:val="8"/>
                <w:sz w:val="22"/>
              </w:rPr>
              <w:t>0</w:t>
            </w:r>
          </w:p>
        </w:tc>
        <w:tc>
          <w:tcPr>
            <w:tcW w:w="784" w:type="dxa"/>
            <w:tcBorders/>
          </w:tcPr>
          <w:p>
            <w:pPr>
              <w:pStyle w:val="F21"/>
              <w:tabs>
                <w:tab w:val="clear" w:pos="567"/>
              </w:tabs>
              <w:ind w:left="28" w:right="227" w:hanging="0"/>
              <w:jc w:val="right"/>
              <w:rPr>
                <w:spacing w:val="8"/>
                <w:sz w:val="22"/>
              </w:rPr>
            </w:pPr>
            <w:r>
              <w:rPr>
                <w:spacing w:val="8"/>
                <w:sz w:val="22"/>
              </w:rPr>
              <w:t>0</w:t>
            </w:r>
          </w:p>
        </w:tc>
        <w:tc>
          <w:tcPr>
            <w:tcW w:w="776" w:type="dxa"/>
            <w:tcBorders/>
          </w:tcPr>
          <w:p>
            <w:pPr>
              <w:pStyle w:val="F21"/>
              <w:tabs>
                <w:tab w:val="clear" w:pos="567"/>
              </w:tabs>
              <w:ind w:left="28" w:right="284" w:hanging="0"/>
              <w:jc w:val="right"/>
              <w:rPr>
                <w:spacing w:val="8"/>
                <w:sz w:val="22"/>
              </w:rPr>
            </w:pPr>
            <w:r>
              <w:rPr>
                <w:spacing w:val="8"/>
                <w:sz w:val="22"/>
              </w:rPr>
              <w:t>0</w:t>
            </w:r>
          </w:p>
        </w:tc>
      </w:tr>
      <w:tr>
        <w:trPr/>
        <w:tc>
          <w:tcPr>
            <w:tcW w:w="1223" w:type="dxa"/>
            <w:tcBorders/>
          </w:tcPr>
          <w:p>
            <w:pPr>
              <w:pStyle w:val="F21"/>
              <w:tabs>
                <w:tab w:val="clear" w:pos="567"/>
              </w:tabs>
              <w:ind w:left="312" w:right="28" w:hanging="284"/>
              <w:rPr>
                <w:spacing w:val="8"/>
                <w:sz w:val="22"/>
              </w:rPr>
            </w:pPr>
            <w:r>
              <w:rPr>
                <w:spacing w:val="8"/>
                <w:sz w:val="22"/>
              </w:rPr>
              <w:t>10.</w:t>
            </w:r>
            <w:r>
              <w:rPr>
                <w:spacing w:val="8"/>
                <w:sz w:val="22"/>
              </w:rPr>
              <w:t>金屬工</w:t>
            </w:r>
          </w:p>
        </w:tc>
        <w:tc>
          <w:tcPr>
            <w:tcW w:w="811" w:type="dxa"/>
            <w:tcBorders/>
          </w:tcPr>
          <w:p>
            <w:pPr>
              <w:pStyle w:val="F21"/>
              <w:tabs>
                <w:tab w:val="clear" w:pos="567"/>
              </w:tabs>
              <w:ind w:left="28" w:right="227" w:hanging="0"/>
              <w:jc w:val="right"/>
              <w:rPr>
                <w:spacing w:val="8"/>
                <w:sz w:val="22"/>
              </w:rPr>
            </w:pPr>
            <w:r>
              <w:rPr>
                <w:spacing w:val="8"/>
                <w:sz w:val="22"/>
              </w:rPr>
              <w:t>80</w:t>
            </w:r>
          </w:p>
        </w:tc>
        <w:tc>
          <w:tcPr>
            <w:tcW w:w="784" w:type="dxa"/>
            <w:tcBorders/>
          </w:tcPr>
          <w:p>
            <w:pPr>
              <w:pStyle w:val="F21"/>
              <w:tabs>
                <w:tab w:val="clear" w:pos="567"/>
              </w:tabs>
              <w:ind w:left="28" w:right="227" w:hanging="0"/>
              <w:jc w:val="right"/>
              <w:rPr>
                <w:spacing w:val="8"/>
                <w:sz w:val="22"/>
              </w:rPr>
            </w:pPr>
            <w:r>
              <w:rPr>
                <w:spacing w:val="8"/>
                <w:sz w:val="22"/>
              </w:rPr>
              <w:t>0</w:t>
            </w:r>
          </w:p>
        </w:tc>
        <w:tc>
          <w:tcPr>
            <w:tcW w:w="841" w:type="dxa"/>
            <w:tcBorders/>
          </w:tcPr>
          <w:p>
            <w:pPr>
              <w:pStyle w:val="F21"/>
              <w:tabs>
                <w:tab w:val="clear" w:pos="567"/>
              </w:tabs>
              <w:ind w:left="28" w:right="280" w:hanging="0"/>
              <w:jc w:val="right"/>
              <w:rPr>
                <w:spacing w:val="8"/>
                <w:sz w:val="22"/>
              </w:rPr>
            </w:pPr>
            <w:r>
              <w:rPr>
                <w:spacing w:val="8"/>
                <w:sz w:val="22"/>
              </w:rPr>
              <w:t>30</w:t>
            </w:r>
          </w:p>
        </w:tc>
        <w:tc>
          <w:tcPr>
            <w:tcW w:w="798" w:type="dxa"/>
            <w:tcBorders/>
          </w:tcPr>
          <w:p>
            <w:pPr>
              <w:pStyle w:val="F21"/>
              <w:tabs>
                <w:tab w:val="clear" w:pos="567"/>
              </w:tabs>
              <w:ind w:left="28" w:right="280" w:hanging="0"/>
              <w:jc w:val="right"/>
              <w:rPr>
                <w:spacing w:val="8"/>
                <w:sz w:val="22"/>
              </w:rPr>
            </w:pPr>
            <w:r>
              <w:rPr>
                <w:spacing w:val="8"/>
                <w:sz w:val="22"/>
              </w:rPr>
              <w:t>0</w:t>
            </w:r>
          </w:p>
        </w:tc>
        <w:tc>
          <w:tcPr>
            <w:tcW w:w="840" w:type="dxa"/>
            <w:tcBorders/>
          </w:tcPr>
          <w:p>
            <w:pPr>
              <w:pStyle w:val="F21"/>
              <w:tabs>
                <w:tab w:val="clear" w:pos="567"/>
              </w:tabs>
              <w:ind w:left="28" w:right="280" w:hanging="0"/>
              <w:jc w:val="right"/>
              <w:rPr>
                <w:spacing w:val="8"/>
                <w:sz w:val="22"/>
              </w:rPr>
            </w:pPr>
            <w:r>
              <w:rPr>
                <w:spacing w:val="8"/>
                <w:sz w:val="22"/>
              </w:rPr>
              <w:t>140</w:t>
            </w:r>
          </w:p>
        </w:tc>
        <w:tc>
          <w:tcPr>
            <w:tcW w:w="797" w:type="dxa"/>
            <w:tcBorders/>
          </w:tcPr>
          <w:p>
            <w:pPr>
              <w:pStyle w:val="F21"/>
              <w:tabs>
                <w:tab w:val="clear" w:pos="567"/>
              </w:tabs>
              <w:ind w:left="28" w:right="280" w:hanging="0"/>
              <w:jc w:val="right"/>
              <w:rPr>
                <w:spacing w:val="8"/>
                <w:sz w:val="22"/>
              </w:rPr>
            </w:pPr>
            <w:r>
              <w:rPr>
                <w:spacing w:val="8"/>
                <w:sz w:val="22"/>
              </w:rPr>
              <w:t>27</w:t>
            </w:r>
          </w:p>
        </w:tc>
        <w:tc>
          <w:tcPr>
            <w:tcW w:w="784" w:type="dxa"/>
            <w:tcBorders/>
          </w:tcPr>
          <w:p>
            <w:pPr>
              <w:pStyle w:val="F21"/>
              <w:tabs>
                <w:tab w:val="clear" w:pos="567"/>
              </w:tabs>
              <w:ind w:left="28" w:right="420" w:hanging="0"/>
              <w:jc w:val="right"/>
              <w:rPr>
                <w:spacing w:val="8"/>
                <w:sz w:val="22"/>
              </w:rPr>
            </w:pPr>
            <w:r>
              <w:rPr>
                <w:spacing w:val="8"/>
                <w:sz w:val="22"/>
              </w:rPr>
              <w:t>0</w:t>
            </w:r>
          </w:p>
        </w:tc>
        <w:tc>
          <w:tcPr>
            <w:tcW w:w="784" w:type="dxa"/>
            <w:tcBorders/>
          </w:tcPr>
          <w:p>
            <w:pPr>
              <w:pStyle w:val="F21"/>
              <w:tabs>
                <w:tab w:val="clear" w:pos="567"/>
              </w:tabs>
              <w:ind w:left="28" w:right="420" w:hanging="0"/>
              <w:jc w:val="right"/>
              <w:rPr>
                <w:spacing w:val="8"/>
                <w:sz w:val="22"/>
              </w:rPr>
            </w:pPr>
            <w:r>
              <w:rPr>
                <w:spacing w:val="8"/>
                <w:sz w:val="22"/>
              </w:rPr>
              <w:t>0</w:t>
            </w:r>
          </w:p>
        </w:tc>
        <w:tc>
          <w:tcPr>
            <w:tcW w:w="784" w:type="dxa"/>
            <w:tcBorders/>
          </w:tcPr>
          <w:p>
            <w:pPr>
              <w:pStyle w:val="F21"/>
              <w:tabs>
                <w:tab w:val="clear" w:pos="567"/>
              </w:tabs>
              <w:ind w:left="28" w:right="227" w:hanging="0"/>
              <w:jc w:val="right"/>
              <w:rPr>
                <w:spacing w:val="8"/>
                <w:sz w:val="22"/>
              </w:rPr>
            </w:pPr>
            <w:r>
              <w:rPr>
                <w:spacing w:val="8"/>
                <w:sz w:val="22"/>
              </w:rPr>
              <w:t>0</w:t>
            </w:r>
          </w:p>
        </w:tc>
        <w:tc>
          <w:tcPr>
            <w:tcW w:w="776" w:type="dxa"/>
            <w:tcBorders/>
          </w:tcPr>
          <w:p>
            <w:pPr>
              <w:pStyle w:val="F21"/>
              <w:tabs>
                <w:tab w:val="clear" w:pos="567"/>
              </w:tabs>
              <w:ind w:left="28" w:right="284" w:hanging="0"/>
              <w:jc w:val="right"/>
              <w:rPr>
                <w:spacing w:val="8"/>
                <w:sz w:val="22"/>
              </w:rPr>
            </w:pPr>
            <w:r>
              <w:rPr>
                <w:spacing w:val="8"/>
                <w:sz w:val="22"/>
              </w:rPr>
              <w:t>0</w:t>
            </w:r>
          </w:p>
        </w:tc>
      </w:tr>
      <w:tr>
        <w:trPr/>
        <w:tc>
          <w:tcPr>
            <w:tcW w:w="1223" w:type="dxa"/>
            <w:tcBorders/>
          </w:tcPr>
          <w:p>
            <w:pPr>
              <w:pStyle w:val="F21"/>
              <w:tabs>
                <w:tab w:val="clear" w:pos="567"/>
              </w:tabs>
              <w:ind w:left="312" w:right="28" w:hanging="284"/>
              <w:rPr>
                <w:spacing w:val="8"/>
                <w:sz w:val="22"/>
              </w:rPr>
            </w:pPr>
            <w:r>
              <w:rPr>
                <w:spacing w:val="8"/>
                <w:sz w:val="22"/>
              </w:rPr>
              <w:t>11.</w:t>
            </w:r>
            <w:r>
              <w:rPr>
                <w:spacing w:val="8"/>
                <w:sz w:val="22"/>
              </w:rPr>
              <w:t>結構鋼材焊接工</w:t>
            </w:r>
          </w:p>
        </w:tc>
        <w:tc>
          <w:tcPr>
            <w:tcW w:w="811" w:type="dxa"/>
            <w:tcBorders/>
          </w:tcPr>
          <w:p>
            <w:pPr>
              <w:pStyle w:val="F21"/>
              <w:tabs>
                <w:tab w:val="clear" w:pos="567"/>
              </w:tabs>
              <w:ind w:left="28" w:right="227" w:hanging="0"/>
              <w:jc w:val="right"/>
              <w:rPr>
                <w:spacing w:val="8"/>
                <w:sz w:val="22"/>
              </w:rPr>
            </w:pPr>
            <w:r>
              <w:rPr>
                <w:spacing w:val="8"/>
                <w:sz w:val="22"/>
              </w:rPr>
              <w:t>41</w:t>
            </w:r>
          </w:p>
        </w:tc>
        <w:tc>
          <w:tcPr>
            <w:tcW w:w="784" w:type="dxa"/>
            <w:tcBorders/>
          </w:tcPr>
          <w:p>
            <w:pPr>
              <w:pStyle w:val="F21"/>
              <w:tabs>
                <w:tab w:val="clear" w:pos="567"/>
              </w:tabs>
              <w:ind w:left="28" w:right="227" w:hanging="0"/>
              <w:jc w:val="right"/>
              <w:rPr>
                <w:spacing w:val="8"/>
                <w:sz w:val="22"/>
              </w:rPr>
            </w:pPr>
            <w:r>
              <w:rPr>
                <w:spacing w:val="8"/>
                <w:sz w:val="22"/>
              </w:rPr>
              <w:t>0</w:t>
            </w:r>
          </w:p>
        </w:tc>
        <w:tc>
          <w:tcPr>
            <w:tcW w:w="841" w:type="dxa"/>
            <w:tcBorders/>
          </w:tcPr>
          <w:p>
            <w:pPr>
              <w:pStyle w:val="F21"/>
              <w:tabs>
                <w:tab w:val="clear" w:pos="567"/>
              </w:tabs>
              <w:ind w:left="28" w:right="280" w:hanging="0"/>
              <w:jc w:val="right"/>
              <w:rPr>
                <w:spacing w:val="8"/>
                <w:sz w:val="22"/>
              </w:rPr>
            </w:pPr>
            <w:r>
              <w:rPr>
                <w:spacing w:val="8"/>
                <w:sz w:val="22"/>
              </w:rPr>
              <w:t>80</w:t>
            </w:r>
          </w:p>
        </w:tc>
        <w:tc>
          <w:tcPr>
            <w:tcW w:w="798" w:type="dxa"/>
            <w:tcBorders/>
          </w:tcPr>
          <w:p>
            <w:pPr>
              <w:pStyle w:val="F21"/>
              <w:tabs>
                <w:tab w:val="clear" w:pos="567"/>
              </w:tabs>
              <w:ind w:left="28" w:right="280" w:hanging="0"/>
              <w:jc w:val="right"/>
              <w:rPr>
                <w:spacing w:val="8"/>
                <w:sz w:val="22"/>
              </w:rPr>
            </w:pPr>
            <w:r>
              <w:rPr>
                <w:spacing w:val="8"/>
                <w:sz w:val="22"/>
              </w:rPr>
              <w:t>4</w:t>
            </w:r>
          </w:p>
        </w:tc>
        <w:tc>
          <w:tcPr>
            <w:tcW w:w="840" w:type="dxa"/>
            <w:tcBorders/>
          </w:tcPr>
          <w:p>
            <w:pPr>
              <w:pStyle w:val="F21"/>
              <w:tabs>
                <w:tab w:val="clear" w:pos="567"/>
              </w:tabs>
              <w:ind w:left="28" w:right="280" w:hanging="0"/>
              <w:jc w:val="right"/>
              <w:rPr>
                <w:spacing w:val="8"/>
                <w:sz w:val="22"/>
              </w:rPr>
            </w:pPr>
            <w:r>
              <w:rPr>
                <w:spacing w:val="8"/>
                <w:sz w:val="22"/>
              </w:rPr>
              <w:t>0</w:t>
            </w:r>
          </w:p>
        </w:tc>
        <w:tc>
          <w:tcPr>
            <w:tcW w:w="797" w:type="dxa"/>
            <w:tcBorders/>
          </w:tcPr>
          <w:p>
            <w:pPr>
              <w:pStyle w:val="F21"/>
              <w:tabs>
                <w:tab w:val="clear" w:pos="567"/>
              </w:tabs>
              <w:ind w:left="28" w:right="280" w:hanging="0"/>
              <w:jc w:val="right"/>
              <w:rPr>
                <w:spacing w:val="8"/>
                <w:sz w:val="22"/>
              </w:rPr>
            </w:pPr>
            <w:r>
              <w:rPr>
                <w:spacing w:val="8"/>
                <w:sz w:val="22"/>
              </w:rPr>
              <w:t>74</w:t>
            </w:r>
          </w:p>
        </w:tc>
        <w:tc>
          <w:tcPr>
            <w:tcW w:w="784" w:type="dxa"/>
            <w:tcBorders/>
          </w:tcPr>
          <w:p>
            <w:pPr>
              <w:pStyle w:val="F21"/>
              <w:tabs>
                <w:tab w:val="clear" w:pos="567"/>
              </w:tabs>
              <w:ind w:left="28" w:right="420" w:hanging="0"/>
              <w:jc w:val="right"/>
              <w:rPr>
                <w:spacing w:val="8"/>
                <w:sz w:val="22"/>
              </w:rPr>
            </w:pPr>
            <w:r>
              <w:rPr>
                <w:spacing w:val="8"/>
                <w:sz w:val="22"/>
              </w:rPr>
              <w:t>0</w:t>
            </w:r>
          </w:p>
        </w:tc>
        <w:tc>
          <w:tcPr>
            <w:tcW w:w="784" w:type="dxa"/>
            <w:tcBorders/>
          </w:tcPr>
          <w:p>
            <w:pPr>
              <w:pStyle w:val="F21"/>
              <w:tabs>
                <w:tab w:val="clear" w:pos="567"/>
              </w:tabs>
              <w:ind w:left="28" w:right="420" w:hanging="0"/>
              <w:jc w:val="right"/>
              <w:rPr>
                <w:spacing w:val="8"/>
                <w:sz w:val="22"/>
              </w:rPr>
            </w:pPr>
            <w:r>
              <w:rPr>
                <w:spacing w:val="8"/>
                <w:sz w:val="22"/>
              </w:rPr>
              <w:t>0</w:t>
            </w:r>
          </w:p>
        </w:tc>
        <w:tc>
          <w:tcPr>
            <w:tcW w:w="784" w:type="dxa"/>
            <w:tcBorders/>
          </w:tcPr>
          <w:p>
            <w:pPr>
              <w:pStyle w:val="F21"/>
              <w:tabs>
                <w:tab w:val="clear" w:pos="567"/>
              </w:tabs>
              <w:ind w:left="28" w:right="227" w:hanging="0"/>
              <w:jc w:val="right"/>
              <w:rPr>
                <w:spacing w:val="8"/>
                <w:sz w:val="22"/>
              </w:rPr>
            </w:pPr>
            <w:r>
              <w:rPr>
                <w:spacing w:val="8"/>
                <w:sz w:val="22"/>
              </w:rPr>
              <w:t>0</w:t>
            </w:r>
          </w:p>
        </w:tc>
        <w:tc>
          <w:tcPr>
            <w:tcW w:w="776" w:type="dxa"/>
            <w:tcBorders/>
          </w:tcPr>
          <w:p>
            <w:pPr>
              <w:pStyle w:val="F21"/>
              <w:tabs>
                <w:tab w:val="clear" w:pos="567"/>
              </w:tabs>
              <w:ind w:left="28" w:right="284" w:hanging="0"/>
              <w:jc w:val="right"/>
              <w:rPr>
                <w:spacing w:val="8"/>
                <w:sz w:val="22"/>
              </w:rPr>
            </w:pPr>
            <w:r>
              <w:rPr>
                <w:spacing w:val="8"/>
                <w:sz w:val="22"/>
              </w:rPr>
              <w:t>0</w:t>
            </w:r>
          </w:p>
        </w:tc>
      </w:tr>
      <w:tr>
        <w:trPr/>
        <w:tc>
          <w:tcPr>
            <w:tcW w:w="1223" w:type="dxa"/>
            <w:tcBorders/>
          </w:tcPr>
          <w:p>
            <w:pPr>
              <w:pStyle w:val="F21"/>
              <w:tabs>
                <w:tab w:val="clear" w:pos="567"/>
              </w:tabs>
              <w:spacing w:lineRule="atLeast" w:line="340"/>
              <w:ind w:left="312" w:right="28" w:hanging="284"/>
              <w:rPr>
                <w:spacing w:val="8"/>
                <w:sz w:val="22"/>
              </w:rPr>
            </w:pPr>
            <w:r>
              <w:rPr>
                <w:spacing w:val="8"/>
                <w:sz w:val="22"/>
              </w:rPr>
              <w:t>12.</w:t>
            </w:r>
            <w:r>
              <w:rPr>
                <w:spacing w:val="8"/>
                <w:sz w:val="22"/>
              </w:rPr>
              <w:t>髹漆及裝飾工</w:t>
            </w:r>
          </w:p>
        </w:tc>
        <w:tc>
          <w:tcPr>
            <w:tcW w:w="811" w:type="dxa"/>
            <w:tcBorders/>
          </w:tcPr>
          <w:p>
            <w:pPr>
              <w:pStyle w:val="F21"/>
              <w:tabs>
                <w:tab w:val="clear" w:pos="567"/>
              </w:tabs>
              <w:spacing w:lineRule="atLeast" w:line="340"/>
              <w:ind w:left="28" w:right="227" w:hanging="0"/>
              <w:jc w:val="right"/>
              <w:rPr>
                <w:spacing w:val="8"/>
                <w:sz w:val="22"/>
              </w:rPr>
            </w:pPr>
            <w:r>
              <w:rPr>
                <w:spacing w:val="8"/>
                <w:sz w:val="22"/>
              </w:rPr>
              <w:t>41</w:t>
            </w:r>
          </w:p>
        </w:tc>
        <w:tc>
          <w:tcPr>
            <w:tcW w:w="784" w:type="dxa"/>
            <w:tcBorders/>
          </w:tcPr>
          <w:p>
            <w:pPr>
              <w:pStyle w:val="F21"/>
              <w:tabs>
                <w:tab w:val="clear" w:pos="567"/>
              </w:tabs>
              <w:spacing w:lineRule="atLeast" w:line="340"/>
              <w:ind w:left="28" w:right="227" w:hanging="0"/>
              <w:jc w:val="right"/>
              <w:rPr>
                <w:spacing w:val="8"/>
                <w:sz w:val="22"/>
              </w:rPr>
            </w:pPr>
            <w:r>
              <w:rPr>
                <w:spacing w:val="8"/>
                <w:sz w:val="22"/>
              </w:rPr>
              <w:t>0</w:t>
            </w:r>
          </w:p>
        </w:tc>
        <w:tc>
          <w:tcPr>
            <w:tcW w:w="841" w:type="dxa"/>
            <w:tcBorders/>
          </w:tcPr>
          <w:p>
            <w:pPr>
              <w:pStyle w:val="F21"/>
              <w:tabs>
                <w:tab w:val="clear" w:pos="567"/>
              </w:tabs>
              <w:spacing w:lineRule="atLeast" w:line="340"/>
              <w:ind w:left="28" w:right="280" w:hanging="0"/>
              <w:jc w:val="right"/>
              <w:rPr>
                <w:spacing w:val="8"/>
                <w:sz w:val="22"/>
              </w:rPr>
            </w:pPr>
            <w:r>
              <w:rPr>
                <w:spacing w:val="8"/>
                <w:sz w:val="22"/>
              </w:rPr>
              <w:t>15</w:t>
            </w:r>
          </w:p>
        </w:tc>
        <w:tc>
          <w:tcPr>
            <w:tcW w:w="798" w:type="dxa"/>
            <w:tcBorders/>
          </w:tcPr>
          <w:p>
            <w:pPr>
              <w:pStyle w:val="F21"/>
              <w:tabs>
                <w:tab w:val="clear" w:pos="567"/>
              </w:tabs>
              <w:spacing w:lineRule="atLeast" w:line="340"/>
              <w:ind w:left="28" w:right="280" w:hanging="0"/>
              <w:jc w:val="right"/>
              <w:rPr>
                <w:spacing w:val="8"/>
                <w:sz w:val="22"/>
              </w:rPr>
            </w:pPr>
            <w:r>
              <w:rPr>
                <w:spacing w:val="8"/>
                <w:sz w:val="22"/>
              </w:rPr>
              <w:t>0</w:t>
            </w:r>
          </w:p>
        </w:tc>
        <w:tc>
          <w:tcPr>
            <w:tcW w:w="840" w:type="dxa"/>
            <w:tcBorders/>
          </w:tcPr>
          <w:p>
            <w:pPr>
              <w:pStyle w:val="F21"/>
              <w:tabs>
                <w:tab w:val="clear" w:pos="567"/>
              </w:tabs>
              <w:spacing w:lineRule="atLeast" w:line="340"/>
              <w:ind w:left="28" w:right="280" w:hanging="0"/>
              <w:jc w:val="right"/>
              <w:rPr>
                <w:spacing w:val="8"/>
                <w:sz w:val="22"/>
              </w:rPr>
            </w:pPr>
            <w:r>
              <w:rPr>
                <w:spacing w:val="8"/>
                <w:sz w:val="22"/>
              </w:rPr>
              <w:t>45</w:t>
            </w:r>
          </w:p>
        </w:tc>
        <w:tc>
          <w:tcPr>
            <w:tcW w:w="797" w:type="dxa"/>
            <w:tcBorders/>
          </w:tcPr>
          <w:p>
            <w:pPr>
              <w:pStyle w:val="F21"/>
              <w:tabs>
                <w:tab w:val="clear" w:pos="567"/>
              </w:tabs>
              <w:spacing w:lineRule="atLeast" w:line="340"/>
              <w:ind w:left="28" w:right="280" w:hanging="0"/>
              <w:jc w:val="right"/>
              <w:rPr>
                <w:spacing w:val="8"/>
                <w:sz w:val="22"/>
              </w:rPr>
            </w:pPr>
            <w:r>
              <w:rPr>
                <w:spacing w:val="8"/>
                <w:sz w:val="22"/>
              </w:rPr>
              <w:t>43</w:t>
            </w:r>
          </w:p>
        </w:tc>
        <w:tc>
          <w:tcPr>
            <w:tcW w:w="784" w:type="dxa"/>
            <w:tcBorders/>
          </w:tcPr>
          <w:p>
            <w:pPr>
              <w:pStyle w:val="F21"/>
              <w:tabs>
                <w:tab w:val="clear" w:pos="567"/>
              </w:tabs>
              <w:spacing w:lineRule="atLeast" w:line="340"/>
              <w:ind w:left="28" w:right="420" w:hanging="0"/>
              <w:jc w:val="right"/>
              <w:rPr>
                <w:spacing w:val="8"/>
                <w:sz w:val="22"/>
              </w:rPr>
            </w:pPr>
            <w:r>
              <w:rPr>
                <w:spacing w:val="8"/>
                <w:sz w:val="22"/>
              </w:rPr>
              <w:t>0</w:t>
            </w:r>
          </w:p>
        </w:tc>
        <w:tc>
          <w:tcPr>
            <w:tcW w:w="784" w:type="dxa"/>
            <w:tcBorders/>
          </w:tcPr>
          <w:p>
            <w:pPr>
              <w:pStyle w:val="F21"/>
              <w:tabs>
                <w:tab w:val="clear" w:pos="567"/>
              </w:tabs>
              <w:spacing w:lineRule="atLeast" w:line="340"/>
              <w:ind w:left="28" w:right="420" w:hanging="0"/>
              <w:jc w:val="right"/>
              <w:rPr>
                <w:spacing w:val="8"/>
                <w:sz w:val="22"/>
              </w:rPr>
            </w:pPr>
            <w:r>
              <w:rPr>
                <w:spacing w:val="8"/>
                <w:sz w:val="22"/>
              </w:rPr>
              <w:t>0</w:t>
            </w:r>
          </w:p>
        </w:tc>
        <w:tc>
          <w:tcPr>
            <w:tcW w:w="784" w:type="dxa"/>
            <w:tcBorders/>
          </w:tcPr>
          <w:p>
            <w:pPr>
              <w:pStyle w:val="F21"/>
              <w:tabs>
                <w:tab w:val="clear" w:pos="567"/>
              </w:tabs>
              <w:spacing w:lineRule="atLeast" w:line="340"/>
              <w:ind w:left="28" w:right="227" w:hanging="0"/>
              <w:jc w:val="right"/>
              <w:rPr>
                <w:spacing w:val="8"/>
                <w:sz w:val="22"/>
              </w:rPr>
            </w:pPr>
            <w:r>
              <w:rPr>
                <w:spacing w:val="8"/>
                <w:sz w:val="22"/>
              </w:rPr>
              <w:t>0</w:t>
            </w:r>
          </w:p>
        </w:tc>
        <w:tc>
          <w:tcPr>
            <w:tcW w:w="776" w:type="dxa"/>
            <w:tcBorders/>
          </w:tcPr>
          <w:p>
            <w:pPr>
              <w:pStyle w:val="F21"/>
              <w:tabs>
                <w:tab w:val="clear" w:pos="567"/>
              </w:tabs>
              <w:spacing w:lineRule="atLeast" w:line="340"/>
              <w:ind w:left="28" w:right="284" w:hanging="0"/>
              <w:jc w:val="right"/>
              <w:rPr>
                <w:spacing w:val="8"/>
                <w:sz w:val="22"/>
              </w:rPr>
            </w:pPr>
            <w:r>
              <w:rPr>
                <w:spacing w:val="8"/>
                <w:sz w:val="22"/>
              </w:rPr>
              <w:t>0</w:t>
            </w:r>
          </w:p>
        </w:tc>
      </w:tr>
      <w:tr>
        <w:trPr/>
        <w:tc>
          <w:tcPr>
            <w:tcW w:w="1223" w:type="dxa"/>
            <w:tcBorders/>
          </w:tcPr>
          <w:p>
            <w:pPr>
              <w:pStyle w:val="F21"/>
              <w:tabs>
                <w:tab w:val="clear" w:pos="567"/>
              </w:tabs>
              <w:spacing w:lineRule="atLeast" w:line="340"/>
              <w:ind w:left="312" w:right="28" w:hanging="284"/>
              <w:rPr>
                <w:spacing w:val="8"/>
                <w:sz w:val="22"/>
              </w:rPr>
            </w:pPr>
            <w:r>
              <w:rPr>
                <w:spacing w:val="8"/>
                <w:sz w:val="22"/>
              </w:rPr>
              <w:t>13.</w:t>
            </w:r>
            <w:r>
              <w:rPr>
                <w:spacing w:val="8"/>
                <w:sz w:val="22"/>
              </w:rPr>
              <w:t>幕牆工</w:t>
            </w:r>
          </w:p>
        </w:tc>
        <w:tc>
          <w:tcPr>
            <w:tcW w:w="811" w:type="dxa"/>
            <w:tcBorders/>
          </w:tcPr>
          <w:p>
            <w:pPr>
              <w:pStyle w:val="F21"/>
              <w:tabs>
                <w:tab w:val="clear" w:pos="567"/>
              </w:tabs>
              <w:spacing w:lineRule="atLeast" w:line="340"/>
              <w:ind w:left="28" w:right="227" w:hanging="0"/>
              <w:jc w:val="right"/>
              <w:rPr>
                <w:spacing w:val="8"/>
                <w:sz w:val="22"/>
              </w:rPr>
            </w:pPr>
            <w:r>
              <w:rPr>
                <w:spacing w:val="8"/>
                <w:sz w:val="22"/>
              </w:rPr>
              <w:t>60</w:t>
            </w:r>
          </w:p>
        </w:tc>
        <w:tc>
          <w:tcPr>
            <w:tcW w:w="784" w:type="dxa"/>
            <w:tcBorders/>
          </w:tcPr>
          <w:p>
            <w:pPr>
              <w:pStyle w:val="F21"/>
              <w:tabs>
                <w:tab w:val="clear" w:pos="567"/>
              </w:tabs>
              <w:spacing w:lineRule="atLeast" w:line="340"/>
              <w:ind w:left="28" w:right="227" w:hanging="0"/>
              <w:jc w:val="right"/>
              <w:rPr>
                <w:spacing w:val="8"/>
                <w:sz w:val="22"/>
              </w:rPr>
            </w:pPr>
            <w:r>
              <w:rPr>
                <w:spacing w:val="8"/>
                <w:sz w:val="22"/>
              </w:rPr>
              <w:t>0</w:t>
            </w:r>
          </w:p>
        </w:tc>
        <w:tc>
          <w:tcPr>
            <w:tcW w:w="841" w:type="dxa"/>
            <w:tcBorders/>
          </w:tcPr>
          <w:p>
            <w:pPr>
              <w:pStyle w:val="F21"/>
              <w:tabs>
                <w:tab w:val="clear" w:pos="567"/>
              </w:tabs>
              <w:spacing w:lineRule="atLeast" w:line="340"/>
              <w:ind w:left="28" w:right="280" w:hanging="0"/>
              <w:jc w:val="right"/>
              <w:rPr>
                <w:spacing w:val="8"/>
                <w:sz w:val="22"/>
              </w:rPr>
            </w:pPr>
            <w:r>
              <w:rPr>
                <w:spacing w:val="8"/>
                <w:sz w:val="22"/>
              </w:rPr>
              <w:t>67</w:t>
            </w:r>
          </w:p>
        </w:tc>
        <w:tc>
          <w:tcPr>
            <w:tcW w:w="798" w:type="dxa"/>
            <w:tcBorders/>
          </w:tcPr>
          <w:p>
            <w:pPr>
              <w:pStyle w:val="F21"/>
              <w:tabs>
                <w:tab w:val="clear" w:pos="567"/>
              </w:tabs>
              <w:spacing w:lineRule="atLeast" w:line="340"/>
              <w:ind w:left="28" w:right="280" w:hanging="0"/>
              <w:jc w:val="right"/>
              <w:rPr>
                <w:spacing w:val="8"/>
                <w:sz w:val="22"/>
              </w:rPr>
            </w:pPr>
            <w:r>
              <w:rPr>
                <w:spacing w:val="8"/>
                <w:sz w:val="22"/>
              </w:rPr>
              <w:t>95</w:t>
            </w:r>
          </w:p>
        </w:tc>
        <w:tc>
          <w:tcPr>
            <w:tcW w:w="840" w:type="dxa"/>
            <w:tcBorders/>
          </w:tcPr>
          <w:p>
            <w:pPr>
              <w:pStyle w:val="F21"/>
              <w:tabs>
                <w:tab w:val="clear" w:pos="567"/>
              </w:tabs>
              <w:spacing w:lineRule="atLeast" w:line="340"/>
              <w:ind w:left="28" w:right="280" w:hanging="0"/>
              <w:jc w:val="right"/>
              <w:rPr>
                <w:spacing w:val="8"/>
                <w:sz w:val="22"/>
              </w:rPr>
            </w:pPr>
            <w:r>
              <w:rPr>
                <w:spacing w:val="8"/>
                <w:sz w:val="22"/>
              </w:rPr>
              <w:t>180</w:t>
            </w:r>
          </w:p>
        </w:tc>
        <w:tc>
          <w:tcPr>
            <w:tcW w:w="797" w:type="dxa"/>
            <w:tcBorders/>
          </w:tcPr>
          <w:p>
            <w:pPr>
              <w:pStyle w:val="F21"/>
              <w:tabs>
                <w:tab w:val="clear" w:pos="567"/>
              </w:tabs>
              <w:spacing w:lineRule="atLeast" w:line="340"/>
              <w:ind w:left="28" w:right="280" w:hanging="0"/>
              <w:jc w:val="right"/>
              <w:rPr>
                <w:spacing w:val="8"/>
                <w:sz w:val="22"/>
              </w:rPr>
            </w:pPr>
            <w:r>
              <w:rPr>
                <w:spacing w:val="8"/>
                <w:sz w:val="22"/>
              </w:rPr>
              <w:t>121</w:t>
            </w:r>
          </w:p>
        </w:tc>
        <w:tc>
          <w:tcPr>
            <w:tcW w:w="784" w:type="dxa"/>
            <w:tcBorders/>
          </w:tcPr>
          <w:p>
            <w:pPr>
              <w:pStyle w:val="F21"/>
              <w:tabs>
                <w:tab w:val="clear" w:pos="567"/>
              </w:tabs>
              <w:spacing w:lineRule="atLeast" w:line="340"/>
              <w:ind w:left="28" w:right="420" w:hanging="0"/>
              <w:jc w:val="right"/>
              <w:rPr>
                <w:spacing w:val="8"/>
                <w:sz w:val="22"/>
              </w:rPr>
            </w:pPr>
            <w:r>
              <w:rPr>
                <w:spacing w:val="8"/>
                <w:sz w:val="22"/>
              </w:rPr>
              <w:t>0</w:t>
            </w:r>
          </w:p>
        </w:tc>
        <w:tc>
          <w:tcPr>
            <w:tcW w:w="784" w:type="dxa"/>
            <w:tcBorders/>
          </w:tcPr>
          <w:p>
            <w:pPr>
              <w:pStyle w:val="F21"/>
              <w:tabs>
                <w:tab w:val="clear" w:pos="567"/>
              </w:tabs>
              <w:spacing w:lineRule="atLeast" w:line="340"/>
              <w:ind w:left="28" w:right="420" w:hanging="0"/>
              <w:jc w:val="right"/>
              <w:rPr>
                <w:spacing w:val="8"/>
                <w:sz w:val="22"/>
              </w:rPr>
            </w:pPr>
            <w:r>
              <w:rPr>
                <w:spacing w:val="8"/>
                <w:sz w:val="22"/>
              </w:rPr>
              <w:t>0</w:t>
            </w:r>
          </w:p>
        </w:tc>
        <w:tc>
          <w:tcPr>
            <w:tcW w:w="784" w:type="dxa"/>
            <w:tcBorders/>
          </w:tcPr>
          <w:p>
            <w:pPr>
              <w:pStyle w:val="F21"/>
              <w:tabs>
                <w:tab w:val="clear" w:pos="567"/>
              </w:tabs>
              <w:spacing w:lineRule="atLeast" w:line="340"/>
              <w:ind w:left="28" w:right="227" w:hanging="0"/>
              <w:jc w:val="right"/>
              <w:rPr>
                <w:spacing w:val="8"/>
                <w:sz w:val="22"/>
              </w:rPr>
            </w:pPr>
            <w:r>
              <w:rPr>
                <w:spacing w:val="8"/>
                <w:sz w:val="22"/>
              </w:rPr>
              <w:t>50</w:t>
            </w:r>
          </w:p>
        </w:tc>
        <w:tc>
          <w:tcPr>
            <w:tcW w:w="776" w:type="dxa"/>
            <w:tcBorders/>
          </w:tcPr>
          <w:p>
            <w:pPr>
              <w:pStyle w:val="F21"/>
              <w:tabs>
                <w:tab w:val="clear" w:pos="567"/>
              </w:tabs>
              <w:spacing w:lineRule="atLeast" w:line="340"/>
              <w:ind w:left="28" w:right="284" w:hanging="0"/>
              <w:jc w:val="right"/>
              <w:rPr>
                <w:spacing w:val="8"/>
                <w:sz w:val="22"/>
              </w:rPr>
            </w:pPr>
            <w:r>
              <w:rPr>
                <w:spacing w:val="8"/>
                <w:sz w:val="22"/>
              </w:rPr>
              <w:t>20</w:t>
            </w:r>
          </w:p>
        </w:tc>
      </w:tr>
      <w:tr>
        <w:trPr/>
        <w:tc>
          <w:tcPr>
            <w:tcW w:w="1223" w:type="dxa"/>
            <w:tcBorders/>
          </w:tcPr>
          <w:p>
            <w:pPr>
              <w:pStyle w:val="F21"/>
              <w:tabs>
                <w:tab w:val="clear" w:pos="567"/>
              </w:tabs>
              <w:spacing w:lineRule="atLeast" w:line="340"/>
              <w:ind w:left="312" w:right="28" w:hanging="284"/>
              <w:rPr>
                <w:spacing w:val="8"/>
                <w:sz w:val="22"/>
              </w:rPr>
            </w:pPr>
            <w:r>
              <w:rPr>
                <w:spacing w:val="8"/>
                <w:sz w:val="22"/>
              </w:rPr>
              <w:t>14.</w:t>
            </w:r>
            <w:r>
              <w:rPr>
                <w:spacing w:val="8"/>
                <w:sz w:val="22"/>
              </w:rPr>
              <w:t>結構鋼架工</w:t>
            </w:r>
          </w:p>
        </w:tc>
        <w:tc>
          <w:tcPr>
            <w:tcW w:w="811" w:type="dxa"/>
            <w:tcBorders/>
          </w:tcPr>
          <w:p>
            <w:pPr>
              <w:pStyle w:val="F21"/>
              <w:tabs>
                <w:tab w:val="clear" w:pos="567"/>
              </w:tabs>
              <w:spacing w:lineRule="atLeast" w:line="340"/>
              <w:ind w:left="28" w:right="227" w:hanging="0"/>
              <w:jc w:val="right"/>
              <w:rPr>
                <w:spacing w:val="8"/>
                <w:sz w:val="22"/>
              </w:rPr>
            </w:pPr>
            <w:r>
              <w:rPr>
                <w:spacing w:val="8"/>
                <w:sz w:val="22"/>
              </w:rPr>
              <w:t>0</w:t>
            </w:r>
          </w:p>
        </w:tc>
        <w:tc>
          <w:tcPr>
            <w:tcW w:w="784" w:type="dxa"/>
            <w:tcBorders/>
          </w:tcPr>
          <w:p>
            <w:pPr>
              <w:pStyle w:val="F21"/>
              <w:tabs>
                <w:tab w:val="clear" w:pos="567"/>
              </w:tabs>
              <w:spacing w:lineRule="atLeast" w:line="340"/>
              <w:ind w:left="28" w:right="227" w:hanging="0"/>
              <w:jc w:val="right"/>
              <w:rPr>
                <w:spacing w:val="8"/>
                <w:sz w:val="22"/>
              </w:rPr>
            </w:pPr>
            <w:r>
              <w:rPr>
                <w:spacing w:val="8"/>
                <w:sz w:val="22"/>
              </w:rPr>
              <w:t>0</w:t>
            </w:r>
          </w:p>
        </w:tc>
        <w:tc>
          <w:tcPr>
            <w:tcW w:w="841" w:type="dxa"/>
            <w:tcBorders/>
          </w:tcPr>
          <w:p>
            <w:pPr>
              <w:pStyle w:val="F21"/>
              <w:tabs>
                <w:tab w:val="clear" w:pos="567"/>
              </w:tabs>
              <w:spacing w:lineRule="atLeast" w:line="340"/>
              <w:ind w:left="28" w:right="280" w:hanging="0"/>
              <w:jc w:val="right"/>
              <w:rPr>
                <w:spacing w:val="8"/>
                <w:sz w:val="22"/>
              </w:rPr>
            </w:pPr>
            <w:r>
              <w:rPr>
                <w:spacing w:val="8"/>
                <w:sz w:val="22"/>
              </w:rPr>
              <w:t>0</w:t>
            </w:r>
          </w:p>
        </w:tc>
        <w:tc>
          <w:tcPr>
            <w:tcW w:w="798" w:type="dxa"/>
            <w:tcBorders/>
          </w:tcPr>
          <w:p>
            <w:pPr>
              <w:pStyle w:val="F21"/>
              <w:tabs>
                <w:tab w:val="clear" w:pos="567"/>
              </w:tabs>
              <w:spacing w:lineRule="atLeast" w:line="340"/>
              <w:ind w:left="28" w:right="280" w:hanging="0"/>
              <w:jc w:val="right"/>
              <w:rPr>
                <w:spacing w:val="8"/>
                <w:sz w:val="22"/>
              </w:rPr>
            </w:pPr>
            <w:r>
              <w:rPr>
                <w:spacing w:val="8"/>
                <w:sz w:val="22"/>
              </w:rPr>
              <w:t>0</w:t>
            </w:r>
          </w:p>
        </w:tc>
        <w:tc>
          <w:tcPr>
            <w:tcW w:w="840" w:type="dxa"/>
            <w:tcBorders/>
          </w:tcPr>
          <w:p>
            <w:pPr>
              <w:pStyle w:val="F21"/>
              <w:tabs>
                <w:tab w:val="clear" w:pos="567"/>
              </w:tabs>
              <w:spacing w:lineRule="atLeast" w:line="340"/>
              <w:ind w:left="28" w:right="280" w:hanging="0"/>
              <w:jc w:val="right"/>
              <w:rPr>
                <w:spacing w:val="8"/>
                <w:sz w:val="22"/>
              </w:rPr>
            </w:pPr>
            <w:r>
              <w:rPr>
                <w:spacing w:val="8"/>
                <w:sz w:val="22"/>
              </w:rPr>
              <w:t>0</w:t>
            </w:r>
          </w:p>
        </w:tc>
        <w:tc>
          <w:tcPr>
            <w:tcW w:w="797" w:type="dxa"/>
            <w:tcBorders/>
          </w:tcPr>
          <w:p>
            <w:pPr>
              <w:pStyle w:val="F21"/>
              <w:tabs>
                <w:tab w:val="clear" w:pos="567"/>
              </w:tabs>
              <w:spacing w:lineRule="atLeast" w:line="340"/>
              <w:ind w:left="28" w:right="280" w:hanging="0"/>
              <w:jc w:val="right"/>
              <w:rPr>
                <w:spacing w:val="8"/>
                <w:sz w:val="22"/>
              </w:rPr>
            </w:pPr>
            <w:r>
              <w:rPr>
                <w:spacing w:val="8"/>
                <w:sz w:val="22"/>
              </w:rPr>
              <w:t>0</w:t>
            </w:r>
          </w:p>
        </w:tc>
        <w:tc>
          <w:tcPr>
            <w:tcW w:w="784" w:type="dxa"/>
            <w:tcBorders/>
          </w:tcPr>
          <w:p>
            <w:pPr>
              <w:pStyle w:val="F21"/>
              <w:tabs>
                <w:tab w:val="clear" w:pos="567"/>
              </w:tabs>
              <w:spacing w:lineRule="atLeast" w:line="340"/>
              <w:ind w:left="28" w:right="420" w:hanging="0"/>
              <w:jc w:val="right"/>
              <w:rPr>
                <w:spacing w:val="8"/>
                <w:sz w:val="22"/>
              </w:rPr>
            </w:pPr>
            <w:r>
              <w:rPr>
                <w:spacing w:val="8"/>
                <w:sz w:val="22"/>
              </w:rPr>
              <w:t>0</w:t>
            </w:r>
          </w:p>
        </w:tc>
        <w:tc>
          <w:tcPr>
            <w:tcW w:w="784" w:type="dxa"/>
            <w:tcBorders/>
          </w:tcPr>
          <w:p>
            <w:pPr>
              <w:pStyle w:val="F21"/>
              <w:tabs>
                <w:tab w:val="clear" w:pos="567"/>
              </w:tabs>
              <w:spacing w:lineRule="atLeast" w:line="340"/>
              <w:ind w:left="28" w:right="420" w:hanging="0"/>
              <w:jc w:val="right"/>
              <w:rPr>
                <w:spacing w:val="8"/>
                <w:sz w:val="22"/>
              </w:rPr>
            </w:pPr>
            <w:r>
              <w:rPr>
                <w:spacing w:val="8"/>
                <w:sz w:val="22"/>
              </w:rPr>
              <w:t>0</w:t>
            </w:r>
          </w:p>
        </w:tc>
        <w:tc>
          <w:tcPr>
            <w:tcW w:w="784" w:type="dxa"/>
            <w:tcBorders/>
          </w:tcPr>
          <w:p>
            <w:pPr>
              <w:pStyle w:val="F21"/>
              <w:tabs>
                <w:tab w:val="clear" w:pos="567"/>
              </w:tabs>
              <w:spacing w:lineRule="atLeast" w:line="340"/>
              <w:ind w:left="28" w:right="227" w:hanging="0"/>
              <w:jc w:val="right"/>
              <w:rPr>
                <w:spacing w:val="8"/>
                <w:sz w:val="22"/>
              </w:rPr>
            </w:pPr>
            <w:r>
              <w:rPr>
                <w:spacing w:val="8"/>
                <w:sz w:val="22"/>
              </w:rPr>
              <w:t>0</w:t>
            </w:r>
          </w:p>
        </w:tc>
        <w:tc>
          <w:tcPr>
            <w:tcW w:w="776" w:type="dxa"/>
            <w:tcBorders/>
          </w:tcPr>
          <w:p>
            <w:pPr>
              <w:pStyle w:val="F21"/>
              <w:tabs>
                <w:tab w:val="clear" w:pos="567"/>
              </w:tabs>
              <w:spacing w:lineRule="atLeast" w:line="340"/>
              <w:ind w:left="28" w:right="284" w:hanging="0"/>
              <w:jc w:val="right"/>
              <w:rPr>
                <w:spacing w:val="8"/>
                <w:sz w:val="22"/>
              </w:rPr>
            </w:pPr>
            <w:r>
              <w:rPr>
                <w:spacing w:val="8"/>
                <w:sz w:val="22"/>
              </w:rPr>
              <w:t>0</w:t>
            </w:r>
          </w:p>
        </w:tc>
      </w:tr>
      <w:tr>
        <w:trPr/>
        <w:tc>
          <w:tcPr>
            <w:tcW w:w="1223" w:type="dxa"/>
            <w:tcBorders/>
          </w:tcPr>
          <w:p>
            <w:pPr>
              <w:pStyle w:val="F21"/>
              <w:tabs>
                <w:tab w:val="clear" w:pos="567"/>
              </w:tabs>
              <w:spacing w:lineRule="atLeast" w:line="340"/>
              <w:ind w:left="312" w:right="28" w:hanging="284"/>
              <w:rPr>
                <w:spacing w:val="8"/>
                <w:sz w:val="22"/>
              </w:rPr>
            </w:pPr>
            <w:r>
              <w:rPr>
                <w:spacing w:val="8"/>
                <w:sz w:val="22"/>
              </w:rPr>
              <w:t>15.</w:t>
            </w:r>
            <w:r>
              <w:rPr>
                <w:spacing w:val="8"/>
                <w:sz w:val="22"/>
              </w:rPr>
              <w:t>自動梯技工</w:t>
            </w:r>
          </w:p>
        </w:tc>
        <w:tc>
          <w:tcPr>
            <w:tcW w:w="811" w:type="dxa"/>
            <w:tcBorders/>
          </w:tcPr>
          <w:p>
            <w:pPr>
              <w:pStyle w:val="F21"/>
              <w:tabs>
                <w:tab w:val="clear" w:pos="567"/>
              </w:tabs>
              <w:spacing w:lineRule="atLeast" w:line="340"/>
              <w:ind w:left="28" w:right="227" w:hanging="0"/>
              <w:jc w:val="right"/>
              <w:rPr>
                <w:spacing w:val="8"/>
                <w:sz w:val="22"/>
              </w:rPr>
            </w:pPr>
            <w:r>
              <w:rPr>
                <w:spacing w:val="8"/>
                <w:sz w:val="22"/>
              </w:rPr>
              <w:t>20</w:t>
            </w:r>
          </w:p>
        </w:tc>
        <w:tc>
          <w:tcPr>
            <w:tcW w:w="784" w:type="dxa"/>
            <w:tcBorders/>
          </w:tcPr>
          <w:p>
            <w:pPr>
              <w:pStyle w:val="F21"/>
              <w:tabs>
                <w:tab w:val="clear" w:pos="567"/>
              </w:tabs>
              <w:spacing w:lineRule="atLeast" w:line="340"/>
              <w:ind w:left="28" w:right="227" w:hanging="0"/>
              <w:jc w:val="right"/>
              <w:rPr>
                <w:spacing w:val="8"/>
                <w:sz w:val="22"/>
              </w:rPr>
            </w:pPr>
            <w:r>
              <w:rPr>
                <w:spacing w:val="8"/>
                <w:sz w:val="22"/>
              </w:rPr>
              <w:t>0</w:t>
            </w:r>
          </w:p>
        </w:tc>
        <w:tc>
          <w:tcPr>
            <w:tcW w:w="841" w:type="dxa"/>
            <w:tcBorders/>
          </w:tcPr>
          <w:p>
            <w:pPr>
              <w:pStyle w:val="F21"/>
              <w:tabs>
                <w:tab w:val="clear" w:pos="567"/>
              </w:tabs>
              <w:spacing w:lineRule="atLeast" w:line="340"/>
              <w:ind w:left="28" w:right="280" w:hanging="0"/>
              <w:jc w:val="right"/>
              <w:rPr>
                <w:spacing w:val="8"/>
                <w:sz w:val="22"/>
              </w:rPr>
            </w:pPr>
            <w:r>
              <w:rPr>
                <w:spacing w:val="8"/>
                <w:sz w:val="22"/>
              </w:rPr>
              <w:t>0</w:t>
            </w:r>
          </w:p>
        </w:tc>
        <w:tc>
          <w:tcPr>
            <w:tcW w:w="798" w:type="dxa"/>
            <w:tcBorders/>
          </w:tcPr>
          <w:p>
            <w:pPr>
              <w:pStyle w:val="F21"/>
              <w:tabs>
                <w:tab w:val="clear" w:pos="567"/>
              </w:tabs>
              <w:spacing w:lineRule="atLeast" w:line="340"/>
              <w:ind w:left="28" w:right="280" w:hanging="0"/>
              <w:jc w:val="right"/>
              <w:rPr>
                <w:spacing w:val="8"/>
                <w:sz w:val="22"/>
              </w:rPr>
            </w:pPr>
            <w:r>
              <w:rPr>
                <w:spacing w:val="8"/>
                <w:sz w:val="22"/>
              </w:rPr>
              <w:t>20</w:t>
            </w:r>
          </w:p>
        </w:tc>
        <w:tc>
          <w:tcPr>
            <w:tcW w:w="840" w:type="dxa"/>
            <w:tcBorders/>
          </w:tcPr>
          <w:p>
            <w:pPr>
              <w:pStyle w:val="F21"/>
              <w:tabs>
                <w:tab w:val="clear" w:pos="567"/>
              </w:tabs>
              <w:spacing w:lineRule="atLeast" w:line="340"/>
              <w:ind w:left="28" w:right="280" w:hanging="0"/>
              <w:jc w:val="right"/>
              <w:rPr>
                <w:spacing w:val="8"/>
                <w:sz w:val="22"/>
              </w:rPr>
            </w:pPr>
            <w:r>
              <w:rPr>
                <w:spacing w:val="8"/>
                <w:sz w:val="22"/>
              </w:rPr>
              <w:t>60</w:t>
            </w:r>
          </w:p>
        </w:tc>
        <w:tc>
          <w:tcPr>
            <w:tcW w:w="797" w:type="dxa"/>
            <w:tcBorders/>
          </w:tcPr>
          <w:p>
            <w:pPr>
              <w:pStyle w:val="F21"/>
              <w:tabs>
                <w:tab w:val="clear" w:pos="567"/>
              </w:tabs>
              <w:spacing w:lineRule="atLeast" w:line="340"/>
              <w:ind w:left="28" w:right="280" w:hanging="0"/>
              <w:jc w:val="right"/>
              <w:rPr>
                <w:spacing w:val="8"/>
                <w:sz w:val="22"/>
              </w:rPr>
            </w:pPr>
            <w:r>
              <w:rPr>
                <w:spacing w:val="8"/>
                <w:sz w:val="22"/>
              </w:rPr>
              <w:t>60</w:t>
            </w:r>
          </w:p>
        </w:tc>
        <w:tc>
          <w:tcPr>
            <w:tcW w:w="784" w:type="dxa"/>
            <w:tcBorders/>
          </w:tcPr>
          <w:p>
            <w:pPr>
              <w:pStyle w:val="F21"/>
              <w:tabs>
                <w:tab w:val="clear" w:pos="567"/>
              </w:tabs>
              <w:spacing w:lineRule="atLeast" w:line="340"/>
              <w:ind w:left="28" w:right="420" w:hanging="0"/>
              <w:jc w:val="right"/>
              <w:rPr>
                <w:spacing w:val="8"/>
                <w:sz w:val="22"/>
              </w:rPr>
            </w:pPr>
            <w:r>
              <w:rPr>
                <w:spacing w:val="8"/>
                <w:sz w:val="22"/>
              </w:rPr>
              <w:t>0</w:t>
            </w:r>
          </w:p>
        </w:tc>
        <w:tc>
          <w:tcPr>
            <w:tcW w:w="784" w:type="dxa"/>
            <w:tcBorders/>
          </w:tcPr>
          <w:p>
            <w:pPr>
              <w:pStyle w:val="F21"/>
              <w:tabs>
                <w:tab w:val="clear" w:pos="567"/>
              </w:tabs>
              <w:spacing w:lineRule="atLeast" w:line="340"/>
              <w:ind w:left="28" w:right="420" w:hanging="0"/>
              <w:jc w:val="right"/>
              <w:rPr>
                <w:spacing w:val="8"/>
                <w:sz w:val="22"/>
              </w:rPr>
            </w:pPr>
            <w:r>
              <w:rPr>
                <w:spacing w:val="8"/>
                <w:sz w:val="22"/>
              </w:rPr>
              <w:t>0</w:t>
            </w:r>
          </w:p>
        </w:tc>
        <w:tc>
          <w:tcPr>
            <w:tcW w:w="784" w:type="dxa"/>
            <w:tcBorders/>
          </w:tcPr>
          <w:p>
            <w:pPr>
              <w:pStyle w:val="F21"/>
              <w:tabs>
                <w:tab w:val="clear" w:pos="567"/>
              </w:tabs>
              <w:spacing w:lineRule="atLeast" w:line="340"/>
              <w:ind w:left="28" w:right="227" w:hanging="0"/>
              <w:jc w:val="right"/>
              <w:rPr>
                <w:spacing w:val="8"/>
                <w:sz w:val="22"/>
              </w:rPr>
            </w:pPr>
            <w:r>
              <w:rPr>
                <w:spacing w:val="8"/>
                <w:sz w:val="22"/>
              </w:rPr>
              <w:t>0</w:t>
            </w:r>
          </w:p>
        </w:tc>
        <w:tc>
          <w:tcPr>
            <w:tcW w:w="776" w:type="dxa"/>
            <w:tcBorders/>
          </w:tcPr>
          <w:p>
            <w:pPr>
              <w:pStyle w:val="F21"/>
              <w:tabs>
                <w:tab w:val="clear" w:pos="567"/>
              </w:tabs>
              <w:spacing w:lineRule="atLeast" w:line="340"/>
              <w:ind w:left="28" w:right="284" w:hanging="0"/>
              <w:jc w:val="right"/>
              <w:rPr>
                <w:spacing w:val="8"/>
                <w:sz w:val="22"/>
              </w:rPr>
            </w:pPr>
            <w:r>
              <w:rPr>
                <w:spacing w:val="8"/>
                <w:sz w:val="22"/>
              </w:rPr>
              <w:t>0</w:t>
            </w:r>
          </w:p>
        </w:tc>
      </w:tr>
      <w:tr>
        <w:trPr/>
        <w:tc>
          <w:tcPr>
            <w:tcW w:w="1223" w:type="dxa"/>
            <w:tcBorders/>
          </w:tcPr>
          <w:p>
            <w:pPr>
              <w:pStyle w:val="F21"/>
              <w:tabs>
                <w:tab w:val="clear" w:pos="567"/>
              </w:tabs>
              <w:spacing w:lineRule="atLeast" w:line="340"/>
              <w:ind w:left="312" w:right="28" w:hanging="284"/>
              <w:rPr>
                <w:spacing w:val="8"/>
                <w:sz w:val="22"/>
              </w:rPr>
            </w:pPr>
            <w:r>
              <w:rPr>
                <w:spacing w:val="8"/>
                <w:sz w:val="22"/>
              </w:rPr>
              <w:t>16.</w:t>
            </w:r>
            <w:r>
              <w:rPr>
                <w:spacing w:val="8"/>
                <w:sz w:val="22"/>
              </w:rPr>
              <w:t>升降機技工</w:t>
            </w:r>
          </w:p>
        </w:tc>
        <w:tc>
          <w:tcPr>
            <w:tcW w:w="811" w:type="dxa"/>
            <w:tcBorders/>
          </w:tcPr>
          <w:p>
            <w:pPr>
              <w:pStyle w:val="F21"/>
              <w:tabs>
                <w:tab w:val="clear" w:pos="567"/>
              </w:tabs>
              <w:spacing w:lineRule="atLeast" w:line="340"/>
              <w:ind w:left="28" w:right="227" w:hanging="0"/>
              <w:jc w:val="right"/>
              <w:rPr>
                <w:spacing w:val="8"/>
                <w:sz w:val="22"/>
              </w:rPr>
            </w:pPr>
            <w:r>
              <w:rPr>
                <w:spacing w:val="8"/>
                <w:sz w:val="22"/>
              </w:rPr>
              <w:t>20</w:t>
            </w:r>
          </w:p>
        </w:tc>
        <w:tc>
          <w:tcPr>
            <w:tcW w:w="784" w:type="dxa"/>
            <w:tcBorders/>
          </w:tcPr>
          <w:p>
            <w:pPr>
              <w:pStyle w:val="F21"/>
              <w:tabs>
                <w:tab w:val="clear" w:pos="567"/>
              </w:tabs>
              <w:spacing w:lineRule="atLeast" w:line="340"/>
              <w:ind w:left="28" w:right="227" w:hanging="0"/>
              <w:jc w:val="right"/>
              <w:rPr>
                <w:spacing w:val="8"/>
                <w:sz w:val="22"/>
              </w:rPr>
            </w:pPr>
            <w:r>
              <w:rPr>
                <w:spacing w:val="8"/>
                <w:sz w:val="22"/>
              </w:rPr>
              <w:t>0</w:t>
            </w:r>
          </w:p>
        </w:tc>
        <w:tc>
          <w:tcPr>
            <w:tcW w:w="841" w:type="dxa"/>
            <w:tcBorders/>
          </w:tcPr>
          <w:p>
            <w:pPr>
              <w:pStyle w:val="F21"/>
              <w:tabs>
                <w:tab w:val="clear" w:pos="567"/>
              </w:tabs>
              <w:spacing w:lineRule="atLeast" w:line="340"/>
              <w:ind w:left="28" w:right="280" w:hanging="0"/>
              <w:jc w:val="right"/>
              <w:rPr>
                <w:spacing w:val="8"/>
                <w:sz w:val="22"/>
              </w:rPr>
            </w:pPr>
            <w:r>
              <w:rPr>
                <w:spacing w:val="8"/>
                <w:sz w:val="22"/>
              </w:rPr>
              <w:t>20</w:t>
            </w:r>
          </w:p>
        </w:tc>
        <w:tc>
          <w:tcPr>
            <w:tcW w:w="798" w:type="dxa"/>
            <w:tcBorders/>
          </w:tcPr>
          <w:p>
            <w:pPr>
              <w:pStyle w:val="F21"/>
              <w:tabs>
                <w:tab w:val="clear" w:pos="567"/>
              </w:tabs>
              <w:spacing w:lineRule="atLeast" w:line="340"/>
              <w:ind w:left="28" w:right="280" w:hanging="0"/>
              <w:jc w:val="right"/>
              <w:rPr>
                <w:spacing w:val="8"/>
                <w:sz w:val="22"/>
              </w:rPr>
            </w:pPr>
            <w:r>
              <w:rPr>
                <w:spacing w:val="8"/>
                <w:sz w:val="22"/>
              </w:rPr>
              <w:t>17</w:t>
            </w:r>
          </w:p>
        </w:tc>
        <w:tc>
          <w:tcPr>
            <w:tcW w:w="840" w:type="dxa"/>
            <w:tcBorders/>
          </w:tcPr>
          <w:p>
            <w:pPr>
              <w:pStyle w:val="F21"/>
              <w:tabs>
                <w:tab w:val="clear" w:pos="567"/>
              </w:tabs>
              <w:spacing w:lineRule="atLeast" w:line="340"/>
              <w:ind w:left="28" w:right="280" w:hanging="0"/>
              <w:jc w:val="right"/>
              <w:rPr>
                <w:spacing w:val="8"/>
                <w:sz w:val="22"/>
              </w:rPr>
            </w:pPr>
            <w:r>
              <w:rPr>
                <w:spacing w:val="8"/>
                <w:sz w:val="22"/>
              </w:rPr>
              <w:t>32</w:t>
            </w:r>
          </w:p>
        </w:tc>
        <w:tc>
          <w:tcPr>
            <w:tcW w:w="797" w:type="dxa"/>
            <w:tcBorders/>
          </w:tcPr>
          <w:p>
            <w:pPr>
              <w:pStyle w:val="F21"/>
              <w:tabs>
                <w:tab w:val="clear" w:pos="567"/>
              </w:tabs>
              <w:spacing w:lineRule="atLeast" w:line="340"/>
              <w:ind w:left="28" w:right="280" w:hanging="0"/>
              <w:jc w:val="right"/>
              <w:rPr>
                <w:spacing w:val="8"/>
                <w:sz w:val="22"/>
              </w:rPr>
            </w:pPr>
            <w:r>
              <w:rPr>
                <w:spacing w:val="8"/>
                <w:sz w:val="22"/>
              </w:rPr>
              <w:t>20</w:t>
            </w:r>
          </w:p>
        </w:tc>
        <w:tc>
          <w:tcPr>
            <w:tcW w:w="784" w:type="dxa"/>
            <w:tcBorders/>
          </w:tcPr>
          <w:p>
            <w:pPr>
              <w:pStyle w:val="F21"/>
              <w:tabs>
                <w:tab w:val="clear" w:pos="567"/>
              </w:tabs>
              <w:spacing w:lineRule="atLeast" w:line="340"/>
              <w:ind w:left="28" w:right="420" w:hanging="0"/>
              <w:jc w:val="right"/>
              <w:rPr>
                <w:spacing w:val="8"/>
                <w:sz w:val="22"/>
              </w:rPr>
            </w:pPr>
            <w:r>
              <w:rPr>
                <w:spacing w:val="8"/>
                <w:sz w:val="22"/>
              </w:rPr>
              <w:t>0</w:t>
            </w:r>
          </w:p>
        </w:tc>
        <w:tc>
          <w:tcPr>
            <w:tcW w:w="784" w:type="dxa"/>
            <w:tcBorders/>
          </w:tcPr>
          <w:p>
            <w:pPr>
              <w:pStyle w:val="F21"/>
              <w:tabs>
                <w:tab w:val="clear" w:pos="567"/>
              </w:tabs>
              <w:spacing w:lineRule="atLeast" w:line="340"/>
              <w:ind w:left="28" w:right="420" w:hanging="0"/>
              <w:jc w:val="right"/>
              <w:rPr>
                <w:spacing w:val="8"/>
                <w:sz w:val="22"/>
              </w:rPr>
            </w:pPr>
            <w:r>
              <w:rPr>
                <w:spacing w:val="8"/>
                <w:sz w:val="22"/>
              </w:rPr>
              <w:t>12</w:t>
            </w:r>
          </w:p>
        </w:tc>
        <w:tc>
          <w:tcPr>
            <w:tcW w:w="784" w:type="dxa"/>
            <w:tcBorders/>
          </w:tcPr>
          <w:p>
            <w:pPr>
              <w:pStyle w:val="F21"/>
              <w:tabs>
                <w:tab w:val="clear" w:pos="567"/>
              </w:tabs>
              <w:spacing w:lineRule="atLeast" w:line="340"/>
              <w:ind w:left="28" w:right="227" w:hanging="0"/>
              <w:jc w:val="right"/>
              <w:rPr>
                <w:spacing w:val="8"/>
                <w:sz w:val="22"/>
              </w:rPr>
            </w:pPr>
            <w:r>
              <w:rPr>
                <w:spacing w:val="8"/>
                <w:sz w:val="22"/>
              </w:rPr>
              <w:t>9</w:t>
            </w:r>
          </w:p>
        </w:tc>
        <w:tc>
          <w:tcPr>
            <w:tcW w:w="776" w:type="dxa"/>
            <w:tcBorders/>
          </w:tcPr>
          <w:p>
            <w:pPr>
              <w:pStyle w:val="F21"/>
              <w:tabs>
                <w:tab w:val="clear" w:pos="567"/>
              </w:tabs>
              <w:spacing w:lineRule="atLeast" w:line="340"/>
              <w:ind w:left="28" w:right="284" w:hanging="0"/>
              <w:jc w:val="right"/>
              <w:rPr>
                <w:spacing w:val="8"/>
                <w:sz w:val="22"/>
              </w:rPr>
            </w:pPr>
            <w:r>
              <w:rPr>
                <w:spacing w:val="8"/>
                <w:sz w:val="22"/>
              </w:rPr>
              <w:t>0</w:t>
            </w:r>
          </w:p>
        </w:tc>
      </w:tr>
      <w:tr>
        <w:trPr/>
        <w:tc>
          <w:tcPr>
            <w:tcW w:w="1223" w:type="dxa"/>
            <w:tcBorders/>
          </w:tcPr>
          <w:p>
            <w:pPr>
              <w:pStyle w:val="F21"/>
              <w:tabs>
                <w:tab w:val="clear" w:pos="567"/>
              </w:tabs>
              <w:spacing w:lineRule="atLeast" w:line="340"/>
              <w:ind w:left="312" w:right="28" w:hanging="284"/>
              <w:rPr>
                <w:spacing w:val="8"/>
                <w:sz w:val="22"/>
              </w:rPr>
            </w:pPr>
            <w:r>
              <w:rPr>
                <w:spacing w:val="8"/>
                <w:sz w:val="22"/>
              </w:rPr>
              <w:t>17.</w:t>
            </w:r>
            <w:r>
              <w:rPr>
                <w:spacing w:val="8"/>
                <w:sz w:val="22"/>
              </w:rPr>
              <w:t>水喉工</w:t>
            </w:r>
          </w:p>
        </w:tc>
        <w:tc>
          <w:tcPr>
            <w:tcW w:w="811" w:type="dxa"/>
            <w:tcBorders/>
          </w:tcPr>
          <w:p>
            <w:pPr>
              <w:pStyle w:val="F21"/>
              <w:tabs>
                <w:tab w:val="clear" w:pos="567"/>
              </w:tabs>
              <w:spacing w:lineRule="atLeast" w:line="340"/>
              <w:ind w:left="28" w:right="227" w:hanging="0"/>
              <w:jc w:val="right"/>
              <w:rPr>
                <w:spacing w:val="8"/>
                <w:sz w:val="22"/>
              </w:rPr>
            </w:pPr>
            <w:r>
              <w:rPr>
                <w:spacing w:val="8"/>
                <w:sz w:val="22"/>
              </w:rPr>
              <w:t>0</w:t>
            </w:r>
          </w:p>
        </w:tc>
        <w:tc>
          <w:tcPr>
            <w:tcW w:w="784" w:type="dxa"/>
            <w:tcBorders/>
          </w:tcPr>
          <w:p>
            <w:pPr>
              <w:pStyle w:val="F21"/>
              <w:tabs>
                <w:tab w:val="clear" w:pos="567"/>
              </w:tabs>
              <w:spacing w:lineRule="atLeast" w:line="340"/>
              <w:ind w:left="28" w:right="227" w:hanging="0"/>
              <w:jc w:val="right"/>
              <w:rPr>
                <w:spacing w:val="8"/>
                <w:sz w:val="22"/>
              </w:rPr>
            </w:pPr>
            <w:r>
              <w:rPr>
                <w:spacing w:val="8"/>
                <w:sz w:val="22"/>
              </w:rPr>
              <w:t>0</w:t>
            </w:r>
          </w:p>
        </w:tc>
        <w:tc>
          <w:tcPr>
            <w:tcW w:w="841" w:type="dxa"/>
            <w:tcBorders/>
          </w:tcPr>
          <w:p>
            <w:pPr>
              <w:pStyle w:val="F21"/>
              <w:tabs>
                <w:tab w:val="clear" w:pos="567"/>
              </w:tabs>
              <w:spacing w:lineRule="atLeast" w:line="340"/>
              <w:ind w:left="28" w:right="280" w:hanging="0"/>
              <w:jc w:val="right"/>
              <w:rPr>
                <w:spacing w:val="8"/>
                <w:sz w:val="22"/>
              </w:rPr>
            </w:pPr>
            <w:r>
              <w:rPr>
                <w:spacing w:val="8"/>
                <w:sz w:val="22"/>
              </w:rPr>
              <w:t>50</w:t>
            </w:r>
          </w:p>
        </w:tc>
        <w:tc>
          <w:tcPr>
            <w:tcW w:w="798" w:type="dxa"/>
            <w:tcBorders/>
          </w:tcPr>
          <w:p>
            <w:pPr>
              <w:pStyle w:val="F21"/>
              <w:tabs>
                <w:tab w:val="clear" w:pos="567"/>
              </w:tabs>
              <w:spacing w:lineRule="atLeast" w:line="340"/>
              <w:ind w:left="28" w:right="280" w:hanging="0"/>
              <w:jc w:val="right"/>
              <w:rPr>
                <w:spacing w:val="8"/>
                <w:sz w:val="22"/>
              </w:rPr>
            </w:pPr>
            <w:r>
              <w:rPr>
                <w:spacing w:val="8"/>
                <w:sz w:val="22"/>
              </w:rPr>
              <w:t>0</w:t>
            </w:r>
          </w:p>
        </w:tc>
        <w:tc>
          <w:tcPr>
            <w:tcW w:w="840" w:type="dxa"/>
            <w:tcBorders/>
          </w:tcPr>
          <w:p>
            <w:pPr>
              <w:pStyle w:val="F21"/>
              <w:tabs>
                <w:tab w:val="clear" w:pos="567"/>
              </w:tabs>
              <w:spacing w:lineRule="atLeast" w:line="340"/>
              <w:ind w:left="28" w:right="280" w:hanging="0"/>
              <w:jc w:val="right"/>
              <w:rPr>
                <w:spacing w:val="8"/>
                <w:sz w:val="22"/>
              </w:rPr>
            </w:pPr>
            <w:r>
              <w:rPr>
                <w:spacing w:val="8"/>
                <w:sz w:val="22"/>
              </w:rPr>
              <w:t>70</w:t>
            </w:r>
          </w:p>
        </w:tc>
        <w:tc>
          <w:tcPr>
            <w:tcW w:w="797" w:type="dxa"/>
            <w:tcBorders/>
          </w:tcPr>
          <w:p>
            <w:pPr>
              <w:pStyle w:val="F21"/>
              <w:tabs>
                <w:tab w:val="clear" w:pos="567"/>
              </w:tabs>
              <w:spacing w:lineRule="atLeast" w:line="340"/>
              <w:ind w:left="28" w:right="280" w:hanging="0"/>
              <w:jc w:val="right"/>
              <w:rPr>
                <w:spacing w:val="8"/>
                <w:sz w:val="22"/>
              </w:rPr>
            </w:pPr>
            <w:r>
              <w:rPr>
                <w:spacing w:val="8"/>
                <w:sz w:val="22"/>
              </w:rPr>
              <w:t>61</w:t>
            </w:r>
          </w:p>
        </w:tc>
        <w:tc>
          <w:tcPr>
            <w:tcW w:w="784" w:type="dxa"/>
            <w:tcBorders/>
          </w:tcPr>
          <w:p>
            <w:pPr>
              <w:pStyle w:val="F21"/>
              <w:tabs>
                <w:tab w:val="clear" w:pos="567"/>
              </w:tabs>
              <w:spacing w:lineRule="atLeast" w:line="340"/>
              <w:ind w:left="28" w:right="420" w:hanging="0"/>
              <w:jc w:val="right"/>
              <w:rPr>
                <w:spacing w:val="8"/>
                <w:sz w:val="22"/>
              </w:rPr>
            </w:pPr>
            <w:r>
              <w:rPr>
                <w:spacing w:val="8"/>
                <w:sz w:val="22"/>
              </w:rPr>
              <w:t>1</w:t>
            </w:r>
          </w:p>
        </w:tc>
        <w:tc>
          <w:tcPr>
            <w:tcW w:w="784" w:type="dxa"/>
            <w:tcBorders/>
          </w:tcPr>
          <w:p>
            <w:pPr>
              <w:pStyle w:val="F21"/>
              <w:tabs>
                <w:tab w:val="clear" w:pos="567"/>
              </w:tabs>
              <w:spacing w:lineRule="atLeast" w:line="340"/>
              <w:ind w:left="28" w:right="420" w:hanging="0"/>
              <w:jc w:val="right"/>
              <w:rPr>
                <w:spacing w:val="8"/>
                <w:sz w:val="22"/>
              </w:rPr>
            </w:pPr>
            <w:r>
              <w:rPr>
                <w:spacing w:val="8"/>
                <w:sz w:val="22"/>
              </w:rPr>
              <w:t>0</w:t>
            </w:r>
          </w:p>
        </w:tc>
        <w:tc>
          <w:tcPr>
            <w:tcW w:w="784" w:type="dxa"/>
            <w:tcBorders/>
          </w:tcPr>
          <w:p>
            <w:pPr>
              <w:pStyle w:val="F21"/>
              <w:tabs>
                <w:tab w:val="clear" w:pos="567"/>
              </w:tabs>
              <w:spacing w:lineRule="atLeast" w:line="340"/>
              <w:ind w:left="28" w:right="227" w:hanging="0"/>
              <w:jc w:val="right"/>
              <w:rPr>
                <w:spacing w:val="8"/>
                <w:sz w:val="22"/>
              </w:rPr>
            </w:pPr>
            <w:r>
              <w:rPr>
                <w:spacing w:val="8"/>
                <w:sz w:val="22"/>
              </w:rPr>
              <w:t>0</w:t>
            </w:r>
          </w:p>
        </w:tc>
        <w:tc>
          <w:tcPr>
            <w:tcW w:w="776" w:type="dxa"/>
            <w:tcBorders/>
          </w:tcPr>
          <w:p>
            <w:pPr>
              <w:pStyle w:val="F21"/>
              <w:tabs>
                <w:tab w:val="clear" w:pos="567"/>
              </w:tabs>
              <w:spacing w:lineRule="atLeast" w:line="340"/>
              <w:ind w:left="28" w:right="284" w:hanging="0"/>
              <w:jc w:val="right"/>
              <w:rPr>
                <w:spacing w:val="8"/>
                <w:sz w:val="22"/>
              </w:rPr>
            </w:pPr>
            <w:r>
              <w:rPr>
                <w:spacing w:val="8"/>
                <w:sz w:val="22"/>
              </w:rPr>
              <w:t>0</w:t>
            </w:r>
          </w:p>
        </w:tc>
      </w:tr>
      <w:tr>
        <w:trPr/>
        <w:tc>
          <w:tcPr>
            <w:tcW w:w="1223" w:type="dxa"/>
            <w:tcBorders/>
          </w:tcPr>
          <w:p>
            <w:pPr>
              <w:pStyle w:val="F21"/>
              <w:tabs>
                <w:tab w:val="clear" w:pos="567"/>
              </w:tabs>
              <w:spacing w:lineRule="atLeast" w:line="340"/>
              <w:ind w:left="312" w:right="28" w:hanging="284"/>
              <w:rPr>
                <w:spacing w:val="8"/>
                <w:sz w:val="22"/>
              </w:rPr>
            </w:pPr>
            <w:r>
              <w:rPr>
                <w:spacing w:val="8"/>
                <w:sz w:val="22"/>
              </w:rPr>
              <w:t>18.</w:t>
            </w:r>
            <w:r>
              <w:rPr>
                <w:spacing w:val="8"/>
                <w:sz w:val="22"/>
              </w:rPr>
              <w:t>消防機械裝配工</w:t>
            </w:r>
          </w:p>
        </w:tc>
        <w:tc>
          <w:tcPr>
            <w:tcW w:w="811" w:type="dxa"/>
            <w:tcBorders/>
          </w:tcPr>
          <w:p>
            <w:pPr>
              <w:pStyle w:val="F21"/>
              <w:tabs>
                <w:tab w:val="clear" w:pos="567"/>
              </w:tabs>
              <w:spacing w:lineRule="atLeast" w:line="340"/>
              <w:ind w:left="28" w:right="227" w:hanging="0"/>
              <w:jc w:val="right"/>
              <w:rPr>
                <w:spacing w:val="8"/>
                <w:sz w:val="22"/>
              </w:rPr>
            </w:pPr>
            <w:r>
              <w:rPr>
                <w:spacing w:val="8"/>
                <w:sz w:val="22"/>
              </w:rPr>
              <w:t>0</w:t>
            </w:r>
          </w:p>
        </w:tc>
        <w:tc>
          <w:tcPr>
            <w:tcW w:w="784" w:type="dxa"/>
            <w:tcBorders/>
          </w:tcPr>
          <w:p>
            <w:pPr>
              <w:pStyle w:val="F21"/>
              <w:tabs>
                <w:tab w:val="clear" w:pos="567"/>
              </w:tabs>
              <w:spacing w:lineRule="atLeast" w:line="340"/>
              <w:ind w:left="28" w:right="227" w:hanging="0"/>
              <w:jc w:val="right"/>
              <w:rPr>
                <w:spacing w:val="8"/>
                <w:sz w:val="22"/>
              </w:rPr>
            </w:pPr>
            <w:r>
              <w:rPr>
                <w:spacing w:val="8"/>
                <w:sz w:val="22"/>
              </w:rPr>
              <w:t>0</w:t>
            </w:r>
          </w:p>
        </w:tc>
        <w:tc>
          <w:tcPr>
            <w:tcW w:w="841" w:type="dxa"/>
            <w:tcBorders/>
          </w:tcPr>
          <w:p>
            <w:pPr>
              <w:pStyle w:val="F21"/>
              <w:tabs>
                <w:tab w:val="clear" w:pos="567"/>
              </w:tabs>
              <w:spacing w:lineRule="atLeast" w:line="340"/>
              <w:ind w:left="28" w:right="280" w:hanging="0"/>
              <w:jc w:val="right"/>
              <w:rPr>
                <w:spacing w:val="8"/>
                <w:sz w:val="22"/>
              </w:rPr>
            </w:pPr>
            <w:r>
              <w:rPr>
                <w:spacing w:val="8"/>
                <w:sz w:val="22"/>
              </w:rPr>
              <w:t>10</w:t>
            </w:r>
          </w:p>
        </w:tc>
        <w:tc>
          <w:tcPr>
            <w:tcW w:w="798" w:type="dxa"/>
            <w:tcBorders/>
          </w:tcPr>
          <w:p>
            <w:pPr>
              <w:pStyle w:val="F21"/>
              <w:tabs>
                <w:tab w:val="clear" w:pos="567"/>
              </w:tabs>
              <w:spacing w:lineRule="atLeast" w:line="340"/>
              <w:ind w:left="28" w:right="280" w:hanging="0"/>
              <w:jc w:val="right"/>
              <w:rPr>
                <w:spacing w:val="8"/>
                <w:sz w:val="22"/>
              </w:rPr>
            </w:pPr>
            <w:r>
              <w:rPr>
                <w:spacing w:val="8"/>
                <w:sz w:val="22"/>
              </w:rPr>
              <w:t>0</w:t>
            </w:r>
          </w:p>
        </w:tc>
        <w:tc>
          <w:tcPr>
            <w:tcW w:w="840" w:type="dxa"/>
            <w:tcBorders/>
          </w:tcPr>
          <w:p>
            <w:pPr>
              <w:pStyle w:val="F21"/>
              <w:tabs>
                <w:tab w:val="clear" w:pos="567"/>
              </w:tabs>
              <w:spacing w:lineRule="atLeast" w:line="340"/>
              <w:ind w:left="28" w:right="280" w:hanging="0"/>
              <w:jc w:val="right"/>
              <w:rPr>
                <w:spacing w:val="8"/>
                <w:sz w:val="22"/>
              </w:rPr>
            </w:pPr>
            <w:r>
              <w:rPr>
                <w:spacing w:val="8"/>
                <w:sz w:val="22"/>
              </w:rPr>
              <w:t>75</w:t>
            </w:r>
          </w:p>
        </w:tc>
        <w:tc>
          <w:tcPr>
            <w:tcW w:w="797" w:type="dxa"/>
            <w:tcBorders/>
          </w:tcPr>
          <w:p>
            <w:pPr>
              <w:pStyle w:val="F21"/>
              <w:tabs>
                <w:tab w:val="clear" w:pos="567"/>
              </w:tabs>
              <w:spacing w:lineRule="atLeast" w:line="340"/>
              <w:ind w:left="28" w:right="280" w:hanging="0"/>
              <w:jc w:val="right"/>
              <w:rPr>
                <w:spacing w:val="8"/>
                <w:sz w:val="22"/>
              </w:rPr>
            </w:pPr>
            <w:r>
              <w:rPr>
                <w:spacing w:val="8"/>
                <w:sz w:val="22"/>
              </w:rPr>
              <w:t>30</w:t>
            </w:r>
          </w:p>
        </w:tc>
        <w:tc>
          <w:tcPr>
            <w:tcW w:w="784" w:type="dxa"/>
            <w:tcBorders/>
          </w:tcPr>
          <w:p>
            <w:pPr>
              <w:pStyle w:val="F21"/>
              <w:tabs>
                <w:tab w:val="clear" w:pos="567"/>
              </w:tabs>
              <w:spacing w:lineRule="atLeast" w:line="340"/>
              <w:ind w:left="28" w:right="420" w:hanging="0"/>
              <w:jc w:val="right"/>
              <w:rPr>
                <w:spacing w:val="8"/>
                <w:sz w:val="22"/>
              </w:rPr>
            </w:pPr>
            <w:r>
              <w:rPr>
                <w:spacing w:val="8"/>
                <w:sz w:val="22"/>
              </w:rPr>
              <w:t>18</w:t>
            </w:r>
          </w:p>
        </w:tc>
        <w:tc>
          <w:tcPr>
            <w:tcW w:w="784" w:type="dxa"/>
            <w:tcBorders/>
          </w:tcPr>
          <w:p>
            <w:pPr>
              <w:pStyle w:val="F21"/>
              <w:tabs>
                <w:tab w:val="clear" w:pos="567"/>
              </w:tabs>
              <w:spacing w:lineRule="atLeast" w:line="340"/>
              <w:ind w:left="28" w:right="420" w:hanging="0"/>
              <w:jc w:val="right"/>
              <w:rPr>
                <w:spacing w:val="8"/>
                <w:sz w:val="22"/>
              </w:rPr>
            </w:pPr>
            <w:r>
              <w:rPr>
                <w:spacing w:val="8"/>
                <w:sz w:val="22"/>
              </w:rPr>
              <w:t>0</w:t>
            </w:r>
          </w:p>
        </w:tc>
        <w:tc>
          <w:tcPr>
            <w:tcW w:w="784" w:type="dxa"/>
            <w:tcBorders/>
          </w:tcPr>
          <w:p>
            <w:pPr>
              <w:pStyle w:val="F21"/>
              <w:tabs>
                <w:tab w:val="clear" w:pos="567"/>
              </w:tabs>
              <w:spacing w:lineRule="atLeast" w:line="340"/>
              <w:ind w:left="28" w:right="227" w:hanging="0"/>
              <w:jc w:val="right"/>
              <w:rPr>
                <w:spacing w:val="8"/>
                <w:sz w:val="22"/>
              </w:rPr>
            </w:pPr>
            <w:r>
              <w:rPr>
                <w:spacing w:val="8"/>
                <w:sz w:val="22"/>
              </w:rPr>
              <w:t>0</w:t>
            </w:r>
          </w:p>
        </w:tc>
        <w:tc>
          <w:tcPr>
            <w:tcW w:w="776" w:type="dxa"/>
            <w:tcBorders/>
          </w:tcPr>
          <w:p>
            <w:pPr>
              <w:pStyle w:val="F21"/>
              <w:tabs>
                <w:tab w:val="clear" w:pos="567"/>
              </w:tabs>
              <w:spacing w:lineRule="atLeast" w:line="340"/>
              <w:ind w:left="28" w:right="284" w:hanging="0"/>
              <w:jc w:val="right"/>
              <w:rPr>
                <w:spacing w:val="8"/>
                <w:sz w:val="22"/>
              </w:rPr>
            </w:pPr>
            <w:r>
              <w:rPr>
                <w:spacing w:val="8"/>
                <w:sz w:val="22"/>
              </w:rPr>
              <w:t>8</w:t>
            </w:r>
          </w:p>
        </w:tc>
      </w:tr>
      <w:tr>
        <w:trPr/>
        <w:tc>
          <w:tcPr>
            <w:tcW w:w="1223" w:type="dxa"/>
            <w:tcBorders/>
          </w:tcPr>
          <w:p>
            <w:pPr>
              <w:pStyle w:val="F21"/>
              <w:tabs>
                <w:tab w:val="clear" w:pos="567"/>
              </w:tabs>
              <w:spacing w:lineRule="atLeast" w:line="340"/>
              <w:ind w:left="312" w:right="28" w:hanging="284"/>
              <w:rPr>
                <w:spacing w:val="8"/>
                <w:sz w:val="22"/>
              </w:rPr>
            </w:pPr>
            <w:r>
              <w:rPr>
                <w:spacing w:val="8"/>
                <w:sz w:val="22"/>
              </w:rPr>
              <w:t>19.</w:t>
            </w:r>
            <w:r>
              <w:rPr>
                <w:spacing w:val="8"/>
                <w:sz w:val="22"/>
              </w:rPr>
              <w:t>消防電氣裝配工</w:t>
            </w:r>
          </w:p>
        </w:tc>
        <w:tc>
          <w:tcPr>
            <w:tcW w:w="811" w:type="dxa"/>
            <w:tcBorders/>
          </w:tcPr>
          <w:p>
            <w:pPr>
              <w:pStyle w:val="F21"/>
              <w:tabs>
                <w:tab w:val="clear" w:pos="567"/>
              </w:tabs>
              <w:spacing w:lineRule="atLeast" w:line="340"/>
              <w:ind w:left="28" w:right="227" w:hanging="0"/>
              <w:jc w:val="right"/>
              <w:rPr>
                <w:spacing w:val="8"/>
                <w:sz w:val="22"/>
              </w:rPr>
            </w:pPr>
            <w:r>
              <w:rPr>
                <w:spacing w:val="8"/>
                <w:sz w:val="22"/>
              </w:rPr>
              <w:t>0</w:t>
            </w:r>
          </w:p>
        </w:tc>
        <w:tc>
          <w:tcPr>
            <w:tcW w:w="784" w:type="dxa"/>
            <w:tcBorders/>
          </w:tcPr>
          <w:p>
            <w:pPr>
              <w:pStyle w:val="F21"/>
              <w:tabs>
                <w:tab w:val="clear" w:pos="567"/>
              </w:tabs>
              <w:spacing w:lineRule="atLeast" w:line="340"/>
              <w:ind w:left="28" w:right="227" w:hanging="0"/>
              <w:jc w:val="right"/>
              <w:rPr>
                <w:spacing w:val="8"/>
                <w:sz w:val="22"/>
              </w:rPr>
            </w:pPr>
            <w:r>
              <w:rPr>
                <w:spacing w:val="8"/>
                <w:sz w:val="22"/>
              </w:rPr>
              <w:t>0</w:t>
            </w:r>
          </w:p>
        </w:tc>
        <w:tc>
          <w:tcPr>
            <w:tcW w:w="841" w:type="dxa"/>
            <w:tcBorders/>
          </w:tcPr>
          <w:p>
            <w:pPr>
              <w:pStyle w:val="F21"/>
              <w:tabs>
                <w:tab w:val="clear" w:pos="567"/>
              </w:tabs>
              <w:spacing w:lineRule="atLeast" w:line="340"/>
              <w:ind w:left="28" w:right="280" w:hanging="0"/>
              <w:jc w:val="right"/>
              <w:rPr>
                <w:spacing w:val="8"/>
                <w:sz w:val="22"/>
              </w:rPr>
            </w:pPr>
            <w:r>
              <w:rPr>
                <w:spacing w:val="8"/>
                <w:sz w:val="22"/>
              </w:rPr>
              <w:t>10</w:t>
            </w:r>
          </w:p>
        </w:tc>
        <w:tc>
          <w:tcPr>
            <w:tcW w:w="798" w:type="dxa"/>
            <w:tcBorders/>
          </w:tcPr>
          <w:p>
            <w:pPr>
              <w:pStyle w:val="F21"/>
              <w:tabs>
                <w:tab w:val="clear" w:pos="567"/>
              </w:tabs>
              <w:spacing w:lineRule="atLeast" w:line="340"/>
              <w:ind w:left="28" w:right="280" w:hanging="0"/>
              <w:jc w:val="right"/>
              <w:rPr>
                <w:spacing w:val="8"/>
                <w:sz w:val="22"/>
              </w:rPr>
            </w:pPr>
            <w:r>
              <w:rPr>
                <w:spacing w:val="8"/>
                <w:sz w:val="22"/>
              </w:rPr>
              <w:t>0</w:t>
            </w:r>
          </w:p>
        </w:tc>
        <w:tc>
          <w:tcPr>
            <w:tcW w:w="840" w:type="dxa"/>
            <w:tcBorders/>
          </w:tcPr>
          <w:p>
            <w:pPr>
              <w:pStyle w:val="F21"/>
              <w:tabs>
                <w:tab w:val="clear" w:pos="567"/>
              </w:tabs>
              <w:spacing w:lineRule="atLeast" w:line="340"/>
              <w:ind w:left="28" w:right="280" w:hanging="0"/>
              <w:jc w:val="right"/>
              <w:rPr>
                <w:spacing w:val="8"/>
                <w:sz w:val="22"/>
              </w:rPr>
            </w:pPr>
            <w:r>
              <w:rPr>
                <w:spacing w:val="8"/>
                <w:sz w:val="22"/>
              </w:rPr>
              <w:t>135</w:t>
            </w:r>
          </w:p>
        </w:tc>
        <w:tc>
          <w:tcPr>
            <w:tcW w:w="797" w:type="dxa"/>
            <w:tcBorders/>
          </w:tcPr>
          <w:p>
            <w:pPr>
              <w:pStyle w:val="F21"/>
              <w:tabs>
                <w:tab w:val="clear" w:pos="567"/>
              </w:tabs>
              <w:spacing w:lineRule="atLeast" w:line="340"/>
              <w:ind w:left="28" w:right="280" w:hanging="0"/>
              <w:jc w:val="right"/>
              <w:rPr>
                <w:spacing w:val="8"/>
                <w:sz w:val="22"/>
              </w:rPr>
            </w:pPr>
            <w:r>
              <w:rPr>
                <w:spacing w:val="8"/>
                <w:sz w:val="22"/>
              </w:rPr>
              <w:t>39</w:t>
            </w:r>
          </w:p>
        </w:tc>
        <w:tc>
          <w:tcPr>
            <w:tcW w:w="784" w:type="dxa"/>
            <w:tcBorders/>
          </w:tcPr>
          <w:p>
            <w:pPr>
              <w:pStyle w:val="F21"/>
              <w:tabs>
                <w:tab w:val="clear" w:pos="567"/>
              </w:tabs>
              <w:spacing w:lineRule="atLeast" w:line="340"/>
              <w:ind w:left="28" w:right="420" w:hanging="0"/>
              <w:jc w:val="right"/>
              <w:rPr>
                <w:spacing w:val="8"/>
                <w:sz w:val="22"/>
              </w:rPr>
            </w:pPr>
            <w:r>
              <w:rPr>
                <w:spacing w:val="8"/>
                <w:sz w:val="22"/>
              </w:rPr>
              <w:t>0</w:t>
            </w:r>
          </w:p>
        </w:tc>
        <w:tc>
          <w:tcPr>
            <w:tcW w:w="784" w:type="dxa"/>
            <w:tcBorders/>
          </w:tcPr>
          <w:p>
            <w:pPr>
              <w:pStyle w:val="F21"/>
              <w:tabs>
                <w:tab w:val="clear" w:pos="567"/>
              </w:tabs>
              <w:spacing w:lineRule="atLeast" w:line="340"/>
              <w:ind w:left="28" w:right="420" w:hanging="0"/>
              <w:jc w:val="right"/>
              <w:rPr>
                <w:spacing w:val="8"/>
                <w:sz w:val="22"/>
              </w:rPr>
            </w:pPr>
            <w:r>
              <w:rPr>
                <w:spacing w:val="8"/>
                <w:sz w:val="22"/>
              </w:rPr>
              <w:t>0</w:t>
            </w:r>
          </w:p>
        </w:tc>
        <w:tc>
          <w:tcPr>
            <w:tcW w:w="784" w:type="dxa"/>
            <w:tcBorders/>
          </w:tcPr>
          <w:p>
            <w:pPr>
              <w:pStyle w:val="F21"/>
              <w:tabs>
                <w:tab w:val="clear" w:pos="567"/>
              </w:tabs>
              <w:spacing w:lineRule="atLeast" w:line="340"/>
              <w:ind w:left="28" w:right="227" w:hanging="0"/>
              <w:jc w:val="right"/>
              <w:rPr>
                <w:spacing w:val="8"/>
                <w:sz w:val="22"/>
              </w:rPr>
            </w:pPr>
            <w:r>
              <w:rPr>
                <w:spacing w:val="8"/>
                <w:sz w:val="22"/>
              </w:rPr>
              <w:t>0</w:t>
            </w:r>
          </w:p>
        </w:tc>
        <w:tc>
          <w:tcPr>
            <w:tcW w:w="776" w:type="dxa"/>
            <w:tcBorders/>
          </w:tcPr>
          <w:p>
            <w:pPr>
              <w:pStyle w:val="F21"/>
              <w:tabs>
                <w:tab w:val="clear" w:pos="567"/>
              </w:tabs>
              <w:spacing w:lineRule="atLeast" w:line="340"/>
              <w:ind w:left="28" w:right="284" w:hanging="0"/>
              <w:jc w:val="right"/>
              <w:rPr>
                <w:spacing w:val="8"/>
                <w:sz w:val="22"/>
              </w:rPr>
            </w:pPr>
            <w:r>
              <w:rPr>
                <w:spacing w:val="8"/>
                <w:sz w:val="22"/>
              </w:rPr>
              <w:t>0</w:t>
            </w:r>
          </w:p>
        </w:tc>
      </w:tr>
      <w:tr>
        <w:trPr/>
        <w:tc>
          <w:tcPr>
            <w:tcW w:w="1223" w:type="dxa"/>
            <w:tcBorders/>
          </w:tcPr>
          <w:p>
            <w:pPr>
              <w:pStyle w:val="F21"/>
              <w:tabs>
                <w:tab w:val="clear" w:pos="567"/>
              </w:tabs>
              <w:spacing w:lineRule="atLeast" w:line="340"/>
              <w:ind w:left="312" w:right="28" w:hanging="284"/>
              <w:rPr>
                <w:spacing w:val="8"/>
                <w:sz w:val="22"/>
              </w:rPr>
            </w:pPr>
            <w:r>
              <w:rPr>
                <w:spacing w:val="8"/>
                <w:sz w:val="22"/>
              </w:rPr>
              <w:t>20.</w:t>
            </w:r>
            <w:r>
              <w:rPr>
                <w:spacing w:val="8"/>
                <w:sz w:val="22"/>
              </w:rPr>
              <w:t>空調製冷設備技工</w:t>
            </w:r>
            <w:r>
              <w:rPr>
                <w:spacing w:val="8"/>
                <w:sz w:val="22"/>
              </w:rPr>
              <w:t>(</w:t>
            </w:r>
            <w:r>
              <w:rPr>
                <w:spacing w:val="8"/>
                <w:sz w:val="22"/>
              </w:rPr>
              <w:t>送風系統</w:t>
            </w:r>
            <w:r>
              <w:rPr>
                <w:spacing w:val="8"/>
                <w:sz w:val="22"/>
              </w:rPr>
              <w:t>)</w:t>
            </w:r>
          </w:p>
        </w:tc>
        <w:tc>
          <w:tcPr>
            <w:tcW w:w="811" w:type="dxa"/>
            <w:tcBorders/>
          </w:tcPr>
          <w:p>
            <w:pPr>
              <w:pStyle w:val="F21"/>
              <w:tabs>
                <w:tab w:val="clear" w:pos="567"/>
              </w:tabs>
              <w:spacing w:lineRule="atLeast" w:line="340"/>
              <w:ind w:left="28" w:right="227" w:hanging="0"/>
              <w:jc w:val="right"/>
              <w:rPr>
                <w:spacing w:val="8"/>
                <w:sz w:val="22"/>
              </w:rPr>
            </w:pPr>
            <w:r>
              <w:rPr>
                <w:spacing w:val="8"/>
                <w:sz w:val="22"/>
              </w:rPr>
              <w:t>0</w:t>
            </w:r>
          </w:p>
        </w:tc>
        <w:tc>
          <w:tcPr>
            <w:tcW w:w="784" w:type="dxa"/>
            <w:tcBorders/>
          </w:tcPr>
          <w:p>
            <w:pPr>
              <w:pStyle w:val="F21"/>
              <w:tabs>
                <w:tab w:val="clear" w:pos="567"/>
              </w:tabs>
              <w:spacing w:lineRule="atLeast" w:line="340"/>
              <w:ind w:left="28" w:right="227" w:hanging="0"/>
              <w:jc w:val="right"/>
              <w:rPr>
                <w:spacing w:val="8"/>
                <w:sz w:val="22"/>
              </w:rPr>
            </w:pPr>
            <w:r>
              <w:rPr>
                <w:spacing w:val="8"/>
                <w:sz w:val="22"/>
              </w:rPr>
              <w:t>0</w:t>
            </w:r>
          </w:p>
        </w:tc>
        <w:tc>
          <w:tcPr>
            <w:tcW w:w="841" w:type="dxa"/>
            <w:tcBorders/>
          </w:tcPr>
          <w:p>
            <w:pPr>
              <w:pStyle w:val="F21"/>
              <w:tabs>
                <w:tab w:val="clear" w:pos="567"/>
              </w:tabs>
              <w:spacing w:lineRule="atLeast" w:line="340"/>
              <w:ind w:left="28" w:right="280" w:hanging="0"/>
              <w:jc w:val="right"/>
              <w:rPr>
                <w:spacing w:val="8"/>
                <w:sz w:val="22"/>
              </w:rPr>
            </w:pPr>
            <w:r>
              <w:rPr>
                <w:spacing w:val="8"/>
                <w:sz w:val="22"/>
              </w:rPr>
              <w:t>0</w:t>
            </w:r>
          </w:p>
        </w:tc>
        <w:tc>
          <w:tcPr>
            <w:tcW w:w="798" w:type="dxa"/>
            <w:tcBorders/>
          </w:tcPr>
          <w:p>
            <w:pPr>
              <w:pStyle w:val="F21"/>
              <w:tabs>
                <w:tab w:val="clear" w:pos="567"/>
              </w:tabs>
              <w:spacing w:lineRule="atLeast" w:line="340"/>
              <w:ind w:left="28" w:right="280" w:hanging="0"/>
              <w:jc w:val="right"/>
              <w:rPr>
                <w:spacing w:val="8"/>
                <w:sz w:val="22"/>
              </w:rPr>
            </w:pPr>
            <w:r>
              <w:rPr>
                <w:spacing w:val="8"/>
                <w:sz w:val="22"/>
              </w:rPr>
              <w:t>0</w:t>
            </w:r>
          </w:p>
        </w:tc>
        <w:tc>
          <w:tcPr>
            <w:tcW w:w="840" w:type="dxa"/>
            <w:tcBorders/>
          </w:tcPr>
          <w:p>
            <w:pPr>
              <w:pStyle w:val="F21"/>
              <w:tabs>
                <w:tab w:val="clear" w:pos="567"/>
              </w:tabs>
              <w:spacing w:lineRule="atLeast" w:line="340"/>
              <w:ind w:left="28" w:right="280" w:hanging="0"/>
              <w:jc w:val="right"/>
              <w:rPr>
                <w:spacing w:val="8"/>
                <w:sz w:val="22"/>
              </w:rPr>
            </w:pPr>
            <w:r>
              <w:rPr>
                <w:spacing w:val="8"/>
                <w:sz w:val="22"/>
              </w:rPr>
              <w:t>257</w:t>
            </w:r>
          </w:p>
        </w:tc>
        <w:tc>
          <w:tcPr>
            <w:tcW w:w="797" w:type="dxa"/>
            <w:tcBorders/>
          </w:tcPr>
          <w:p>
            <w:pPr>
              <w:pStyle w:val="F21"/>
              <w:tabs>
                <w:tab w:val="clear" w:pos="567"/>
              </w:tabs>
              <w:spacing w:lineRule="atLeast" w:line="340"/>
              <w:ind w:left="28" w:right="280" w:hanging="0"/>
              <w:jc w:val="right"/>
              <w:rPr>
                <w:spacing w:val="8"/>
                <w:sz w:val="22"/>
              </w:rPr>
            </w:pPr>
            <w:r>
              <w:rPr>
                <w:spacing w:val="8"/>
                <w:sz w:val="22"/>
              </w:rPr>
              <w:t>177</w:t>
            </w:r>
          </w:p>
        </w:tc>
        <w:tc>
          <w:tcPr>
            <w:tcW w:w="784" w:type="dxa"/>
            <w:tcBorders/>
          </w:tcPr>
          <w:p>
            <w:pPr>
              <w:pStyle w:val="F21"/>
              <w:tabs>
                <w:tab w:val="clear" w:pos="567"/>
              </w:tabs>
              <w:spacing w:lineRule="atLeast" w:line="340"/>
              <w:ind w:left="28" w:right="420" w:hanging="0"/>
              <w:jc w:val="right"/>
              <w:rPr>
                <w:spacing w:val="8"/>
                <w:sz w:val="22"/>
              </w:rPr>
            </w:pPr>
            <w:r>
              <w:rPr>
                <w:spacing w:val="8"/>
                <w:sz w:val="22"/>
              </w:rPr>
              <w:t>0</w:t>
            </w:r>
          </w:p>
        </w:tc>
        <w:tc>
          <w:tcPr>
            <w:tcW w:w="784" w:type="dxa"/>
            <w:tcBorders/>
          </w:tcPr>
          <w:p>
            <w:pPr>
              <w:pStyle w:val="F21"/>
              <w:tabs>
                <w:tab w:val="clear" w:pos="567"/>
              </w:tabs>
              <w:spacing w:lineRule="atLeast" w:line="340"/>
              <w:ind w:left="28" w:right="420" w:hanging="0"/>
              <w:jc w:val="right"/>
              <w:rPr>
                <w:spacing w:val="8"/>
                <w:sz w:val="22"/>
              </w:rPr>
            </w:pPr>
            <w:r>
              <w:rPr>
                <w:spacing w:val="8"/>
                <w:sz w:val="22"/>
              </w:rPr>
              <w:t>0</w:t>
            </w:r>
          </w:p>
        </w:tc>
        <w:tc>
          <w:tcPr>
            <w:tcW w:w="784" w:type="dxa"/>
            <w:tcBorders/>
          </w:tcPr>
          <w:p>
            <w:pPr>
              <w:pStyle w:val="F21"/>
              <w:tabs>
                <w:tab w:val="clear" w:pos="567"/>
              </w:tabs>
              <w:spacing w:lineRule="atLeast" w:line="340"/>
              <w:ind w:left="28" w:right="227" w:hanging="0"/>
              <w:jc w:val="right"/>
              <w:rPr>
                <w:spacing w:val="8"/>
                <w:sz w:val="22"/>
              </w:rPr>
            </w:pPr>
            <w:r>
              <w:rPr>
                <w:spacing w:val="8"/>
                <w:sz w:val="22"/>
              </w:rPr>
              <w:t>0</w:t>
            </w:r>
          </w:p>
        </w:tc>
        <w:tc>
          <w:tcPr>
            <w:tcW w:w="776" w:type="dxa"/>
            <w:tcBorders/>
          </w:tcPr>
          <w:p>
            <w:pPr>
              <w:pStyle w:val="F21"/>
              <w:tabs>
                <w:tab w:val="clear" w:pos="567"/>
              </w:tabs>
              <w:spacing w:lineRule="atLeast" w:line="340"/>
              <w:ind w:left="28" w:right="284" w:hanging="0"/>
              <w:jc w:val="right"/>
              <w:rPr>
                <w:spacing w:val="8"/>
                <w:sz w:val="22"/>
              </w:rPr>
            </w:pPr>
            <w:r>
              <w:rPr>
                <w:spacing w:val="8"/>
                <w:sz w:val="22"/>
              </w:rPr>
              <w:t>0</w:t>
            </w:r>
          </w:p>
        </w:tc>
      </w:tr>
      <w:tr>
        <w:trPr/>
        <w:tc>
          <w:tcPr>
            <w:tcW w:w="1223" w:type="dxa"/>
            <w:tcBorders/>
          </w:tcPr>
          <w:p>
            <w:pPr>
              <w:pStyle w:val="F21"/>
              <w:tabs>
                <w:tab w:val="clear" w:pos="567"/>
              </w:tabs>
              <w:spacing w:lineRule="atLeast" w:line="340"/>
              <w:ind w:left="312" w:right="28" w:hanging="284"/>
              <w:rPr>
                <w:spacing w:val="8"/>
                <w:sz w:val="22"/>
              </w:rPr>
            </w:pPr>
            <w:r>
              <w:rPr>
                <w:spacing w:val="8"/>
                <w:sz w:val="22"/>
              </w:rPr>
              <w:t>21.</w:t>
            </w:r>
            <w:r>
              <w:rPr>
                <w:spacing w:val="8"/>
                <w:sz w:val="22"/>
              </w:rPr>
              <w:t>空調製冷設備技工</w:t>
            </w:r>
            <w:r>
              <w:rPr>
                <w:spacing w:val="8"/>
                <w:sz w:val="22"/>
              </w:rPr>
              <w:t>(</w:t>
            </w:r>
            <w:r>
              <w:rPr>
                <w:spacing w:val="8"/>
                <w:sz w:val="22"/>
              </w:rPr>
              <w:t>水系統</w:t>
            </w:r>
            <w:r>
              <w:rPr>
                <w:spacing w:val="8"/>
                <w:sz w:val="22"/>
              </w:rPr>
              <w:t>)</w:t>
            </w:r>
          </w:p>
        </w:tc>
        <w:tc>
          <w:tcPr>
            <w:tcW w:w="811" w:type="dxa"/>
            <w:tcBorders/>
          </w:tcPr>
          <w:p>
            <w:pPr>
              <w:pStyle w:val="F21"/>
              <w:tabs>
                <w:tab w:val="clear" w:pos="567"/>
              </w:tabs>
              <w:spacing w:lineRule="atLeast" w:line="340"/>
              <w:ind w:left="28" w:right="227" w:hanging="0"/>
              <w:jc w:val="right"/>
              <w:rPr>
                <w:spacing w:val="8"/>
                <w:sz w:val="22"/>
              </w:rPr>
            </w:pPr>
            <w:r>
              <w:rPr>
                <w:spacing w:val="8"/>
                <w:sz w:val="22"/>
              </w:rPr>
              <w:t>0</w:t>
            </w:r>
          </w:p>
        </w:tc>
        <w:tc>
          <w:tcPr>
            <w:tcW w:w="784" w:type="dxa"/>
            <w:tcBorders/>
          </w:tcPr>
          <w:p>
            <w:pPr>
              <w:pStyle w:val="F21"/>
              <w:tabs>
                <w:tab w:val="clear" w:pos="567"/>
              </w:tabs>
              <w:spacing w:lineRule="atLeast" w:line="340"/>
              <w:ind w:left="28" w:right="227" w:hanging="0"/>
              <w:jc w:val="right"/>
              <w:rPr>
                <w:spacing w:val="8"/>
                <w:sz w:val="22"/>
              </w:rPr>
            </w:pPr>
            <w:r>
              <w:rPr>
                <w:spacing w:val="8"/>
                <w:sz w:val="22"/>
              </w:rPr>
              <w:t>0</w:t>
            </w:r>
          </w:p>
        </w:tc>
        <w:tc>
          <w:tcPr>
            <w:tcW w:w="841" w:type="dxa"/>
            <w:tcBorders/>
          </w:tcPr>
          <w:p>
            <w:pPr>
              <w:pStyle w:val="F21"/>
              <w:tabs>
                <w:tab w:val="clear" w:pos="567"/>
              </w:tabs>
              <w:spacing w:lineRule="atLeast" w:line="340"/>
              <w:ind w:left="28" w:right="280" w:hanging="0"/>
              <w:jc w:val="right"/>
              <w:rPr>
                <w:spacing w:val="8"/>
                <w:sz w:val="22"/>
              </w:rPr>
            </w:pPr>
            <w:r>
              <w:rPr>
                <w:spacing w:val="8"/>
                <w:sz w:val="22"/>
              </w:rPr>
              <w:t>0</w:t>
            </w:r>
          </w:p>
        </w:tc>
        <w:tc>
          <w:tcPr>
            <w:tcW w:w="798" w:type="dxa"/>
            <w:tcBorders/>
          </w:tcPr>
          <w:p>
            <w:pPr>
              <w:pStyle w:val="F21"/>
              <w:tabs>
                <w:tab w:val="clear" w:pos="567"/>
              </w:tabs>
              <w:spacing w:lineRule="atLeast" w:line="340"/>
              <w:ind w:left="28" w:right="280" w:hanging="0"/>
              <w:jc w:val="right"/>
              <w:rPr>
                <w:spacing w:val="8"/>
                <w:sz w:val="22"/>
              </w:rPr>
            </w:pPr>
            <w:r>
              <w:rPr>
                <w:spacing w:val="8"/>
                <w:sz w:val="22"/>
              </w:rPr>
              <w:t>0</w:t>
            </w:r>
          </w:p>
        </w:tc>
        <w:tc>
          <w:tcPr>
            <w:tcW w:w="840" w:type="dxa"/>
            <w:tcBorders/>
          </w:tcPr>
          <w:p>
            <w:pPr>
              <w:pStyle w:val="F21"/>
              <w:tabs>
                <w:tab w:val="clear" w:pos="567"/>
              </w:tabs>
              <w:spacing w:lineRule="atLeast" w:line="340"/>
              <w:ind w:left="28" w:right="280" w:hanging="0"/>
              <w:jc w:val="right"/>
              <w:rPr>
                <w:spacing w:val="8"/>
                <w:sz w:val="22"/>
              </w:rPr>
            </w:pPr>
            <w:r>
              <w:rPr>
                <w:spacing w:val="8"/>
                <w:sz w:val="22"/>
              </w:rPr>
              <w:t>175</w:t>
            </w:r>
          </w:p>
        </w:tc>
        <w:tc>
          <w:tcPr>
            <w:tcW w:w="797" w:type="dxa"/>
            <w:tcBorders/>
          </w:tcPr>
          <w:p>
            <w:pPr>
              <w:pStyle w:val="F21"/>
              <w:tabs>
                <w:tab w:val="clear" w:pos="567"/>
              </w:tabs>
              <w:spacing w:lineRule="atLeast" w:line="340"/>
              <w:ind w:left="28" w:right="280" w:hanging="0"/>
              <w:jc w:val="right"/>
              <w:rPr>
                <w:spacing w:val="8"/>
                <w:sz w:val="22"/>
              </w:rPr>
            </w:pPr>
            <w:r>
              <w:rPr>
                <w:spacing w:val="8"/>
                <w:sz w:val="22"/>
              </w:rPr>
              <w:t>135</w:t>
            </w:r>
          </w:p>
        </w:tc>
        <w:tc>
          <w:tcPr>
            <w:tcW w:w="784" w:type="dxa"/>
            <w:tcBorders/>
          </w:tcPr>
          <w:p>
            <w:pPr>
              <w:pStyle w:val="F21"/>
              <w:tabs>
                <w:tab w:val="clear" w:pos="567"/>
              </w:tabs>
              <w:spacing w:lineRule="atLeast" w:line="340"/>
              <w:ind w:left="28" w:right="420" w:hanging="0"/>
              <w:jc w:val="right"/>
              <w:rPr>
                <w:spacing w:val="8"/>
                <w:sz w:val="22"/>
              </w:rPr>
            </w:pPr>
            <w:r>
              <w:rPr>
                <w:spacing w:val="8"/>
                <w:sz w:val="22"/>
              </w:rPr>
              <w:t>0</w:t>
            </w:r>
          </w:p>
        </w:tc>
        <w:tc>
          <w:tcPr>
            <w:tcW w:w="784" w:type="dxa"/>
            <w:tcBorders/>
          </w:tcPr>
          <w:p>
            <w:pPr>
              <w:pStyle w:val="F21"/>
              <w:tabs>
                <w:tab w:val="clear" w:pos="567"/>
              </w:tabs>
              <w:spacing w:lineRule="atLeast" w:line="340"/>
              <w:ind w:left="28" w:right="420" w:hanging="0"/>
              <w:jc w:val="right"/>
              <w:rPr>
                <w:spacing w:val="8"/>
                <w:sz w:val="22"/>
              </w:rPr>
            </w:pPr>
            <w:r>
              <w:rPr>
                <w:spacing w:val="8"/>
                <w:sz w:val="22"/>
              </w:rPr>
              <w:t>0</w:t>
            </w:r>
          </w:p>
        </w:tc>
        <w:tc>
          <w:tcPr>
            <w:tcW w:w="784" w:type="dxa"/>
            <w:tcBorders/>
          </w:tcPr>
          <w:p>
            <w:pPr>
              <w:pStyle w:val="F21"/>
              <w:tabs>
                <w:tab w:val="clear" w:pos="567"/>
              </w:tabs>
              <w:spacing w:lineRule="atLeast" w:line="340"/>
              <w:ind w:left="28" w:right="227" w:hanging="0"/>
              <w:jc w:val="right"/>
              <w:rPr>
                <w:spacing w:val="8"/>
                <w:sz w:val="22"/>
              </w:rPr>
            </w:pPr>
            <w:r>
              <w:rPr>
                <w:spacing w:val="8"/>
                <w:sz w:val="22"/>
              </w:rPr>
              <w:t>0</w:t>
            </w:r>
          </w:p>
        </w:tc>
        <w:tc>
          <w:tcPr>
            <w:tcW w:w="776" w:type="dxa"/>
            <w:tcBorders/>
          </w:tcPr>
          <w:p>
            <w:pPr>
              <w:pStyle w:val="F21"/>
              <w:tabs>
                <w:tab w:val="clear" w:pos="567"/>
              </w:tabs>
              <w:spacing w:lineRule="atLeast" w:line="340"/>
              <w:ind w:left="28" w:right="284" w:hanging="0"/>
              <w:jc w:val="right"/>
              <w:rPr>
                <w:spacing w:val="8"/>
                <w:sz w:val="22"/>
              </w:rPr>
            </w:pPr>
            <w:r>
              <w:rPr>
                <w:spacing w:val="8"/>
                <w:sz w:val="22"/>
              </w:rPr>
              <w:t>0</w:t>
            </w:r>
          </w:p>
        </w:tc>
      </w:tr>
      <w:tr>
        <w:trPr/>
        <w:tc>
          <w:tcPr>
            <w:tcW w:w="1223" w:type="dxa"/>
            <w:tcBorders/>
          </w:tcPr>
          <w:p>
            <w:pPr>
              <w:pStyle w:val="F21"/>
              <w:tabs>
                <w:tab w:val="clear" w:pos="567"/>
              </w:tabs>
              <w:spacing w:lineRule="atLeast" w:line="340"/>
              <w:ind w:left="312" w:right="28" w:hanging="284"/>
              <w:rPr>
                <w:spacing w:val="8"/>
                <w:sz w:val="22"/>
              </w:rPr>
            </w:pPr>
            <w:r>
              <w:rPr>
                <w:spacing w:val="8"/>
                <w:sz w:val="22"/>
              </w:rPr>
              <w:t>22.</w:t>
            </w:r>
            <w:r>
              <w:rPr>
                <w:spacing w:val="8"/>
                <w:sz w:val="22"/>
              </w:rPr>
              <w:t>隧道工</w:t>
            </w:r>
          </w:p>
        </w:tc>
        <w:tc>
          <w:tcPr>
            <w:tcW w:w="811" w:type="dxa"/>
            <w:tcBorders/>
          </w:tcPr>
          <w:p>
            <w:pPr>
              <w:pStyle w:val="F21"/>
              <w:tabs>
                <w:tab w:val="clear" w:pos="567"/>
              </w:tabs>
              <w:spacing w:lineRule="atLeast" w:line="340"/>
              <w:ind w:left="28" w:right="227" w:hanging="0"/>
              <w:jc w:val="right"/>
              <w:rPr>
                <w:spacing w:val="8"/>
                <w:sz w:val="22"/>
              </w:rPr>
            </w:pPr>
            <w:r>
              <w:rPr>
                <w:spacing w:val="8"/>
                <w:sz w:val="22"/>
              </w:rPr>
              <w:t>94</w:t>
            </w:r>
          </w:p>
        </w:tc>
        <w:tc>
          <w:tcPr>
            <w:tcW w:w="784" w:type="dxa"/>
            <w:tcBorders/>
          </w:tcPr>
          <w:p>
            <w:pPr>
              <w:pStyle w:val="F21"/>
              <w:tabs>
                <w:tab w:val="clear" w:pos="567"/>
              </w:tabs>
              <w:spacing w:lineRule="atLeast" w:line="340"/>
              <w:ind w:left="28" w:right="227" w:hanging="0"/>
              <w:jc w:val="right"/>
              <w:rPr>
                <w:spacing w:val="8"/>
                <w:sz w:val="22"/>
              </w:rPr>
            </w:pPr>
            <w:r>
              <w:rPr>
                <w:spacing w:val="8"/>
                <w:sz w:val="22"/>
              </w:rPr>
              <w:t>86</w:t>
            </w:r>
          </w:p>
        </w:tc>
        <w:tc>
          <w:tcPr>
            <w:tcW w:w="841" w:type="dxa"/>
            <w:tcBorders/>
          </w:tcPr>
          <w:p>
            <w:pPr>
              <w:pStyle w:val="F21"/>
              <w:tabs>
                <w:tab w:val="clear" w:pos="567"/>
              </w:tabs>
              <w:spacing w:lineRule="atLeast" w:line="340"/>
              <w:ind w:left="28" w:right="280" w:hanging="0"/>
              <w:jc w:val="right"/>
              <w:rPr>
                <w:spacing w:val="8"/>
                <w:sz w:val="22"/>
              </w:rPr>
            </w:pPr>
            <w:r>
              <w:rPr>
                <w:spacing w:val="8"/>
                <w:sz w:val="22"/>
              </w:rPr>
              <w:t>40</w:t>
            </w:r>
          </w:p>
        </w:tc>
        <w:tc>
          <w:tcPr>
            <w:tcW w:w="798" w:type="dxa"/>
            <w:tcBorders/>
          </w:tcPr>
          <w:p>
            <w:pPr>
              <w:pStyle w:val="F21"/>
              <w:tabs>
                <w:tab w:val="clear" w:pos="567"/>
              </w:tabs>
              <w:spacing w:lineRule="atLeast" w:line="340"/>
              <w:ind w:left="28" w:right="280" w:hanging="0"/>
              <w:jc w:val="right"/>
              <w:rPr>
                <w:spacing w:val="8"/>
                <w:sz w:val="22"/>
              </w:rPr>
            </w:pPr>
            <w:r>
              <w:rPr>
                <w:spacing w:val="8"/>
                <w:sz w:val="22"/>
              </w:rPr>
              <w:t>0</w:t>
            </w:r>
          </w:p>
        </w:tc>
        <w:tc>
          <w:tcPr>
            <w:tcW w:w="840" w:type="dxa"/>
            <w:tcBorders/>
          </w:tcPr>
          <w:p>
            <w:pPr>
              <w:pStyle w:val="F21"/>
              <w:tabs>
                <w:tab w:val="clear" w:pos="567"/>
              </w:tabs>
              <w:spacing w:lineRule="atLeast" w:line="340"/>
              <w:ind w:left="28" w:right="280" w:hanging="0"/>
              <w:jc w:val="right"/>
              <w:rPr>
                <w:spacing w:val="8"/>
                <w:sz w:val="22"/>
              </w:rPr>
            </w:pPr>
            <w:r>
              <w:rPr>
                <w:spacing w:val="8"/>
                <w:sz w:val="22"/>
              </w:rPr>
              <w:t>0</w:t>
            </w:r>
          </w:p>
        </w:tc>
        <w:tc>
          <w:tcPr>
            <w:tcW w:w="797" w:type="dxa"/>
            <w:tcBorders/>
          </w:tcPr>
          <w:p>
            <w:pPr>
              <w:pStyle w:val="F21"/>
              <w:tabs>
                <w:tab w:val="clear" w:pos="567"/>
              </w:tabs>
              <w:spacing w:lineRule="atLeast" w:line="340"/>
              <w:ind w:left="28" w:right="280" w:hanging="0"/>
              <w:jc w:val="right"/>
              <w:rPr>
                <w:spacing w:val="8"/>
                <w:sz w:val="22"/>
              </w:rPr>
            </w:pPr>
            <w:r>
              <w:rPr>
                <w:spacing w:val="8"/>
                <w:sz w:val="22"/>
              </w:rPr>
              <w:t>40</w:t>
            </w:r>
          </w:p>
        </w:tc>
        <w:tc>
          <w:tcPr>
            <w:tcW w:w="784" w:type="dxa"/>
            <w:tcBorders/>
          </w:tcPr>
          <w:p>
            <w:pPr>
              <w:pStyle w:val="F21"/>
              <w:tabs>
                <w:tab w:val="clear" w:pos="567"/>
              </w:tabs>
              <w:spacing w:lineRule="atLeast" w:line="340"/>
              <w:ind w:left="28" w:right="420" w:hanging="0"/>
              <w:jc w:val="right"/>
              <w:rPr>
                <w:spacing w:val="8"/>
                <w:sz w:val="22"/>
              </w:rPr>
            </w:pPr>
            <w:r>
              <w:rPr>
                <w:spacing w:val="8"/>
                <w:sz w:val="22"/>
              </w:rPr>
              <w:t>0</w:t>
            </w:r>
          </w:p>
        </w:tc>
        <w:tc>
          <w:tcPr>
            <w:tcW w:w="784" w:type="dxa"/>
            <w:tcBorders/>
          </w:tcPr>
          <w:p>
            <w:pPr>
              <w:pStyle w:val="F21"/>
              <w:tabs>
                <w:tab w:val="clear" w:pos="567"/>
              </w:tabs>
              <w:spacing w:lineRule="atLeast" w:line="340"/>
              <w:ind w:left="28" w:right="420" w:hanging="0"/>
              <w:jc w:val="right"/>
              <w:rPr>
                <w:spacing w:val="8"/>
                <w:sz w:val="22"/>
              </w:rPr>
            </w:pPr>
            <w:r>
              <w:rPr>
                <w:spacing w:val="8"/>
                <w:sz w:val="22"/>
              </w:rPr>
              <w:t>0</w:t>
            </w:r>
          </w:p>
        </w:tc>
        <w:tc>
          <w:tcPr>
            <w:tcW w:w="784" w:type="dxa"/>
            <w:tcBorders/>
          </w:tcPr>
          <w:p>
            <w:pPr>
              <w:pStyle w:val="F21"/>
              <w:tabs>
                <w:tab w:val="clear" w:pos="567"/>
              </w:tabs>
              <w:spacing w:lineRule="atLeast" w:line="340"/>
              <w:ind w:left="28" w:right="227" w:hanging="0"/>
              <w:jc w:val="right"/>
              <w:rPr>
                <w:spacing w:val="8"/>
                <w:sz w:val="22"/>
              </w:rPr>
            </w:pPr>
            <w:r>
              <w:rPr>
                <w:spacing w:val="8"/>
                <w:sz w:val="22"/>
              </w:rPr>
              <w:t>0</w:t>
            </w:r>
          </w:p>
        </w:tc>
        <w:tc>
          <w:tcPr>
            <w:tcW w:w="776" w:type="dxa"/>
            <w:tcBorders/>
          </w:tcPr>
          <w:p>
            <w:pPr>
              <w:pStyle w:val="F21"/>
              <w:tabs>
                <w:tab w:val="clear" w:pos="567"/>
              </w:tabs>
              <w:spacing w:lineRule="atLeast" w:line="340"/>
              <w:ind w:left="28" w:right="284" w:hanging="0"/>
              <w:jc w:val="right"/>
              <w:rPr>
                <w:spacing w:val="8"/>
                <w:sz w:val="22"/>
              </w:rPr>
            </w:pPr>
            <w:r>
              <w:rPr>
                <w:spacing w:val="8"/>
                <w:sz w:val="22"/>
              </w:rPr>
              <w:t>0</w:t>
            </w:r>
          </w:p>
        </w:tc>
      </w:tr>
      <w:tr>
        <w:trPr/>
        <w:tc>
          <w:tcPr>
            <w:tcW w:w="1223" w:type="dxa"/>
            <w:tcBorders/>
          </w:tcPr>
          <w:p>
            <w:pPr>
              <w:pStyle w:val="F21"/>
              <w:tabs>
                <w:tab w:val="clear" w:pos="567"/>
              </w:tabs>
              <w:spacing w:lineRule="atLeast" w:line="340"/>
              <w:ind w:left="312" w:right="28" w:hanging="284"/>
              <w:rPr>
                <w:spacing w:val="8"/>
                <w:sz w:val="22"/>
              </w:rPr>
            </w:pPr>
            <w:r>
              <w:rPr>
                <w:spacing w:val="8"/>
                <w:sz w:val="22"/>
              </w:rPr>
              <w:t>23.</w:t>
            </w:r>
            <w:r>
              <w:rPr>
                <w:spacing w:val="8"/>
                <w:sz w:val="22"/>
              </w:rPr>
              <w:t>壓氣作業工</w:t>
            </w:r>
          </w:p>
        </w:tc>
        <w:tc>
          <w:tcPr>
            <w:tcW w:w="811" w:type="dxa"/>
            <w:tcBorders/>
          </w:tcPr>
          <w:p>
            <w:pPr>
              <w:pStyle w:val="F21"/>
              <w:tabs>
                <w:tab w:val="clear" w:pos="567"/>
              </w:tabs>
              <w:spacing w:lineRule="atLeast" w:line="340"/>
              <w:ind w:left="28" w:right="227" w:hanging="0"/>
              <w:jc w:val="right"/>
              <w:rPr>
                <w:spacing w:val="8"/>
                <w:sz w:val="22"/>
              </w:rPr>
            </w:pPr>
            <w:r>
              <w:rPr>
                <w:spacing w:val="8"/>
                <w:sz w:val="22"/>
              </w:rPr>
              <w:t>10</w:t>
            </w:r>
          </w:p>
        </w:tc>
        <w:tc>
          <w:tcPr>
            <w:tcW w:w="784" w:type="dxa"/>
            <w:tcBorders/>
          </w:tcPr>
          <w:p>
            <w:pPr>
              <w:pStyle w:val="F21"/>
              <w:tabs>
                <w:tab w:val="clear" w:pos="567"/>
              </w:tabs>
              <w:spacing w:lineRule="atLeast" w:line="340"/>
              <w:ind w:left="28" w:right="227" w:hanging="0"/>
              <w:jc w:val="right"/>
              <w:rPr>
                <w:spacing w:val="8"/>
                <w:sz w:val="22"/>
              </w:rPr>
            </w:pPr>
            <w:r>
              <w:rPr>
                <w:spacing w:val="8"/>
                <w:sz w:val="22"/>
              </w:rPr>
              <w:t>10</w:t>
            </w:r>
          </w:p>
        </w:tc>
        <w:tc>
          <w:tcPr>
            <w:tcW w:w="841" w:type="dxa"/>
            <w:tcBorders/>
          </w:tcPr>
          <w:p>
            <w:pPr>
              <w:pStyle w:val="F21"/>
              <w:tabs>
                <w:tab w:val="clear" w:pos="567"/>
              </w:tabs>
              <w:spacing w:lineRule="atLeast" w:line="340"/>
              <w:ind w:left="28" w:right="280" w:hanging="0"/>
              <w:jc w:val="right"/>
              <w:rPr>
                <w:spacing w:val="8"/>
                <w:sz w:val="22"/>
              </w:rPr>
            </w:pPr>
            <w:r>
              <w:rPr>
                <w:spacing w:val="8"/>
                <w:sz w:val="22"/>
              </w:rPr>
              <w:t>0</w:t>
            </w:r>
          </w:p>
        </w:tc>
        <w:tc>
          <w:tcPr>
            <w:tcW w:w="798" w:type="dxa"/>
            <w:tcBorders/>
          </w:tcPr>
          <w:p>
            <w:pPr>
              <w:pStyle w:val="F21"/>
              <w:tabs>
                <w:tab w:val="clear" w:pos="567"/>
              </w:tabs>
              <w:spacing w:lineRule="atLeast" w:line="340"/>
              <w:ind w:left="28" w:right="280" w:hanging="0"/>
              <w:jc w:val="right"/>
              <w:rPr>
                <w:spacing w:val="8"/>
                <w:sz w:val="22"/>
              </w:rPr>
            </w:pPr>
            <w:r>
              <w:rPr>
                <w:spacing w:val="8"/>
                <w:sz w:val="22"/>
              </w:rPr>
              <w:t>0</w:t>
            </w:r>
          </w:p>
        </w:tc>
        <w:tc>
          <w:tcPr>
            <w:tcW w:w="840" w:type="dxa"/>
            <w:tcBorders/>
          </w:tcPr>
          <w:p>
            <w:pPr>
              <w:pStyle w:val="F21"/>
              <w:tabs>
                <w:tab w:val="clear" w:pos="567"/>
              </w:tabs>
              <w:spacing w:lineRule="atLeast" w:line="340"/>
              <w:ind w:left="28" w:right="280" w:hanging="0"/>
              <w:jc w:val="right"/>
              <w:rPr>
                <w:spacing w:val="8"/>
                <w:sz w:val="22"/>
              </w:rPr>
            </w:pPr>
            <w:r>
              <w:rPr>
                <w:spacing w:val="8"/>
                <w:sz w:val="22"/>
              </w:rPr>
              <w:t>0</w:t>
            </w:r>
          </w:p>
        </w:tc>
        <w:tc>
          <w:tcPr>
            <w:tcW w:w="797" w:type="dxa"/>
            <w:tcBorders/>
          </w:tcPr>
          <w:p>
            <w:pPr>
              <w:pStyle w:val="F21"/>
              <w:tabs>
                <w:tab w:val="clear" w:pos="567"/>
              </w:tabs>
              <w:spacing w:lineRule="atLeast" w:line="340"/>
              <w:ind w:left="28" w:right="280" w:hanging="0"/>
              <w:jc w:val="right"/>
              <w:rPr>
                <w:spacing w:val="8"/>
                <w:sz w:val="22"/>
              </w:rPr>
            </w:pPr>
            <w:r>
              <w:rPr>
                <w:spacing w:val="8"/>
                <w:sz w:val="22"/>
              </w:rPr>
              <w:t>0</w:t>
            </w:r>
          </w:p>
        </w:tc>
        <w:tc>
          <w:tcPr>
            <w:tcW w:w="784" w:type="dxa"/>
            <w:tcBorders/>
          </w:tcPr>
          <w:p>
            <w:pPr>
              <w:pStyle w:val="F21"/>
              <w:tabs>
                <w:tab w:val="clear" w:pos="567"/>
              </w:tabs>
              <w:spacing w:lineRule="atLeast" w:line="340"/>
              <w:ind w:left="28" w:right="420" w:hanging="0"/>
              <w:jc w:val="right"/>
              <w:rPr>
                <w:spacing w:val="8"/>
                <w:sz w:val="22"/>
              </w:rPr>
            </w:pPr>
            <w:r>
              <w:rPr>
                <w:spacing w:val="8"/>
                <w:sz w:val="22"/>
              </w:rPr>
              <w:t>0</w:t>
            </w:r>
          </w:p>
        </w:tc>
        <w:tc>
          <w:tcPr>
            <w:tcW w:w="784" w:type="dxa"/>
            <w:tcBorders/>
          </w:tcPr>
          <w:p>
            <w:pPr>
              <w:pStyle w:val="F21"/>
              <w:tabs>
                <w:tab w:val="clear" w:pos="567"/>
              </w:tabs>
              <w:spacing w:lineRule="atLeast" w:line="340"/>
              <w:ind w:left="28" w:right="420" w:hanging="0"/>
              <w:jc w:val="right"/>
              <w:rPr>
                <w:spacing w:val="8"/>
                <w:sz w:val="22"/>
              </w:rPr>
            </w:pPr>
            <w:r>
              <w:rPr>
                <w:spacing w:val="8"/>
                <w:sz w:val="22"/>
              </w:rPr>
              <w:t>0</w:t>
            </w:r>
          </w:p>
        </w:tc>
        <w:tc>
          <w:tcPr>
            <w:tcW w:w="784" w:type="dxa"/>
            <w:tcBorders/>
          </w:tcPr>
          <w:p>
            <w:pPr>
              <w:pStyle w:val="F21"/>
              <w:tabs>
                <w:tab w:val="clear" w:pos="567"/>
              </w:tabs>
              <w:spacing w:lineRule="atLeast" w:line="340"/>
              <w:ind w:left="28" w:right="227" w:hanging="0"/>
              <w:jc w:val="right"/>
              <w:rPr>
                <w:spacing w:val="8"/>
                <w:sz w:val="22"/>
              </w:rPr>
            </w:pPr>
            <w:r>
              <w:rPr>
                <w:spacing w:val="8"/>
                <w:sz w:val="22"/>
              </w:rPr>
              <w:t>0</w:t>
            </w:r>
          </w:p>
        </w:tc>
        <w:tc>
          <w:tcPr>
            <w:tcW w:w="776" w:type="dxa"/>
            <w:tcBorders/>
          </w:tcPr>
          <w:p>
            <w:pPr>
              <w:pStyle w:val="F21"/>
              <w:tabs>
                <w:tab w:val="clear" w:pos="567"/>
              </w:tabs>
              <w:spacing w:lineRule="atLeast" w:line="340"/>
              <w:ind w:left="28" w:right="284" w:hanging="0"/>
              <w:jc w:val="right"/>
              <w:rPr>
                <w:spacing w:val="8"/>
                <w:sz w:val="22"/>
              </w:rPr>
            </w:pPr>
            <w:r>
              <w:rPr>
                <w:spacing w:val="8"/>
                <w:sz w:val="22"/>
              </w:rPr>
              <w:t>0</w:t>
            </w:r>
          </w:p>
        </w:tc>
      </w:tr>
      <w:tr>
        <w:trPr/>
        <w:tc>
          <w:tcPr>
            <w:tcW w:w="1223" w:type="dxa"/>
            <w:tcBorders/>
          </w:tcPr>
          <w:p>
            <w:pPr>
              <w:pStyle w:val="F21"/>
              <w:tabs>
                <w:tab w:val="clear" w:pos="567"/>
              </w:tabs>
              <w:spacing w:lineRule="atLeast" w:line="340"/>
              <w:ind w:left="312" w:right="28" w:hanging="284"/>
              <w:rPr>
                <w:spacing w:val="8"/>
                <w:sz w:val="22"/>
              </w:rPr>
            </w:pPr>
            <w:r>
              <w:rPr>
                <w:spacing w:val="8"/>
                <w:sz w:val="22"/>
              </w:rPr>
              <w:t>24.</w:t>
            </w:r>
            <w:r>
              <w:rPr>
                <w:spacing w:val="8"/>
                <w:sz w:val="22"/>
              </w:rPr>
              <w:t>機械設備操作工</w:t>
            </w:r>
            <w:r>
              <w:rPr>
                <w:spacing w:val="8"/>
                <w:sz w:val="22"/>
              </w:rPr>
              <w:t>(</w:t>
            </w:r>
            <w:r>
              <w:rPr>
                <w:spacing w:val="8"/>
                <w:sz w:val="22"/>
              </w:rPr>
              <w:t>隧 道</w:t>
            </w:r>
            <w:r>
              <w:rPr>
                <w:spacing w:val="8"/>
                <w:sz w:val="22"/>
              </w:rPr>
              <w:t>)</w:t>
            </w:r>
            <w:r>
              <w:rPr>
                <w:rFonts w:eastAsia="Symbol" w:cs="Symbol" w:ascii="Symbol" w:hAnsi="Symbol"/>
                <w:sz w:val="22"/>
              </w:rPr>
              <w:t></w:t>
            </w:r>
            <w:r>
              <w:rPr>
                <w:spacing w:val="8"/>
                <w:sz w:val="22"/>
              </w:rPr>
              <w:t>鑽挖機械‍</w:t>
            </w:r>
            <w:r>
              <w:rPr>
                <w:rFonts w:ascii="Symbol" w:hAnsi="Symbol" w:cs="Symbol" w:eastAsia="Symbol"/>
                <w:sz w:val="22"/>
              </w:rPr>
              <w:t></w:t>
            </w:r>
            <w:r>
              <w:rPr>
                <w:spacing w:val="8"/>
                <w:sz w:val="22"/>
              </w:rPr>
              <w:t>盾構司機</w:t>
            </w:r>
          </w:p>
        </w:tc>
        <w:tc>
          <w:tcPr>
            <w:tcW w:w="811" w:type="dxa"/>
            <w:tcBorders/>
          </w:tcPr>
          <w:p>
            <w:pPr>
              <w:pStyle w:val="F21"/>
              <w:tabs>
                <w:tab w:val="clear" w:pos="567"/>
              </w:tabs>
              <w:spacing w:lineRule="atLeast" w:line="340"/>
              <w:ind w:left="28" w:right="227" w:hanging="0"/>
              <w:jc w:val="right"/>
              <w:rPr>
                <w:spacing w:val="8"/>
                <w:sz w:val="22"/>
              </w:rPr>
            </w:pPr>
            <w:r>
              <w:rPr>
                <w:spacing w:val="8"/>
                <w:sz w:val="22"/>
              </w:rPr>
              <w:t>22</w:t>
            </w:r>
          </w:p>
        </w:tc>
        <w:tc>
          <w:tcPr>
            <w:tcW w:w="784" w:type="dxa"/>
            <w:tcBorders/>
          </w:tcPr>
          <w:p>
            <w:pPr>
              <w:pStyle w:val="F21"/>
              <w:tabs>
                <w:tab w:val="clear" w:pos="567"/>
              </w:tabs>
              <w:spacing w:lineRule="atLeast" w:line="340"/>
              <w:ind w:left="28" w:right="227" w:hanging="0"/>
              <w:jc w:val="right"/>
              <w:rPr>
                <w:spacing w:val="8"/>
                <w:sz w:val="22"/>
              </w:rPr>
            </w:pPr>
            <w:r>
              <w:rPr>
                <w:spacing w:val="8"/>
                <w:sz w:val="22"/>
              </w:rPr>
              <w:t>22</w:t>
            </w:r>
          </w:p>
        </w:tc>
        <w:tc>
          <w:tcPr>
            <w:tcW w:w="841" w:type="dxa"/>
            <w:tcBorders/>
          </w:tcPr>
          <w:p>
            <w:pPr>
              <w:pStyle w:val="F21"/>
              <w:tabs>
                <w:tab w:val="clear" w:pos="567"/>
              </w:tabs>
              <w:spacing w:lineRule="atLeast" w:line="340"/>
              <w:ind w:left="28" w:right="280" w:hanging="0"/>
              <w:jc w:val="right"/>
              <w:rPr>
                <w:spacing w:val="8"/>
                <w:sz w:val="22"/>
              </w:rPr>
            </w:pPr>
            <w:r>
              <w:rPr>
                <w:spacing w:val="8"/>
                <w:sz w:val="22"/>
              </w:rPr>
              <w:t>0</w:t>
            </w:r>
          </w:p>
        </w:tc>
        <w:tc>
          <w:tcPr>
            <w:tcW w:w="798" w:type="dxa"/>
            <w:tcBorders/>
          </w:tcPr>
          <w:p>
            <w:pPr>
              <w:pStyle w:val="F21"/>
              <w:tabs>
                <w:tab w:val="clear" w:pos="567"/>
              </w:tabs>
              <w:spacing w:lineRule="atLeast" w:line="340"/>
              <w:ind w:left="28" w:right="280" w:hanging="0"/>
              <w:jc w:val="right"/>
              <w:rPr>
                <w:spacing w:val="8"/>
                <w:sz w:val="22"/>
              </w:rPr>
            </w:pPr>
            <w:r>
              <w:rPr>
                <w:spacing w:val="8"/>
                <w:sz w:val="22"/>
              </w:rPr>
              <w:t>0</w:t>
            </w:r>
          </w:p>
        </w:tc>
        <w:tc>
          <w:tcPr>
            <w:tcW w:w="840" w:type="dxa"/>
            <w:tcBorders/>
          </w:tcPr>
          <w:p>
            <w:pPr>
              <w:pStyle w:val="F21"/>
              <w:tabs>
                <w:tab w:val="clear" w:pos="567"/>
              </w:tabs>
              <w:spacing w:lineRule="atLeast" w:line="340"/>
              <w:ind w:left="28" w:right="280" w:hanging="0"/>
              <w:jc w:val="right"/>
              <w:rPr>
                <w:spacing w:val="8"/>
                <w:sz w:val="22"/>
              </w:rPr>
            </w:pPr>
            <w:r>
              <w:rPr>
                <w:spacing w:val="8"/>
                <w:sz w:val="22"/>
              </w:rPr>
              <w:t>0</w:t>
            </w:r>
          </w:p>
        </w:tc>
        <w:tc>
          <w:tcPr>
            <w:tcW w:w="797" w:type="dxa"/>
            <w:tcBorders/>
          </w:tcPr>
          <w:p>
            <w:pPr>
              <w:pStyle w:val="F21"/>
              <w:tabs>
                <w:tab w:val="clear" w:pos="567"/>
              </w:tabs>
              <w:spacing w:lineRule="atLeast" w:line="340"/>
              <w:ind w:left="28" w:right="280" w:hanging="0"/>
              <w:jc w:val="right"/>
              <w:rPr>
                <w:spacing w:val="8"/>
                <w:sz w:val="22"/>
              </w:rPr>
            </w:pPr>
            <w:r>
              <w:rPr>
                <w:spacing w:val="8"/>
                <w:sz w:val="22"/>
              </w:rPr>
              <w:t>0</w:t>
            </w:r>
          </w:p>
        </w:tc>
        <w:tc>
          <w:tcPr>
            <w:tcW w:w="784" w:type="dxa"/>
            <w:tcBorders/>
          </w:tcPr>
          <w:p>
            <w:pPr>
              <w:pStyle w:val="F21"/>
              <w:tabs>
                <w:tab w:val="clear" w:pos="567"/>
              </w:tabs>
              <w:spacing w:lineRule="atLeast" w:line="340"/>
              <w:ind w:left="28" w:right="420" w:hanging="0"/>
              <w:jc w:val="right"/>
              <w:rPr>
                <w:spacing w:val="8"/>
                <w:sz w:val="22"/>
              </w:rPr>
            </w:pPr>
            <w:r>
              <w:rPr>
                <w:spacing w:val="8"/>
                <w:sz w:val="22"/>
              </w:rPr>
              <w:t>0</w:t>
            </w:r>
          </w:p>
        </w:tc>
        <w:tc>
          <w:tcPr>
            <w:tcW w:w="784" w:type="dxa"/>
            <w:tcBorders/>
          </w:tcPr>
          <w:p>
            <w:pPr>
              <w:pStyle w:val="F21"/>
              <w:tabs>
                <w:tab w:val="clear" w:pos="567"/>
              </w:tabs>
              <w:spacing w:lineRule="atLeast" w:line="340"/>
              <w:ind w:left="28" w:right="420" w:hanging="0"/>
              <w:jc w:val="right"/>
              <w:rPr>
                <w:spacing w:val="8"/>
                <w:sz w:val="22"/>
              </w:rPr>
            </w:pPr>
            <w:r>
              <w:rPr>
                <w:spacing w:val="8"/>
                <w:sz w:val="22"/>
              </w:rPr>
              <w:t>0</w:t>
            </w:r>
          </w:p>
        </w:tc>
        <w:tc>
          <w:tcPr>
            <w:tcW w:w="784" w:type="dxa"/>
            <w:tcBorders/>
          </w:tcPr>
          <w:p>
            <w:pPr>
              <w:pStyle w:val="F21"/>
              <w:tabs>
                <w:tab w:val="clear" w:pos="567"/>
              </w:tabs>
              <w:spacing w:lineRule="atLeast" w:line="340"/>
              <w:ind w:left="28" w:right="227" w:hanging="0"/>
              <w:jc w:val="right"/>
              <w:rPr>
                <w:spacing w:val="8"/>
                <w:sz w:val="22"/>
              </w:rPr>
            </w:pPr>
            <w:r>
              <w:rPr>
                <w:spacing w:val="8"/>
                <w:sz w:val="22"/>
              </w:rPr>
              <w:t>0</w:t>
            </w:r>
          </w:p>
        </w:tc>
        <w:tc>
          <w:tcPr>
            <w:tcW w:w="776" w:type="dxa"/>
            <w:tcBorders/>
          </w:tcPr>
          <w:p>
            <w:pPr>
              <w:pStyle w:val="F21"/>
              <w:tabs>
                <w:tab w:val="clear" w:pos="567"/>
              </w:tabs>
              <w:spacing w:lineRule="atLeast" w:line="340"/>
              <w:ind w:left="28" w:right="284" w:hanging="0"/>
              <w:jc w:val="right"/>
              <w:rPr>
                <w:spacing w:val="8"/>
                <w:sz w:val="22"/>
              </w:rPr>
            </w:pPr>
            <w:r>
              <w:rPr>
                <w:spacing w:val="8"/>
                <w:sz w:val="22"/>
              </w:rPr>
              <w:t>0</w:t>
            </w:r>
          </w:p>
        </w:tc>
      </w:tr>
      <w:tr>
        <w:trPr/>
        <w:tc>
          <w:tcPr>
            <w:tcW w:w="1223" w:type="dxa"/>
            <w:tcBorders/>
          </w:tcPr>
          <w:p>
            <w:pPr>
              <w:pStyle w:val="F21"/>
              <w:tabs>
                <w:tab w:val="clear" w:pos="567"/>
              </w:tabs>
              <w:spacing w:lineRule="atLeast" w:line="380"/>
              <w:ind w:left="312" w:right="28" w:hanging="284"/>
              <w:rPr>
                <w:spacing w:val="8"/>
                <w:sz w:val="22"/>
              </w:rPr>
            </w:pPr>
            <w:r>
              <w:rPr>
                <w:spacing w:val="8"/>
                <w:sz w:val="22"/>
              </w:rPr>
              <w:t>25.</w:t>
            </w:r>
            <w:r>
              <w:rPr>
                <w:spacing w:val="8"/>
                <w:sz w:val="22"/>
              </w:rPr>
              <w:t>鋪軌工</w:t>
            </w:r>
          </w:p>
        </w:tc>
        <w:tc>
          <w:tcPr>
            <w:tcW w:w="811" w:type="dxa"/>
            <w:tcBorders/>
          </w:tcPr>
          <w:p>
            <w:pPr>
              <w:pStyle w:val="F21"/>
              <w:tabs>
                <w:tab w:val="clear" w:pos="567"/>
              </w:tabs>
              <w:spacing w:lineRule="atLeast" w:line="380"/>
              <w:ind w:left="28" w:right="227" w:hanging="0"/>
              <w:jc w:val="right"/>
              <w:rPr>
                <w:spacing w:val="8"/>
                <w:sz w:val="22"/>
              </w:rPr>
            </w:pPr>
            <w:r>
              <w:rPr>
                <w:spacing w:val="8"/>
                <w:sz w:val="22"/>
              </w:rPr>
              <w:t>75</w:t>
            </w:r>
          </w:p>
        </w:tc>
        <w:tc>
          <w:tcPr>
            <w:tcW w:w="784" w:type="dxa"/>
            <w:tcBorders/>
          </w:tcPr>
          <w:p>
            <w:pPr>
              <w:pStyle w:val="F21"/>
              <w:tabs>
                <w:tab w:val="clear" w:pos="567"/>
              </w:tabs>
              <w:spacing w:lineRule="atLeast" w:line="380"/>
              <w:ind w:left="28" w:right="227" w:hanging="0"/>
              <w:jc w:val="right"/>
              <w:rPr>
                <w:spacing w:val="8"/>
                <w:sz w:val="22"/>
              </w:rPr>
            </w:pPr>
            <w:r>
              <w:rPr>
                <w:spacing w:val="8"/>
                <w:sz w:val="22"/>
              </w:rPr>
              <w:t>53</w:t>
            </w:r>
          </w:p>
        </w:tc>
        <w:tc>
          <w:tcPr>
            <w:tcW w:w="841" w:type="dxa"/>
            <w:tcBorders/>
          </w:tcPr>
          <w:p>
            <w:pPr>
              <w:pStyle w:val="F21"/>
              <w:tabs>
                <w:tab w:val="clear" w:pos="567"/>
              </w:tabs>
              <w:spacing w:lineRule="atLeast" w:line="380"/>
              <w:ind w:left="28" w:right="280" w:hanging="0"/>
              <w:jc w:val="right"/>
              <w:rPr>
                <w:spacing w:val="8"/>
                <w:sz w:val="22"/>
              </w:rPr>
            </w:pPr>
            <w:r>
              <w:rPr>
                <w:spacing w:val="8"/>
                <w:sz w:val="22"/>
              </w:rPr>
              <w:t>0</w:t>
            </w:r>
          </w:p>
        </w:tc>
        <w:tc>
          <w:tcPr>
            <w:tcW w:w="798" w:type="dxa"/>
            <w:tcBorders/>
          </w:tcPr>
          <w:p>
            <w:pPr>
              <w:pStyle w:val="F21"/>
              <w:tabs>
                <w:tab w:val="clear" w:pos="567"/>
              </w:tabs>
              <w:spacing w:lineRule="atLeast" w:line="380"/>
              <w:ind w:left="28" w:right="280" w:hanging="0"/>
              <w:jc w:val="right"/>
              <w:rPr>
                <w:spacing w:val="8"/>
                <w:sz w:val="22"/>
              </w:rPr>
            </w:pPr>
            <w:r>
              <w:rPr>
                <w:spacing w:val="8"/>
                <w:sz w:val="22"/>
              </w:rPr>
              <w:t>0</w:t>
            </w:r>
          </w:p>
        </w:tc>
        <w:tc>
          <w:tcPr>
            <w:tcW w:w="840" w:type="dxa"/>
            <w:tcBorders/>
          </w:tcPr>
          <w:p>
            <w:pPr>
              <w:pStyle w:val="F21"/>
              <w:tabs>
                <w:tab w:val="clear" w:pos="567"/>
              </w:tabs>
              <w:spacing w:lineRule="atLeast" w:line="380"/>
              <w:ind w:left="28" w:right="280" w:hanging="0"/>
              <w:jc w:val="right"/>
              <w:rPr>
                <w:spacing w:val="8"/>
                <w:sz w:val="22"/>
              </w:rPr>
            </w:pPr>
            <w:r>
              <w:rPr>
                <w:spacing w:val="8"/>
                <w:sz w:val="22"/>
              </w:rPr>
              <w:t>50</w:t>
            </w:r>
          </w:p>
        </w:tc>
        <w:tc>
          <w:tcPr>
            <w:tcW w:w="797" w:type="dxa"/>
            <w:tcBorders/>
          </w:tcPr>
          <w:p>
            <w:pPr>
              <w:pStyle w:val="F21"/>
              <w:tabs>
                <w:tab w:val="clear" w:pos="567"/>
              </w:tabs>
              <w:spacing w:lineRule="atLeast" w:line="380"/>
              <w:ind w:left="28" w:right="280" w:hanging="0"/>
              <w:jc w:val="right"/>
              <w:rPr>
                <w:spacing w:val="8"/>
                <w:sz w:val="22"/>
              </w:rPr>
            </w:pPr>
            <w:r>
              <w:rPr>
                <w:spacing w:val="8"/>
                <w:sz w:val="22"/>
              </w:rPr>
              <w:t>50</w:t>
            </w:r>
          </w:p>
        </w:tc>
        <w:tc>
          <w:tcPr>
            <w:tcW w:w="784" w:type="dxa"/>
            <w:tcBorders/>
          </w:tcPr>
          <w:p>
            <w:pPr>
              <w:pStyle w:val="F21"/>
              <w:tabs>
                <w:tab w:val="clear" w:pos="567"/>
              </w:tabs>
              <w:spacing w:lineRule="atLeast" w:line="380"/>
              <w:ind w:left="28" w:right="420" w:hanging="0"/>
              <w:jc w:val="right"/>
              <w:rPr>
                <w:spacing w:val="8"/>
                <w:sz w:val="22"/>
              </w:rPr>
            </w:pPr>
            <w:r>
              <w:rPr>
                <w:spacing w:val="8"/>
                <w:sz w:val="22"/>
              </w:rPr>
              <w:t>0</w:t>
            </w:r>
          </w:p>
        </w:tc>
        <w:tc>
          <w:tcPr>
            <w:tcW w:w="784" w:type="dxa"/>
            <w:tcBorders/>
          </w:tcPr>
          <w:p>
            <w:pPr>
              <w:pStyle w:val="F21"/>
              <w:tabs>
                <w:tab w:val="clear" w:pos="567"/>
              </w:tabs>
              <w:spacing w:lineRule="atLeast" w:line="380"/>
              <w:ind w:left="28" w:right="420" w:hanging="0"/>
              <w:jc w:val="right"/>
              <w:rPr>
                <w:spacing w:val="8"/>
                <w:sz w:val="22"/>
              </w:rPr>
            </w:pPr>
            <w:r>
              <w:rPr>
                <w:spacing w:val="8"/>
                <w:sz w:val="22"/>
              </w:rPr>
              <w:t>0</w:t>
            </w:r>
          </w:p>
        </w:tc>
        <w:tc>
          <w:tcPr>
            <w:tcW w:w="784" w:type="dxa"/>
            <w:tcBorders/>
          </w:tcPr>
          <w:p>
            <w:pPr>
              <w:pStyle w:val="F21"/>
              <w:tabs>
                <w:tab w:val="clear" w:pos="567"/>
              </w:tabs>
              <w:spacing w:lineRule="atLeast" w:line="380"/>
              <w:ind w:left="28" w:right="227" w:hanging="0"/>
              <w:jc w:val="right"/>
              <w:rPr>
                <w:spacing w:val="8"/>
                <w:sz w:val="22"/>
              </w:rPr>
            </w:pPr>
            <w:r>
              <w:rPr>
                <w:spacing w:val="8"/>
                <w:sz w:val="22"/>
              </w:rPr>
              <w:t>0</w:t>
            </w:r>
          </w:p>
        </w:tc>
        <w:tc>
          <w:tcPr>
            <w:tcW w:w="776" w:type="dxa"/>
            <w:tcBorders/>
          </w:tcPr>
          <w:p>
            <w:pPr>
              <w:pStyle w:val="F21"/>
              <w:tabs>
                <w:tab w:val="clear" w:pos="567"/>
              </w:tabs>
              <w:spacing w:lineRule="atLeast" w:line="380"/>
              <w:ind w:left="28" w:right="284" w:hanging="0"/>
              <w:jc w:val="right"/>
              <w:rPr>
                <w:spacing w:val="8"/>
                <w:sz w:val="22"/>
              </w:rPr>
            </w:pPr>
            <w:r>
              <w:rPr>
                <w:spacing w:val="8"/>
                <w:sz w:val="22"/>
              </w:rPr>
              <w:t>0</w:t>
            </w:r>
          </w:p>
        </w:tc>
      </w:tr>
      <w:tr>
        <w:trPr/>
        <w:tc>
          <w:tcPr>
            <w:tcW w:w="1223" w:type="dxa"/>
            <w:tcBorders/>
          </w:tcPr>
          <w:p>
            <w:pPr>
              <w:pStyle w:val="F21"/>
              <w:tabs>
                <w:tab w:val="clear" w:pos="567"/>
              </w:tabs>
              <w:spacing w:lineRule="atLeast" w:line="380"/>
              <w:ind w:left="312" w:right="28" w:hanging="284"/>
              <w:rPr>
                <w:spacing w:val="8"/>
                <w:sz w:val="22"/>
              </w:rPr>
            </w:pPr>
            <w:r>
              <w:rPr>
                <w:spacing w:val="8"/>
                <w:sz w:val="22"/>
              </w:rPr>
              <w:t>26.</w:t>
            </w:r>
            <w:r>
              <w:rPr>
                <w:spacing w:val="8"/>
                <w:sz w:val="22"/>
              </w:rPr>
              <w:t>爆石工</w:t>
            </w:r>
          </w:p>
        </w:tc>
        <w:tc>
          <w:tcPr>
            <w:tcW w:w="811" w:type="dxa"/>
            <w:tcBorders/>
          </w:tcPr>
          <w:p>
            <w:pPr>
              <w:pStyle w:val="F21"/>
              <w:tabs>
                <w:tab w:val="clear" w:pos="567"/>
              </w:tabs>
              <w:spacing w:lineRule="atLeast" w:line="380"/>
              <w:ind w:left="28" w:right="227" w:hanging="0"/>
              <w:jc w:val="right"/>
              <w:rPr>
                <w:spacing w:val="8"/>
                <w:sz w:val="22"/>
              </w:rPr>
            </w:pPr>
            <w:r>
              <w:rPr>
                <w:spacing w:val="8"/>
                <w:sz w:val="22"/>
              </w:rPr>
              <w:t>0</w:t>
            </w:r>
          </w:p>
        </w:tc>
        <w:tc>
          <w:tcPr>
            <w:tcW w:w="784" w:type="dxa"/>
            <w:tcBorders/>
          </w:tcPr>
          <w:p>
            <w:pPr>
              <w:pStyle w:val="F21"/>
              <w:tabs>
                <w:tab w:val="clear" w:pos="567"/>
              </w:tabs>
              <w:spacing w:lineRule="atLeast" w:line="380"/>
              <w:ind w:left="28" w:right="227" w:hanging="0"/>
              <w:jc w:val="right"/>
              <w:rPr>
                <w:spacing w:val="8"/>
                <w:sz w:val="22"/>
              </w:rPr>
            </w:pPr>
            <w:r>
              <w:rPr>
                <w:spacing w:val="8"/>
                <w:sz w:val="22"/>
              </w:rPr>
              <w:t>0</w:t>
            </w:r>
          </w:p>
        </w:tc>
        <w:tc>
          <w:tcPr>
            <w:tcW w:w="841" w:type="dxa"/>
            <w:tcBorders/>
          </w:tcPr>
          <w:p>
            <w:pPr>
              <w:pStyle w:val="F21"/>
              <w:tabs>
                <w:tab w:val="clear" w:pos="567"/>
              </w:tabs>
              <w:spacing w:lineRule="atLeast" w:line="380"/>
              <w:ind w:left="28" w:right="280" w:hanging="0"/>
              <w:jc w:val="right"/>
              <w:rPr>
                <w:spacing w:val="8"/>
                <w:sz w:val="22"/>
              </w:rPr>
            </w:pPr>
            <w:r>
              <w:rPr>
                <w:spacing w:val="8"/>
                <w:sz w:val="22"/>
              </w:rPr>
              <w:t>0</w:t>
            </w:r>
          </w:p>
        </w:tc>
        <w:tc>
          <w:tcPr>
            <w:tcW w:w="798" w:type="dxa"/>
            <w:tcBorders/>
          </w:tcPr>
          <w:p>
            <w:pPr>
              <w:pStyle w:val="F21"/>
              <w:tabs>
                <w:tab w:val="clear" w:pos="567"/>
              </w:tabs>
              <w:spacing w:lineRule="atLeast" w:line="380"/>
              <w:ind w:left="28" w:right="280" w:hanging="0"/>
              <w:jc w:val="right"/>
              <w:rPr>
                <w:spacing w:val="8"/>
                <w:sz w:val="22"/>
              </w:rPr>
            </w:pPr>
            <w:r>
              <w:rPr>
                <w:spacing w:val="8"/>
                <w:sz w:val="22"/>
              </w:rPr>
              <w:t>0</w:t>
            </w:r>
          </w:p>
        </w:tc>
        <w:tc>
          <w:tcPr>
            <w:tcW w:w="840" w:type="dxa"/>
            <w:tcBorders/>
          </w:tcPr>
          <w:p>
            <w:pPr>
              <w:pStyle w:val="F21"/>
              <w:tabs>
                <w:tab w:val="clear" w:pos="567"/>
              </w:tabs>
              <w:spacing w:lineRule="atLeast" w:line="380"/>
              <w:ind w:left="28" w:right="280" w:hanging="0"/>
              <w:jc w:val="right"/>
              <w:rPr>
                <w:spacing w:val="8"/>
                <w:sz w:val="22"/>
              </w:rPr>
            </w:pPr>
            <w:r>
              <w:rPr>
                <w:spacing w:val="8"/>
                <w:sz w:val="22"/>
              </w:rPr>
              <w:t>0</w:t>
            </w:r>
          </w:p>
        </w:tc>
        <w:tc>
          <w:tcPr>
            <w:tcW w:w="797" w:type="dxa"/>
            <w:tcBorders/>
          </w:tcPr>
          <w:p>
            <w:pPr>
              <w:pStyle w:val="F21"/>
              <w:tabs>
                <w:tab w:val="clear" w:pos="567"/>
              </w:tabs>
              <w:spacing w:lineRule="atLeast" w:line="380"/>
              <w:ind w:left="28" w:right="280" w:hanging="0"/>
              <w:jc w:val="right"/>
              <w:rPr>
                <w:spacing w:val="8"/>
                <w:sz w:val="22"/>
              </w:rPr>
            </w:pPr>
            <w:r>
              <w:rPr>
                <w:spacing w:val="8"/>
                <w:sz w:val="22"/>
              </w:rPr>
              <w:t>0</w:t>
            </w:r>
          </w:p>
        </w:tc>
        <w:tc>
          <w:tcPr>
            <w:tcW w:w="784" w:type="dxa"/>
            <w:tcBorders/>
          </w:tcPr>
          <w:p>
            <w:pPr>
              <w:pStyle w:val="F21"/>
              <w:tabs>
                <w:tab w:val="clear" w:pos="567"/>
              </w:tabs>
              <w:spacing w:lineRule="atLeast" w:line="380"/>
              <w:ind w:left="28" w:right="420" w:hanging="0"/>
              <w:jc w:val="right"/>
              <w:rPr>
                <w:spacing w:val="8"/>
                <w:sz w:val="22"/>
              </w:rPr>
            </w:pPr>
            <w:r>
              <w:rPr>
                <w:spacing w:val="8"/>
                <w:sz w:val="22"/>
              </w:rPr>
              <w:t>0</w:t>
            </w:r>
          </w:p>
        </w:tc>
        <w:tc>
          <w:tcPr>
            <w:tcW w:w="784" w:type="dxa"/>
            <w:tcBorders/>
          </w:tcPr>
          <w:p>
            <w:pPr>
              <w:pStyle w:val="F21"/>
              <w:tabs>
                <w:tab w:val="clear" w:pos="567"/>
              </w:tabs>
              <w:spacing w:lineRule="atLeast" w:line="380"/>
              <w:ind w:left="28" w:right="420" w:hanging="0"/>
              <w:jc w:val="right"/>
              <w:rPr>
                <w:spacing w:val="8"/>
                <w:sz w:val="22"/>
              </w:rPr>
            </w:pPr>
            <w:r>
              <w:rPr>
                <w:spacing w:val="8"/>
                <w:sz w:val="22"/>
              </w:rPr>
              <w:t>0</w:t>
            </w:r>
          </w:p>
        </w:tc>
        <w:tc>
          <w:tcPr>
            <w:tcW w:w="784" w:type="dxa"/>
            <w:tcBorders/>
          </w:tcPr>
          <w:p>
            <w:pPr>
              <w:pStyle w:val="F21"/>
              <w:tabs>
                <w:tab w:val="clear" w:pos="567"/>
              </w:tabs>
              <w:spacing w:lineRule="atLeast" w:line="380"/>
              <w:ind w:left="28" w:right="227" w:hanging="0"/>
              <w:jc w:val="right"/>
              <w:rPr>
                <w:spacing w:val="8"/>
                <w:sz w:val="22"/>
              </w:rPr>
            </w:pPr>
            <w:r>
              <w:rPr>
                <w:spacing w:val="8"/>
                <w:sz w:val="22"/>
              </w:rPr>
              <w:t>0</w:t>
            </w:r>
          </w:p>
        </w:tc>
        <w:tc>
          <w:tcPr>
            <w:tcW w:w="776" w:type="dxa"/>
            <w:tcBorders/>
          </w:tcPr>
          <w:p>
            <w:pPr>
              <w:pStyle w:val="F21"/>
              <w:tabs>
                <w:tab w:val="clear" w:pos="567"/>
              </w:tabs>
              <w:spacing w:lineRule="atLeast" w:line="380"/>
              <w:ind w:left="28" w:right="284" w:hanging="0"/>
              <w:jc w:val="right"/>
              <w:rPr>
                <w:spacing w:val="8"/>
                <w:sz w:val="22"/>
              </w:rPr>
            </w:pPr>
            <w:r>
              <w:rPr>
                <w:spacing w:val="8"/>
                <w:sz w:val="22"/>
              </w:rPr>
              <w:t>0</w:t>
            </w:r>
          </w:p>
        </w:tc>
      </w:tr>
    </w:tbl>
    <w:p>
      <w:pPr>
        <w:pStyle w:val="F21"/>
        <w:spacing w:lineRule="auto" w:line="240"/>
        <w:rPr>
          <w:sz w:val="20"/>
          <w:szCs w:val="20"/>
        </w:rPr>
      </w:pPr>
      <w:r>
        <w:rPr>
          <w:sz w:val="20"/>
          <w:szCs w:val="20"/>
        </w:rPr>
      </w:r>
    </w:p>
    <w:p>
      <w:pPr>
        <w:pStyle w:val="F21"/>
        <w:spacing w:lineRule="auto" w:line="240"/>
        <w:ind w:left="567" w:hanging="567"/>
        <w:rPr>
          <w:sz w:val="22"/>
        </w:rPr>
      </w:pPr>
      <w:r>
        <w:rPr>
          <w:sz w:val="22"/>
        </w:rPr>
        <w:t>註：</w:t>
      </w:r>
    </w:p>
    <w:p>
      <w:pPr>
        <w:pStyle w:val="F21"/>
        <w:spacing w:lineRule="auto" w:line="240"/>
        <w:ind w:left="567" w:hanging="567"/>
        <w:rPr>
          <w:sz w:val="22"/>
        </w:rPr>
      </w:pPr>
      <w:r>
        <w:rPr>
          <w:sz w:val="22"/>
        </w:rPr>
      </w:r>
    </w:p>
    <w:p>
      <w:pPr>
        <w:pStyle w:val="F21"/>
        <w:spacing w:lineRule="auto" w:line="240"/>
        <w:ind w:left="567" w:hanging="567"/>
        <w:rPr>
          <w:sz w:val="22"/>
        </w:rPr>
      </w:pPr>
      <w:r>
        <w:rPr>
          <w:sz w:val="22"/>
        </w:rPr>
        <w:t>*</w:t>
        <w:tab/>
      </w:r>
      <w:r>
        <w:rPr>
          <w:sz w:val="22"/>
        </w:rPr>
        <w:t>於接近年底接獲的申請可能於翌年完成審理，因此每年獲批輸入的勞工人數並不一定全面反映該年輸入勞工申請的審批結果。</w:t>
      </w:r>
    </w:p>
    <w:p>
      <w:pPr>
        <w:pStyle w:val="F21"/>
        <w:rPr>
          <w:szCs w:val="27"/>
        </w:rPr>
      </w:pPr>
      <w:r>
        <w:rPr>
          <w:szCs w:val="27"/>
        </w:rPr>
      </w:r>
    </w:p>
    <w:p>
      <w:pPr>
        <w:pStyle w:val="F21"/>
        <w:rPr>
          <w:szCs w:val="27"/>
        </w:rPr>
      </w:pPr>
      <w:r>
        <w:rPr>
          <w:szCs w:val="27"/>
        </w:rPr>
      </w:r>
    </w:p>
    <w:p>
      <w:pPr>
        <w:pStyle w:val="F21"/>
        <w:jc w:val="right"/>
        <w:rPr>
          <w:szCs w:val="27"/>
        </w:rPr>
      </w:pPr>
      <w:r>
        <w:rPr>
          <w:szCs w:val="27"/>
        </w:rPr>
        <w:t>附件二</w:t>
      </w:r>
    </w:p>
    <w:p>
      <w:pPr>
        <w:pStyle w:val="F21"/>
        <w:jc w:val="right"/>
        <w:rPr>
          <w:szCs w:val="27"/>
        </w:rPr>
      </w:pPr>
      <w:r>
        <w:rPr>
          <w:szCs w:val="27"/>
        </w:rPr>
      </w:r>
    </w:p>
    <w:p>
      <w:pPr>
        <w:pStyle w:val="F21"/>
        <w:rPr>
          <w:szCs w:val="27"/>
        </w:rPr>
      </w:pPr>
      <w:r>
        <w:rPr>
          <w:szCs w:val="27"/>
        </w:rPr>
        <w:t>(A)</w:t>
        <w:tab/>
      </w:r>
      <w:r>
        <w:rPr>
          <w:szCs w:val="27"/>
        </w:rPr>
        <w:t>過往</w:t>
      </w:r>
      <w:r>
        <w:rPr>
          <w:szCs w:val="27"/>
        </w:rPr>
        <w:t>5</w:t>
      </w:r>
      <w:r>
        <w:rPr>
          <w:szCs w:val="27"/>
        </w:rPr>
        <w:t>年，建造業議會就人手短缺工種所提供的培訓資料</w:t>
      </w:r>
    </w:p>
    <w:p>
      <w:pPr>
        <w:pStyle w:val="F21"/>
        <w:rPr>
          <w:szCs w:val="27"/>
        </w:rPr>
      </w:pPr>
      <w:r>
        <w:rPr>
          <w:szCs w:val="27"/>
        </w:rPr>
      </w:r>
    </w:p>
    <w:tbl>
      <w:tblPr>
        <w:tblStyle w:val="a9"/>
        <w:tblW w:w="9249" w:type="dxa"/>
        <w:jc w:val="left"/>
        <w:tblInd w:w="0" w:type="dxa"/>
        <w:tblCellMar>
          <w:top w:w="0" w:type="dxa"/>
          <w:left w:w="108" w:type="dxa"/>
          <w:bottom w:w="0" w:type="dxa"/>
          <w:right w:w="108" w:type="dxa"/>
        </w:tblCellMar>
        <w:tblLook w:val="04a0" w:noHBand="0" w:noVBand="1" w:firstColumn="1" w:lastRow="0" w:lastColumn="0" w:firstRow="1"/>
      </w:tblPr>
      <w:tblGrid>
        <w:gridCol w:w="837"/>
        <w:gridCol w:w="1100"/>
        <w:gridCol w:w="895"/>
        <w:gridCol w:w="780"/>
        <w:gridCol w:w="729"/>
        <w:gridCol w:w="728"/>
        <w:gridCol w:w="798"/>
        <w:gridCol w:w="772"/>
        <w:gridCol w:w="901"/>
        <w:gridCol w:w="838"/>
        <w:gridCol w:w="869"/>
      </w:tblGrid>
      <w:tr>
        <w:trPr>
          <w:tblHeader w:val="true"/>
        </w:trPr>
        <w:tc>
          <w:tcPr>
            <w:tcW w:w="837" w:type="dxa"/>
            <w:vMerge w:val="restart"/>
            <w:tcBorders/>
            <w:vAlign w:val="center"/>
          </w:tcPr>
          <w:p>
            <w:pPr>
              <w:pStyle w:val="F21"/>
              <w:tabs>
                <w:tab w:val="clear" w:pos="567"/>
                <w:tab w:val="left" w:pos="284" w:leader="none"/>
              </w:tabs>
              <w:spacing w:lineRule="atLeast" w:line="260"/>
              <w:ind w:left="28" w:right="28" w:hanging="0"/>
              <w:jc w:val="center"/>
              <w:rPr>
                <w:i/>
                <w:i/>
                <w:spacing w:val="8"/>
                <w:sz w:val="20"/>
                <w:szCs w:val="20"/>
              </w:rPr>
            </w:pPr>
            <w:r>
              <w:rPr>
                <w:i/>
                <w:spacing w:val="8"/>
                <w:sz w:val="20"/>
                <w:szCs w:val="20"/>
              </w:rPr>
              <w:t>工種</w:t>
            </w:r>
            <w:r>
              <w:rPr>
                <w:i/>
                <w:spacing w:val="8"/>
                <w:sz w:val="20"/>
                <w:szCs w:val="20"/>
                <w:vertAlign w:val="superscript"/>
              </w:rPr>
              <w:t>(1)</w:t>
            </w:r>
          </w:p>
        </w:tc>
        <w:tc>
          <w:tcPr>
            <w:tcW w:w="1100" w:type="dxa"/>
            <w:vMerge w:val="restart"/>
            <w:tcBorders/>
            <w:vAlign w:val="center"/>
          </w:tcPr>
          <w:p>
            <w:pPr>
              <w:pStyle w:val="F21"/>
              <w:tabs>
                <w:tab w:val="clear" w:pos="567"/>
                <w:tab w:val="left" w:pos="284" w:leader="none"/>
              </w:tabs>
              <w:spacing w:lineRule="atLeast" w:line="260"/>
              <w:ind w:left="28" w:right="28" w:hanging="0"/>
              <w:jc w:val="center"/>
              <w:rPr>
                <w:i/>
                <w:i/>
                <w:spacing w:val="8"/>
                <w:sz w:val="20"/>
                <w:szCs w:val="20"/>
              </w:rPr>
            </w:pPr>
            <w:r>
              <w:rPr>
                <w:i/>
                <w:spacing w:val="8"/>
                <w:sz w:val="20"/>
                <w:szCs w:val="20"/>
              </w:rPr>
              <w:t>(i)</w:t>
            </w:r>
          </w:p>
          <w:p>
            <w:pPr>
              <w:pStyle w:val="F21"/>
              <w:tabs>
                <w:tab w:val="clear" w:pos="567"/>
                <w:tab w:val="left" w:pos="284" w:leader="none"/>
              </w:tabs>
              <w:spacing w:lineRule="atLeast" w:line="260"/>
              <w:ind w:left="28" w:right="28" w:hanging="0"/>
              <w:jc w:val="center"/>
              <w:rPr>
                <w:i/>
                <w:i/>
                <w:spacing w:val="8"/>
                <w:sz w:val="20"/>
                <w:szCs w:val="20"/>
              </w:rPr>
            </w:pPr>
            <w:r>
              <w:rPr>
                <w:i/>
                <w:spacing w:val="8"/>
                <w:sz w:val="20"/>
                <w:szCs w:val="20"/>
              </w:rPr>
              <w:t>課程</w:t>
            </w:r>
            <w:r>
              <w:rPr>
                <w:i/>
                <w:spacing w:val="8"/>
                <w:sz w:val="20"/>
                <w:szCs w:val="20"/>
              </w:rPr>
              <w:br/>
            </w:r>
            <w:r>
              <w:rPr>
                <w:i/>
                <w:spacing w:val="8"/>
                <w:sz w:val="20"/>
                <w:szCs w:val="20"/>
              </w:rPr>
              <w:t>名稱</w:t>
            </w:r>
          </w:p>
        </w:tc>
        <w:tc>
          <w:tcPr>
            <w:tcW w:w="895" w:type="dxa"/>
            <w:vMerge w:val="restart"/>
            <w:tcBorders/>
            <w:vAlign w:val="center"/>
          </w:tcPr>
          <w:p>
            <w:pPr>
              <w:pStyle w:val="F21"/>
              <w:tabs>
                <w:tab w:val="clear" w:pos="567"/>
                <w:tab w:val="left" w:pos="284" w:leader="none"/>
              </w:tabs>
              <w:spacing w:lineRule="atLeast" w:line="260"/>
              <w:ind w:left="28" w:right="28" w:hanging="0"/>
              <w:jc w:val="center"/>
              <w:rPr>
                <w:i/>
                <w:i/>
                <w:spacing w:val="8"/>
                <w:sz w:val="20"/>
                <w:szCs w:val="20"/>
              </w:rPr>
            </w:pPr>
            <w:r>
              <w:rPr>
                <w:i/>
                <w:spacing w:val="8"/>
                <w:sz w:val="20"/>
                <w:szCs w:val="20"/>
              </w:rPr>
              <w:t>(ii)</w:t>
            </w:r>
          </w:p>
          <w:p>
            <w:pPr>
              <w:pStyle w:val="F21"/>
              <w:tabs>
                <w:tab w:val="clear" w:pos="567"/>
                <w:tab w:val="left" w:pos="284" w:leader="none"/>
              </w:tabs>
              <w:spacing w:lineRule="atLeast" w:line="260"/>
              <w:ind w:left="28" w:right="28" w:hanging="0"/>
              <w:jc w:val="center"/>
              <w:rPr>
                <w:i/>
                <w:i/>
                <w:spacing w:val="8"/>
                <w:sz w:val="20"/>
                <w:szCs w:val="20"/>
              </w:rPr>
            </w:pPr>
            <w:r>
              <w:rPr>
                <w:i/>
                <w:spacing w:val="8"/>
                <w:sz w:val="20"/>
                <w:szCs w:val="20"/>
              </w:rPr>
              <w:t>開辦</w:t>
            </w:r>
            <w:r>
              <w:rPr>
                <w:i/>
                <w:spacing w:val="8"/>
                <w:sz w:val="20"/>
                <w:szCs w:val="20"/>
              </w:rPr>
              <w:br/>
            </w:r>
            <w:r>
              <w:rPr>
                <w:i/>
                <w:spacing w:val="8"/>
                <w:sz w:val="20"/>
                <w:szCs w:val="20"/>
              </w:rPr>
              <w:t>年份</w:t>
            </w:r>
          </w:p>
        </w:tc>
        <w:tc>
          <w:tcPr>
            <w:tcW w:w="3807" w:type="dxa"/>
            <w:gridSpan w:val="5"/>
            <w:tcBorders/>
          </w:tcPr>
          <w:p>
            <w:pPr>
              <w:pStyle w:val="F21"/>
              <w:tabs>
                <w:tab w:val="clear" w:pos="567"/>
                <w:tab w:val="left" w:pos="284" w:leader="none"/>
              </w:tabs>
              <w:spacing w:lineRule="atLeast" w:line="260"/>
              <w:ind w:left="28" w:right="28" w:hanging="0"/>
              <w:jc w:val="center"/>
              <w:rPr>
                <w:i/>
                <w:i/>
                <w:spacing w:val="8"/>
                <w:sz w:val="20"/>
                <w:szCs w:val="20"/>
              </w:rPr>
            </w:pPr>
            <w:r>
              <w:rPr>
                <w:i/>
                <w:spacing w:val="8"/>
                <w:sz w:val="20"/>
                <w:szCs w:val="20"/>
              </w:rPr>
              <w:t>(iii)</w:t>
            </w:r>
          </w:p>
          <w:p>
            <w:pPr>
              <w:pStyle w:val="F21"/>
              <w:tabs>
                <w:tab w:val="clear" w:pos="567"/>
                <w:tab w:val="left" w:pos="284" w:leader="none"/>
              </w:tabs>
              <w:spacing w:lineRule="atLeast" w:line="260"/>
              <w:ind w:left="28" w:right="28" w:hanging="0"/>
              <w:jc w:val="center"/>
              <w:rPr>
                <w:i/>
                <w:i/>
                <w:spacing w:val="8"/>
                <w:sz w:val="20"/>
                <w:szCs w:val="20"/>
              </w:rPr>
            </w:pPr>
            <w:r>
              <w:rPr>
                <w:i/>
                <w:spacing w:val="8"/>
                <w:sz w:val="20"/>
                <w:szCs w:val="20"/>
              </w:rPr>
              <w:t>培訓名額</w:t>
            </w:r>
          </w:p>
        </w:tc>
        <w:tc>
          <w:tcPr>
            <w:tcW w:w="901" w:type="dxa"/>
            <w:vMerge w:val="restart"/>
            <w:tcBorders/>
            <w:vAlign w:val="center"/>
          </w:tcPr>
          <w:p>
            <w:pPr>
              <w:pStyle w:val="F21"/>
              <w:tabs>
                <w:tab w:val="clear" w:pos="567"/>
                <w:tab w:val="left" w:pos="284" w:leader="none"/>
              </w:tabs>
              <w:spacing w:lineRule="atLeast" w:line="260"/>
              <w:ind w:left="28" w:right="28" w:hanging="0"/>
              <w:jc w:val="center"/>
              <w:rPr>
                <w:i/>
                <w:i/>
                <w:spacing w:val="8"/>
                <w:sz w:val="20"/>
                <w:szCs w:val="20"/>
              </w:rPr>
            </w:pPr>
            <w:r>
              <w:rPr>
                <w:i/>
                <w:spacing w:val="8"/>
                <w:sz w:val="20"/>
                <w:szCs w:val="20"/>
              </w:rPr>
              <w:t>(iv)</w:t>
            </w:r>
          </w:p>
          <w:p>
            <w:pPr>
              <w:pStyle w:val="F21"/>
              <w:tabs>
                <w:tab w:val="clear" w:pos="567"/>
                <w:tab w:val="left" w:pos="284" w:leader="none"/>
              </w:tabs>
              <w:spacing w:lineRule="atLeast" w:line="260"/>
              <w:ind w:left="28" w:right="28" w:hanging="0"/>
              <w:jc w:val="center"/>
              <w:rPr>
                <w:i/>
                <w:i/>
                <w:spacing w:val="8"/>
                <w:sz w:val="20"/>
                <w:szCs w:val="20"/>
              </w:rPr>
            </w:pPr>
            <w:r>
              <w:rPr>
                <w:i/>
                <w:spacing w:val="8"/>
                <w:sz w:val="20"/>
                <w:szCs w:val="20"/>
              </w:rPr>
              <w:t>入讀</w:t>
            </w:r>
            <w:r>
              <w:rPr>
                <w:i/>
                <w:spacing w:val="8"/>
                <w:sz w:val="20"/>
                <w:szCs w:val="20"/>
              </w:rPr>
              <w:br/>
            </w:r>
            <w:r>
              <w:rPr>
                <w:i/>
                <w:spacing w:val="8"/>
                <w:sz w:val="20"/>
                <w:szCs w:val="20"/>
              </w:rPr>
              <w:t>資格</w:t>
            </w:r>
          </w:p>
        </w:tc>
        <w:tc>
          <w:tcPr>
            <w:tcW w:w="838" w:type="dxa"/>
            <w:vMerge w:val="restart"/>
            <w:tcBorders/>
            <w:vAlign w:val="center"/>
          </w:tcPr>
          <w:p>
            <w:pPr>
              <w:pStyle w:val="F21"/>
              <w:tabs>
                <w:tab w:val="clear" w:pos="567"/>
                <w:tab w:val="left" w:pos="284" w:leader="none"/>
              </w:tabs>
              <w:spacing w:lineRule="atLeast" w:line="260"/>
              <w:ind w:left="28" w:right="28" w:hanging="0"/>
              <w:jc w:val="center"/>
              <w:rPr>
                <w:i/>
                <w:i/>
                <w:spacing w:val="8"/>
                <w:sz w:val="20"/>
                <w:szCs w:val="20"/>
              </w:rPr>
            </w:pPr>
            <w:r>
              <w:rPr>
                <w:i/>
                <w:spacing w:val="8"/>
                <w:sz w:val="20"/>
                <w:szCs w:val="20"/>
              </w:rPr>
              <w:t>(v)</w:t>
            </w:r>
          </w:p>
          <w:p>
            <w:pPr>
              <w:pStyle w:val="F21"/>
              <w:tabs>
                <w:tab w:val="clear" w:pos="567"/>
                <w:tab w:val="left" w:pos="284" w:leader="none"/>
              </w:tabs>
              <w:spacing w:lineRule="atLeast" w:line="260"/>
              <w:ind w:left="28" w:right="28" w:hanging="0"/>
              <w:jc w:val="center"/>
              <w:rPr>
                <w:i/>
                <w:i/>
                <w:spacing w:val="8"/>
                <w:sz w:val="20"/>
                <w:szCs w:val="20"/>
              </w:rPr>
            </w:pPr>
            <w:r>
              <w:rPr>
                <w:i/>
                <w:spacing w:val="8"/>
                <w:sz w:val="20"/>
                <w:szCs w:val="20"/>
              </w:rPr>
              <w:t>培訓期</w:t>
            </w:r>
          </w:p>
        </w:tc>
        <w:tc>
          <w:tcPr>
            <w:tcW w:w="869" w:type="dxa"/>
            <w:vMerge w:val="restart"/>
            <w:tcBorders/>
            <w:vAlign w:val="center"/>
          </w:tcPr>
          <w:p>
            <w:pPr>
              <w:pStyle w:val="F21"/>
              <w:tabs>
                <w:tab w:val="clear" w:pos="567"/>
                <w:tab w:val="left" w:pos="284" w:leader="none"/>
              </w:tabs>
              <w:spacing w:lineRule="atLeast" w:line="260"/>
              <w:ind w:left="28" w:right="28" w:hanging="0"/>
              <w:jc w:val="center"/>
              <w:rPr>
                <w:i/>
                <w:i/>
                <w:spacing w:val="8"/>
                <w:sz w:val="20"/>
                <w:szCs w:val="20"/>
              </w:rPr>
            </w:pPr>
            <w:r>
              <w:rPr>
                <w:i/>
                <w:spacing w:val="8"/>
                <w:sz w:val="20"/>
                <w:szCs w:val="20"/>
              </w:rPr>
              <w:t>(vi)</w:t>
            </w:r>
          </w:p>
          <w:p>
            <w:pPr>
              <w:pStyle w:val="F21"/>
              <w:tabs>
                <w:tab w:val="clear" w:pos="567"/>
                <w:tab w:val="left" w:pos="284" w:leader="none"/>
              </w:tabs>
              <w:spacing w:lineRule="atLeast" w:line="260"/>
              <w:ind w:left="28" w:right="28" w:hanging="0"/>
              <w:jc w:val="center"/>
              <w:rPr>
                <w:i/>
                <w:i/>
                <w:spacing w:val="8"/>
                <w:sz w:val="20"/>
                <w:szCs w:val="20"/>
              </w:rPr>
            </w:pPr>
            <w:r>
              <w:rPr>
                <w:i/>
                <w:spacing w:val="8"/>
                <w:sz w:val="20"/>
                <w:szCs w:val="20"/>
              </w:rPr>
              <w:t>結業學員就業率</w:t>
            </w:r>
          </w:p>
        </w:tc>
      </w:tr>
      <w:tr>
        <w:trPr>
          <w:tblHeader w:val="true"/>
        </w:trPr>
        <w:tc>
          <w:tcPr>
            <w:tcW w:w="837" w:type="dxa"/>
            <w:vMerge w:val="continue"/>
            <w:tcBorders/>
          </w:tcPr>
          <w:p>
            <w:pPr>
              <w:pStyle w:val="F21"/>
              <w:tabs>
                <w:tab w:val="clear" w:pos="567"/>
                <w:tab w:val="left" w:pos="284" w:leader="none"/>
              </w:tabs>
              <w:spacing w:lineRule="atLeast" w:line="260"/>
              <w:ind w:left="28" w:right="28" w:hanging="0"/>
              <w:rPr>
                <w:spacing w:val="8"/>
                <w:sz w:val="20"/>
                <w:szCs w:val="20"/>
              </w:rPr>
            </w:pPr>
            <w:r>
              <w:rPr>
                <w:spacing w:val="8"/>
                <w:sz w:val="20"/>
                <w:szCs w:val="20"/>
              </w:rPr>
            </w:r>
          </w:p>
        </w:tc>
        <w:tc>
          <w:tcPr>
            <w:tcW w:w="1100" w:type="dxa"/>
            <w:vMerge w:val="continue"/>
            <w:tcBorders/>
          </w:tcPr>
          <w:p>
            <w:pPr>
              <w:pStyle w:val="F21"/>
              <w:tabs>
                <w:tab w:val="clear" w:pos="567"/>
                <w:tab w:val="left" w:pos="284" w:leader="none"/>
              </w:tabs>
              <w:spacing w:lineRule="atLeast" w:line="260"/>
              <w:ind w:left="28" w:right="28" w:hanging="0"/>
              <w:rPr>
                <w:spacing w:val="8"/>
                <w:sz w:val="20"/>
                <w:szCs w:val="20"/>
              </w:rPr>
            </w:pPr>
            <w:r>
              <w:rPr>
                <w:spacing w:val="8"/>
                <w:sz w:val="20"/>
                <w:szCs w:val="20"/>
              </w:rPr>
            </w:r>
          </w:p>
        </w:tc>
        <w:tc>
          <w:tcPr>
            <w:tcW w:w="895" w:type="dxa"/>
            <w:vMerge w:val="continue"/>
            <w:tcBorders/>
          </w:tcPr>
          <w:p>
            <w:pPr>
              <w:pStyle w:val="F21"/>
              <w:tabs>
                <w:tab w:val="clear" w:pos="567"/>
                <w:tab w:val="left" w:pos="284" w:leader="none"/>
              </w:tabs>
              <w:spacing w:lineRule="atLeast" w:line="260"/>
              <w:ind w:left="28" w:right="28" w:hanging="0"/>
              <w:rPr>
                <w:spacing w:val="8"/>
                <w:sz w:val="20"/>
                <w:szCs w:val="20"/>
              </w:rPr>
            </w:pPr>
            <w:r>
              <w:rPr>
                <w:spacing w:val="8"/>
                <w:sz w:val="20"/>
                <w:szCs w:val="20"/>
              </w:rPr>
            </w:r>
          </w:p>
        </w:tc>
        <w:tc>
          <w:tcPr>
            <w:tcW w:w="780" w:type="dxa"/>
            <w:tcBorders/>
            <w:vAlign w:val="center"/>
          </w:tcPr>
          <w:p>
            <w:pPr>
              <w:pStyle w:val="F21"/>
              <w:tabs>
                <w:tab w:val="clear" w:pos="567"/>
                <w:tab w:val="left" w:pos="284" w:leader="none"/>
              </w:tabs>
              <w:spacing w:lineRule="atLeast" w:line="260"/>
              <w:ind w:left="28" w:right="28" w:hanging="0"/>
              <w:jc w:val="center"/>
              <w:rPr>
                <w:i/>
                <w:i/>
                <w:spacing w:val="8"/>
                <w:sz w:val="20"/>
                <w:szCs w:val="20"/>
              </w:rPr>
            </w:pPr>
            <w:r>
              <w:rPr>
                <w:i/>
                <w:spacing w:val="8"/>
                <w:sz w:val="20"/>
                <w:szCs w:val="20"/>
              </w:rPr>
              <w:t>2014</w:t>
            </w:r>
            <w:r>
              <w:rPr>
                <w:i/>
                <w:spacing w:val="8"/>
                <w:sz w:val="20"/>
                <w:szCs w:val="20"/>
              </w:rPr>
              <w:t>年</w:t>
            </w:r>
          </w:p>
        </w:tc>
        <w:tc>
          <w:tcPr>
            <w:tcW w:w="729" w:type="dxa"/>
            <w:tcBorders/>
            <w:vAlign w:val="center"/>
          </w:tcPr>
          <w:p>
            <w:pPr>
              <w:pStyle w:val="F21"/>
              <w:tabs>
                <w:tab w:val="clear" w:pos="567"/>
                <w:tab w:val="left" w:pos="284" w:leader="none"/>
              </w:tabs>
              <w:spacing w:lineRule="atLeast" w:line="260"/>
              <w:ind w:left="28" w:right="28" w:hanging="0"/>
              <w:jc w:val="center"/>
              <w:rPr>
                <w:i/>
                <w:i/>
                <w:spacing w:val="8"/>
                <w:sz w:val="20"/>
                <w:szCs w:val="20"/>
              </w:rPr>
            </w:pPr>
            <w:r>
              <w:rPr>
                <w:i/>
                <w:spacing w:val="8"/>
                <w:sz w:val="20"/>
                <w:szCs w:val="20"/>
              </w:rPr>
              <w:t>2015</w:t>
            </w:r>
            <w:r>
              <w:rPr>
                <w:i/>
                <w:spacing w:val="8"/>
                <w:sz w:val="20"/>
                <w:szCs w:val="20"/>
              </w:rPr>
              <w:t>年</w:t>
            </w:r>
          </w:p>
        </w:tc>
        <w:tc>
          <w:tcPr>
            <w:tcW w:w="728" w:type="dxa"/>
            <w:tcBorders/>
            <w:vAlign w:val="center"/>
          </w:tcPr>
          <w:p>
            <w:pPr>
              <w:pStyle w:val="F21"/>
              <w:tabs>
                <w:tab w:val="clear" w:pos="567"/>
                <w:tab w:val="left" w:pos="284" w:leader="none"/>
              </w:tabs>
              <w:spacing w:lineRule="atLeast" w:line="260"/>
              <w:ind w:left="28" w:right="28" w:hanging="0"/>
              <w:jc w:val="center"/>
              <w:rPr>
                <w:i/>
                <w:i/>
                <w:spacing w:val="8"/>
                <w:sz w:val="20"/>
                <w:szCs w:val="20"/>
              </w:rPr>
            </w:pPr>
            <w:r>
              <w:rPr>
                <w:i/>
                <w:spacing w:val="8"/>
                <w:sz w:val="20"/>
                <w:szCs w:val="20"/>
              </w:rPr>
              <w:t>2016</w:t>
            </w:r>
            <w:r>
              <w:rPr>
                <w:i/>
                <w:spacing w:val="8"/>
                <w:sz w:val="20"/>
                <w:szCs w:val="20"/>
              </w:rPr>
              <w:t>年</w:t>
            </w:r>
          </w:p>
        </w:tc>
        <w:tc>
          <w:tcPr>
            <w:tcW w:w="798" w:type="dxa"/>
            <w:tcBorders/>
            <w:vAlign w:val="center"/>
          </w:tcPr>
          <w:p>
            <w:pPr>
              <w:pStyle w:val="F21"/>
              <w:tabs>
                <w:tab w:val="clear" w:pos="567"/>
                <w:tab w:val="left" w:pos="284" w:leader="none"/>
              </w:tabs>
              <w:spacing w:lineRule="atLeast" w:line="260"/>
              <w:ind w:left="28" w:right="28" w:hanging="0"/>
              <w:jc w:val="center"/>
              <w:rPr>
                <w:i/>
                <w:i/>
                <w:spacing w:val="8"/>
                <w:sz w:val="20"/>
                <w:szCs w:val="20"/>
              </w:rPr>
            </w:pPr>
            <w:r>
              <w:rPr>
                <w:i/>
                <w:spacing w:val="8"/>
                <w:sz w:val="20"/>
                <w:szCs w:val="20"/>
              </w:rPr>
              <w:t>2017</w:t>
            </w:r>
            <w:r>
              <w:rPr>
                <w:i/>
                <w:spacing w:val="8"/>
                <w:sz w:val="20"/>
                <w:szCs w:val="20"/>
              </w:rPr>
              <w:t>年</w:t>
            </w:r>
          </w:p>
        </w:tc>
        <w:tc>
          <w:tcPr>
            <w:tcW w:w="772" w:type="dxa"/>
            <w:tcBorders/>
            <w:vAlign w:val="center"/>
          </w:tcPr>
          <w:p>
            <w:pPr>
              <w:pStyle w:val="F21"/>
              <w:tabs>
                <w:tab w:val="clear" w:pos="567"/>
                <w:tab w:val="left" w:pos="284" w:leader="none"/>
              </w:tabs>
              <w:spacing w:lineRule="atLeast" w:line="260"/>
              <w:ind w:left="28" w:right="28" w:hanging="0"/>
              <w:jc w:val="center"/>
              <w:rPr>
                <w:i/>
                <w:i/>
                <w:spacing w:val="8"/>
                <w:sz w:val="20"/>
                <w:szCs w:val="20"/>
              </w:rPr>
            </w:pPr>
            <w:r>
              <w:rPr>
                <w:i/>
                <w:spacing w:val="8"/>
                <w:sz w:val="20"/>
                <w:szCs w:val="20"/>
              </w:rPr>
              <w:t>2018</w:t>
            </w:r>
            <w:r>
              <w:rPr>
                <w:i/>
                <w:spacing w:val="8"/>
                <w:sz w:val="20"/>
                <w:szCs w:val="20"/>
              </w:rPr>
              <w:t>年</w:t>
            </w:r>
          </w:p>
        </w:tc>
        <w:tc>
          <w:tcPr>
            <w:tcW w:w="901" w:type="dxa"/>
            <w:vMerge w:val="continue"/>
            <w:tcBorders/>
          </w:tcPr>
          <w:p>
            <w:pPr>
              <w:pStyle w:val="F21"/>
              <w:tabs>
                <w:tab w:val="clear" w:pos="567"/>
                <w:tab w:val="left" w:pos="284" w:leader="none"/>
              </w:tabs>
              <w:spacing w:lineRule="atLeast" w:line="260"/>
              <w:ind w:left="28" w:right="28" w:hanging="0"/>
              <w:rPr>
                <w:spacing w:val="8"/>
                <w:sz w:val="20"/>
                <w:szCs w:val="20"/>
              </w:rPr>
            </w:pPr>
            <w:r>
              <w:rPr>
                <w:spacing w:val="8"/>
                <w:sz w:val="20"/>
                <w:szCs w:val="20"/>
              </w:rPr>
            </w:r>
          </w:p>
        </w:tc>
        <w:tc>
          <w:tcPr>
            <w:tcW w:w="838" w:type="dxa"/>
            <w:vMerge w:val="continue"/>
            <w:tcBorders/>
          </w:tcPr>
          <w:p>
            <w:pPr>
              <w:pStyle w:val="F21"/>
              <w:tabs>
                <w:tab w:val="clear" w:pos="567"/>
                <w:tab w:val="left" w:pos="284" w:leader="none"/>
              </w:tabs>
              <w:spacing w:lineRule="atLeast" w:line="260"/>
              <w:ind w:left="28" w:right="28" w:hanging="0"/>
              <w:rPr>
                <w:spacing w:val="8"/>
                <w:sz w:val="20"/>
                <w:szCs w:val="20"/>
              </w:rPr>
            </w:pPr>
            <w:r>
              <w:rPr>
                <w:spacing w:val="8"/>
                <w:sz w:val="20"/>
                <w:szCs w:val="20"/>
              </w:rPr>
            </w:r>
          </w:p>
        </w:tc>
        <w:tc>
          <w:tcPr>
            <w:tcW w:w="869" w:type="dxa"/>
            <w:vMerge w:val="continue"/>
            <w:tcBorders/>
          </w:tcPr>
          <w:p>
            <w:pPr>
              <w:pStyle w:val="F21"/>
              <w:tabs>
                <w:tab w:val="clear" w:pos="567"/>
                <w:tab w:val="left" w:pos="284" w:leader="none"/>
              </w:tabs>
              <w:spacing w:lineRule="atLeast" w:line="260"/>
              <w:ind w:left="28" w:right="28" w:hanging="0"/>
              <w:rPr>
                <w:spacing w:val="8"/>
                <w:sz w:val="20"/>
                <w:szCs w:val="20"/>
              </w:rPr>
            </w:pPr>
            <w:r>
              <w:rPr>
                <w:spacing w:val="8"/>
                <w:sz w:val="20"/>
                <w:szCs w:val="20"/>
              </w:rPr>
            </w:r>
          </w:p>
        </w:tc>
      </w:tr>
      <w:tr>
        <w:trPr/>
        <w:tc>
          <w:tcPr>
            <w:tcW w:w="837" w:type="dxa"/>
            <w:tcBorders/>
          </w:tcPr>
          <w:p>
            <w:pPr>
              <w:pStyle w:val="F21"/>
              <w:tabs>
                <w:tab w:val="clear" w:pos="567"/>
                <w:tab w:val="left" w:pos="284" w:leader="none"/>
              </w:tabs>
              <w:spacing w:lineRule="atLeast" w:line="290"/>
              <w:ind w:left="56" w:right="28" w:hanging="28"/>
              <w:rPr>
                <w:spacing w:val="8"/>
                <w:sz w:val="20"/>
                <w:szCs w:val="20"/>
              </w:rPr>
            </w:pPr>
            <w:r>
              <w:rPr>
                <w:spacing w:val="8"/>
                <w:sz w:val="20"/>
                <w:szCs w:val="20"/>
              </w:rPr>
              <w:t>1.</w:t>
            </w:r>
            <w:r>
              <w:rPr>
                <w:spacing w:val="8"/>
                <w:sz w:val="20"/>
                <w:szCs w:val="20"/>
              </w:rPr>
              <w:t>鋼筋</w:t>
            </w:r>
            <w:r>
              <w:rPr>
                <w:spacing w:val="8"/>
                <w:sz w:val="20"/>
                <w:szCs w:val="20"/>
              </w:rPr>
              <w:tab/>
            </w:r>
            <w:r>
              <w:rPr>
                <w:spacing w:val="8"/>
                <w:sz w:val="20"/>
                <w:szCs w:val="20"/>
              </w:rPr>
              <w:t>屈紮</w:t>
            </w:r>
            <w:r>
              <w:rPr>
                <w:spacing w:val="8"/>
                <w:sz w:val="20"/>
                <w:szCs w:val="20"/>
              </w:rPr>
              <w:tab/>
            </w:r>
            <w:r>
              <w:rPr>
                <w:spacing w:val="8"/>
                <w:sz w:val="20"/>
                <w:szCs w:val="20"/>
              </w:rPr>
              <w:t>工</w:t>
            </w:r>
          </w:p>
        </w:tc>
        <w:tc>
          <w:tcPr>
            <w:tcW w:w="1100" w:type="dxa"/>
            <w:tcBorders>
              <w:bottom w:val="nil"/>
            </w:tcBorders>
          </w:tcPr>
          <w:p>
            <w:pPr>
              <w:pStyle w:val="F21"/>
              <w:tabs>
                <w:tab w:val="clear" w:pos="567"/>
                <w:tab w:val="left" w:pos="284" w:leader="none"/>
              </w:tabs>
              <w:spacing w:lineRule="atLeast" w:line="290"/>
              <w:ind w:left="28" w:right="28" w:hanging="0"/>
              <w:rPr>
                <w:spacing w:val="8"/>
                <w:sz w:val="20"/>
                <w:szCs w:val="20"/>
              </w:rPr>
            </w:pPr>
            <w:r>
              <w:rPr>
                <w:spacing w:val="8"/>
                <w:sz w:val="20"/>
                <w:szCs w:val="20"/>
              </w:rPr>
              <w:t>議會提供多種課程，包括：</w:t>
            </w:r>
          </w:p>
        </w:tc>
        <w:tc>
          <w:tcPr>
            <w:tcW w:w="895" w:type="dxa"/>
            <w:vMerge w:val="restart"/>
            <w:tcBorders>
              <w:bottom w:val="nil"/>
            </w:tcBorders>
          </w:tcPr>
          <w:p>
            <w:pPr>
              <w:pStyle w:val="F21"/>
              <w:tabs>
                <w:tab w:val="clear" w:pos="567"/>
                <w:tab w:val="left" w:pos="284" w:leader="none"/>
              </w:tabs>
              <w:spacing w:lineRule="atLeast" w:line="290"/>
              <w:ind w:left="28" w:right="28" w:hanging="0"/>
              <w:rPr>
                <w:spacing w:val="8"/>
                <w:sz w:val="20"/>
                <w:szCs w:val="20"/>
              </w:rPr>
            </w:pPr>
            <w:r>
              <w:rPr>
                <w:spacing w:val="8"/>
                <w:sz w:val="20"/>
                <w:szCs w:val="20"/>
              </w:rPr>
              <w:t>大部分的課程於過去</w:t>
            </w:r>
            <w:r>
              <w:rPr>
                <w:spacing w:val="8"/>
                <w:sz w:val="20"/>
                <w:szCs w:val="20"/>
              </w:rPr>
              <w:t>5</w:t>
            </w:r>
            <w:r>
              <w:rPr>
                <w:spacing w:val="8"/>
                <w:sz w:val="20"/>
                <w:szCs w:val="20"/>
              </w:rPr>
              <w:t>個學年均有開辦。</w:t>
            </w:r>
          </w:p>
        </w:tc>
        <w:tc>
          <w:tcPr>
            <w:tcW w:w="780" w:type="dxa"/>
            <w:tcBorders/>
          </w:tcPr>
          <w:p>
            <w:pPr>
              <w:pStyle w:val="F21"/>
              <w:tabs>
                <w:tab w:val="clear" w:pos="567"/>
                <w:tab w:val="left" w:pos="284" w:leader="none"/>
              </w:tabs>
              <w:spacing w:lineRule="atLeast" w:line="290"/>
              <w:ind w:left="28" w:right="170" w:hanging="0"/>
              <w:jc w:val="right"/>
              <w:rPr>
                <w:spacing w:val="8"/>
                <w:sz w:val="20"/>
                <w:szCs w:val="20"/>
              </w:rPr>
            </w:pPr>
            <w:r>
              <w:rPr>
                <w:spacing w:val="8"/>
                <w:sz w:val="20"/>
                <w:szCs w:val="20"/>
              </w:rPr>
              <w:t>1 332</w:t>
            </w:r>
          </w:p>
        </w:tc>
        <w:tc>
          <w:tcPr>
            <w:tcW w:w="729" w:type="dxa"/>
            <w:tcBorders/>
          </w:tcPr>
          <w:p>
            <w:pPr>
              <w:pStyle w:val="F21"/>
              <w:tabs>
                <w:tab w:val="clear" w:pos="567"/>
                <w:tab w:val="left" w:pos="284" w:leader="none"/>
              </w:tabs>
              <w:spacing w:lineRule="atLeast" w:line="290"/>
              <w:ind w:left="28" w:right="170" w:hanging="0"/>
              <w:jc w:val="right"/>
              <w:rPr>
                <w:spacing w:val="8"/>
                <w:sz w:val="20"/>
                <w:szCs w:val="20"/>
              </w:rPr>
            </w:pPr>
            <w:r>
              <w:rPr>
                <w:spacing w:val="8"/>
                <w:sz w:val="20"/>
                <w:szCs w:val="20"/>
              </w:rPr>
              <w:t>1 188</w:t>
            </w:r>
          </w:p>
        </w:tc>
        <w:tc>
          <w:tcPr>
            <w:tcW w:w="728" w:type="dxa"/>
            <w:tcBorders/>
          </w:tcPr>
          <w:p>
            <w:pPr>
              <w:pStyle w:val="F21"/>
              <w:tabs>
                <w:tab w:val="clear" w:pos="567"/>
                <w:tab w:val="left" w:pos="284" w:leader="none"/>
              </w:tabs>
              <w:spacing w:lineRule="atLeast" w:line="290"/>
              <w:ind w:left="28" w:right="170" w:hanging="0"/>
              <w:jc w:val="right"/>
              <w:rPr>
                <w:spacing w:val="8"/>
                <w:sz w:val="20"/>
                <w:szCs w:val="20"/>
              </w:rPr>
            </w:pPr>
            <w:r>
              <w:rPr>
                <w:spacing w:val="8"/>
                <w:sz w:val="20"/>
                <w:szCs w:val="20"/>
              </w:rPr>
              <w:t>1 440</w:t>
            </w:r>
          </w:p>
        </w:tc>
        <w:tc>
          <w:tcPr>
            <w:tcW w:w="798" w:type="dxa"/>
            <w:tcBorders/>
          </w:tcPr>
          <w:p>
            <w:pPr>
              <w:pStyle w:val="F21"/>
              <w:tabs>
                <w:tab w:val="clear" w:pos="567"/>
                <w:tab w:val="left" w:pos="284" w:leader="none"/>
              </w:tabs>
              <w:spacing w:lineRule="atLeast" w:line="290"/>
              <w:ind w:left="28" w:right="170" w:hanging="0"/>
              <w:jc w:val="right"/>
              <w:rPr>
                <w:spacing w:val="8"/>
                <w:sz w:val="20"/>
                <w:szCs w:val="20"/>
              </w:rPr>
            </w:pPr>
            <w:r>
              <w:rPr>
                <w:spacing w:val="8"/>
                <w:sz w:val="20"/>
                <w:szCs w:val="20"/>
              </w:rPr>
              <w:t>1 371</w:t>
            </w:r>
          </w:p>
        </w:tc>
        <w:tc>
          <w:tcPr>
            <w:tcW w:w="772" w:type="dxa"/>
            <w:tcBorders/>
          </w:tcPr>
          <w:p>
            <w:pPr>
              <w:pStyle w:val="F21"/>
              <w:tabs>
                <w:tab w:val="clear" w:pos="567"/>
                <w:tab w:val="left" w:pos="284" w:leader="none"/>
              </w:tabs>
              <w:spacing w:lineRule="atLeast" w:line="290"/>
              <w:ind w:left="28" w:right="170" w:hanging="0"/>
              <w:jc w:val="right"/>
              <w:rPr>
                <w:spacing w:val="8"/>
                <w:sz w:val="20"/>
                <w:szCs w:val="20"/>
              </w:rPr>
            </w:pPr>
            <w:r>
              <w:rPr>
                <w:spacing w:val="8"/>
                <w:sz w:val="20"/>
                <w:szCs w:val="20"/>
              </w:rPr>
              <w:t>1 096</w:t>
            </w:r>
          </w:p>
        </w:tc>
        <w:tc>
          <w:tcPr>
            <w:tcW w:w="901" w:type="dxa"/>
            <w:vMerge w:val="restart"/>
            <w:tcBorders/>
          </w:tcPr>
          <w:p>
            <w:pPr>
              <w:pStyle w:val="F21"/>
              <w:tabs>
                <w:tab w:val="clear" w:pos="567"/>
                <w:tab w:val="left" w:pos="284" w:leader="none"/>
              </w:tabs>
              <w:spacing w:lineRule="atLeast" w:line="290"/>
              <w:ind w:left="28" w:right="28" w:hanging="0"/>
              <w:rPr>
                <w:spacing w:val="8"/>
                <w:sz w:val="20"/>
                <w:szCs w:val="20"/>
              </w:rPr>
            </w:pPr>
            <w:r>
              <w:rPr>
                <w:spacing w:val="8"/>
                <w:sz w:val="20"/>
                <w:szCs w:val="20"/>
              </w:rPr>
              <w:t>除建造證書及建造文憑課程分別需要有中三及中六</w:t>
            </w:r>
            <w:r>
              <w:rPr>
                <w:spacing w:val="8"/>
                <w:sz w:val="20"/>
                <w:szCs w:val="20"/>
              </w:rPr>
              <w:t>(</w:t>
            </w:r>
            <w:r>
              <w:rPr>
                <w:spacing w:val="8"/>
                <w:sz w:val="20"/>
                <w:szCs w:val="20"/>
              </w:rPr>
              <w:t>新高中學制</w:t>
            </w:r>
            <w:r>
              <w:rPr>
                <w:spacing w:val="8"/>
                <w:sz w:val="20"/>
                <w:szCs w:val="20"/>
              </w:rPr>
              <w:t>)</w:t>
            </w:r>
            <w:r>
              <w:rPr>
                <w:spacing w:val="8"/>
                <w:sz w:val="20"/>
                <w:szCs w:val="20"/>
              </w:rPr>
              <w:t>學歷要求外，成年人短期課程及強化建造業人力訓練計劃的所有申請人只須為年滿</w:t>
            </w:r>
            <w:r>
              <w:rPr>
                <w:spacing w:val="38"/>
                <w:sz w:val="20"/>
                <w:szCs w:val="20"/>
              </w:rPr>
              <w:t>18</w:t>
            </w:r>
            <w:r>
              <w:rPr>
                <w:spacing w:val="38"/>
                <w:sz w:val="20"/>
                <w:szCs w:val="20"/>
              </w:rPr>
              <w:t>歲</w:t>
            </w:r>
            <w:r>
              <w:rPr>
                <w:spacing w:val="-27"/>
                <w:sz w:val="20"/>
                <w:szCs w:val="20"/>
              </w:rPr>
              <w:t>或</w:t>
            </w:r>
          </w:p>
        </w:tc>
        <w:tc>
          <w:tcPr>
            <w:tcW w:w="838" w:type="dxa"/>
            <w:vMerge w:val="restart"/>
            <w:tcBorders>
              <w:bottom w:val="nil"/>
            </w:tcBorders>
          </w:tcPr>
          <w:p>
            <w:pPr>
              <w:pStyle w:val="F21"/>
              <w:tabs>
                <w:tab w:val="clear" w:pos="567"/>
                <w:tab w:val="left" w:pos="284" w:leader="none"/>
              </w:tabs>
              <w:spacing w:lineRule="atLeast" w:line="290"/>
              <w:ind w:left="28" w:right="28" w:hanging="0"/>
              <w:rPr>
                <w:spacing w:val="8"/>
                <w:sz w:val="20"/>
                <w:szCs w:val="20"/>
              </w:rPr>
            </w:pPr>
            <w:r>
              <w:rPr>
                <w:spacing w:val="8"/>
                <w:sz w:val="20"/>
                <w:szCs w:val="20"/>
              </w:rPr>
              <w:t>強化建造業人力訓練計劃、成人短期課程或合作培訓計劃的課程時間由</w:t>
            </w:r>
            <w:r>
              <w:rPr>
                <w:spacing w:val="8"/>
                <w:sz w:val="20"/>
                <w:szCs w:val="20"/>
              </w:rPr>
              <w:t>1</w:t>
            </w:r>
            <w:r>
              <w:rPr>
                <w:spacing w:val="8"/>
                <w:sz w:val="20"/>
                <w:szCs w:val="20"/>
              </w:rPr>
              <w:t>至</w:t>
            </w:r>
            <w:r>
              <w:rPr>
                <w:spacing w:val="8"/>
                <w:sz w:val="20"/>
                <w:szCs w:val="20"/>
              </w:rPr>
              <w:t>6</w:t>
            </w:r>
            <w:r>
              <w:rPr>
                <w:spacing w:val="8"/>
                <w:sz w:val="20"/>
                <w:szCs w:val="20"/>
              </w:rPr>
              <w:t>個月，而建造證書或建造文憑課程課程則需要</w:t>
            </w:r>
            <w:r>
              <w:rPr>
                <w:spacing w:val="8"/>
                <w:sz w:val="20"/>
                <w:szCs w:val="20"/>
              </w:rPr>
              <w:t>1</w:t>
            </w:r>
            <w:r>
              <w:rPr>
                <w:spacing w:val="8"/>
                <w:sz w:val="20"/>
                <w:szCs w:val="20"/>
              </w:rPr>
              <w:t>年。</w:t>
            </w:r>
          </w:p>
        </w:tc>
        <w:tc>
          <w:tcPr>
            <w:tcW w:w="869" w:type="dxa"/>
            <w:vMerge w:val="restart"/>
            <w:tcBorders>
              <w:bottom w:val="nil"/>
            </w:tcBorders>
          </w:tcPr>
          <w:p>
            <w:pPr>
              <w:pStyle w:val="F21"/>
              <w:tabs>
                <w:tab w:val="clear" w:pos="567"/>
                <w:tab w:val="left" w:pos="284" w:leader="none"/>
              </w:tabs>
              <w:spacing w:lineRule="atLeast" w:line="290"/>
              <w:ind w:left="28" w:right="28" w:hanging="0"/>
              <w:rPr>
                <w:spacing w:val="8"/>
                <w:sz w:val="20"/>
                <w:szCs w:val="20"/>
              </w:rPr>
            </w:pPr>
            <w:r>
              <w:rPr>
                <w:spacing w:val="8"/>
                <w:sz w:val="20"/>
                <w:szCs w:val="20"/>
              </w:rPr>
              <w:t>過往</w:t>
            </w:r>
            <w:r>
              <w:rPr>
                <w:spacing w:val="8"/>
                <w:sz w:val="20"/>
                <w:szCs w:val="20"/>
              </w:rPr>
              <w:t>5</w:t>
            </w:r>
            <w:r>
              <w:rPr>
                <w:spacing w:val="8"/>
                <w:sz w:val="20"/>
                <w:szCs w:val="20"/>
              </w:rPr>
              <w:t>年，絕大部分的結業學員於畢業後</w:t>
            </w:r>
            <w:r>
              <w:rPr>
                <w:spacing w:val="8"/>
                <w:sz w:val="20"/>
                <w:szCs w:val="20"/>
              </w:rPr>
              <w:t>12</w:t>
            </w:r>
            <w:r>
              <w:rPr>
                <w:spacing w:val="8"/>
                <w:sz w:val="20"/>
                <w:szCs w:val="20"/>
              </w:rPr>
              <w:t>個月平均就業率達到</w:t>
            </w:r>
            <w:r>
              <w:rPr>
                <w:spacing w:val="8"/>
                <w:sz w:val="20"/>
                <w:szCs w:val="20"/>
              </w:rPr>
              <w:t>90%</w:t>
            </w:r>
            <w:r>
              <w:rPr>
                <w:spacing w:val="8"/>
                <w:sz w:val="20"/>
                <w:szCs w:val="20"/>
              </w:rPr>
              <w:t>或以上。</w:t>
            </w:r>
          </w:p>
        </w:tc>
      </w:tr>
      <w:tr>
        <w:trPr/>
        <w:tc>
          <w:tcPr>
            <w:tcW w:w="837" w:type="dxa"/>
            <w:tcBorders/>
          </w:tcPr>
          <w:p>
            <w:pPr>
              <w:pStyle w:val="F21"/>
              <w:tabs>
                <w:tab w:val="clear" w:pos="567"/>
                <w:tab w:val="left" w:pos="284" w:leader="none"/>
              </w:tabs>
              <w:spacing w:lineRule="atLeast" w:line="290"/>
              <w:ind w:left="28" w:right="28" w:hanging="0"/>
              <w:rPr>
                <w:spacing w:val="8"/>
                <w:sz w:val="20"/>
                <w:szCs w:val="20"/>
              </w:rPr>
            </w:pPr>
            <w:r>
              <w:rPr>
                <w:spacing w:val="8"/>
                <w:sz w:val="20"/>
                <w:szCs w:val="20"/>
              </w:rPr>
              <w:t>2.</w:t>
            </w:r>
            <w:r>
              <w:rPr>
                <w:spacing w:val="8"/>
                <w:sz w:val="20"/>
                <w:szCs w:val="20"/>
              </w:rPr>
              <w:t>木模</w:t>
            </w:r>
            <w:r>
              <w:rPr>
                <w:spacing w:val="8"/>
                <w:sz w:val="20"/>
                <w:szCs w:val="20"/>
              </w:rPr>
              <w:tab/>
            </w:r>
            <w:r>
              <w:rPr>
                <w:spacing w:val="8"/>
                <w:sz w:val="20"/>
                <w:szCs w:val="20"/>
              </w:rPr>
              <w:t>板工</w:t>
            </w:r>
          </w:p>
        </w:tc>
        <w:tc>
          <w:tcPr>
            <w:tcW w:w="1100" w:type="dxa"/>
            <w:vMerge w:val="restart"/>
            <w:tcBorders>
              <w:top w:val="nil"/>
              <w:bottom w:val="nil"/>
            </w:tcBorders>
          </w:tcPr>
          <w:p>
            <w:pPr>
              <w:pStyle w:val="F21"/>
              <w:tabs>
                <w:tab w:val="clear" w:pos="567"/>
                <w:tab w:val="left" w:pos="284" w:leader="none"/>
              </w:tabs>
              <w:spacing w:lineRule="atLeast" w:line="290"/>
              <w:ind w:left="368" w:right="28" w:hanging="340"/>
              <w:rPr>
                <w:spacing w:val="8"/>
                <w:sz w:val="20"/>
                <w:szCs w:val="20"/>
              </w:rPr>
            </w:pPr>
            <w:r>
              <w:rPr>
                <w:spacing w:val="8"/>
                <w:sz w:val="20"/>
                <w:szCs w:val="20"/>
              </w:rPr>
              <w:t>(i)</w:t>
              <w:tab/>
              <w:tab/>
            </w:r>
            <w:r>
              <w:rPr>
                <w:spacing w:val="8"/>
                <w:sz w:val="20"/>
                <w:szCs w:val="20"/>
              </w:rPr>
              <w:t>成年人短期課程</w:t>
            </w:r>
          </w:p>
          <w:p>
            <w:pPr>
              <w:pStyle w:val="F21"/>
              <w:tabs>
                <w:tab w:val="clear" w:pos="567"/>
                <w:tab w:val="left" w:pos="284" w:leader="none"/>
              </w:tabs>
              <w:spacing w:lineRule="atLeast" w:line="290"/>
              <w:ind w:left="368" w:right="28" w:hanging="340"/>
              <w:rPr>
                <w:spacing w:val="8"/>
                <w:sz w:val="20"/>
                <w:szCs w:val="20"/>
              </w:rPr>
            </w:pPr>
            <w:r>
              <w:rPr>
                <w:spacing w:val="8"/>
                <w:sz w:val="20"/>
                <w:szCs w:val="20"/>
              </w:rPr>
              <w:t>(ii)</w:t>
            </w:r>
            <w:r>
              <w:rPr>
                <w:spacing w:val="8"/>
                <w:sz w:val="20"/>
                <w:szCs w:val="20"/>
              </w:rPr>
              <w:t>強化建造業人力訓練計劃</w:t>
            </w:r>
          </w:p>
          <w:p>
            <w:pPr>
              <w:pStyle w:val="F21"/>
              <w:tabs>
                <w:tab w:val="clear" w:pos="567"/>
                <w:tab w:val="left" w:pos="284" w:leader="none"/>
              </w:tabs>
              <w:spacing w:lineRule="atLeast" w:line="290"/>
              <w:ind w:left="368" w:right="28" w:hanging="340"/>
              <w:rPr>
                <w:spacing w:val="8"/>
                <w:sz w:val="20"/>
                <w:szCs w:val="20"/>
              </w:rPr>
            </w:pPr>
            <w:r>
              <w:rPr>
                <w:spacing w:val="8"/>
                <w:sz w:val="20"/>
                <w:szCs w:val="20"/>
              </w:rPr>
              <w:t>(iii)</w:t>
            </w:r>
            <w:r>
              <w:rPr>
                <w:spacing w:val="8"/>
                <w:sz w:val="20"/>
                <w:szCs w:val="20"/>
              </w:rPr>
              <w:t>建造證書課程</w:t>
            </w:r>
            <w:r>
              <w:rPr>
                <w:spacing w:val="8"/>
                <w:sz w:val="20"/>
                <w:szCs w:val="20"/>
              </w:rPr>
              <w:t>(</w:t>
            </w:r>
            <w:r>
              <w:rPr>
                <w:spacing w:val="8"/>
                <w:sz w:val="20"/>
                <w:szCs w:val="20"/>
              </w:rPr>
              <w:t>前稱基本工藝課程</w:t>
            </w:r>
            <w:r>
              <w:rPr>
                <w:spacing w:val="8"/>
                <w:sz w:val="20"/>
                <w:szCs w:val="20"/>
              </w:rPr>
              <w:t>)</w:t>
            </w:r>
          </w:p>
          <w:p>
            <w:pPr>
              <w:pStyle w:val="F21"/>
              <w:tabs>
                <w:tab w:val="clear" w:pos="567"/>
                <w:tab w:val="left" w:pos="284" w:leader="none"/>
              </w:tabs>
              <w:spacing w:lineRule="atLeast" w:line="290"/>
              <w:ind w:left="368" w:right="28" w:hanging="340"/>
              <w:rPr>
                <w:spacing w:val="8"/>
                <w:sz w:val="20"/>
                <w:szCs w:val="20"/>
              </w:rPr>
            </w:pPr>
            <w:r>
              <w:rPr>
                <w:spacing w:val="8"/>
                <w:sz w:val="20"/>
                <w:szCs w:val="20"/>
              </w:rPr>
              <w:t>(iv)</w:t>
            </w:r>
            <w:r>
              <w:rPr>
                <w:spacing w:val="8"/>
                <w:sz w:val="20"/>
                <w:szCs w:val="20"/>
              </w:rPr>
              <w:t>建造文憑課程</w:t>
            </w:r>
          </w:p>
        </w:tc>
        <w:tc>
          <w:tcPr>
            <w:tcW w:w="895" w:type="dxa"/>
            <w:vMerge w:val="continue"/>
            <w:tcBorders>
              <w:bottom w:val="nil"/>
            </w:tcBorders>
          </w:tcPr>
          <w:p>
            <w:pPr>
              <w:pStyle w:val="F21"/>
              <w:tabs>
                <w:tab w:val="clear" w:pos="567"/>
                <w:tab w:val="left" w:pos="284" w:leader="none"/>
              </w:tabs>
              <w:spacing w:lineRule="atLeast" w:line="290"/>
              <w:ind w:left="28" w:right="28" w:hanging="0"/>
              <w:rPr>
                <w:spacing w:val="8"/>
                <w:sz w:val="20"/>
                <w:szCs w:val="20"/>
              </w:rPr>
            </w:pPr>
            <w:r>
              <w:rPr>
                <w:spacing w:val="8"/>
                <w:sz w:val="20"/>
                <w:szCs w:val="20"/>
              </w:rPr>
            </w:r>
          </w:p>
        </w:tc>
        <w:tc>
          <w:tcPr>
            <w:tcW w:w="780" w:type="dxa"/>
            <w:tcBorders/>
          </w:tcPr>
          <w:p>
            <w:pPr>
              <w:pStyle w:val="F21"/>
              <w:tabs>
                <w:tab w:val="clear" w:pos="567"/>
                <w:tab w:val="left" w:pos="284" w:leader="none"/>
              </w:tabs>
              <w:spacing w:lineRule="atLeast" w:line="290"/>
              <w:ind w:left="28" w:right="170" w:hanging="0"/>
              <w:jc w:val="right"/>
              <w:rPr>
                <w:spacing w:val="8"/>
                <w:sz w:val="20"/>
                <w:szCs w:val="20"/>
              </w:rPr>
            </w:pPr>
            <w:r>
              <w:rPr>
                <w:spacing w:val="8"/>
                <w:sz w:val="20"/>
                <w:szCs w:val="20"/>
              </w:rPr>
              <w:t>1 076</w:t>
            </w:r>
          </w:p>
        </w:tc>
        <w:tc>
          <w:tcPr>
            <w:tcW w:w="729" w:type="dxa"/>
            <w:tcBorders/>
          </w:tcPr>
          <w:p>
            <w:pPr>
              <w:pStyle w:val="F21"/>
              <w:tabs>
                <w:tab w:val="clear" w:pos="567"/>
                <w:tab w:val="left" w:pos="284" w:leader="none"/>
              </w:tabs>
              <w:spacing w:lineRule="atLeast" w:line="290"/>
              <w:ind w:left="28" w:right="170" w:hanging="0"/>
              <w:jc w:val="right"/>
              <w:rPr>
                <w:spacing w:val="8"/>
                <w:sz w:val="20"/>
                <w:szCs w:val="20"/>
              </w:rPr>
            </w:pPr>
            <w:r>
              <w:rPr>
                <w:spacing w:val="8"/>
                <w:sz w:val="20"/>
                <w:szCs w:val="20"/>
              </w:rPr>
              <w:t>1 102</w:t>
            </w:r>
          </w:p>
        </w:tc>
        <w:tc>
          <w:tcPr>
            <w:tcW w:w="728" w:type="dxa"/>
            <w:tcBorders/>
          </w:tcPr>
          <w:p>
            <w:pPr>
              <w:pStyle w:val="F21"/>
              <w:tabs>
                <w:tab w:val="clear" w:pos="567"/>
                <w:tab w:val="left" w:pos="284" w:leader="none"/>
              </w:tabs>
              <w:spacing w:lineRule="atLeast" w:line="290"/>
              <w:ind w:left="28" w:right="170" w:hanging="0"/>
              <w:jc w:val="right"/>
              <w:rPr>
                <w:spacing w:val="8"/>
                <w:sz w:val="20"/>
                <w:szCs w:val="20"/>
              </w:rPr>
            </w:pPr>
            <w:r>
              <w:rPr>
                <w:spacing w:val="8"/>
                <w:sz w:val="20"/>
                <w:szCs w:val="20"/>
              </w:rPr>
              <w:t>1 133</w:t>
            </w:r>
          </w:p>
        </w:tc>
        <w:tc>
          <w:tcPr>
            <w:tcW w:w="798" w:type="dxa"/>
            <w:tcBorders/>
          </w:tcPr>
          <w:p>
            <w:pPr>
              <w:pStyle w:val="F21"/>
              <w:tabs>
                <w:tab w:val="clear" w:pos="567"/>
                <w:tab w:val="left" w:pos="284" w:leader="none"/>
              </w:tabs>
              <w:spacing w:lineRule="atLeast" w:line="290"/>
              <w:ind w:left="28" w:right="170" w:hanging="0"/>
              <w:jc w:val="right"/>
              <w:rPr>
                <w:spacing w:val="8"/>
                <w:sz w:val="20"/>
                <w:szCs w:val="20"/>
              </w:rPr>
            </w:pPr>
            <w:r>
              <w:rPr>
                <w:spacing w:val="8"/>
                <w:sz w:val="20"/>
                <w:szCs w:val="20"/>
              </w:rPr>
              <w:t>1 100</w:t>
            </w:r>
          </w:p>
        </w:tc>
        <w:tc>
          <w:tcPr>
            <w:tcW w:w="772" w:type="dxa"/>
            <w:tcBorders/>
          </w:tcPr>
          <w:p>
            <w:pPr>
              <w:pStyle w:val="F21"/>
              <w:tabs>
                <w:tab w:val="clear" w:pos="567"/>
                <w:tab w:val="left" w:pos="284" w:leader="none"/>
              </w:tabs>
              <w:spacing w:lineRule="atLeast" w:line="290"/>
              <w:ind w:left="28" w:right="170" w:hanging="0"/>
              <w:jc w:val="right"/>
              <w:rPr>
                <w:spacing w:val="8"/>
                <w:sz w:val="20"/>
                <w:szCs w:val="20"/>
              </w:rPr>
            </w:pPr>
            <w:r>
              <w:rPr>
                <w:spacing w:val="8"/>
                <w:sz w:val="20"/>
                <w:szCs w:val="20"/>
              </w:rPr>
              <w:t>883</w:t>
            </w:r>
          </w:p>
        </w:tc>
        <w:tc>
          <w:tcPr>
            <w:tcW w:w="901" w:type="dxa"/>
            <w:vMerge w:val="continue"/>
            <w:tcBorders/>
          </w:tcPr>
          <w:p>
            <w:pPr>
              <w:pStyle w:val="F21"/>
              <w:tabs>
                <w:tab w:val="clear" w:pos="567"/>
                <w:tab w:val="left" w:pos="284" w:leader="none"/>
              </w:tabs>
              <w:spacing w:lineRule="atLeast" w:line="290"/>
              <w:ind w:left="28" w:right="28" w:hanging="0"/>
              <w:rPr>
                <w:spacing w:val="8"/>
                <w:sz w:val="20"/>
                <w:szCs w:val="20"/>
              </w:rPr>
            </w:pPr>
            <w:r>
              <w:rPr>
                <w:spacing w:val="8"/>
                <w:sz w:val="20"/>
                <w:szCs w:val="20"/>
              </w:rPr>
            </w:r>
          </w:p>
        </w:tc>
        <w:tc>
          <w:tcPr>
            <w:tcW w:w="838" w:type="dxa"/>
            <w:vMerge w:val="continue"/>
            <w:tcBorders>
              <w:bottom w:val="nil"/>
            </w:tcBorders>
          </w:tcPr>
          <w:p>
            <w:pPr>
              <w:pStyle w:val="F21"/>
              <w:tabs>
                <w:tab w:val="clear" w:pos="567"/>
                <w:tab w:val="left" w:pos="284" w:leader="none"/>
              </w:tabs>
              <w:spacing w:lineRule="atLeast" w:line="290"/>
              <w:ind w:left="28" w:right="28" w:hanging="0"/>
              <w:rPr>
                <w:spacing w:val="8"/>
                <w:sz w:val="20"/>
                <w:szCs w:val="20"/>
              </w:rPr>
            </w:pPr>
            <w:r>
              <w:rPr>
                <w:spacing w:val="8"/>
                <w:sz w:val="20"/>
                <w:szCs w:val="20"/>
              </w:rPr>
            </w:r>
          </w:p>
        </w:tc>
        <w:tc>
          <w:tcPr>
            <w:tcW w:w="869" w:type="dxa"/>
            <w:vMerge w:val="continue"/>
            <w:tcBorders>
              <w:bottom w:val="nil"/>
            </w:tcBorders>
          </w:tcPr>
          <w:p>
            <w:pPr>
              <w:pStyle w:val="F21"/>
              <w:tabs>
                <w:tab w:val="clear" w:pos="567"/>
                <w:tab w:val="left" w:pos="284" w:leader="none"/>
              </w:tabs>
              <w:spacing w:lineRule="atLeast" w:line="290"/>
              <w:ind w:left="28" w:right="28" w:hanging="0"/>
              <w:rPr>
                <w:spacing w:val="8"/>
                <w:sz w:val="20"/>
                <w:szCs w:val="20"/>
              </w:rPr>
            </w:pPr>
            <w:r>
              <w:rPr>
                <w:spacing w:val="8"/>
                <w:sz w:val="20"/>
                <w:szCs w:val="20"/>
              </w:rPr>
            </w:r>
          </w:p>
        </w:tc>
      </w:tr>
      <w:tr>
        <w:trPr/>
        <w:tc>
          <w:tcPr>
            <w:tcW w:w="837" w:type="dxa"/>
            <w:tcBorders/>
          </w:tcPr>
          <w:p>
            <w:pPr>
              <w:pStyle w:val="F21"/>
              <w:tabs>
                <w:tab w:val="clear" w:pos="567"/>
                <w:tab w:val="left" w:pos="284" w:leader="none"/>
              </w:tabs>
              <w:spacing w:lineRule="atLeast" w:line="290"/>
              <w:ind w:left="28" w:right="28" w:hanging="0"/>
              <w:rPr>
                <w:spacing w:val="8"/>
                <w:sz w:val="20"/>
                <w:szCs w:val="20"/>
              </w:rPr>
            </w:pPr>
            <w:r>
              <w:rPr>
                <w:spacing w:val="8"/>
                <w:sz w:val="20"/>
                <w:szCs w:val="20"/>
              </w:rPr>
              <w:t>3.</w:t>
            </w:r>
            <w:r>
              <w:rPr>
                <w:spacing w:val="8"/>
                <w:sz w:val="20"/>
                <w:szCs w:val="20"/>
              </w:rPr>
              <w:t>混凝</w:t>
            </w:r>
            <w:r>
              <w:rPr>
                <w:spacing w:val="8"/>
                <w:sz w:val="20"/>
                <w:szCs w:val="20"/>
              </w:rPr>
              <w:tab/>
            </w:r>
            <w:r>
              <w:rPr>
                <w:spacing w:val="8"/>
                <w:sz w:val="20"/>
                <w:szCs w:val="20"/>
              </w:rPr>
              <w:t>土工</w:t>
            </w:r>
          </w:p>
        </w:tc>
        <w:tc>
          <w:tcPr>
            <w:tcW w:w="1100" w:type="dxa"/>
            <w:vMerge w:val="continue"/>
            <w:tcBorders>
              <w:bottom w:val="nil"/>
            </w:tcBorders>
          </w:tcPr>
          <w:p>
            <w:pPr>
              <w:pStyle w:val="F21"/>
              <w:tabs>
                <w:tab w:val="clear" w:pos="567"/>
                <w:tab w:val="left" w:pos="284" w:leader="none"/>
              </w:tabs>
              <w:spacing w:lineRule="atLeast" w:line="290"/>
              <w:ind w:left="28" w:right="28" w:hanging="0"/>
              <w:rPr>
                <w:spacing w:val="8"/>
                <w:sz w:val="20"/>
                <w:szCs w:val="20"/>
              </w:rPr>
            </w:pPr>
            <w:r>
              <w:rPr>
                <w:spacing w:val="8"/>
                <w:sz w:val="20"/>
                <w:szCs w:val="20"/>
              </w:rPr>
            </w:r>
          </w:p>
        </w:tc>
        <w:tc>
          <w:tcPr>
            <w:tcW w:w="895" w:type="dxa"/>
            <w:vMerge w:val="continue"/>
            <w:tcBorders>
              <w:bottom w:val="nil"/>
            </w:tcBorders>
          </w:tcPr>
          <w:p>
            <w:pPr>
              <w:pStyle w:val="F21"/>
              <w:tabs>
                <w:tab w:val="clear" w:pos="567"/>
                <w:tab w:val="left" w:pos="284" w:leader="none"/>
              </w:tabs>
              <w:spacing w:lineRule="atLeast" w:line="290"/>
              <w:ind w:left="28" w:right="28" w:hanging="0"/>
              <w:rPr>
                <w:spacing w:val="8"/>
                <w:sz w:val="20"/>
                <w:szCs w:val="20"/>
              </w:rPr>
            </w:pPr>
            <w:r>
              <w:rPr>
                <w:spacing w:val="8"/>
                <w:sz w:val="20"/>
                <w:szCs w:val="20"/>
              </w:rPr>
            </w:r>
          </w:p>
        </w:tc>
        <w:tc>
          <w:tcPr>
            <w:tcW w:w="780" w:type="dxa"/>
            <w:tcBorders/>
          </w:tcPr>
          <w:p>
            <w:pPr>
              <w:pStyle w:val="F21"/>
              <w:tabs>
                <w:tab w:val="clear" w:pos="567"/>
                <w:tab w:val="left" w:pos="284" w:leader="none"/>
              </w:tabs>
              <w:spacing w:lineRule="atLeast" w:line="290"/>
              <w:ind w:left="28" w:right="170" w:hanging="0"/>
              <w:jc w:val="right"/>
              <w:rPr>
                <w:spacing w:val="8"/>
                <w:sz w:val="20"/>
                <w:szCs w:val="20"/>
              </w:rPr>
            </w:pPr>
            <w:r>
              <w:rPr>
                <w:spacing w:val="8"/>
                <w:sz w:val="20"/>
                <w:szCs w:val="20"/>
              </w:rPr>
              <w:t>158</w:t>
            </w:r>
          </w:p>
        </w:tc>
        <w:tc>
          <w:tcPr>
            <w:tcW w:w="729" w:type="dxa"/>
            <w:tcBorders/>
          </w:tcPr>
          <w:p>
            <w:pPr>
              <w:pStyle w:val="F21"/>
              <w:tabs>
                <w:tab w:val="clear" w:pos="567"/>
                <w:tab w:val="left" w:pos="284" w:leader="none"/>
              </w:tabs>
              <w:spacing w:lineRule="atLeast" w:line="290"/>
              <w:ind w:left="28" w:right="170" w:hanging="0"/>
              <w:jc w:val="right"/>
              <w:rPr>
                <w:spacing w:val="8"/>
                <w:sz w:val="20"/>
                <w:szCs w:val="20"/>
              </w:rPr>
            </w:pPr>
            <w:r>
              <w:rPr>
                <w:spacing w:val="8"/>
                <w:sz w:val="20"/>
                <w:szCs w:val="20"/>
              </w:rPr>
              <w:t>184</w:t>
            </w:r>
          </w:p>
        </w:tc>
        <w:tc>
          <w:tcPr>
            <w:tcW w:w="728" w:type="dxa"/>
            <w:tcBorders/>
          </w:tcPr>
          <w:p>
            <w:pPr>
              <w:pStyle w:val="F21"/>
              <w:tabs>
                <w:tab w:val="clear" w:pos="567"/>
                <w:tab w:val="left" w:pos="284" w:leader="none"/>
              </w:tabs>
              <w:spacing w:lineRule="atLeast" w:line="290"/>
              <w:ind w:left="28" w:right="170" w:hanging="0"/>
              <w:jc w:val="right"/>
              <w:rPr>
                <w:spacing w:val="8"/>
                <w:sz w:val="20"/>
                <w:szCs w:val="20"/>
              </w:rPr>
            </w:pPr>
            <w:r>
              <w:rPr>
                <w:spacing w:val="8"/>
                <w:sz w:val="20"/>
                <w:szCs w:val="20"/>
              </w:rPr>
              <w:t>375</w:t>
            </w:r>
          </w:p>
        </w:tc>
        <w:tc>
          <w:tcPr>
            <w:tcW w:w="798" w:type="dxa"/>
            <w:tcBorders/>
          </w:tcPr>
          <w:p>
            <w:pPr>
              <w:pStyle w:val="F21"/>
              <w:tabs>
                <w:tab w:val="clear" w:pos="567"/>
                <w:tab w:val="left" w:pos="284" w:leader="none"/>
              </w:tabs>
              <w:spacing w:lineRule="atLeast" w:line="290"/>
              <w:ind w:left="28" w:right="170" w:hanging="0"/>
              <w:jc w:val="right"/>
              <w:rPr>
                <w:spacing w:val="8"/>
                <w:sz w:val="20"/>
                <w:szCs w:val="20"/>
              </w:rPr>
            </w:pPr>
            <w:r>
              <w:rPr>
                <w:spacing w:val="8"/>
                <w:sz w:val="20"/>
                <w:szCs w:val="20"/>
              </w:rPr>
              <w:t>298</w:t>
            </w:r>
          </w:p>
        </w:tc>
        <w:tc>
          <w:tcPr>
            <w:tcW w:w="772" w:type="dxa"/>
            <w:tcBorders/>
          </w:tcPr>
          <w:p>
            <w:pPr>
              <w:pStyle w:val="F21"/>
              <w:tabs>
                <w:tab w:val="clear" w:pos="567"/>
                <w:tab w:val="left" w:pos="284" w:leader="none"/>
              </w:tabs>
              <w:spacing w:lineRule="atLeast" w:line="290"/>
              <w:ind w:left="28" w:right="170" w:hanging="0"/>
              <w:jc w:val="right"/>
              <w:rPr>
                <w:spacing w:val="8"/>
                <w:sz w:val="20"/>
                <w:szCs w:val="20"/>
              </w:rPr>
            </w:pPr>
            <w:r>
              <w:rPr>
                <w:spacing w:val="8"/>
                <w:sz w:val="20"/>
                <w:szCs w:val="20"/>
              </w:rPr>
              <w:t>224</w:t>
            </w:r>
          </w:p>
        </w:tc>
        <w:tc>
          <w:tcPr>
            <w:tcW w:w="901" w:type="dxa"/>
            <w:vMerge w:val="continue"/>
            <w:tcBorders/>
          </w:tcPr>
          <w:p>
            <w:pPr>
              <w:pStyle w:val="F21"/>
              <w:tabs>
                <w:tab w:val="clear" w:pos="567"/>
                <w:tab w:val="left" w:pos="284" w:leader="none"/>
              </w:tabs>
              <w:spacing w:lineRule="atLeast" w:line="290"/>
              <w:ind w:left="28" w:right="28" w:hanging="0"/>
              <w:rPr>
                <w:spacing w:val="8"/>
                <w:sz w:val="20"/>
                <w:szCs w:val="20"/>
              </w:rPr>
            </w:pPr>
            <w:r>
              <w:rPr>
                <w:spacing w:val="8"/>
                <w:sz w:val="20"/>
                <w:szCs w:val="20"/>
              </w:rPr>
            </w:r>
          </w:p>
        </w:tc>
        <w:tc>
          <w:tcPr>
            <w:tcW w:w="838" w:type="dxa"/>
            <w:vMerge w:val="continue"/>
            <w:tcBorders>
              <w:bottom w:val="nil"/>
            </w:tcBorders>
          </w:tcPr>
          <w:p>
            <w:pPr>
              <w:pStyle w:val="F21"/>
              <w:tabs>
                <w:tab w:val="clear" w:pos="567"/>
                <w:tab w:val="left" w:pos="284" w:leader="none"/>
              </w:tabs>
              <w:spacing w:lineRule="atLeast" w:line="290"/>
              <w:ind w:left="28" w:right="28" w:hanging="0"/>
              <w:rPr>
                <w:spacing w:val="8"/>
                <w:sz w:val="20"/>
                <w:szCs w:val="20"/>
              </w:rPr>
            </w:pPr>
            <w:r>
              <w:rPr>
                <w:spacing w:val="8"/>
                <w:sz w:val="20"/>
                <w:szCs w:val="20"/>
              </w:rPr>
            </w:r>
          </w:p>
        </w:tc>
        <w:tc>
          <w:tcPr>
            <w:tcW w:w="869" w:type="dxa"/>
            <w:vMerge w:val="continue"/>
            <w:tcBorders>
              <w:bottom w:val="nil"/>
            </w:tcBorders>
          </w:tcPr>
          <w:p>
            <w:pPr>
              <w:pStyle w:val="F21"/>
              <w:tabs>
                <w:tab w:val="clear" w:pos="567"/>
                <w:tab w:val="left" w:pos="284" w:leader="none"/>
              </w:tabs>
              <w:spacing w:lineRule="atLeast" w:line="290"/>
              <w:ind w:left="28" w:right="28" w:hanging="0"/>
              <w:rPr>
                <w:spacing w:val="8"/>
                <w:sz w:val="20"/>
                <w:szCs w:val="20"/>
              </w:rPr>
            </w:pPr>
            <w:r>
              <w:rPr>
                <w:spacing w:val="8"/>
                <w:sz w:val="20"/>
                <w:szCs w:val="20"/>
              </w:rPr>
            </w:r>
          </w:p>
        </w:tc>
      </w:tr>
      <w:tr>
        <w:trPr/>
        <w:tc>
          <w:tcPr>
            <w:tcW w:w="837" w:type="dxa"/>
            <w:tcBorders/>
          </w:tcPr>
          <w:p>
            <w:pPr>
              <w:pStyle w:val="F21"/>
              <w:tabs>
                <w:tab w:val="clear" w:pos="567"/>
                <w:tab w:val="left" w:pos="284" w:leader="none"/>
              </w:tabs>
              <w:spacing w:lineRule="atLeast" w:line="290"/>
              <w:ind w:left="28" w:right="28" w:hanging="0"/>
              <w:rPr>
                <w:spacing w:val="8"/>
                <w:sz w:val="20"/>
                <w:szCs w:val="20"/>
              </w:rPr>
            </w:pPr>
            <w:r>
              <w:rPr>
                <w:spacing w:val="8"/>
                <w:sz w:val="20"/>
                <w:szCs w:val="20"/>
              </w:rPr>
              <w:t>4.</w:t>
            </w:r>
            <w:r>
              <w:rPr>
                <w:spacing w:val="8"/>
                <w:sz w:val="20"/>
                <w:szCs w:val="20"/>
              </w:rPr>
              <w:t>索具</w:t>
            </w:r>
            <w:r>
              <w:rPr>
                <w:spacing w:val="8"/>
                <w:sz w:val="20"/>
                <w:szCs w:val="20"/>
              </w:rPr>
              <w:tab/>
            </w:r>
            <w:r>
              <w:rPr>
                <w:spacing w:val="8"/>
                <w:sz w:val="20"/>
                <w:szCs w:val="20"/>
              </w:rPr>
              <w:t>工</w:t>
            </w:r>
            <w:r>
              <w:rPr>
                <w:rFonts w:ascii="華康細明體" w:hAnsi="華康細明體"/>
                <w:spacing w:val="8"/>
                <w:sz w:val="20"/>
                <w:szCs w:val="20"/>
              </w:rPr>
              <w:t>/</w:t>
            </w:r>
            <w:r>
              <w:rPr>
                <w:spacing w:val="8"/>
                <w:sz w:val="20"/>
                <w:szCs w:val="20"/>
              </w:rPr>
              <w:tab/>
            </w:r>
            <w:r>
              <w:rPr>
                <w:spacing w:val="8"/>
                <w:sz w:val="20"/>
                <w:szCs w:val="20"/>
              </w:rPr>
              <w:t>金屬</w:t>
            </w:r>
            <w:r>
              <w:rPr>
                <w:spacing w:val="8"/>
                <w:sz w:val="20"/>
                <w:szCs w:val="20"/>
              </w:rPr>
              <w:tab/>
            </w:r>
            <w:r>
              <w:rPr>
                <w:spacing w:val="8"/>
                <w:sz w:val="20"/>
                <w:szCs w:val="20"/>
              </w:rPr>
              <w:t>模板</w:t>
            </w:r>
            <w:r>
              <w:rPr>
                <w:spacing w:val="8"/>
                <w:sz w:val="20"/>
                <w:szCs w:val="20"/>
              </w:rPr>
              <w:tab/>
            </w:r>
            <w:r>
              <w:rPr>
                <w:spacing w:val="8"/>
                <w:sz w:val="20"/>
                <w:szCs w:val="20"/>
              </w:rPr>
              <w:t>裝嵌</w:t>
            </w:r>
            <w:r>
              <w:rPr>
                <w:spacing w:val="8"/>
                <w:sz w:val="20"/>
                <w:szCs w:val="20"/>
              </w:rPr>
              <w:tab/>
            </w:r>
            <w:r>
              <w:rPr>
                <w:spacing w:val="8"/>
                <w:sz w:val="20"/>
                <w:szCs w:val="20"/>
              </w:rPr>
              <w:t>工</w:t>
            </w:r>
          </w:p>
        </w:tc>
        <w:tc>
          <w:tcPr>
            <w:tcW w:w="1100" w:type="dxa"/>
            <w:vMerge w:val="continue"/>
            <w:tcBorders>
              <w:bottom w:val="nil"/>
            </w:tcBorders>
          </w:tcPr>
          <w:p>
            <w:pPr>
              <w:pStyle w:val="F21"/>
              <w:tabs>
                <w:tab w:val="clear" w:pos="567"/>
                <w:tab w:val="left" w:pos="284" w:leader="none"/>
              </w:tabs>
              <w:spacing w:lineRule="atLeast" w:line="290"/>
              <w:ind w:left="28" w:right="28" w:hanging="0"/>
              <w:rPr>
                <w:spacing w:val="8"/>
                <w:sz w:val="20"/>
                <w:szCs w:val="20"/>
              </w:rPr>
            </w:pPr>
            <w:r>
              <w:rPr>
                <w:spacing w:val="8"/>
                <w:sz w:val="20"/>
                <w:szCs w:val="20"/>
              </w:rPr>
            </w:r>
          </w:p>
        </w:tc>
        <w:tc>
          <w:tcPr>
            <w:tcW w:w="895" w:type="dxa"/>
            <w:vMerge w:val="restart"/>
            <w:tcBorders>
              <w:top w:val="nil"/>
            </w:tcBorders>
          </w:tcPr>
          <w:p>
            <w:pPr>
              <w:pStyle w:val="F21"/>
              <w:tabs>
                <w:tab w:val="clear" w:pos="567"/>
                <w:tab w:val="left" w:pos="284" w:leader="none"/>
              </w:tabs>
              <w:spacing w:lineRule="atLeast" w:line="290"/>
              <w:ind w:left="28" w:right="28" w:hanging="0"/>
              <w:rPr>
                <w:spacing w:val="8"/>
                <w:sz w:val="20"/>
                <w:szCs w:val="20"/>
              </w:rPr>
            </w:pPr>
            <w:r>
              <w:rPr>
                <w:spacing w:val="8"/>
                <w:sz w:val="20"/>
                <w:szCs w:val="20"/>
              </w:rPr>
              <w:t>近年，個別工種更增設了建造文憑課程，例如由</w:t>
            </w:r>
            <w:r>
              <w:rPr>
                <w:spacing w:val="8"/>
                <w:sz w:val="20"/>
                <w:szCs w:val="20"/>
              </w:rPr>
              <w:t>2017-</w:t>
            </w:r>
          </w:p>
          <w:p>
            <w:pPr>
              <w:pStyle w:val="F21"/>
              <w:tabs>
                <w:tab w:val="clear" w:pos="567"/>
                <w:tab w:val="left" w:pos="284" w:leader="none"/>
              </w:tabs>
              <w:spacing w:lineRule="atLeast" w:line="290"/>
              <w:ind w:left="28" w:right="28" w:hanging="0"/>
              <w:rPr>
                <w:spacing w:val="8"/>
                <w:sz w:val="20"/>
                <w:szCs w:val="20"/>
              </w:rPr>
            </w:pPr>
            <w:r>
              <w:rPr>
                <w:spacing w:val="8"/>
                <w:sz w:val="20"/>
                <w:szCs w:val="20"/>
              </w:rPr>
              <w:t>2018</w:t>
            </w:r>
            <w:r>
              <w:rPr>
                <w:spacing w:val="8"/>
                <w:sz w:val="20"/>
                <w:szCs w:val="20"/>
              </w:rPr>
              <w:t>學年起開辦的砌磚、批盪及鋪瓦，及金工及焊</w:t>
            </w:r>
            <w:r>
              <w:rPr>
                <w:spacing w:val="49"/>
                <w:sz w:val="20"/>
                <w:szCs w:val="20"/>
              </w:rPr>
              <w:t>接建</w:t>
            </w:r>
            <w:r>
              <w:rPr>
                <w:spacing w:val="0"/>
                <w:sz w:val="20"/>
                <w:szCs w:val="20"/>
              </w:rPr>
              <w:t>造</w:t>
            </w:r>
          </w:p>
        </w:tc>
        <w:tc>
          <w:tcPr>
            <w:tcW w:w="780" w:type="dxa"/>
            <w:tcBorders/>
          </w:tcPr>
          <w:p>
            <w:pPr>
              <w:pStyle w:val="F21"/>
              <w:tabs>
                <w:tab w:val="clear" w:pos="567"/>
                <w:tab w:val="left" w:pos="284" w:leader="none"/>
              </w:tabs>
              <w:spacing w:lineRule="atLeast" w:line="290"/>
              <w:ind w:left="28" w:right="170" w:hanging="0"/>
              <w:jc w:val="right"/>
              <w:rPr>
                <w:spacing w:val="8"/>
                <w:sz w:val="20"/>
                <w:szCs w:val="20"/>
              </w:rPr>
            </w:pPr>
            <w:r>
              <w:rPr>
                <w:spacing w:val="8"/>
                <w:sz w:val="20"/>
                <w:szCs w:val="20"/>
              </w:rPr>
              <w:t>16</w:t>
            </w:r>
          </w:p>
        </w:tc>
        <w:tc>
          <w:tcPr>
            <w:tcW w:w="729" w:type="dxa"/>
            <w:tcBorders/>
          </w:tcPr>
          <w:p>
            <w:pPr>
              <w:pStyle w:val="F21"/>
              <w:tabs>
                <w:tab w:val="clear" w:pos="567"/>
                <w:tab w:val="left" w:pos="284" w:leader="none"/>
              </w:tabs>
              <w:spacing w:lineRule="atLeast" w:line="290"/>
              <w:ind w:left="28" w:right="170" w:hanging="0"/>
              <w:jc w:val="right"/>
              <w:rPr>
                <w:spacing w:val="8"/>
                <w:sz w:val="20"/>
                <w:szCs w:val="20"/>
              </w:rPr>
            </w:pPr>
            <w:r>
              <w:rPr>
                <w:spacing w:val="8"/>
                <w:sz w:val="20"/>
                <w:szCs w:val="20"/>
              </w:rPr>
              <w:t>13</w:t>
            </w:r>
          </w:p>
        </w:tc>
        <w:tc>
          <w:tcPr>
            <w:tcW w:w="728" w:type="dxa"/>
            <w:tcBorders/>
          </w:tcPr>
          <w:p>
            <w:pPr>
              <w:pStyle w:val="F21"/>
              <w:tabs>
                <w:tab w:val="clear" w:pos="567"/>
                <w:tab w:val="left" w:pos="284" w:leader="none"/>
              </w:tabs>
              <w:spacing w:lineRule="atLeast" w:line="290"/>
              <w:ind w:left="28" w:right="170" w:hanging="0"/>
              <w:jc w:val="right"/>
              <w:rPr>
                <w:spacing w:val="8"/>
                <w:sz w:val="20"/>
                <w:szCs w:val="20"/>
              </w:rPr>
            </w:pPr>
            <w:r>
              <w:rPr>
                <w:spacing w:val="8"/>
                <w:sz w:val="20"/>
                <w:szCs w:val="20"/>
              </w:rPr>
              <w:t>67</w:t>
            </w:r>
          </w:p>
        </w:tc>
        <w:tc>
          <w:tcPr>
            <w:tcW w:w="798" w:type="dxa"/>
            <w:tcBorders/>
          </w:tcPr>
          <w:p>
            <w:pPr>
              <w:pStyle w:val="F21"/>
              <w:tabs>
                <w:tab w:val="clear" w:pos="567"/>
                <w:tab w:val="left" w:pos="284" w:leader="none"/>
              </w:tabs>
              <w:spacing w:lineRule="atLeast" w:line="290"/>
              <w:ind w:left="28" w:right="170" w:hanging="0"/>
              <w:jc w:val="right"/>
              <w:rPr>
                <w:spacing w:val="8"/>
                <w:sz w:val="20"/>
                <w:szCs w:val="20"/>
              </w:rPr>
            </w:pPr>
            <w:r>
              <w:rPr>
                <w:spacing w:val="8"/>
                <w:sz w:val="20"/>
                <w:szCs w:val="20"/>
              </w:rPr>
              <w:t>124</w:t>
            </w:r>
          </w:p>
        </w:tc>
        <w:tc>
          <w:tcPr>
            <w:tcW w:w="772" w:type="dxa"/>
            <w:tcBorders/>
          </w:tcPr>
          <w:p>
            <w:pPr>
              <w:pStyle w:val="F21"/>
              <w:tabs>
                <w:tab w:val="clear" w:pos="567"/>
                <w:tab w:val="left" w:pos="284" w:leader="none"/>
              </w:tabs>
              <w:spacing w:lineRule="atLeast" w:line="290"/>
              <w:ind w:left="28" w:right="170" w:hanging="0"/>
              <w:jc w:val="right"/>
              <w:rPr>
                <w:spacing w:val="8"/>
                <w:sz w:val="20"/>
                <w:szCs w:val="20"/>
              </w:rPr>
            </w:pPr>
            <w:r>
              <w:rPr>
                <w:spacing w:val="8"/>
                <w:sz w:val="20"/>
                <w:szCs w:val="20"/>
              </w:rPr>
              <w:t>95</w:t>
            </w:r>
          </w:p>
        </w:tc>
        <w:tc>
          <w:tcPr>
            <w:tcW w:w="901" w:type="dxa"/>
            <w:vMerge w:val="continue"/>
            <w:tcBorders/>
          </w:tcPr>
          <w:p>
            <w:pPr>
              <w:pStyle w:val="F21"/>
              <w:tabs>
                <w:tab w:val="clear" w:pos="567"/>
                <w:tab w:val="left" w:pos="284" w:leader="none"/>
              </w:tabs>
              <w:spacing w:lineRule="atLeast" w:line="290"/>
              <w:ind w:left="28" w:right="28" w:hanging="0"/>
              <w:rPr>
                <w:spacing w:val="8"/>
                <w:sz w:val="20"/>
                <w:szCs w:val="20"/>
              </w:rPr>
            </w:pPr>
            <w:r>
              <w:rPr>
                <w:spacing w:val="8"/>
                <w:sz w:val="20"/>
                <w:szCs w:val="20"/>
              </w:rPr>
            </w:r>
          </w:p>
        </w:tc>
        <w:tc>
          <w:tcPr>
            <w:tcW w:w="838" w:type="dxa"/>
            <w:vMerge w:val="continue"/>
            <w:tcBorders>
              <w:bottom w:val="nil"/>
            </w:tcBorders>
          </w:tcPr>
          <w:p>
            <w:pPr>
              <w:pStyle w:val="F21"/>
              <w:tabs>
                <w:tab w:val="clear" w:pos="567"/>
                <w:tab w:val="left" w:pos="284" w:leader="none"/>
              </w:tabs>
              <w:spacing w:lineRule="atLeast" w:line="290"/>
              <w:ind w:left="28" w:right="28" w:hanging="0"/>
              <w:rPr>
                <w:spacing w:val="8"/>
                <w:sz w:val="20"/>
                <w:szCs w:val="20"/>
              </w:rPr>
            </w:pPr>
            <w:r>
              <w:rPr>
                <w:spacing w:val="8"/>
                <w:sz w:val="20"/>
                <w:szCs w:val="20"/>
              </w:rPr>
            </w:r>
          </w:p>
        </w:tc>
        <w:tc>
          <w:tcPr>
            <w:tcW w:w="869" w:type="dxa"/>
            <w:vMerge w:val="continue"/>
            <w:tcBorders>
              <w:bottom w:val="nil"/>
            </w:tcBorders>
          </w:tcPr>
          <w:p>
            <w:pPr>
              <w:pStyle w:val="F21"/>
              <w:tabs>
                <w:tab w:val="clear" w:pos="567"/>
                <w:tab w:val="left" w:pos="284" w:leader="none"/>
              </w:tabs>
              <w:spacing w:lineRule="atLeast" w:line="290"/>
              <w:ind w:left="28" w:right="28" w:hanging="0"/>
              <w:rPr>
                <w:spacing w:val="8"/>
                <w:sz w:val="20"/>
                <w:szCs w:val="20"/>
              </w:rPr>
            </w:pPr>
            <w:r>
              <w:rPr>
                <w:spacing w:val="8"/>
                <w:sz w:val="20"/>
                <w:szCs w:val="20"/>
              </w:rPr>
            </w:r>
          </w:p>
        </w:tc>
      </w:tr>
      <w:tr>
        <w:trPr/>
        <w:tc>
          <w:tcPr>
            <w:tcW w:w="837" w:type="dxa"/>
            <w:tcBorders/>
          </w:tcPr>
          <w:p>
            <w:pPr>
              <w:pStyle w:val="F21"/>
              <w:tabs>
                <w:tab w:val="clear" w:pos="567"/>
                <w:tab w:val="left" w:pos="284" w:leader="none"/>
              </w:tabs>
              <w:spacing w:lineRule="atLeast" w:line="290"/>
              <w:ind w:left="28" w:right="28" w:hanging="0"/>
              <w:rPr>
                <w:spacing w:val="8"/>
                <w:sz w:val="20"/>
                <w:szCs w:val="20"/>
              </w:rPr>
            </w:pPr>
            <w:r>
              <w:rPr>
                <w:spacing w:val="8"/>
                <w:sz w:val="20"/>
                <w:szCs w:val="20"/>
              </w:rPr>
              <w:t>5.</w:t>
            </w:r>
            <w:r>
              <w:rPr>
                <w:spacing w:val="8"/>
                <w:sz w:val="20"/>
                <w:szCs w:val="20"/>
              </w:rPr>
              <w:t>普通</w:t>
            </w:r>
            <w:r>
              <w:rPr>
                <w:spacing w:val="8"/>
                <w:sz w:val="20"/>
                <w:szCs w:val="20"/>
              </w:rPr>
              <w:tab/>
            </w:r>
            <w:r>
              <w:rPr>
                <w:spacing w:val="8"/>
                <w:sz w:val="20"/>
                <w:szCs w:val="20"/>
              </w:rPr>
              <w:t>焊接</w:t>
            </w:r>
            <w:r>
              <w:rPr>
                <w:spacing w:val="8"/>
                <w:sz w:val="20"/>
                <w:szCs w:val="20"/>
              </w:rPr>
              <w:tab/>
            </w:r>
            <w:r>
              <w:rPr>
                <w:spacing w:val="8"/>
                <w:sz w:val="20"/>
                <w:szCs w:val="20"/>
              </w:rPr>
              <w:t>工</w:t>
            </w:r>
          </w:p>
        </w:tc>
        <w:tc>
          <w:tcPr>
            <w:tcW w:w="1100" w:type="dxa"/>
            <w:vMerge w:val="continue"/>
            <w:tcBorders>
              <w:bottom w:val="nil"/>
            </w:tcBorders>
          </w:tcPr>
          <w:p>
            <w:pPr>
              <w:pStyle w:val="F21"/>
              <w:tabs>
                <w:tab w:val="clear" w:pos="567"/>
                <w:tab w:val="left" w:pos="284" w:leader="none"/>
              </w:tabs>
              <w:spacing w:lineRule="atLeast" w:line="290"/>
              <w:ind w:left="28" w:right="28" w:hanging="0"/>
              <w:rPr>
                <w:spacing w:val="8"/>
                <w:sz w:val="20"/>
                <w:szCs w:val="20"/>
              </w:rPr>
            </w:pPr>
            <w:r>
              <w:rPr>
                <w:spacing w:val="8"/>
                <w:sz w:val="20"/>
                <w:szCs w:val="20"/>
              </w:rPr>
            </w:r>
          </w:p>
        </w:tc>
        <w:tc>
          <w:tcPr>
            <w:tcW w:w="895" w:type="dxa"/>
            <w:vMerge w:val="continue"/>
            <w:tcBorders/>
          </w:tcPr>
          <w:p>
            <w:pPr>
              <w:pStyle w:val="F21"/>
              <w:tabs>
                <w:tab w:val="clear" w:pos="567"/>
                <w:tab w:val="left" w:pos="284" w:leader="none"/>
              </w:tabs>
              <w:spacing w:lineRule="atLeast" w:line="290"/>
              <w:ind w:left="28" w:right="28" w:hanging="0"/>
              <w:rPr>
                <w:spacing w:val="8"/>
                <w:sz w:val="20"/>
                <w:szCs w:val="20"/>
              </w:rPr>
            </w:pPr>
            <w:r>
              <w:rPr>
                <w:spacing w:val="8"/>
                <w:sz w:val="20"/>
                <w:szCs w:val="20"/>
              </w:rPr>
            </w:r>
          </w:p>
        </w:tc>
        <w:tc>
          <w:tcPr>
            <w:tcW w:w="780" w:type="dxa"/>
            <w:tcBorders/>
          </w:tcPr>
          <w:p>
            <w:pPr>
              <w:pStyle w:val="F21"/>
              <w:tabs>
                <w:tab w:val="clear" w:pos="567"/>
                <w:tab w:val="left" w:pos="284" w:leader="none"/>
              </w:tabs>
              <w:spacing w:lineRule="atLeast" w:line="290"/>
              <w:ind w:left="28" w:right="170" w:hanging="0"/>
              <w:jc w:val="right"/>
              <w:rPr>
                <w:spacing w:val="8"/>
                <w:sz w:val="20"/>
                <w:szCs w:val="20"/>
              </w:rPr>
            </w:pPr>
            <w:r>
              <w:rPr>
                <w:spacing w:val="8"/>
                <w:sz w:val="20"/>
                <w:szCs w:val="20"/>
              </w:rPr>
              <w:t>217</w:t>
            </w:r>
          </w:p>
        </w:tc>
        <w:tc>
          <w:tcPr>
            <w:tcW w:w="729" w:type="dxa"/>
            <w:tcBorders/>
          </w:tcPr>
          <w:p>
            <w:pPr>
              <w:pStyle w:val="F21"/>
              <w:tabs>
                <w:tab w:val="clear" w:pos="567"/>
                <w:tab w:val="left" w:pos="284" w:leader="none"/>
              </w:tabs>
              <w:spacing w:lineRule="atLeast" w:line="290"/>
              <w:ind w:left="28" w:right="170" w:hanging="0"/>
              <w:jc w:val="right"/>
              <w:rPr>
                <w:spacing w:val="8"/>
                <w:sz w:val="20"/>
                <w:szCs w:val="20"/>
              </w:rPr>
            </w:pPr>
            <w:r>
              <w:rPr>
                <w:spacing w:val="8"/>
                <w:sz w:val="20"/>
                <w:szCs w:val="20"/>
              </w:rPr>
              <w:t>129</w:t>
            </w:r>
          </w:p>
        </w:tc>
        <w:tc>
          <w:tcPr>
            <w:tcW w:w="728" w:type="dxa"/>
            <w:tcBorders/>
          </w:tcPr>
          <w:p>
            <w:pPr>
              <w:pStyle w:val="F21"/>
              <w:tabs>
                <w:tab w:val="clear" w:pos="567"/>
                <w:tab w:val="left" w:pos="284" w:leader="none"/>
              </w:tabs>
              <w:spacing w:lineRule="atLeast" w:line="290"/>
              <w:ind w:left="28" w:right="170" w:hanging="0"/>
              <w:jc w:val="right"/>
              <w:rPr>
                <w:spacing w:val="8"/>
                <w:sz w:val="20"/>
                <w:szCs w:val="20"/>
              </w:rPr>
            </w:pPr>
            <w:r>
              <w:rPr>
                <w:spacing w:val="8"/>
                <w:sz w:val="20"/>
                <w:szCs w:val="20"/>
              </w:rPr>
              <w:t>270</w:t>
            </w:r>
          </w:p>
        </w:tc>
        <w:tc>
          <w:tcPr>
            <w:tcW w:w="798" w:type="dxa"/>
            <w:tcBorders/>
          </w:tcPr>
          <w:p>
            <w:pPr>
              <w:pStyle w:val="F21"/>
              <w:tabs>
                <w:tab w:val="clear" w:pos="567"/>
                <w:tab w:val="left" w:pos="284" w:leader="none"/>
              </w:tabs>
              <w:spacing w:lineRule="atLeast" w:line="290"/>
              <w:ind w:left="28" w:right="170" w:hanging="0"/>
              <w:jc w:val="right"/>
              <w:rPr>
                <w:spacing w:val="8"/>
                <w:sz w:val="20"/>
                <w:szCs w:val="20"/>
              </w:rPr>
            </w:pPr>
            <w:r>
              <w:rPr>
                <w:spacing w:val="8"/>
                <w:sz w:val="20"/>
                <w:szCs w:val="20"/>
              </w:rPr>
              <w:t>275</w:t>
            </w:r>
          </w:p>
        </w:tc>
        <w:tc>
          <w:tcPr>
            <w:tcW w:w="772" w:type="dxa"/>
            <w:tcBorders/>
          </w:tcPr>
          <w:p>
            <w:pPr>
              <w:pStyle w:val="F21"/>
              <w:tabs>
                <w:tab w:val="clear" w:pos="567"/>
                <w:tab w:val="left" w:pos="284" w:leader="none"/>
              </w:tabs>
              <w:spacing w:lineRule="atLeast" w:line="290"/>
              <w:ind w:left="28" w:right="170" w:hanging="0"/>
              <w:jc w:val="right"/>
              <w:rPr>
                <w:spacing w:val="8"/>
                <w:sz w:val="20"/>
                <w:szCs w:val="20"/>
              </w:rPr>
            </w:pPr>
            <w:r>
              <w:rPr>
                <w:spacing w:val="8"/>
                <w:sz w:val="20"/>
                <w:szCs w:val="20"/>
              </w:rPr>
              <w:t>286</w:t>
            </w:r>
          </w:p>
        </w:tc>
        <w:tc>
          <w:tcPr>
            <w:tcW w:w="901" w:type="dxa"/>
            <w:vMerge w:val="continue"/>
            <w:tcBorders/>
          </w:tcPr>
          <w:p>
            <w:pPr>
              <w:pStyle w:val="F21"/>
              <w:tabs>
                <w:tab w:val="clear" w:pos="567"/>
                <w:tab w:val="left" w:pos="284" w:leader="none"/>
              </w:tabs>
              <w:spacing w:lineRule="atLeast" w:line="290"/>
              <w:ind w:left="28" w:right="28" w:hanging="0"/>
              <w:rPr>
                <w:spacing w:val="8"/>
                <w:sz w:val="20"/>
                <w:szCs w:val="20"/>
              </w:rPr>
            </w:pPr>
            <w:r>
              <w:rPr>
                <w:spacing w:val="8"/>
                <w:sz w:val="20"/>
                <w:szCs w:val="20"/>
              </w:rPr>
            </w:r>
          </w:p>
        </w:tc>
        <w:tc>
          <w:tcPr>
            <w:tcW w:w="838" w:type="dxa"/>
            <w:vMerge w:val="continue"/>
            <w:tcBorders>
              <w:bottom w:val="nil"/>
            </w:tcBorders>
          </w:tcPr>
          <w:p>
            <w:pPr>
              <w:pStyle w:val="F21"/>
              <w:tabs>
                <w:tab w:val="clear" w:pos="567"/>
                <w:tab w:val="left" w:pos="284" w:leader="none"/>
              </w:tabs>
              <w:spacing w:lineRule="atLeast" w:line="290"/>
              <w:ind w:left="28" w:right="28" w:hanging="0"/>
              <w:rPr>
                <w:spacing w:val="8"/>
                <w:sz w:val="20"/>
                <w:szCs w:val="20"/>
              </w:rPr>
            </w:pPr>
            <w:r>
              <w:rPr>
                <w:spacing w:val="8"/>
                <w:sz w:val="20"/>
                <w:szCs w:val="20"/>
              </w:rPr>
            </w:r>
          </w:p>
        </w:tc>
        <w:tc>
          <w:tcPr>
            <w:tcW w:w="869" w:type="dxa"/>
            <w:vMerge w:val="restart"/>
            <w:tcBorders>
              <w:top w:val="nil"/>
            </w:tcBorders>
          </w:tcPr>
          <w:p>
            <w:pPr>
              <w:pStyle w:val="F21"/>
              <w:tabs>
                <w:tab w:val="clear" w:pos="567"/>
                <w:tab w:val="left" w:pos="284" w:leader="none"/>
              </w:tabs>
              <w:spacing w:lineRule="atLeast" w:line="290"/>
              <w:ind w:left="28" w:right="28" w:hanging="0"/>
              <w:rPr>
                <w:spacing w:val="8"/>
                <w:sz w:val="20"/>
                <w:szCs w:val="20"/>
              </w:rPr>
            </w:pPr>
            <w:r>
              <w:rPr>
                <w:spacing w:val="8"/>
                <w:sz w:val="20"/>
                <w:szCs w:val="20"/>
              </w:rPr>
              <w:t>至於合作培訓計劃，一般而言，承建商會以</w:t>
            </w:r>
            <w:r>
              <w:rPr>
                <w:spacing w:val="8"/>
                <w:sz w:val="20"/>
                <w:szCs w:val="20"/>
              </w:rPr>
              <w:t>"</w:t>
            </w:r>
            <w:r>
              <w:rPr>
                <w:spacing w:val="8"/>
                <w:sz w:val="20"/>
                <w:szCs w:val="20"/>
              </w:rPr>
              <w:t>先聘請，後培訓</w:t>
            </w:r>
            <w:r>
              <w:rPr>
                <w:spacing w:val="28"/>
                <w:sz w:val="20"/>
                <w:szCs w:val="20"/>
              </w:rPr>
              <w:t>"</w:t>
            </w:r>
            <w:r>
              <w:rPr>
                <w:spacing w:val="28"/>
                <w:sz w:val="20"/>
                <w:szCs w:val="20"/>
              </w:rPr>
              <w:t>形</w:t>
            </w:r>
            <w:r>
              <w:rPr>
                <w:spacing w:val="-13"/>
                <w:sz w:val="20"/>
                <w:szCs w:val="20"/>
              </w:rPr>
              <w:t>式</w:t>
            </w:r>
          </w:p>
        </w:tc>
      </w:tr>
      <w:tr>
        <w:trPr/>
        <w:tc>
          <w:tcPr>
            <w:tcW w:w="837" w:type="dxa"/>
            <w:tcBorders/>
          </w:tcPr>
          <w:p>
            <w:pPr>
              <w:pStyle w:val="F21"/>
              <w:tabs>
                <w:tab w:val="clear" w:pos="567"/>
                <w:tab w:val="left" w:pos="284" w:leader="none"/>
              </w:tabs>
              <w:spacing w:lineRule="atLeast" w:line="290"/>
              <w:ind w:left="28" w:right="28" w:hanging="0"/>
              <w:rPr>
                <w:spacing w:val="8"/>
                <w:sz w:val="20"/>
                <w:szCs w:val="20"/>
              </w:rPr>
            </w:pPr>
            <w:r>
              <w:rPr>
                <w:spacing w:val="8"/>
                <w:sz w:val="20"/>
                <w:szCs w:val="20"/>
              </w:rPr>
              <w:t>6.</w:t>
            </w:r>
            <w:r>
              <w:rPr>
                <w:spacing w:val="8"/>
                <w:sz w:val="20"/>
                <w:szCs w:val="20"/>
              </w:rPr>
              <w:t>平水</w:t>
            </w:r>
            <w:r>
              <w:rPr>
                <w:spacing w:val="8"/>
                <w:sz w:val="20"/>
                <w:szCs w:val="20"/>
              </w:rPr>
              <w:tab/>
            </w:r>
            <w:r>
              <w:rPr>
                <w:spacing w:val="8"/>
                <w:sz w:val="20"/>
                <w:szCs w:val="20"/>
              </w:rPr>
              <w:t>工</w:t>
            </w:r>
          </w:p>
        </w:tc>
        <w:tc>
          <w:tcPr>
            <w:tcW w:w="1100" w:type="dxa"/>
            <w:vMerge w:val="continue"/>
            <w:tcBorders>
              <w:bottom w:val="nil"/>
            </w:tcBorders>
          </w:tcPr>
          <w:p>
            <w:pPr>
              <w:pStyle w:val="F21"/>
              <w:tabs>
                <w:tab w:val="clear" w:pos="567"/>
                <w:tab w:val="left" w:pos="284" w:leader="none"/>
              </w:tabs>
              <w:spacing w:lineRule="atLeast" w:line="290"/>
              <w:ind w:left="28" w:right="28" w:hanging="0"/>
              <w:rPr>
                <w:spacing w:val="8"/>
                <w:sz w:val="20"/>
                <w:szCs w:val="20"/>
              </w:rPr>
            </w:pPr>
            <w:r>
              <w:rPr>
                <w:spacing w:val="8"/>
                <w:sz w:val="20"/>
                <w:szCs w:val="20"/>
              </w:rPr>
            </w:r>
          </w:p>
        </w:tc>
        <w:tc>
          <w:tcPr>
            <w:tcW w:w="895" w:type="dxa"/>
            <w:vMerge w:val="continue"/>
            <w:tcBorders/>
          </w:tcPr>
          <w:p>
            <w:pPr>
              <w:pStyle w:val="F21"/>
              <w:tabs>
                <w:tab w:val="clear" w:pos="567"/>
                <w:tab w:val="left" w:pos="284" w:leader="none"/>
              </w:tabs>
              <w:spacing w:lineRule="atLeast" w:line="290"/>
              <w:ind w:left="28" w:right="28" w:hanging="0"/>
              <w:rPr>
                <w:spacing w:val="8"/>
                <w:sz w:val="20"/>
                <w:szCs w:val="20"/>
              </w:rPr>
            </w:pPr>
            <w:r>
              <w:rPr>
                <w:spacing w:val="8"/>
                <w:sz w:val="20"/>
                <w:szCs w:val="20"/>
              </w:rPr>
            </w:r>
          </w:p>
        </w:tc>
        <w:tc>
          <w:tcPr>
            <w:tcW w:w="780" w:type="dxa"/>
            <w:tcBorders/>
          </w:tcPr>
          <w:p>
            <w:pPr>
              <w:pStyle w:val="F21"/>
              <w:tabs>
                <w:tab w:val="clear" w:pos="567"/>
                <w:tab w:val="left" w:pos="284" w:leader="none"/>
              </w:tabs>
              <w:spacing w:lineRule="atLeast" w:line="290"/>
              <w:ind w:left="28" w:right="170" w:hanging="0"/>
              <w:jc w:val="right"/>
              <w:rPr>
                <w:spacing w:val="8"/>
                <w:sz w:val="20"/>
                <w:szCs w:val="20"/>
              </w:rPr>
            </w:pPr>
            <w:r>
              <w:rPr>
                <w:spacing w:val="8"/>
                <w:sz w:val="20"/>
                <w:szCs w:val="20"/>
              </w:rPr>
              <w:t>832</w:t>
            </w:r>
          </w:p>
        </w:tc>
        <w:tc>
          <w:tcPr>
            <w:tcW w:w="729" w:type="dxa"/>
            <w:tcBorders/>
          </w:tcPr>
          <w:p>
            <w:pPr>
              <w:pStyle w:val="F21"/>
              <w:tabs>
                <w:tab w:val="clear" w:pos="567"/>
                <w:tab w:val="left" w:pos="284" w:leader="none"/>
              </w:tabs>
              <w:spacing w:lineRule="atLeast" w:line="290"/>
              <w:ind w:left="28" w:right="170" w:hanging="0"/>
              <w:jc w:val="right"/>
              <w:rPr>
                <w:spacing w:val="8"/>
                <w:sz w:val="20"/>
                <w:szCs w:val="20"/>
              </w:rPr>
            </w:pPr>
            <w:r>
              <w:rPr>
                <w:spacing w:val="8"/>
                <w:sz w:val="20"/>
                <w:szCs w:val="20"/>
              </w:rPr>
              <w:t>806</w:t>
            </w:r>
          </w:p>
        </w:tc>
        <w:tc>
          <w:tcPr>
            <w:tcW w:w="728" w:type="dxa"/>
            <w:tcBorders/>
          </w:tcPr>
          <w:p>
            <w:pPr>
              <w:pStyle w:val="F21"/>
              <w:tabs>
                <w:tab w:val="clear" w:pos="567"/>
                <w:tab w:val="left" w:pos="284" w:leader="none"/>
              </w:tabs>
              <w:spacing w:lineRule="atLeast" w:line="290"/>
              <w:ind w:left="28" w:right="170" w:hanging="0"/>
              <w:jc w:val="right"/>
              <w:rPr>
                <w:spacing w:val="8"/>
                <w:sz w:val="20"/>
                <w:szCs w:val="20"/>
              </w:rPr>
            </w:pPr>
            <w:r>
              <w:rPr>
                <w:spacing w:val="8"/>
                <w:sz w:val="20"/>
                <w:szCs w:val="20"/>
              </w:rPr>
              <w:t>969</w:t>
            </w:r>
          </w:p>
        </w:tc>
        <w:tc>
          <w:tcPr>
            <w:tcW w:w="798" w:type="dxa"/>
            <w:tcBorders/>
          </w:tcPr>
          <w:p>
            <w:pPr>
              <w:pStyle w:val="F21"/>
              <w:tabs>
                <w:tab w:val="clear" w:pos="567"/>
                <w:tab w:val="left" w:pos="284" w:leader="none"/>
              </w:tabs>
              <w:spacing w:lineRule="atLeast" w:line="290"/>
              <w:ind w:left="28" w:right="170" w:hanging="0"/>
              <w:jc w:val="right"/>
              <w:rPr>
                <w:spacing w:val="8"/>
                <w:sz w:val="20"/>
                <w:szCs w:val="20"/>
              </w:rPr>
            </w:pPr>
            <w:r>
              <w:rPr>
                <w:spacing w:val="8"/>
                <w:sz w:val="20"/>
                <w:szCs w:val="20"/>
              </w:rPr>
              <w:t>1 051</w:t>
            </w:r>
          </w:p>
        </w:tc>
        <w:tc>
          <w:tcPr>
            <w:tcW w:w="772" w:type="dxa"/>
            <w:tcBorders/>
          </w:tcPr>
          <w:p>
            <w:pPr>
              <w:pStyle w:val="F21"/>
              <w:tabs>
                <w:tab w:val="clear" w:pos="567"/>
                <w:tab w:val="left" w:pos="284" w:leader="none"/>
              </w:tabs>
              <w:spacing w:lineRule="atLeast" w:line="290"/>
              <w:ind w:left="28" w:right="170" w:hanging="0"/>
              <w:jc w:val="right"/>
              <w:rPr>
                <w:spacing w:val="8"/>
                <w:sz w:val="20"/>
                <w:szCs w:val="20"/>
              </w:rPr>
            </w:pPr>
            <w:r>
              <w:rPr>
                <w:spacing w:val="8"/>
                <w:sz w:val="20"/>
                <w:szCs w:val="20"/>
              </w:rPr>
              <w:t>788</w:t>
            </w:r>
          </w:p>
        </w:tc>
        <w:tc>
          <w:tcPr>
            <w:tcW w:w="901" w:type="dxa"/>
            <w:vMerge w:val="continue"/>
            <w:tcBorders/>
          </w:tcPr>
          <w:p>
            <w:pPr>
              <w:pStyle w:val="F21"/>
              <w:tabs>
                <w:tab w:val="clear" w:pos="567"/>
                <w:tab w:val="left" w:pos="284" w:leader="none"/>
              </w:tabs>
              <w:spacing w:lineRule="atLeast" w:line="290"/>
              <w:ind w:left="28" w:right="28" w:hanging="0"/>
              <w:rPr>
                <w:spacing w:val="8"/>
                <w:sz w:val="20"/>
                <w:szCs w:val="20"/>
              </w:rPr>
            </w:pPr>
            <w:r>
              <w:rPr>
                <w:spacing w:val="8"/>
                <w:sz w:val="20"/>
                <w:szCs w:val="20"/>
              </w:rPr>
            </w:r>
          </w:p>
        </w:tc>
        <w:tc>
          <w:tcPr>
            <w:tcW w:w="838" w:type="dxa"/>
            <w:vMerge w:val="continue"/>
            <w:tcBorders>
              <w:bottom w:val="nil"/>
            </w:tcBorders>
          </w:tcPr>
          <w:p>
            <w:pPr>
              <w:pStyle w:val="F21"/>
              <w:tabs>
                <w:tab w:val="clear" w:pos="567"/>
                <w:tab w:val="left" w:pos="284" w:leader="none"/>
              </w:tabs>
              <w:spacing w:lineRule="atLeast" w:line="290"/>
              <w:ind w:left="28" w:right="28" w:hanging="0"/>
              <w:rPr>
                <w:spacing w:val="8"/>
                <w:sz w:val="20"/>
                <w:szCs w:val="20"/>
              </w:rPr>
            </w:pPr>
            <w:r>
              <w:rPr>
                <w:spacing w:val="8"/>
                <w:sz w:val="20"/>
                <w:szCs w:val="20"/>
              </w:rPr>
            </w:r>
          </w:p>
        </w:tc>
        <w:tc>
          <w:tcPr>
            <w:tcW w:w="869" w:type="dxa"/>
            <w:vMerge w:val="continue"/>
            <w:tcBorders/>
          </w:tcPr>
          <w:p>
            <w:pPr>
              <w:pStyle w:val="F21"/>
              <w:tabs>
                <w:tab w:val="clear" w:pos="567"/>
                <w:tab w:val="left" w:pos="284" w:leader="none"/>
              </w:tabs>
              <w:spacing w:lineRule="atLeast" w:line="290"/>
              <w:ind w:left="28" w:right="28" w:hanging="0"/>
              <w:rPr>
                <w:spacing w:val="8"/>
                <w:sz w:val="20"/>
                <w:szCs w:val="20"/>
              </w:rPr>
            </w:pPr>
            <w:r>
              <w:rPr>
                <w:spacing w:val="8"/>
                <w:sz w:val="20"/>
                <w:szCs w:val="20"/>
              </w:rPr>
            </w:r>
          </w:p>
        </w:tc>
      </w:tr>
      <w:tr>
        <w:trPr/>
        <w:tc>
          <w:tcPr>
            <w:tcW w:w="837" w:type="dxa"/>
            <w:tcBorders/>
          </w:tcPr>
          <w:p>
            <w:pPr>
              <w:pStyle w:val="F21"/>
              <w:tabs>
                <w:tab w:val="clear" w:pos="567"/>
                <w:tab w:val="left" w:pos="284" w:leader="none"/>
              </w:tabs>
              <w:spacing w:lineRule="atLeast" w:line="290"/>
              <w:ind w:left="28" w:right="28" w:hanging="0"/>
              <w:rPr>
                <w:spacing w:val="8"/>
                <w:sz w:val="20"/>
                <w:szCs w:val="20"/>
              </w:rPr>
            </w:pPr>
            <w:r>
              <w:rPr>
                <w:spacing w:val="8"/>
                <w:sz w:val="20"/>
                <w:szCs w:val="20"/>
              </w:rPr>
              <w:t>7.</w:t>
            </w:r>
            <w:r>
              <w:rPr>
                <w:spacing w:val="8"/>
                <w:sz w:val="20"/>
                <w:szCs w:val="20"/>
              </w:rPr>
              <w:t>批盪</w:t>
            </w:r>
            <w:r>
              <w:rPr>
                <w:spacing w:val="8"/>
                <w:sz w:val="20"/>
                <w:szCs w:val="20"/>
              </w:rPr>
              <w:tab/>
            </w:r>
            <w:r>
              <w:rPr>
                <w:spacing w:val="8"/>
                <w:sz w:val="20"/>
                <w:szCs w:val="20"/>
              </w:rPr>
              <w:t>工</w:t>
            </w:r>
          </w:p>
        </w:tc>
        <w:tc>
          <w:tcPr>
            <w:tcW w:w="1100" w:type="dxa"/>
            <w:vMerge w:val="restart"/>
            <w:tcBorders>
              <w:top w:val="nil"/>
            </w:tcBorders>
          </w:tcPr>
          <w:p>
            <w:pPr>
              <w:pStyle w:val="F21"/>
              <w:tabs>
                <w:tab w:val="clear" w:pos="567"/>
                <w:tab w:val="left" w:pos="284" w:leader="none"/>
              </w:tabs>
              <w:spacing w:lineRule="atLeast" w:line="290"/>
              <w:ind w:left="312" w:right="28" w:hanging="284"/>
              <w:rPr>
                <w:spacing w:val="8"/>
                <w:sz w:val="20"/>
                <w:szCs w:val="20"/>
              </w:rPr>
            </w:pPr>
            <w:r>
              <w:rPr>
                <w:spacing w:val="8"/>
                <w:sz w:val="20"/>
                <w:szCs w:val="20"/>
              </w:rPr>
              <w:t>(v)</w:t>
            </w:r>
            <w:r>
              <w:rPr>
                <w:spacing w:val="8"/>
                <w:sz w:val="20"/>
                <w:szCs w:val="20"/>
              </w:rPr>
              <w:t>建造業議會與承建商</w:t>
            </w:r>
            <w:r>
              <w:rPr>
                <w:spacing w:val="34"/>
                <w:sz w:val="20"/>
                <w:szCs w:val="20"/>
              </w:rPr>
              <w:t>或相</w:t>
            </w:r>
            <w:r>
              <w:rPr>
                <w:spacing w:val="1"/>
                <w:sz w:val="20"/>
                <w:szCs w:val="20"/>
              </w:rPr>
              <w:t>關</w:t>
            </w:r>
          </w:p>
        </w:tc>
        <w:tc>
          <w:tcPr>
            <w:tcW w:w="895" w:type="dxa"/>
            <w:vMerge w:val="continue"/>
            <w:tcBorders/>
          </w:tcPr>
          <w:p>
            <w:pPr>
              <w:pStyle w:val="F21"/>
              <w:tabs>
                <w:tab w:val="clear" w:pos="567"/>
                <w:tab w:val="left" w:pos="284" w:leader="none"/>
              </w:tabs>
              <w:spacing w:lineRule="atLeast" w:line="290"/>
              <w:ind w:left="28" w:right="28" w:hanging="0"/>
              <w:rPr>
                <w:spacing w:val="8"/>
                <w:sz w:val="20"/>
                <w:szCs w:val="20"/>
              </w:rPr>
            </w:pPr>
            <w:r>
              <w:rPr>
                <w:spacing w:val="8"/>
                <w:sz w:val="20"/>
                <w:szCs w:val="20"/>
              </w:rPr>
            </w:r>
          </w:p>
        </w:tc>
        <w:tc>
          <w:tcPr>
            <w:tcW w:w="780" w:type="dxa"/>
            <w:tcBorders/>
          </w:tcPr>
          <w:p>
            <w:pPr>
              <w:pStyle w:val="F21"/>
              <w:tabs>
                <w:tab w:val="clear" w:pos="567"/>
                <w:tab w:val="left" w:pos="284" w:leader="none"/>
              </w:tabs>
              <w:spacing w:lineRule="atLeast" w:line="290"/>
              <w:ind w:left="28" w:right="170" w:hanging="0"/>
              <w:jc w:val="right"/>
              <w:rPr>
                <w:spacing w:val="8"/>
                <w:sz w:val="20"/>
                <w:szCs w:val="20"/>
              </w:rPr>
            </w:pPr>
            <w:r>
              <w:rPr>
                <w:spacing w:val="8"/>
                <w:sz w:val="20"/>
                <w:szCs w:val="20"/>
              </w:rPr>
              <w:t>340</w:t>
            </w:r>
          </w:p>
        </w:tc>
        <w:tc>
          <w:tcPr>
            <w:tcW w:w="729" w:type="dxa"/>
            <w:tcBorders/>
          </w:tcPr>
          <w:p>
            <w:pPr>
              <w:pStyle w:val="F21"/>
              <w:tabs>
                <w:tab w:val="clear" w:pos="567"/>
                <w:tab w:val="left" w:pos="284" w:leader="none"/>
              </w:tabs>
              <w:spacing w:lineRule="atLeast" w:line="290"/>
              <w:ind w:left="28" w:right="170" w:hanging="0"/>
              <w:jc w:val="right"/>
              <w:rPr>
                <w:spacing w:val="8"/>
                <w:sz w:val="20"/>
                <w:szCs w:val="20"/>
              </w:rPr>
            </w:pPr>
            <w:r>
              <w:rPr>
                <w:spacing w:val="8"/>
                <w:sz w:val="20"/>
                <w:szCs w:val="20"/>
              </w:rPr>
              <w:t>280</w:t>
            </w:r>
          </w:p>
        </w:tc>
        <w:tc>
          <w:tcPr>
            <w:tcW w:w="728" w:type="dxa"/>
            <w:tcBorders/>
          </w:tcPr>
          <w:p>
            <w:pPr>
              <w:pStyle w:val="F21"/>
              <w:tabs>
                <w:tab w:val="clear" w:pos="567"/>
                <w:tab w:val="left" w:pos="284" w:leader="none"/>
              </w:tabs>
              <w:spacing w:lineRule="atLeast" w:line="290"/>
              <w:ind w:left="28" w:right="170" w:hanging="0"/>
              <w:jc w:val="right"/>
              <w:rPr>
                <w:spacing w:val="8"/>
                <w:sz w:val="20"/>
                <w:szCs w:val="20"/>
              </w:rPr>
            </w:pPr>
            <w:r>
              <w:rPr>
                <w:spacing w:val="8"/>
                <w:sz w:val="20"/>
                <w:szCs w:val="20"/>
              </w:rPr>
              <w:t>399</w:t>
            </w:r>
          </w:p>
        </w:tc>
        <w:tc>
          <w:tcPr>
            <w:tcW w:w="798" w:type="dxa"/>
            <w:tcBorders/>
          </w:tcPr>
          <w:p>
            <w:pPr>
              <w:pStyle w:val="F21"/>
              <w:tabs>
                <w:tab w:val="clear" w:pos="567"/>
                <w:tab w:val="left" w:pos="284" w:leader="none"/>
              </w:tabs>
              <w:spacing w:lineRule="atLeast" w:line="290"/>
              <w:ind w:left="28" w:right="170" w:hanging="0"/>
              <w:jc w:val="right"/>
              <w:rPr>
                <w:spacing w:val="8"/>
                <w:sz w:val="20"/>
                <w:szCs w:val="20"/>
              </w:rPr>
            </w:pPr>
            <w:r>
              <w:rPr>
                <w:spacing w:val="8"/>
                <w:sz w:val="20"/>
                <w:szCs w:val="20"/>
              </w:rPr>
              <w:t>475</w:t>
            </w:r>
          </w:p>
        </w:tc>
        <w:tc>
          <w:tcPr>
            <w:tcW w:w="772" w:type="dxa"/>
            <w:tcBorders/>
          </w:tcPr>
          <w:p>
            <w:pPr>
              <w:pStyle w:val="F21"/>
              <w:tabs>
                <w:tab w:val="clear" w:pos="567"/>
                <w:tab w:val="left" w:pos="284" w:leader="none"/>
              </w:tabs>
              <w:spacing w:lineRule="atLeast" w:line="290"/>
              <w:ind w:left="28" w:right="170" w:hanging="0"/>
              <w:jc w:val="right"/>
              <w:rPr>
                <w:spacing w:val="8"/>
                <w:sz w:val="20"/>
                <w:szCs w:val="20"/>
              </w:rPr>
            </w:pPr>
            <w:r>
              <w:rPr>
                <w:spacing w:val="8"/>
                <w:sz w:val="20"/>
                <w:szCs w:val="20"/>
              </w:rPr>
              <w:t>429</w:t>
            </w:r>
          </w:p>
        </w:tc>
        <w:tc>
          <w:tcPr>
            <w:tcW w:w="901" w:type="dxa"/>
            <w:vMerge w:val="continue"/>
            <w:tcBorders/>
          </w:tcPr>
          <w:p>
            <w:pPr>
              <w:pStyle w:val="F21"/>
              <w:tabs>
                <w:tab w:val="clear" w:pos="567"/>
                <w:tab w:val="left" w:pos="284" w:leader="none"/>
              </w:tabs>
              <w:spacing w:lineRule="atLeast" w:line="290"/>
              <w:ind w:left="28" w:right="28" w:hanging="0"/>
              <w:rPr>
                <w:spacing w:val="8"/>
                <w:sz w:val="20"/>
                <w:szCs w:val="20"/>
              </w:rPr>
            </w:pPr>
            <w:r>
              <w:rPr>
                <w:spacing w:val="8"/>
                <w:sz w:val="20"/>
                <w:szCs w:val="20"/>
              </w:rPr>
            </w:r>
          </w:p>
        </w:tc>
        <w:tc>
          <w:tcPr>
            <w:tcW w:w="838" w:type="dxa"/>
            <w:tcBorders>
              <w:top w:val="nil"/>
              <w:bottom w:val="nil"/>
            </w:tcBorders>
          </w:tcPr>
          <w:p>
            <w:pPr>
              <w:pStyle w:val="F21"/>
              <w:tabs>
                <w:tab w:val="clear" w:pos="567"/>
                <w:tab w:val="left" w:pos="284" w:leader="none"/>
              </w:tabs>
              <w:spacing w:lineRule="atLeast" w:line="290"/>
              <w:ind w:left="28" w:right="28" w:hanging="0"/>
              <w:rPr>
                <w:spacing w:val="8"/>
                <w:sz w:val="20"/>
                <w:szCs w:val="20"/>
              </w:rPr>
            </w:pPr>
            <w:r>
              <w:rPr>
                <w:spacing w:val="8"/>
                <w:sz w:val="20"/>
                <w:szCs w:val="20"/>
              </w:rPr>
            </w:r>
          </w:p>
        </w:tc>
        <w:tc>
          <w:tcPr>
            <w:tcW w:w="869" w:type="dxa"/>
            <w:vMerge w:val="continue"/>
            <w:tcBorders/>
          </w:tcPr>
          <w:p>
            <w:pPr>
              <w:pStyle w:val="F21"/>
              <w:tabs>
                <w:tab w:val="clear" w:pos="567"/>
                <w:tab w:val="left" w:pos="284" w:leader="none"/>
              </w:tabs>
              <w:spacing w:lineRule="atLeast" w:line="290"/>
              <w:ind w:left="28" w:right="28" w:hanging="0"/>
              <w:rPr>
                <w:spacing w:val="8"/>
                <w:sz w:val="20"/>
                <w:szCs w:val="20"/>
              </w:rPr>
            </w:pPr>
            <w:r>
              <w:rPr>
                <w:spacing w:val="8"/>
                <w:sz w:val="20"/>
                <w:szCs w:val="20"/>
              </w:rPr>
            </w:r>
          </w:p>
        </w:tc>
      </w:tr>
      <w:tr>
        <w:trPr/>
        <w:tc>
          <w:tcPr>
            <w:tcW w:w="837" w:type="dxa"/>
            <w:tcBorders/>
          </w:tcPr>
          <w:p>
            <w:pPr>
              <w:pStyle w:val="F21"/>
              <w:tabs>
                <w:tab w:val="clear" w:pos="567"/>
                <w:tab w:val="left" w:pos="284" w:leader="none"/>
              </w:tabs>
              <w:spacing w:lineRule="atLeast" w:line="290"/>
              <w:ind w:left="28" w:right="28" w:hanging="0"/>
              <w:rPr>
                <w:spacing w:val="8"/>
                <w:sz w:val="20"/>
                <w:szCs w:val="20"/>
              </w:rPr>
            </w:pPr>
            <w:r>
              <w:rPr>
                <w:spacing w:val="8"/>
                <w:sz w:val="20"/>
                <w:szCs w:val="20"/>
              </w:rPr>
              <w:t>8.</w:t>
            </w:r>
            <w:r>
              <w:rPr>
                <w:spacing w:val="8"/>
                <w:sz w:val="20"/>
                <w:szCs w:val="20"/>
              </w:rPr>
              <w:t>砌磚</w:t>
            </w:r>
            <w:r>
              <w:rPr>
                <w:spacing w:val="8"/>
                <w:sz w:val="20"/>
                <w:szCs w:val="20"/>
              </w:rPr>
              <w:tab/>
            </w:r>
            <w:r>
              <w:rPr>
                <w:spacing w:val="8"/>
                <w:sz w:val="20"/>
                <w:szCs w:val="20"/>
              </w:rPr>
              <w:t>工</w:t>
            </w:r>
          </w:p>
        </w:tc>
        <w:tc>
          <w:tcPr>
            <w:tcW w:w="1100" w:type="dxa"/>
            <w:vMerge w:val="continue"/>
            <w:tcBorders/>
          </w:tcPr>
          <w:p>
            <w:pPr>
              <w:pStyle w:val="F21"/>
              <w:tabs>
                <w:tab w:val="clear" w:pos="567"/>
                <w:tab w:val="left" w:pos="284" w:leader="none"/>
              </w:tabs>
              <w:spacing w:lineRule="atLeast" w:line="290"/>
              <w:ind w:left="312" w:right="28" w:hanging="284"/>
              <w:rPr>
                <w:spacing w:val="8"/>
                <w:sz w:val="20"/>
                <w:szCs w:val="20"/>
              </w:rPr>
            </w:pPr>
            <w:r>
              <w:rPr>
                <w:spacing w:val="8"/>
                <w:sz w:val="20"/>
                <w:szCs w:val="20"/>
              </w:rPr>
            </w:r>
          </w:p>
        </w:tc>
        <w:tc>
          <w:tcPr>
            <w:tcW w:w="895" w:type="dxa"/>
            <w:vMerge w:val="continue"/>
            <w:tcBorders/>
          </w:tcPr>
          <w:p>
            <w:pPr>
              <w:pStyle w:val="F21"/>
              <w:tabs>
                <w:tab w:val="clear" w:pos="567"/>
                <w:tab w:val="left" w:pos="284" w:leader="none"/>
              </w:tabs>
              <w:spacing w:lineRule="atLeast" w:line="290"/>
              <w:ind w:left="28" w:right="28" w:hanging="0"/>
              <w:rPr>
                <w:spacing w:val="8"/>
                <w:sz w:val="20"/>
                <w:szCs w:val="20"/>
              </w:rPr>
            </w:pPr>
            <w:r>
              <w:rPr>
                <w:spacing w:val="8"/>
                <w:sz w:val="20"/>
                <w:szCs w:val="20"/>
              </w:rPr>
            </w:r>
          </w:p>
        </w:tc>
        <w:tc>
          <w:tcPr>
            <w:tcW w:w="780" w:type="dxa"/>
            <w:tcBorders/>
          </w:tcPr>
          <w:p>
            <w:pPr>
              <w:pStyle w:val="F21"/>
              <w:tabs>
                <w:tab w:val="clear" w:pos="567"/>
                <w:tab w:val="left" w:pos="284" w:leader="none"/>
              </w:tabs>
              <w:spacing w:lineRule="atLeast" w:line="290"/>
              <w:ind w:left="28" w:right="170" w:hanging="0"/>
              <w:jc w:val="right"/>
              <w:rPr>
                <w:spacing w:val="8"/>
                <w:sz w:val="20"/>
                <w:szCs w:val="20"/>
              </w:rPr>
            </w:pPr>
            <w:r>
              <w:rPr>
                <w:spacing w:val="8"/>
                <w:sz w:val="20"/>
                <w:szCs w:val="20"/>
              </w:rPr>
              <w:t>313</w:t>
            </w:r>
          </w:p>
        </w:tc>
        <w:tc>
          <w:tcPr>
            <w:tcW w:w="729" w:type="dxa"/>
            <w:tcBorders/>
          </w:tcPr>
          <w:p>
            <w:pPr>
              <w:pStyle w:val="F21"/>
              <w:tabs>
                <w:tab w:val="clear" w:pos="567"/>
                <w:tab w:val="left" w:pos="284" w:leader="none"/>
              </w:tabs>
              <w:spacing w:lineRule="atLeast" w:line="290"/>
              <w:ind w:left="28" w:right="170" w:hanging="0"/>
              <w:jc w:val="right"/>
              <w:rPr>
                <w:spacing w:val="8"/>
                <w:sz w:val="20"/>
                <w:szCs w:val="20"/>
              </w:rPr>
            </w:pPr>
            <w:r>
              <w:rPr>
                <w:spacing w:val="8"/>
                <w:sz w:val="20"/>
                <w:szCs w:val="20"/>
              </w:rPr>
              <w:t>310</w:t>
            </w:r>
          </w:p>
        </w:tc>
        <w:tc>
          <w:tcPr>
            <w:tcW w:w="728" w:type="dxa"/>
            <w:tcBorders/>
          </w:tcPr>
          <w:p>
            <w:pPr>
              <w:pStyle w:val="F21"/>
              <w:tabs>
                <w:tab w:val="clear" w:pos="567"/>
                <w:tab w:val="left" w:pos="284" w:leader="none"/>
              </w:tabs>
              <w:spacing w:lineRule="atLeast" w:line="290"/>
              <w:ind w:left="28" w:right="170" w:hanging="0"/>
              <w:jc w:val="right"/>
              <w:rPr>
                <w:spacing w:val="8"/>
                <w:sz w:val="20"/>
                <w:szCs w:val="20"/>
              </w:rPr>
            </w:pPr>
            <w:r>
              <w:rPr>
                <w:spacing w:val="8"/>
                <w:sz w:val="20"/>
                <w:szCs w:val="20"/>
              </w:rPr>
              <w:t>399</w:t>
            </w:r>
          </w:p>
        </w:tc>
        <w:tc>
          <w:tcPr>
            <w:tcW w:w="798" w:type="dxa"/>
            <w:tcBorders/>
          </w:tcPr>
          <w:p>
            <w:pPr>
              <w:pStyle w:val="F21"/>
              <w:tabs>
                <w:tab w:val="clear" w:pos="567"/>
                <w:tab w:val="left" w:pos="284" w:leader="none"/>
              </w:tabs>
              <w:spacing w:lineRule="atLeast" w:line="290"/>
              <w:ind w:left="28" w:right="170" w:hanging="0"/>
              <w:jc w:val="right"/>
              <w:rPr>
                <w:spacing w:val="8"/>
                <w:sz w:val="20"/>
                <w:szCs w:val="20"/>
              </w:rPr>
            </w:pPr>
            <w:r>
              <w:rPr>
                <w:spacing w:val="8"/>
                <w:sz w:val="20"/>
                <w:szCs w:val="20"/>
              </w:rPr>
              <w:t>455</w:t>
            </w:r>
          </w:p>
        </w:tc>
        <w:tc>
          <w:tcPr>
            <w:tcW w:w="772" w:type="dxa"/>
            <w:tcBorders/>
          </w:tcPr>
          <w:p>
            <w:pPr>
              <w:pStyle w:val="F21"/>
              <w:tabs>
                <w:tab w:val="clear" w:pos="567"/>
                <w:tab w:val="left" w:pos="284" w:leader="none"/>
              </w:tabs>
              <w:spacing w:lineRule="atLeast" w:line="290"/>
              <w:ind w:left="28" w:right="170" w:hanging="0"/>
              <w:jc w:val="right"/>
              <w:rPr>
                <w:spacing w:val="8"/>
                <w:sz w:val="20"/>
                <w:szCs w:val="20"/>
              </w:rPr>
            </w:pPr>
            <w:r>
              <w:rPr>
                <w:spacing w:val="8"/>
                <w:sz w:val="20"/>
                <w:szCs w:val="20"/>
              </w:rPr>
              <w:t>369</w:t>
            </w:r>
          </w:p>
        </w:tc>
        <w:tc>
          <w:tcPr>
            <w:tcW w:w="901" w:type="dxa"/>
            <w:vMerge w:val="continue"/>
            <w:tcBorders/>
          </w:tcPr>
          <w:p>
            <w:pPr>
              <w:pStyle w:val="F21"/>
              <w:tabs>
                <w:tab w:val="clear" w:pos="567"/>
                <w:tab w:val="left" w:pos="284" w:leader="none"/>
              </w:tabs>
              <w:spacing w:lineRule="atLeast" w:line="290"/>
              <w:ind w:left="28" w:right="28" w:hanging="0"/>
              <w:rPr>
                <w:spacing w:val="8"/>
                <w:sz w:val="20"/>
                <w:szCs w:val="20"/>
              </w:rPr>
            </w:pPr>
            <w:r>
              <w:rPr>
                <w:spacing w:val="8"/>
                <w:sz w:val="20"/>
                <w:szCs w:val="20"/>
              </w:rPr>
            </w:r>
          </w:p>
        </w:tc>
        <w:tc>
          <w:tcPr>
            <w:tcW w:w="838" w:type="dxa"/>
            <w:tcBorders>
              <w:top w:val="nil"/>
            </w:tcBorders>
          </w:tcPr>
          <w:p>
            <w:pPr>
              <w:pStyle w:val="F21"/>
              <w:tabs>
                <w:tab w:val="clear" w:pos="567"/>
                <w:tab w:val="left" w:pos="284" w:leader="none"/>
              </w:tabs>
              <w:spacing w:lineRule="atLeast" w:line="290"/>
              <w:ind w:left="28" w:right="28" w:hanging="0"/>
              <w:rPr>
                <w:spacing w:val="8"/>
                <w:sz w:val="20"/>
                <w:szCs w:val="20"/>
              </w:rPr>
            </w:pPr>
            <w:r>
              <w:rPr>
                <w:spacing w:val="8"/>
                <w:sz w:val="20"/>
                <w:szCs w:val="20"/>
              </w:rPr>
            </w:r>
          </w:p>
        </w:tc>
        <w:tc>
          <w:tcPr>
            <w:tcW w:w="869" w:type="dxa"/>
            <w:vMerge w:val="continue"/>
            <w:tcBorders/>
          </w:tcPr>
          <w:p>
            <w:pPr>
              <w:pStyle w:val="F21"/>
              <w:tabs>
                <w:tab w:val="clear" w:pos="567"/>
                <w:tab w:val="left" w:pos="284" w:leader="none"/>
              </w:tabs>
              <w:spacing w:lineRule="atLeast" w:line="290"/>
              <w:ind w:left="28" w:right="28" w:hanging="0"/>
              <w:rPr>
                <w:spacing w:val="8"/>
                <w:sz w:val="20"/>
                <w:szCs w:val="20"/>
              </w:rPr>
            </w:pPr>
            <w:r>
              <w:rPr>
                <w:spacing w:val="8"/>
                <w:sz w:val="20"/>
                <w:szCs w:val="20"/>
              </w:rPr>
            </w:r>
          </w:p>
        </w:tc>
      </w:tr>
      <w:tr>
        <w:trPr/>
        <w:tc>
          <w:tcPr>
            <w:tcW w:w="837" w:type="dxa"/>
            <w:tcBorders/>
          </w:tcPr>
          <w:p>
            <w:pPr>
              <w:pStyle w:val="F21"/>
              <w:tabs>
                <w:tab w:val="clear" w:pos="567"/>
                <w:tab w:val="left" w:pos="284" w:leader="none"/>
              </w:tabs>
              <w:spacing w:lineRule="atLeast" w:line="260"/>
              <w:ind w:left="28" w:right="28" w:hanging="0"/>
              <w:rPr>
                <w:spacing w:val="8"/>
                <w:sz w:val="20"/>
                <w:szCs w:val="20"/>
              </w:rPr>
            </w:pPr>
            <w:r>
              <w:rPr>
                <w:spacing w:val="8"/>
                <w:sz w:val="20"/>
                <w:szCs w:val="20"/>
              </w:rPr>
              <w:t>9.</w:t>
            </w:r>
            <w:r>
              <w:rPr>
                <w:spacing w:val="8"/>
                <w:sz w:val="20"/>
                <w:szCs w:val="20"/>
              </w:rPr>
              <w:t>金屬</w:t>
            </w:r>
            <w:r>
              <w:rPr>
                <w:spacing w:val="8"/>
                <w:sz w:val="20"/>
                <w:szCs w:val="20"/>
              </w:rPr>
              <w:tab/>
            </w:r>
            <w:r>
              <w:rPr>
                <w:spacing w:val="8"/>
                <w:sz w:val="20"/>
                <w:szCs w:val="20"/>
              </w:rPr>
              <w:t>棚架</w:t>
            </w:r>
            <w:r>
              <w:rPr>
                <w:spacing w:val="8"/>
                <w:sz w:val="20"/>
                <w:szCs w:val="20"/>
              </w:rPr>
              <w:tab/>
            </w:r>
            <w:r>
              <w:rPr>
                <w:spacing w:val="8"/>
                <w:sz w:val="20"/>
                <w:szCs w:val="20"/>
              </w:rPr>
              <w:t>工</w:t>
            </w:r>
          </w:p>
        </w:tc>
        <w:tc>
          <w:tcPr>
            <w:tcW w:w="1100" w:type="dxa"/>
            <w:tcBorders>
              <w:bottom w:val="nil"/>
            </w:tcBorders>
          </w:tcPr>
          <w:p>
            <w:pPr>
              <w:pStyle w:val="F21"/>
              <w:tabs>
                <w:tab w:val="clear" w:pos="567"/>
                <w:tab w:val="left" w:pos="284" w:leader="none"/>
              </w:tabs>
              <w:spacing w:lineRule="atLeast" w:line="260"/>
              <w:ind w:left="312" w:right="28" w:hanging="284"/>
              <w:rPr>
                <w:spacing w:val="8"/>
                <w:sz w:val="20"/>
                <w:szCs w:val="20"/>
              </w:rPr>
            </w:pPr>
            <w:r>
              <w:rPr>
                <w:spacing w:val="8"/>
                <w:sz w:val="20"/>
                <w:szCs w:val="20"/>
              </w:rPr>
              <w:tab/>
              <w:tab/>
            </w:r>
            <w:r>
              <w:rPr>
                <w:spacing w:val="8"/>
                <w:sz w:val="20"/>
                <w:szCs w:val="20"/>
              </w:rPr>
              <w:t>工會的合作培</w:t>
            </w:r>
            <w:r>
              <w:rPr>
                <w:spacing w:val="27"/>
                <w:sz w:val="20"/>
                <w:szCs w:val="20"/>
              </w:rPr>
              <w:t>訓計</w:t>
            </w:r>
            <w:r>
              <w:rPr>
                <w:spacing w:val="0"/>
                <w:sz w:val="20"/>
                <w:szCs w:val="20"/>
              </w:rPr>
              <w:t>劃</w:t>
            </w:r>
          </w:p>
        </w:tc>
        <w:tc>
          <w:tcPr>
            <w:tcW w:w="895" w:type="dxa"/>
            <w:vMerge w:val="restart"/>
            <w:tcBorders>
              <w:bottom w:val="nil"/>
            </w:tcBorders>
          </w:tcPr>
          <w:p>
            <w:pPr>
              <w:pStyle w:val="F21"/>
              <w:tabs>
                <w:tab w:val="clear" w:pos="567"/>
                <w:tab w:val="left" w:pos="284" w:leader="none"/>
              </w:tabs>
              <w:spacing w:lineRule="atLeast" w:line="260"/>
              <w:ind w:left="28" w:right="28" w:hanging="0"/>
              <w:rPr>
                <w:spacing w:val="8"/>
                <w:sz w:val="20"/>
                <w:szCs w:val="20"/>
              </w:rPr>
            </w:pPr>
            <w:r>
              <w:rPr>
                <w:spacing w:val="8"/>
                <w:sz w:val="20"/>
                <w:szCs w:val="20"/>
              </w:rPr>
              <w:t>文憑課程。</w:t>
            </w:r>
          </w:p>
          <w:p>
            <w:pPr>
              <w:pStyle w:val="F21"/>
              <w:tabs>
                <w:tab w:val="clear" w:pos="567"/>
                <w:tab w:val="left" w:pos="284" w:leader="none"/>
              </w:tabs>
              <w:spacing w:lineRule="atLeast" w:line="260"/>
              <w:ind w:left="28" w:right="28" w:hanging="0"/>
              <w:rPr>
                <w:spacing w:val="8"/>
                <w:sz w:val="20"/>
                <w:szCs w:val="20"/>
              </w:rPr>
            </w:pPr>
            <w:r>
              <w:rPr>
                <w:spacing w:val="8"/>
                <w:sz w:val="20"/>
                <w:szCs w:val="20"/>
              </w:rPr>
            </w:r>
          </w:p>
          <w:p>
            <w:pPr>
              <w:pStyle w:val="F21"/>
              <w:tabs>
                <w:tab w:val="clear" w:pos="567"/>
                <w:tab w:val="left" w:pos="284" w:leader="none"/>
              </w:tabs>
              <w:spacing w:lineRule="atLeast" w:line="260"/>
              <w:ind w:left="28" w:right="28" w:hanging="0"/>
              <w:rPr>
                <w:spacing w:val="8"/>
                <w:sz w:val="20"/>
                <w:szCs w:val="20"/>
              </w:rPr>
            </w:pPr>
            <w:r>
              <w:rPr>
                <w:spacing w:val="8"/>
                <w:sz w:val="20"/>
                <w:szCs w:val="20"/>
              </w:rPr>
              <w:t>另由</w:t>
            </w:r>
            <w:r>
              <w:rPr>
                <w:spacing w:val="67"/>
                <w:sz w:val="20"/>
                <w:szCs w:val="20"/>
              </w:rPr>
              <w:t>2015</w:t>
            </w:r>
            <w:r>
              <w:rPr>
                <w:spacing w:val="3"/>
                <w:sz w:val="20"/>
                <w:szCs w:val="20"/>
              </w:rPr>
              <w:t>-</w:t>
            </w:r>
          </w:p>
          <w:p>
            <w:pPr>
              <w:pStyle w:val="F21"/>
              <w:tabs>
                <w:tab w:val="clear" w:pos="567"/>
                <w:tab w:val="left" w:pos="284" w:leader="none"/>
              </w:tabs>
              <w:spacing w:lineRule="atLeast" w:line="260"/>
              <w:ind w:left="28" w:right="28" w:hanging="0"/>
              <w:rPr>
                <w:spacing w:val="8"/>
                <w:sz w:val="20"/>
                <w:szCs w:val="20"/>
              </w:rPr>
            </w:pPr>
            <w:r>
              <w:rPr>
                <w:spacing w:val="8"/>
                <w:sz w:val="20"/>
                <w:szCs w:val="20"/>
              </w:rPr>
              <w:t>2016</w:t>
            </w:r>
            <w:r>
              <w:rPr>
                <w:spacing w:val="8"/>
                <w:sz w:val="20"/>
                <w:szCs w:val="20"/>
              </w:rPr>
              <w:t>學年起，有為焊接工、金屬棚架工及水喉工開設以英語授課的課程，讓更多非華語人士，尤其是少數族裔人士，參加培訓課程並投身建造業。</w:t>
            </w:r>
          </w:p>
        </w:tc>
        <w:tc>
          <w:tcPr>
            <w:tcW w:w="780" w:type="dxa"/>
            <w:tcBorders/>
          </w:tcPr>
          <w:p>
            <w:pPr>
              <w:pStyle w:val="F21"/>
              <w:tabs>
                <w:tab w:val="clear" w:pos="567"/>
                <w:tab w:val="left" w:pos="284" w:leader="none"/>
              </w:tabs>
              <w:spacing w:lineRule="atLeast" w:line="260"/>
              <w:ind w:left="28" w:right="170" w:hanging="0"/>
              <w:jc w:val="right"/>
              <w:rPr>
                <w:spacing w:val="8"/>
                <w:sz w:val="20"/>
                <w:szCs w:val="20"/>
              </w:rPr>
            </w:pPr>
            <w:r>
              <w:rPr>
                <w:spacing w:val="8"/>
                <w:sz w:val="20"/>
                <w:szCs w:val="20"/>
              </w:rPr>
              <w:t>308</w:t>
            </w:r>
          </w:p>
        </w:tc>
        <w:tc>
          <w:tcPr>
            <w:tcW w:w="729" w:type="dxa"/>
            <w:tcBorders/>
          </w:tcPr>
          <w:p>
            <w:pPr>
              <w:pStyle w:val="F21"/>
              <w:tabs>
                <w:tab w:val="clear" w:pos="567"/>
                <w:tab w:val="left" w:pos="284" w:leader="none"/>
              </w:tabs>
              <w:spacing w:lineRule="atLeast" w:line="260"/>
              <w:ind w:left="28" w:right="170" w:hanging="0"/>
              <w:jc w:val="right"/>
              <w:rPr>
                <w:spacing w:val="8"/>
                <w:sz w:val="20"/>
                <w:szCs w:val="20"/>
              </w:rPr>
            </w:pPr>
            <w:r>
              <w:rPr>
                <w:spacing w:val="8"/>
                <w:sz w:val="20"/>
                <w:szCs w:val="20"/>
              </w:rPr>
              <w:t>307</w:t>
            </w:r>
          </w:p>
        </w:tc>
        <w:tc>
          <w:tcPr>
            <w:tcW w:w="728" w:type="dxa"/>
            <w:tcBorders/>
          </w:tcPr>
          <w:p>
            <w:pPr>
              <w:pStyle w:val="F21"/>
              <w:tabs>
                <w:tab w:val="clear" w:pos="567"/>
                <w:tab w:val="left" w:pos="284" w:leader="none"/>
              </w:tabs>
              <w:spacing w:lineRule="atLeast" w:line="260"/>
              <w:ind w:left="28" w:right="170" w:hanging="0"/>
              <w:jc w:val="right"/>
              <w:rPr>
                <w:spacing w:val="8"/>
                <w:sz w:val="20"/>
                <w:szCs w:val="20"/>
              </w:rPr>
            </w:pPr>
            <w:r>
              <w:rPr>
                <w:spacing w:val="8"/>
                <w:sz w:val="20"/>
                <w:szCs w:val="20"/>
              </w:rPr>
              <w:t>355</w:t>
            </w:r>
          </w:p>
        </w:tc>
        <w:tc>
          <w:tcPr>
            <w:tcW w:w="798" w:type="dxa"/>
            <w:tcBorders/>
          </w:tcPr>
          <w:p>
            <w:pPr>
              <w:pStyle w:val="F21"/>
              <w:tabs>
                <w:tab w:val="clear" w:pos="567"/>
                <w:tab w:val="left" w:pos="284" w:leader="none"/>
              </w:tabs>
              <w:spacing w:lineRule="atLeast" w:line="260"/>
              <w:ind w:left="28" w:right="170" w:hanging="0"/>
              <w:jc w:val="right"/>
              <w:rPr>
                <w:spacing w:val="8"/>
                <w:sz w:val="20"/>
                <w:szCs w:val="20"/>
              </w:rPr>
            </w:pPr>
            <w:r>
              <w:rPr>
                <w:spacing w:val="8"/>
                <w:sz w:val="20"/>
                <w:szCs w:val="20"/>
              </w:rPr>
              <w:t>188</w:t>
            </w:r>
          </w:p>
        </w:tc>
        <w:tc>
          <w:tcPr>
            <w:tcW w:w="772" w:type="dxa"/>
            <w:tcBorders/>
          </w:tcPr>
          <w:p>
            <w:pPr>
              <w:pStyle w:val="F21"/>
              <w:tabs>
                <w:tab w:val="clear" w:pos="567"/>
                <w:tab w:val="left" w:pos="284" w:leader="none"/>
              </w:tabs>
              <w:spacing w:lineRule="atLeast" w:line="260"/>
              <w:ind w:left="28" w:right="170" w:hanging="0"/>
              <w:jc w:val="right"/>
              <w:rPr>
                <w:spacing w:val="8"/>
                <w:sz w:val="20"/>
                <w:szCs w:val="20"/>
              </w:rPr>
            </w:pPr>
            <w:r>
              <w:rPr>
                <w:spacing w:val="8"/>
                <w:sz w:val="20"/>
                <w:szCs w:val="20"/>
              </w:rPr>
              <w:t>223</w:t>
            </w:r>
          </w:p>
        </w:tc>
        <w:tc>
          <w:tcPr>
            <w:tcW w:w="901" w:type="dxa"/>
            <w:vMerge w:val="restart"/>
            <w:tcBorders>
              <w:bottom w:val="nil"/>
            </w:tcBorders>
          </w:tcPr>
          <w:p>
            <w:pPr>
              <w:pStyle w:val="F21"/>
              <w:tabs>
                <w:tab w:val="clear" w:pos="567"/>
                <w:tab w:val="left" w:pos="284" w:leader="none"/>
              </w:tabs>
              <w:spacing w:lineRule="atLeast" w:line="260"/>
              <w:ind w:left="28" w:right="28" w:hanging="0"/>
              <w:rPr>
                <w:spacing w:val="8"/>
                <w:sz w:val="20"/>
                <w:szCs w:val="20"/>
              </w:rPr>
            </w:pPr>
            <w:r>
              <w:rPr>
                <w:spacing w:val="8"/>
                <w:sz w:val="20"/>
                <w:szCs w:val="20"/>
              </w:rPr>
              <w:t>以上的香港居民、可在港合法受僱及有合適體格便可申請入讀，有個別的課程需要有小學或中三學歷。</w:t>
            </w:r>
          </w:p>
        </w:tc>
        <w:tc>
          <w:tcPr>
            <w:tcW w:w="838" w:type="dxa"/>
            <w:tcBorders>
              <w:bottom w:val="nil"/>
            </w:tcBorders>
          </w:tcPr>
          <w:p>
            <w:pPr>
              <w:pStyle w:val="F21"/>
              <w:tabs>
                <w:tab w:val="clear" w:pos="567"/>
                <w:tab w:val="left" w:pos="284" w:leader="none"/>
              </w:tabs>
              <w:spacing w:lineRule="atLeast" w:line="260"/>
              <w:ind w:left="28" w:right="28" w:hanging="0"/>
              <w:rPr>
                <w:spacing w:val="8"/>
                <w:sz w:val="20"/>
                <w:szCs w:val="20"/>
              </w:rPr>
            </w:pPr>
            <w:r>
              <w:rPr>
                <w:spacing w:val="8"/>
                <w:sz w:val="20"/>
                <w:szCs w:val="20"/>
              </w:rPr>
            </w:r>
          </w:p>
        </w:tc>
        <w:tc>
          <w:tcPr>
            <w:tcW w:w="869" w:type="dxa"/>
            <w:vMerge w:val="restart"/>
            <w:tcBorders>
              <w:bottom w:val="nil"/>
            </w:tcBorders>
          </w:tcPr>
          <w:p>
            <w:pPr>
              <w:pStyle w:val="F21"/>
              <w:tabs>
                <w:tab w:val="clear" w:pos="567"/>
                <w:tab w:val="left" w:pos="284" w:leader="none"/>
              </w:tabs>
              <w:spacing w:lineRule="atLeast" w:line="260"/>
              <w:ind w:left="28" w:right="28" w:hanging="0"/>
              <w:rPr>
                <w:spacing w:val="8"/>
                <w:sz w:val="20"/>
                <w:szCs w:val="20"/>
              </w:rPr>
            </w:pPr>
            <w:r>
              <w:rPr>
                <w:spacing w:val="8"/>
                <w:sz w:val="20"/>
                <w:szCs w:val="20"/>
              </w:rPr>
              <w:t>聘請，所以學員開始培訓時已就業。</w:t>
            </w:r>
          </w:p>
        </w:tc>
      </w:tr>
      <w:tr>
        <w:trPr/>
        <w:tc>
          <w:tcPr>
            <w:tcW w:w="837" w:type="dxa"/>
            <w:tcBorders/>
          </w:tcPr>
          <w:p>
            <w:pPr>
              <w:pStyle w:val="F21"/>
              <w:tabs>
                <w:tab w:val="clear" w:pos="567"/>
                <w:tab w:val="left" w:pos="284" w:leader="none"/>
              </w:tabs>
              <w:spacing w:lineRule="atLeast" w:line="260"/>
              <w:ind w:left="28" w:right="28" w:hanging="0"/>
              <w:rPr>
                <w:spacing w:val="8"/>
                <w:sz w:val="20"/>
                <w:szCs w:val="20"/>
              </w:rPr>
            </w:pPr>
            <w:r>
              <w:rPr>
                <w:spacing w:val="8"/>
                <w:sz w:val="20"/>
                <w:szCs w:val="20"/>
              </w:rPr>
              <w:t>10.</w:t>
            </w:r>
            <w:r>
              <w:rPr>
                <w:spacing w:val="8"/>
                <w:sz w:val="20"/>
                <w:szCs w:val="20"/>
              </w:rPr>
              <w:t>金屬</w:t>
            </w:r>
            <w:r>
              <w:rPr>
                <w:spacing w:val="8"/>
                <w:sz w:val="20"/>
                <w:szCs w:val="20"/>
              </w:rPr>
              <w:tab/>
            </w:r>
            <w:r>
              <w:rPr>
                <w:spacing w:val="8"/>
                <w:sz w:val="20"/>
                <w:szCs w:val="20"/>
              </w:rPr>
              <w:t>工</w:t>
            </w:r>
          </w:p>
        </w:tc>
        <w:tc>
          <w:tcPr>
            <w:tcW w:w="1100" w:type="dxa"/>
            <w:vMerge w:val="restart"/>
            <w:tcBorders>
              <w:top w:val="nil"/>
              <w:bottom w:val="nil"/>
            </w:tcBorders>
          </w:tcPr>
          <w:p>
            <w:pPr>
              <w:pStyle w:val="F21"/>
              <w:tabs>
                <w:tab w:val="clear" w:pos="567"/>
                <w:tab w:val="left" w:pos="284" w:leader="none"/>
              </w:tabs>
              <w:spacing w:lineRule="atLeast" w:line="260"/>
              <w:ind w:left="312" w:right="28" w:hanging="284"/>
              <w:rPr>
                <w:sz w:val="20"/>
                <w:szCs w:val="20"/>
              </w:rPr>
            </w:pPr>
            <w:r>
              <w:rPr>
                <w:spacing w:val="8"/>
                <w:sz w:val="20"/>
                <w:szCs w:val="20"/>
              </w:rPr>
              <w:tab/>
              <w:tab/>
            </w:r>
            <w:r>
              <w:rPr>
                <w:sz w:val="20"/>
                <w:szCs w:val="20"/>
              </w:rPr>
              <w:t>課</w:t>
            </w:r>
            <w:r>
              <w:rPr>
                <w:spacing w:val="-10"/>
                <w:sz w:val="20"/>
                <w:szCs w:val="20"/>
              </w:rPr>
              <w:t>程</w:t>
            </w:r>
          </w:p>
        </w:tc>
        <w:tc>
          <w:tcPr>
            <w:tcW w:w="895" w:type="dxa"/>
            <w:vMerge w:val="continue"/>
            <w:tcBorders>
              <w:bottom w:val="nil"/>
            </w:tcBorders>
          </w:tcPr>
          <w:p>
            <w:pPr>
              <w:pStyle w:val="F21"/>
              <w:tabs>
                <w:tab w:val="clear" w:pos="567"/>
                <w:tab w:val="left" w:pos="284" w:leader="none"/>
              </w:tabs>
              <w:spacing w:lineRule="atLeast" w:line="260"/>
              <w:ind w:left="28" w:right="28" w:hanging="0"/>
              <w:rPr>
                <w:spacing w:val="8"/>
                <w:sz w:val="20"/>
                <w:szCs w:val="20"/>
              </w:rPr>
            </w:pPr>
            <w:r>
              <w:rPr>
                <w:spacing w:val="8"/>
                <w:sz w:val="20"/>
                <w:szCs w:val="20"/>
              </w:rPr>
            </w:r>
          </w:p>
        </w:tc>
        <w:tc>
          <w:tcPr>
            <w:tcW w:w="780" w:type="dxa"/>
            <w:tcBorders/>
          </w:tcPr>
          <w:p>
            <w:pPr>
              <w:pStyle w:val="F21"/>
              <w:tabs>
                <w:tab w:val="clear" w:pos="567"/>
                <w:tab w:val="left" w:pos="284" w:leader="none"/>
              </w:tabs>
              <w:spacing w:lineRule="atLeast" w:line="260"/>
              <w:ind w:left="28" w:right="170" w:hanging="0"/>
              <w:jc w:val="right"/>
              <w:rPr>
                <w:spacing w:val="8"/>
                <w:sz w:val="20"/>
                <w:szCs w:val="20"/>
              </w:rPr>
            </w:pPr>
            <w:r>
              <w:rPr>
                <w:spacing w:val="8"/>
                <w:sz w:val="20"/>
                <w:szCs w:val="20"/>
              </w:rPr>
              <w:t>222</w:t>
            </w:r>
          </w:p>
        </w:tc>
        <w:tc>
          <w:tcPr>
            <w:tcW w:w="729" w:type="dxa"/>
            <w:tcBorders/>
          </w:tcPr>
          <w:p>
            <w:pPr>
              <w:pStyle w:val="F21"/>
              <w:tabs>
                <w:tab w:val="clear" w:pos="567"/>
                <w:tab w:val="left" w:pos="284" w:leader="none"/>
              </w:tabs>
              <w:spacing w:lineRule="atLeast" w:line="260"/>
              <w:ind w:left="28" w:right="170" w:hanging="0"/>
              <w:jc w:val="right"/>
              <w:rPr>
                <w:spacing w:val="8"/>
                <w:sz w:val="20"/>
                <w:szCs w:val="20"/>
              </w:rPr>
            </w:pPr>
            <w:r>
              <w:rPr>
                <w:spacing w:val="8"/>
                <w:sz w:val="20"/>
                <w:szCs w:val="20"/>
              </w:rPr>
              <w:t>244</w:t>
            </w:r>
          </w:p>
        </w:tc>
        <w:tc>
          <w:tcPr>
            <w:tcW w:w="728" w:type="dxa"/>
            <w:tcBorders/>
          </w:tcPr>
          <w:p>
            <w:pPr>
              <w:pStyle w:val="F21"/>
              <w:tabs>
                <w:tab w:val="clear" w:pos="567"/>
                <w:tab w:val="left" w:pos="284" w:leader="none"/>
              </w:tabs>
              <w:spacing w:lineRule="atLeast" w:line="260"/>
              <w:ind w:left="28" w:right="170" w:hanging="0"/>
              <w:jc w:val="right"/>
              <w:rPr>
                <w:spacing w:val="8"/>
                <w:sz w:val="20"/>
                <w:szCs w:val="20"/>
              </w:rPr>
            </w:pPr>
            <w:r>
              <w:rPr>
                <w:spacing w:val="8"/>
                <w:sz w:val="20"/>
                <w:szCs w:val="20"/>
              </w:rPr>
              <w:t>254</w:t>
            </w:r>
          </w:p>
        </w:tc>
        <w:tc>
          <w:tcPr>
            <w:tcW w:w="798" w:type="dxa"/>
            <w:tcBorders/>
          </w:tcPr>
          <w:p>
            <w:pPr>
              <w:pStyle w:val="F21"/>
              <w:tabs>
                <w:tab w:val="clear" w:pos="567"/>
                <w:tab w:val="left" w:pos="284" w:leader="none"/>
              </w:tabs>
              <w:spacing w:lineRule="atLeast" w:line="260"/>
              <w:ind w:left="28" w:right="170" w:hanging="0"/>
              <w:jc w:val="right"/>
              <w:rPr>
                <w:spacing w:val="8"/>
                <w:sz w:val="20"/>
                <w:szCs w:val="20"/>
              </w:rPr>
            </w:pPr>
            <w:r>
              <w:rPr>
                <w:spacing w:val="8"/>
                <w:sz w:val="20"/>
                <w:szCs w:val="20"/>
              </w:rPr>
              <w:t>220</w:t>
            </w:r>
          </w:p>
        </w:tc>
        <w:tc>
          <w:tcPr>
            <w:tcW w:w="772" w:type="dxa"/>
            <w:tcBorders/>
          </w:tcPr>
          <w:p>
            <w:pPr>
              <w:pStyle w:val="F21"/>
              <w:tabs>
                <w:tab w:val="clear" w:pos="567"/>
                <w:tab w:val="left" w:pos="284" w:leader="none"/>
              </w:tabs>
              <w:spacing w:lineRule="atLeast" w:line="260"/>
              <w:ind w:left="28" w:right="170" w:hanging="0"/>
              <w:jc w:val="right"/>
              <w:rPr>
                <w:spacing w:val="8"/>
                <w:sz w:val="20"/>
                <w:szCs w:val="20"/>
              </w:rPr>
            </w:pPr>
            <w:r>
              <w:rPr>
                <w:spacing w:val="8"/>
                <w:sz w:val="20"/>
                <w:szCs w:val="20"/>
              </w:rPr>
              <w:t>174</w:t>
            </w:r>
          </w:p>
        </w:tc>
        <w:tc>
          <w:tcPr>
            <w:tcW w:w="901" w:type="dxa"/>
            <w:vMerge w:val="continue"/>
            <w:tcBorders>
              <w:bottom w:val="nil"/>
            </w:tcBorders>
          </w:tcPr>
          <w:p>
            <w:pPr>
              <w:pStyle w:val="F21"/>
              <w:tabs>
                <w:tab w:val="clear" w:pos="567"/>
                <w:tab w:val="left" w:pos="284" w:leader="none"/>
              </w:tabs>
              <w:spacing w:lineRule="atLeast" w:line="260"/>
              <w:ind w:left="28" w:right="28" w:hanging="0"/>
              <w:rPr>
                <w:spacing w:val="8"/>
                <w:sz w:val="20"/>
                <w:szCs w:val="20"/>
              </w:rPr>
            </w:pPr>
            <w:r>
              <w:rPr>
                <w:spacing w:val="8"/>
                <w:sz w:val="20"/>
                <w:szCs w:val="20"/>
              </w:rPr>
            </w:r>
          </w:p>
        </w:tc>
        <w:tc>
          <w:tcPr>
            <w:tcW w:w="838" w:type="dxa"/>
            <w:tcBorders>
              <w:top w:val="nil"/>
              <w:bottom w:val="nil"/>
            </w:tcBorders>
          </w:tcPr>
          <w:p>
            <w:pPr>
              <w:pStyle w:val="F21"/>
              <w:tabs>
                <w:tab w:val="clear" w:pos="567"/>
                <w:tab w:val="left" w:pos="284" w:leader="none"/>
              </w:tabs>
              <w:spacing w:lineRule="atLeast" w:line="260"/>
              <w:ind w:left="28" w:right="28" w:hanging="0"/>
              <w:rPr>
                <w:spacing w:val="8"/>
                <w:sz w:val="20"/>
                <w:szCs w:val="20"/>
              </w:rPr>
            </w:pPr>
            <w:r>
              <w:rPr>
                <w:spacing w:val="8"/>
                <w:sz w:val="20"/>
                <w:szCs w:val="20"/>
              </w:rPr>
            </w:r>
          </w:p>
        </w:tc>
        <w:tc>
          <w:tcPr>
            <w:tcW w:w="869" w:type="dxa"/>
            <w:vMerge w:val="continue"/>
            <w:tcBorders>
              <w:bottom w:val="nil"/>
            </w:tcBorders>
          </w:tcPr>
          <w:p>
            <w:pPr>
              <w:pStyle w:val="F21"/>
              <w:tabs>
                <w:tab w:val="clear" w:pos="567"/>
                <w:tab w:val="left" w:pos="284" w:leader="none"/>
              </w:tabs>
              <w:spacing w:lineRule="atLeast" w:line="260"/>
              <w:ind w:left="28" w:right="28" w:hanging="0"/>
              <w:rPr>
                <w:spacing w:val="8"/>
                <w:sz w:val="20"/>
                <w:szCs w:val="20"/>
              </w:rPr>
            </w:pPr>
            <w:r>
              <w:rPr>
                <w:spacing w:val="8"/>
                <w:sz w:val="20"/>
                <w:szCs w:val="20"/>
              </w:rPr>
            </w:r>
          </w:p>
        </w:tc>
      </w:tr>
      <w:tr>
        <w:trPr/>
        <w:tc>
          <w:tcPr>
            <w:tcW w:w="837" w:type="dxa"/>
            <w:tcBorders/>
          </w:tcPr>
          <w:p>
            <w:pPr>
              <w:pStyle w:val="F21"/>
              <w:tabs>
                <w:tab w:val="clear" w:pos="567"/>
                <w:tab w:val="left" w:pos="284" w:leader="none"/>
              </w:tabs>
              <w:spacing w:lineRule="atLeast" w:line="260"/>
              <w:ind w:left="28" w:right="28" w:hanging="0"/>
              <w:rPr>
                <w:spacing w:val="8"/>
                <w:sz w:val="20"/>
                <w:szCs w:val="20"/>
              </w:rPr>
            </w:pPr>
            <w:r>
              <w:rPr>
                <w:spacing w:val="8"/>
                <w:sz w:val="20"/>
                <w:szCs w:val="20"/>
              </w:rPr>
              <w:t>11.</w:t>
            </w:r>
            <w:r>
              <w:rPr>
                <w:spacing w:val="8"/>
                <w:sz w:val="20"/>
                <w:szCs w:val="20"/>
              </w:rPr>
              <w:t>結構</w:t>
            </w:r>
            <w:r>
              <w:rPr>
                <w:spacing w:val="8"/>
                <w:sz w:val="20"/>
                <w:szCs w:val="20"/>
              </w:rPr>
              <w:tab/>
            </w:r>
            <w:r>
              <w:rPr>
                <w:spacing w:val="8"/>
                <w:sz w:val="20"/>
                <w:szCs w:val="20"/>
              </w:rPr>
              <w:t>鋼材</w:t>
            </w:r>
            <w:r>
              <w:rPr>
                <w:spacing w:val="8"/>
                <w:sz w:val="20"/>
                <w:szCs w:val="20"/>
              </w:rPr>
              <w:tab/>
            </w:r>
            <w:r>
              <w:rPr>
                <w:spacing w:val="8"/>
                <w:sz w:val="20"/>
                <w:szCs w:val="20"/>
              </w:rPr>
              <w:t>焊接</w:t>
            </w:r>
            <w:r>
              <w:rPr>
                <w:spacing w:val="8"/>
                <w:sz w:val="20"/>
                <w:szCs w:val="20"/>
              </w:rPr>
              <w:tab/>
            </w:r>
            <w:r>
              <w:rPr>
                <w:spacing w:val="8"/>
                <w:sz w:val="20"/>
                <w:szCs w:val="20"/>
              </w:rPr>
              <w:t>工</w:t>
            </w:r>
          </w:p>
        </w:tc>
        <w:tc>
          <w:tcPr>
            <w:tcW w:w="1100" w:type="dxa"/>
            <w:vMerge w:val="continue"/>
            <w:tcBorders>
              <w:bottom w:val="nil"/>
            </w:tcBorders>
          </w:tcPr>
          <w:p>
            <w:pPr>
              <w:pStyle w:val="F21"/>
              <w:tabs>
                <w:tab w:val="clear" w:pos="567"/>
                <w:tab w:val="left" w:pos="284" w:leader="none"/>
              </w:tabs>
              <w:spacing w:lineRule="atLeast" w:line="260"/>
              <w:ind w:left="28" w:right="28" w:hanging="0"/>
              <w:rPr>
                <w:spacing w:val="8"/>
                <w:sz w:val="20"/>
                <w:szCs w:val="20"/>
              </w:rPr>
            </w:pPr>
            <w:r>
              <w:rPr>
                <w:spacing w:val="8"/>
                <w:sz w:val="20"/>
                <w:szCs w:val="20"/>
              </w:rPr>
            </w:r>
          </w:p>
        </w:tc>
        <w:tc>
          <w:tcPr>
            <w:tcW w:w="895" w:type="dxa"/>
            <w:vMerge w:val="continue"/>
            <w:tcBorders>
              <w:bottom w:val="nil"/>
            </w:tcBorders>
          </w:tcPr>
          <w:p>
            <w:pPr>
              <w:pStyle w:val="F21"/>
              <w:tabs>
                <w:tab w:val="clear" w:pos="567"/>
                <w:tab w:val="left" w:pos="284" w:leader="none"/>
              </w:tabs>
              <w:spacing w:lineRule="atLeast" w:line="260"/>
              <w:ind w:left="28" w:right="28" w:hanging="0"/>
              <w:rPr>
                <w:spacing w:val="8"/>
                <w:sz w:val="20"/>
                <w:szCs w:val="20"/>
              </w:rPr>
            </w:pPr>
            <w:r>
              <w:rPr>
                <w:spacing w:val="8"/>
                <w:sz w:val="20"/>
                <w:szCs w:val="20"/>
              </w:rPr>
            </w:r>
          </w:p>
        </w:tc>
        <w:tc>
          <w:tcPr>
            <w:tcW w:w="780" w:type="dxa"/>
            <w:tcBorders/>
          </w:tcPr>
          <w:p>
            <w:pPr>
              <w:pStyle w:val="F21"/>
              <w:tabs>
                <w:tab w:val="clear" w:pos="567"/>
                <w:tab w:val="left" w:pos="284" w:leader="none"/>
              </w:tabs>
              <w:spacing w:lineRule="atLeast" w:line="260"/>
              <w:ind w:left="28" w:right="170" w:hanging="0"/>
              <w:jc w:val="right"/>
              <w:rPr>
                <w:spacing w:val="8"/>
                <w:sz w:val="20"/>
                <w:szCs w:val="20"/>
              </w:rPr>
            </w:pPr>
            <w:r>
              <w:rPr>
                <w:spacing w:val="8"/>
                <w:sz w:val="20"/>
                <w:szCs w:val="20"/>
              </w:rPr>
              <w:t>20</w:t>
            </w:r>
          </w:p>
        </w:tc>
        <w:tc>
          <w:tcPr>
            <w:tcW w:w="729" w:type="dxa"/>
            <w:tcBorders/>
          </w:tcPr>
          <w:p>
            <w:pPr>
              <w:pStyle w:val="F21"/>
              <w:tabs>
                <w:tab w:val="clear" w:pos="567"/>
                <w:tab w:val="left" w:pos="284" w:leader="none"/>
              </w:tabs>
              <w:spacing w:lineRule="atLeast" w:line="260"/>
              <w:ind w:left="28" w:right="170" w:hanging="0"/>
              <w:jc w:val="right"/>
              <w:rPr>
                <w:spacing w:val="8"/>
                <w:sz w:val="20"/>
                <w:szCs w:val="20"/>
              </w:rPr>
            </w:pPr>
            <w:r>
              <w:rPr>
                <w:spacing w:val="8"/>
                <w:sz w:val="20"/>
                <w:szCs w:val="20"/>
              </w:rPr>
              <w:t>20</w:t>
            </w:r>
          </w:p>
        </w:tc>
        <w:tc>
          <w:tcPr>
            <w:tcW w:w="728" w:type="dxa"/>
            <w:tcBorders/>
          </w:tcPr>
          <w:p>
            <w:pPr>
              <w:pStyle w:val="F21"/>
              <w:tabs>
                <w:tab w:val="clear" w:pos="567"/>
                <w:tab w:val="left" w:pos="284" w:leader="none"/>
              </w:tabs>
              <w:spacing w:lineRule="atLeast" w:line="260"/>
              <w:ind w:left="28" w:right="170" w:hanging="0"/>
              <w:jc w:val="right"/>
              <w:rPr>
                <w:spacing w:val="8"/>
                <w:sz w:val="20"/>
                <w:szCs w:val="20"/>
              </w:rPr>
            </w:pPr>
            <w:r>
              <w:rPr>
                <w:spacing w:val="8"/>
                <w:sz w:val="20"/>
                <w:szCs w:val="20"/>
              </w:rPr>
              <w:t>20</w:t>
            </w:r>
          </w:p>
        </w:tc>
        <w:tc>
          <w:tcPr>
            <w:tcW w:w="798" w:type="dxa"/>
            <w:tcBorders/>
          </w:tcPr>
          <w:p>
            <w:pPr>
              <w:pStyle w:val="F21"/>
              <w:tabs>
                <w:tab w:val="clear" w:pos="567"/>
                <w:tab w:val="left" w:pos="284" w:leader="none"/>
              </w:tabs>
              <w:spacing w:lineRule="atLeast" w:line="260"/>
              <w:ind w:left="28" w:right="170" w:hanging="0"/>
              <w:jc w:val="right"/>
              <w:rPr>
                <w:spacing w:val="8"/>
                <w:sz w:val="20"/>
                <w:szCs w:val="20"/>
              </w:rPr>
            </w:pPr>
            <w:r>
              <w:rPr>
                <w:spacing w:val="8"/>
                <w:sz w:val="20"/>
                <w:szCs w:val="20"/>
              </w:rPr>
              <w:t>20</w:t>
            </w:r>
          </w:p>
        </w:tc>
        <w:tc>
          <w:tcPr>
            <w:tcW w:w="772" w:type="dxa"/>
            <w:tcBorders/>
          </w:tcPr>
          <w:p>
            <w:pPr>
              <w:pStyle w:val="F21"/>
              <w:tabs>
                <w:tab w:val="clear" w:pos="567"/>
                <w:tab w:val="left" w:pos="284" w:leader="none"/>
              </w:tabs>
              <w:spacing w:lineRule="atLeast" w:line="260"/>
              <w:ind w:left="28" w:right="170" w:hanging="0"/>
              <w:jc w:val="right"/>
              <w:rPr>
                <w:spacing w:val="8"/>
                <w:sz w:val="20"/>
                <w:szCs w:val="20"/>
              </w:rPr>
            </w:pPr>
            <w:r>
              <w:rPr>
                <w:spacing w:val="8"/>
                <w:sz w:val="20"/>
                <w:szCs w:val="20"/>
              </w:rPr>
              <w:t>10</w:t>
            </w:r>
          </w:p>
        </w:tc>
        <w:tc>
          <w:tcPr>
            <w:tcW w:w="901" w:type="dxa"/>
            <w:vMerge w:val="continue"/>
            <w:tcBorders>
              <w:bottom w:val="nil"/>
            </w:tcBorders>
          </w:tcPr>
          <w:p>
            <w:pPr>
              <w:pStyle w:val="F21"/>
              <w:tabs>
                <w:tab w:val="clear" w:pos="567"/>
                <w:tab w:val="left" w:pos="284" w:leader="none"/>
              </w:tabs>
              <w:spacing w:lineRule="atLeast" w:line="260"/>
              <w:ind w:left="28" w:right="28" w:hanging="0"/>
              <w:rPr>
                <w:spacing w:val="8"/>
                <w:sz w:val="20"/>
                <w:szCs w:val="20"/>
              </w:rPr>
            </w:pPr>
            <w:r>
              <w:rPr>
                <w:spacing w:val="8"/>
                <w:sz w:val="20"/>
                <w:szCs w:val="20"/>
              </w:rPr>
            </w:r>
          </w:p>
        </w:tc>
        <w:tc>
          <w:tcPr>
            <w:tcW w:w="838" w:type="dxa"/>
            <w:tcBorders>
              <w:top w:val="nil"/>
              <w:bottom w:val="nil"/>
            </w:tcBorders>
          </w:tcPr>
          <w:p>
            <w:pPr>
              <w:pStyle w:val="F21"/>
              <w:tabs>
                <w:tab w:val="clear" w:pos="567"/>
                <w:tab w:val="left" w:pos="284" w:leader="none"/>
              </w:tabs>
              <w:spacing w:lineRule="atLeast" w:line="260"/>
              <w:ind w:left="28" w:right="28" w:hanging="0"/>
              <w:rPr>
                <w:spacing w:val="8"/>
                <w:sz w:val="20"/>
                <w:szCs w:val="20"/>
              </w:rPr>
            </w:pPr>
            <w:r>
              <w:rPr>
                <w:spacing w:val="8"/>
                <w:sz w:val="20"/>
                <w:szCs w:val="20"/>
              </w:rPr>
            </w:r>
          </w:p>
        </w:tc>
        <w:tc>
          <w:tcPr>
            <w:tcW w:w="869" w:type="dxa"/>
            <w:tcBorders>
              <w:top w:val="nil"/>
              <w:bottom w:val="nil"/>
            </w:tcBorders>
          </w:tcPr>
          <w:p>
            <w:pPr>
              <w:pStyle w:val="F21"/>
              <w:tabs>
                <w:tab w:val="clear" w:pos="567"/>
                <w:tab w:val="left" w:pos="284" w:leader="none"/>
              </w:tabs>
              <w:spacing w:lineRule="atLeast" w:line="260"/>
              <w:ind w:left="28" w:right="28" w:hanging="0"/>
              <w:rPr>
                <w:spacing w:val="8"/>
                <w:sz w:val="20"/>
                <w:szCs w:val="20"/>
              </w:rPr>
            </w:pPr>
            <w:r>
              <w:rPr>
                <w:spacing w:val="8"/>
                <w:sz w:val="20"/>
                <w:szCs w:val="20"/>
              </w:rPr>
            </w:r>
          </w:p>
        </w:tc>
      </w:tr>
      <w:tr>
        <w:trPr/>
        <w:tc>
          <w:tcPr>
            <w:tcW w:w="837" w:type="dxa"/>
            <w:tcBorders/>
          </w:tcPr>
          <w:p>
            <w:pPr>
              <w:pStyle w:val="F21"/>
              <w:tabs>
                <w:tab w:val="clear" w:pos="567"/>
                <w:tab w:val="left" w:pos="284" w:leader="none"/>
              </w:tabs>
              <w:spacing w:lineRule="atLeast" w:line="260"/>
              <w:ind w:left="28" w:right="28" w:hanging="0"/>
              <w:rPr>
                <w:spacing w:val="8"/>
                <w:sz w:val="20"/>
                <w:szCs w:val="20"/>
              </w:rPr>
            </w:pPr>
            <w:r>
              <w:rPr>
                <w:spacing w:val="8"/>
                <w:sz w:val="20"/>
                <w:szCs w:val="20"/>
              </w:rPr>
              <w:t>12.</w:t>
            </w:r>
            <w:r>
              <w:rPr>
                <w:spacing w:val="8"/>
                <w:sz w:val="20"/>
                <w:szCs w:val="20"/>
              </w:rPr>
              <w:t>髹漆</w:t>
            </w:r>
            <w:r>
              <w:rPr>
                <w:spacing w:val="8"/>
                <w:sz w:val="20"/>
                <w:szCs w:val="20"/>
              </w:rPr>
              <w:tab/>
            </w:r>
            <w:r>
              <w:rPr>
                <w:spacing w:val="8"/>
                <w:sz w:val="20"/>
                <w:szCs w:val="20"/>
              </w:rPr>
              <w:t>及裝</w:t>
            </w:r>
            <w:r>
              <w:rPr>
                <w:spacing w:val="8"/>
                <w:sz w:val="20"/>
                <w:szCs w:val="20"/>
              </w:rPr>
              <w:tab/>
            </w:r>
            <w:r>
              <w:rPr>
                <w:spacing w:val="8"/>
                <w:sz w:val="20"/>
                <w:szCs w:val="20"/>
              </w:rPr>
              <w:t>飾工</w:t>
            </w:r>
          </w:p>
        </w:tc>
        <w:tc>
          <w:tcPr>
            <w:tcW w:w="1100" w:type="dxa"/>
            <w:tcBorders>
              <w:top w:val="nil"/>
              <w:bottom w:val="nil"/>
            </w:tcBorders>
          </w:tcPr>
          <w:p>
            <w:pPr>
              <w:pStyle w:val="F21"/>
              <w:tabs>
                <w:tab w:val="clear" w:pos="567"/>
                <w:tab w:val="left" w:pos="284" w:leader="none"/>
              </w:tabs>
              <w:spacing w:lineRule="atLeast" w:line="260"/>
              <w:ind w:left="28" w:right="28" w:hanging="0"/>
              <w:rPr>
                <w:spacing w:val="8"/>
                <w:sz w:val="20"/>
                <w:szCs w:val="20"/>
              </w:rPr>
            </w:pPr>
            <w:r>
              <w:rPr>
                <w:spacing w:val="8"/>
                <w:sz w:val="20"/>
                <w:szCs w:val="20"/>
              </w:rPr>
            </w:r>
          </w:p>
        </w:tc>
        <w:tc>
          <w:tcPr>
            <w:tcW w:w="895" w:type="dxa"/>
            <w:vMerge w:val="continue"/>
            <w:tcBorders>
              <w:bottom w:val="nil"/>
            </w:tcBorders>
          </w:tcPr>
          <w:p>
            <w:pPr>
              <w:pStyle w:val="F21"/>
              <w:tabs>
                <w:tab w:val="clear" w:pos="567"/>
                <w:tab w:val="left" w:pos="284" w:leader="none"/>
              </w:tabs>
              <w:spacing w:lineRule="atLeast" w:line="260"/>
              <w:ind w:left="28" w:right="28" w:hanging="0"/>
              <w:rPr>
                <w:spacing w:val="8"/>
                <w:sz w:val="20"/>
                <w:szCs w:val="20"/>
              </w:rPr>
            </w:pPr>
            <w:r>
              <w:rPr>
                <w:spacing w:val="8"/>
                <w:sz w:val="20"/>
                <w:szCs w:val="20"/>
              </w:rPr>
            </w:r>
          </w:p>
        </w:tc>
        <w:tc>
          <w:tcPr>
            <w:tcW w:w="780" w:type="dxa"/>
            <w:tcBorders/>
          </w:tcPr>
          <w:p>
            <w:pPr>
              <w:pStyle w:val="F21"/>
              <w:tabs>
                <w:tab w:val="clear" w:pos="567"/>
                <w:tab w:val="left" w:pos="284" w:leader="none"/>
              </w:tabs>
              <w:spacing w:lineRule="atLeast" w:line="260"/>
              <w:ind w:left="28" w:right="170" w:hanging="0"/>
              <w:jc w:val="right"/>
              <w:rPr>
                <w:spacing w:val="8"/>
                <w:sz w:val="20"/>
                <w:szCs w:val="20"/>
              </w:rPr>
            </w:pPr>
            <w:r>
              <w:rPr>
                <w:spacing w:val="8"/>
                <w:sz w:val="20"/>
                <w:szCs w:val="20"/>
              </w:rPr>
              <w:t>512</w:t>
            </w:r>
          </w:p>
        </w:tc>
        <w:tc>
          <w:tcPr>
            <w:tcW w:w="729" w:type="dxa"/>
            <w:tcBorders/>
          </w:tcPr>
          <w:p>
            <w:pPr>
              <w:pStyle w:val="F21"/>
              <w:tabs>
                <w:tab w:val="clear" w:pos="567"/>
                <w:tab w:val="left" w:pos="284" w:leader="none"/>
              </w:tabs>
              <w:spacing w:lineRule="atLeast" w:line="260"/>
              <w:ind w:left="28" w:right="170" w:hanging="0"/>
              <w:jc w:val="right"/>
              <w:rPr>
                <w:spacing w:val="8"/>
                <w:sz w:val="20"/>
                <w:szCs w:val="20"/>
              </w:rPr>
            </w:pPr>
            <w:r>
              <w:rPr>
                <w:spacing w:val="8"/>
                <w:sz w:val="20"/>
                <w:szCs w:val="20"/>
              </w:rPr>
              <w:t>572</w:t>
            </w:r>
          </w:p>
        </w:tc>
        <w:tc>
          <w:tcPr>
            <w:tcW w:w="728" w:type="dxa"/>
            <w:tcBorders/>
          </w:tcPr>
          <w:p>
            <w:pPr>
              <w:pStyle w:val="F21"/>
              <w:tabs>
                <w:tab w:val="clear" w:pos="567"/>
                <w:tab w:val="left" w:pos="284" w:leader="none"/>
              </w:tabs>
              <w:spacing w:lineRule="atLeast" w:line="260"/>
              <w:ind w:left="28" w:right="170" w:hanging="0"/>
              <w:jc w:val="right"/>
              <w:rPr>
                <w:spacing w:val="8"/>
                <w:sz w:val="20"/>
                <w:szCs w:val="20"/>
              </w:rPr>
            </w:pPr>
            <w:r>
              <w:rPr>
                <w:spacing w:val="8"/>
                <w:sz w:val="20"/>
                <w:szCs w:val="20"/>
              </w:rPr>
              <w:t>649</w:t>
            </w:r>
          </w:p>
        </w:tc>
        <w:tc>
          <w:tcPr>
            <w:tcW w:w="798" w:type="dxa"/>
            <w:tcBorders/>
          </w:tcPr>
          <w:p>
            <w:pPr>
              <w:pStyle w:val="F21"/>
              <w:tabs>
                <w:tab w:val="clear" w:pos="567"/>
                <w:tab w:val="left" w:pos="284" w:leader="none"/>
              </w:tabs>
              <w:spacing w:lineRule="atLeast" w:line="260"/>
              <w:ind w:left="28" w:right="170" w:hanging="0"/>
              <w:jc w:val="right"/>
              <w:rPr>
                <w:spacing w:val="8"/>
                <w:sz w:val="20"/>
                <w:szCs w:val="20"/>
              </w:rPr>
            </w:pPr>
            <w:r>
              <w:rPr>
                <w:spacing w:val="8"/>
                <w:sz w:val="20"/>
                <w:szCs w:val="20"/>
              </w:rPr>
              <w:t>550</w:t>
            </w:r>
          </w:p>
        </w:tc>
        <w:tc>
          <w:tcPr>
            <w:tcW w:w="772" w:type="dxa"/>
            <w:tcBorders/>
          </w:tcPr>
          <w:p>
            <w:pPr>
              <w:pStyle w:val="F21"/>
              <w:tabs>
                <w:tab w:val="clear" w:pos="567"/>
                <w:tab w:val="left" w:pos="284" w:leader="none"/>
              </w:tabs>
              <w:spacing w:lineRule="atLeast" w:line="260"/>
              <w:ind w:left="28" w:right="170" w:hanging="0"/>
              <w:jc w:val="right"/>
              <w:rPr>
                <w:spacing w:val="8"/>
                <w:sz w:val="20"/>
                <w:szCs w:val="20"/>
              </w:rPr>
            </w:pPr>
            <w:r>
              <w:rPr>
                <w:spacing w:val="8"/>
                <w:sz w:val="20"/>
                <w:szCs w:val="20"/>
              </w:rPr>
              <w:t>525</w:t>
            </w:r>
          </w:p>
        </w:tc>
        <w:tc>
          <w:tcPr>
            <w:tcW w:w="901" w:type="dxa"/>
            <w:vMerge w:val="continue"/>
            <w:tcBorders>
              <w:bottom w:val="nil"/>
            </w:tcBorders>
          </w:tcPr>
          <w:p>
            <w:pPr>
              <w:pStyle w:val="F21"/>
              <w:tabs>
                <w:tab w:val="clear" w:pos="567"/>
                <w:tab w:val="left" w:pos="284" w:leader="none"/>
              </w:tabs>
              <w:spacing w:lineRule="atLeast" w:line="260"/>
              <w:ind w:left="28" w:right="28" w:hanging="0"/>
              <w:rPr>
                <w:spacing w:val="8"/>
                <w:sz w:val="20"/>
                <w:szCs w:val="20"/>
              </w:rPr>
            </w:pPr>
            <w:r>
              <w:rPr>
                <w:spacing w:val="8"/>
                <w:sz w:val="20"/>
                <w:szCs w:val="20"/>
              </w:rPr>
            </w:r>
          </w:p>
        </w:tc>
        <w:tc>
          <w:tcPr>
            <w:tcW w:w="838" w:type="dxa"/>
            <w:tcBorders>
              <w:top w:val="nil"/>
              <w:bottom w:val="nil"/>
            </w:tcBorders>
          </w:tcPr>
          <w:p>
            <w:pPr>
              <w:pStyle w:val="F21"/>
              <w:tabs>
                <w:tab w:val="clear" w:pos="567"/>
                <w:tab w:val="left" w:pos="284" w:leader="none"/>
              </w:tabs>
              <w:spacing w:lineRule="atLeast" w:line="260"/>
              <w:ind w:left="28" w:right="28" w:hanging="0"/>
              <w:rPr>
                <w:spacing w:val="8"/>
                <w:sz w:val="20"/>
                <w:szCs w:val="20"/>
              </w:rPr>
            </w:pPr>
            <w:r>
              <w:rPr>
                <w:spacing w:val="8"/>
                <w:sz w:val="20"/>
                <w:szCs w:val="20"/>
              </w:rPr>
            </w:r>
          </w:p>
        </w:tc>
        <w:tc>
          <w:tcPr>
            <w:tcW w:w="869" w:type="dxa"/>
            <w:tcBorders>
              <w:top w:val="nil"/>
              <w:bottom w:val="nil"/>
            </w:tcBorders>
          </w:tcPr>
          <w:p>
            <w:pPr>
              <w:pStyle w:val="F21"/>
              <w:tabs>
                <w:tab w:val="clear" w:pos="567"/>
                <w:tab w:val="left" w:pos="284" w:leader="none"/>
              </w:tabs>
              <w:spacing w:lineRule="atLeast" w:line="260"/>
              <w:ind w:left="28" w:right="28" w:hanging="0"/>
              <w:rPr>
                <w:spacing w:val="8"/>
                <w:sz w:val="20"/>
                <w:szCs w:val="20"/>
              </w:rPr>
            </w:pPr>
            <w:r>
              <w:rPr>
                <w:spacing w:val="8"/>
                <w:sz w:val="20"/>
                <w:szCs w:val="20"/>
              </w:rPr>
            </w:r>
          </w:p>
        </w:tc>
      </w:tr>
      <w:tr>
        <w:trPr/>
        <w:tc>
          <w:tcPr>
            <w:tcW w:w="837" w:type="dxa"/>
            <w:tcBorders/>
          </w:tcPr>
          <w:p>
            <w:pPr>
              <w:pStyle w:val="F21"/>
              <w:tabs>
                <w:tab w:val="clear" w:pos="567"/>
                <w:tab w:val="left" w:pos="284" w:leader="none"/>
              </w:tabs>
              <w:spacing w:lineRule="atLeast" w:line="260"/>
              <w:ind w:left="28" w:right="28" w:hanging="0"/>
              <w:rPr>
                <w:spacing w:val="8"/>
                <w:sz w:val="20"/>
                <w:szCs w:val="20"/>
              </w:rPr>
            </w:pPr>
            <w:r>
              <w:rPr>
                <w:spacing w:val="8"/>
                <w:sz w:val="20"/>
                <w:szCs w:val="20"/>
              </w:rPr>
              <w:t>13.</w:t>
            </w:r>
            <w:r>
              <w:rPr>
                <w:spacing w:val="8"/>
                <w:sz w:val="20"/>
                <w:szCs w:val="20"/>
              </w:rPr>
              <w:t>幕牆</w:t>
            </w:r>
            <w:r>
              <w:rPr>
                <w:spacing w:val="8"/>
                <w:sz w:val="20"/>
                <w:szCs w:val="20"/>
              </w:rPr>
              <w:tab/>
            </w:r>
            <w:r>
              <w:rPr>
                <w:spacing w:val="8"/>
                <w:sz w:val="20"/>
                <w:szCs w:val="20"/>
              </w:rPr>
              <w:t>工</w:t>
            </w:r>
          </w:p>
        </w:tc>
        <w:tc>
          <w:tcPr>
            <w:tcW w:w="1100" w:type="dxa"/>
            <w:tcBorders>
              <w:top w:val="nil"/>
              <w:bottom w:val="nil"/>
            </w:tcBorders>
          </w:tcPr>
          <w:p>
            <w:pPr>
              <w:pStyle w:val="F21"/>
              <w:tabs>
                <w:tab w:val="clear" w:pos="567"/>
                <w:tab w:val="left" w:pos="284" w:leader="none"/>
              </w:tabs>
              <w:spacing w:lineRule="atLeast" w:line="260"/>
              <w:ind w:left="28" w:right="28" w:hanging="0"/>
              <w:rPr>
                <w:spacing w:val="8"/>
                <w:sz w:val="20"/>
                <w:szCs w:val="20"/>
              </w:rPr>
            </w:pPr>
            <w:r>
              <w:rPr>
                <w:spacing w:val="8"/>
                <w:sz w:val="20"/>
                <w:szCs w:val="20"/>
              </w:rPr>
            </w:r>
          </w:p>
        </w:tc>
        <w:tc>
          <w:tcPr>
            <w:tcW w:w="895" w:type="dxa"/>
            <w:vMerge w:val="continue"/>
            <w:tcBorders>
              <w:bottom w:val="nil"/>
            </w:tcBorders>
          </w:tcPr>
          <w:p>
            <w:pPr>
              <w:pStyle w:val="F21"/>
              <w:tabs>
                <w:tab w:val="clear" w:pos="567"/>
                <w:tab w:val="left" w:pos="284" w:leader="none"/>
              </w:tabs>
              <w:spacing w:lineRule="atLeast" w:line="260"/>
              <w:ind w:left="28" w:right="28" w:hanging="0"/>
              <w:rPr>
                <w:spacing w:val="8"/>
                <w:sz w:val="20"/>
                <w:szCs w:val="20"/>
              </w:rPr>
            </w:pPr>
            <w:r>
              <w:rPr>
                <w:spacing w:val="8"/>
                <w:sz w:val="20"/>
                <w:szCs w:val="20"/>
              </w:rPr>
            </w:r>
          </w:p>
        </w:tc>
        <w:tc>
          <w:tcPr>
            <w:tcW w:w="780" w:type="dxa"/>
            <w:tcBorders/>
          </w:tcPr>
          <w:p>
            <w:pPr>
              <w:pStyle w:val="F21"/>
              <w:tabs>
                <w:tab w:val="clear" w:pos="567"/>
                <w:tab w:val="left" w:pos="284" w:leader="none"/>
              </w:tabs>
              <w:spacing w:lineRule="atLeast" w:line="260"/>
              <w:ind w:left="28" w:right="170" w:hanging="0"/>
              <w:jc w:val="right"/>
              <w:rPr>
                <w:spacing w:val="8"/>
                <w:sz w:val="20"/>
                <w:szCs w:val="20"/>
              </w:rPr>
            </w:pPr>
            <w:r>
              <w:rPr>
                <w:spacing w:val="8"/>
                <w:sz w:val="20"/>
                <w:szCs w:val="20"/>
              </w:rPr>
              <w:t>105</w:t>
            </w:r>
          </w:p>
        </w:tc>
        <w:tc>
          <w:tcPr>
            <w:tcW w:w="729" w:type="dxa"/>
            <w:tcBorders/>
          </w:tcPr>
          <w:p>
            <w:pPr>
              <w:pStyle w:val="F21"/>
              <w:tabs>
                <w:tab w:val="clear" w:pos="567"/>
                <w:tab w:val="left" w:pos="284" w:leader="none"/>
              </w:tabs>
              <w:spacing w:lineRule="atLeast" w:line="260"/>
              <w:ind w:left="28" w:right="170" w:hanging="0"/>
              <w:jc w:val="right"/>
              <w:rPr>
                <w:spacing w:val="8"/>
                <w:sz w:val="20"/>
                <w:szCs w:val="20"/>
              </w:rPr>
            </w:pPr>
            <w:r>
              <w:rPr>
                <w:spacing w:val="8"/>
                <w:sz w:val="20"/>
                <w:szCs w:val="20"/>
              </w:rPr>
              <w:t>105</w:t>
            </w:r>
          </w:p>
        </w:tc>
        <w:tc>
          <w:tcPr>
            <w:tcW w:w="728" w:type="dxa"/>
            <w:tcBorders/>
          </w:tcPr>
          <w:p>
            <w:pPr>
              <w:pStyle w:val="F21"/>
              <w:tabs>
                <w:tab w:val="clear" w:pos="567"/>
                <w:tab w:val="left" w:pos="284" w:leader="none"/>
              </w:tabs>
              <w:spacing w:lineRule="atLeast" w:line="260"/>
              <w:ind w:left="28" w:right="170" w:hanging="0"/>
              <w:jc w:val="right"/>
              <w:rPr>
                <w:spacing w:val="8"/>
                <w:sz w:val="20"/>
                <w:szCs w:val="20"/>
              </w:rPr>
            </w:pPr>
            <w:r>
              <w:rPr>
                <w:spacing w:val="8"/>
                <w:sz w:val="20"/>
                <w:szCs w:val="20"/>
              </w:rPr>
              <w:t>45</w:t>
            </w:r>
          </w:p>
        </w:tc>
        <w:tc>
          <w:tcPr>
            <w:tcW w:w="798" w:type="dxa"/>
            <w:tcBorders/>
          </w:tcPr>
          <w:p>
            <w:pPr>
              <w:pStyle w:val="F21"/>
              <w:tabs>
                <w:tab w:val="clear" w:pos="567"/>
                <w:tab w:val="left" w:pos="284" w:leader="none"/>
              </w:tabs>
              <w:spacing w:lineRule="atLeast" w:line="260"/>
              <w:ind w:left="28" w:right="170" w:hanging="0"/>
              <w:jc w:val="right"/>
              <w:rPr>
                <w:spacing w:val="8"/>
                <w:sz w:val="20"/>
                <w:szCs w:val="20"/>
              </w:rPr>
            </w:pPr>
            <w:r>
              <w:rPr>
                <w:spacing w:val="8"/>
                <w:sz w:val="20"/>
                <w:szCs w:val="20"/>
              </w:rPr>
              <w:t>75</w:t>
            </w:r>
          </w:p>
        </w:tc>
        <w:tc>
          <w:tcPr>
            <w:tcW w:w="772" w:type="dxa"/>
            <w:tcBorders/>
          </w:tcPr>
          <w:p>
            <w:pPr>
              <w:pStyle w:val="F21"/>
              <w:tabs>
                <w:tab w:val="clear" w:pos="567"/>
                <w:tab w:val="left" w:pos="284" w:leader="none"/>
              </w:tabs>
              <w:spacing w:lineRule="atLeast" w:line="260"/>
              <w:ind w:left="28" w:right="170" w:hanging="0"/>
              <w:jc w:val="right"/>
              <w:rPr>
                <w:spacing w:val="8"/>
                <w:sz w:val="20"/>
                <w:szCs w:val="20"/>
              </w:rPr>
            </w:pPr>
            <w:r>
              <w:rPr>
                <w:spacing w:val="8"/>
                <w:sz w:val="20"/>
                <w:szCs w:val="20"/>
              </w:rPr>
              <w:t>45</w:t>
            </w:r>
          </w:p>
        </w:tc>
        <w:tc>
          <w:tcPr>
            <w:tcW w:w="901" w:type="dxa"/>
            <w:vMerge w:val="continue"/>
            <w:tcBorders>
              <w:bottom w:val="nil"/>
            </w:tcBorders>
          </w:tcPr>
          <w:p>
            <w:pPr>
              <w:pStyle w:val="F21"/>
              <w:tabs>
                <w:tab w:val="clear" w:pos="567"/>
                <w:tab w:val="left" w:pos="284" w:leader="none"/>
              </w:tabs>
              <w:spacing w:lineRule="atLeast" w:line="260"/>
              <w:ind w:left="28" w:right="28" w:hanging="0"/>
              <w:rPr>
                <w:spacing w:val="8"/>
                <w:sz w:val="20"/>
                <w:szCs w:val="20"/>
              </w:rPr>
            </w:pPr>
            <w:r>
              <w:rPr>
                <w:spacing w:val="8"/>
                <w:sz w:val="20"/>
                <w:szCs w:val="20"/>
              </w:rPr>
            </w:r>
          </w:p>
        </w:tc>
        <w:tc>
          <w:tcPr>
            <w:tcW w:w="838" w:type="dxa"/>
            <w:tcBorders>
              <w:top w:val="nil"/>
              <w:bottom w:val="nil"/>
            </w:tcBorders>
          </w:tcPr>
          <w:p>
            <w:pPr>
              <w:pStyle w:val="F21"/>
              <w:tabs>
                <w:tab w:val="clear" w:pos="567"/>
                <w:tab w:val="left" w:pos="284" w:leader="none"/>
              </w:tabs>
              <w:spacing w:lineRule="atLeast" w:line="260"/>
              <w:ind w:left="28" w:right="28" w:hanging="0"/>
              <w:rPr>
                <w:spacing w:val="8"/>
                <w:sz w:val="20"/>
                <w:szCs w:val="20"/>
              </w:rPr>
            </w:pPr>
            <w:r>
              <w:rPr>
                <w:spacing w:val="8"/>
                <w:sz w:val="20"/>
                <w:szCs w:val="20"/>
              </w:rPr>
            </w:r>
          </w:p>
        </w:tc>
        <w:tc>
          <w:tcPr>
            <w:tcW w:w="869" w:type="dxa"/>
            <w:tcBorders>
              <w:top w:val="nil"/>
              <w:bottom w:val="nil"/>
            </w:tcBorders>
          </w:tcPr>
          <w:p>
            <w:pPr>
              <w:pStyle w:val="F21"/>
              <w:tabs>
                <w:tab w:val="clear" w:pos="567"/>
                <w:tab w:val="left" w:pos="284" w:leader="none"/>
              </w:tabs>
              <w:spacing w:lineRule="atLeast" w:line="260"/>
              <w:ind w:left="28" w:right="28" w:hanging="0"/>
              <w:rPr>
                <w:spacing w:val="8"/>
                <w:sz w:val="20"/>
                <w:szCs w:val="20"/>
              </w:rPr>
            </w:pPr>
            <w:r>
              <w:rPr>
                <w:spacing w:val="8"/>
                <w:sz w:val="20"/>
                <w:szCs w:val="20"/>
              </w:rPr>
            </w:r>
          </w:p>
        </w:tc>
      </w:tr>
      <w:tr>
        <w:trPr/>
        <w:tc>
          <w:tcPr>
            <w:tcW w:w="837" w:type="dxa"/>
            <w:tcBorders/>
          </w:tcPr>
          <w:p>
            <w:pPr>
              <w:pStyle w:val="F21"/>
              <w:tabs>
                <w:tab w:val="clear" w:pos="567"/>
                <w:tab w:val="left" w:pos="284" w:leader="none"/>
              </w:tabs>
              <w:spacing w:lineRule="atLeast" w:line="280"/>
              <w:ind w:left="28" w:right="28" w:hanging="0"/>
              <w:rPr>
                <w:spacing w:val="8"/>
                <w:sz w:val="20"/>
                <w:szCs w:val="20"/>
              </w:rPr>
            </w:pPr>
            <w:r>
              <w:rPr>
                <w:spacing w:val="8"/>
                <w:sz w:val="20"/>
                <w:szCs w:val="20"/>
              </w:rPr>
              <w:t>14.</w:t>
            </w:r>
            <w:r>
              <w:rPr>
                <w:spacing w:val="8"/>
                <w:sz w:val="20"/>
                <w:szCs w:val="20"/>
              </w:rPr>
              <w:t>自動</w:t>
            </w:r>
            <w:r>
              <w:rPr>
                <w:spacing w:val="8"/>
                <w:sz w:val="20"/>
                <w:szCs w:val="20"/>
              </w:rPr>
              <w:tab/>
            </w:r>
            <w:r>
              <w:rPr>
                <w:spacing w:val="8"/>
                <w:sz w:val="20"/>
                <w:szCs w:val="20"/>
              </w:rPr>
              <w:t>梯技</w:t>
            </w:r>
            <w:r>
              <w:rPr>
                <w:spacing w:val="8"/>
                <w:sz w:val="20"/>
                <w:szCs w:val="20"/>
              </w:rPr>
              <w:tab/>
            </w:r>
            <w:r>
              <w:rPr>
                <w:spacing w:val="8"/>
                <w:sz w:val="20"/>
                <w:szCs w:val="20"/>
              </w:rPr>
              <w:t>工</w:t>
            </w:r>
          </w:p>
        </w:tc>
        <w:tc>
          <w:tcPr>
            <w:tcW w:w="1100" w:type="dxa"/>
            <w:tcBorders>
              <w:top w:val="nil"/>
              <w:bottom w:val="nil"/>
            </w:tcBorders>
          </w:tcPr>
          <w:p>
            <w:pPr>
              <w:pStyle w:val="F21"/>
              <w:tabs>
                <w:tab w:val="clear" w:pos="567"/>
                <w:tab w:val="left" w:pos="284" w:leader="none"/>
              </w:tabs>
              <w:spacing w:lineRule="atLeast" w:line="280"/>
              <w:ind w:left="28" w:right="28" w:hanging="0"/>
              <w:rPr>
                <w:spacing w:val="8"/>
                <w:sz w:val="20"/>
                <w:szCs w:val="20"/>
              </w:rPr>
            </w:pPr>
            <w:r>
              <w:rPr>
                <w:spacing w:val="8"/>
                <w:sz w:val="20"/>
                <w:szCs w:val="20"/>
              </w:rPr>
            </w:r>
          </w:p>
        </w:tc>
        <w:tc>
          <w:tcPr>
            <w:tcW w:w="895" w:type="dxa"/>
            <w:vMerge w:val="continue"/>
            <w:tcBorders>
              <w:bottom w:val="nil"/>
            </w:tcBorders>
          </w:tcPr>
          <w:p>
            <w:pPr>
              <w:pStyle w:val="F21"/>
              <w:tabs>
                <w:tab w:val="clear" w:pos="567"/>
                <w:tab w:val="left" w:pos="284" w:leader="none"/>
              </w:tabs>
              <w:spacing w:lineRule="atLeast" w:line="280"/>
              <w:ind w:left="28" w:right="28" w:hanging="0"/>
              <w:rPr>
                <w:spacing w:val="8"/>
                <w:sz w:val="20"/>
                <w:szCs w:val="20"/>
              </w:rPr>
            </w:pPr>
            <w:r>
              <w:rPr>
                <w:spacing w:val="8"/>
                <w:sz w:val="20"/>
                <w:szCs w:val="20"/>
              </w:rPr>
            </w:r>
          </w:p>
        </w:tc>
        <w:tc>
          <w:tcPr>
            <w:tcW w:w="780" w:type="dxa"/>
            <w:tcBorders/>
          </w:tcPr>
          <w:p>
            <w:pPr>
              <w:pStyle w:val="F21"/>
              <w:tabs>
                <w:tab w:val="clear" w:pos="567"/>
                <w:tab w:val="left" w:pos="284" w:leader="none"/>
              </w:tabs>
              <w:spacing w:lineRule="atLeast" w:line="280"/>
              <w:ind w:left="28" w:right="170" w:hanging="0"/>
              <w:jc w:val="right"/>
              <w:rPr>
                <w:spacing w:val="8"/>
                <w:sz w:val="20"/>
                <w:szCs w:val="20"/>
              </w:rPr>
            </w:pPr>
            <w:r>
              <w:rPr>
                <w:spacing w:val="8"/>
                <w:sz w:val="20"/>
                <w:szCs w:val="20"/>
              </w:rPr>
              <w:t>4</w:t>
            </w:r>
          </w:p>
        </w:tc>
        <w:tc>
          <w:tcPr>
            <w:tcW w:w="729" w:type="dxa"/>
            <w:tcBorders/>
          </w:tcPr>
          <w:p>
            <w:pPr>
              <w:pStyle w:val="F21"/>
              <w:tabs>
                <w:tab w:val="clear" w:pos="567"/>
                <w:tab w:val="left" w:pos="284" w:leader="none"/>
              </w:tabs>
              <w:spacing w:lineRule="atLeast" w:line="280"/>
              <w:ind w:left="28" w:right="170" w:hanging="0"/>
              <w:jc w:val="right"/>
              <w:rPr>
                <w:spacing w:val="8"/>
                <w:sz w:val="20"/>
                <w:szCs w:val="20"/>
              </w:rPr>
            </w:pPr>
            <w:r>
              <w:rPr>
                <w:spacing w:val="8"/>
                <w:sz w:val="20"/>
                <w:szCs w:val="20"/>
              </w:rPr>
              <w:t>-</w:t>
            </w:r>
          </w:p>
        </w:tc>
        <w:tc>
          <w:tcPr>
            <w:tcW w:w="728" w:type="dxa"/>
            <w:tcBorders/>
          </w:tcPr>
          <w:p>
            <w:pPr>
              <w:pStyle w:val="F21"/>
              <w:tabs>
                <w:tab w:val="clear" w:pos="567"/>
                <w:tab w:val="left" w:pos="284" w:leader="none"/>
              </w:tabs>
              <w:spacing w:lineRule="atLeast" w:line="280"/>
              <w:ind w:left="28" w:right="170" w:hanging="0"/>
              <w:jc w:val="right"/>
              <w:rPr>
                <w:spacing w:val="8"/>
                <w:sz w:val="20"/>
                <w:szCs w:val="20"/>
              </w:rPr>
            </w:pPr>
            <w:r>
              <w:rPr>
                <w:spacing w:val="8"/>
                <w:sz w:val="20"/>
                <w:szCs w:val="20"/>
              </w:rPr>
              <w:t>4</w:t>
            </w:r>
          </w:p>
        </w:tc>
        <w:tc>
          <w:tcPr>
            <w:tcW w:w="798" w:type="dxa"/>
            <w:tcBorders/>
          </w:tcPr>
          <w:p>
            <w:pPr>
              <w:pStyle w:val="F21"/>
              <w:tabs>
                <w:tab w:val="clear" w:pos="567"/>
                <w:tab w:val="left" w:pos="284" w:leader="none"/>
              </w:tabs>
              <w:spacing w:lineRule="atLeast" w:line="280"/>
              <w:ind w:left="28" w:right="170" w:hanging="0"/>
              <w:jc w:val="right"/>
              <w:rPr>
                <w:spacing w:val="8"/>
                <w:sz w:val="20"/>
                <w:szCs w:val="20"/>
              </w:rPr>
            </w:pPr>
            <w:r>
              <w:rPr>
                <w:spacing w:val="8"/>
                <w:sz w:val="20"/>
                <w:szCs w:val="20"/>
              </w:rPr>
              <w:t>-</w:t>
            </w:r>
          </w:p>
        </w:tc>
        <w:tc>
          <w:tcPr>
            <w:tcW w:w="772" w:type="dxa"/>
            <w:tcBorders/>
          </w:tcPr>
          <w:p>
            <w:pPr>
              <w:pStyle w:val="F21"/>
              <w:tabs>
                <w:tab w:val="clear" w:pos="567"/>
                <w:tab w:val="left" w:pos="284" w:leader="none"/>
              </w:tabs>
              <w:spacing w:lineRule="atLeast" w:line="280"/>
              <w:ind w:left="28" w:right="170" w:hanging="0"/>
              <w:jc w:val="right"/>
              <w:rPr>
                <w:spacing w:val="8"/>
                <w:sz w:val="20"/>
                <w:szCs w:val="20"/>
              </w:rPr>
            </w:pPr>
            <w:r>
              <w:rPr>
                <w:spacing w:val="8"/>
                <w:sz w:val="20"/>
                <w:szCs w:val="20"/>
              </w:rPr>
              <w:t>8</w:t>
            </w:r>
          </w:p>
        </w:tc>
        <w:tc>
          <w:tcPr>
            <w:tcW w:w="901" w:type="dxa"/>
            <w:tcBorders>
              <w:top w:val="nil"/>
              <w:bottom w:val="nil"/>
            </w:tcBorders>
          </w:tcPr>
          <w:p>
            <w:pPr>
              <w:pStyle w:val="F21"/>
              <w:tabs>
                <w:tab w:val="clear" w:pos="567"/>
                <w:tab w:val="left" w:pos="284" w:leader="none"/>
              </w:tabs>
              <w:spacing w:lineRule="atLeast" w:line="280"/>
              <w:ind w:left="28" w:right="28" w:hanging="0"/>
              <w:rPr>
                <w:spacing w:val="8"/>
                <w:sz w:val="20"/>
                <w:szCs w:val="20"/>
              </w:rPr>
            </w:pPr>
            <w:r>
              <w:rPr>
                <w:spacing w:val="8"/>
                <w:sz w:val="20"/>
                <w:szCs w:val="20"/>
              </w:rPr>
            </w:r>
          </w:p>
        </w:tc>
        <w:tc>
          <w:tcPr>
            <w:tcW w:w="838" w:type="dxa"/>
            <w:tcBorders>
              <w:top w:val="nil"/>
              <w:bottom w:val="nil"/>
            </w:tcBorders>
          </w:tcPr>
          <w:p>
            <w:pPr>
              <w:pStyle w:val="F21"/>
              <w:tabs>
                <w:tab w:val="clear" w:pos="567"/>
                <w:tab w:val="left" w:pos="284" w:leader="none"/>
              </w:tabs>
              <w:spacing w:lineRule="atLeast" w:line="280"/>
              <w:ind w:left="28" w:right="28" w:hanging="0"/>
              <w:rPr>
                <w:spacing w:val="8"/>
                <w:sz w:val="20"/>
                <w:szCs w:val="20"/>
              </w:rPr>
            </w:pPr>
            <w:r>
              <w:rPr>
                <w:spacing w:val="8"/>
                <w:sz w:val="20"/>
                <w:szCs w:val="20"/>
              </w:rPr>
            </w:r>
          </w:p>
        </w:tc>
        <w:tc>
          <w:tcPr>
            <w:tcW w:w="869" w:type="dxa"/>
            <w:tcBorders>
              <w:top w:val="nil"/>
              <w:bottom w:val="nil"/>
            </w:tcBorders>
          </w:tcPr>
          <w:p>
            <w:pPr>
              <w:pStyle w:val="F21"/>
              <w:tabs>
                <w:tab w:val="clear" w:pos="567"/>
                <w:tab w:val="left" w:pos="284" w:leader="none"/>
              </w:tabs>
              <w:spacing w:lineRule="atLeast" w:line="280"/>
              <w:ind w:left="28" w:right="28" w:hanging="0"/>
              <w:rPr>
                <w:spacing w:val="8"/>
                <w:sz w:val="20"/>
                <w:szCs w:val="20"/>
              </w:rPr>
            </w:pPr>
            <w:r>
              <w:rPr>
                <w:spacing w:val="8"/>
                <w:sz w:val="20"/>
                <w:szCs w:val="20"/>
              </w:rPr>
            </w:r>
          </w:p>
        </w:tc>
      </w:tr>
      <w:tr>
        <w:trPr/>
        <w:tc>
          <w:tcPr>
            <w:tcW w:w="837" w:type="dxa"/>
            <w:tcBorders/>
          </w:tcPr>
          <w:p>
            <w:pPr>
              <w:pStyle w:val="F21"/>
              <w:tabs>
                <w:tab w:val="clear" w:pos="567"/>
                <w:tab w:val="left" w:pos="284" w:leader="none"/>
              </w:tabs>
              <w:spacing w:lineRule="atLeast" w:line="280"/>
              <w:ind w:left="28" w:right="28" w:hanging="0"/>
              <w:rPr>
                <w:spacing w:val="8"/>
                <w:sz w:val="20"/>
                <w:szCs w:val="20"/>
              </w:rPr>
            </w:pPr>
            <w:r>
              <w:rPr>
                <w:spacing w:val="8"/>
                <w:sz w:val="20"/>
                <w:szCs w:val="20"/>
              </w:rPr>
              <w:t>15.</w:t>
            </w:r>
            <w:r>
              <w:rPr>
                <w:spacing w:val="8"/>
                <w:sz w:val="20"/>
                <w:szCs w:val="20"/>
              </w:rPr>
              <w:t>升降</w:t>
            </w:r>
            <w:r>
              <w:rPr>
                <w:spacing w:val="8"/>
                <w:sz w:val="20"/>
                <w:szCs w:val="20"/>
              </w:rPr>
              <w:tab/>
            </w:r>
            <w:r>
              <w:rPr>
                <w:spacing w:val="8"/>
                <w:sz w:val="20"/>
                <w:szCs w:val="20"/>
              </w:rPr>
              <w:t>機技</w:t>
            </w:r>
            <w:r>
              <w:rPr>
                <w:spacing w:val="8"/>
                <w:sz w:val="20"/>
                <w:szCs w:val="20"/>
              </w:rPr>
              <w:tab/>
            </w:r>
            <w:r>
              <w:rPr>
                <w:spacing w:val="8"/>
                <w:sz w:val="20"/>
                <w:szCs w:val="20"/>
              </w:rPr>
              <w:t>工</w:t>
            </w:r>
          </w:p>
        </w:tc>
        <w:tc>
          <w:tcPr>
            <w:tcW w:w="1100" w:type="dxa"/>
            <w:tcBorders>
              <w:top w:val="nil"/>
              <w:bottom w:val="nil"/>
            </w:tcBorders>
          </w:tcPr>
          <w:p>
            <w:pPr>
              <w:pStyle w:val="F21"/>
              <w:tabs>
                <w:tab w:val="clear" w:pos="567"/>
                <w:tab w:val="left" w:pos="284" w:leader="none"/>
              </w:tabs>
              <w:spacing w:lineRule="atLeast" w:line="280"/>
              <w:ind w:left="28" w:right="28" w:hanging="0"/>
              <w:rPr>
                <w:spacing w:val="8"/>
                <w:sz w:val="20"/>
                <w:szCs w:val="20"/>
              </w:rPr>
            </w:pPr>
            <w:r>
              <w:rPr>
                <w:spacing w:val="8"/>
                <w:sz w:val="20"/>
                <w:szCs w:val="20"/>
              </w:rPr>
            </w:r>
          </w:p>
        </w:tc>
        <w:tc>
          <w:tcPr>
            <w:tcW w:w="895" w:type="dxa"/>
            <w:vMerge w:val="continue"/>
            <w:tcBorders>
              <w:bottom w:val="nil"/>
            </w:tcBorders>
          </w:tcPr>
          <w:p>
            <w:pPr>
              <w:pStyle w:val="F21"/>
              <w:tabs>
                <w:tab w:val="clear" w:pos="567"/>
                <w:tab w:val="left" w:pos="284" w:leader="none"/>
              </w:tabs>
              <w:spacing w:lineRule="atLeast" w:line="280"/>
              <w:ind w:left="28" w:right="28" w:hanging="0"/>
              <w:rPr>
                <w:spacing w:val="8"/>
                <w:sz w:val="20"/>
                <w:szCs w:val="20"/>
              </w:rPr>
            </w:pPr>
            <w:r>
              <w:rPr>
                <w:spacing w:val="8"/>
                <w:sz w:val="20"/>
                <w:szCs w:val="20"/>
              </w:rPr>
            </w:r>
          </w:p>
        </w:tc>
        <w:tc>
          <w:tcPr>
            <w:tcW w:w="780" w:type="dxa"/>
            <w:tcBorders/>
          </w:tcPr>
          <w:p>
            <w:pPr>
              <w:pStyle w:val="F21"/>
              <w:tabs>
                <w:tab w:val="clear" w:pos="567"/>
                <w:tab w:val="left" w:pos="284" w:leader="none"/>
              </w:tabs>
              <w:spacing w:lineRule="atLeast" w:line="280"/>
              <w:ind w:left="28" w:right="170" w:hanging="0"/>
              <w:jc w:val="right"/>
              <w:rPr>
                <w:spacing w:val="8"/>
                <w:sz w:val="20"/>
                <w:szCs w:val="20"/>
              </w:rPr>
            </w:pPr>
            <w:r>
              <w:rPr>
                <w:spacing w:val="8"/>
                <w:sz w:val="20"/>
                <w:szCs w:val="20"/>
              </w:rPr>
              <w:t>44</w:t>
            </w:r>
          </w:p>
        </w:tc>
        <w:tc>
          <w:tcPr>
            <w:tcW w:w="729" w:type="dxa"/>
            <w:tcBorders/>
          </w:tcPr>
          <w:p>
            <w:pPr>
              <w:pStyle w:val="F21"/>
              <w:tabs>
                <w:tab w:val="clear" w:pos="567"/>
                <w:tab w:val="left" w:pos="284" w:leader="none"/>
              </w:tabs>
              <w:spacing w:lineRule="atLeast" w:line="280"/>
              <w:ind w:left="28" w:right="170" w:hanging="0"/>
              <w:jc w:val="right"/>
              <w:rPr>
                <w:spacing w:val="8"/>
                <w:sz w:val="20"/>
                <w:szCs w:val="20"/>
              </w:rPr>
            </w:pPr>
            <w:r>
              <w:rPr>
                <w:spacing w:val="8"/>
                <w:sz w:val="20"/>
                <w:szCs w:val="20"/>
              </w:rPr>
              <w:t>26</w:t>
            </w:r>
          </w:p>
        </w:tc>
        <w:tc>
          <w:tcPr>
            <w:tcW w:w="728" w:type="dxa"/>
            <w:tcBorders/>
          </w:tcPr>
          <w:p>
            <w:pPr>
              <w:pStyle w:val="F21"/>
              <w:tabs>
                <w:tab w:val="clear" w:pos="567"/>
                <w:tab w:val="left" w:pos="284" w:leader="none"/>
              </w:tabs>
              <w:spacing w:lineRule="atLeast" w:line="280"/>
              <w:ind w:left="28" w:right="170" w:hanging="0"/>
              <w:jc w:val="right"/>
              <w:rPr>
                <w:spacing w:val="8"/>
                <w:sz w:val="20"/>
                <w:szCs w:val="20"/>
              </w:rPr>
            </w:pPr>
            <w:r>
              <w:rPr>
                <w:spacing w:val="8"/>
                <w:sz w:val="20"/>
                <w:szCs w:val="20"/>
              </w:rPr>
              <w:t>76</w:t>
            </w:r>
          </w:p>
        </w:tc>
        <w:tc>
          <w:tcPr>
            <w:tcW w:w="798" w:type="dxa"/>
            <w:tcBorders/>
          </w:tcPr>
          <w:p>
            <w:pPr>
              <w:pStyle w:val="F21"/>
              <w:tabs>
                <w:tab w:val="clear" w:pos="567"/>
                <w:tab w:val="left" w:pos="284" w:leader="none"/>
              </w:tabs>
              <w:spacing w:lineRule="atLeast" w:line="280"/>
              <w:ind w:left="28" w:right="170" w:hanging="0"/>
              <w:jc w:val="right"/>
              <w:rPr>
                <w:spacing w:val="8"/>
                <w:sz w:val="20"/>
                <w:szCs w:val="20"/>
              </w:rPr>
            </w:pPr>
            <w:r>
              <w:rPr>
                <w:spacing w:val="8"/>
                <w:sz w:val="20"/>
                <w:szCs w:val="20"/>
              </w:rPr>
              <w:t>50</w:t>
            </w:r>
          </w:p>
        </w:tc>
        <w:tc>
          <w:tcPr>
            <w:tcW w:w="772" w:type="dxa"/>
            <w:tcBorders/>
          </w:tcPr>
          <w:p>
            <w:pPr>
              <w:pStyle w:val="F21"/>
              <w:tabs>
                <w:tab w:val="clear" w:pos="567"/>
                <w:tab w:val="left" w:pos="284" w:leader="none"/>
              </w:tabs>
              <w:spacing w:lineRule="atLeast" w:line="280"/>
              <w:ind w:left="28" w:right="170" w:hanging="0"/>
              <w:jc w:val="right"/>
              <w:rPr>
                <w:spacing w:val="8"/>
                <w:sz w:val="20"/>
                <w:szCs w:val="20"/>
              </w:rPr>
            </w:pPr>
            <w:r>
              <w:rPr>
                <w:spacing w:val="8"/>
                <w:sz w:val="20"/>
                <w:szCs w:val="20"/>
              </w:rPr>
              <w:t>32</w:t>
            </w:r>
          </w:p>
        </w:tc>
        <w:tc>
          <w:tcPr>
            <w:tcW w:w="901" w:type="dxa"/>
            <w:tcBorders>
              <w:top w:val="nil"/>
              <w:bottom w:val="nil"/>
            </w:tcBorders>
          </w:tcPr>
          <w:p>
            <w:pPr>
              <w:pStyle w:val="F21"/>
              <w:tabs>
                <w:tab w:val="clear" w:pos="567"/>
                <w:tab w:val="left" w:pos="284" w:leader="none"/>
              </w:tabs>
              <w:spacing w:lineRule="atLeast" w:line="280"/>
              <w:ind w:left="28" w:right="28" w:hanging="0"/>
              <w:rPr>
                <w:spacing w:val="8"/>
                <w:sz w:val="20"/>
                <w:szCs w:val="20"/>
              </w:rPr>
            </w:pPr>
            <w:r>
              <w:rPr>
                <w:spacing w:val="8"/>
                <w:sz w:val="20"/>
                <w:szCs w:val="20"/>
              </w:rPr>
            </w:r>
          </w:p>
        </w:tc>
        <w:tc>
          <w:tcPr>
            <w:tcW w:w="838" w:type="dxa"/>
            <w:tcBorders>
              <w:top w:val="nil"/>
              <w:bottom w:val="nil"/>
            </w:tcBorders>
          </w:tcPr>
          <w:p>
            <w:pPr>
              <w:pStyle w:val="F21"/>
              <w:tabs>
                <w:tab w:val="clear" w:pos="567"/>
                <w:tab w:val="left" w:pos="284" w:leader="none"/>
              </w:tabs>
              <w:spacing w:lineRule="atLeast" w:line="280"/>
              <w:ind w:left="28" w:right="28" w:hanging="0"/>
              <w:rPr>
                <w:spacing w:val="8"/>
                <w:sz w:val="20"/>
                <w:szCs w:val="20"/>
              </w:rPr>
            </w:pPr>
            <w:r>
              <w:rPr>
                <w:spacing w:val="8"/>
                <w:sz w:val="20"/>
                <w:szCs w:val="20"/>
              </w:rPr>
            </w:r>
          </w:p>
        </w:tc>
        <w:tc>
          <w:tcPr>
            <w:tcW w:w="869" w:type="dxa"/>
            <w:tcBorders>
              <w:top w:val="nil"/>
              <w:bottom w:val="nil"/>
            </w:tcBorders>
          </w:tcPr>
          <w:p>
            <w:pPr>
              <w:pStyle w:val="F21"/>
              <w:tabs>
                <w:tab w:val="clear" w:pos="567"/>
                <w:tab w:val="left" w:pos="284" w:leader="none"/>
              </w:tabs>
              <w:spacing w:lineRule="atLeast" w:line="280"/>
              <w:ind w:left="28" w:right="28" w:hanging="0"/>
              <w:rPr>
                <w:spacing w:val="8"/>
                <w:sz w:val="20"/>
                <w:szCs w:val="20"/>
              </w:rPr>
            </w:pPr>
            <w:r>
              <w:rPr>
                <w:spacing w:val="8"/>
                <w:sz w:val="20"/>
                <w:szCs w:val="20"/>
              </w:rPr>
            </w:r>
          </w:p>
        </w:tc>
      </w:tr>
      <w:tr>
        <w:trPr/>
        <w:tc>
          <w:tcPr>
            <w:tcW w:w="837" w:type="dxa"/>
            <w:tcBorders/>
          </w:tcPr>
          <w:p>
            <w:pPr>
              <w:pStyle w:val="F21"/>
              <w:tabs>
                <w:tab w:val="clear" w:pos="567"/>
                <w:tab w:val="left" w:pos="284" w:leader="none"/>
              </w:tabs>
              <w:spacing w:lineRule="atLeast" w:line="280"/>
              <w:ind w:left="28" w:right="28" w:hanging="0"/>
              <w:rPr>
                <w:spacing w:val="8"/>
                <w:sz w:val="20"/>
                <w:szCs w:val="20"/>
              </w:rPr>
            </w:pPr>
            <w:r>
              <w:rPr>
                <w:spacing w:val="8"/>
                <w:sz w:val="20"/>
                <w:szCs w:val="20"/>
              </w:rPr>
              <w:t>16.</w:t>
            </w:r>
            <w:r>
              <w:rPr>
                <w:spacing w:val="8"/>
                <w:sz w:val="20"/>
                <w:szCs w:val="20"/>
              </w:rPr>
              <w:t>水喉</w:t>
            </w:r>
            <w:r>
              <w:rPr>
                <w:spacing w:val="8"/>
                <w:sz w:val="20"/>
                <w:szCs w:val="20"/>
              </w:rPr>
              <w:tab/>
            </w:r>
            <w:r>
              <w:rPr>
                <w:spacing w:val="8"/>
                <w:sz w:val="20"/>
                <w:szCs w:val="20"/>
              </w:rPr>
              <w:t>工</w:t>
            </w:r>
          </w:p>
        </w:tc>
        <w:tc>
          <w:tcPr>
            <w:tcW w:w="1100" w:type="dxa"/>
            <w:tcBorders>
              <w:top w:val="nil"/>
              <w:bottom w:val="nil"/>
            </w:tcBorders>
          </w:tcPr>
          <w:p>
            <w:pPr>
              <w:pStyle w:val="F21"/>
              <w:tabs>
                <w:tab w:val="clear" w:pos="567"/>
                <w:tab w:val="left" w:pos="284" w:leader="none"/>
              </w:tabs>
              <w:spacing w:lineRule="atLeast" w:line="280"/>
              <w:ind w:left="28" w:right="28" w:hanging="0"/>
              <w:rPr>
                <w:spacing w:val="8"/>
                <w:sz w:val="20"/>
                <w:szCs w:val="20"/>
              </w:rPr>
            </w:pPr>
            <w:r>
              <w:rPr>
                <w:spacing w:val="8"/>
                <w:sz w:val="20"/>
                <w:szCs w:val="20"/>
              </w:rPr>
            </w:r>
          </w:p>
        </w:tc>
        <w:tc>
          <w:tcPr>
            <w:tcW w:w="895" w:type="dxa"/>
            <w:vMerge w:val="continue"/>
            <w:tcBorders>
              <w:bottom w:val="nil"/>
            </w:tcBorders>
          </w:tcPr>
          <w:p>
            <w:pPr>
              <w:pStyle w:val="F21"/>
              <w:tabs>
                <w:tab w:val="clear" w:pos="567"/>
                <w:tab w:val="left" w:pos="284" w:leader="none"/>
              </w:tabs>
              <w:spacing w:lineRule="atLeast" w:line="280"/>
              <w:ind w:left="28" w:right="28" w:hanging="0"/>
              <w:rPr>
                <w:spacing w:val="8"/>
                <w:sz w:val="20"/>
                <w:szCs w:val="20"/>
              </w:rPr>
            </w:pPr>
            <w:r>
              <w:rPr>
                <w:spacing w:val="8"/>
                <w:sz w:val="20"/>
                <w:szCs w:val="20"/>
              </w:rPr>
            </w:r>
          </w:p>
        </w:tc>
        <w:tc>
          <w:tcPr>
            <w:tcW w:w="780" w:type="dxa"/>
            <w:tcBorders/>
          </w:tcPr>
          <w:p>
            <w:pPr>
              <w:pStyle w:val="F21"/>
              <w:tabs>
                <w:tab w:val="clear" w:pos="567"/>
                <w:tab w:val="left" w:pos="284" w:leader="none"/>
              </w:tabs>
              <w:spacing w:lineRule="atLeast" w:line="280"/>
              <w:ind w:left="28" w:right="170" w:hanging="0"/>
              <w:jc w:val="right"/>
              <w:rPr>
                <w:spacing w:val="8"/>
                <w:sz w:val="20"/>
                <w:szCs w:val="20"/>
              </w:rPr>
            </w:pPr>
            <w:r>
              <w:rPr>
                <w:spacing w:val="8"/>
                <w:sz w:val="20"/>
                <w:szCs w:val="20"/>
              </w:rPr>
              <w:t>375</w:t>
            </w:r>
          </w:p>
        </w:tc>
        <w:tc>
          <w:tcPr>
            <w:tcW w:w="729" w:type="dxa"/>
            <w:tcBorders/>
          </w:tcPr>
          <w:p>
            <w:pPr>
              <w:pStyle w:val="F21"/>
              <w:tabs>
                <w:tab w:val="clear" w:pos="567"/>
                <w:tab w:val="left" w:pos="284" w:leader="none"/>
              </w:tabs>
              <w:spacing w:lineRule="atLeast" w:line="280"/>
              <w:ind w:left="28" w:right="170" w:hanging="0"/>
              <w:jc w:val="right"/>
              <w:rPr>
                <w:spacing w:val="8"/>
                <w:sz w:val="20"/>
                <w:szCs w:val="20"/>
              </w:rPr>
            </w:pPr>
            <w:r>
              <w:rPr>
                <w:spacing w:val="8"/>
                <w:sz w:val="20"/>
                <w:szCs w:val="20"/>
              </w:rPr>
              <w:t>377</w:t>
            </w:r>
          </w:p>
        </w:tc>
        <w:tc>
          <w:tcPr>
            <w:tcW w:w="728" w:type="dxa"/>
            <w:tcBorders/>
          </w:tcPr>
          <w:p>
            <w:pPr>
              <w:pStyle w:val="F21"/>
              <w:tabs>
                <w:tab w:val="clear" w:pos="567"/>
                <w:tab w:val="left" w:pos="284" w:leader="none"/>
              </w:tabs>
              <w:spacing w:lineRule="atLeast" w:line="280"/>
              <w:ind w:left="28" w:right="170" w:hanging="0"/>
              <w:jc w:val="right"/>
              <w:rPr>
                <w:spacing w:val="8"/>
                <w:sz w:val="20"/>
                <w:szCs w:val="20"/>
              </w:rPr>
            </w:pPr>
            <w:r>
              <w:rPr>
                <w:spacing w:val="8"/>
                <w:sz w:val="20"/>
                <w:szCs w:val="20"/>
              </w:rPr>
              <w:t>430</w:t>
            </w:r>
          </w:p>
        </w:tc>
        <w:tc>
          <w:tcPr>
            <w:tcW w:w="798" w:type="dxa"/>
            <w:tcBorders/>
          </w:tcPr>
          <w:p>
            <w:pPr>
              <w:pStyle w:val="F21"/>
              <w:tabs>
                <w:tab w:val="clear" w:pos="567"/>
                <w:tab w:val="left" w:pos="284" w:leader="none"/>
              </w:tabs>
              <w:spacing w:lineRule="atLeast" w:line="280"/>
              <w:ind w:left="28" w:right="170" w:hanging="0"/>
              <w:jc w:val="right"/>
              <w:rPr>
                <w:spacing w:val="8"/>
                <w:sz w:val="20"/>
                <w:szCs w:val="20"/>
              </w:rPr>
            </w:pPr>
            <w:r>
              <w:rPr>
                <w:spacing w:val="8"/>
                <w:sz w:val="20"/>
                <w:szCs w:val="20"/>
              </w:rPr>
              <w:t>474</w:t>
            </w:r>
          </w:p>
        </w:tc>
        <w:tc>
          <w:tcPr>
            <w:tcW w:w="772" w:type="dxa"/>
            <w:tcBorders/>
          </w:tcPr>
          <w:p>
            <w:pPr>
              <w:pStyle w:val="F21"/>
              <w:tabs>
                <w:tab w:val="clear" w:pos="567"/>
                <w:tab w:val="left" w:pos="284" w:leader="none"/>
              </w:tabs>
              <w:spacing w:lineRule="atLeast" w:line="280"/>
              <w:ind w:left="28" w:right="170" w:hanging="0"/>
              <w:jc w:val="right"/>
              <w:rPr>
                <w:spacing w:val="8"/>
                <w:sz w:val="20"/>
                <w:szCs w:val="20"/>
              </w:rPr>
            </w:pPr>
            <w:r>
              <w:rPr>
                <w:spacing w:val="8"/>
                <w:sz w:val="20"/>
                <w:szCs w:val="20"/>
              </w:rPr>
              <w:t>590</w:t>
            </w:r>
          </w:p>
        </w:tc>
        <w:tc>
          <w:tcPr>
            <w:tcW w:w="901" w:type="dxa"/>
            <w:tcBorders>
              <w:top w:val="nil"/>
              <w:bottom w:val="nil"/>
            </w:tcBorders>
          </w:tcPr>
          <w:p>
            <w:pPr>
              <w:pStyle w:val="F21"/>
              <w:tabs>
                <w:tab w:val="clear" w:pos="567"/>
                <w:tab w:val="left" w:pos="284" w:leader="none"/>
              </w:tabs>
              <w:spacing w:lineRule="atLeast" w:line="280"/>
              <w:ind w:left="28" w:right="28" w:hanging="0"/>
              <w:rPr>
                <w:spacing w:val="8"/>
                <w:sz w:val="20"/>
                <w:szCs w:val="20"/>
              </w:rPr>
            </w:pPr>
            <w:r>
              <w:rPr>
                <w:spacing w:val="8"/>
                <w:sz w:val="20"/>
                <w:szCs w:val="20"/>
              </w:rPr>
            </w:r>
          </w:p>
        </w:tc>
        <w:tc>
          <w:tcPr>
            <w:tcW w:w="838" w:type="dxa"/>
            <w:tcBorders>
              <w:top w:val="nil"/>
              <w:bottom w:val="nil"/>
            </w:tcBorders>
          </w:tcPr>
          <w:p>
            <w:pPr>
              <w:pStyle w:val="F21"/>
              <w:tabs>
                <w:tab w:val="clear" w:pos="567"/>
                <w:tab w:val="left" w:pos="284" w:leader="none"/>
              </w:tabs>
              <w:spacing w:lineRule="atLeast" w:line="280"/>
              <w:ind w:left="28" w:right="28" w:hanging="0"/>
              <w:rPr>
                <w:spacing w:val="8"/>
                <w:sz w:val="20"/>
                <w:szCs w:val="20"/>
              </w:rPr>
            </w:pPr>
            <w:r>
              <w:rPr>
                <w:spacing w:val="8"/>
                <w:sz w:val="20"/>
                <w:szCs w:val="20"/>
              </w:rPr>
            </w:r>
          </w:p>
        </w:tc>
        <w:tc>
          <w:tcPr>
            <w:tcW w:w="869" w:type="dxa"/>
            <w:tcBorders>
              <w:top w:val="nil"/>
              <w:bottom w:val="nil"/>
            </w:tcBorders>
          </w:tcPr>
          <w:p>
            <w:pPr>
              <w:pStyle w:val="F21"/>
              <w:tabs>
                <w:tab w:val="clear" w:pos="567"/>
                <w:tab w:val="left" w:pos="284" w:leader="none"/>
              </w:tabs>
              <w:spacing w:lineRule="atLeast" w:line="280"/>
              <w:ind w:left="28" w:right="28" w:hanging="0"/>
              <w:rPr>
                <w:spacing w:val="8"/>
                <w:sz w:val="20"/>
                <w:szCs w:val="20"/>
              </w:rPr>
            </w:pPr>
            <w:r>
              <w:rPr>
                <w:spacing w:val="8"/>
                <w:sz w:val="20"/>
                <w:szCs w:val="20"/>
              </w:rPr>
            </w:r>
          </w:p>
        </w:tc>
      </w:tr>
      <w:tr>
        <w:trPr/>
        <w:tc>
          <w:tcPr>
            <w:tcW w:w="837" w:type="dxa"/>
            <w:tcBorders/>
          </w:tcPr>
          <w:p>
            <w:pPr>
              <w:pStyle w:val="F21"/>
              <w:tabs>
                <w:tab w:val="clear" w:pos="567"/>
                <w:tab w:val="left" w:pos="284" w:leader="none"/>
              </w:tabs>
              <w:spacing w:lineRule="atLeast" w:line="280"/>
              <w:ind w:left="28" w:right="28" w:hanging="0"/>
              <w:rPr>
                <w:spacing w:val="8"/>
                <w:sz w:val="20"/>
                <w:szCs w:val="20"/>
              </w:rPr>
            </w:pPr>
            <w:r>
              <w:rPr>
                <w:spacing w:val="8"/>
                <w:sz w:val="20"/>
                <w:szCs w:val="20"/>
              </w:rPr>
              <w:t>17.</w:t>
            </w:r>
            <w:r>
              <w:rPr>
                <w:spacing w:val="8"/>
                <w:sz w:val="20"/>
                <w:szCs w:val="20"/>
              </w:rPr>
              <w:t>消防</w:t>
            </w:r>
            <w:r>
              <w:rPr>
                <w:spacing w:val="8"/>
                <w:sz w:val="20"/>
                <w:szCs w:val="20"/>
              </w:rPr>
              <w:tab/>
            </w:r>
            <w:r>
              <w:rPr>
                <w:spacing w:val="8"/>
                <w:sz w:val="20"/>
                <w:szCs w:val="20"/>
              </w:rPr>
              <w:t>機械</w:t>
            </w:r>
            <w:r>
              <w:rPr>
                <w:spacing w:val="8"/>
                <w:sz w:val="20"/>
                <w:szCs w:val="20"/>
              </w:rPr>
              <w:tab/>
            </w:r>
            <w:r>
              <w:rPr>
                <w:spacing w:val="8"/>
                <w:sz w:val="20"/>
                <w:szCs w:val="20"/>
              </w:rPr>
              <w:t>裝配</w:t>
            </w:r>
            <w:r>
              <w:rPr>
                <w:spacing w:val="8"/>
                <w:sz w:val="20"/>
                <w:szCs w:val="20"/>
              </w:rPr>
              <w:tab/>
            </w:r>
            <w:r>
              <w:rPr>
                <w:spacing w:val="8"/>
                <w:sz w:val="20"/>
                <w:szCs w:val="20"/>
              </w:rPr>
              <w:t>工</w:t>
            </w:r>
          </w:p>
        </w:tc>
        <w:tc>
          <w:tcPr>
            <w:tcW w:w="1100" w:type="dxa"/>
            <w:tcBorders>
              <w:top w:val="nil"/>
              <w:bottom w:val="nil"/>
            </w:tcBorders>
          </w:tcPr>
          <w:p>
            <w:pPr>
              <w:pStyle w:val="F21"/>
              <w:tabs>
                <w:tab w:val="clear" w:pos="567"/>
                <w:tab w:val="left" w:pos="284" w:leader="none"/>
              </w:tabs>
              <w:spacing w:lineRule="atLeast" w:line="280"/>
              <w:ind w:left="28" w:right="28" w:hanging="0"/>
              <w:rPr>
                <w:spacing w:val="8"/>
                <w:sz w:val="20"/>
                <w:szCs w:val="20"/>
              </w:rPr>
            </w:pPr>
            <w:r>
              <w:rPr>
                <w:spacing w:val="8"/>
                <w:sz w:val="20"/>
                <w:szCs w:val="20"/>
              </w:rPr>
            </w:r>
          </w:p>
        </w:tc>
        <w:tc>
          <w:tcPr>
            <w:tcW w:w="895" w:type="dxa"/>
            <w:vMerge w:val="continue"/>
            <w:tcBorders>
              <w:bottom w:val="nil"/>
            </w:tcBorders>
          </w:tcPr>
          <w:p>
            <w:pPr>
              <w:pStyle w:val="F21"/>
              <w:tabs>
                <w:tab w:val="clear" w:pos="567"/>
                <w:tab w:val="left" w:pos="284" w:leader="none"/>
              </w:tabs>
              <w:spacing w:lineRule="atLeast" w:line="280"/>
              <w:ind w:left="28" w:right="28" w:hanging="0"/>
              <w:rPr>
                <w:spacing w:val="8"/>
                <w:sz w:val="20"/>
                <w:szCs w:val="20"/>
              </w:rPr>
            </w:pPr>
            <w:r>
              <w:rPr>
                <w:spacing w:val="8"/>
                <w:sz w:val="20"/>
                <w:szCs w:val="20"/>
              </w:rPr>
            </w:r>
          </w:p>
        </w:tc>
        <w:tc>
          <w:tcPr>
            <w:tcW w:w="780" w:type="dxa"/>
            <w:tcBorders/>
          </w:tcPr>
          <w:p>
            <w:pPr>
              <w:pStyle w:val="F21"/>
              <w:tabs>
                <w:tab w:val="clear" w:pos="567"/>
                <w:tab w:val="left" w:pos="284" w:leader="none"/>
              </w:tabs>
              <w:spacing w:lineRule="atLeast" w:line="280"/>
              <w:ind w:left="28" w:right="170" w:hanging="0"/>
              <w:jc w:val="right"/>
              <w:rPr>
                <w:spacing w:val="8"/>
                <w:sz w:val="20"/>
                <w:szCs w:val="20"/>
              </w:rPr>
            </w:pPr>
            <w:r>
              <w:rPr>
                <w:spacing w:val="8"/>
                <w:sz w:val="20"/>
                <w:szCs w:val="20"/>
              </w:rPr>
              <w:t>10</w:t>
            </w:r>
          </w:p>
        </w:tc>
        <w:tc>
          <w:tcPr>
            <w:tcW w:w="729" w:type="dxa"/>
            <w:tcBorders/>
          </w:tcPr>
          <w:p>
            <w:pPr>
              <w:pStyle w:val="F21"/>
              <w:tabs>
                <w:tab w:val="clear" w:pos="567"/>
                <w:tab w:val="left" w:pos="284" w:leader="none"/>
              </w:tabs>
              <w:spacing w:lineRule="atLeast" w:line="280"/>
              <w:ind w:left="28" w:right="170" w:hanging="0"/>
              <w:jc w:val="right"/>
              <w:rPr>
                <w:spacing w:val="8"/>
                <w:sz w:val="20"/>
                <w:szCs w:val="20"/>
              </w:rPr>
            </w:pPr>
            <w:r>
              <w:rPr>
                <w:spacing w:val="8"/>
                <w:sz w:val="20"/>
                <w:szCs w:val="20"/>
              </w:rPr>
              <w:t>-</w:t>
            </w:r>
          </w:p>
        </w:tc>
        <w:tc>
          <w:tcPr>
            <w:tcW w:w="728" w:type="dxa"/>
            <w:tcBorders/>
          </w:tcPr>
          <w:p>
            <w:pPr>
              <w:pStyle w:val="F21"/>
              <w:tabs>
                <w:tab w:val="clear" w:pos="567"/>
                <w:tab w:val="left" w:pos="284" w:leader="none"/>
              </w:tabs>
              <w:spacing w:lineRule="atLeast" w:line="280"/>
              <w:ind w:left="28" w:right="170" w:hanging="0"/>
              <w:jc w:val="right"/>
              <w:rPr>
                <w:spacing w:val="8"/>
                <w:sz w:val="20"/>
                <w:szCs w:val="20"/>
              </w:rPr>
            </w:pPr>
            <w:r>
              <w:rPr>
                <w:spacing w:val="8"/>
                <w:sz w:val="20"/>
                <w:szCs w:val="20"/>
              </w:rPr>
              <w:t>8</w:t>
            </w:r>
          </w:p>
        </w:tc>
        <w:tc>
          <w:tcPr>
            <w:tcW w:w="798" w:type="dxa"/>
            <w:tcBorders/>
          </w:tcPr>
          <w:p>
            <w:pPr>
              <w:pStyle w:val="F21"/>
              <w:tabs>
                <w:tab w:val="clear" w:pos="567"/>
                <w:tab w:val="left" w:pos="284" w:leader="none"/>
              </w:tabs>
              <w:spacing w:lineRule="atLeast" w:line="280"/>
              <w:ind w:left="28" w:right="170" w:hanging="0"/>
              <w:jc w:val="right"/>
              <w:rPr>
                <w:spacing w:val="8"/>
                <w:sz w:val="20"/>
                <w:szCs w:val="20"/>
              </w:rPr>
            </w:pPr>
            <w:r>
              <w:rPr>
                <w:spacing w:val="8"/>
                <w:sz w:val="20"/>
                <w:szCs w:val="20"/>
              </w:rPr>
              <w:t>13</w:t>
            </w:r>
          </w:p>
        </w:tc>
        <w:tc>
          <w:tcPr>
            <w:tcW w:w="772" w:type="dxa"/>
            <w:tcBorders/>
          </w:tcPr>
          <w:p>
            <w:pPr>
              <w:pStyle w:val="F21"/>
              <w:tabs>
                <w:tab w:val="clear" w:pos="567"/>
                <w:tab w:val="left" w:pos="284" w:leader="none"/>
              </w:tabs>
              <w:spacing w:lineRule="atLeast" w:line="280"/>
              <w:ind w:left="28" w:right="170" w:hanging="0"/>
              <w:jc w:val="right"/>
              <w:rPr>
                <w:spacing w:val="8"/>
                <w:sz w:val="20"/>
                <w:szCs w:val="20"/>
              </w:rPr>
            </w:pPr>
            <w:r>
              <w:rPr>
                <w:spacing w:val="8"/>
                <w:sz w:val="20"/>
                <w:szCs w:val="20"/>
              </w:rPr>
              <w:t>34</w:t>
            </w:r>
          </w:p>
        </w:tc>
        <w:tc>
          <w:tcPr>
            <w:tcW w:w="901" w:type="dxa"/>
            <w:tcBorders>
              <w:top w:val="nil"/>
              <w:bottom w:val="nil"/>
            </w:tcBorders>
          </w:tcPr>
          <w:p>
            <w:pPr>
              <w:pStyle w:val="F21"/>
              <w:tabs>
                <w:tab w:val="clear" w:pos="567"/>
                <w:tab w:val="left" w:pos="284" w:leader="none"/>
              </w:tabs>
              <w:spacing w:lineRule="atLeast" w:line="280"/>
              <w:ind w:left="28" w:right="28" w:hanging="0"/>
              <w:rPr>
                <w:spacing w:val="8"/>
                <w:sz w:val="20"/>
                <w:szCs w:val="20"/>
              </w:rPr>
            </w:pPr>
            <w:r>
              <w:rPr>
                <w:spacing w:val="8"/>
                <w:sz w:val="20"/>
                <w:szCs w:val="20"/>
              </w:rPr>
            </w:r>
          </w:p>
        </w:tc>
        <w:tc>
          <w:tcPr>
            <w:tcW w:w="838" w:type="dxa"/>
            <w:tcBorders>
              <w:top w:val="nil"/>
              <w:bottom w:val="nil"/>
            </w:tcBorders>
          </w:tcPr>
          <w:p>
            <w:pPr>
              <w:pStyle w:val="F21"/>
              <w:tabs>
                <w:tab w:val="clear" w:pos="567"/>
                <w:tab w:val="left" w:pos="284" w:leader="none"/>
              </w:tabs>
              <w:spacing w:lineRule="atLeast" w:line="280"/>
              <w:ind w:left="28" w:right="28" w:hanging="0"/>
              <w:rPr>
                <w:spacing w:val="8"/>
                <w:sz w:val="20"/>
                <w:szCs w:val="20"/>
              </w:rPr>
            </w:pPr>
            <w:r>
              <w:rPr>
                <w:spacing w:val="8"/>
                <w:sz w:val="20"/>
                <w:szCs w:val="20"/>
              </w:rPr>
            </w:r>
          </w:p>
        </w:tc>
        <w:tc>
          <w:tcPr>
            <w:tcW w:w="869" w:type="dxa"/>
            <w:tcBorders>
              <w:top w:val="nil"/>
              <w:bottom w:val="nil"/>
            </w:tcBorders>
          </w:tcPr>
          <w:p>
            <w:pPr>
              <w:pStyle w:val="F21"/>
              <w:tabs>
                <w:tab w:val="clear" w:pos="567"/>
                <w:tab w:val="left" w:pos="284" w:leader="none"/>
              </w:tabs>
              <w:spacing w:lineRule="atLeast" w:line="280"/>
              <w:ind w:left="28" w:right="28" w:hanging="0"/>
              <w:rPr>
                <w:spacing w:val="8"/>
                <w:sz w:val="20"/>
                <w:szCs w:val="20"/>
              </w:rPr>
            </w:pPr>
            <w:r>
              <w:rPr>
                <w:spacing w:val="8"/>
                <w:sz w:val="20"/>
                <w:szCs w:val="20"/>
              </w:rPr>
            </w:r>
          </w:p>
        </w:tc>
      </w:tr>
      <w:tr>
        <w:trPr/>
        <w:tc>
          <w:tcPr>
            <w:tcW w:w="837" w:type="dxa"/>
            <w:tcBorders/>
          </w:tcPr>
          <w:p>
            <w:pPr>
              <w:pStyle w:val="F21"/>
              <w:tabs>
                <w:tab w:val="clear" w:pos="567"/>
                <w:tab w:val="left" w:pos="284" w:leader="none"/>
              </w:tabs>
              <w:spacing w:lineRule="atLeast" w:line="280"/>
              <w:ind w:left="28" w:right="28" w:hanging="0"/>
              <w:rPr>
                <w:spacing w:val="8"/>
                <w:sz w:val="20"/>
                <w:szCs w:val="20"/>
              </w:rPr>
            </w:pPr>
            <w:r>
              <w:rPr>
                <w:spacing w:val="8"/>
                <w:sz w:val="20"/>
                <w:szCs w:val="20"/>
              </w:rPr>
              <w:t>18.</w:t>
            </w:r>
            <w:r>
              <w:rPr>
                <w:spacing w:val="8"/>
                <w:sz w:val="20"/>
                <w:szCs w:val="20"/>
              </w:rPr>
              <w:t>消防</w:t>
            </w:r>
            <w:r>
              <w:rPr>
                <w:spacing w:val="8"/>
                <w:sz w:val="20"/>
                <w:szCs w:val="20"/>
              </w:rPr>
              <w:tab/>
            </w:r>
            <w:r>
              <w:rPr>
                <w:spacing w:val="8"/>
                <w:sz w:val="20"/>
                <w:szCs w:val="20"/>
              </w:rPr>
              <w:t>電氣</w:t>
            </w:r>
            <w:r>
              <w:rPr>
                <w:spacing w:val="8"/>
                <w:sz w:val="20"/>
                <w:szCs w:val="20"/>
              </w:rPr>
              <w:tab/>
            </w:r>
            <w:r>
              <w:rPr>
                <w:spacing w:val="8"/>
                <w:sz w:val="20"/>
                <w:szCs w:val="20"/>
              </w:rPr>
              <w:t>裝配</w:t>
            </w:r>
            <w:r>
              <w:rPr>
                <w:spacing w:val="8"/>
                <w:sz w:val="20"/>
                <w:szCs w:val="20"/>
              </w:rPr>
              <w:tab/>
            </w:r>
            <w:r>
              <w:rPr>
                <w:spacing w:val="8"/>
                <w:sz w:val="20"/>
                <w:szCs w:val="20"/>
              </w:rPr>
              <w:t>工</w:t>
            </w:r>
          </w:p>
        </w:tc>
        <w:tc>
          <w:tcPr>
            <w:tcW w:w="1100" w:type="dxa"/>
            <w:tcBorders>
              <w:top w:val="nil"/>
              <w:bottom w:val="nil"/>
            </w:tcBorders>
          </w:tcPr>
          <w:p>
            <w:pPr>
              <w:pStyle w:val="F21"/>
              <w:tabs>
                <w:tab w:val="clear" w:pos="567"/>
                <w:tab w:val="left" w:pos="284" w:leader="none"/>
              </w:tabs>
              <w:spacing w:lineRule="atLeast" w:line="280"/>
              <w:ind w:left="28" w:right="28" w:hanging="0"/>
              <w:rPr>
                <w:spacing w:val="8"/>
                <w:sz w:val="20"/>
                <w:szCs w:val="20"/>
              </w:rPr>
            </w:pPr>
            <w:r>
              <w:rPr>
                <w:spacing w:val="8"/>
                <w:sz w:val="20"/>
                <w:szCs w:val="20"/>
              </w:rPr>
            </w:r>
          </w:p>
        </w:tc>
        <w:tc>
          <w:tcPr>
            <w:tcW w:w="895" w:type="dxa"/>
            <w:tcBorders>
              <w:top w:val="nil"/>
              <w:bottom w:val="nil"/>
            </w:tcBorders>
          </w:tcPr>
          <w:p>
            <w:pPr>
              <w:pStyle w:val="F21"/>
              <w:tabs>
                <w:tab w:val="clear" w:pos="567"/>
                <w:tab w:val="left" w:pos="284" w:leader="none"/>
              </w:tabs>
              <w:spacing w:lineRule="atLeast" w:line="280"/>
              <w:ind w:left="28" w:right="28" w:hanging="0"/>
              <w:rPr>
                <w:spacing w:val="8"/>
                <w:sz w:val="20"/>
                <w:szCs w:val="20"/>
              </w:rPr>
            </w:pPr>
            <w:r>
              <w:rPr>
                <w:spacing w:val="8"/>
                <w:sz w:val="20"/>
                <w:szCs w:val="20"/>
              </w:rPr>
            </w:r>
          </w:p>
        </w:tc>
        <w:tc>
          <w:tcPr>
            <w:tcW w:w="780" w:type="dxa"/>
            <w:tcBorders/>
          </w:tcPr>
          <w:p>
            <w:pPr>
              <w:pStyle w:val="F21"/>
              <w:tabs>
                <w:tab w:val="clear" w:pos="567"/>
                <w:tab w:val="left" w:pos="284" w:leader="none"/>
              </w:tabs>
              <w:spacing w:lineRule="atLeast" w:line="280"/>
              <w:ind w:left="28" w:right="170" w:hanging="0"/>
              <w:jc w:val="right"/>
              <w:rPr>
                <w:spacing w:val="8"/>
                <w:sz w:val="20"/>
                <w:szCs w:val="20"/>
              </w:rPr>
            </w:pPr>
            <w:r>
              <w:rPr>
                <w:spacing w:val="8"/>
                <w:sz w:val="20"/>
                <w:szCs w:val="20"/>
              </w:rPr>
              <w:t>-</w:t>
            </w:r>
          </w:p>
        </w:tc>
        <w:tc>
          <w:tcPr>
            <w:tcW w:w="729" w:type="dxa"/>
            <w:tcBorders/>
          </w:tcPr>
          <w:p>
            <w:pPr>
              <w:pStyle w:val="F21"/>
              <w:tabs>
                <w:tab w:val="clear" w:pos="567"/>
                <w:tab w:val="left" w:pos="284" w:leader="none"/>
              </w:tabs>
              <w:spacing w:lineRule="atLeast" w:line="280"/>
              <w:ind w:left="28" w:right="170" w:hanging="0"/>
              <w:jc w:val="right"/>
              <w:rPr>
                <w:spacing w:val="8"/>
                <w:sz w:val="20"/>
                <w:szCs w:val="20"/>
              </w:rPr>
            </w:pPr>
            <w:r>
              <w:rPr>
                <w:spacing w:val="8"/>
                <w:sz w:val="20"/>
                <w:szCs w:val="20"/>
              </w:rPr>
              <w:t>-</w:t>
            </w:r>
          </w:p>
        </w:tc>
        <w:tc>
          <w:tcPr>
            <w:tcW w:w="728" w:type="dxa"/>
            <w:tcBorders/>
          </w:tcPr>
          <w:p>
            <w:pPr>
              <w:pStyle w:val="F21"/>
              <w:tabs>
                <w:tab w:val="clear" w:pos="567"/>
                <w:tab w:val="left" w:pos="284" w:leader="none"/>
              </w:tabs>
              <w:spacing w:lineRule="atLeast" w:line="280"/>
              <w:ind w:left="28" w:right="170" w:hanging="0"/>
              <w:jc w:val="right"/>
              <w:rPr>
                <w:spacing w:val="8"/>
                <w:sz w:val="20"/>
                <w:szCs w:val="20"/>
              </w:rPr>
            </w:pPr>
            <w:r>
              <w:rPr>
                <w:spacing w:val="8"/>
                <w:sz w:val="20"/>
                <w:szCs w:val="20"/>
              </w:rPr>
              <w:t>8</w:t>
            </w:r>
          </w:p>
        </w:tc>
        <w:tc>
          <w:tcPr>
            <w:tcW w:w="798" w:type="dxa"/>
            <w:tcBorders/>
          </w:tcPr>
          <w:p>
            <w:pPr>
              <w:pStyle w:val="F21"/>
              <w:tabs>
                <w:tab w:val="clear" w:pos="567"/>
                <w:tab w:val="left" w:pos="284" w:leader="none"/>
              </w:tabs>
              <w:spacing w:lineRule="atLeast" w:line="280"/>
              <w:ind w:left="28" w:right="170" w:hanging="0"/>
              <w:jc w:val="right"/>
              <w:rPr>
                <w:spacing w:val="8"/>
                <w:sz w:val="20"/>
                <w:szCs w:val="20"/>
              </w:rPr>
            </w:pPr>
            <w:r>
              <w:rPr>
                <w:spacing w:val="8"/>
                <w:sz w:val="20"/>
                <w:szCs w:val="20"/>
              </w:rPr>
              <w:t>29</w:t>
            </w:r>
          </w:p>
        </w:tc>
        <w:tc>
          <w:tcPr>
            <w:tcW w:w="772" w:type="dxa"/>
            <w:tcBorders/>
          </w:tcPr>
          <w:p>
            <w:pPr>
              <w:pStyle w:val="F21"/>
              <w:tabs>
                <w:tab w:val="clear" w:pos="567"/>
                <w:tab w:val="left" w:pos="284" w:leader="none"/>
              </w:tabs>
              <w:spacing w:lineRule="atLeast" w:line="280"/>
              <w:ind w:left="28" w:right="170" w:hanging="0"/>
              <w:jc w:val="right"/>
              <w:rPr>
                <w:spacing w:val="8"/>
                <w:sz w:val="20"/>
                <w:szCs w:val="20"/>
              </w:rPr>
            </w:pPr>
            <w:r>
              <w:rPr>
                <w:spacing w:val="8"/>
                <w:sz w:val="20"/>
                <w:szCs w:val="20"/>
              </w:rPr>
              <w:t>30</w:t>
            </w:r>
          </w:p>
        </w:tc>
        <w:tc>
          <w:tcPr>
            <w:tcW w:w="901" w:type="dxa"/>
            <w:tcBorders>
              <w:top w:val="nil"/>
              <w:bottom w:val="nil"/>
            </w:tcBorders>
          </w:tcPr>
          <w:p>
            <w:pPr>
              <w:pStyle w:val="F21"/>
              <w:tabs>
                <w:tab w:val="clear" w:pos="567"/>
                <w:tab w:val="left" w:pos="284" w:leader="none"/>
              </w:tabs>
              <w:spacing w:lineRule="atLeast" w:line="280"/>
              <w:ind w:left="28" w:right="28" w:hanging="0"/>
              <w:rPr>
                <w:spacing w:val="8"/>
                <w:sz w:val="20"/>
                <w:szCs w:val="20"/>
              </w:rPr>
            </w:pPr>
            <w:r>
              <w:rPr>
                <w:spacing w:val="8"/>
                <w:sz w:val="20"/>
                <w:szCs w:val="20"/>
              </w:rPr>
            </w:r>
          </w:p>
        </w:tc>
        <w:tc>
          <w:tcPr>
            <w:tcW w:w="838" w:type="dxa"/>
            <w:tcBorders>
              <w:top w:val="nil"/>
              <w:bottom w:val="nil"/>
            </w:tcBorders>
          </w:tcPr>
          <w:p>
            <w:pPr>
              <w:pStyle w:val="F21"/>
              <w:tabs>
                <w:tab w:val="clear" w:pos="567"/>
                <w:tab w:val="left" w:pos="284" w:leader="none"/>
              </w:tabs>
              <w:spacing w:lineRule="atLeast" w:line="280"/>
              <w:ind w:left="28" w:right="28" w:hanging="0"/>
              <w:rPr>
                <w:spacing w:val="8"/>
                <w:sz w:val="20"/>
                <w:szCs w:val="20"/>
              </w:rPr>
            </w:pPr>
            <w:r>
              <w:rPr>
                <w:spacing w:val="8"/>
                <w:sz w:val="20"/>
                <w:szCs w:val="20"/>
              </w:rPr>
            </w:r>
          </w:p>
        </w:tc>
        <w:tc>
          <w:tcPr>
            <w:tcW w:w="869" w:type="dxa"/>
            <w:tcBorders>
              <w:top w:val="nil"/>
              <w:bottom w:val="nil"/>
            </w:tcBorders>
          </w:tcPr>
          <w:p>
            <w:pPr>
              <w:pStyle w:val="F21"/>
              <w:tabs>
                <w:tab w:val="clear" w:pos="567"/>
                <w:tab w:val="left" w:pos="284" w:leader="none"/>
              </w:tabs>
              <w:spacing w:lineRule="atLeast" w:line="280"/>
              <w:ind w:left="28" w:right="28" w:hanging="0"/>
              <w:rPr>
                <w:spacing w:val="8"/>
                <w:sz w:val="20"/>
                <w:szCs w:val="20"/>
              </w:rPr>
            </w:pPr>
            <w:r>
              <w:rPr>
                <w:spacing w:val="8"/>
                <w:sz w:val="20"/>
                <w:szCs w:val="20"/>
              </w:rPr>
            </w:r>
          </w:p>
        </w:tc>
      </w:tr>
      <w:tr>
        <w:trPr/>
        <w:tc>
          <w:tcPr>
            <w:tcW w:w="837" w:type="dxa"/>
            <w:tcBorders/>
          </w:tcPr>
          <w:p>
            <w:pPr>
              <w:pStyle w:val="F21"/>
              <w:tabs>
                <w:tab w:val="clear" w:pos="567"/>
                <w:tab w:val="left" w:pos="284" w:leader="none"/>
              </w:tabs>
              <w:spacing w:lineRule="atLeast" w:line="300"/>
              <w:ind w:left="28" w:right="28" w:hanging="0"/>
              <w:rPr>
                <w:spacing w:val="8"/>
                <w:sz w:val="20"/>
                <w:szCs w:val="20"/>
              </w:rPr>
            </w:pPr>
            <w:r>
              <w:rPr>
                <w:spacing w:val="8"/>
                <w:sz w:val="20"/>
                <w:szCs w:val="20"/>
              </w:rPr>
              <w:t>19.</w:t>
            </w:r>
            <w:r>
              <w:rPr>
                <w:spacing w:val="8"/>
                <w:sz w:val="20"/>
                <w:szCs w:val="20"/>
              </w:rPr>
              <w:t>空</w:t>
            </w:r>
            <w:r>
              <w:rPr>
                <w:spacing w:val="8"/>
                <w:sz w:val="20"/>
                <w:szCs w:val="20"/>
              </w:rPr>
              <w:tab/>
            </w:r>
            <w:r>
              <w:rPr>
                <w:spacing w:val="8"/>
                <w:sz w:val="20"/>
                <w:szCs w:val="20"/>
              </w:rPr>
              <w:t>調</w:t>
            </w:r>
            <w:r>
              <w:rPr>
                <w:spacing w:val="8"/>
                <w:sz w:val="20"/>
                <w:szCs w:val="20"/>
              </w:rPr>
              <w:tab/>
            </w:r>
            <w:r>
              <w:rPr>
                <w:spacing w:val="8"/>
                <w:sz w:val="20"/>
                <w:szCs w:val="20"/>
              </w:rPr>
              <w:t>製</w:t>
            </w:r>
            <w:r>
              <w:rPr>
                <w:spacing w:val="8"/>
                <w:sz w:val="20"/>
                <w:szCs w:val="20"/>
              </w:rPr>
              <w:tab/>
            </w:r>
            <w:r>
              <w:rPr>
                <w:spacing w:val="8"/>
                <w:sz w:val="20"/>
                <w:szCs w:val="20"/>
              </w:rPr>
              <w:t>冷</w:t>
            </w:r>
            <w:r>
              <w:rPr>
                <w:spacing w:val="8"/>
                <w:sz w:val="20"/>
                <w:szCs w:val="20"/>
              </w:rPr>
              <w:tab/>
            </w:r>
            <w:r>
              <w:rPr>
                <w:spacing w:val="8"/>
                <w:sz w:val="20"/>
                <w:szCs w:val="20"/>
              </w:rPr>
              <w:t>設備</w:t>
            </w:r>
            <w:r>
              <w:rPr>
                <w:spacing w:val="8"/>
                <w:sz w:val="20"/>
                <w:szCs w:val="20"/>
              </w:rPr>
              <w:tab/>
            </w:r>
            <w:r>
              <w:rPr>
                <w:spacing w:val="8"/>
                <w:sz w:val="20"/>
                <w:szCs w:val="20"/>
              </w:rPr>
              <w:t>技工</w:t>
            </w:r>
            <w:r>
              <w:rPr>
                <w:spacing w:val="8"/>
                <w:sz w:val="20"/>
                <w:szCs w:val="20"/>
              </w:rPr>
              <w:tab/>
              <w:t>(</w:t>
            </w:r>
            <w:r>
              <w:rPr>
                <w:spacing w:val="8"/>
                <w:sz w:val="20"/>
                <w:szCs w:val="20"/>
              </w:rPr>
              <w:t>送</w:t>
            </w:r>
            <w:r>
              <w:rPr>
                <w:spacing w:val="8"/>
                <w:sz w:val="20"/>
                <w:szCs w:val="20"/>
              </w:rPr>
              <w:tab/>
            </w:r>
            <w:r>
              <w:rPr>
                <w:spacing w:val="8"/>
                <w:sz w:val="20"/>
                <w:szCs w:val="20"/>
              </w:rPr>
              <w:t>風系</w:t>
            </w:r>
            <w:r>
              <w:rPr>
                <w:spacing w:val="8"/>
                <w:sz w:val="20"/>
                <w:szCs w:val="20"/>
              </w:rPr>
              <w:tab/>
            </w:r>
            <w:r>
              <w:rPr>
                <w:spacing w:val="8"/>
                <w:sz w:val="20"/>
                <w:szCs w:val="20"/>
              </w:rPr>
              <w:t>統</w:t>
            </w:r>
            <w:r>
              <w:rPr>
                <w:spacing w:val="8"/>
                <w:sz w:val="20"/>
                <w:szCs w:val="20"/>
              </w:rPr>
              <w:t>)</w:t>
            </w:r>
          </w:p>
        </w:tc>
        <w:tc>
          <w:tcPr>
            <w:tcW w:w="1100" w:type="dxa"/>
            <w:tcBorders>
              <w:top w:val="nil"/>
              <w:bottom w:val="nil"/>
            </w:tcBorders>
          </w:tcPr>
          <w:p>
            <w:pPr>
              <w:pStyle w:val="F21"/>
              <w:tabs>
                <w:tab w:val="clear" w:pos="567"/>
                <w:tab w:val="left" w:pos="284" w:leader="none"/>
              </w:tabs>
              <w:spacing w:lineRule="atLeast" w:line="300"/>
              <w:ind w:left="28" w:right="28" w:hanging="0"/>
              <w:rPr>
                <w:spacing w:val="8"/>
                <w:sz w:val="20"/>
                <w:szCs w:val="20"/>
              </w:rPr>
            </w:pPr>
            <w:r>
              <w:rPr>
                <w:spacing w:val="8"/>
                <w:sz w:val="20"/>
                <w:szCs w:val="20"/>
              </w:rPr>
            </w:r>
          </w:p>
        </w:tc>
        <w:tc>
          <w:tcPr>
            <w:tcW w:w="895" w:type="dxa"/>
            <w:tcBorders>
              <w:top w:val="nil"/>
              <w:bottom w:val="nil"/>
            </w:tcBorders>
          </w:tcPr>
          <w:p>
            <w:pPr>
              <w:pStyle w:val="F21"/>
              <w:tabs>
                <w:tab w:val="clear" w:pos="567"/>
                <w:tab w:val="left" w:pos="284" w:leader="none"/>
              </w:tabs>
              <w:spacing w:lineRule="atLeast" w:line="300"/>
              <w:ind w:left="28" w:right="28" w:hanging="0"/>
              <w:rPr>
                <w:spacing w:val="8"/>
                <w:sz w:val="20"/>
                <w:szCs w:val="20"/>
              </w:rPr>
            </w:pPr>
            <w:r>
              <w:rPr>
                <w:spacing w:val="8"/>
                <w:sz w:val="20"/>
                <w:szCs w:val="20"/>
              </w:rPr>
            </w:r>
          </w:p>
        </w:tc>
        <w:tc>
          <w:tcPr>
            <w:tcW w:w="780" w:type="dxa"/>
            <w:tcBorders/>
          </w:tcPr>
          <w:p>
            <w:pPr>
              <w:pStyle w:val="F21"/>
              <w:tabs>
                <w:tab w:val="clear" w:pos="567"/>
                <w:tab w:val="left" w:pos="284" w:leader="none"/>
              </w:tabs>
              <w:spacing w:lineRule="atLeast" w:line="300"/>
              <w:ind w:left="28" w:right="170" w:hanging="0"/>
              <w:jc w:val="right"/>
              <w:rPr>
                <w:spacing w:val="8"/>
                <w:sz w:val="20"/>
                <w:szCs w:val="20"/>
              </w:rPr>
            </w:pPr>
            <w:r>
              <w:rPr>
                <w:spacing w:val="8"/>
                <w:sz w:val="20"/>
                <w:szCs w:val="20"/>
              </w:rPr>
              <w:t>88</w:t>
            </w:r>
          </w:p>
        </w:tc>
        <w:tc>
          <w:tcPr>
            <w:tcW w:w="729" w:type="dxa"/>
            <w:tcBorders/>
          </w:tcPr>
          <w:p>
            <w:pPr>
              <w:pStyle w:val="F21"/>
              <w:tabs>
                <w:tab w:val="clear" w:pos="567"/>
                <w:tab w:val="left" w:pos="284" w:leader="none"/>
              </w:tabs>
              <w:spacing w:lineRule="atLeast" w:line="300"/>
              <w:ind w:left="28" w:right="170" w:hanging="0"/>
              <w:jc w:val="right"/>
              <w:rPr>
                <w:spacing w:val="8"/>
                <w:sz w:val="20"/>
                <w:szCs w:val="20"/>
              </w:rPr>
            </w:pPr>
            <w:r>
              <w:rPr>
                <w:spacing w:val="8"/>
                <w:sz w:val="20"/>
                <w:szCs w:val="20"/>
              </w:rPr>
              <w:t>24</w:t>
            </w:r>
          </w:p>
        </w:tc>
        <w:tc>
          <w:tcPr>
            <w:tcW w:w="728" w:type="dxa"/>
            <w:tcBorders/>
          </w:tcPr>
          <w:p>
            <w:pPr>
              <w:pStyle w:val="F21"/>
              <w:tabs>
                <w:tab w:val="clear" w:pos="567"/>
                <w:tab w:val="left" w:pos="284" w:leader="none"/>
              </w:tabs>
              <w:spacing w:lineRule="atLeast" w:line="300"/>
              <w:ind w:left="28" w:right="170" w:hanging="0"/>
              <w:jc w:val="right"/>
              <w:rPr>
                <w:spacing w:val="8"/>
                <w:sz w:val="20"/>
                <w:szCs w:val="20"/>
              </w:rPr>
            </w:pPr>
            <w:r>
              <w:rPr>
                <w:spacing w:val="8"/>
                <w:sz w:val="20"/>
                <w:szCs w:val="20"/>
              </w:rPr>
              <w:t>50</w:t>
            </w:r>
          </w:p>
        </w:tc>
        <w:tc>
          <w:tcPr>
            <w:tcW w:w="798" w:type="dxa"/>
            <w:tcBorders/>
          </w:tcPr>
          <w:p>
            <w:pPr>
              <w:pStyle w:val="F21"/>
              <w:tabs>
                <w:tab w:val="clear" w:pos="567"/>
                <w:tab w:val="left" w:pos="284" w:leader="none"/>
              </w:tabs>
              <w:spacing w:lineRule="atLeast" w:line="300"/>
              <w:ind w:left="28" w:right="170" w:hanging="0"/>
              <w:jc w:val="right"/>
              <w:rPr>
                <w:spacing w:val="8"/>
                <w:sz w:val="20"/>
                <w:szCs w:val="20"/>
              </w:rPr>
            </w:pPr>
            <w:r>
              <w:rPr>
                <w:spacing w:val="8"/>
                <w:sz w:val="20"/>
                <w:szCs w:val="20"/>
              </w:rPr>
              <w:t>18</w:t>
            </w:r>
          </w:p>
        </w:tc>
        <w:tc>
          <w:tcPr>
            <w:tcW w:w="772" w:type="dxa"/>
            <w:tcBorders/>
          </w:tcPr>
          <w:p>
            <w:pPr>
              <w:pStyle w:val="F21"/>
              <w:tabs>
                <w:tab w:val="clear" w:pos="567"/>
                <w:tab w:val="left" w:pos="284" w:leader="none"/>
              </w:tabs>
              <w:spacing w:lineRule="atLeast" w:line="300"/>
              <w:ind w:left="28" w:right="170" w:hanging="0"/>
              <w:jc w:val="right"/>
              <w:rPr>
                <w:spacing w:val="8"/>
                <w:sz w:val="20"/>
                <w:szCs w:val="20"/>
              </w:rPr>
            </w:pPr>
            <w:r>
              <w:rPr>
                <w:spacing w:val="8"/>
                <w:sz w:val="20"/>
                <w:szCs w:val="20"/>
              </w:rPr>
              <w:t>24</w:t>
            </w:r>
          </w:p>
        </w:tc>
        <w:tc>
          <w:tcPr>
            <w:tcW w:w="901" w:type="dxa"/>
            <w:tcBorders>
              <w:top w:val="nil"/>
              <w:bottom w:val="nil"/>
            </w:tcBorders>
          </w:tcPr>
          <w:p>
            <w:pPr>
              <w:pStyle w:val="F21"/>
              <w:tabs>
                <w:tab w:val="clear" w:pos="567"/>
                <w:tab w:val="left" w:pos="284" w:leader="none"/>
              </w:tabs>
              <w:spacing w:lineRule="atLeast" w:line="300"/>
              <w:ind w:left="28" w:right="28" w:hanging="0"/>
              <w:rPr>
                <w:spacing w:val="8"/>
                <w:sz w:val="20"/>
                <w:szCs w:val="20"/>
              </w:rPr>
            </w:pPr>
            <w:r>
              <w:rPr>
                <w:spacing w:val="8"/>
                <w:sz w:val="20"/>
                <w:szCs w:val="20"/>
              </w:rPr>
            </w:r>
          </w:p>
        </w:tc>
        <w:tc>
          <w:tcPr>
            <w:tcW w:w="838" w:type="dxa"/>
            <w:tcBorders>
              <w:top w:val="nil"/>
              <w:bottom w:val="nil"/>
            </w:tcBorders>
          </w:tcPr>
          <w:p>
            <w:pPr>
              <w:pStyle w:val="F21"/>
              <w:tabs>
                <w:tab w:val="clear" w:pos="567"/>
                <w:tab w:val="left" w:pos="284" w:leader="none"/>
              </w:tabs>
              <w:spacing w:lineRule="atLeast" w:line="300"/>
              <w:ind w:left="28" w:right="28" w:hanging="0"/>
              <w:rPr>
                <w:spacing w:val="8"/>
                <w:sz w:val="20"/>
                <w:szCs w:val="20"/>
              </w:rPr>
            </w:pPr>
            <w:r>
              <w:rPr>
                <w:spacing w:val="8"/>
                <w:sz w:val="20"/>
                <w:szCs w:val="20"/>
              </w:rPr>
            </w:r>
          </w:p>
        </w:tc>
        <w:tc>
          <w:tcPr>
            <w:tcW w:w="869" w:type="dxa"/>
            <w:tcBorders>
              <w:top w:val="nil"/>
              <w:bottom w:val="nil"/>
            </w:tcBorders>
          </w:tcPr>
          <w:p>
            <w:pPr>
              <w:pStyle w:val="F21"/>
              <w:tabs>
                <w:tab w:val="clear" w:pos="567"/>
                <w:tab w:val="left" w:pos="284" w:leader="none"/>
              </w:tabs>
              <w:spacing w:lineRule="atLeast" w:line="300"/>
              <w:ind w:left="28" w:right="28" w:hanging="0"/>
              <w:rPr>
                <w:spacing w:val="8"/>
                <w:sz w:val="20"/>
                <w:szCs w:val="20"/>
              </w:rPr>
            </w:pPr>
            <w:r>
              <w:rPr>
                <w:spacing w:val="8"/>
                <w:sz w:val="20"/>
                <w:szCs w:val="20"/>
              </w:rPr>
            </w:r>
          </w:p>
        </w:tc>
      </w:tr>
      <w:tr>
        <w:trPr/>
        <w:tc>
          <w:tcPr>
            <w:tcW w:w="837" w:type="dxa"/>
            <w:tcBorders/>
          </w:tcPr>
          <w:p>
            <w:pPr>
              <w:pStyle w:val="F21"/>
              <w:tabs>
                <w:tab w:val="clear" w:pos="567"/>
                <w:tab w:val="left" w:pos="284" w:leader="none"/>
              </w:tabs>
              <w:spacing w:lineRule="atLeast" w:line="300"/>
              <w:ind w:left="28" w:right="28" w:hanging="0"/>
              <w:rPr>
                <w:spacing w:val="8"/>
                <w:sz w:val="20"/>
                <w:szCs w:val="20"/>
              </w:rPr>
            </w:pPr>
            <w:r>
              <w:rPr>
                <w:spacing w:val="8"/>
                <w:sz w:val="20"/>
                <w:szCs w:val="20"/>
              </w:rPr>
              <w:t>20.</w:t>
            </w:r>
            <w:r>
              <w:rPr>
                <w:spacing w:val="8"/>
                <w:sz w:val="20"/>
                <w:szCs w:val="20"/>
              </w:rPr>
              <w:t>空調</w:t>
            </w:r>
            <w:r>
              <w:rPr>
                <w:spacing w:val="8"/>
                <w:sz w:val="20"/>
                <w:szCs w:val="20"/>
              </w:rPr>
              <w:tab/>
            </w:r>
            <w:r>
              <w:rPr>
                <w:spacing w:val="8"/>
                <w:sz w:val="20"/>
                <w:szCs w:val="20"/>
              </w:rPr>
              <w:t>製冷</w:t>
            </w:r>
            <w:r>
              <w:rPr>
                <w:spacing w:val="8"/>
                <w:sz w:val="20"/>
                <w:szCs w:val="20"/>
              </w:rPr>
              <w:tab/>
            </w:r>
            <w:r>
              <w:rPr>
                <w:spacing w:val="8"/>
                <w:sz w:val="20"/>
                <w:szCs w:val="20"/>
              </w:rPr>
              <w:t>設備</w:t>
            </w:r>
            <w:r>
              <w:rPr>
                <w:spacing w:val="8"/>
                <w:sz w:val="20"/>
                <w:szCs w:val="20"/>
              </w:rPr>
              <w:tab/>
            </w:r>
            <w:r>
              <w:rPr>
                <w:spacing w:val="8"/>
                <w:sz w:val="20"/>
                <w:szCs w:val="20"/>
              </w:rPr>
              <w:t>技工</w:t>
            </w:r>
            <w:r>
              <w:rPr>
                <w:spacing w:val="8"/>
                <w:sz w:val="20"/>
                <w:szCs w:val="20"/>
              </w:rPr>
              <w:tab/>
              <w:t>(</w:t>
            </w:r>
            <w:r>
              <w:rPr>
                <w:spacing w:val="8"/>
                <w:sz w:val="20"/>
                <w:szCs w:val="20"/>
              </w:rPr>
              <w:t>水</w:t>
            </w:r>
            <w:r>
              <w:rPr>
                <w:spacing w:val="8"/>
                <w:sz w:val="20"/>
                <w:szCs w:val="20"/>
              </w:rPr>
              <w:tab/>
            </w:r>
            <w:r>
              <w:rPr>
                <w:spacing w:val="8"/>
                <w:sz w:val="20"/>
                <w:szCs w:val="20"/>
              </w:rPr>
              <w:t>系</w:t>
            </w:r>
            <w:r>
              <w:rPr>
                <w:spacing w:val="8"/>
                <w:sz w:val="20"/>
                <w:szCs w:val="20"/>
              </w:rPr>
              <w:tab/>
            </w:r>
            <w:r>
              <w:rPr>
                <w:spacing w:val="8"/>
                <w:sz w:val="20"/>
                <w:szCs w:val="20"/>
              </w:rPr>
              <w:t>統</w:t>
            </w:r>
            <w:r>
              <w:rPr>
                <w:spacing w:val="8"/>
                <w:sz w:val="20"/>
                <w:szCs w:val="20"/>
              </w:rPr>
              <w:t>)</w:t>
            </w:r>
          </w:p>
        </w:tc>
        <w:tc>
          <w:tcPr>
            <w:tcW w:w="1100" w:type="dxa"/>
            <w:tcBorders>
              <w:top w:val="nil"/>
            </w:tcBorders>
          </w:tcPr>
          <w:p>
            <w:pPr>
              <w:pStyle w:val="F21"/>
              <w:tabs>
                <w:tab w:val="clear" w:pos="567"/>
                <w:tab w:val="left" w:pos="284" w:leader="none"/>
              </w:tabs>
              <w:spacing w:lineRule="atLeast" w:line="300"/>
              <w:ind w:left="28" w:right="28" w:hanging="0"/>
              <w:rPr>
                <w:spacing w:val="8"/>
                <w:sz w:val="20"/>
                <w:szCs w:val="20"/>
              </w:rPr>
            </w:pPr>
            <w:r>
              <w:rPr>
                <w:spacing w:val="8"/>
                <w:sz w:val="20"/>
                <w:szCs w:val="20"/>
              </w:rPr>
            </w:r>
          </w:p>
        </w:tc>
        <w:tc>
          <w:tcPr>
            <w:tcW w:w="895" w:type="dxa"/>
            <w:tcBorders>
              <w:top w:val="nil"/>
            </w:tcBorders>
          </w:tcPr>
          <w:p>
            <w:pPr>
              <w:pStyle w:val="F21"/>
              <w:tabs>
                <w:tab w:val="clear" w:pos="567"/>
                <w:tab w:val="left" w:pos="284" w:leader="none"/>
              </w:tabs>
              <w:spacing w:lineRule="atLeast" w:line="300"/>
              <w:ind w:left="28" w:right="28" w:hanging="0"/>
              <w:rPr>
                <w:spacing w:val="8"/>
                <w:sz w:val="20"/>
                <w:szCs w:val="20"/>
              </w:rPr>
            </w:pPr>
            <w:r>
              <w:rPr>
                <w:spacing w:val="8"/>
                <w:sz w:val="20"/>
                <w:szCs w:val="20"/>
              </w:rPr>
            </w:r>
          </w:p>
        </w:tc>
        <w:tc>
          <w:tcPr>
            <w:tcW w:w="780" w:type="dxa"/>
            <w:tcBorders/>
          </w:tcPr>
          <w:p>
            <w:pPr>
              <w:pStyle w:val="F21"/>
              <w:tabs>
                <w:tab w:val="clear" w:pos="567"/>
                <w:tab w:val="left" w:pos="284" w:leader="none"/>
              </w:tabs>
              <w:spacing w:lineRule="atLeast" w:line="300"/>
              <w:ind w:left="28" w:right="170" w:hanging="0"/>
              <w:jc w:val="right"/>
              <w:rPr>
                <w:spacing w:val="8"/>
                <w:sz w:val="20"/>
                <w:szCs w:val="20"/>
              </w:rPr>
            </w:pPr>
            <w:r>
              <w:rPr>
                <w:spacing w:val="8"/>
                <w:sz w:val="20"/>
                <w:szCs w:val="20"/>
              </w:rPr>
              <w:t>17</w:t>
            </w:r>
          </w:p>
        </w:tc>
        <w:tc>
          <w:tcPr>
            <w:tcW w:w="729" w:type="dxa"/>
            <w:tcBorders/>
          </w:tcPr>
          <w:p>
            <w:pPr>
              <w:pStyle w:val="F21"/>
              <w:tabs>
                <w:tab w:val="clear" w:pos="567"/>
                <w:tab w:val="left" w:pos="284" w:leader="none"/>
              </w:tabs>
              <w:spacing w:lineRule="atLeast" w:line="300"/>
              <w:ind w:left="28" w:right="170" w:hanging="0"/>
              <w:jc w:val="right"/>
              <w:rPr>
                <w:spacing w:val="8"/>
                <w:sz w:val="20"/>
                <w:szCs w:val="20"/>
              </w:rPr>
            </w:pPr>
            <w:r>
              <w:rPr>
                <w:spacing w:val="8"/>
                <w:sz w:val="20"/>
                <w:szCs w:val="20"/>
              </w:rPr>
              <w:t>12</w:t>
            </w:r>
          </w:p>
        </w:tc>
        <w:tc>
          <w:tcPr>
            <w:tcW w:w="728" w:type="dxa"/>
            <w:tcBorders/>
          </w:tcPr>
          <w:p>
            <w:pPr>
              <w:pStyle w:val="F21"/>
              <w:tabs>
                <w:tab w:val="clear" w:pos="567"/>
                <w:tab w:val="left" w:pos="284" w:leader="none"/>
              </w:tabs>
              <w:spacing w:lineRule="atLeast" w:line="300"/>
              <w:ind w:left="28" w:right="170" w:hanging="0"/>
              <w:jc w:val="right"/>
              <w:rPr>
                <w:spacing w:val="8"/>
                <w:sz w:val="20"/>
                <w:szCs w:val="20"/>
              </w:rPr>
            </w:pPr>
            <w:r>
              <w:rPr>
                <w:spacing w:val="8"/>
                <w:sz w:val="20"/>
                <w:szCs w:val="20"/>
              </w:rPr>
              <w:t>20</w:t>
            </w:r>
          </w:p>
        </w:tc>
        <w:tc>
          <w:tcPr>
            <w:tcW w:w="798" w:type="dxa"/>
            <w:tcBorders/>
          </w:tcPr>
          <w:p>
            <w:pPr>
              <w:pStyle w:val="F21"/>
              <w:tabs>
                <w:tab w:val="clear" w:pos="567"/>
                <w:tab w:val="left" w:pos="284" w:leader="none"/>
              </w:tabs>
              <w:spacing w:lineRule="atLeast" w:line="300"/>
              <w:ind w:left="28" w:right="170" w:hanging="0"/>
              <w:jc w:val="right"/>
              <w:rPr>
                <w:spacing w:val="8"/>
                <w:sz w:val="20"/>
                <w:szCs w:val="20"/>
              </w:rPr>
            </w:pPr>
            <w:r>
              <w:rPr>
                <w:spacing w:val="8"/>
                <w:sz w:val="20"/>
                <w:szCs w:val="20"/>
              </w:rPr>
              <w:t>28</w:t>
            </w:r>
          </w:p>
        </w:tc>
        <w:tc>
          <w:tcPr>
            <w:tcW w:w="772" w:type="dxa"/>
            <w:tcBorders/>
          </w:tcPr>
          <w:p>
            <w:pPr>
              <w:pStyle w:val="F21"/>
              <w:tabs>
                <w:tab w:val="clear" w:pos="567"/>
                <w:tab w:val="left" w:pos="284" w:leader="none"/>
              </w:tabs>
              <w:spacing w:lineRule="atLeast" w:line="300"/>
              <w:ind w:left="28" w:right="170" w:hanging="0"/>
              <w:jc w:val="right"/>
              <w:rPr>
                <w:spacing w:val="8"/>
                <w:sz w:val="20"/>
                <w:szCs w:val="20"/>
              </w:rPr>
            </w:pPr>
            <w:r>
              <w:rPr>
                <w:spacing w:val="8"/>
                <w:sz w:val="20"/>
                <w:szCs w:val="20"/>
              </w:rPr>
              <w:t>52</w:t>
            </w:r>
          </w:p>
        </w:tc>
        <w:tc>
          <w:tcPr>
            <w:tcW w:w="901" w:type="dxa"/>
            <w:tcBorders>
              <w:top w:val="nil"/>
            </w:tcBorders>
          </w:tcPr>
          <w:p>
            <w:pPr>
              <w:pStyle w:val="F21"/>
              <w:tabs>
                <w:tab w:val="clear" w:pos="567"/>
                <w:tab w:val="left" w:pos="284" w:leader="none"/>
              </w:tabs>
              <w:spacing w:lineRule="atLeast" w:line="300"/>
              <w:ind w:left="28" w:right="28" w:hanging="0"/>
              <w:rPr>
                <w:spacing w:val="8"/>
                <w:sz w:val="20"/>
                <w:szCs w:val="20"/>
              </w:rPr>
            </w:pPr>
            <w:r>
              <w:rPr>
                <w:spacing w:val="8"/>
                <w:sz w:val="20"/>
                <w:szCs w:val="20"/>
              </w:rPr>
            </w:r>
          </w:p>
        </w:tc>
        <w:tc>
          <w:tcPr>
            <w:tcW w:w="838" w:type="dxa"/>
            <w:tcBorders>
              <w:top w:val="nil"/>
            </w:tcBorders>
          </w:tcPr>
          <w:p>
            <w:pPr>
              <w:pStyle w:val="F21"/>
              <w:tabs>
                <w:tab w:val="clear" w:pos="567"/>
                <w:tab w:val="left" w:pos="284" w:leader="none"/>
              </w:tabs>
              <w:spacing w:lineRule="atLeast" w:line="300"/>
              <w:ind w:left="28" w:right="28" w:hanging="0"/>
              <w:rPr>
                <w:spacing w:val="8"/>
                <w:sz w:val="20"/>
                <w:szCs w:val="20"/>
              </w:rPr>
            </w:pPr>
            <w:r>
              <w:rPr>
                <w:spacing w:val="8"/>
                <w:sz w:val="20"/>
                <w:szCs w:val="20"/>
              </w:rPr>
            </w:r>
          </w:p>
        </w:tc>
        <w:tc>
          <w:tcPr>
            <w:tcW w:w="869" w:type="dxa"/>
            <w:tcBorders>
              <w:top w:val="nil"/>
            </w:tcBorders>
          </w:tcPr>
          <w:p>
            <w:pPr>
              <w:pStyle w:val="F21"/>
              <w:tabs>
                <w:tab w:val="clear" w:pos="567"/>
                <w:tab w:val="left" w:pos="284" w:leader="none"/>
              </w:tabs>
              <w:spacing w:lineRule="atLeast" w:line="300"/>
              <w:ind w:left="28" w:right="28" w:hanging="0"/>
              <w:rPr>
                <w:spacing w:val="8"/>
                <w:sz w:val="20"/>
                <w:szCs w:val="20"/>
              </w:rPr>
            </w:pPr>
            <w:r>
              <w:rPr>
                <w:spacing w:val="8"/>
                <w:sz w:val="20"/>
                <w:szCs w:val="20"/>
              </w:rPr>
            </w:r>
          </w:p>
        </w:tc>
      </w:tr>
      <w:tr>
        <w:trPr/>
        <w:tc>
          <w:tcPr>
            <w:tcW w:w="837" w:type="dxa"/>
            <w:tcBorders/>
          </w:tcPr>
          <w:p>
            <w:pPr>
              <w:pStyle w:val="F21"/>
              <w:tabs>
                <w:tab w:val="clear" w:pos="567"/>
                <w:tab w:val="left" w:pos="284" w:leader="none"/>
              </w:tabs>
              <w:spacing w:lineRule="atLeast" w:line="240"/>
              <w:ind w:left="28" w:right="28" w:hanging="0"/>
              <w:rPr>
                <w:spacing w:val="8"/>
                <w:sz w:val="20"/>
                <w:szCs w:val="20"/>
              </w:rPr>
            </w:pPr>
            <w:r>
              <w:rPr>
                <w:spacing w:val="8"/>
                <w:sz w:val="20"/>
                <w:szCs w:val="20"/>
              </w:rPr>
              <w:t>21.</w:t>
            </w:r>
            <w:r>
              <w:rPr>
                <w:spacing w:val="8"/>
                <w:sz w:val="20"/>
                <w:szCs w:val="20"/>
              </w:rPr>
              <w:t>隧道</w:t>
            </w:r>
            <w:r>
              <w:rPr>
                <w:spacing w:val="8"/>
                <w:sz w:val="20"/>
                <w:szCs w:val="20"/>
              </w:rPr>
              <w:tab/>
            </w:r>
            <w:r>
              <w:rPr>
                <w:spacing w:val="8"/>
                <w:sz w:val="20"/>
                <w:szCs w:val="20"/>
              </w:rPr>
              <w:t>工</w:t>
            </w:r>
          </w:p>
        </w:tc>
        <w:tc>
          <w:tcPr>
            <w:tcW w:w="1100" w:type="dxa"/>
            <w:tcBorders>
              <w:bottom w:val="nil"/>
            </w:tcBorders>
          </w:tcPr>
          <w:p>
            <w:pPr>
              <w:pStyle w:val="F21"/>
              <w:tabs>
                <w:tab w:val="clear" w:pos="567"/>
                <w:tab w:val="left" w:pos="284" w:leader="none"/>
              </w:tabs>
              <w:spacing w:lineRule="atLeast" w:line="240"/>
              <w:ind w:left="28" w:right="28" w:hanging="0"/>
              <w:rPr>
                <w:spacing w:val="8"/>
                <w:sz w:val="20"/>
                <w:szCs w:val="20"/>
              </w:rPr>
            </w:pPr>
            <w:r>
              <w:rPr>
                <w:spacing w:val="8"/>
                <w:sz w:val="20"/>
                <w:szCs w:val="20"/>
              </w:rPr>
            </w:r>
          </w:p>
        </w:tc>
        <w:tc>
          <w:tcPr>
            <w:tcW w:w="895" w:type="dxa"/>
            <w:tcBorders>
              <w:bottom w:val="nil"/>
            </w:tcBorders>
          </w:tcPr>
          <w:p>
            <w:pPr>
              <w:pStyle w:val="F21"/>
              <w:tabs>
                <w:tab w:val="clear" w:pos="567"/>
                <w:tab w:val="left" w:pos="284" w:leader="none"/>
              </w:tabs>
              <w:spacing w:lineRule="atLeast" w:line="240"/>
              <w:ind w:left="28" w:right="28" w:hanging="0"/>
              <w:rPr>
                <w:spacing w:val="8"/>
                <w:sz w:val="20"/>
                <w:szCs w:val="20"/>
              </w:rPr>
            </w:pPr>
            <w:r>
              <w:rPr>
                <w:spacing w:val="8"/>
                <w:sz w:val="20"/>
                <w:szCs w:val="20"/>
              </w:rPr>
            </w:r>
          </w:p>
        </w:tc>
        <w:tc>
          <w:tcPr>
            <w:tcW w:w="780" w:type="dxa"/>
            <w:tcBorders/>
          </w:tcPr>
          <w:p>
            <w:pPr>
              <w:pStyle w:val="F21"/>
              <w:tabs>
                <w:tab w:val="clear" w:pos="567"/>
                <w:tab w:val="left" w:pos="284" w:leader="none"/>
              </w:tabs>
              <w:spacing w:lineRule="atLeast" w:line="240"/>
              <w:ind w:left="28" w:right="170" w:hanging="0"/>
              <w:jc w:val="right"/>
              <w:rPr>
                <w:spacing w:val="8"/>
                <w:sz w:val="20"/>
                <w:szCs w:val="20"/>
              </w:rPr>
            </w:pPr>
            <w:r>
              <w:rPr>
                <w:spacing w:val="8"/>
                <w:sz w:val="20"/>
                <w:szCs w:val="20"/>
              </w:rPr>
              <w:t>4</w:t>
            </w:r>
          </w:p>
        </w:tc>
        <w:tc>
          <w:tcPr>
            <w:tcW w:w="729" w:type="dxa"/>
            <w:tcBorders/>
          </w:tcPr>
          <w:p>
            <w:pPr>
              <w:pStyle w:val="F21"/>
              <w:tabs>
                <w:tab w:val="clear" w:pos="567"/>
                <w:tab w:val="left" w:pos="284" w:leader="none"/>
              </w:tabs>
              <w:spacing w:lineRule="atLeast" w:line="240"/>
              <w:ind w:left="28" w:right="170" w:hanging="0"/>
              <w:jc w:val="right"/>
              <w:rPr>
                <w:spacing w:val="8"/>
                <w:sz w:val="20"/>
                <w:szCs w:val="20"/>
              </w:rPr>
            </w:pPr>
            <w:r>
              <w:rPr>
                <w:spacing w:val="8"/>
                <w:sz w:val="20"/>
                <w:szCs w:val="20"/>
              </w:rPr>
              <w:t>100</w:t>
            </w:r>
          </w:p>
        </w:tc>
        <w:tc>
          <w:tcPr>
            <w:tcW w:w="728" w:type="dxa"/>
            <w:tcBorders/>
          </w:tcPr>
          <w:p>
            <w:pPr>
              <w:pStyle w:val="F21"/>
              <w:tabs>
                <w:tab w:val="clear" w:pos="567"/>
                <w:tab w:val="left" w:pos="284" w:leader="none"/>
              </w:tabs>
              <w:spacing w:lineRule="atLeast" w:line="240"/>
              <w:ind w:left="28" w:right="170" w:hanging="0"/>
              <w:jc w:val="right"/>
              <w:rPr>
                <w:spacing w:val="8"/>
                <w:sz w:val="20"/>
                <w:szCs w:val="20"/>
              </w:rPr>
            </w:pPr>
            <w:r>
              <w:rPr>
                <w:spacing w:val="8"/>
                <w:sz w:val="20"/>
                <w:szCs w:val="20"/>
              </w:rPr>
              <w:t>93</w:t>
            </w:r>
          </w:p>
        </w:tc>
        <w:tc>
          <w:tcPr>
            <w:tcW w:w="798" w:type="dxa"/>
            <w:tcBorders/>
          </w:tcPr>
          <w:p>
            <w:pPr>
              <w:pStyle w:val="F21"/>
              <w:tabs>
                <w:tab w:val="clear" w:pos="567"/>
                <w:tab w:val="left" w:pos="284" w:leader="none"/>
              </w:tabs>
              <w:spacing w:lineRule="atLeast" w:line="240"/>
              <w:ind w:left="28" w:right="170" w:hanging="0"/>
              <w:jc w:val="right"/>
              <w:rPr>
                <w:spacing w:val="8"/>
                <w:sz w:val="20"/>
                <w:szCs w:val="20"/>
              </w:rPr>
            </w:pPr>
            <w:r>
              <w:rPr>
                <w:spacing w:val="8"/>
                <w:sz w:val="20"/>
                <w:szCs w:val="20"/>
              </w:rPr>
              <w:t>-</w:t>
            </w:r>
          </w:p>
        </w:tc>
        <w:tc>
          <w:tcPr>
            <w:tcW w:w="772" w:type="dxa"/>
            <w:tcBorders/>
          </w:tcPr>
          <w:p>
            <w:pPr>
              <w:pStyle w:val="F21"/>
              <w:tabs>
                <w:tab w:val="clear" w:pos="567"/>
                <w:tab w:val="left" w:pos="284" w:leader="none"/>
              </w:tabs>
              <w:spacing w:lineRule="atLeast" w:line="240"/>
              <w:ind w:left="28" w:right="170" w:hanging="0"/>
              <w:jc w:val="right"/>
              <w:rPr>
                <w:spacing w:val="8"/>
                <w:sz w:val="20"/>
                <w:szCs w:val="20"/>
              </w:rPr>
            </w:pPr>
            <w:r>
              <w:rPr>
                <w:spacing w:val="8"/>
                <w:sz w:val="20"/>
                <w:szCs w:val="20"/>
              </w:rPr>
              <w:t>40</w:t>
            </w:r>
          </w:p>
        </w:tc>
        <w:tc>
          <w:tcPr>
            <w:tcW w:w="901" w:type="dxa"/>
            <w:tcBorders>
              <w:bottom w:val="nil"/>
            </w:tcBorders>
          </w:tcPr>
          <w:p>
            <w:pPr>
              <w:pStyle w:val="F21"/>
              <w:tabs>
                <w:tab w:val="clear" w:pos="567"/>
                <w:tab w:val="left" w:pos="284" w:leader="none"/>
              </w:tabs>
              <w:spacing w:lineRule="atLeast" w:line="240"/>
              <w:ind w:left="28" w:right="28" w:hanging="0"/>
              <w:rPr>
                <w:spacing w:val="8"/>
                <w:sz w:val="20"/>
                <w:szCs w:val="20"/>
              </w:rPr>
            </w:pPr>
            <w:r>
              <w:rPr>
                <w:spacing w:val="8"/>
                <w:sz w:val="20"/>
                <w:szCs w:val="20"/>
              </w:rPr>
            </w:r>
          </w:p>
        </w:tc>
        <w:tc>
          <w:tcPr>
            <w:tcW w:w="838" w:type="dxa"/>
            <w:tcBorders>
              <w:bottom w:val="nil"/>
            </w:tcBorders>
          </w:tcPr>
          <w:p>
            <w:pPr>
              <w:pStyle w:val="F21"/>
              <w:tabs>
                <w:tab w:val="clear" w:pos="567"/>
                <w:tab w:val="left" w:pos="284" w:leader="none"/>
              </w:tabs>
              <w:spacing w:lineRule="atLeast" w:line="240"/>
              <w:ind w:left="28" w:right="28" w:hanging="0"/>
              <w:rPr>
                <w:spacing w:val="8"/>
                <w:sz w:val="20"/>
                <w:szCs w:val="20"/>
              </w:rPr>
            </w:pPr>
            <w:r>
              <w:rPr>
                <w:spacing w:val="8"/>
                <w:sz w:val="20"/>
                <w:szCs w:val="20"/>
              </w:rPr>
            </w:r>
          </w:p>
        </w:tc>
        <w:tc>
          <w:tcPr>
            <w:tcW w:w="869" w:type="dxa"/>
            <w:tcBorders>
              <w:bottom w:val="nil"/>
            </w:tcBorders>
          </w:tcPr>
          <w:p>
            <w:pPr>
              <w:pStyle w:val="F21"/>
              <w:tabs>
                <w:tab w:val="clear" w:pos="567"/>
                <w:tab w:val="left" w:pos="284" w:leader="none"/>
              </w:tabs>
              <w:spacing w:lineRule="atLeast" w:line="240"/>
              <w:ind w:left="28" w:right="28" w:hanging="0"/>
              <w:rPr>
                <w:spacing w:val="8"/>
                <w:sz w:val="20"/>
                <w:szCs w:val="20"/>
              </w:rPr>
            </w:pPr>
            <w:r>
              <w:rPr>
                <w:spacing w:val="8"/>
                <w:sz w:val="20"/>
                <w:szCs w:val="20"/>
              </w:rPr>
            </w:r>
          </w:p>
        </w:tc>
      </w:tr>
      <w:tr>
        <w:trPr/>
        <w:tc>
          <w:tcPr>
            <w:tcW w:w="837" w:type="dxa"/>
            <w:tcBorders/>
          </w:tcPr>
          <w:p>
            <w:pPr>
              <w:pStyle w:val="F21"/>
              <w:tabs>
                <w:tab w:val="clear" w:pos="567"/>
                <w:tab w:val="left" w:pos="284" w:leader="none"/>
              </w:tabs>
              <w:spacing w:lineRule="atLeast" w:line="240"/>
              <w:ind w:left="28" w:right="28" w:hanging="0"/>
              <w:rPr>
                <w:spacing w:val="8"/>
                <w:sz w:val="20"/>
                <w:szCs w:val="20"/>
              </w:rPr>
            </w:pPr>
            <w:r>
              <w:rPr>
                <w:spacing w:val="8"/>
                <w:sz w:val="20"/>
                <w:szCs w:val="20"/>
              </w:rPr>
              <w:t>22.</w:t>
            </w:r>
            <w:r>
              <w:rPr>
                <w:spacing w:val="8"/>
                <w:sz w:val="20"/>
                <w:szCs w:val="20"/>
              </w:rPr>
              <w:t>爆石</w:t>
            </w:r>
            <w:r>
              <w:rPr>
                <w:spacing w:val="8"/>
                <w:sz w:val="20"/>
                <w:szCs w:val="20"/>
              </w:rPr>
              <w:tab/>
            </w:r>
            <w:r>
              <w:rPr>
                <w:spacing w:val="8"/>
                <w:sz w:val="20"/>
                <w:szCs w:val="20"/>
              </w:rPr>
              <w:t>工</w:t>
            </w:r>
          </w:p>
        </w:tc>
        <w:tc>
          <w:tcPr>
            <w:tcW w:w="1100" w:type="dxa"/>
            <w:tcBorders>
              <w:top w:val="nil"/>
            </w:tcBorders>
          </w:tcPr>
          <w:p>
            <w:pPr>
              <w:pStyle w:val="F21"/>
              <w:tabs>
                <w:tab w:val="clear" w:pos="567"/>
                <w:tab w:val="left" w:pos="284" w:leader="none"/>
              </w:tabs>
              <w:spacing w:lineRule="atLeast" w:line="240"/>
              <w:ind w:left="28" w:right="28" w:hanging="0"/>
              <w:rPr>
                <w:spacing w:val="8"/>
                <w:sz w:val="20"/>
                <w:szCs w:val="20"/>
              </w:rPr>
            </w:pPr>
            <w:r>
              <w:rPr>
                <w:spacing w:val="8"/>
                <w:sz w:val="20"/>
                <w:szCs w:val="20"/>
              </w:rPr>
            </w:r>
          </w:p>
        </w:tc>
        <w:tc>
          <w:tcPr>
            <w:tcW w:w="895" w:type="dxa"/>
            <w:tcBorders>
              <w:top w:val="nil"/>
            </w:tcBorders>
          </w:tcPr>
          <w:p>
            <w:pPr>
              <w:pStyle w:val="F21"/>
              <w:tabs>
                <w:tab w:val="clear" w:pos="567"/>
                <w:tab w:val="left" w:pos="284" w:leader="none"/>
              </w:tabs>
              <w:spacing w:lineRule="atLeast" w:line="240"/>
              <w:ind w:left="28" w:right="28" w:hanging="0"/>
              <w:rPr>
                <w:spacing w:val="8"/>
                <w:sz w:val="20"/>
                <w:szCs w:val="20"/>
              </w:rPr>
            </w:pPr>
            <w:r>
              <w:rPr>
                <w:spacing w:val="8"/>
                <w:sz w:val="20"/>
                <w:szCs w:val="20"/>
              </w:rPr>
            </w:r>
          </w:p>
        </w:tc>
        <w:tc>
          <w:tcPr>
            <w:tcW w:w="780" w:type="dxa"/>
            <w:tcBorders/>
          </w:tcPr>
          <w:p>
            <w:pPr>
              <w:pStyle w:val="F21"/>
              <w:tabs>
                <w:tab w:val="clear" w:pos="567"/>
                <w:tab w:val="left" w:pos="284" w:leader="none"/>
              </w:tabs>
              <w:spacing w:lineRule="atLeast" w:line="240"/>
              <w:ind w:left="28" w:right="170" w:hanging="0"/>
              <w:jc w:val="right"/>
              <w:rPr>
                <w:spacing w:val="8"/>
                <w:sz w:val="20"/>
                <w:szCs w:val="20"/>
              </w:rPr>
            </w:pPr>
            <w:r>
              <w:rPr>
                <w:spacing w:val="8"/>
                <w:sz w:val="20"/>
                <w:szCs w:val="20"/>
              </w:rPr>
              <w:t>40</w:t>
            </w:r>
          </w:p>
        </w:tc>
        <w:tc>
          <w:tcPr>
            <w:tcW w:w="729" w:type="dxa"/>
            <w:tcBorders/>
          </w:tcPr>
          <w:p>
            <w:pPr>
              <w:pStyle w:val="F21"/>
              <w:tabs>
                <w:tab w:val="clear" w:pos="567"/>
                <w:tab w:val="left" w:pos="284" w:leader="none"/>
              </w:tabs>
              <w:spacing w:lineRule="atLeast" w:line="240"/>
              <w:ind w:left="28" w:right="170" w:hanging="0"/>
              <w:jc w:val="right"/>
              <w:rPr>
                <w:spacing w:val="8"/>
                <w:sz w:val="20"/>
                <w:szCs w:val="20"/>
              </w:rPr>
            </w:pPr>
            <w:r>
              <w:rPr>
                <w:spacing w:val="8"/>
                <w:sz w:val="20"/>
                <w:szCs w:val="20"/>
              </w:rPr>
              <w:t>40</w:t>
            </w:r>
          </w:p>
        </w:tc>
        <w:tc>
          <w:tcPr>
            <w:tcW w:w="728" w:type="dxa"/>
            <w:tcBorders/>
          </w:tcPr>
          <w:p>
            <w:pPr>
              <w:pStyle w:val="F21"/>
              <w:tabs>
                <w:tab w:val="clear" w:pos="567"/>
                <w:tab w:val="left" w:pos="284" w:leader="none"/>
              </w:tabs>
              <w:spacing w:lineRule="atLeast" w:line="240"/>
              <w:ind w:left="28" w:right="170" w:hanging="0"/>
              <w:jc w:val="right"/>
              <w:rPr>
                <w:spacing w:val="8"/>
                <w:sz w:val="20"/>
                <w:szCs w:val="20"/>
              </w:rPr>
            </w:pPr>
            <w:r>
              <w:rPr>
                <w:spacing w:val="8"/>
                <w:sz w:val="20"/>
                <w:szCs w:val="20"/>
              </w:rPr>
              <w:t>40</w:t>
            </w:r>
          </w:p>
        </w:tc>
        <w:tc>
          <w:tcPr>
            <w:tcW w:w="798" w:type="dxa"/>
            <w:tcBorders/>
          </w:tcPr>
          <w:p>
            <w:pPr>
              <w:pStyle w:val="F21"/>
              <w:tabs>
                <w:tab w:val="clear" w:pos="567"/>
                <w:tab w:val="left" w:pos="284" w:leader="none"/>
              </w:tabs>
              <w:spacing w:lineRule="atLeast" w:line="240"/>
              <w:ind w:left="28" w:right="170" w:hanging="0"/>
              <w:jc w:val="right"/>
              <w:rPr>
                <w:spacing w:val="8"/>
                <w:sz w:val="20"/>
                <w:szCs w:val="20"/>
              </w:rPr>
            </w:pPr>
            <w:r>
              <w:rPr>
                <w:spacing w:val="8"/>
                <w:sz w:val="20"/>
                <w:szCs w:val="20"/>
              </w:rPr>
              <w:t>40</w:t>
            </w:r>
          </w:p>
        </w:tc>
        <w:tc>
          <w:tcPr>
            <w:tcW w:w="772" w:type="dxa"/>
            <w:tcBorders/>
          </w:tcPr>
          <w:p>
            <w:pPr>
              <w:pStyle w:val="F21"/>
              <w:tabs>
                <w:tab w:val="clear" w:pos="567"/>
                <w:tab w:val="left" w:pos="284" w:leader="none"/>
              </w:tabs>
              <w:spacing w:lineRule="atLeast" w:line="240"/>
              <w:ind w:left="28" w:right="170" w:hanging="0"/>
              <w:jc w:val="right"/>
              <w:rPr>
                <w:spacing w:val="8"/>
                <w:sz w:val="20"/>
                <w:szCs w:val="20"/>
              </w:rPr>
            </w:pPr>
            <w:r>
              <w:rPr>
                <w:spacing w:val="8"/>
                <w:sz w:val="20"/>
                <w:szCs w:val="20"/>
              </w:rPr>
              <w:t>40</w:t>
            </w:r>
          </w:p>
        </w:tc>
        <w:tc>
          <w:tcPr>
            <w:tcW w:w="901" w:type="dxa"/>
            <w:tcBorders>
              <w:top w:val="nil"/>
            </w:tcBorders>
          </w:tcPr>
          <w:p>
            <w:pPr>
              <w:pStyle w:val="F21"/>
              <w:tabs>
                <w:tab w:val="clear" w:pos="567"/>
                <w:tab w:val="left" w:pos="284" w:leader="none"/>
              </w:tabs>
              <w:spacing w:lineRule="atLeast" w:line="240"/>
              <w:ind w:left="28" w:right="28" w:hanging="0"/>
              <w:rPr>
                <w:spacing w:val="8"/>
                <w:sz w:val="20"/>
                <w:szCs w:val="20"/>
              </w:rPr>
            </w:pPr>
            <w:r>
              <w:rPr>
                <w:spacing w:val="8"/>
                <w:sz w:val="20"/>
                <w:szCs w:val="20"/>
              </w:rPr>
            </w:r>
          </w:p>
        </w:tc>
        <w:tc>
          <w:tcPr>
            <w:tcW w:w="838" w:type="dxa"/>
            <w:tcBorders>
              <w:top w:val="nil"/>
            </w:tcBorders>
          </w:tcPr>
          <w:p>
            <w:pPr>
              <w:pStyle w:val="F21"/>
              <w:tabs>
                <w:tab w:val="clear" w:pos="567"/>
                <w:tab w:val="left" w:pos="284" w:leader="none"/>
              </w:tabs>
              <w:spacing w:lineRule="atLeast" w:line="240"/>
              <w:ind w:left="28" w:right="28" w:hanging="0"/>
              <w:rPr>
                <w:spacing w:val="8"/>
                <w:sz w:val="20"/>
                <w:szCs w:val="20"/>
              </w:rPr>
            </w:pPr>
            <w:r>
              <w:rPr>
                <w:spacing w:val="8"/>
                <w:sz w:val="20"/>
                <w:szCs w:val="20"/>
              </w:rPr>
            </w:r>
          </w:p>
        </w:tc>
        <w:tc>
          <w:tcPr>
            <w:tcW w:w="869" w:type="dxa"/>
            <w:tcBorders>
              <w:top w:val="nil"/>
            </w:tcBorders>
          </w:tcPr>
          <w:p>
            <w:pPr>
              <w:pStyle w:val="F21"/>
              <w:tabs>
                <w:tab w:val="clear" w:pos="567"/>
                <w:tab w:val="left" w:pos="284" w:leader="none"/>
              </w:tabs>
              <w:spacing w:lineRule="atLeast" w:line="240"/>
              <w:ind w:left="28" w:right="28" w:hanging="0"/>
              <w:rPr>
                <w:spacing w:val="8"/>
                <w:sz w:val="20"/>
                <w:szCs w:val="20"/>
              </w:rPr>
            </w:pPr>
            <w:r>
              <w:rPr>
                <w:spacing w:val="8"/>
                <w:sz w:val="20"/>
                <w:szCs w:val="20"/>
              </w:rPr>
            </w:r>
          </w:p>
        </w:tc>
      </w:tr>
    </w:tbl>
    <w:p>
      <w:pPr>
        <w:pStyle w:val="F21"/>
        <w:spacing w:lineRule="auto" w:line="240"/>
        <w:rPr>
          <w:sz w:val="18"/>
          <w:szCs w:val="18"/>
        </w:rPr>
      </w:pPr>
      <w:r>
        <w:rPr>
          <w:sz w:val="18"/>
          <w:szCs w:val="18"/>
        </w:rPr>
      </w:r>
    </w:p>
    <w:p>
      <w:pPr>
        <w:pStyle w:val="F21"/>
        <w:spacing w:lineRule="auto" w:line="240"/>
        <w:ind w:left="567" w:hanging="567"/>
        <w:rPr>
          <w:sz w:val="20"/>
          <w:szCs w:val="20"/>
        </w:rPr>
      </w:pPr>
      <w:r>
        <w:rPr>
          <w:sz w:val="20"/>
          <w:szCs w:val="20"/>
        </w:rPr>
        <w:t>註：</w:t>
      </w:r>
    </w:p>
    <w:p>
      <w:pPr>
        <w:pStyle w:val="F21"/>
        <w:spacing w:lineRule="auto" w:line="240"/>
        <w:ind w:left="567" w:hanging="567"/>
        <w:rPr>
          <w:sz w:val="20"/>
          <w:szCs w:val="20"/>
        </w:rPr>
      </w:pPr>
      <w:r>
        <w:rPr>
          <w:sz w:val="20"/>
          <w:szCs w:val="20"/>
        </w:rPr>
      </w:r>
    </w:p>
    <w:p>
      <w:pPr>
        <w:pStyle w:val="F21"/>
        <w:spacing w:lineRule="auto" w:line="240"/>
        <w:ind w:left="567" w:hanging="567"/>
        <w:rPr>
          <w:sz w:val="20"/>
          <w:szCs w:val="20"/>
        </w:rPr>
      </w:pPr>
      <w:r>
        <w:rPr>
          <w:sz w:val="20"/>
          <w:szCs w:val="20"/>
        </w:rPr>
        <w:t>(1)</w:t>
        <w:tab/>
      </w:r>
      <w:r>
        <w:rPr>
          <w:sz w:val="20"/>
          <w:szCs w:val="20"/>
        </w:rPr>
        <w:t>過去</w:t>
      </w:r>
      <w:r>
        <w:rPr>
          <w:sz w:val="20"/>
          <w:szCs w:val="20"/>
        </w:rPr>
        <w:t>5</w:t>
      </w:r>
      <w:r>
        <w:rPr>
          <w:sz w:val="20"/>
          <w:szCs w:val="20"/>
        </w:rPr>
        <w:t>年，下列</w:t>
      </w:r>
      <w:r>
        <w:rPr>
          <w:sz w:val="20"/>
          <w:szCs w:val="20"/>
        </w:rPr>
        <w:t>4</w:t>
      </w:r>
      <w:r>
        <w:rPr>
          <w:sz w:val="20"/>
          <w:szCs w:val="20"/>
        </w:rPr>
        <w:t>個較專門的工種並沒有培訓課程：結構鋼架工、壓氣作業工、機械設備操作工</w:t>
      </w:r>
      <w:r>
        <w:rPr>
          <w:sz w:val="20"/>
          <w:szCs w:val="20"/>
        </w:rPr>
        <w:t>(</w:t>
      </w:r>
      <w:r>
        <w:rPr>
          <w:sz w:val="20"/>
          <w:szCs w:val="20"/>
        </w:rPr>
        <w:t>隧道</w:t>
      </w:r>
      <w:r>
        <w:rPr>
          <w:sz w:val="20"/>
          <w:szCs w:val="20"/>
        </w:rPr>
        <w:t>)</w:t>
      </w:r>
      <w:r>
        <w:rPr>
          <w:rFonts w:eastAsia="Symbol" w:cs="Symbol" w:ascii="Symbol" w:hAnsi="Symbol"/>
          <w:sz w:val="20"/>
          <w:szCs w:val="20"/>
        </w:rPr>
        <w:t></w:t>
      </w:r>
      <w:r>
        <w:rPr>
          <w:sz w:val="20"/>
          <w:szCs w:val="20"/>
        </w:rPr>
        <w:t>鑽挖機械</w:t>
      </w:r>
      <w:r>
        <w:rPr>
          <w:rFonts w:ascii="Symbol" w:hAnsi="Symbol" w:cs="Symbol" w:eastAsia="Symbol"/>
          <w:sz w:val="20"/>
          <w:szCs w:val="20"/>
        </w:rPr>
        <w:t></w:t>
      </w:r>
      <w:r>
        <w:rPr>
          <w:sz w:val="20"/>
          <w:szCs w:val="20"/>
        </w:rPr>
        <w:t>盾構司機，以及鋪軌工。就此類特別工種，承建商一般會按工程所須，自行招聘並作在職培訓。</w:t>
      </w:r>
    </w:p>
    <w:p>
      <w:pPr>
        <w:pStyle w:val="F21"/>
        <w:spacing w:lineRule="atLeast" w:line="380"/>
        <w:rPr>
          <w:sz w:val="20"/>
          <w:szCs w:val="20"/>
        </w:rPr>
      </w:pPr>
      <w:r>
        <w:rPr>
          <w:sz w:val="20"/>
          <w:szCs w:val="20"/>
        </w:rPr>
      </w:r>
    </w:p>
    <w:p>
      <w:pPr>
        <w:pStyle w:val="F21"/>
        <w:spacing w:lineRule="atLeast" w:line="380"/>
        <w:rPr>
          <w:szCs w:val="27"/>
        </w:rPr>
      </w:pPr>
      <w:r>
        <w:rPr>
          <w:szCs w:val="27"/>
        </w:rPr>
        <w:t>(B)</w:t>
        <w:tab/>
      </w:r>
      <w:r>
        <w:rPr>
          <w:szCs w:val="27"/>
        </w:rPr>
        <w:t>過往</w:t>
      </w:r>
      <w:r>
        <w:rPr>
          <w:szCs w:val="27"/>
        </w:rPr>
        <w:t>5</w:t>
      </w:r>
      <w:r>
        <w:rPr>
          <w:szCs w:val="27"/>
        </w:rPr>
        <w:t>年，職業訓練局就人手短缺工種所提供的培訓資料</w:t>
      </w:r>
    </w:p>
    <w:p>
      <w:pPr>
        <w:pStyle w:val="F21"/>
        <w:spacing w:lineRule="atLeast" w:line="380"/>
        <w:rPr>
          <w:szCs w:val="27"/>
        </w:rPr>
      </w:pPr>
      <w:r>
        <w:rPr>
          <w:szCs w:val="27"/>
        </w:rPr>
      </w:r>
    </w:p>
    <w:tbl>
      <w:tblPr>
        <w:tblStyle w:val="a9"/>
        <w:tblW w:w="9230" w:type="dxa"/>
        <w:jc w:val="left"/>
        <w:tblInd w:w="0" w:type="dxa"/>
        <w:tblCellMar>
          <w:top w:w="0" w:type="dxa"/>
          <w:left w:w="108" w:type="dxa"/>
          <w:bottom w:w="0" w:type="dxa"/>
          <w:right w:w="108" w:type="dxa"/>
        </w:tblCellMar>
        <w:tblLook w:val="04a0" w:noHBand="0" w:noVBand="1" w:firstColumn="1" w:lastRow="0" w:lastColumn="0" w:firstRow="1"/>
      </w:tblPr>
      <w:tblGrid>
        <w:gridCol w:w="859"/>
        <w:gridCol w:w="769"/>
        <w:gridCol w:w="768"/>
        <w:gridCol w:w="768"/>
        <w:gridCol w:w="768"/>
        <w:gridCol w:w="769"/>
        <w:gridCol w:w="769"/>
        <w:gridCol w:w="768"/>
        <w:gridCol w:w="1052"/>
        <w:gridCol w:w="910"/>
        <w:gridCol w:w="1028"/>
      </w:tblGrid>
      <w:tr>
        <w:trPr>
          <w:tblHeader w:val="true"/>
        </w:trPr>
        <w:tc>
          <w:tcPr>
            <w:tcW w:w="859" w:type="dxa"/>
            <w:vMerge w:val="restart"/>
            <w:tcBorders/>
            <w:vAlign w:val="center"/>
          </w:tcPr>
          <w:p>
            <w:pPr>
              <w:pStyle w:val="F21"/>
              <w:tabs>
                <w:tab w:val="clear" w:pos="567"/>
                <w:tab w:val="left" w:pos="28" w:leader="none"/>
              </w:tabs>
              <w:spacing w:lineRule="atLeast" w:line="260"/>
              <w:ind w:left="28" w:right="28" w:hanging="0"/>
              <w:jc w:val="center"/>
              <w:rPr>
                <w:i/>
                <w:i/>
                <w:spacing w:val="10"/>
                <w:sz w:val="20"/>
                <w:szCs w:val="20"/>
              </w:rPr>
            </w:pPr>
            <w:r>
              <w:rPr>
                <w:i/>
                <w:spacing w:val="10"/>
                <w:sz w:val="20"/>
                <w:szCs w:val="20"/>
              </w:rPr>
              <w:t>工種</w:t>
            </w:r>
          </w:p>
        </w:tc>
        <w:tc>
          <w:tcPr>
            <w:tcW w:w="769" w:type="dxa"/>
            <w:vMerge w:val="restart"/>
            <w:tcBorders/>
            <w:vAlign w:val="center"/>
          </w:tcPr>
          <w:p>
            <w:pPr>
              <w:pStyle w:val="F21"/>
              <w:tabs>
                <w:tab w:val="clear" w:pos="567"/>
                <w:tab w:val="left" w:pos="28" w:leader="none"/>
              </w:tabs>
              <w:spacing w:lineRule="atLeast" w:line="260"/>
              <w:ind w:left="28" w:right="28" w:hanging="0"/>
              <w:jc w:val="center"/>
              <w:rPr>
                <w:i/>
                <w:i/>
                <w:spacing w:val="10"/>
                <w:sz w:val="20"/>
                <w:szCs w:val="20"/>
              </w:rPr>
            </w:pPr>
            <w:r>
              <w:rPr>
                <w:i/>
                <w:spacing w:val="10"/>
                <w:sz w:val="20"/>
                <w:szCs w:val="20"/>
              </w:rPr>
              <w:t>(i)</w:t>
            </w:r>
          </w:p>
          <w:p>
            <w:pPr>
              <w:pStyle w:val="F21"/>
              <w:tabs>
                <w:tab w:val="clear" w:pos="567"/>
                <w:tab w:val="left" w:pos="28" w:leader="none"/>
              </w:tabs>
              <w:spacing w:lineRule="atLeast" w:line="260"/>
              <w:ind w:left="28" w:right="28" w:hanging="0"/>
              <w:jc w:val="center"/>
              <w:rPr>
                <w:i/>
                <w:i/>
                <w:spacing w:val="10"/>
                <w:sz w:val="20"/>
                <w:szCs w:val="20"/>
              </w:rPr>
            </w:pPr>
            <w:r>
              <w:rPr>
                <w:i/>
                <w:spacing w:val="10"/>
                <w:sz w:val="20"/>
                <w:szCs w:val="20"/>
              </w:rPr>
              <w:t>課程</w:t>
            </w:r>
            <w:r>
              <w:rPr>
                <w:i/>
                <w:spacing w:val="10"/>
                <w:sz w:val="20"/>
                <w:szCs w:val="20"/>
              </w:rPr>
              <w:br/>
            </w:r>
            <w:r>
              <w:rPr>
                <w:i/>
                <w:spacing w:val="10"/>
                <w:sz w:val="20"/>
                <w:szCs w:val="20"/>
              </w:rPr>
              <w:t>名稱</w:t>
            </w:r>
          </w:p>
          <w:p>
            <w:pPr>
              <w:pStyle w:val="F21"/>
              <w:tabs>
                <w:tab w:val="clear" w:pos="567"/>
                <w:tab w:val="left" w:pos="28" w:leader="none"/>
              </w:tabs>
              <w:spacing w:lineRule="atLeast" w:line="260"/>
              <w:ind w:left="28" w:right="28" w:hanging="0"/>
              <w:jc w:val="center"/>
              <w:rPr>
                <w:i/>
                <w:i/>
                <w:spacing w:val="10"/>
                <w:sz w:val="20"/>
                <w:szCs w:val="20"/>
              </w:rPr>
            </w:pPr>
            <w:r>
              <w:rPr>
                <w:i/>
                <w:spacing w:val="10"/>
                <w:sz w:val="20"/>
                <w:szCs w:val="20"/>
              </w:rPr>
              <w:t>(</w:t>
            </w:r>
            <w:r>
              <w:rPr>
                <w:i/>
                <w:spacing w:val="10"/>
                <w:sz w:val="20"/>
                <w:szCs w:val="20"/>
              </w:rPr>
              <w:t>不包括短期課程及在職培訓</w:t>
            </w:r>
            <w:r>
              <w:rPr>
                <w:i/>
                <w:spacing w:val="10"/>
                <w:sz w:val="20"/>
                <w:szCs w:val="20"/>
              </w:rPr>
              <w:t>)</w:t>
            </w:r>
          </w:p>
        </w:tc>
        <w:tc>
          <w:tcPr>
            <w:tcW w:w="768" w:type="dxa"/>
            <w:vMerge w:val="restart"/>
            <w:tcBorders/>
            <w:vAlign w:val="center"/>
          </w:tcPr>
          <w:p>
            <w:pPr>
              <w:pStyle w:val="F21"/>
              <w:tabs>
                <w:tab w:val="clear" w:pos="567"/>
                <w:tab w:val="left" w:pos="28" w:leader="none"/>
              </w:tabs>
              <w:spacing w:lineRule="atLeast" w:line="260"/>
              <w:ind w:left="28" w:right="28" w:hanging="0"/>
              <w:jc w:val="center"/>
              <w:rPr>
                <w:i/>
                <w:i/>
                <w:spacing w:val="10"/>
                <w:sz w:val="20"/>
                <w:szCs w:val="20"/>
              </w:rPr>
            </w:pPr>
            <w:r>
              <w:rPr>
                <w:i/>
                <w:spacing w:val="10"/>
                <w:sz w:val="20"/>
                <w:szCs w:val="20"/>
              </w:rPr>
              <w:t>(ii)</w:t>
            </w:r>
          </w:p>
          <w:p>
            <w:pPr>
              <w:pStyle w:val="F21"/>
              <w:tabs>
                <w:tab w:val="clear" w:pos="567"/>
                <w:tab w:val="left" w:pos="28" w:leader="none"/>
              </w:tabs>
              <w:spacing w:lineRule="atLeast" w:line="260"/>
              <w:ind w:left="28" w:right="28" w:hanging="0"/>
              <w:jc w:val="center"/>
              <w:rPr>
                <w:i/>
                <w:i/>
                <w:spacing w:val="10"/>
                <w:sz w:val="20"/>
                <w:szCs w:val="20"/>
              </w:rPr>
            </w:pPr>
            <w:r>
              <w:rPr>
                <w:i/>
                <w:spacing w:val="10"/>
                <w:sz w:val="20"/>
                <w:szCs w:val="20"/>
              </w:rPr>
              <w:t>開辦</w:t>
            </w:r>
            <w:r>
              <w:rPr>
                <w:i/>
                <w:spacing w:val="10"/>
                <w:sz w:val="20"/>
                <w:szCs w:val="20"/>
              </w:rPr>
              <w:br/>
            </w:r>
            <w:r>
              <w:rPr>
                <w:i/>
                <w:spacing w:val="10"/>
                <w:sz w:val="20"/>
                <w:szCs w:val="20"/>
              </w:rPr>
              <w:t>年份</w:t>
            </w:r>
          </w:p>
        </w:tc>
        <w:tc>
          <w:tcPr>
            <w:tcW w:w="3842" w:type="dxa"/>
            <w:gridSpan w:val="5"/>
            <w:tcBorders/>
            <w:vAlign w:val="center"/>
          </w:tcPr>
          <w:p>
            <w:pPr>
              <w:pStyle w:val="F21"/>
              <w:tabs>
                <w:tab w:val="clear" w:pos="567"/>
                <w:tab w:val="left" w:pos="28" w:leader="none"/>
              </w:tabs>
              <w:spacing w:lineRule="atLeast" w:line="260"/>
              <w:ind w:left="28" w:right="28" w:hanging="0"/>
              <w:jc w:val="center"/>
              <w:rPr>
                <w:i/>
                <w:i/>
                <w:spacing w:val="10"/>
                <w:sz w:val="20"/>
                <w:szCs w:val="20"/>
              </w:rPr>
            </w:pPr>
            <w:r>
              <w:rPr>
                <w:i/>
                <w:spacing w:val="10"/>
                <w:sz w:val="20"/>
                <w:szCs w:val="20"/>
              </w:rPr>
              <w:t>(iii)</w:t>
            </w:r>
          </w:p>
          <w:p>
            <w:pPr>
              <w:pStyle w:val="F21"/>
              <w:tabs>
                <w:tab w:val="clear" w:pos="567"/>
                <w:tab w:val="left" w:pos="28" w:leader="none"/>
              </w:tabs>
              <w:spacing w:lineRule="atLeast" w:line="260"/>
              <w:ind w:left="28" w:right="28" w:hanging="0"/>
              <w:jc w:val="center"/>
              <w:rPr>
                <w:i/>
                <w:i/>
                <w:spacing w:val="10"/>
                <w:sz w:val="20"/>
                <w:szCs w:val="20"/>
              </w:rPr>
            </w:pPr>
            <w:r>
              <w:rPr>
                <w:i/>
                <w:spacing w:val="10"/>
                <w:sz w:val="20"/>
                <w:szCs w:val="20"/>
              </w:rPr>
              <w:t>培訓名額</w:t>
            </w:r>
          </w:p>
        </w:tc>
        <w:tc>
          <w:tcPr>
            <w:tcW w:w="1052" w:type="dxa"/>
            <w:vMerge w:val="restart"/>
            <w:tcBorders/>
            <w:vAlign w:val="center"/>
          </w:tcPr>
          <w:p>
            <w:pPr>
              <w:pStyle w:val="F21"/>
              <w:tabs>
                <w:tab w:val="clear" w:pos="567"/>
                <w:tab w:val="left" w:pos="28" w:leader="none"/>
              </w:tabs>
              <w:spacing w:lineRule="atLeast" w:line="260"/>
              <w:ind w:left="28" w:right="28" w:hanging="0"/>
              <w:jc w:val="center"/>
              <w:rPr>
                <w:i/>
                <w:i/>
                <w:spacing w:val="10"/>
                <w:sz w:val="20"/>
                <w:szCs w:val="20"/>
              </w:rPr>
            </w:pPr>
            <w:r>
              <w:rPr>
                <w:i/>
                <w:spacing w:val="10"/>
                <w:sz w:val="20"/>
                <w:szCs w:val="20"/>
              </w:rPr>
              <w:t>(iv)</w:t>
            </w:r>
          </w:p>
          <w:p>
            <w:pPr>
              <w:pStyle w:val="F21"/>
              <w:tabs>
                <w:tab w:val="clear" w:pos="567"/>
                <w:tab w:val="left" w:pos="28" w:leader="none"/>
              </w:tabs>
              <w:spacing w:lineRule="atLeast" w:line="260"/>
              <w:ind w:left="28" w:right="28" w:hanging="0"/>
              <w:jc w:val="center"/>
              <w:rPr>
                <w:i/>
                <w:i/>
                <w:spacing w:val="10"/>
                <w:sz w:val="20"/>
                <w:szCs w:val="20"/>
              </w:rPr>
            </w:pPr>
            <w:r>
              <w:rPr>
                <w:i/>
                <w:spacing w:val="10"/>
                <w:sz w:val="20"/>
                <w:szCs w:val="20"/>
              </w:rPr>
              <w:t>入讀</w:t>
            </w:r>
          </w:p>
          <w:p>
            <w:pPr>
              <w:pStyle w:val="F21"/>
              <w:tabs>
                <w:tab w:val="clear" w:pos="567"/>
                <w:tab w:val="left" w:pos="28" w:leader="none"/>
              </w:tabs>
              <w:spacing w:lineRule="atLeast" w:line="260"/>
              <w:ind w:left="28" w:right="28" w:hanging="0"/>
              <w:jc w:val="center"/>
              <w:rPr>
                <w:i/>
                <w:i/>
                <w:spacing w:val="10"/>
                <w:sz w:val="20"/>
                <w:szCs w:val="20"/>
              </w:rPr>
            </w:pPr>
            <w:r>
              <w:rPr>
                <w:i/>
                <w:spacing w:val="10"/>
                <w:sz w:val="20"/>
                <w:szCs w:val="20"/>
              </w:rPr>
              <w:t>資格</w:t>
            </w:r>
          </w:p>
        </w:tc>
        <w:tc>
          <w:tcPr>
            <w:tcW w:w="910" w:type="dxa"/>
            <w:vMerge w:val="restart"/>
            <w:tcBorders/>
            <w:vAlign w:val="center"/>
          </w:tcPr>
          <w:p>
            <w:pPr>
              <w:pStyle w:val="F21"/>
              <w:tabs>
                <w:tab w:val="clear" w:pos="567"/>
                <w:tab w:val="left" w:pos="28" w:leader="none"/>
              </w:tabs>
              <w:spacing w:lineRule="atLeast" w:line="260"/>
              <w:ind w:left="28" w:right="28" w:hanging="0"/>
              <w:jc w:val="center"/>
              <w:rPr>
                <w:i/>
                <w:i/>
                <w:spacing w:val="10"/>
                <w:sz w:val="20"/>
                <w:szCs w:val="20"/>
              </w:rPr>
            </w:pPr>
            <w:r>
              <w:rPr>
                <w:i/>
                <w:spacing w:val="10"/>
                <w:sz w:val="20"/>
                <w:szCs w:val="20"/>
              </w:rPr>
              <w:t>(v)</w:t>
            </w:r>
          </w:p>
          <w:p>
            <w:pPr>
              <w:pStyle w:val="F21"/>
              <w:tabs>
                <w:tab w:val="clear" w:pos="567"/>
                <w:tab w:val="left" w:pos="28" w:leader="none"/>
              </w:tabs>
              <w:spacing w:lineRule="atLeast" w:line="260"/>
              <w:ind w:left="28" w:right="28" w:hanging="0"/>
              <w:jc w:val="center"/>
              <w:rPr>
                <w:i/>
                <w:i/>
                <w:spacing w:val="10"/>
                <w:sz w:val="20"/>
                <w:szCs w:val="20"/>
              </w:rPr>
            </w:pPr>
            <w:r>
              <w:rPr>
                <w:i/>
                <w:spacing w:val="10"/>
                <w:sz w:val="20"/>
                <w:szCs w:val="20"/>
              </w:rPr>
              <w:t>培訓期</w:t>
            </w:r>
          </w:p>
        </w:tc>
        <w:tc>
          <w:tcPr>
            <w:tcW w:w="1028" w:type="dxa"/>
            <w:vMerge w:val="restart"/>
            <w:tcBorders/>
            <w:vAlign w:val="center"/>
          </w:tcPr>
          <w:p>
            <w:pPr>
              <w:pStyle w:val="F21"/>
              <w:tabs>
                <w:tab w:val="clear" w:pos="567"/>
                <w:tab w:val="left" w:pos="28" w:leader="none"/>
              </w:tabs>
              <w:spacing w:lineRule="atLeast" w:line="260"/>
              <w:ind w:left="28" w:right="28" w:hanging="0"/>
              <w:jc w:val="center"/>
              <w:rPr>
                <w:i/>
                <w:i/>
                <w:spacing w:val="10"/>
                <w:sz w:val="20"/>
                <w:szCs w:val="20"/>
              </w:rPr>
            </w:pPr>
            <w:r>
              <w:rPr>
                <w:i/>
                <w:spacing w:val="10"/>
                <w:sz w:val="20"/>
                <w:szCs w:val="20"/>
              </w:rPr>
              <w:t>(vi)</w:t>
            </w:r>
          </w:p>
          <w:p>
            <w:pPr>
              <w:pStyle w:val="F21"/>
              <w:tabs>
                <w:tab w:val="clear" w:pos="567"/>
                <w:tab w:val="left" w:pos="28" w:leader="none"/>
              </w:tabs>
              <w:spacing w:lineRule="atLeast" w:line="260"/>
              <w:ind w:left="28" w:right="28" w:hanging="0"/>
              <w:jc w:val="center"/>
              <w:rPr>
                <w:i/>
                <w:i/>
                <w:spacing w:val="10"/>
                <w:sz w:val="20"/>
                <w:szCs w:val="20"/>
              </w:rPr>
            </w:pPr>
            <w:r>
              <w:rPr>
                <w:i/>
                <w:spacing w:val="10"/>
                <w:sz w:val="20"/>
                <w:szCs w:val="20"/>
              </w:rPr>
              <w:t>結業學員</w:t>
            </w:r>
          </w:p>
          <w:p>
            <w:pPr>
              <w:pStyle w:val="F21"/>
              <w:tabs>
                <w:tab w:val="clear" w:pos="567"/>
                <w:tab w:val="left" w:pos="28" w:leader="none"/>
              </w:tabs>
              <w:spacing w:lineRule="atLeast" w:line="260"/>
              <w:ind w:left="28" w:right="28" w:hanging="0"/>
              <w:jc w:val="center"/>
              <w:rPr>
                <w:i/>
                <w:i/>
                <w:spacing w:val="10"/>
                <w:sz w:val="20"/>
                <w:szCs w:val="20"/>
              </w:rPr>
            </w:pPr>
            <w:r>
              <w:rPr>
                <w:i/>
                <w:spacing w:val="10"/>
                <w:sz w:val="20"/>
                <w:szCs w:val="20"/>
              </w:rPr>
              <w:t>就業率</w:t>
            </w:r>
          </w:p>
        </w:tc>
      </w:tr>
      <w:tr>
        <w:trPr>
          <w:tblHeader w:val="true"/>
        </w:trPr>
        <w:tc>
          <w:tcPr>
            <w:tcW w:w="859" w:type="dxa"/>
            <w:vMerge w:val="continue"/>
            <w:tcBorders/>
            <w:vAlign w:val="center"/>
          </w:tcPr>
          <w:p>
            <w:pPr>
              <w:pStyle w:val="F21"/>
              <w:tabs>
                <w:tab w:val="clear" w:pos="567"/>
                <w:tab w:val="left" w:pos="28" w:leader="none"/>
              </w:tabs>
              <w:spacing w:lineRule="atLeast" w:line="260"/>
              <w:ind w:left="28" w:right="28" w:hanging="0"/>
              <w:jc w:val="center"/>
              <w:rPr>
                <w:i/>
                <w:i/>
                <w:spacing w:val="10"/>
                <w:sz w:val="20"/>
                <w:szCs w:val="20"/>
              </w:rPr>
            </w:pPr>
            <w:r>
              <w:rPr>
                <w:i/>
                <w:spacing w:val="10"/>
                <w:sz w:val="20"/>
                <w:szCs w:val="20"/>
              </w:rPr>
            </w:r>
          </w:p>
        </w:tc>
        <w:tc>
          <w:tcPr>
            <w:tcW w:w="769" w:type="dxa"/>
            <w:vMerge w:val="continue"/>
            <w:tcBorders/>
            <w:vAlign w:val="center"/>
          </w:tcPr>
          <w:p>
            <w:pPr>
              <w:pStyle w:val="F21"/>
              <w:tabs>
                <w:tab w:val="clear" w:pos="567"/>
                <w:tab w:val="left" w:pos="28" w:leader="none"/>
              </w:tabs>
              <w:spacing w:lineRule="atLeast" w:line="260"/>
              <w:ind w:left="28" w:right="28" w:hanging="0"/>
              <w:jc w:val="center"/>
              <w:rPr>
                <w:i/>
                <w:i/>
                <w:spacing w:val="10"/>
                <w:sz w:val="20"/>
                <w:szCs w:val="20"/>
              </w:rPr>
            </w:pPr>
            <w:r>
              <w:rPr>
                <w:i/>
                <w:spacing w:val="10"/>
                <w:sz w:val="20"/>
                <w:szCs w:val="20"/>
              </w:rPr>
            </w:r>
          </w:p>
        </w:tc>
        <w:tc>
          <w:tcPr>
            <w:tcW w:w="768" w:type="dxa"/>
            <w:vMerge w:val="continue"/>
            <w:tcBorders/>
            <w:vAlign w:val="center"/>
          </w:tcPr>
          <w:p>
            <w:pPr>
              <w:pStyle w:val="F21"/>
              <w:tabs>
                <w:tab w:val="clear" w:pos="567"/>
                <w:tab w:val="left" w:pos="28" w:leader="none"/>
              </w:tabs>
              <w:spacing w:lineRule="atLeast" w:line="260"/>
              <w:ind w:left="28" w:right="28" w:hanging="0"/>
              <w:jc w:val="center"/>
              <w:rPr>
                <w:i/>
                <w:i/>
                <w:spacing w:val="10"/>
                <w:sz w:val="20"/>
                <w:szCs w:val="20"/>
              </w:rPr>
            </w:pPr>
            <w:r>
              <w:rPr>
                <w:i/>
                <w:spacing w:val="10"/>
                <w:sz w:val="20"/>
                <w:szCs w:val="20"/>
              </w:rPr>
            </w:r>
          </w:p>
        </w:tc>
        <w:tc>
          <w:tcPr>
            <w:tcW w:w="768" w:type="dxa"/>
            <w:tcBorders/>
            <w:vAlign w:val="center"/>
          </w:tcPr>
          <w:p>
            <w:pPr>
              <w:pStyle w:val="F21"/>
              <w:tabs>
                <w:tab w:val="clear" w:pos="567"/>
                <w:tab w:val="left" w:pos="28" w:leader="none"/>
              </w:tabs>
              <w:spacing w:lineRule="atLeast" w:line="260"/>
              <w:ind w:left="28" w:right="28" w:hanging="0"/>
              <w:jc w:val="center"/>
              <w:rPr>
                <w:i/>
                <w:i/>
                <w:spacing w:val="10"/>
                <w:sz w:val="20"/>
                <w:szCs w:val="20"/>
              </w:rPr>
            </w:pPr>
            <w:r>
              <w:rPr>
                <w:i/>
                <w:spacing w:val="10"/>
                <w:sz w:val="20"/>
                <w:szCs w:val="20"/>
              </w:rPr>
              <w:t>2014</w:t>
            </w:r>
            <w:r>
              <w:rPr>
                <w:i/>
                <w:spacing w:val="10"/>
                <w:sz w:val="20"/>
                <w:szCs w:val="20"/>
              </w:rPr>
              <w:t>年</w:t>
            </w:r>
          </w:p>
        </w:tc>
        <w:tc>
          <w:tcPr>
            <w:tcW w:w="768" w:type="dxa"/>
            <w:tcBorders/>
            <w:vAlign w:val="center"/>
          </w:tcPr>
          <w:p>
            <w:pPr>
              <w:pStyle w:val="F21"/>
              <w:tabs>
                <w:tab w:val="clear" w:pos="567"/>
                <w:tab w:val="left" w:pos="28" w:leader="none"/>
              </w:tabs>
              <w:spacing w:lineRule="atLeast" w:line="260"/>
              <w:ind w:left="28" w:right="28" w:hanging="0"/>
              <w:jc w:val="center"/>
              <w:rPr>
                <w:i/>
                <w:i/>
                <w:spacing w:val="10"/>
                <w:sz w:val="20"/>
                <w:szCs w:val="20"/>
              </w:rPr>
            </w:pPr>
            <w:r>
              <w:rPr>
                <w:i/>
                <w:spacing w:val="10"/>
                <w:sz w:val="20"/>
                <w:szCs w:val="20"/>
              </w:rPr>
              <w:t>2015</w:t>
            </w:r>
            <w:r>
              <w:rPr>
                <w:i/>
                <w:spacing w:val="10"/>
                <w:sz w:val="20"/>
                <w:szCs w:val="20"/>
              </w:rPr>
              <w:t>年</w:t>
            </w:r>
          </w:p>
        </w:tc>
        <w:tc>
          <w:tcPr>
            <w:tcW w:w="769" w:type="dxa"/>
            <w:tcBorders/>
            <w:vAlign w:val="center"/>
          </w:tcPr>
          <w:p>
            <w:pPr>
              <w:pStyle w:val="F21"/>
              <w:tabs>
                <w:tab w:val="clear" w:pos="567"/>
                <w:tab w:val="left" w:pos="28" w:leader="none"/>
              </w:tabs>
              <w:spacing w:lineRule="atLeast" w:line="260"/>
              <w:ind w:left="28" w:right="28" w:hanging="0"/>
              <w:jc w:val="center"/>
              <w:rPr>
                <w:i/>
                <w:i/>
                <w:spacing w:val="10"/>
                <w:sz w:val="20"/>
                <w:szCs w:val="20"/>
              </w:rPr>
            </w:pPr>
            <w:r>
              <w:rPr>
                <w:i/>
                <w:spacing w:val="10"/>
                <w:sz w:val="20"/>
                <w:szCs w:val="20"/>
              </w:rPr>
              <w:t>2016</w:t>
            </w:r>
            <w:r>
              <w:rPr>
                <w:i/>
                <w:spacing w:val="10"/>
                <w:sz w:val="20"/>
                <w:szCs w:val="20"/>
              </w:rPr>
              <w:t>年</w:t>
            </w:r>
          </w:p>
        </w:tc>
        <w:tc>
          <w:tcPr>
            <w:tcW w:w="769" w:type="dxa"/>
            <w:tcBorders/>
            <w:vAlign w:val="center"/>
          </w:tcPr>
          <w:p>
            <w:pPr>
              <w:pStyle w:val="F21"/>
              <w:tabs>
                <w:tab w:val="clear" w:pos="567"/>
                <w:tab w:val="left" w:pos="28" w:leader="none"/>
              </w:tabs>
              <w:spacing w:lineRule="atLeast" w:line="260"/>
              <w:ind w:left="28" w:right="28" w:hanging="0"/>
              <w:jc w:val="center"/>
              <w:rPr>
                <w:i/>
                <w:i/>
                <w:spacing w:val="10"/>
                <w:sz w:val="20"/>
                <w:szCs w:val="20"/>
              </w:rPr>
            </w:pPr>
            <w:r>
              <w:rPr>
                <w:i/>
                <w:spacing w:val="10"/>
                <w:sz w:val="20"/>
                <w:szCs w:val="20"/>
              </w:rPr>
              <w:t>2017</w:t>
            </w:r>
            <w:r>
              <w:rPr>
                <w:i/>
                <w:spacing w:val="10"/>
                <w:sz w:val="20"/>
                <w:szCs w:val="20"/>
              </w:rPr>
              <w:t>年</w:t>
            </w:r>
          </w:p>
        </w:tc>
        <w:tc>
          <w:tcPr>
            <w:tcW w:w="768" w:type="dxa"/>
            <w:tcBorders/>
            <w:vAlign w:val="center"/>
          </w:tcPr>
          <w:p>
            <w:pPr>
              <w:pStyle w:val="F21"/>
              <w:tabs>
                <w:tab w:val="clear" w:pos="567"/>
                <w:tab w:val="left" w:pos="28" w:leader="none"/>
              </w:tabs>
              <w:spacing w:lineRule="atLeast" w:line="260"/>
              <w:ind w:left="28" w:right="28" w:hanging="0"/>
              <w:jc w:val="center"/>
              <w:rPr>
                <w:i/>
                <w:i/>
                <w:spacing w:val="10"/>
                <w:sz w:val="20"/>
                <w:szCs w:val="20"/>
              </w:rPr>
            </w:pPr>
            <w:r>
              <w:rPr>
                <w:i/>
                <w:spacing w:val="10"/>
                <w:sz w:val="20"/>
                <w:szCs w:val="20"/>
              </w:rPr>
              <w:t>2018</w:t>
            </w:r>
            <w:r>
              <w:rPr>
                <w:i/>
                <w:spacing w:val="10"/>
                <w:sz w:val="20"/>
                <w:szCs w:val="20"/>
              </w:rPr>
              <w:t>年</w:t>
            </w:r>
          </w:p>
        </w:tc>
        <w:tc>
          <w:tcPr>
            <w:tcW w:w="1052" w:type="dxa"/>
            <w:vMerge w:val="continue"/>
            <w:tcBorders/>
            <w:vAlign w:val="center"/>
          </w:tcPr>
          <w:p>
            <w:pPr>
              <w:pStyle w:val="F21"/>
              <w:tabs>
                <w:tab w:val="clear" w:pos="567"/>
                <w:tab w:val="left" w:pos="28" w:leader="none"/>
              </w:tabs>
              <w:spacing w:lineRule="atLeast" w:line="260"/>
              <w:ind w:left="28" w:right="28" w:hanging="0"/>
              <w:jc w:val="center"/>
              <w:rPr>
                <w:i/>
                <w:i/>
                <w:spacing w:val="10"/>
                <w:sz w:val="20"/>
                <w:szCs w:val="20"/>
              </w:rPr>
            </w:pPr>
            <w:r>
              <w:rPr>
                <w:i/>
                <w:spacing w:val="10"/>
                <w:sz w:val="20"/>
                <w:szCs w:val="20"/>
              </w:rPr>
            </w:r>
          </w:p>
        </w:tc>
        <w:tc>
          <w:tcPr>
            <w:tcW w:w="910" w:type="dxa"/>
            <w:vMerge w:val="continue"/>
            <w:tcBorders/>
            <w:vAlign w:val="center"/>
          </w:tcPr>
          <w:p>
            <w:pPr>
              <w:pStyle w:val="F21"/>
              <w:tabs>
                <w:tab w:val="clear" w:pos="567"/>
                <w:tab w:val="left" w:pos="28" w:leader="none"/>
              </w:tabs>
              <w:spacing w:lineRule="atLeast" w:line="260"/>
              <w:ind w:left="28" w:right="28" w:hanging="0"/>
              <w:jc w:val="center"/>
              <w:rPr>
                <w:i/>
                <w:i/>
                <w:spacing w:val="10"/>
                <w:sz w:val="20"/>
                <w:szCs w:val="20"/>
              </w:rPr>
            </w:pPr>
            <w:r>
              <w:rPr>
                <w:i/>
                <w:spacing w:val="10"/>
                <w:sz w:val="20"/>
                <w:szCs w:val="20"/>
              </w:rPr>
            </w:r>
          </w:p>
        </w:tc>
        <w:tc>
          <w:tcPr>
            <w:tcW w:w="1028" w:type="dxa"/>
            <w:vMerge w:val="continue"/>
            <w:tcBorders/>
            <w:vAlign w:val="center"/>
          </w:tcPr>
          <w:p>
            <w:pPr>
              <w:pStyle w:val="F21"/>
              <w:tabs>
                <w:tab w:val="clear" w:pos="567"/>
                <w:tab w:val="left" w:pos="28" w:leader="none"/>
              </w:tabs>
              <w:spacing w:lineRule="atLeast" w:line="260"/>
              <w:ind w:left="28" w:right="28" w:hanging="0"/>
              <w:jc w:val="center"/>
              <w:rPr>
                <w:i/>
                <w:i/>
                <w:spacing w:val="10"/>
                <w:sz w:val="20"/>
                <w:szCs w:val="20"/>
              </w:rPr>
            </w:pPr>
            <w:r>
              <w:rPr>
                <w:i/>
                <w:spacing w:val="10"/>
                <w:sz w:val="20"/>
                <w:szCs w:val="20"/>
              </w:rPr>
            </w:r>
          </w:p>
        </w:tc>
      </w:tr>
      <w:tr>
        <w:trPr/>
        <w:tc>
          <w:tcPr>
            <w:tcW w:w="859" w:type="dxa"/>
            <w:tcBorders/>
          </w:tcPr>
          <w:p>
            <w:pPr>
              <w:pStyle w:val="F21"/>
              <w:tabs>
                <w:tab w:val="clear" w:pos="567"/>
                <w:tab w:val="left" w:pos="284" w:leader="none"/>
              </w:tabs>
              <w:spacing w:lineRule="exact" w:line="280"/>
              <w:ind w:left="28" w:right="28" w:hanging="0"/>
              <w:rPr>
                <w:spacing w:val="10"/>
                <w:sz w:val="20"/>
                <w:szCs w:val="20"/>
              </w:rPr>
            </w:pPr>
            <w:r>
              <w:rPr>
                <w:spacing w:val="10"/>
                <w:sz w:val="20"/>
                <w:szCs w:val="20"/>
              </w:rPr>
              <w:t>1.</w:t>
            </w:r>
            <w:r>
              <w:rPr>
                <w:spacing w:val="10"/>
                <w:sz w:val="20"/>
                <w:szCs w:val="20"/>
              </w:rPr>
              <w:t>鋼筋</w:t>
            </w:r>
            <w:r>
              <w:rPr>
                <w:spacing w:val="10"/>
                <w:sz w:val="20"/>
                <w:szCs w:val="20"/>
              </w:rPr>
              <w:tab/>
            </w:r>
            <w:r>
              <w:rPr>
                <w:spacing w:val="10"/>
                <w:sz w:val="20"/>
                <w:szCs w:val="20"/>
              </w:rPr>
              <w:t>屈紮</w:t>
            </w:r>
            <w:r>
              <w:rPr>
                <w:spacing w:val="10"/>
                <w:sz w:val="20"/>
                <w:szCs w:val="20"/>
              </w:rPr>
              <w:tab/>
            </w:r>
            <w:r>
              <w:rPr>
                <w:spacing w:val="10"/>
                <w:sz w:val="20"/>
                <w:szCs w:val="20"/>
              </w:rPr>
              <w:t>工</w:t>
            </w:r>
          </w:p>
        </w:tc>
        <w:tc>
          <w:tcPr>
            <w:tcW w:w="769" w:type="dxa"/>
            <w:tcBorders/>
          </w:tcPr>
          <w:p>
            <w:pPr>
              <w:pStyle w:val="F21"/>
              <w:spacing w:lineRule="exact" w:line="280"/>
              <w:ind w:right="28" w:hanging="0"/>
              <w:rPr>
                <w:spacing w:val="10"/>
                <w:sz w:val="20"/>
                <w:szCs w:val="20"/>
              </w:rPr>
            </w:pPr>
            <w:r>
              <w:rPr>
                <w:spacing w:val="10"/>
                <w:sz w:val="20"/>
                <w:szCs w:val="20"/>
              </w:rPr>
              <w:t>建造管理文憑</w:t>
            </w:r>
            <w:r>
              <w:rPr>
                <w:rFonts w:ascii="華康細明體" w:hAnsi="華康細明體"/>
                <w:sz w:val="20"/>
                <w:szCs w:val="20"/>
              </w:rPr>
              <w:t>─</w:t>
            </w:r>
            <w:r>
              <w:rPr>
                <w:spacing w:val="10"/>
                <w:sz w:val="20"/>
                <w:szCs w:val="20"/>
              </w:rPr>
              <w:t>鋼筋屈紮</w:t>
            </w:r>
          </w:p>
        </w:tc>
        <w:tc>
          <w:tcPr>
            <w:tcW w:w="768" w:type="dxa"/>
            <w:tcBorders/>
          </w:tcPr>
          <w:p>
            <w:pPr>
              <w:pStyle w:val="F21"/>
              <w:tabs>
                <w:tab w:val="clear" w:pos="567"/>
                <w:tab w:val="left" w:pos="28" w:leader="none"/>
              </w:tabs>
              <w:spacing w:lineRule="exact" w:line="280"/>
              <w:ind w:left="28" w:right="28" w:hanging="0"/>
              <w:rPr>
                <w:spacing w:val="10"/>
                <w:sz w:val="20"/>
                <w:szCs w:val="20"/>
              </w:rPr>
            </w:pPr>
            <w:r>
              <w:rPr>
                <w:spacing w:val="10"/>
                <w:sz w:val="20"/>
                <w:szCs w:val="20"/>
              </w:rPr>
              <w:t>由</w:t>
            </w:r>
            <w:r>
              <w:rPr>
                <w:spacing w:val="10"/>
                <w:sz w:val="20"/>
                <w:szCs w:val="20"/>
              </w:rPr>
              <w:t>2017-</w:t>
              <w:br/>
              <w:t>2018</w:t>
            </w:r>
            <w:r>
              <w:rPr>
                <w:spacing w:val="10"/>
                <w:sz w:val="20"/>
                <w:szCs w:val="20"/>
              </w:rPr>
              <w:t>學年起開辦</w:t>
            </w:r>
          </w:p>
        </w:tc>
        <w:tc>
          <w:tcPr>
            <w:tcW w:w="768" w:type="dxa"/>
            <w:tcBorders/>
          </w:tcPr>
          <w:p>
            <w:pPr>
              <w:pStyle w:val="F21"/>
              <w:tabs>
                <w:tab w:val="clear" w:pos="567"/>
                <w:tab w:val="left" w:pos="28" w:leader="none"/>
              </w:tabs>
              <w:spacing w:lineRule="exact" w:line="280"/>
              <w:ind w:left="28" w:right="28" w:hanging="0"/>
              <w:jc w:val="center"/>
              <w:rPr>
                <w:spacing w:val="10"/>
                <w:sz w:val="20"/>
                <w:szCs w:val="20"/>
              </w:rPr>
            </w:pPr>
            <w:r>
              <w:rPr>
                <w:spacing w:val="10"/>
                <w:sz w:val="20"/>
                <w:szCs w:val="20"/>
              </w:rPr>
              <w:t>-</w:t>
            </w:r>
          </w:p>
        </w:tc>
        <w:tc>
          <w:tcPr>
            <w:tcW w:w="768" w:type="dxa"/>
            <w:tcBorders/>
          </w:tcPr>
          <w:p>
            <w:pPr>
              <w:pStyle w:val="F21"/>
              <w:tabs>
                <w:tab w:val="clear" w:pos="567"/>
                <w:tab w:val="left" w:pos="28" w:leader="none"/>
              </w:tabs>
              <w:spacing w:lineRule="exact" w:line="280"/>
              <w:ind w:left="28" w:right="28" w:hanging="0"/>
              <w:jc w:val="center"/>
              <w:rPr>
                <w:spacing w:val="10"/>
                <w:sz w:val="20"/>
                <w:szCs w:val="20"/>
              </w:rPr>
            </w:pPr>
            <w:r>
              <w:rPr>
                <w:spacing w:val="10"/>
                <w:sz w:val="20"/>
                <w:szCs w:val="20"/>
              </w:rPr>
              <w:t>-</w:t>
            </w:r>
          </w:p>
        </w:tc>
        <w:tc>
          <w:tcPr>
            <w:tcW w:w="769" w:type="dxa"/>
            <w:tcBorders/>
          </w:tcPr>
          <w:p>
            <w:pPr>
              <w:pStyle w:val="F21"/>
              <w:tabs>
                <w:tab w:val="clear" w:pos="567"/>
                <w:tab w:val="left" w:pos="28" w:leader="none"/>
              </w:tabs>
              <w:spacing w:lineRule="exact" w:line="280"/>
              <w:ind w:left="28" w:right="28" w:hanging="0"/>
              <w:jc w:val="center"/>
              <w:rPr>
                <w:spacing w:val="10"/>
                <w:sz w:val="20"/>
                <w:szCs w:val="20"/>
              </w:rPr>
            </w:pPr>
            <w:r>
              <w:rPr>
                <w:spacing w:val="10"/>
                <w:sz w:val="20"/>
                <w:szCs w:val="20"/>
              </w:rPr>
              <w:t>-</w:t>
            </w:r>
          </w:p>
        </w:tc>
        <w:tc>
          <w:tcPr>
            <w:tcW w:w="769" w:type="dxa"/>
            <w:tcBorders/>
          </w:tcPr>
          <w:p>
            <w:pPr>
              <w:pStyle w:val="F21"/>
              <w:tabs>
                <w:tab w:val="clear" w:pos="567"/>
                <w:tab w:val="left" w:pos="28" w:leader="none"/>
              </w:tabs>
              <w:spacing w:lineRule="exact" w:line="280"/>
              <w:ind w:left="28" w:right="28" w:hanging="0"/>
              <w:jc w:val="center"/>
              <w:rPr>
                <w:spacing w:val="10"/>
                <w:sz w:val="20"/>
                <w:szCs w:val="20"/>
              </w:rPr>
            </w:pPr>
            <w:r>
              <w:rPr>
                <w:spacing w:val="10"/>
                <w:sz w:val="20"/>
                <w:szCs w:val="20"/>
              </w:rPr>
              <w:t>-</w:t>
            </w:r>
          </w:p>
        </w:tc>
        <w:tc>
          <w:tcPr>
            <w:tcW w:w="768" w:type="dxa"/>
            <w:tcBorders/>
          </w:tcPr>
          <w:p>
            <w:pPr>
              <w:pStyle w:val="F21"/>
              <w:tabs>
                <w:tab w:val="clear" w:pos="567"/>
                <w:tab w:val="left" w:pos="28" w:leader="none"/>
              </w:tabs>
              <w:spacing w:lineRule="exact" w:line="280"/>
              <w:ind w:left="28" w:right="28" w:hanging="0"/>
              <w:jc w:val="center"/>
              <w:rPr>
                <w:spacing w:val="10"/>
                <w:sz w:val="20"/>
                <w:szCs w:val="20"/>
              </w:rPr>
            </w:pPr>
            <w:r>
              <w:rPr>
                <w:spacing w:val="10"/>
                <w:sz w:val="20"/>
                <w:szCs w:val="20"/>
              </w:rPr>
              <w:t>58</w:t>
            </w:r>
          </w:p>
        </w:tc>
        <w:tc>
          <w:tcPr>
            <w:tcW w:w="1052" w:type="dxa"/>
            <w:tcBorders/>
          </w:tcPr>
          <w:p>
            <w:pPr>
              <w:pStyle w:val="F21"/>
              <w:tabs>
                <w:tab w:val="clear" w:pos="567"/>
                <w:tab w:val="left" w:pos="28" w:leader="none"/>
              </w:tabs>
              <w:spacing w:lineRule="exact" w:line="280"/>
              <w:ind w:left="28" w:right="28" w:hanging="0"/>
              <w:rPr>
                <w:spacing w:val="10"/>
                <w:sz w:val="20"/>
                <w:szCs w:val="20"/>
              </w:rPr>
            </w:pPr>
            <w:r>
              <w:rPr>
                <w:spacing w:val="10"/>
                <w:sz w:val="20"/>
                <w:szCs w:val="20"/>
              </w:rPr>
              <w:t>完成中六</w:t>
            </w:r>
            <w:r>
              <w:rPr>
                <w:spacing w:val="10"/>
                <w:sz w:val="20"/>
                <w:szCs w:val="20"/>
              </w:rPr>
              <w:t>(</w:t>
            </w:r>
            <w:r>
              <w:rPr>
                <w:spacing w:val="10"/>
                <w:sz w:val="20"/>
                <w:szCs w:val="20"/>
              </w:rPr>
              <w:t>新高中學制</w:t>
            </w:r>
            <w:r>
              <w:rPr>
                <w:spacing w:val="10"/>
                <w:sz w:val="20"/>
                <w:szCs w:val="20"/>
              </w:rPr>
              <w:t>)</w:t>
            </w:r>
            <w:r>
              <w:rPr>
                <w:spacing w:val="10"/>
                <w:sz w:val="20"/>
                <w:szCs w:val="20"/>
              </w:rPr>
              <w:t>或同等學歷，以及具最少</w:t>
            </w:r>
            <w:r>
              <w:rPr>
                <w:spacing w:val="10"/>
                <w:sz w:val="20"/>
                <w:szCs w:val="20"/>
              </w:rPr>
              <w:t>1</w:t>
            </w:r>
            <w:r>
              <w:rPr>
                <w:spacing w:val="10"/>
                <w:sz w:val="20"/>
                <w:szCs w:val="20"/>
              </w:rPr>
              <w:t>年相關工作經驗，或</w:t>
            </w:r>
            <w:r>
              <w:rPr>
                <w:spacing w:val="10"/>
                <w:sz w:val="20"/>
                <w:szCs w:val="20"/>
              </w:rPr>
              <w:t>21</w:t>
            </w:r>
            <w:r>
              <w:rPr>
                <w:spacing w:val="10"/>
                <w:sz w:val="20"/>
                <w:szCs w:val="20"/>
              </w:rPr>
              <w:t>歲或以上及具最少</w:t>
            </w:r>
            <w:r>
              <w:rPr>
                <w:spacing w:val="10"/>
                <w:sz w:val="20"/>
                <w:szCs w:val="20"/>
              </w:rPr>
              <w:t>3</w:t>
            </w:r>
            <w:r>
              <w:rPr>
                <w:spacing w:val="10"/>
                <w:sz w:val="20"/>
                <w:szCs w:val="20"/>
              </w:rPr>
              <w:t>年相關工作經驗及符合能力傾向測試。</w:t>
            </w:r>
          </w:p>
        </w:tc>
        <w:tc>
          <w:tcPr>
            <w:tcW w:w="910" w:type="dxa"/>
            <w:tcBorders/>
          </w:tcPr>
          <w:p>
            <w:pPr>
              <w:pStyle w:val="F21"/>
              <w:tabs>
                <w:tab w:val="clear" w:pos="567"/>
                <w:tab w:val="left" w:pos="28" w:leader="none"/>
              </w:tabs>
              <w:spacing w:lineRule="exact" w:line="280"/>
              <w:ind w:left="28" w:right="28" w:hanging="0"/>
              <w:rPr>
                <w:spacing w:val="10"/>
                <w:sz w:val="20"/>
                <w:szCs w:val="20"/>
              </w:rPr>
            </w:pPr>
            <w:r>
              <w:rPr>
                <w:spacing w:val="10"/>
                <w:sz w:val="20"/>
                <w:szCs w:val="20"/>
              </w:rPr>
              <w:t>12</w:t>
            </w:r>
            <w:r>
              <w:rPr>
                <w:spacing w:val="10"/>
                <w:sz w:val="20"/>
                <w:szCs w:val="20"/>
              </w:rPr>
              <w:t>個月</w:t>
            </w:r>
          </w:p>
        </w:tc>
        <w:tc>
          <w:tcPr>
            <w:tcW w:w="1028" w:type="dxa"/>
            <w:tcBorders/>
          </w:tcPr>
          <w:p>
            <w:pPr>
              <w:pStyle w:val="F21"/>
              <w:tabs>
                <w:tab w:val="clear" w:pos="567"/>
                <w:tab w:val="left" w:pos="28" w:leader="none"/>
              </w:tabs>
              <w:spacing w:lineRule="exact" w:line="280"/>
              <w:ind w:left="28" w:right="28" w:hanging="0"/>
              <w:rPr>
                <w:spacing w:val="10"/>
                <w:sz w:val="20"/>
                <w:szCs w:val="20"/>
              </w:rPr>
            </w:pPr>
            <w:r>
              <w:rPr>
                <w:spacing w:val="10"/>
                <w:sz w:val="20"/>
                <w:szCs w:val="20"/>
              </w:rPr>
              <w:t>100%</w:t>
            </w:r>
          </w:p>
        </w:tc>
      </w:tr>
      <w:tr>
        <w:trPr/>
        <w:tc>
          <w:tcPr>
            <w:tcW w:w="859" w:type="dxa"/>
            <w:tcBorders/>
          </w:tcPr>
          <w:p>
            <w:pPr>
              <w:pStyle w:val="F21"/>
              <w:tabs>
                <w:tab w:val="clear" w:pos="567"/>
                <w:tab w:val="left" w:pos="284" w:leader="none"/>
              </w:tabs>
              <w:spacing w:lineRule="atLeast" w:line="260"/>
              <w:ind w:left="28" w:right="28" w:hanging="0"/>
              <w:rPr>
                <w:spacing w:val="10"/>
                <w:sz w:val="20"/>
                <w:szCs w:val="20"/>
              </w:rPr>
            </w:pPr>
            <w:r>
              <w:rPr>
                <w:spacing w:val="10"/>
                <w:sz w:val="20"/>
                <w:szCs w:val="20"/>
              </w:rPr>
              <w:t>2.</w:t>
            </w:r>
            <w:r>
              <w:rPr>
                <w:spacing w:val="10"/>
                <w:sz w:val="20"/>
                <w:szCs w:val="20"/>
              </w:rPr>
              <w:t>結構</w:t>
            </w:r>
            <w:r>
              <w:rPr>
                <w:spacing w:val="10"/>
                <w:sz w:val="20"/>
                <w:szCs w:val="20"/>
              </w:rPr>
              <w:tab/>
            </w:r>
            <w:r>
              <w:rPr>
                <w:spacing w:val="10"/>
                <w:sz w:val="20"/>
                <w:szCs w:val="20"/>
              </w:rPr>
              <w:t>鋼材</w:t>
            </w:r>
            <w:r>
              <w:rPr>
                <w:spacing w:val="10"/>
                <w:sz w:val="20"/>
                <w:szCs w:val="20"/>
              </w:rPr>
              <w:tab/>
            </w:r>
            <w:r>
              <w:rPr>
                <w:spacing w:val="10"/>
                <w:sz w:val="20"/>
                <w:szCs w:val="20"/>
              </w:rPr>
              <w:t>焊接</w:t>
            </w:r>
            <w:r>
              <w:rPr>
                <w:spacing w:val="10"/>
                <w:sz w:val="20"/>
                <w:szCs w:val="20"/>
              </w:rPr>
              <w:tab/>
            </w:r>
            <w:r>
              <w:rPr>
                <w:spacing w:val="10"/>
                <w:sz w:val="20"/>
                <w:szCs w:val="20"/>
              </w:rPr>
              <w:t>工</w:t>
            </w:r>
          </w:p>
        </w:tc>
        <w:tc>
          <w:tcPr>
            <w:tcW w:w="769" w:type="dxa"/>
            <w:tcBorders/>
          </w:tcPr>
          <w:p>
            <w:pPr>
              <w:pStyle w:val="F21"/>
              <w:tabs>
                <w:tab w:val="clear" w:pos="567"/>
                <w:tab w:val="left" w:pos="28" w:leader="none"/>
              </w:tabs>
              <w:spacing w:lineRule="atLeast" w:line="260"/>
              <w:ind w:left="28" w:right="28" w:hanging="0"/>
              <w:rPr>
                <w:spacing w:val="10"/>
                <w:sz w:val="20"/>
                <w:szCs w:val="20"/>
              </w:rPr>
            </w:pPr>
            <w:r>
              <w:rPr>
                <w:spacing w:val="10"/>
                <w:sz w:val="20"/>
                <w:szCs w:val="20"/>
              </w:rPr>
              <w:t>焊接工課程</w:t>
            </w:r>
          </w:p>
        </w:tc>
        <w:tc>
          <w:tcPr>
            <w:tcW w:w="768" w:type="dxa"/>
            <w:tcBorders>
              <w:bottom w:val="nil"/>
            </w:tcBorders>
          </w:tcPr>
          <w:p>
            <w:pPr>
              <w:pStyle w:val="F21"/>
              <w:tabs>
                <w:tab w:val="clear" w:pos="567"/>
                <w:tab w:val="left" w:pos="28" w:leader="none"/>
              </w:tabs>
              <w:spacing w:lineRule="atLeast" w:line="260"/>
              <w:ind w:left="28" w:right="28" w:hanging="0"/>
              <w:rPr>
                <w:spacing w:val="10"/>
                <w:sz w:val="20"/>
                <w:szCs w:val="20"/>
              </w:rPr>
            </w:pPr>
            <w:r>
              <w:rPr>
                <w:spacing w:val="10"/>
                <w:sz w:val="20"/>
                <w:szCs w:val="20"/>
              </w:rPr>
              <w:t>過去</w:t>
            </w:r>
            <w:r>
              <w:rPr>
                <w:spacing w:val="10"/>
                <w:sz w:val="20"/>
                <w:szCs w:val="20"/>
              </w:rPr>
              <w:t>5</w:t>
            </w:r>
            <w:r>
              <w:rPr>
                <w:spacing w:val="10"/>
                <w:sz w:val="20"/>
                <w:szCs w:val="20"/>
              </w:rPr>
              <w:t>個學年均有開辦</w:t>
            </w:r>
          </w:p>
        </w:tc>
        <w:tc>
          <w:tcPr>
            <w:tcW w:w="3842" w:type="dxa"/>
            <w:gridSpan w:val="5"/>
            <w:tcBorders/>
          </w:tcPr>
          <w:p>
            <w:pPr>
              <w:pStyle w:val="F21"/>
              <w:tabs>
                <w:tab w:val="clear" w:pos="567"/>
                <w:tab w:val="left" w:pos="28" w:leader="none"/>
              </w:tabs>
              <w:spacing w:lineRule="atLeast" w:line="260"/>
              <w:ind w:left="28" w:right="28" w:hanging="0"/>
              <w:jc w:val="center"/>
              <w:rPr>
                <w:spacing w:val="10"/>
                <w:sz w:val="20"/>
                <w:szCs w:val="20"/>
              </w:rPr>
            </w:pPr>
            <w:r>
              <w:rPr>
                <w:spacing w:val="10"/>
                <w:sz w:val="20"/>
                <w:szCs w:val="20"/>
              </w:rPr>
              <w:t>300(</w:t>
            </w:r>
            <w:r>
              <w:rPr>
                <w:spacing w:val="10"/>
                <w:sz w:val="20"/>
                <w:szCs w:val="20"/>
              </w:rPr>
              <w:t>沒有分項數字</w:t>
            </w:r>
            <w:r>
              <w:rPr>
                <w:spacing w:val="10"/>
                <w:sz w:val="20"/>
                <w:szCs w:val="20"/>
              </w:rPr>
              <w:t>)</w:t>
            </w:r>
          </w:p>
        </w:tc>
        <w:tc>
          <w:tcPr>
            <w:tcW w:w="1052" w:type="dxa"/>
            <w:tcBorders/>
          </w:tcPr>
          <w:p>
            <w:pPr>
              <w:pStyle w:val="F21"/>
              <w:tabs>
                <w:tab w:val="clear" w:pos="567"/>
                <w:tab w:val="left" w:pos="28" w:leader="none"/>
              </w:tabs>
              <w:spacing w:lineRule="atLeast" w:line="260"/>
              <w:ind w:left="28" w:right="28" w:hanging="0"/>
              <w:rPr>
                <w:spacing w:val="10"/>
                <w:sz w:val="20"/>
                <w:szCs w:val="20"/>
              </w:rPr>
            </w:pPr>
            <w:r>
              <w:rPr>
                <w:spacing w:val="10"/>
                <w:sz w:val="20"/>
                <w:szCs w:val="20"/>
              </w:rPr>
              <w:t>最低年齡</w:t>
            </w:r>
            <w:r>
              <w:rPr>
                <w:spacing w:val="10"/>
                <w:sz w:val="20"/>
                <w:szCs w:val="20"/>
              </w:rPr>
              <w:t>15</w:t>
            </w:r>
            <w:r>
              <w:rPr>
                <w:spacing w:val="10"/>
                <w:sz w:val="20"/>
                <w:szCs w:val="20"/>
              </w:rPr>
              <w:t>歲或以上，學歷不限。</w:t>
            </w:r>
          </w:p>
        </w:tc>
        <w:tc>
          <w:tcPr>
            <w:tcW w:w="910" w:type="dxa"/>
            <w:tcBorders/>
          </w:tcPr>
          <w:p>
            <w:pPr>
              <w:pStyle w:val="F21"/>
              <w:tabs>
                <w:tab w:val="clear" w:pos="567"/>
                <w:tab w:val="left" w:pos="28" w:leader="none"/>
              </w:tabs>
              <w:spacing w:lineRule="atLeast" w:line="260"/>
              <w:ind w:left="28" w:right="28" w:hanging="0"/>
              <w:rPr>
                <w:spacing w:val="10"/>
                <w:sz w:val="20"/>
                <w:szCs w:val="20"/>
              </w:rPr>
            </w:pPr>
            <w:r>
              <w:rPr>
                <w:spacing w:val="10"/>
                <w:sz w:val="20"/>
                <w:szCs w:val="20"/>
              </w:rPr>
              <w:t xml:space="preserve">15 </w:t>
            </w:r>
            <w:r>
              <w:rPr>
                <w:spacing w:val="10"/>
                <w:sz w:val="20"/>
                <w:szCs w:val="20"/>
              </w:rPr>
              <w:t>星期</w:t>
            </w:r>
          </w:p>
        </w:tc>
        <w:tc>
          <w:tcPr>
            <w:tcW w:w="1028" w:type="dxa"/>
            <w:tcBorders/>
          </w:tcPr>
          <w:p>
            <w:pPr>
              <w:pStyle w:val="F21"/>
              <w:tabs>
                <w:tab w:val="clear" w:pos="567"/>
                <w:tab w:val="left" w:pos="28" w:leader="none"/>
              </w:tabs>
              <w:spacing w:lineRule="atLeast" w:line="260"/>
              <w:ind w:left="28" w:right="28" w:hanging="0"/>
              <w:rPr>
                <w:spacing w:val="10"/>
                <w:sz w:val="20"/>
                <w:szCs w:val="20"/>
              </w:rPr>
            </w:pPr>
            <w:r>
              <w:rPr>
                <w:spacing w:val="10"/>
                <w:sz w:val="20"/>
                <w:szCs w:val="20"/>
              </w:rPr>
              <w:t>不適用</w:t>
            </w:r>
          </w:p>
        </w:tc>
      </w:tr>
      <w:tr>
        <w:trPr/>
        <w:tc>
          <w:tcPr>
            <w:tcW w:w="859" w:type="dxa"/>
            <w:tcBorders/>
          </w:tcPr>
          <w:p>
            <w:pPr>
              <w:pStyle w:val="F21"/>
              <w:tabs>
                <w:tab w:val="clear" w:pos="567"/>
                <w:tab w:val="left" w:pos="284" w:leader="none"/>
              </w:tabs>
              <w:spacing w:lineRule="atLeast" w:line="260"/>
              <w:ind w:left="28" w:right="28" w:hanging="0"/>
              <w:rPr>
                <w:spacing w:val="10"/>
                <w:sz w:val="20"/>
                <w:szCs w:val="20"/>
              </w:rPr>
            </w:pPr>
            <w:r>
              <w:rPr>
                <w:spacing w:val="10"/>
                <w:sz w:val="20"/>
                <w:szCs w:val="20"/>
              </w:rPr>
              <w:t>3.</w:t>
            </w:r>
            <w:r>
              <w:rPr>
                <w:spacing w:val="10"/>
                <w:sz w:val="20"/>
                <w:szCs w:val="20"/>
              </w:rPr>
              <w:t>自動</w:t>
            </w:r>
            <w:r>
              <w:rPr>
                <w:spacing w:val="10"/>
                <w:sz w:val="20"/>
                <w:szCs w:val="20"/>
              </w:rPr>
              <w:tab/>
            </w:r>
            <w:r>
              <w:rPr>
                <w:spacing w:val="10"/>
                <w:sz w:val="20"/>
                <w:szCs w:val="20"/>
              </w:rPr>
              <w:t>梯技</w:t>
            </w:r>
            <w:r>
              <w:rPr>
                <w:spacing w:val="10"/>
                <w:sz w:val="20"/>
                <w:szCs w:val="20"/>
              </w:rPr>
              <w:tab/>
            </w:r>
            <w:r>
              <w:rPr>
                <w:spacing w:val="10"/>
                <w:sz w:val="20"/>
                <w:szCs w:val="20"/>
              </w:rPr>
              <w:t>工</w:t>
            </w:r>
          </w:p>
        </w:tc>
        <w:tc>
          <w:tcPr>
            <w:tcW w:w="769" w:type="dxa"/>
            <w:tcBorders/>
          </w:tcPr>
          <w:p>
            <w:pPr>
              <w:pStyle w:val="F21"/>
              <w:ind w:right="28" w:hanging="0"/>
              <w:rPr>
                <w:spacing w:val="10"/>
                <w:sz w:val="20"/>
                <w:szCs w:val="20"/>
              </w:rPr>
            </w:pPr>
            <w:r>
              <w:rPr>
                <w:spacing w:val="10"/>
                <w:sz w:val="20"/>
                <w:szCs w:val="20"/>
              </w:rPr>
              <w:t>職專文憑</w:t>
            </w:r>
            <w:r>
              <w:rPr>
                <w:spacing w:val="10"/>
                <w:sz w:val="20"/>
                <w:szCs w:val="20"/>
              </w:rPr>
              <w:t>(</w:t>
            </w:r>
            <w:r>
              <w:rPr>
                <w:spacing w:val="10"/>
                <w:sz w:val="20"/>
                <w:szCs w:val="20"/>
              </w:rPr>
              <w:t>電機工程</w:t>
            </w:r>
            <w:r>
              <w:rPr>
                <w:rFonts w:ascii="華康細明體" w:hAnsi="華康細明體"/>
                <w:sz w:val="20"/>
                <w:szCs w:val="20"/>
              </w:rPr>
              <w:t>─</w:t>
            </w:r>
            <w:r>
              <w:rPr>
                <w:spacing w:val="10"/>
                <w:sz w:val="20"/>
                <w:szCs w:val="20"/>
              </w:rPr>
              <w:t>備有</w:t>
            </w:r>
          </w:p>
        </w:tc>
        <w:tc>
          <w:tcPr>
            <w:tcW w:w="768" w:type="dxa"/>
            <w:tcBorders>
              <w:top w:val="nil"/>
            </w:tcBorders>
          </w:tcPr>
          <w:p>
            <w:pPr>
              <w:pStyle w:val="F21"/>
              <w:tabs>
                <w:tab w:val="clear" w:pos="567"/>
                <w:tab w:val="left" w:pos="28" w:leader="none"/>
              </w:tabs>
              <w:spacing w:lineRule="atLeast" w:line="260"/>
              <w:ind w:left="28" w:right="28" w:hanging="0"/>
              <w:rPr>
                <w:spacing w:val="10"/>
                <w:sz w:val="20"/>
                <w:szCs w:val="20"/>
              </w:rPr>
            </w:pPr>
            <w:r>
              <w:rPr>
                <w:spacing w:val="10"/>
                <w:sz w:val="20"/>
                <w:szCs w:val="20"/>
              </w:rPr>
            </w:r>
          </w:p>
        </w:tc>
        <w:tc>
          <w:tcPr>
            <w:tcW w:w="768" w:type="dxa"/>
            <w:tcBorders/>
          </w:tcPr>
          <w:p>
            <w:pPr>
              <w:pStyle w:val="F21"/>
              <w:tabs>
                <w:tab w:val="clear" w:pos="567"/>
                <w:tab w:val="left" w:pos="28" w:leader="none"/>
              </w:tabs>
              <w:spacing w:lineRule="atLeast" w:line="260"/>
              <w:ind w:left="28" w:right="28" w:hanging="0"/>
              <w:jc w:val="center"/>
              <w:rPr>
                <w:spacing w:val="10"/>
                <w:sz w:val="20"/>
                <w:szCs w:val="20"/>
              </w:rPr>
            </w:pPr>
            <w:r>
              <w:rPr>
                <w:spacing w:val="10"/>
                <w:sz w:val="20"/>
                <w:szCs w:val="20"/>
              </w:rPr>
              <w:t>316</w:t>
            </w:r>
          </w:p>
        </w:tc>
        <w:tc>
          <w:tcPr>
            <w:tcW w:w="768" w:type="dxa"/>
            <w:tcBorders/>
          </w:tcPr>
          <w:p>
            <w:pPr>
              <w:pStyle w:val="F21"/>
              <w:tabs>
                <w:tab w:val="clear" w:pos="567"/>
                <w:tab w:val="left" w:pos="28" w:leader="none"/>
              </w:tabs>
              <w:spacing w:lineRule="atLeast" w:line="260"/>
              <w:ind w:left="28" w:right="28" w:hanging="0"/>
              <w:jc w:val="center"/>
              <w:rPr>
                <w:spacing w:val="10"/>
                <w:sz w:val="20"/>
                <w:szCs w:val="20"/>
              </w:rPr>
            </w:pPr>
            <w:r>
              <w:rPr>
                <w:spacing w:val="10"/>
                <w:sz w:val="20"/>
                <w:szCs w:val="20"/>
              </w:rPr>
              <w:t>273</w:t>
            </w:r>
          </w:p>
        </w:tc>
        <w:tc>
          <w:tcPr>
            <w:tcW w:w="769" w:type="dxa"/>
            <w:tcBorders/>
          </w:tcPr>
          <w:p>
            <w:pPr>
              <w:pStyle w:val="F21"/>
              <w:tabs>
                <w:tab w:val="clear" w:pos="567"/>
                <w:tab w:val="left" w:pos="28" w:leader="none"/>
              </w:tabs>
              <w:spacing w:lineRule="atLeast" w:line="260"/>
              <w:ind w:left="28" w:right="28" w:hanging="0"/>
              <w:jc w:val="center"/>
              <w:rPr>
                <w:spacing w:val="10"/>
                <w:sz w:val="20"/>
                <w:szCs w:val="20"/>
              </w:rPr>
            </w:pPr>
            <w:r>
              <w:rPr>
                <w:spacing w:val="10"/>
                <w:sz w:val="20"/>
                <w:szCs w:val="20"/>
              </w:rPr>
              <w:t>289</w:t>
            </w:r>
          </w:p>
        </w:tc>
        <w:tc>
          <w:tcPr>
            <w:tcW w:w="769" w:type="dxa"/>
            <w:tcBorders/>
          </w:tcPr>
          <w:p>
            <w:pPr>
              <w:pStyle w:val="F21"/>
              <w:tabs>
                <w:tab w:val="clear" w:pos="567"/>
                <w:tab w:val="left" w:pos="28" w:leader="none"/>
              </w:tabs>
              <w:spacing w:lineRule="atLeast" w:line="260"/>
              <w:ind w:left="28" w:right="28" w:hanging="0"/>
              <w:jc w:val="center"/>
              <w:rPr>
                <w:spacing w:val="10"/>
                <w:sz w:val="20"/>
                <w:szCs w:val="20"/>
              </w:rPr>
            </w:pPr>
            <w:r>
              <w:rPr>
                <w:spacing w:val="10"/>
                <w:sz w:val="20"/>
                <w:szCs w:val="20"/>
              </w:rPr>
              <w:t>318</w:t>
            </w:r>
          </w:p>
        </w:tc>
        <w:tc>
          <w:tcPr>
            <w:tcW w:w="768" w:type="dxa"/>
            <w:tcBorders/>
          </w:tcPr>
          <w:p>
            <w:pPr>
              <w:pStyle w:val="F21"/>
              <w:tabs>
                <w:tab w:val="clear" w:pos="567"/>
                <w:tab w:val="left" w:pos="28" w:leader="none"/>
              </w:tabs>
              <w:spacing w:lineRule="atLeast" w:line="260"/>
              <w:ind w:left="28" w:right="28" w:hanging="0"/>
              <w:jc w:val="center"/>
              <w:rPr>
                <w:spacing w:val="10"/>
                <w:sz w:val="20"/>
                <w:szCs w:val="20"/>
              </w:rPr>
            </w:pPr>
            <w:r>
              <w:rPr>
                <w:spacing w:val="10"/>
                <w:sz w:val="20"/>
                <w:szCs w:val="20"/>
              </w:rPr>
              <w:t>309</w:t>
            </w:r>
          </w:p>
        </w:tc>
        <w:tc>
          <w:tcPr>
            <w:tcW w:w="1052" w:type="dxa"/>
            <w:tcBorders/>
          </w:tcPr>
          <w:p>
            <w:pPr>
              <w:pStyle w:val="F21"/>
              <w:tabs>
                <w:tab w:val="clear" w:pos="567"/>
                <w:tab w:val="left" w:pos="28" w:leader="none"/>
              </w:tabs>
              <w:spacing w:lineRule="atLeast" w:line="260"/>
              <w:ind w:left="28" w:right="28" w:hanging="0"/>
              <w:rPr>
                <w:spacing w:val="10"/>
                <w:sz w:val="20"/>
                <w:szCs w:val="20"/>
              </w:rPr>
            </w:pPr>
            <w:r>
              <w:rPr>
                <w:spacing w:val="10"/>
                <w:sz w:val="20"/>
                <w:szCs w:val="20"/>
              </w:rPr>
              <w:t>中三學歷</w:t>
            </w:r>
          </w:p>
        </w:tc>
        <w:tc>
          <w:tcPr>
            <w:tcW w:w="910" w:type="dxa"/>
            <w:tcBorders/>
          </w:tcPr>
          <w:p>
            <w:pPr>
              <w:pStyle w:val="F21"/>
              <w:tabs>
                <w:tab w:val="clear" w:pos="567"/>
                <w:tab w:val="left" w:pos="28" w:leader="none"/>
              </w:tabs>
              <w:spacing w:lineRule="atLeast" w:line="260"/>
              <w:ind w:left="28" w:right="28" w:hanging="0"/>
              <w:rPr>
                <w:spacing w:val="10"/>
                <w:sz w:val="20"/>
                <w:szCs w:val="20"/>
              </w:rPr>
            </w:pPr>
            <w:r>
              <w:rPr>
                <w:spacing w:val="10"/>
                <w:sz w:val="20"/>
                <w:szCs w:val="20"/>
              </w:rPr>
              <w:t>3</w:t>
            </w:r>
            <w:r>
              <w:rPr>
                <w:spacing w:val="10"/>
                <w:sz w:val="20"/>
                <w:szCs w:val="20"/>
              </w:rPr>
              <w:t>至</w:t>
            </w:r>
            <w:r>
              <w:rPr>
                <w:spacing w:val="10"/>
                <w:sz w:val="20"/>
                <w:szCs w:val="20"/>
              </w:rPr>
              <w:t>4</w:t>
            </w:r>
            <w:r>
              <w:rPr>
                <w:spacing w:val="10"/>
                <w:sz w:val="20"/>
                <w:szCs w:val="20"/>
              </w:rPr>
              <w:t>年</w:t>
            </w:r>
          </w:p>
        </w:tc>
        <w:tc>
          <w:tcPr>
            <w:tcW w:w="1028" w:type="dxa"/>
            <w:tcBorders/>
          </w:tcPr>
          <w:p>
            <w:pPr>
              <w:pStyle w:val="F21"/>
              <w:tabs>
                <w:tab w:val="clear" w:pos="567"/>
                <w:tab w:val="left" w:pos="28" w:leader="none"/>
              </w:tabs>
              <w:spacing w:lineRule="atLeast" w:line="260"/>
              <w:ind w:left="28" w:right="28" w:hanging="0"/>
              <w:rPr>
                <w:spacing w:val="10"/>
                <w:sz w:val="20"/>
                <w:szCs w:val="20"/>
              </w:rPr>
            </w:pPr>
            <w:r>
              <w:rPr>
                <w:spacing w:val="10"/>
                <w:sz w:val="20"/>
                <w:szCs w:val="20"/>
              </w:rPr>
              <w:t>過往</w:t>
            </w:r>
            <w:r>
              <w:rPr>
                <w:spacing w:val="10"/>
                <w:sz w:val="20"/>
                <w:szCs w:val="20"/>
              </w:rPr>
              <w:t>5</w:t>
            </w:r>
            <w:r>
              <w:rPr>
                <w:spacing w:val="10"/>
                <w:sz w:val="20"/>
                <w:szCs w:val="20"/>
              </w:rPr>
              <w:t>年，全日制課程的結業學員於畢業後</w:t>
            </w:r>
            <w:r>
              <w:rPr>
                <w:spacing w:val="10"/>
                <w:sz w:val="20"/>
                <w:szCs w:val="20"/>
              </w:rPr>
              <w:t>12</w:t>
            </w:r>
            <w:r>
              <w:rPr>
                <w:spacing w:val="10"/>
                <w:sz w:val="20"/>
                <w:szCs w:val="20"/>
              </w:rPr>
              <w:t>個月平</w:t>
            </w:r>
          </w:p>
        </w:tc>
      </w:tr>
      <w:tr>
        <w:trPr/>
        <w:tc>
          <w:tcPr>
            <w:tcW w:w="859" w:type="dxa"/>
            <w:tcBorders/>
          </w:tcPr>
          <w:p>
            <w:pPr>
              <w:pStyle w:val="F21"/>
              <w:tabs>
                <w:tab w:val="clear" w:pos="567"/>
                <w:tab w:val="left" w:pos="284" w:leader="none"/>
              </w:tabs>
              <w:spacing w:lineRule="atLeast" w:line="260"/>
              <w:ind w:left="28" w:right="28" w:hanging="0"/>
              <w:rPr>
                <w:spacing w:val="10"/>
                <w:sz w:val="20"/>
                <w:szCs w:val="20"/>
              </w:rPr>
            </w:pPr>
            <w:r>
              <w:rPr>
                <w:spacing w:val="10"/>
                <w:sz w:val="20"/>
                <w:szCs w:val="20"/>
              </w:rPr>
              <w:t>4.</w:t>
            </w:r>
            <w:r>
              <w:rPr>
                <w:spacing w:val="10"/>
                <w:sz w:val="20"/>
                <w:szCs w:val="20"/>
              </w:rPr>
              <w:t>升降</w:t>
            </w:r>
            <w:r>
              <w:rPr>
                <w:spacing w:val="10"/>
                <w:sz w:val="20"/>
                <w:szCs w:val="20"/>
              </w:rPr>
              <w:tab/>
            </w:r>
            <w:r>
              <w:rPr>
                <w:spacing w:val="10"/>
                <w:sz w:val="20"/>
                <w:szCs w:val="20"/>
              </w:rPr>
              <w:t>機技</w:t>
            </w:r>
            <w:r>
              <w:rPr>
                <w:spacing w:val="10"/>
                <w:sz w:val="20"/>
                <w:szCs w:val="20"/>
              </w:rPr>
              <w:tab/>
            </w:r>
            <w:r>
              <w:rPr>
                <w:spacing w:val="10"/>
                <w:sz w:val="20"/>
                <w:szCs w:val="20"/>
              </w:rPr>
              <w:t>工</w:t>
            </w:r>
          </w:p>
        </w:tc>
        <w:tc>
          <w:tcPr>
            <w:tcW w:w="769" w:type="dxa"/>
            <w:tcBorders/>
          </w:tcPr>
          <w:p>
            <w:pPr>
              <w:pStyle w:val="F21"/>
              <w:tabs>
                <w:tab w:val="clear" w:pos="567"/>
                <w:tab w:val="left" w:pos="28" w:leader="none"/>
              </w:tabs>
              <w:spacing w:lineRule="atLeast" w:line="260"/>
              <w:ind w:left="28" w:right="28" w:hanging="0"/>
              <w:rPr>
                <w:spacing w:val="10"/>
                <w:sz w:val="20"/>
                <w:szCs w:val="20"/>
              </w:rPr>
            </w:pPr>
            <w:r>
              <w:rPr>
                <w:spacing w:val="10"/>
                <w:sz w:val="20"/>
                <w:szCs w:val="20"/>
              </w:rPr>
              <w:t>升降機及自動梯分流</w:t>
            </w:r>
            <w:r>
              <w:rPr>
                <w:spacing w:val="10"/>
                <w:sz w:val="20"/>
                <w:szCs w:val="20"/>
              </w:rPr>
              <w:t>)</w:t>
            </w:r>
          </w:p>
        </w:tc>
        <w:tc>
          <w:tcPr>
            <w:tcW w:w="768" w:type="dxa"/>
            <w:tcBorders>
              <w:bottom w:val="nil"/>
            </w:tcBorders>
          </w:tcPr>
          <w:p>
            <w:pPr>
              <w:pStyle w:val="F21"/>
              <w:tabs>
                <w:tab w:val="clear" w:pos="567"/>
                <w:tab w:val="left" w:pos="28" w:leader="none"/>
              </w:tabs>
              <w:spacing w:lineRule="atLeast" w:line="260"/>
              <w:ind w:left="28" w:right="28" w:hanging="0"/>
              <w:rPr>
                <w:spacing w:val="10"/>
                <w:sz w:val="20"/>
                <w:szCs w:val="20"/>
              </w:rPr>
            </w:pPr>
            <w:r>
              <w:rPr>
                <w:spacing w:val="10"/>
                <w:sz w:val="20"/>
                <w:szCs w:val="20"/>
              </w:rPr>
            </w:r>
          </w:p>
        </w:tc>
        <w:tc>
          <w:tcPr>
            <w:tcW w:w="768" w:type="dxa"/>
            <w:tcBorders/>
          </w:tcPr>
          <w:p>
            <w:pPr>
              <w:pStyle w:val="F21"/>
              <w:tabs>
                <w:tab w:val="clear" w:pos="567"/>
                <w:tab w:val="left" w:pos="28" w:leader="none"/>
              </w:tabs>
              <w:spacing w:lineRule="atLeast" w:line="260"/>
              <w:ind w:left="28" w:right="28" w:hanging="0"/>
              <w:jc w:val="center"/>
              <w:rPr>
                <w:spacing w:val="10"/>
                <w:sz w:val="20"/>
                <w:szCs w:val="20"/>
              </w:rPr>
            </w:pPr>
            <w:r>
              <w:rPr>
                <w:spacing w:val="10"/>
                <w:sz w:val="20"/>
                <w:szCs w:val="20"/>
              </w:rPr>
            </w:r>
          </w:p>
        </w:tc>
        <w:tc>
          <w:tcPr>
            <w:tcW w:w="768" w:type="dxa"/>
            <w:tcBorders/>
          </w:tcPr>
          <w:p>
            <w:pPr>
              <w:pStyle w:val="F21"/>
              <w:tabs>
                <w:tab w:val="clear" w:pos="567"/>
                <w:tab w:val="left" w:pos="28" w:leader="none"/>
              </w:tabs>
              <w:spacing w:lineRule="atLeast" w:line="260"/>
              <w:ind w:left="28" w:right="28" w:hanging="0"/>
              <w:jc w:val="center"/>
              <w:rPr>
                <w:spacing w:val="10"/>
                <w:sz w:val="20"/>
                <w:szCs w:val="20"/>
              </w:rPr>
            </w:pPr>
            <w:r>
              <w:rPr>
                <w:spacing w:val="10"/>
                <w:sz w:val="20"/>
                <w:szCs w:val="20"/>
              </w:rPr>
            </w:r>
          </w:p>
        </w:tc>
        <w:tc>
          <w:tcPr>
            <w:tcW w:w="769" w:type="dxa"/>
            <w:tcBorders/>
          </w:tcPr>
          <w:p>
            <w:pPr>
              <w:pStyle w:val="F21"/>
              <w:tabs>
                <w:tab w:val="clear" w:pos="567"/>
                <w:tab w:val="left" w:pos="28" w:leader="none"/>
              </w:tabs>
              <w:spacing w:lineRule="atLeast" w:line="260"/>
              <w:ind w:left="28" w:right="28" w:hanging="0"/>
              <w:jc w:val="center"/>
              <w:rPr>
                <w:spacing w:val="10"/>
                <w:sz w:val="20"/>
                <w:szCs w:val="20"/>
              </w:rPr>
            </w:pPr>
            <w:r>
              <w:rPr>
                <w:spacing w:val="10"/>
                <w:sz w:val="20"/>
                <w:szCs w:val="20"/>
              </w:rPr>
            </w:r>
          </w:p>
        </w:tc>
        <w:tc>
          <w:tcPr>
            <w:tcW w:w="769" w:type="dxa"/>
            <w:tcBorders/>
          </w:tcPr>
          <w:p>
            <w:pPr>
              <w:pStyle w:val="F21"/>
              <w:tabs>
                <w:tab w:val="clear" w:pos="567"/>
                <w:tab w:val="left" w:pos="28" w:leader="none"/>
              </w:tabs>
              <w:spacing w:lineRule="atLeast" w:line="260"/>
              <w:ind w:left="28" w:right="28" w:hanging="0"/>
              <w:jc w:val="center"/>
              <w:rPr>
                <w:spacing w:val="10"/>
                <w:sz w:val="20"/>
                <w:szCs w:val="20"/>
              </w:rPr>
            </w:pPr>
            <w:r>
              <w:rPr>
                <w:spacing w:val="10"/>
                <w:sz w:val="20"/>
                <w:szCs w:val="20"/>
              </w:rPr>
            </w:r>
          </w:p>
        </w:tc>
        <w:tc>
          <w:tcPr>
            <w:tcW w:w="768" w:type="dxa"/>
            <w:tcBorders/>
          </w:tcPr>
          <w:p>
            <w:pPr>
              <w:pStyle w:val="F21"/>
              <w:tabs>
                <w:tab w:val="clear" w:pos="567"/>
                <w:tab w:val="left" w:pos="28" w:leader="none"/>
              </w:tabs>
              <w:spacing w:lineRule="atLeast" w:line="260"/>
              <w:ind w:left="28" w:right="28" w:hanging="0"/>
              <w:jc w:val="center"/>
              <w:rPr>
                <w:spacing w:val="10"/>
                <w:sz w:val="20"/>
                <w:szCs w:val="20"/>
              </w:rPr>
            </w:pPr>
            <w:r>
              <w:rPr>
                <w:spacing w:val="10"/>
                <w:sz w:val="20"/>
                <w:szCs w:val="20"/>
              </w:rPr>
            </w:r>
          </w:p>
        </w:tc>
        <w:tc>
          <w:tcPr>
            <w:tcW w:w="1052" w:type="dxa"/>
            <w:tcBorders>
              <w:bottom w:val="nil"/>
            </w:tcBorders>
          </w:tcPr>
          <w:p>
            <w:pPr>
              <w:pStyle w:val="F21"/>
              <w:tabs>
                <w:tab w:val="clear" w:pos="567"/>
                <w:tab w:val="left" w:pos="28" w:leader="none"/>
              </w:tabs>
              <w:spacing w:lineRule="atLeast" w:line="260"/>
              <w:ind w:left="28" w:right="28" w:hanging="0"/>
              <w:rPr>
                <w:spacing w:val="10"/>
                <w:sz w:val="20"/>
                <w:szCs w:val="20"/>
              </w:rPr>
            </w:pPr>
            <w:r>
              <w:rPr>
                <w:spacing w:val="10"/>
                <w:sz w:val="20"/>
                <w:szCs w:val="20"/>
              </w:rPr>
            </w:r>
          </w:p>
        </w:tc>
        <w:tc>
          <w:tcPr>
            <w:tcW w:w="910" w:type="dxa"/>
            <w:tcBorders>
              <w:bottom w:val="nil"/>
            </w:tcBorders>
          </w:tcPr>
          <w:p>
            <w:pPr>
              <w:pStyle w:val="F21"/>
              <w:tabs>
                <w:tab w:val="clear" w:pos="567"/>
                <w:tab w:val="left" w:pos="28" w:leader="none"/>
              </w:tabs>
              <w:spacing w:lineRule="atLeast" w:line="260"/>
              <w:ind w:left="28" w:right="28" w:hanging="0"/>
              <w:rPr>
                <w:spacing w:val="10"/>
                <w:sz w:val="20"/>
                <w:szCs w:val="20"/>
              </w:rPr>
            </w:pPr>
            <w:r>
              <w:rPr>
                <w:spacing w:val="10"/>
                <w:sz w:val="20"/>
                <w:szCs w:val="20"/>
              </w:rPr>
            </w:r>
          </w:p>
        </w:tc>
        <w:tc>
          <w:tcPr>
            <w:tcW w:w="1028" w:type="dxa"/>
            <w:tcBorders>
              <w:bottom w:val="nil"/>
            </w:tcBorders>
          </w:tcPr>
          <w:p>
            <w:pPr>
              <w:pStyle w:val="F21"/>
              <w:tabs>
                <w:tab w:val="clear" w:pos="567"/>
                <w:tab w:val="left" w:pos="28" w:leader="none"/>
              </w:tabs>
              <w:spacing w:lineRule="atLeast" w:line="260"/>
              <w:ind w:left="28" w:right="28" w:hanging="0"/>
              <w:rPr>
                <w:spacing w:val="10"/>
                <w:sz w:val="20"/>
                <w:szCs w:val="20"/>
              </w:rPr>
            </w:pPr>
            <w:r>
              <w:rPr>
                <w:spacing w:val="10"/>
                <w:sz w:val="20"/>
                <w:szCs w:val="20"/>
              </w:rPr>
              <w:t>均就業率達到</w:t>
            </w:r>
            <w:r>
              <w:rPr>
                <w:spacing w:val="10"/>
                <w:sz w:val="20"/>
                <w:szCs w:val="20"/>
              </w:rPr>
              <w:t>95%</w:t>
            </w:r>
            <w:r>
              <w:rPr>
                <w:spacing w:val="10"/>
                <w:sz w:val="20"/>
                <w:szCs w:val="20"/>
              </w:rPr>
              <w:t>或以上。</w:t>
            </w:r>
          </w:p>
        </w:tc>
      </w:tr>
      <w:tr>
        <w:trPr/>
        <w:tc>
          <w:tcPr>
            <w:tcW w:w="859" w:type="dxa"/>
            <w:tcBorders>
              <w:bottom w:val="nil"/>
            </w:tcBorders>
          </w:tcPr>
          <w:p>
            <w:pPr>
              <w:pStyle w:val="F21"/>
              <w:tabs>
                <w:tab w:val="clear" w:pos="567"/>
                <w:tab w:val="left" w:pos="284" w:leader="none"/>
              </w:tabs>
              <w:spacing w:lineRule="atLeast" w:line="260"/>
              <w:ind w:left="28" w:right="28" w:hanging="0"/>
              <w:rPr>
                <w:spacing w:val="10"/>
                <w:sz w:val="20"/>
                <w:szCs w:val="20"/>
              </w:rPr>
            </w:pPr>
            <w:r>
              <w:rPr>
                <w:spacing w:val="10"/>
                <w:sz w:val="20"/>
                <w:szCs w:val="20"/>
              </w:rPr>
              <w:t>5.</w:t>
            </w:r>
            <w:r>
              <w:rPr>
                <w:spacing w:val="10"/>
                <w:sz w:val="20"/>
                <w:szCs w:val="20"/>
              </w:rPr>
              <w:t>消防</w:t>
            </w:r>
            <w:r>
              <w:rPr>
                <w:spacing w:val="10"/>
                <w:sz w:val="20"/>
                <w:szCs w:val="20"/>
              </w:rPr>
              <w:tab/>
            </w:r>
            <w:r>
              <w:rPr>
                <w:spacing w:val="10"/>
                <w:sz w:val="20"/>
                <w:szCs w:val="20"/>
              </w:rPr>
              <w:t>機械</w:t>
            </w:r>
            <w:r>
              <w:rPr>
                <w:spacing w:val="10"/>
                <w:sz w:val="20"/>
                <w:szCs w:val="20"/>
              </w:rPr>
              <w:tab/>
            </w:r>
            <w:r>
              <w:rPr>
                <w:spacing w:val="10"/>
                <w:sz w:val="20"/>
                <w:szCs w:val="20"/>
              </w:rPr>
              <w:t>裝配</w:t>
            </w:r>
            <w:r>
              <w:rPr>
                <w:spacing w:val="10"/>
                <w:sz w:val="20"/>
                <w:szCs w:val="20"/>
              </w:rPr>
              <w:tab/>
            </w:r>
            <w:r>
              <w:rPr>
                <w:spacing w:val="10"/>
                <w:sz w:val="20"/>
                <w:szCs w:val="20"/>
              </w:rPr>
              <w:t>工</w:t>
            </w:r>
          </w:p>
        </w:tc>
        <w:tc>
          <w:tcPr>
            <w:tcW w:w="769" w:type="dxa"/>
            <w:vMerge w:val="restart"/>
            <w:tcBorders/>
          </w:tcPr>
          <w:p>
            <w:pPr>
              <w:pStyle w:val="F21"/>
              <w:tabs>
                <w:tab w:val="clear" w:pos="567"/>
                <w:tab w:val="left" w:pos="28" w:leader="none"/>
              </w:tabs>
              <w:spacing w:lineRule="atLeast" w:line="260"/>
              <w:ind w:left="28" w:right="28" w:hanging="0"/>
              <w:rPr>
                <w:spacing w:val="10"/>
                <w:sz w:val="20"/>
                <w:szCs w:val="20"/>
              </w:rPr>
            </w:pPr>
            <w:r>
              <w:rPr>
                <w:spacing w:val="10"/>
                <w:sz w:val="20"/>
                <w:szCs w:val="20"/>
              </w:rPr>
              <w:t>職專文憑</w:t>
            </w:r>
            <w:r>
              <w:rPr>
                <w:spacing w:val="10"/>
                <w:sz w:val="20"/>
                <w:szCs w:val="20"/>
              </w:rPr>
              <w:t>(</w:t>
            </w:r>
            <w:r>
              <w:rPr>
                <w:spacing w:val="10"/>
                <w:sz w:val="20"/>
                <w:szCs w:val="20"/>
              </w:rPr>
              <w:t>屋宇裝備工程</w:t>
            </w:r>
            <w:r>
              <w:rPr>
                <w:spacing w:val="10"/>
                <w:sz w:val="20"/>
                <w:szCs w:val="20"/>
              </w:rPr>
              <w:t>)</w:t>
            </w:r>
          </w:p>
        </w:tc>
        <w:tc>
          <w:tcPr>
            <w:tcW w:w="768" w:type="dxa"/>
            <w:tcBorders>
              <w:top w:val="nil"/>
              <w:bottom w:val="nil"/>
            </w:tcBorders>
          </w:tcPr>
          <w:p>
            <w:pPr>
              <w:pStyle w:val="F21"/>
              <w:tabs>
                <w:tab w:val="clear" w:pos="567"/>
                <w:tab w:val="left" w:pos="28" w:leader="none"/>
              </w:tabs>
              <w:spacing w:lineRule="atLeast" w:line="260"/>
              <w:ind w:left="28" w:right="28" w:hanging="0"/>
              <w:rPr>
                <w:spacing w:val="10"/>
                <w:sz w:val="20"/>
                <w:szCs w:val="20"/>
              </w:rPr>
            </w:pPr>
            <w:r>
              <w:rPr>
                <w:spacing w:val="10"/>
                <w:sz w:val="20"/>
                <w:szCs w:val="20"/>
              </w:rPr>
            </w:r>
          </w:p>
        </w:tc>
        <w:tc>
          <w:tcPr>
            <w:tcW w:w="768" w:type="dxa"/>
            <w:tcBorders>
              <w:bottom w:val="nil"/>
            </w:tcBorders>
          </w:tcPr>
          <w:p>
            <w:pPr>
              <w:pStyle w:val="F21"/>
              <w:tabs>
                <w:tab w:val="clear" w:pos="567"/>
                <w:tab w:val="left" w:pos="28" w:leader="none"/>
              </w:tabs>
              <w:spacing w:lineRule="atLeast" w:line="260"/>
              <w:ind w:left="28" w:right="28" w:hanging="0"/>
              <w:jc w:val="center"/>
              <w:rPr>
                <w:spacing w:val="10"/>
                <w:sz w:val="20"/>
                <w:szCs w:val="20"/>
              </w:rPr>
            </w:pPr>
            <w:r>
              <w:rPr>
                <w:spacing w:val="10"/>
                <w:sz w:val="20"/>
                <w:szCs w:val="20"/>
              </w:rPr>
              <w:t>257</w:t>
            </w:r>
          </w:p>
        </w:tc>
        <w:tc>
          <w:tcPr>
            <w:tcW w:w="768" w:type="dxa"/>
            <w:tcBorders>
              <w:bottom w:val="nil"/>
            </w:tcBorders>
          </w:tcPr>
          <w:p>
            <w:pPr>
              <w:pStyle w:val="F21"/>
              <w:tabs>
                <w:tab w:val="clear" w:pos="567"/>
                <w:tab w:val="left" w:pos="28" w:leader="none"/>
              </w:tabs>
              <w:spacing w:lineRule="atLeast" w:line="260"/>
              <w:ind w:left="28" w:right="28" w:hanging="0"/>
              <w:jc w:val="center"/>
              <w:rPr>
                <w:spacing w:val="10"/>
                <w:sz w:val="20"/>
                <w:szCs w:val="20"/>
              </w:rPr>
            </w:pPr>
            <w:r>
              <w:rPr>
                <w:spacing w:val="10"/>
                <w:sz w:val="20"/>
                <w:szCs w:val="20"/>
              </w:rPr>
              <w:t>253</w:t>
            </w:r>
          </w:p>
        </w:tc>
        <w:tc>
          <w:tcPr>
            <w:tcW w:w="769" w:type="dxa"/>
            <w:tcBorders>
              <w:bottom w:val="nil"/>
            </w:tcBorders>
          </w:tcPr>
          <w:p>
            <w:pPr>
              <w:pStyle w:val="F21"/>
              <w:tabs>
                <w:tab w:val="clear" w:pos="567"/>
                <w:tab w:val="left" w:pos="28" w:leader="none"/>
              </w:tabs>
              <w:spacing w:lineRule="atLeast" w:line="260"/>
              <w:ind w:left="28" w:right="28" w:hanging="0"/>
              <w:jc w:val="center"/>
              <w:rPr>
                <w:spacing w:val="10"/>
                <w:sz w:val="20"/>
                <w:szCs w:val="20"/>
              </w:rPr>
            </w:pPr>
            <w:r>
              <w:rPr>
                <w:spacing w:val="10"/>
                <w:sz w:val="20"/>
                <w:szCs w:val="20"/>
              </w:rPr>
              <w:t>272</w:t>
            </w:r>
          </w:p>
        </w:tc>
        <w:tc>
          <w:tcPr>
            <w:tcW w:w="769" w:type="dxa"/>
            <w:tcBorders>
              <w:bottom w:val="nil"/>
            </w:tcBorders>
          </w:tcPr>
          <w:p>
            <w:pPr>
              <w:pStyle w:val="F21"/>
              <w:tabs>
                <w:tab w:val="clear" w:pos="567"/>
                <w:tab w:val="left" w:pos="28" w:leader="none"/>
              </w:tabs>
              <w:spacing w:lineRule="atLeast" w:line="260"/>
              <w:ind w:left="28" w:right="28" w:hanging="0"/>
              <w:jc w:val="center"/>
              <w:rPr>
                <w:spacing w:val="10"/>
                <w:sz w:val="20"/>
                <w:szCs w:val="20"/>
              </w:rPr>
            </w:pPr>
            <w:r>
              <w:rPr>
                <w:spacing w:val="10"/>
                <w:sz w:val="20"/>
                <w:szCs w:val="20"/>
              </w:rPr>
              <w:t>276</w:t>
            </w:r>
          </w:p>
        </w:tc>
        <w:tc>
          <w:tcPr>
            <w:tcW w:w="768" w:type="dxa"/>
            <w:tcBorders>
              <w:bottom w:val="nil"/>
            </w:tcBorders>
          </w:tcPr>
          <w:p>
            <w:pPr>
              <w:pStyle w:val="F21"/>
              <w:tabs>
                <w:tab w:val="clear" w:pos="567"/>
                <w:tab w:val="left" w:pos="28" w:leader="none"/>
              </w:tabs>
              <w:spacing w:lineRule="atLeast" w:line="260"/>
              <w:ind w:left="28" w:right="28" w:hanging="0"/>
              <w:jc w:val="center"/>
              <w:rPr>
                <w:spacing w:val="10"/>
                <w:sz w:val="20"/>
                <w:szCs w:val="20"/>
              </w:rPr>
            </w:pPr>
            <w:r>
              <w:rPr>
                <w:spacing w:val="10"/>
                <w:sz w:val="20"/>
                <w:szCs w:val="20"/>
              </w:rPr>
              <w:t>272</w:t>
            </w:r>
          </w:p>
        </w:tc>
        <w:tc>
          <w:tcPr>
            <w:tcW w:w="1052" w:type="dxa"/>
            <w:tcBorders>
              <w:top w:val="nil"/>
              <w:bottom w:val="nil"/>
            </w:tcBorders>
          </w:tcPr>
          <w:p>
            <w:pPr>
              <w:pStyle w:val="F21"/>
              <w:tabs>
                <w:tab w:val="clear" w:pos="567"/>
                <w:tab w:val="left" w:pos="28" w:leader="none"/>
              </w:tabs>
              <w:spacing w:lineRule="atLeast" w:line="260"/>
              <w:ind w:left="28" w:right="28" w:hanging="0"/>
              <w:rPr>
                <w:spacing w:val="10"/>
                <w:sz w:val="20"/>
                <w:szCs w:val="20"/>
              </w:rPr>
            </w:pPr>
            <w:r>
              <w:rPr>
                <w:spacing w:val="10"/>
                <w:sz w:val="20"/>
                <w:szCs w:val="20"/>
              </w:rPr>
            </w:r>
          </w:p>
        </w:tc>
        <w:tc>
          <w:tcPr>
            <w:tcW w:w="910" w:type="dxa"/>
            <w:tcBorders>
              <w:top w:val="nil"/>
              <w:bottom w:val="nil"/>
            </w:tcBorders>
          </w:tcPr>
          <w:p>
            <w:pPr>
              <w:pStyle w:val="F21"/>
              <w:tabs>
                <w:tab w:val="clear" w:pos="567"/>
                <w:tab w:val="left" w:pos="28" w:leader="none"/>
              </w:tabs>
              <w:spacing w:lineRule="atLeast" w:line="260"/>
              <w:ind w:left="28" w:right="28" w:hanging="0"/>
              <w:rPr>
                <w:spacing w:val="10"/>
                <w:sz w:val="20"/>
                <w:szCs w:val="20"/>
              </w:rPr>
            </w:pPr>
            <w:r>
              <w:rPr>
                <w:spacing w:val="10"/>
                <w:sz w:val="20"/>
                <w:szCs w:val="20"/>
              </w:rPr>
            </w:r>
          </w:p>
        </w:tc>
        <w:tc>
          <w:tcPr>
            <w:tcW w:w="1028" w:type="dxa"/>
            <w:tcBorders>
              <w:top w:val="nil"/>
              <w:bottom w:val="nil"/>
            </w:tcBorders>
          </w:tcPr>
          <w:p>
            <w:pPr>
              <w:pStyle w:val="F21"/>
              <w:tabs>
                <w:tab w:val="clear" w:pos="567"/>
                <w:tab w:val="left" w:pos="28" w:leader="none"/>
              </w:tabs>
              <w:spacing w:lineRule="atLeast" w:line="260"/>
              <w:ind w:left="28" w:right="28" w:hanging="0"/>
              <w:rPr>
                <w:spacing w:val="10"/>
                <w:sz w:val="20"/>
                <w:szCs w:val="20"/>
              </w:rPr>
            </w:pPr>
            <w:r>
              <w:rPr>
                <w:spacing w:val="10"/>
                <w:sz w:val="20"/>
                <w:szCs w:val="20"/>
              </w:rPr>
            </w:r>
          </w:p>
        </w:tc>
      </w:tr>
      <w:tr>
        <w:trPr/>
        <w:tc>
          <w:tcPr>
            <w:tcW w:w="859" w:type="dxa"/>
            <w:tcBorders>
              <w:top w:val="nil"/>
              <w:bottom w:val="nil"/>
            </w:tcBorders>
          </w:tcPr>
          <w:p>
            <w:pPr>
              <w:pStyle w:val="F21"/>
              <w:tabs>
                <w:tab w:val="clear" w:pos="567"/>
                <w:tab w:val="left" w:pos="284" w:leader="none"/>
              </w:tabs>
              <w:spacing w:lineRule="atLeast" w:line="260"/>
              <w:ind w:left="28" w:right="28" w:hanging="0"/>
              <w:rPr>
                <w:spacing w:val="10"/>
                <w:sz w:val="20"/>
                <w:szCs w:val="20"/>
              </w:rPr>
            </w:pPr>
            <w:r>
              <w:rPr>
                <w:spacing w:val="10"/>
                <w:sz w:val="20"/>
                <w:szCs w:val="20"/>
              </w:rPr>
              <w:t>6.</w:t>
            </w:r>
            <w:r>
              <w:rPr>
                <w:spacing w:val="10"/>
                <w:sz w:val="20"/>
                <w:szCs w:val="20"/>
              </w:rPr>
              <w:t>消防</w:t>
            </w:r>
            <w:r>
              <w:rPr>
                <w:spacing w:val="10"/>
                <w:sz w:val="20"/>
                <w:szCs w:val="20"/>
              </w:rPr>
              <w:tab/>
            </w:r>
            <w:r>
              <w:rPr>
                <w:spacing w:val="10"/>
                <w:sz w:val="20"/>
                <w:szCs w:val="20"/>
              </w:rPr>
              <w:t>電氣</w:t>
            </w:r>
            <w:r>
              <w:rPr>
                <w:spacing w:val="10"/>
                <w:sz w:val="20"/>
                <w:szCs w:val="20"/>
              </w:rPr>
              <w:tab/>
            </w:r>
            <w:r>
              <w:rPr>
                <w:spacing w:val="10"/>
                <w:sz w:val="20"/>
                <w:szCs w:val="20"/>
              </w:rPr>
              <w:t>裝配</w:t>
            </w:r>
            <w:r>
              <w:rPr>
                <w:spacing w:val="10"/>
                <w:sz w:val="20"/>
                <w:szCs w:val="20"/>
              </w:rPr>
              <w:tab/>
            </w:r>
            <w:r>
              <w:rPr>
                <w:spacing w:val="10"/>
                <w:sz w:val="20"/>
                <w:szCs w:val="20"/>
              </w:rPr>
              <w:t>工</w:t>
            </w:r>
          </w:p>
        </w:tc>
        <w:tc>
          <w:tcPr>
            <w:tcW w:w="769" w:type="dxa"/>
            <w:vMerge w:val="continue"/>
            <w:tcBorders/>
          </w:tcPr>
          <w:p>
            <w:pPr>
              <w:pStyle w:val="F21"/>
              <w:tabs>
                <w:tab w:val="clear" w:pos="567"/>
                <w:tab w:val="left" w:pos="28" w:leader="none"/>
              </w:tabs>
              <w:spacing w:lineRule="atLeast" w:line="260"/>
              <w:ind w:left="28" w:right="28" w:hanging="0"/>
              <w:rPr>
                <w:spacing w:val="10"/>
                <w:sz w:val="20"/>
                <w:szCs w:val="20"/>
              </w:rPr>
            </w:pPr>
            <w:r>
              <w:rPr>
                <w:spacing w:val="10"/>
                <w:sz w:val="20"/>
                <w:szCs w:val="20"/>
              </w:rPr>
            </w:r>
          </w:p>
        </w:tc>
        <w:tc>
          <w:tcPr>
            <w:tcW w:w="768" w:type="dxa"/>
            <w:tcBorders>
              <w:top w:val="nil"/>
              <w:bottom w:val="nil"/>
            </w:tcBorders>
          </w:tcPr>
          <w:p>
            <w:pPr>
              <w:pStyle w:val="F21"/>
              <w:tabs>
                <w:tab w:val="clear" w:pos="567"/>
                <w:tab w:val="left" w:pos="28" w:leader="none"/>
              </w:tabs>
              <w:spacing w:lineRule="atLeast" w:line="260"/>
              <w:ind w:left="28" w:right="28" w:hanging="0"/>
              <w:rPr>
                <w:spacing w:val="10"/>
                <w:sz w:val="20"/>
                <w:szCs w:val="20"/>
              </w:rPr>
            </w:pPr>
            <w:r>
              <w:rPr>
                <w:spacing w:val="10"/>
                <w:sz w:val="20"/>
                <w:szCs w:val="20"/>
              </w:rPr>
            </w:r>
          </w:p>
        </w:tc>
        <w:tc>
          <w:tcPr>
            <w:tcW w:w="768" w:type="dxa"/>
            <w:tcBorders>
              <w:top w:val="nil"/>
              <w:bottom w:val="nil"/>
            </w:tcBorders>
          </w:tcPr>
          <w:p>
            <w:pPr>
              <w:pStyle w:val="F21"/>
              <w:tabs>
                <w:tab w:val="clear" w:pos="567"/>
                <w:tab w:val="left" w:pos="28" w:leader="none"/>
              </w:tabs>
              <w:spacing w:lineRule="atLeast" w:line="260"/>
              <w:ind w:left="28" w:right="28" w:hanging="0"/>
              <w:rPr>
                <w:spacing w:val="10"/>
                <w:sz w:val="20"/>
                <w:szCs w:val="20"/>
              </w:rPr>
            </w:pPr>
            <w:r>
              <w:rPr>
                <w:spacing w:val="10"/>
                <w:sz w:val="20"/>
                <w:szCs w:val="20"/>
              </w:rPr>
            </w:r>
          </w:p>
        </w:tc>
        <w:tc>
          <w:tcPr>
            <w:tcW w:w="768" w:type="dxa"/>
            <w:tcBorders>
              <w:top w:val="nil"/>
              <w:bottom w:val="nil"/>
            </w:tcBorders>
          </w:tcPr>
          <w:p>
            <w:pPr>
              <w:pStyle w:val="F21"/>
              <w:tabs>
                <w:tab w:val="clear" w:pos="567"/>
                <w:tab w:val="left" w:pos="28" w:leader="none"/>
              </w:tabs>
              <w:spacing w:lineRule="atLeast" w:line="260"/>
              <w:ind w:left="28" w:right="28" w:hanging="0"/>
              <w:rPr>
                <w:spacing w:val="10"/>
                <w:sz w:val="20"/>
                <w:szCs w:val="20"/>
              </w:rPr>
            </w:pPr>
            <w:r>
              <w:rPr>
                <w:spacing w:val="10"/>
                <w:sz w:val="20"/>
                <w:szCs w:val="20"/>
              </w:rPr>
            </w:r>
          </w:p>
        </w:tc>
        <w:tc>
          <w:tcPr>
            <w:tcW w:w="769" w:type="dxa"/>
            <w:tcBorders>
              <w:top w:val="nil"/>
              <w:bottom w:val="nil"/>
            </w:tcBorders>
          </w:tcPr>
          <w:p>
            <w:pPr>
              <w:pStyle w:val="F21"/>
              <w:tabs>
                <w:tab w:val="clear" w:pos="567"/>
                <w:tab w:val="left" w:pos="28" w:leader="none"/>
              </w:tabs>
              <w:spacing w:lineRule="atLeast" w:line="260"/>
              <w:ind w:left="28" w:right="28" w:hanging="0"/>
              <w:rPr>
                <w:spacing w:val="10"/>
                <w:sz w:val="20"/>
                <w:szCs w:val="20"/>
              </w:rPr>
            </w:pPr>
            <w:r>
              <w:rPr>
                <w:spacing w:val="10"/>
                <w:sz w:val="20"/>
                <w:szCs w:val="20"/>
              </w:rPr>
            </w:r>
          </w:p>
        </w:tc>
        <w:tc>
          <w:tcPr>
            <w:tcW w:w="769" w:type="dxa"/>
            <w:tcBorders>
              <w:top w:val="nil"/>
              <w:bottom w:val="nil"/>
            </w:tcBorders>
          </w:tcPr>
          <w:p>
            <w:pPr>
              <w:pStyle w:val="F21"/>
              <w:tabs>
                <w:tab w:val="clear" w:pos="567"/>
                <w:tab w:val="left" w:pos="28" w:leader="none"/>
              </w:tabs>
              <w:spacing w:lineRule="atLeast" w:line="260"/>
              <w:ind w:left="28" w:right="28" w:hanging="0"/>
              <w:rPr>
                <w:spacing w:val="10"/>
                <w:sz w:val="20"/>
                <w:szCs w:val="20"/>
              </w:rPr>
            </w:pPr>
            <w:r>
              <w:rPr>
                <w:spacing w:val="10"/>
                <w:sz w:val="20"/>
                <w:szCs w:val="20"/>
              </w:rPr>
            </w:r>
          </w:p>
        </w:tc>
        <w:tc>
          <w:tcPr>
            <w:tcW w:w="768" w:type="dxa"/>
            <w:tcBorders>
              <w:top w:val="nil"/>
              <w:bottom w:val="nil"/>
            </w:tcBorders>
          </w:tcPr>
          <w:p>
            <w:pPr>
              <w:pStyle w:val="F21"/>
              <w:tabs>
                <w:tab w:val="clear" w:pos="567"/>
                <w:tab w:val="left" w:pos="28" w:leader="none"/>
              </w:tabs>
              <w:spacing w:lineRule="atLeast" w:line="260"/>
              <w:ind w:left="28" w:right="28" w:hanging="0"/>
              <w:rPr>
                <w:spacing w:val="10"/>
                <w:sz w:val="20"/>
                <w:szCs w:val="20"/>
              </w:rPr>
            </w:pPr>
            <w:r>
              <w:rPr>
                <w:spacing w:val="10"/>
                <w:sz w:val="20"/>
                <w:szCs w:val="20"/>
              </w:rPr>
            </w:r>
          </w:p>
        </w:tc>
        <w:tc>
          <w:tcPr>
            <w:tcW w:w="1052" w:type="dxa"/>
            <w:tcBorders>
              <w:top w:val="nil"/>
              <w:bottom w:val="nil"/>
            </w:tcBorders>
          </w:tcPr>
          <w:p>
            <w:pPr>
              <w:pStyle w:val="F21"/>
              <w:tabs>
                <w:tab w:val="clear" w:pos="567"/>
                <w:tab w:val="left" w:pos="28" w:leader="none"/>
              </w:tabs>
              <w:spacing w:lineRule="atLeast" w:line="260"/>
              <w:ind w:left="28" w:right="28" w:hanging="0"/>
              <w:rPr>
                <w:spacing w:val="10"/>
                <w:sz w:val="20"/>
                <w:szCs w:val="20"/>
              </w:rPr>
            </w:pPr>
            <w:r>
              <w:rPr>
                <w:spacing w:val="10"/>
                <w:sz w:val="20"/>
                <w:szCs w:val="20"/>
              </w:rPr>
            </w:r>
          </w:p>
        </w:tc>
        <w:tc>
          <w:tcPr>
            <w:tcW w:w="910" w:type="dxa"/>
            <w:tcBorders>
              <w:top w:val="nil"/>
              <w:bottom w:val="nil"/>
            </w:tcBorders>
          </w:tcPr>
          <w:p>
            <w:pPr>
              <w:pStyle w:val="F21"/>
              <w:tabs>
                <w:tab w:val="clear" w:pos="567"/>
                <w:tab w:val="left" w:pos="28" w:leader="none"/>
              </w:tabs>
              <w:spacing w:lineRule="atLeast" w:line="260"/>
              <w:ind w:left="28" w:right="28" w:hanging="0"/>
              <w:rPr>
                <w:spacing w:val="10"/>
                <w:sz w:val="20"/>
                <w:szCs w:val="20"/>
              </w:rPr>
            </w:pPr>
            <w:r>
              <w:rPr>
                <w:spacing w:val="10"/>
                <w:sz w:val="20"/>
                <w:szCs w:val="20"/>
              </w:rPr>
            </w:r>
          </w:p>
        </w:tc>
        <w:tc>
          <w:tcPr>
            <w:tcW w:w="1028" w:type="dxa"/>
            <w:tcBorders>
              <w:top w:val="nil"/>
              <w:bottom w:val="nil"/>
            </w:tcBorders>
          </w:tcPr>
          <w:p>
            <w:pPr>
              <w:pStyle w:val="F21"/>
              <w:tabs>
                <w:tab w:val="clear" w:pos="567"/>
                <w:tab w:val="left" w:pos="28" w:leader="none"/>
              </w:tabs>
              <w:spacing w:lineRule="atLeast" w:line="260"/>
              <w:ind w:left="28" w:right="28" w:hanging="0"/>
              <w:rPr>
                <w:spacing w:val="10"/>
                <w:sz w:val="20"/>
                <w:szCs w:val="20"/>
              </w:rPr>
            </w:pPr>
            <w:r>
              <w:rPr>
                <w:spacing w:val="10"/>
                <w:sz w:val="20"/>
                <w:szCs w:val="20"/>
              </w:rPr>
            </w:r>
          </w:p>
        </w:tc>
      </w:tr>
      <w:tr>
        <w:trPr/>
        <w:tc>
          <w:tcPr>
            <w:tcW w:w="859" w:type="dxa"/>
            <w:tcBorders>
              <w:top w:val="nil"/>
              <w:bottom w:val="nil"/>
            </w:tcBorders>
          </w:tcPr>
          <w:p>
            <w:pPr>
              <w:pStyle w:val="F21"/>
              <w:tabs>
                <w:tab w:val="clear" w:pos="567"/>
                <w:tab w:val="left" w:pos="284" w:leader="none"/>
              </w:tabs>
              <w:spacing w:lineRule="atLeast" w:line="260"/>
              <w:ind w:left="28" w:right="28" w:hanging="0"/>
              <w:rPr>
                <w:spacing w:val="10"/>
                <w:sz w:val="20"/>
                <w:szCs w:val="20"/>
              </w:rPr>
            </w:pPr>
            <w:r>
              <w:rPr>
                <w:spacing w:val="10"/>
                <w:sz w:val="20"/>
                <w:szCs w:val="20"/>
              </w:rPr>
              <w:t>7.</w:t>
            </w:r>
            <w:r>
              <w:rPr>
                <w:spacing w:val="10"/>
                <w:sz w:val="20"/>
                <w:szCs w:val="20"/>
              </w:rPr>
              <w:t>空調</w:t>
            </w:r>
            <w:r>
              <w:rPr>
                <w:spacing w:val="10"/>
                <w:sz w:val="20"/>
                <w:szCs w:val="20"/>
              </w:rPr>
              <w:tab/>
            </w:r>
            <w:r>
              <w:rPr>
                <w:spacing w:val="10"/>
                <w:sz w:val="20"/>
                <w:szCs w:val="20"/>
              </w:rPr>
              <w:t>製冷</w:t>
            </w:r>
            <w:r>
              <w:rPr>
                <w:spacing w:val="10"/>
                <w:sz w:val="20"/>
                <w:szCs w:val="20"/>
              </w:rPr>
              <w:tab/>
            </w:r>
            <w:r>
              <w:rPr>
                <w:spacing w:val="10"/>
                <w:sz w:val="20"/>
                <w:szCs w:val="20"/>
              </w:rPr>
              <w:t>設備</w:t>
            </w:r>
            <w:r>
              <w:rPr>
                <w:spacing w:val="10"/>
                <w:sz w:val="20"/>
                <w:szCs w:val="20"/>
              </w:rPr>
              <w:tab/>
            </w:r>
            <w:r>
              <w:rPr>
                <w:spacing w:val="10"/>
                <w:sz w:val="20"/>
                <w:szCs w:val="20"/>
              </w:rPr>
              <w:t>技工</w:t>
            </w:r>
            <w:r>
              <w:rPr>
                <w:spacing w:val="10"/>
                <w:sz w:val="20"/>
                <w:szCs w:val="20"/>
              </w:rPr>
              <w:tab/>
              <w:t>(</w:t>
            </w:r>
            <w:r>
              <w:rPr>
                <w:spacing w:val="10"/>
                <w:sz w:val="20"/>
                <w:szCs w:val="20"/>
              </w:rPr>
              <w:t>送風</w:t>
            </w:r>
            <w:r>
              <w:rPr>
                <w:spacing w:val="10"/>
                <w:sz w:val="20"/>
                <w:szCs w:val="20"/>
              </w:rPr>
              <w:tab/>
            </w:r>
            <w:r>
              <w:rPr>
                <w:spacing w:val="10"/>
                <w:sz w:val="20"/>
                <w:szCs w:val="20"/>
              </w:rPr>
              <w:t>系統</w:t>
            </w:r>
            <w:r>
              <w:rPr>
                <w:spacing w:val="10"/>
                <w:sz w:val="20"/>
                <w:szCs w:val="20"/>
              </w:rPr>
              <w:t>)</w:t>
            </w:r>
          </w:p>
        </w:tc>
        <w:tc>
          <w:tcPr>
            <w:tcW w:w="769" w:type="dxa"/>
            <w:vMerge w:val="continue"/>
            <w:tcBorders/>
          </w:tcPr>
          <w:p>
            <w:pPr>
              <w:pStyle w:val="F21"/>
              <w:tabs>
                <w:tab w:val="clear" w:pos="567"/>
                <w:tab w:val="left" w:pos="28" w:leader="none"/>
              </w:tabs>
              <w:spacing w:lineRule="atLeast" w:line="260"/>
              <w:ind w:left="28" w:right="28" w:hanging="0"/>
              <w:rPr>
                <w:spacing w:val="10"/>
                <w:sz w:val="20"/>
                <w:szCs w:val="20"/>
              </w:rPr>
            </w:pPr>
            <w:r>
              <w:rPr>
                <w:spacing w:val="10"/>
                <w:sz w:val="20"/>
                <w:szCs w:val="20"/>
              </w:rPr>
            </w:r>
          </w:p>
        </w:tc>
        <w:tc>
          <w:tcPr>
            <w:tcW w:w="768" w:type="dxa"/>
            <w:tcBorders>
              <w:top w:val="nil"/>
              <w:bottom w:val="nil"/>
            </w:tcBorders>
          </w:tcPr>
          <w:p>
            <w:pPr>
              <w:pStyle w:val="F21"/>
              <w:tabs>
                <w:tab w:val="clear" w:pos="567"/>
                <w:tab w:val="left" w:pos="28" w:leader="none"/>
              </w:tabs>
              <w:spacing w:lineRule="atLeast" w:line="260"/>
              <w:ind w:left="28" w:right="28" w:hanging="0"/>
              <w:rPr>
                <w:spacing w:val="10"/>
                <w:sz w:val="20"/>
                <w:szCs w:val="20"/>
              </w:rPr>
            </w:pPr>
            <w:r>
              <w:rPr>
                <w:spacing w:val="10"/>
                <w:sz w:val="20"/>
                <w:szCs w:val="20"/>
              </w:rPr>
            </w:r>
          </w:p>
        </w:tc>
        <w:tc>
          <w:tcPr>
            <w:tcW w:w="768" w:type="dxa"/>
            <w:tcBorders>
              <w:top w:val="nil"/>
              <w:bottom w:val="nil"/>
            </w:tcBorders>
          </w:tcPr>
          <w:p>
            <w:pPr>
              <w:pStyle w:val="F21"/>
              <w:tabs>
                <w:tab w:val="clear" w:pos="567"/>
                <w:tab w:val="left" w:pos="28" w:leader="none"/>
              </w:tabs>
              <w:spacing w:lineRule="atLeast" w:line="260"/>
              <w:ind w:left="28" w:right="28" w:hanging="0"/>
              <w:rPr>
                <w:spacing w:val="10"/>
                <w:sz w:val="20"/>
                <w:szCs w:val="20"/>
              </w:rPr>
            </w:pPr>
            <w:r>
              <w:rPr>
                <w:spacing w:val="10"/>
                <w:sz w:val="20"/>
                <w:szCs w:val="20"/>
              </w:rPr>
            </w:r>
          </w:p>
        </w:tc>
        <w:tc>
          <w:tcPr>
            <w:tcW w:w="768" w:type="dxa"/>
            <w:tcBorders>
              <w:top w:val="nil"/>
              <w:bottom w:val="nil"/>
            </w:tcBorders>
          </w:tcPr>
          <w:p>
            <w:pPr>
              <w:pStyle w:val="F21"/>
              <w:tabs>
                <w:tab w:val="clear" w:pos="567"/>
                <w:tab w:val="left" w:pos="28" w:leader="none"/>
              </w:tabs>
              <w:spacing w:lineRule="atLeast" w:line="260"/>
              <w:ind w:left="28" w:right="28" w:hanging="0"/>
              <w:rPr>
                <w:spacing w:val="10"/>
                <w:sz w:val="20"/>
                <w:szCs w:val="20"/>
              </w:rPr>
            </w:pPr>
            <w:r>
              <w:rPr>
                <w:spacing w:val="10"/>
                <w:sz w:val="20"/>
                <w:szCs w:val="20"/>
              </w:rPr>
            </w:r>
          </w:p>
        </w:tc>
        <w:tc>
          <w:tcPr>
            <w:tcW w:w="769" w:type="dxa"/>
            <w:tcBorders>
              <w:top w:val="nil"/>
              <w:bottom w:val="nil"/>
            </w:tcBorders>
          </w:tcPr>
          <w:p>
            <w:pPr>
              <w:pStyle w:val="F21"/>
              <w:tabs>
                <w:tab w:val="clear" w:pos="567"/>
                <w:tab w:val="left" w:pos="28" w:leader="none"/>
              </w:tabs>
              <w:spacing w:lineRule="atLeast" w:line="260"/>
              <w:ind w:left="28" w:right="28" w:hanging="0"/>
              <w:rPr>
                <w:spacing w:val="10"/>
                <w:sz w:val="20"/>
                <w:szCs w:val="20"/>
              </w:rPr>
            </w:pPr>
            <w:r>
              <w:rPr>
                <w:spacing w:val="10"/>
                <w:sz w:val="20"/>
                <w:szCs w:val="20"/>
              </w:rPr>
            </w:r>
          </w:p>
        </w:tc>
        <w:tc>
          <w:tcPr>
            <w:tcW w:w="769" w:type="dxa"/>
            <w:tcBorders>
              <w:top w:val="nil"/>
              <w:bottom w:val="nil"/>
            </w:tcBorders>
          </w:tcPr>
          <w:p>
            <w:pPr>
              <w:pStyle w:val="F21"/>
              <w:tabs>
                <w:tab w:val="clear" w:pos="567"/>
                <w:tab w:val="left" w:pos="28" w:leader="none"/>
              </w:tabs>
              <w:spacing w:lineRule="atLeast" w:line="260"/>
              <w:ind w:left="28" w:right="28" w:hanging="0"/>
              <w:rPr>
                <w:spacing w:val="10"/>
                <w:sz w:val="20"/>
                <w:szCs w:val="20"/>
              </w:rPr>
            </w:pPr>
            <w:r>
              <w:rPr>
                <w:spacing w:val="10"/>
                <w:sz w:val="20"/>
                <w:szCs w:val="20"/>
              </w:rPr>
            </w:r>
          </w:p>
        </w:tc>
        <w:tc>
          <w:tcPr>
            <w:tcW w:w="768" w:type="dxa"/>
            <w:tcBorders>
              <w:top w:val="nil"/>
              <w:bottom w:val="nil"/>
            </w:tcBorders>
          </w:tcPr>
          <w:p>
            <w:pPr>
              <w:pStyle w:val="F21"/>
              <w:tabs>
                <w:tab w:val="clear" w:pos="567"/>
                <w:tab w:val="left" w:pos="28" w:leader="none"/>
              </w:tabs>
              <w:spacing w:lineRule="atLeast" w:line="260"/>
              <w:ind w:left="28" w:right="28" w:hanging="0"/>
              <w:rPr>
                <w:spacing w:val="10"/>
                <w:sz w:val="20"/>
                <w:szCs w:val="20"/>
              </w:rPr>
            </w:pPr>
            <w:r>
              <w:rPr>
                <w:spacing w:val="10"/>
                <w:sz w:val="20"/>
                <w:szCs w:val="20"/>
              </w:rPr>
            </w:r>
          </w:p>
        </w:tc>
        <w:tc>
          <w:tcPr>
            <w:tcW w:w="1052" w:type="dxa"/>
            <w:tcBorders>
              <w:top w:val="nil"/>
              <w:bottom w:val="nil"/>
            </w:tcBorders>
          </w:tcPr>
          <w:p>
            <w:pPr>
              <w:pStyle w:val="F21"/>
              <w:tabs>
                <w:tab w:val="clear" w:pos="567"/>
                <w:tab w:val="left" w:pos="28" w:leader="none"/>
              </w:tabs>
              <w:spacing w:lineRule="atLeast" w:line="260"/>
              <w:ind w:left="28" w:right="28" w:hanging="0"/>
              <w:rPr>
                <w:spacing w:val="10"/>
                <w:sz w:val="20"/>
                <w:szCs w:val="20"/>
              </w:rPr>
            </w:pPr>
            <w:r>
              <w:rPr>
                <w:spacing w:val="10"/>
                <w:sz w:val="20"/>
                <w:szCs w:val="20"/>
              </w:rPr>
            </w:r>
          </w:p>
        </w:tc>
        <w:tc>
          <w:tcPr>
            <w:tcW w:w="910" w:type="dxa"/>
            <w:tcBorders>
              <w:top w:val="nil"/>
              <w:bottom w:val="nil"/>
            </w:tcBorders>
          </w:tcPr>
          <w:p>
            <w:pPr>
              <w:pStyle w:val="F21"/>
              <w:tabs>
                <w:tab w:val="clear" w:pos="567"/>
                <w:tab w:val="left" w:pos="28" w:leader="none"/>
              </w:tabs>
              <w:spacing w:lineRule="atLeast" w:line="260"/>
              <w:ind w:left="28" w:right="28" w:hanging="0"/>
              <w:rPr>
                <w:spacing w:val="10"/>
                <w:sz w:val="20"/>
                <w:szCs w:val="20"/>
              </w:rPr>
            </w:pPr>
            <w:r>
              <w:rPr>
                <w:spacing w:val="10"/>
                <w:sz w:val="20"/>
                <w:szCs w:val="20"/>
              </w:rPr>
            </w:r>
          </w:p>
        </w:tc>
        <w:tc>
          <w:tcPr>
            <w:tcW w:w="1028" w:type="dxa"/>
            <w:tcBorders>
              <w:top w:val="nil"/>
              <w:bottom w:val="nil"/>
            </w:tcBorders>
          </w:tcPr>
          <w:p>
            <w:pPr>
              <w:pStyle w:val="F21"/>
              <w:tabs>
                <w:tab w:val="clear" w:pos="567"/>
                <w:tab w:val="left" w:pos="28" w:leader="none"/>
              </w:tabs>
              <w:spacing w:lineRule="atLeast" w:line="260"/>
              <w:ind w:left="28" w:right="28" w:hanging="0"/>
              <w:rPr>
                <w:spacing w:val="10"/>
                <w:sz w:val="20"/>
                <w:szCs w:val="20"/>
              </w:rPr>
            </w:pPr>
            <w:r>
              <w:rPr>
                <w:spacing w:val="10"/>
                <w:sz w:val="20"/>
                <w:szCs w:val="20"/>
              </w:rPr>
            </w:r>
          </w:p>
        </w:tc>
      </w:tr>
      <w:tr>
        <w:trPr/>
        <w:tc>
          <w:tcPr>
            <w:tcW w:w="859" w:type="dxa"/>
            <w:tcBorders>
              <w:top w:val="nil"/>
            </w:tcBorders>
          </w:tcPr>
          <w:p>
            <w:pPr>
              <w:pStyle w:val="F21"/>
              <w:tabs>
                <w:tab w:val="clear" w:pos="567"/>
                <w:tab w:val="left" w:pos="284" w:leader="none"/>
              </w:tabs>
              <w:spacing w:lineRule="atLeast" w:line="260"/>
              <w:ind w:left="28" w:right="28" w:hanging="0"/>
              <w:rPr>
                <w:spacing w:val="10"/>
                <w:sz w:val="20"/>
                <w:szCs w:val="20"/>
              </w:rPr>
            </w:pPr>
            <w:r>
              <w:rPr>
                <w:spacing w:val="10"/>
                <w:sz w:val="20"/>
                <w:szCs w:val="20"/>
              </w:rPr>
              <w:t>8.</w:t>
            </w:r>
            <w:r>
              <w:rPr>
                <w:spacing w:val="10"/>
                <w:sz w:val="20"/>
                <w:szCs w:val="20"/>
              </w:rPr>
              <w:t>空調</w:t>
            </w:r>
            <w:r>
              <w:rPr>
                <w:spacing w:val="10"/>
                <w:sz w:val="20"/>
                <w:szCs w:val="20"/>
              </w:rPr>
              <w:tab/>
            </w:r>
            <w:r>
              <w:rPr>
                <w:spacing w:val="10"/>
                <w:sz w:val="20"/>
                <w:szCs w:val="20"/>
              </w:rPr>
              <w:t>製冷</w:t>
            </w:r>
            <w:r>
              <w:rPr>
                <w:spacing w:val="10"/>
                <w:sz w:val="20"/>
                <w:szCs w:val="20"/>
              </w:rPr>
              <w:tab/>
            </w:r>
            <w:r>
              <w:rPr>
                <w:spacing w:val="10"/>
                <w:sz w:val="20"/>
                <w:szCs w:val="20"/>
              </w:rPr>
              <w:t>設備</w:t>
            </w:r>
            <w:r>
              <w:rPr>
                <w:spacing w:val="10"/>
                <w:sz w:val="20"/>
                <w:szCs w:val="20"/>
              </w:rPr>
              <w:tab/>
            </w:r>
            <w:r>
              <w:rPr>
                <w:spacing w:val="10"/>
                <w:sz w:val="20"/>
                <w:szCs w:val="20"/>
              </w:rPr>
              <w:t>技工</w:t>
            </w:r>
            <w:r>
              <w:rPr>
                <w:spacing w:val="10"/>
                <w:sz w:val="20"/>
                <w:szCs w:val="20"/>
              </w:rPr>
              <w:tab/>
              <w:t>(</w:t>
            </w:r>
            <w:r>
              <w:rPr>
                <w:spacing w:val="10"/>
                <w:sz w:val="20"/>
                <w:szCs w:val="20"/>
              </w:rPr>
              <w:t>水系</w:t>
            </w:r>
            <w:r>
              <w:rPr>
                <w:spacing w:val="10"/>
                <w:sz w:val="20"/>
                <w:szCs w:val="20"/>
              </w:rPr>
              <w:tab/>
            </w:r>
            <w:r>
              <w:rPr>
                <w:spacing w:val="10"/>
                <w:sz w:val="20"/>
                <w:szCs w:val="20"/>
              </w:rPr>
              <w:t>統</w:t>
            </w:r>
            <w:r>
              <w:rPr>
                <w:spacing w:val="10"/>
                <w:sz w:val="20"/>
                <w:szCs w:val="20"/>
              </w:rPr>
              <w:t>)</w:t>
            </w:r>
          </w:p>
        </w:tc>
        <w:tc>
          <w:tcPr>
            <w:tcW w:w="769" w:type="dxa"/>
            <w:vMerge w:val="continue"/>
            <w:tcBorders/>
          </w:tcPr>
          <w:p>
            <w:pPr>
              <w:pStyle w:val="F21"/>
              <w:tabs>
                <w:tab w:val="clear" w:pos="567"/>
                <w:tab w:val="left" w:pos="28" w:leader="none"/>
              </w:tabs>
              <w:spacing w:lineRule="atLeast" w:line="260"/>
              <w:ind w:left="28" w:right="28" w:hanging="0"/>
              <w:rPr>
                <w:spacing w:val="10"/>
                <w:sz w:val="20"/>
                <w:szCs w:val="20"/>
              </w:rPr>
            </w:pPr>
            <w:r>
              <w:rPr>
                <w:spacing w:val="10"/>
                <w:sz w:val="20"/>
                <w:szCs w:val="20"/>
              </w:rPr>
            </w:r>
          </w:p>
        </w:tc>
        <w:tc>
          <w:tcPr>
            <w:tcW w:w="768" w:type="dxa"/>
            <w:tcBorders>
              <w:top w:val="nil"/>
            </w:tcBorders>
          </w:tcPr>
          <w:p>
            <w:pPr>
              <w:pStyle w:val="F21"/>
              <w:tabs>
                <w:tab w:val="clear" w:pos="567"/>
                <w:tab w:val="left" w:pos="28" w:leader="none"/>
              </w:tabs>
              <w:spacing w:lineRule="atLeast" w:line="260"/>
              <w:ind w:left="28" w:right="28" w:hanging="0"/>
              <w:rPr>
                <w:spacing w:val="10"/>
                <w:sz w:val="20"/>
                <w:szCs w:val="20"/>
              </w:rPr>
            </w:pPr>
            <w:r>
              <w:rPr>
                <w:spacing w:val="10"/>
                <w:sz w:val="20"/>
                <w:szCs w:val="20"/>
              </w:rPr>
            </w:r>
          </w:p>
        </w:tc>
        <w:tc>
          <w:tcPr>
            <w:tcW w:w="768" w:type="dxa"/>
            <w:tcBorders>
              <w:top w:val="nil"/>
            </w:tcBorders>
          </w:tcPr>
          <w:p>
            <w:pPr>
              <w:pStyle w:val="F21"/>
              <w:tabs>
                <w:tab w:val="clear" w:pos="567"/>
                <w:tab w:val="left" w:pos="28" w:leader="none"/>
              </w:tabs>
              <w:spacing w:lineRule="atLeast" w:line="260"/>
              <w:ind w:left="28" w:right="28" w:hanging="0"/>
              <w:rPr>
                <w:spacing w:val="10"/>
                <w:sz w:val="20"/>
                <w:szCs w:val="20"/>
              </w:rPr>
            </w:pPr>
            <w:r>
              <w:rPr>
                <w:spacing w:val="10"/>
                <w:sz w:val="20"/>
                <w:szCs w:val="20"/>
              </w:rPr>
            </w:r>
          </w:p>
        </w:tc>
        <w:tc>
          <w:tcPr>
            <w:tcW w:w="768" w:type="dxa"/>
            <w:tcBorders>
              <w:top w:val="nil"/>
            </w:tcBorders>
          </w:tcPr>
          <w:p>
            <w:pPr>
              <w:pStyle w:val="F21"/>
              <w:tabs>
                <w:tab w:val="clear" w:pos="567"/>
                <w:tab w:val="left" w:pos="28" w:leader="none"/>
              </w:tabs>
              <w:spacing w:lineRule="atLeast" w:line="260"/>
              <w:ind w:left="28" w:right="28" w:hanging="0"/>
              <w:rPr>
                <w:spacing w:val="10"/>
                <w:sz w:val="20"/>
                <w:szCs w:val="20"/>
              </w:rPr>
            </w:pPr>
            <w:r>
              <w:rPr>
                <w:spacing w:val="10"/>
                <w:sz w:val="20"/>
                <w:szCs w:val="20"/>
              </w:rPr>
            </w:r>
          </w:p>
        </w:tc>
        <w:tc>
          <w:tcPr>
            <w:tcW w:w="769" w:type="dxa"/>
            <w:tcBorders>
              <w:top w:val="nil"/>
            </w:tcBorders>
          </w:tcPr>
          <w:p>
            <w:pPr>
              <w:pStyle w:val="F21"/>
              <w:tabs>
                <w:tab w:val="clear" w:pos="567"/>
                <w:tab w:val="left" w:pos="28" w:leader="none"/>
              </w:tabs>
              <w:spacing w:lineRule="atLeast" w:line="260"/>
              <w:ind w:left="28" w:right="28" w:hanging="0"/>
              <w:rPr>
                <w:spacing w:val="10"/>
                <w:sz w:val="20"/>
                <w:szCs w:val="20"/>
              </w:rPr>
            </w:pPr>
            <w:r>
              <w:rPr>
                <w:spacing w:val="10"/>
                <w:sz w:val="20"/>
                <w:szCs w:val="20"/>
              </w:rPr>
            </w:r>
          </w:p>
        </w:tc>
        <w:tc>
          <w:tcPr>
            <w:tcW w:w="769" w:type="dxa"/>
            <w:tcBorders>
              <w:top w:val="nil"/>
            </w:tcBorders>
          </w:tcPr>
          <w:p>
            <w:pPr>
              <w:pStyle w:val="F21"/>
              <w:tabs>
                <w:tab w:val="clear" w:pos="567"/>
                <w:tab w:val="left" w:pos="28" w:leader="none"/>
              </w:tabs>
              <w:spacing w:lineRule="atLeast" w:line="260"/>
              <w:ind w:left="28" w:right="28" w:hanging="0"/>
              <w:rPr>
                <w:spacing w:val="10"/>
                <w:sz w:val="20"/>
                <w:szCs w:val="20"/>
              </w:rPr>
            </w:pPr>
            <w:r>
              <w:rPr>
                <w:spacing w:val="10"/>
                <w:sz w:val="20"/>
                <w:szCs w:val="20"/>
              </w:rPr>
            </w:r>
          </w:p>
        </w:tc>
        <w:tc>
          <w:tcPr>
            <w:tcW w:w="768" w:type="dxa"/>
            <w:tcBorders>
              <w:top w:val="nil"/>
            </w:tcBorders>
          </w:tcPr>
          <w:p>
            <w:pPr>
              <w:pStyle w:val="F21"/>
              <w:tabs>
                <w:tab w:val="clear" w:pos="567"/>
                <w:tab w:val="left" w:pos="28" w:leader="none"/>
              </w:tabs>
              <w:spacing w:lineRule="atLeast" w:line="260"/>
              <w:ind w:left="28" w:right="28" w:hanging="0"/>
              <w:rPr>
                <w:spacing w:val="10"/>
                <w:sz w:val="20"/>
                <w:szCs w:val="20"/>
              </w:rPr>
            </w:pPr>
            <w:r>
              <w:rPr>
                <w:spacing w:val="10"/>
                <w:sz w:val="20"/>
                <w:szCs w:val="20"/>
              </w:rPr>
            </w:r>
          </w:p>
        </w:tc>
        <w:tc>
          <w:tcPr>
            <w:tcW w:w="1052" w:type="dxa"/>
            <w:tcBorders>
              <w:top w:val="nil"/>
            </w:tcBorders>
          </w:tcPr>
          <w:p>
            <w:pPr>
              <w:pStyle w:val="F21"/>
              <w:tabs>
                <w:tab w:val="clear" w:pos="567"/>
                <w:tab w:val="left" w:pos="28" w:leader="none"/>
              </w:tabs>
              <w:spacing w:lineRule="atLeast" w:line="260"/>
              <w:ind w:left="28" w:right="28" w:hanging="0"/>
              <w:rPr>
                <w:spacing w:val="10"/>
                <w:sz w:val="20"/>
                <w:szCs w:val="20"/>
              </w:rPr>
            </w:pPr>
            <w:r>
              <w:rPr>
                <w:spacing w:val="10"/>
                <w:sz w:val="20"/>
                <w:szCs w:val="20"/>
              </w:rPr>
            </w:r>
          </w:p>
        </w:tc>
        <w:tc>
          <w:tcPr>
            <w:tcW w:w="910" w:type="dxa"/>
            <w:tcBorders>
              <w:top w:val="nil"/>
            </w:tcBorders>
          </w:tcPr>
          <w:p>
            <w:pPr>
              <w:pStyle w:val="F21"/>
              <w:tabs>
                <w:tab w:val="clear" w:pos="567"/>
                <w:tab w:val="left" w:pos="28" w:leader="none"/>
              </w:tabs>
              <w:spacing w:lineRule="atLeast" w:line="260"/>
              <w:ind w:left="28" w:right="28" w:hanging="0"/>
              <w:rPr>
                <w:spacing w:val="10"/>
                <w:sz w:val="20"/>
                <w:szCs w:val="20"/>
              </w:rPr>
            </w:pPr>
            <w:r>
              <w:rPr>
                <w:spacing w:val="10"/>
                <w:sz w:val="20"/>
                <w:szCs w:val="20"/>
              </w:rPr>
            </w:r>
          </w:p>
        </w:tc>
        <w:tc>
          <w:tcPr>
            <w:tcW w:w="1028" w:type="dxa"/>
            <w:tcBorders>
              <w:top w:val="nil"/>
            </w:tcBorders>
          </w:tcPr>
          <w:p>
            <w:pPr>
              <w:pStyle w:val="F21"/>
              <w:tabs>
                <w:tab w:val="clear" w:pos="567"/>
                <w:tab w:val="left" w:pos="28" w:leader="none"/>
              </w:tabs>
              <w:spacing w:lineRule="atLeast" w:line="260"/>
              <w:ind w:left="28" w:right="28" w:hanging="0"/>
              <w:rPr>
                <w:spacing w:val="10"/>
                <w:sz w:val="20"/>
                <w:szCs w:val="20"/>
              </w:rPr>
            </w:pPr>
            <w:r>
              <w:rPr>
                <w:spacing w:val="10"/>
                <w:sz w:val="20"/>
                <w:szCs w:val="20"/>
              </w:rPr>
            </w:r>
          </w:p>
        </w:tc>
      </w:tr>
    </w:tbl>
    <w:p>
      <w:pPr>
        <w:pStyle w:val="F21"/>
        <w:spacing w:lineRule="atLeast" w:line="340"/>
        <w:rPr>
          <w:szCs w:val="27"/>
        </w:rPr>
      </w:pPr>
      <w:r>
        <w:rPr>
          <w:szCs w:val="27"/>
        </w:rPr>
      </w:r>
    </w:p>
    <w:p>
      <w:pPr>
        <w:pStyle w:val="F21"/>
        <w:overflowPunct w:val="true"/>
        <w:spacing w:lineRule="atLeast" w:line="340"/>
        <w:rPr>
          <w:rFonts w:cs="Times New Roman"/>
        </w:rPr>
      </w:pPr>
      <w:r>
        <w:rPr>
          <w:rFonts w:cs="Times New Roman"/>
        </w:rPr>
      </w:r>
    </w:p>
    <w:p>
      <w:pPr>
        <w:pStyle w:val="F21"/>
        <w:overflowPunct w:val="true"/>
        <w:spacing w:lineRule="atLeast" w:line="340"/>
        <w:rPr>
          <w:rFonts w:eastAsia="華康中黑體" w:cs="Times New Roman"/>
          <w:b/>
          <w:b/>
        </w:rPr>
      </w:pPr>
      <w:bookmarkStart w:id="43" w:name="wrq15"/>
      <w:r>
        <w:rPr>
          <w:rFonts w:cs="Times New Roman" w:eastAsia="華康中黑體"/>
          <w:b/>
        </w:rPr>
        <w:t>為永久造口病人提供財政資助</w:t>
      </w:r>
    </w:p>
    <w:p>
      <w:pPr>
        <w:pStyle w:val="Normal"/>
        <w:overflowPunct w:val="true"/>
        <w:spacing w:lineRule="atLeast" w:line="340"/>
        <w:rPr>
          <w:b/>
          <w:b/>
        </w:rPr>
      </w:pPr>
      <w:bookmarkStart w:id="44" w:name="wrq15"/>
      <w:r>
        <w:rPr>
          <w:b/>
        </w:rPr>
        <w:t>Financial assistance for patients with permanent stomata</w:t>
      </w:r>
      <w:bookmarkEnd w:id="44"/>
    </w:p>
    <w:p>
      <w:pPr>
        <w:pStyle w:val="F21"/>
        <w:overflowPunct w:val="true"/>
        <w:spacing w:lineRule="atLeast" w:line="340"/>
        <w:rPr>
          <w:rFonts w:cs="Times New Roman"/>
        </w:rPr>
      </w:pPr>
      <w:r>
        <w:rPr>
          <w:rFonts w:cs="Times New Roman"/>
        </w:rPr>
      </w:r>
    </w:p>
    <w:p>
      <w:pPr>
        <w:pStyle w:val="F21"/>
        <w:spacing w:lineRule="atLeast" w:line="340"/>
        <w:rPr>
          <w:i/>
          <w:i/>
          <w:szCs w:val="27"/>
        </w:rPr>
      </w:pPr>
      <w:r>
        <w:rPr>
          <w:rFonts w:eastAsia="華康中黑體" w:cs="Times New Roman"/>
          <w:b/>
          <w:szCs w:val="27"/>
        </w:rPr>
        <w:t>15.</w:t>
        <w:tab/>
      </w:r>
      <w:r>
        <w:rPr>
          <w:rFonts w:cs="Times New Roman" w:eastAsia="華康中黑體"/>
          <w:b/>
          <w:szCs w:val="27"/>
        </w:rPr>
        <w:t>李國麟議員</w:t>
      </w:r>
      <w:r>
        <w:rPr>
          <w:szCs w:val="27"/>
        </w:rPr>
        <w:t>：</w:t>
      </w:r>
      <w:r>
        <w:rPr>
          <w:i/>
          <w:szCs w:val="27"/>
        </w:rPr>
        <w:t>主席，據悉，病人的結直腸、迴腸或膀胱的功能如因病變或意外而受到破壞，醫生可循外科手術在他們的腹部造一個排泄孔道，即</w:t>
      </w:r>
      <w:r>
        <w:rPr>
          <w:rFonts w:cs="Times New Roman"/>
          <w:i/>
          <w:szCs w:val="27"/>
        </w:rPr>
        <w:t>"</w:t>
      </w:r>
      <w:r>
        <w:rPr>
          <w:i/>
          <w:szCs w:val="27"/>
        </w:rPr>
        <w:t>造口</w:t>
      </w:r>
      <w:r>
        <w:rPr>
          <w:rFonts w:cs="Times New Roman"/>
          <w:i/>
          <w:szCs w:val="27"/>
        </w:rPr>
        <w:t>"</w:t>
      </w:r>
      <w:r>
        <w:rPr>
          <w:i/>
          <w:szCs w:val="27"/>
        </w:rPr>
        <w:t>。造口分為結腸造口、迴腸造口及泌尿造口。造口病人多數因身體狀況而失去工作能力，因此無力負擔購買用作收集排泄物的造口袋及其他醫療消耗品所引致的開支。關愛基金於</w:t>
      </w:r>
      <w:r>
        <w:rPr>
          <w:i/>
          <w:szCs w:val="27"/>
        </w:rPr>
        <w:t>2017</w:t>
      </w:r>
      <w:r>
        <w:rPr>
          <w:i/>
          <w:szCs w:val="27"/>
        </w:rPr>
        <w:t>年推出為期</w:t>
      </w:r>
      <w:r>
        <w:rPr>
          <w:i/>
          <w:szCs w:val="27"/>
        </w:rPr>
        <w:t>3</w:t>
      </w:r>
      <w:r>
        <w:rPr>
          <w:i/>
          <w:szCs w:val="27"/>
        </w:rPr>
        <w:t>年的</w:t>
      </w:r>
      <w:r>
        <w:rPr>
          <w:rFonts w:cs="Times New Roman"/>
          <w:i/>
          <w:szCs w:val="27"/>
        </w:rPr>
        <w:t>"</w:t>
      </w:r>
      <w:r>
        <w:rPr>
          <w:i/>
          <w:szCs w:val="27"/>
        </w:rPr>
        <w:t>為低收入家庭的永久造口人士提供購買醫療消耗品特別津貼試驗計劃</w:t>
      </w:r>
      <w:r>
        <w:rPr>
          <w:rFonts w:cs="Times New Roman"/>
          <w:i/>
          <w:szCs w:val="27"/>
        </w:rPr>
        <w:t>"</w:t>
      </w:r>
      <w:r>
        <w:rPr>
          <w:i/>
          <w:szCs w:val="27"/>
        </w:rPr>
        <w:t>(</w:t>
      </w:r>
      <w:r>
        <w:rPr>
          <w:rFonts w:cs="Times New Roman"/>
          <w:i/>
          <w:szCs w:val="27"/>
        </w:rPr>
        <w:t>"</w:t>
      </w:r>
      <w:r>
        <w:rPr>
          <w:i/>
          <w:szCs w:val="27"/>
        </w:rPr>
        <w:t>試驗計劃</w:t>
      </w:r>
      <w:r>
        <w:rPr>
          <w:rFonts w:cs="Times New Roman"/>
          <w:i/>
          <w:szCs w:val="27"/>
        </w:rPr>
        <w:t>"</w:t>
      </w:r>
      <w:r>
        <w:rPr>
          <w:i/>
          <w:szCs w:val="27"/>
        </w:rPr>
        <w:t>)</w:t>
      </w:r>
      <w:r>
        <w:rPr>
          <w:i/>
          <w:szCs w:val="27"/>
        </w:rPr>
        <w:t>，向合資格的永久造口人士提供全額</w:t>
      </w:r>
      <w:r>
        <w:rPr>
          <w:i/>
          <w:szCs w:val="27"/>
        </w:rPr>
        <w:t>(</w:t>
      </w:r>
      <w:r>
        <w:rPr>
          <w:i/>
          <w:szCs w:val="27"/>
        </w:rPr>
        <w:t>即每月</w:t>
      </w:r>
      <w:r>
        <w:rPr>
          <w:i/>
          <w:szCs w:val="27"/>
        </w:rPr>
        <w:t>1,000</w:t>
      </w:r>
      <w:r>
        <w:rPr>
          <w:i/>
          <w:szCs w:val="27"/>
        </w:rPr>
        <w:t>元</w:t>
      </w:r>
      <w:r>
        <w:rPr>
          <w:i/>
          <w:szCs w:val="27"/>
        </w:rPr>
        <w:t>)</w:t>
      </w:r>
      <w:r>
        <w:rPr>
          <w:i/>
          <w:szCs w:val="27"/>
        </w:rPr>
        <w:t>、四分之三額或半額津貼，以減輕他們的財政負擔。就此，政府可否告知本會：</w:t>
      </w:r>
    </w:p>
    <w:p>
      <w:pPr>
        <w:pStyle w:val="Normal"/>
        <w:widowControl/>
        <w:tabs>
          <w:tab w:val="clear" w:pos="720"/>
        </w:tabs>
        <w:snapToGrid w:val="true"/>
        <w:spacing w:lineRule="auto" w:line="276" w:before="0" w:after="200"/>
        <w:jc w:val="left"/>
        <w:rPr>
          <w:i/>
          <w:i/>
          <w:szCs w:val="27"/>
        </w:rPr>
      </w:pPr>
      <w:r>
        <w:rPr>
          <w:i/>
          <w:szCs w:val="27"/>
        </w:rPr>
      </w:r>
      <w:r>
        <w:br w:type="page"/>
      </w:r>
    </w:p>
    <w:p>
      <w:pPr>
        <w:pStyle w:val="F21"/>
        <w:ind w:left="1418" w:hanging="851"/>
        <w:rPr>
          <w:i/>
          <w:i/>
          <w:szCs w:val="27"/>
        </w:rPr>
      </w:pPr>
      <w:r>
        <w:rPr>
          <w:i/>
          <w:szCs w:val="27"/>
        </w:rPr>
        <w:t>(</w:t>
      </w:r>
      <w:r>
        <w:rPr>
          <w:i/>
          <w:szCs w:val="27"/>
        </w:rPr>
        <w:t>一</w:t>
      </w:r>
      <w:r>
        <w:rPr>
          <w:i/>
          <w:szCs w:val="27"/>
        </w:rPr>
        <w:t>)</w:t>
        <w:tab/>
      </w:r>
      <w:r>
        <w:rPr>
          <w:i/>
          <w:szCs w:val="27"/>
        </w:rPr>
        <w:t>當局於去年在試驗計劃下分別收到及批准了多少宗申請，並按造口類別及津貼水平列出獲批申請的分項數字；</w:t>
      </w:r>
    </w:p>
    <w:p>
      <w:pPr>
        <w:pStyle w:val="F21"/>
        <w:ind w:left="1418" w:hanging="851"/>
        <w:rPr>
          <w:i/>
          <w:i/>
          <w:szCs w:val="27"/>
        </w:rPr>
      </w:pPr>
      <w:r>
        <w:rPr>
          <w:i/>
          <w:szCs w:val="27"/>
        </w:rPr>
      </w:r>
    </w:p>
    <w:p>
      <w:pPr>
        <w:pStyle w:val="F21"/>
        <w:ind w:left="1418" w:hanging="851"/>
        <w:rPr>
          <w:i/>
          <w:i/>
          <w:szCs w:val="27"/>
        </w:rPr>
      </w:pPr>
      <w:r>
        <w:rPr>
          <w:i/>
          <w:szCs w:val="27"/>
        </w:rPr>
        <w:t>(</w:t>
      </w:r>
      <w:r>
        <w:rPr>
          <w:i/>
          <w:szCs w:val="27"/>
        </w:rPr>
        <w:t>二</w:t>
      </w:r>
      <w:r>
        <w:rPr>
          <w:i/>
          <w:szCs w:val="27"/>
        </w:rPr>
        <w:t>)</w:t>
        <w:tab/>
      </w:r>
      <w:r>
        <w:rPr>
          <w:i/>
          <w:szCs w:val="27"/>
        </w:rPr>
        <w:t>鑒於永久造口病人必需使用有關的醫療消耗品，當局會否考慮向合資格申領津貼的病人一律發放全額資助；及</w:t>
      </w:r>
    </w:p>
    <w:p>
      <w:pPr>
        <w:pStyle w:val="F21"/>
        <w:ind w:left="1418" w:hanging="851"/>
        <w:rPr>
          <w:i/>
          <w:i/>
          <w:szCs w:val="27"/>
        </w:rPr>
      </w:pPr>
      <w:r>
        <w:rPr>
          <w:i/>
          <w:szCs w:val="27"/>
        </w:rPr>
      </w:r>
    </w:p>
    <w:p>
      <w:pPr>
        <w:pStyle w:val="F21"/>
        <w:ind w:left="1418" w:hanging="851"/>
        <w:rPr>
          <w:i/>
          <w:i/>
          <w:szCs w:val="27"/>
        </w:rPr>
      </w:pPr>
      <w:r>
        <w:rPr>
          <w:i/>
          <w:szCs w:val="27"/>
        </w:rPr>
        <w:t>(</w:t>
      </w:r>
      <w:r>
        <w:rPr>
          <w:i/>
          <w:szCs w:val="27"/>
        </w:rPr>
        <w:t>三</w:t>
      </w:r>
      <w:r>
        <w:rPr>
          <w:i/>
          <w:szCs w:val="27"/>
        </w:rPr>
        <w:t>)</w:t>
        <w:tab/>
      </w:r>
      <w:r>
        <w:rPr>
          <w:i/>
          <w:szCs w:val="27"/>
        </w:rPr>
        <w:t>當局會否把為造口病人申請傷殘津貼而作出的醫療評估，交由較熟悉該類病人病情及殘疾情況的專科醫生</w:t>
      </w:r>
      <w:r>
        <w:rPr>
          <w:i/>
          <w:szCs w:val="27"/>
        </w:rPr>
        <w:t>(</w:t>
      </w:r>
      <w:r>
        <w:rPr>
          <w:i/>
          <w:szCs w:val="27"/>
        </w:rPr>
        <w:t>例如腸胃科或泌尿科醫生</w:t>
      </w:r>
      <w:r>
        <w:rPr>
          <w:i/>
          <w:szCs w:val="27"/>
        </w:rPr>
        <w:t>)</w:t>
      </w:r>
      <w:r>
        <w:rPr>
          <w:i/>
          <w:szCs w:val="27"/>
        </w:rPr>
        <w:t>負責；如會，詳情為何；如否，原因為何？</w:t>
      </w:r>
    </w:p>
    <w:p>
      <w:pPr>
        <w:pStyle w:val="F21"/>
        <w:rPr>
          <w:szCs w:val="27"/>
        </w:rPr>
      </w:pPr>
      <w:r>
        <w:rPr>
          <w:szCs w:val="27"/>
        </w:rPr>
      </w:r>
    </w:p>
    <w:p>
      <w:pPr>
        <w:pStyle w:val="F21"/>
        <w:rPr>
          <w:szCs w:val="27"/>
        </w:rPr>
      </w:pPr>
      <w:r>
        <w:rPr>
          <w:szCs w:val="27"/>
        </w:rPr>
      </w:r>
    </w:p>
    <w:p>
      <w:pPr>
        <w:pStyle w:val="F21"/>
        <w:rPr>
          <w:szCs w:val="27"/>
        </w:rPr>
      </w:pPr>
      <w:r>
        <w:rPr>
          <w:rFonts w:ascii="華康中黑體" w:hAnsi="華康中黑體" w:eastAsia="華康中黑體"/>
          <w:b/>
          <w:szCs w:val="27"/>
        </w:rPr>
        <w:t>勞工及福利局局長</w:t>
      </w:r>
      <w:r>
        <w:rPr>
          <w:szCs w:val="27"/>
        </w:rPr>
        <w:t>：主席，就議員的質詢，我現綜合答覆如下：</w:t>
      </w:r>
    </w:p>
    <w:p>
      <w:pPr>
        <w:pStyle w:val="F21"/>
        <w:rPr>
          <w:szCs w:val="27"/>
        </w:rPr>
      </w:pPr>
      <w:r>
        <w:rPr>
          <w:szCs w:val="27"/>
        </w:rPr>
      </w:r>
    </w:p>
    <w:p>
      <w:pPr>
        <w:pStyle w:val="Style15"/>
        <w:rPr>
          <w:i w:val="false"/>
          <w:i w:val="false"/>
        </w:rPr>
      </w:pPr>
      <w:r>
        <w:rPr>
          <w:i w:val="false"/>
        </w:rPr>
        <w:t>(</w:t>
      </w:r>
      <w:r>
        <w:rPr>
          <w:i w:val="false"/>
        </w:rPr>
        <w:t>一</w:t>
      </w:r>
      <w:r>
        <w:rPr>
          <w:i w:val="false"/>
        </w:rPr>
        <w:t>)</w:t>
        <w:tab/>
      </w:r>
      <w:r>
        <w:rPr>
          <w:i w:val="false"/>
        </w:rPr>
        <w:t>截至</w:t>
      </w:r>
      <w:r>
        <w:rPr>
          <w:i w:val="false"/>
        </w:rPr>
        <w:t>2019</w:t>
      </w:r>
      <w:r>
        <w:rPr>
          <w:i w:val="false"/>
        </w:rPr>
        <w:t>年</w:t>
      </w:r>
      <w:r>
        <w:rPr>
          <w:i w:val="false"/>
        </w:rPr>
        <w:t>2</w:t>
      </w:r>
      <w:r>
        <w:rPr>
          <w:i w:val="false"/>
        </w:rPr>
        <w:t>月底，社會福利署</w:t>
      </w:r>
      <w:r>
        <w:rPr>
          <w:i w:val="false"/>
        </w:rPr>
        <w:t>("</w:t>
      </w:r>
      <w:r>
        <w:rPr>
          <w:i w:val="false"/>
        </w:rPr>
        <w:t>社署</w:t>
      </w:r>
      <w:r>
        <w:rPr>
          <w:i w:val="false"/>
        </w:rPr>
        <w:t>")</w:t>
      </w:r>
      <w:r>
        <w:rPr>
          <w:i w:val="false"/>
        </w:rPr>
        <w:t>共接獲</w:t>
      </w:r>
      <w:r>
        <w:rPr>
          <w:i w:val="false"/>
        </w:rPr>
        <w:t>621‍</w:t>
      </w:r>
      <w:r>
        <w:rPr>
          <w:i w:val="false"/>
        </w:rPr>
        <w:t>宗</w:t>
      </w:r>
      <w:r>
        <w:rPr>
          <w:i w:val="false"/>
        </w:rPr>
        <w:t>"</w:t>
      </w:r>
      <w:r>
        <w:rPr>
          <w:i w:val="false"/>
        </w:rPr>
        <w:t>為低收入家庭的永久造口人士提供購買醫療消耗品特別津貼試驗計劃</w:t>
      </w:r>
      <w:r>
        <w:rPr>
          <w:i w:val="false"/>
        </w:rPr>
        <w:t>"("</w:t>
      </w:r>
      <w:r>
        <w:rPr>
          <w:i w:val="false"/>
        </w:rPr>
        <w:t>試驗計劃</w:t>
      </w:r>
      <w:r>
        <w:rPr>
          <w:i w:val="false"/>
        </w:rPr>
        <w:t>")</w:t>
      </w:r>
      <w:r>
        <w:rPr>
          <w:i w:val="false"/>
        </w:rPr>
        <w:t>的申請，當中有</w:t>
      </w:r>
      <w:r>
        <w:rPr>
          <w:i w:val="false"/>
        </w:rPr>
        <w:t>474</w:t>
      </w:r>
      <w:r>
        <w:rPr>
          <w:i w:val="false"/>
        </w:rPr>
        <w:t>人獲審核符合資格並獲發津貼，已支出津貼金額約</w:t>
      </w:r>
      <w:r>
        <w:rPr>
          <w:i w:val="false"/>
        </w:rPr>
        <w:t>535</w:t>
      </w:r>
      <w:r>
        <w:rPr>
          <w:i w:val="false"/>
        </w:rPr>
        <w:t>萬元。按津貼額劃分的受惠人數如下：</w:t>
      </w:r>
    </w:p>
    <w:p>
      <w:pPr>
        <w:pStyle w:val="Style15"/>
        <w:rPr>
          <w:i w:val="false"/>
          <w:i w:val="false"/>
        </w:rPr>
      </w:pPr>
      <w:r>
        <w:rPr>
          <w:i w:val="false"/>
        </w:rPr>
      </w:r>
    </w:p>
    <w:tbl>
      <w:tblPr>
        <w:tblStyle w:val="a9"/>
        <w:tblW w:w="7826" w:type="dxa"/>
        <w:jc w:val="left"/>
        <w:tblInd w:w="1418" w:type="dxa"/>
        <w:tblCellMar>
          <w:top w:w="0" w:type="dxa"/>
          <w:left w:w="108" w:type="dxa"/>
          <w:bottom w:w="0" w:type="dxa"/>
          <w:right w:w="108" w:type="dxa"/>
        </w:tblCellMar>
        <w:tblLook w:val="04a0" w:noHBand="0" w:noVBand="1" w:firstColumn="1" w:lastRow="0" w:lastColumn="0" w:firstRow="1"/>
      </w:tblPr>
      <w:tblGrid>
        <w:gridCol w:w="5180"/>
        <w:gridCol w:w="2645"/>
      </w:tblGrid>
      <w:tr>
        <w:trPr/>
        <w:tc>
          <w:tcPr>
            <w:tcW w:w="5180" w:type="dxa"/>
            <w:tcBorders/>
          </w:tcPr>
          <w:p>
            <w:pPr>
              <w:pStyle w:val="Style15"/>
              <w:tabs>
                <w:tab w:val="clear" w:pos="567"/>
              </w:tabs>
              <w:ind w:left="57" w:right="57" w:hanging="0"/>
              <w:jc w:val="center"/>
              <w:rPr/>
            </w:pPr>
            <w:r>
              <w:rPr/>
              <w:t>津貼額</w:t>
            </w:r>
          </w:p>
        </w:tc>
        <w:tc>
          <w:tcPr>
            <w:tcW w:w="2645" w:type="dxa"/>
            <w:tcBorders/>
          </w:tcPr>
          <w:p>
            <w:pPr>
              <w:pStyle w:val="Style15"/>
              <w:tabs>
                <w:tab w:val="clear" w:pos="567"/>
              </w:tabs>
              <w:ind w:left="57" w:right="57" w:hanging="0"/>
              <w:jc w:val="center"/>
              <w:rPr/>
            </w:pPr>
            <w:r>
              <w:rPr/>
              <w:t>人數</w:t>
            </w:r>
          </w:p>
        </w:tc>
      </w:tr>
      <w:tr>
        <w:trPr/>
        <w:tc>
          <w:tcPr>
            <w:tcW w:w="5180" w:type="dxa"/>
            <w:tcBorders/>
          </w:tcPr>
          <w:p>
            <w:pPr>
              <w:pStyle w:val="Style15"/>
              <w:tabs>
                <w:tab w:val="clear" w:pos="567"/>
              </w:tabs>
              <w:ind w:left="57" w:right="57" w:hanging="0"/>
              <w:rPr>
                <w:i w:val="false"/>
                <w:i w:val="false"/>
              </w:rPr>
            </w:pPr>
            <w:r>
              <w:rPr>
                <w:i w:val="false"/>
              </w:rPr>
              <w:t>全額津貼</w:t>
            </w:r>
            <w:r>
              <w:rPr>
                <w:i w:val="false"/>
              </w:rPr>
              <w:t>(</w:t>
            </w:r>
            <w:r>
              <w:rPr>
                <w:i w:val="false"/>
              </w:rPr>
              <w:t>每月</w:t>
            </w:r>
            <w:r>
              <w:rPr>
                <w:i w:val="false"/>
              </w:rPr>
              <w:t>1,000</w:t>
            </w:r>
            <w:r>
              <w:rPr>
                <w:i w:val="false"/>
              </w:rPr>
              <w:t>元</w:t>
            </w:r>
            <w:r>
              <w:rPr>
                <w:i w:val="false"/>
              </w:rPr>
              <w:t>)</w:t>
            </w:r>
          </w:p>
        </w:tc>
        <w:tc>
          <w:tcPr>
            <w:tcW w:w="2645" w:type="dxa"/>
            <w:tcBorders/>
          </w:tcPr>
          <w:p>
            <w:pPr>
              <w:pStyle w:val="Style15"/>
              <w:tabs>
                <w:tab w:val="clear" w:pos="567"/>
              </w:tabs>
              <w:ind w:left="57" w:right="57" w:hanging="0"/>
              <w:jc w:val="center"/>
              <w:rPr>
                <w:i w:val="false"/>
                <w:i w:val="false"/>
              </w:rPr>
            </w:pPr>
            <w:r>
              <w:rPr>
                <w:i w:val="false"/>
              </w:rPr>
              <w:t>439</w:t>
            </w:r>
          </w:p>
        </w:tc>
      </w:tr>
      <w:tr>
        <w:trPr/>
        <w:tc>
          <w:tcPr>
            <w:tcW w:w="5180" w:type="dxa"/>
            <w:tcBorders/>
          </w:tcPr>
          <w:p>
            <w:pPr>
              <w:pStyle w:val="Style15"/>
              <w:tabs>
                <w:tab w:val="clear" w:pos="567"/>
              </w:tabs>
              <w:ind w:left="57" w:right="57" w:hanging="0"/>
              <w:rPr>
                <w:i w:val="false"/>
                <w:i w:val="false"/>
              </w:rPr>
            </w:pPr>
            <w:r>
              <w:rPr>
                <w:i w:val="false"/>
              </w:rPr>
              <w:t>四分之三津貼額</w:t>
            </w:r>
            <w:r>
              <w:rPr>
                <w:i w:val="false"/>
              </w:rPr>
              <w:t>(</w:t>
            </w:r>
            <w:r>
              <w:rPr>
                <w:i w:val="false"/>
              </w:rPr>
              <w:t>每月</w:t>
            </w:r>
            <w:r>
              <w:rPr>
                <w:i w:val="false"/>
              </w:rPr>
              <w:t>750</w:t>
            </w:r>
            <w:r>
              <w:rPr>
                <w:i w:val="false"/>
              </w:rPr>
              <w:t>元</w:t>
            </w:r>
            <w:r>
              <w:rPr>
                <w:i w:val="false"/>
              </w:rPr>
              <w:t>)</w:t>
            </w:r>
          </w:p>
        </w:tc>
        <w:tc>
          <w:tcPr>
            <w:tcW w:w="2645" w:type="dxa"/>
            <w:tcBorders/>
          </w:tcPr>
          <w:p>
            <w:pPr>
              <w:pStyle w:val="Style15"/>
              <w:tabs>
                <w:tab w:val="clear" w:pos="567"/>
              </w:tabs>
              <w:ind w:left="57" w:right="1078" w:hanging="0"/>
              <w:jc w:val="right"/>
              <w:rPr>
                <w:i w:val="false"/>
                <w:i w:val="false"/>
              </w:rPr>
            </w:pPr>
            <w:r>
              <w:rPr>
                <w:i w:val="false"/>
              </w:rPr>
              <w:t>23</w:t>
            </w:r>
          </w:p>
        </w:tc>
      </w:tr>
      <w:tr>
        <w:trPr/>
        <w:tc>
          <w:tcPr>
            <w:tcW w:w="5180" w:type="dxa"/>
            <w:tcBorders/>
          </w:tcPr>
          <w:p>
            <w:pPr>
              <w:pStyle w:val="Style15"/>
              <w:tabs>
                <w:tab w:val="clear" w:pos="567"/>
              </w:tabs>
              <w:ind w:left="57" w:right="57" w:hanging="0"/>
              <w:rPr>
                <w:i w:val="false"/>
                <w:i w:val="false"/>
              </w:rPr>
            </w:pPr>
            <w:r>
              <w:rPr>
                <w:i w:val="false"/>
              </w:rPr>
              <w:t>半額津貼</w:t>
            </w:r>
            <w:r>
              <w:rPr>
                <w:i w:val="false"/>
              </w:rPr>
              <w:t>(</w:t>
            </w:r>
            <w:r>
              <w:rPr>
                <w:i w:val="false"/>
              </w:rPr>
              <w:t>每月</w:t>
            </w:r>
            <w:r>
              <w:rPr>
                <w:i w:val="false"/>
              </w:rPr>
              <w:t>500</w:t>
            </w:r>
            <w:r>
              <w:rPr>
                <w:i w:val="false"/>
              </w:rPr>
              <w:t>元</w:t>
            </w:r>
            <w:r>
              <w:rPr>
                <w:i w:val="false"/>
              </w:rPr>
              <w:t>)</w:t>
            </w:r>
          </w:p>
        </w:tc>
        <w:tc>
          <w:tcPr>
            <w:tcW w:w="2645" w:type="dxa"/>
            <w:tcBorders/>
          </w:tcPr>
          <w:p>
            <w:pPr>
              <w:pStyle w:val="Style15"/>
              <w:tabs>
                <w:tab w:val="clear" w:pos="567"/>
              </w:tabs>
              <w:ind w:left="57" w:right="1078" w:hanging="0"/>
              <w:jc w:val="right"/>
              <w:rPr>
                <w:i w:val="false"/>
                <w:i w:val="false"/>
              </w:rPr>
            </w:pPr>
            <w:r>
              <w:rPr>
                <w:i w:val="false"/>
              </w:rPr>
              <w:t>12</w:t>
            </w:r>
          </w:p>
        </w:tc>
      </w:tr>
    </w:tbl>
    <w:p>
      <w:pPr>
        <w:pStyle w:val="Style15"/>
        <w:rPr>
          <w:i w:val="false"/>
          <w:i w:val="false"/>
        </w:rPr>
      </w:pPr>
      <w:r>
        <w:rPr>
          <w:i w:val="false"/>
        </w:rPr>
      </w:r>
    </w:p>
    <w:p>
      <w:pPr>
        <w:pStyle w:val="Style15"/>
        <w:rPr>
          <w:i w:val="false"/>
          <w:i w:val="false"/>
        </w:rPr>
      </w:pPr>
      <w:r>
        <w:rPr>
          <w:i w:val="false"/>
        </w:rPr>
        <w:tab/>
      </w:r>
      <w:r>
        <w:rPr>
          <w:i w:val="false"/>
        </w:rPr>
        <w:t>社署沒有備存試驗計劃按受惠人造口類別劃分的數字。</w:t>
      </w:r>
    </w:p>
    <w:p>
      <w:pPr>
        <w:pStyle w:val="Style15"/>
        <w:rPr>
          <w:i w:val="false"/>
          <w:i w:val="false"/>
        </w:rPr>
      </w:pPr>
      <w:r>
        <w:rPr>
          <w:i w:val="false"/>
        </w:rPr>
      </w:r>
    </w:p>
    <w:p>
      <w:pPr>
        <w:pStyle w:val="Style15"/>
        <w:rPr>
          <w:i w:val="false"/>
          <w:i w:val="false"/>
        </w:rPr>
      </w:pPr>
      <w:r>
        <w:rPr>
          <w:i w:val="false"/>
        </w:rPr>
        <w:t>(</w:t>
      </w:r>
      <w:r>
        <w:rPr>
          <w:i w:val="false"/>
        </w:rPr>
        <w:t>二</w:t>
      </w:r>
      <w:r>
        <w:rPr>
          <w:i w:val="false"/>
        </w:rPr>
        <w:t>)</w:t>
        <w:tab/>
      </w:r>
      <w:r>
        <w:rPr>
          <w:i w:val="false"/>
        </w:rPr>
        <w:t>試驗計劃將於</w:t>
      </w:r>
      <w:r>
        <w:rPr>
          <w:i w:val="false"/>
        </w:rPr>
        <w:t>2020</w:t>
      </w:r>
      <w:r>
        <w:rPr>
          <w:i w:val="false"/>
        </w:rPr>
        <w:t>年</w:t>
      </w:r>
      <w:r>
        <w:rPr>
          <w:i w:val="false"/>
        </w:rPr>
        <w:t>8</w:t>
      </w:r>
      <w:r>
        <w:rPr>
          <w:i w:val="false"/>
        </w:rPr>
        <w:t>月完結。社署會檢討計劃的成效，以建議是否會把計劃納入恆常資助項目及若會的話，計劃的未來執行安排，包括釐定津貼金額及受惠資格等。</w:t>
      </w:r>
    </w:p>
    <w:p>
      <w:pPr>
        <w:pStyle w:val="Style15"/>
        <w:rPr>
          <w:i w:val="false"/>
          <w:i w:val="false"/>
        </w:rPr>
      </w:pPr>
      <w:r>
        <w:rPr>
          <w:i w:val="false"/>
        </w:rPr>
      </w:r>
    </w:p>
    <w:p>
      <w:pPr>
        <w:pStyle w:val="Style15"/>
        <w:rPr>
          <w:i w:val="false"/>
          <w:i w:val="false"/>
        </w:rPr>
      </w:pPr>
      <w:r>
        <w:rPr>
          <w:i w:val="false"/>
        </w:rPr>
        <w:t>(</w:t>
      </w:r>
      <w:r>
        <w:rPr>
          <w:i w:val="false"/>
        </w:rPr>
        <w:t>三</w:t>
      </w:r>
      <w:r>
        <w:rPr>
          <w:i w:val="false"/>
        </w:rPr>
        <w:t>)</w:t>
        <w:tab/>
      </w:r>
      <w:r>
        <w:rPr>
          <w:i w:val="false"/>
        </w:rPr>
        <w:t>公共福利金計劃下的傷殘津貼，是一項無須供款和不設經濟審查的現金津貼。社署為合資格人士發放津貼的目的是協助嚴重殘疾的香港居民應付因其殘疾情況而引致的特別需要。申請人須被評為嚴重殘疾及其嚴重殘疾情況將持續不少於</w:t>
      </w:r>
      <w:r>
        <w:rPr>
          <w:i w:val="false"/>
        </w:rPr>
        <w:t>6</w:t>
      </w:r>
      <w:r>
        <w:rPr>
          <w:i w:val="false"/>
        </w:rPr>
        <w:t>個月。傷殘津貼的醫療評估由衞生署或醫院管理局醫生進行。有關醫生的主要職責是為病人診斷病症，評估病人身體或精神情況和功能，從而提供適當治療及跟進病情。在現時的安排下，醫生會於覆診時，根據傷殘津貼醫療評估準則為病人作醫療評估，而大部分醫療評估均由主診醫生</w:t>
      </w:r>
      <w:r>
        <w:rPr>
          <w:i w:val="false"/>
        </w:rPr>
        <w:t>(</w:t>
      </w:r>
      <w:r>
        <w:rPr>
          <w:i w:val="false"/>
        </w:rPr>
        <w:t>包括普通科或專科</w:t>
      </w:r>
      <w:r>
        <w:rPr>
          <w:i w:val="false"/>
        </w:rPr>
        <w:t>)</w:t>
      </w:r>
      <w:r>
        <w:rPr>
          <w:i w:val="false"/>
        </w:rPr>
        <w:t>負責。社署會按醫療評估結果及其他申領準則審批申請。</w:t>
      </w:r>
    </w:p>
    <w:p>
      <w:pPr>
        <w:pStyle w:val="F21"/>
        <w:overflowPunct w:val="true"/>
        <w:rPr>
          <w:rFonts w:cs="Times New Roman"/>
        </w:rPr>
      </w:pPr>
      <w:r>
        <w:rPr>
          <w:rFonts w:cs="Times New Roman"/>
        </w:rPr>
      </w:r>
    </w:p>
    <w:p>
      <w:pPr>
        <w:pStyle w:val="F21"/>
        <w:overflowPunct w:val="true"/>
        <w:rPr>
          <w:rFonts w:cs="Times New Roman"/>
        </w:rPr>
      </w:pPr>
      <w:r>
        <w:rPr>
          <w:rFonts w:cs="Times New Roman"/>
        </w:rPr>
      </w:r>
    </w:p>
    <w:p>
      <w:pPr>
        <w:pStyle w:val="F21"/>
        <w:overflowPunct w:val="true"/>
        <w:rPr>
          <w:rFonts w:eastAsia="華康中黑體" w:cs="Times New Roman"/>
          <w:b/>
          <w:b/>
        </w:rPr>
      </w:pPr>
      <w:bookmarkStart w:id="45" w:name="wrq16"/>
      <w:r>
        <w:rPr>
          <w:rFonts w:cs="Times New Roman" w:eastAsia="華康中黑體"/>
          <w:b/>
        </w:rPr>
        <w:t>對金融科技應用的監管</w:t>
      </w:r>
    </w:p>
    <w:p>
      <w:pPr>
        <w:pStyle w:val="Normal"/>
        <w:overflowPunct w:val="true"/>
        <w:rPr>
          <w:b/>
          <w:b/>
        </w:rPr>
      </w:pPr>
      <w:bookmarkStart w:id="46" w:name="wrq16"/>
      <w:r>
        <w:rPr>
          <w:b/>
        </w:rPr>
        <w:t>Regulation of financial technology applications</w:t>
      </w:r>
      <w:bookmarkEnd w:id="46"/>
    </w:p>
    <w:p>
      <w:pPr>
        <w:pStyle w:val="F21"/>
        <w:overflowPunct w:val="true"/>
        <w:rPr>
          <w:rFonts w:cs="Times New Roman"/>
        </w:rPr>
      </w:pPr>
      <w:r>
        <w:rPr>
          <w:rFonts w:cs="Times New Roman"/>
        </w:rPr>
      </w:r>
    </w:p>
    <w:p>
      <w:pPr>
        <w:pStyle w:val="F21"/>
        <w:rPr>
          <w:i/>
          <w:i/>
          <w:szCs w:val="27"/>
        </w:rPr>
      </w:pPr>
      <w:r>
        <w:rPr>
          <w:rFonts w:eastAsia="華康中黑體" w:cs="Times New Roman"/>
          <w:b/>
          <w:szCs w:val="27"/>
        </w:rPr>
        <w:t>16.</w:t>
        <w:tab/>
      </w:r>
      <w:r>
        <w:rPr>
          <w:rFonts w:cs="Times New Roman" w:eastAsia="華康中黑體"/>
          <w:b/>
          <w:szCs w:val="27"/>
        </w:rPr>
        <w:t>郭榮鏗議員</w:t>
      </w:r>
      <w:r>
        <w:rPr>
          <w:szCs w:val="27"/>
        </w:rPr>
        <w:t>：</w:t>
      </w:r>
      <w:r>
        <w:rPr>
          <w:i/>
          <w:szCs w:val="27"/>
        </w:rPr>
        <w:t>主席，證券及期貨事務監察委員會</w:t>
      </w:r>
      <w:r>
        <w:rPr>
          <w:i/>
          <w:szCs w:val="27"/>
        </w:rPr>
        <w:t>(</w:t>
      </w:r>
      <w:r>
        <w:rPr>
          <w:rFonts w:cs="Times New Roman"/>
          <w:i/>
          <w:szCs w:val="27"/>
        </w:rPr>
        <w:t>"</w:t>
      </w:r>
      <w:r>
        <w:rPr>
          <w:i/>
          <w:szCs w:val="27"/>
        </w:rPr>
        <w:t>證監會</w:t>
      </w:r>
      <w:r>
        <w:rPr>
          <w:rFonts w:cs="Times New Roman"/>
          <w:i/>
          <w:szCs w:val="27"/>
        </w:rPr>
        <w:t>"</w:t>
      </w:r>
      <w:r>
        <w:rPr>
          <w:i/>
          <w:szCs w:val="27"/>
        </w:rPr>
        <w:t>)</w:t>
      </w:r>
      <w:r>
        <w:rPr>
          <w:i/>
          <w:szCs w:val="27"/>
        </w:rPr>
        <w:t>在去年</w:t>
      </w:r>
      <w:r>
        <w:rPr>
          <w:i/>
          <w:szCs w:val="27"/>
        </w:rPr>
        <w:t>11</w:t>
      </w:r>
      <w:r>
        <w:rPr>
          <w:i/>
          <w:szCs w:val="27"/>
        </w:rPr>
        <w:t>月發布有關虛擬資產的新監管方針，以將虛擬資產投資組合管理公司及虛擬資產基金分銷商納入證監會的監管範圍，包括對該等管理公司施加發牌條件，以及探討對虛擬資產交易平台營運者作出監管。此外，證監會於</w:t>
      </w:r>
      <w:r>
        <w:rPr>
          <w:i/>
          <w:szCs w:val="27"/>
        </w:rPr>
        <w:t>2017</w:t>
      </w:r>
      <w:r>
        <w:rPr>
          <w:i/>
          <w:szCs w:val="27"/>
        </w:rPr>
        <w:t>年</w:t>
      </w:r>
      <w:r>
        <w:rPr>
          <w:i/>
          <w:szCs w:val="27"/>
        </w:rPr>
        <w:t>9</w:t>
      </w:r>
      <w:r>
        <w:rPr>
          <w:i/>
          <w:szCs w:val="27"/>
        </w:rPr>
        <w:t>月推出證監會監管沙盒，提供一個受限制的監管環境，以便合資格企業使用金融科技來進行受監管活動。關於金融科技應用的監管，政府可否告知本會：</w:t>
      </w:r>
    </w:p>
    <w:p>
      <w:pPr>
        <w:pStyle w:val="F21"/>
        <w:rPr>
          <w:i/>
          <w:i/>
          <w:szCs w:val="27"/>
        </w:rPr>
      </w:pPr>
      <w:r>
        <w:rPr>
          <w:i/>
          <w:szCs w:val="27"/>
        </w:rPr>
      </w:r>
    </w:p>
    <w:p>
      <w:pPr>
        <w:pStyle w:val="F21"/>
        <w:ind w:left="1418" w:hanging="851"/>
        <w:rPr>
          <w:i/>
          <w:i/>
          <w:szCs w:val="27"/>
        </w:rPr>
      </w:pPr>
      <w:r>
        <w:rPr>
          <w:i/>
          <w:szCs w:val="27"/>
        </w:rPr>
        <w:t>(</w:t>
      </w:r>
      <w:r>
        <w:rPr>
          <w:i/>
          <w:szCs w:val="27"/>
        </w:rPr>
        <w:t>一</w:t>
      </w:r>
      <w:r>
        <w:rPr>
          <w:i/>
          <w:szCs w:val="27"/>
        </w:rPr>
        <w:t>)</w:t>
        <w:tab/>
      </w:r>
      <w:r>
        <w:rPr>
          <w:i/>
          <w:szCs w:val="27"/>
        </w:rPr>
        <w:t>有否計劃修訂法例，把虛擬貨幣的交易活動納入證監會的監管範圍；如有，詳情為何；如否，原因為何；</w:t>
      </w:r>
    </w:p>
    <w:p>
      <w:pPr>
        <w:pStyle w:val="F21"/>
        <w:ind w:left="1418" w:hanging="851"/>
        <w:rPr>
          <w:i/>
          <w:i/>
          <w:szCs w:val="27"/>
        </w:rPr>
      </w:pPr>
      <w:r>
        <w:rPr>
          <w:i/>
          <w:szCs w:val="27"/>
        </w:rPr>
      </w:r>
    </w:p>
    <w:p>
      <w:pPr>
        <w:pStyle w:val="F21"/>
        <w:ind w:left="1418" w:hanging="851"/>
        <w:rPr>
          <w:i/>
          <w:i/>
          <w:szCs w:val="27"/>
        </w:rPr>
      </w:pPr>
      <w:r>
        <w:rPr>
          <w:i/>
          <w:szCs w:val="27"/>
        </w:rPr>
        <w:t>(</w:t>
      </w:r>
      <w:r>
        <w:rPr>
          <w:i/>
          <w:szCs w:val="27"/>
        </w:rPr>
        <w:t>二</w:t>
      </w:r>
      <w:r>
        <w:rPr>
          <w:i/>
          <w:szCs w:val="27"/>
        </w:rPr>
        <w:t>)</w:t>
        <w:tab/>
      </w:r>
      <w:r>
        <w:rPr>
          <w:i/>
          <w:szCs w:val="27"/>
        </w:rPr>
        <w:t>有何措施防止不法分子透過買賣現時不受法例監管的虛擬貨幣進行洗錢活動及其他非法活動；</w:t>
      </w:r>
    </w:p>
    <w:p>
      <w:pPr>
        <w:pStyle w:val="F21"/>
        <w:ind w:left="1418" w:hanging="851"/>
        <w:rPr>
          <w:i/>
          <w:i/>
          <w:szCs w:val="27"/>
        </w:rPr>
      </w:pPr>
      <w:r>
        <w:rPr>
          <w:i/>
          <w:szCs w:val="27"/>
        </w:rPr>
      </w:r>
    </w:p>
    <w:p>
      <w:pPr>
        <w:pStyle w:val="F21"/>
        <w:ind w:left="1418" w:hanging="851"/>
        <w:rPr>
          <w:i/>
          <w:i/>
          <w:szCs w:val="27"/>
        </w:rPr>
      </w:pPr>
      <w:r>
        <w:rPr>
          <w:i/>
          <w:szCs w:val="27"/>
        </w:rPr>
        <w:t>(</w:t>
      </w:r>
      <w:r>
        <w:rPr>
          <w:i/>
          <w:szCs w:val="27"/>
        </w:rPr>
        <w:t>三</w:t>
      </w:r>
      <w:r>
        <w:rPr>
          <w:i/>
          <w:szCs w:val="27"/>
        </w:rPr>
        <w:t>)</w:t>
        <w:tab/>
      </w:r>
      <w:r>
        <w:rPr>
          <w:i/>
          <w:szCs w:val="27"/>
        </w:rPr>
        <w:t>是否知悉，證監會自發布新監管方針以來，曾對有關公司及分銷商採取的監管行動為何；</w:t>
      </w:r>
    </w:p>
    <w:p>
      <w:pPr>
        <w:pStyle w:val="F21"/>
        <w:ind w:left="1418" w:hanging="851"/>
        <w:rPr>
          <w:i/>
          <w:i/>
          <w:szCs w:val="27"/>
        </w:rPr>
      </w:pPr>
      <w:r>
        <w:rPr>
          <w:i/>
          <w:szCs w:val="27"/>
        </w:rPr>
      </w:r>
    </w:p>
    <w:p>
      <w:pPr>
        <w:pStyle w:val="F21"/>
        <w:ind w:left="1418" w:hanging="851"/>
        <w:rPr>
          <w:i/>
          <w:i/>
          <w:szCs w:val="27"/>
        </w:rPr>
      </w:pPr>
      <w:r>
        <w:rPr>
          <w:i/>
          <w:szCs w:val="27"/>
        </w:rPr>
        <w:t>(</w:t>
      </w:r>
      <w:r>
        <w:rPr>
          <w:i/>
          <w:szCs w:val="27"/>
        </w:rPr>
        <w:t>四</w:t>
      </w:r>
      <w:r>
        <w:rPr>
          <w:i/>
          <w:szCs w:val="27"/>
        </w:rPr>
        <w:t>)</w:t>
        <w:tab/>
      </w:r>
      <w:r>
        <w:rPr>
          <w:i/>
          <w:szCs w:val="27"/>
        </w:rPr>
        <w:t>是否知悉，證監會監管沙盒有否就眾籌集資平台的活動進行測試；如有，成果及運作情況為何；會否修改現行法例以便利使用金融科技進行的新型眾籌集資活動在港推行；如會，詳情及時間表為何；如否，原因為何；</w:t>
      </w:r>
    </w:p>
    <w:p>
      <w:pPr>
        <w:pStyle w:val="F21"/>
        <w:ind w:left="1418" w:hanging="851"/>
        <w:rPr>
          <w:i/>
          <w:i/>
          <w:szCs w:val="27"/>
        </w:rPr>
      </w:pPr>
      <w:r>
        <w:rPr>
          <w:i/>
          <w:szCs w:val="27"/>
        </w:rPr>
      </w:r>
    </w:p>
    <w:p>
      <w:pPr>
        <w:pStyle w:val="F21"/>
        <w:ind w:left="1418" w:hanging="851"/>
        <w:rPr>
          <w:i/>
          <w:i/>
          <w:szCs w:val="27"/>
        </w:rPr>
      </w:pPr>
      <w:r>
        <w:rPr>
          <w:i/>
          <w:szCs w:val="27"/>
        </w:rPr>
        <w:t>(</w:t>
      </w:r>
      <w:r>
        <w:rPr>
          <w:i/>
          <w:szCs w:val="27"/>
        </w:rPr>
        <w:t>五</w:t>
      </w:r>
      <w:r>
        <w:rPr>
          <w:i/>
          <w:szCs w:val="27"/>
        </w:rPr>
        <w:t>)</w:t>
        <w:tab/>
      </w:r>
      <w:r>
        <w:rPr>
          <w:i/>
          <w:szCs w:val="27"/>
        </w:rPr>
        <w:t>是否知悉，證監會監管沙盒現時有否把透過人工智能進行的證券交易活動納入監管及研究範圍；如有，成果為何；如否，原因為何；及</w:t>
      </w:r>
    </w:p>
    <w:p>
      <w:pPr>
        <w:pStyle w:val="F21"/>
        <w:ind w:left="1418" w:hanging="851"/>
        <w:rPr>
          <w:i/>
          <w:i/>
          <w:szCs w:val="27"/>
        </w:rPr>
      </w:pPr>
      <w:r>
        <w:rPr>
          <w:i/>
          <w:szCs w:val="27"/>
        </w:rPr>
      </w:r>
    </w:p>
    <w:p>
      <w:pPr>
        <w:pStyle w:val="F21"/>
        <w:ind w:left="1418" w:hanging="851"/>
        <w:rPr>
          <w:i/>
          <w:i/>
          <w:szCs w:val="27"/>
        </w:rPr>
      </w:pPr>
      <w:r>
        <w:rPr>
          <w:i/>
          <w:szCs w:val="27"/>
        </w:rPr>
        <w:t>(</w:t>
      </w:r>
      <w:r>
        <w:rPr>
          <w:i/>
          <w:szCs w:val="27"/>
        </w:rPr>
        <w:t>六</w:t>
      </w:r>
      <w:r>
        <w:rPr>
          <w:i/>
          <w:szCs w:val="27"/>
        </w:rPr>
        <w:t>)</w:t>
        <w:tab/>
      </w:r>
      <w:r>
        <w:rPr>
          <w:i/>
          <w:szCs w:val="27"/>
        </w:rPr>
        <w:t>證監會監管沙盒曾經或正在進行的測試的下列詳情</w:t>
      </w:r>
      <w:r>
        <w:rPr>
          <w:i/>
          <w:szCs w:val="27"/>
        </w:rPr>
        <w:t>(</w:t>
      </w:r>
      <w:r>
        <w:rPr>
          <w:i/>
          <w:szCs w:val="27"/>
        </w:rPr>
        <w:t>按產品以下表列出</w:t>
      </w:r>
      <w:r>
        <w:rPr>
          <w:i/>
          <w:szCs w:val="27"/>
        </w:rPr>
        <w:t>)</w:t>
      </w:r>
      <w:r>
        <w:rPr>
          <w:i/>
          <w:szCs w:val="27"/>
        </w:rPr>
        <w:t>：</w:t>
      </w:r>
    </w:p>
    <w:p>
      <w:pPr>
        <w:pStyle w:val="Normal"/>
        <w:widowControl/>
        <w:tabs>
          <w:tab w:val="clear" w:pos="720"/>
        </w:tabs>
        <w:snapToGrid w:val="true"/>
        <w:spacing w:lineRule="auto" w:line="276" w:before="0" w:after="200"/>
        <w:jc w:val="left"/>
        <w:rPr>
          <w:i/>
          <w:i/>
          <w:szCs w:val="27"/>
        </w:rPr>
      </w:pPr>
      <w:r>
        <w:rPr>
          <w:i/>
          <w:szCs w:val="27"/>
        </w:rPr>
      </w:r>
      <w:r>
        <w:br w:type="page"/>
      </w:r>
    </w:p>
    <w:p>
      <w:pPr>
        <w:pStyle w:val="F21"/>
        <w:ind w:left="2269" w:hanging="851"/>
        <w:rPr>
          <w:i/>
          <w:i/>
          <w:szCs w:val="27"/>
        </w:rPr>
      </w:pPr>
      <w:r>
        <w:rPr>
          <w:i/>
          <w:szCs w:val="27"/>
        </w:rPr>
        <w:t>(i)</w:t>
        <w:tab/>
      </w:r>
      <w:r>
        <w:rPr>
          <w:i/>
          <w:szCs w:val="27"/>
        </w:rPr>
        <w:t>測試開始日期、</w:t>
      </w:r>
    </w:p>
    <w:p>
      <w:pPr>
        <w:pStyle w:val="F21"/>
        <w:ind w:left="2269" w:hanging="851"/>
        <w:rPr>
          <w:i/>
          <w:i/>
          <w:szCs w:val="27"/>
        </w:rPr>
      </w:pPr>
      <w:r>
        <w:rPr>
          <w:i/>
          <w:szCs w:val="27"/>
        </w:rPr>
      </w:r>
    </w:p>
    <w:p>
      <w:pPr>
        <w:pStyle w:val="F21"/>
        <w:ind w:left="2269" w:hanging="851"/>
        <w:rPr>
          <w:i/>
          <w:i/>
          <w:szCs w:val="27"/>
        </w:rPr>
      </w:pPr>
      <w:r>
        <w:rPr>
          <w:i/>
          <w:szCs w:val="27"/>
        </w:rPr>
        <w:t>(ii)</w:t>
        <w:tab/>
      </w:r>
      <w:r>
        <w:rPr>
          <w:i/>
          <w:szCs w:val="27"/>
        </w:rPr>
        <w:t>測試完結日期、</w:t>
      </w:r>
    </w:p>
    <w:p>
      <w:pPr>
        <w:pStyle w:val="F21"/>
        <w:ind w:left="2269" w:hanging="851"/>
        <w:rPr>
          <w:i/>
          <w:i/>
          <w:szCs w:val="27"/>
        </w:rPr>
      </w:pPr>
      <w:r>
        <w:rPr>
          <w:i/>
          <w:szCs w:val="27"/>
        </w:rPr>
      </w:r>
    </w:p>
    <w:p>
      <w:pPr>
        <w:pStyle w:val="F21"/>
        <w:ind w:left="2269" w:hanging="851"/>
        <w:rPr>
          <w:i/>
          <w:i/>
          <w:szCs w:val="27"/>
        </w:rPr>
      </w:pPr>
      <w:r>
        <w:rPr>
          <w:i/>
          <w:szCs w:val="27"/>
        </w:rPr>
        <w:t>(iii)</w:t>
        <w:tab/>
      </w:r>
      <w:r>
        <w:rPr>
          <w:i/>
          <w:szCs w:val="27"/>
        </w:rPr>
        <w:t>完結原因、</w:t>
      </w:r>
    </w:p>
    <w:p>
      <w:pPr>
        <w:pStyle w:val="F21"/>
        <w:ind w:left="2269" w:hanging="851"/>
        <w:rPr>
          <w:i/>
          <w:i/>
          <w:szCs w:val="27"/>
        </w:rPr>
      </w:pPr>
      <w:r>
        <w:rPr>
          <w:i/>
          <w:szCs w:val="27"/>
        </w:rPr>
      </w:r>
    </w:p>
    <w:p>
      <w:pPr>
        <w:pStyle w:val="F21"/>
        <w:ind w:left="2269" w:hanging="851"/>
        <w:rPr>
          <w:i/>
          <w:i/>
          <w:szCs w:val="27"/>
        </w:rPr>
      </w:pPr>
      <w:r>
        <w:rPr>
          <w:i/>
          <w:szCs w:val="27"/>
        </w:rPr>
        <w:t>(iv)</w:t>
        <w:tab/>
      </w:r>
      <w:r>
        <w:rPr>
          <w:i/>
          <w:szCs w:val="27"/>
        </w:rPr>
        <w:t>是否涉及法例的修訂、</w:t>
      </w:r>
    </w:p>
    <w:p>
      <w:pPr>
        <w:pStyle w:val="F21"/>
        <w:ind w:left="2269" w:hanging="851"/>
        <w:rPr>
          <w:i/>
          <w:i/>
          <w:szCs w:val="27"/>
        </w:rPr>
      </w:pPr>
      <w:r>
        <w:rPr>
          <w:i/>
          <w:szCs w:val="27"/>
        </w:rPr>
      </w:r>
    </w:p>
    <w:p>
      <w:pPr>
        <w:pStyle w:val="F21"/>
        <w:ind w:left="2269" w:hanging="851"/>
        <w:rPr>
          <w:i/>
          <w:i/>
          <w:szCs w:val="27"/>
        </w:rPr>
      </w:pPr>
      <w:r>
        <w:rPr>
          <w:i/>
          <w:szCs w:val="27"/>
        </w:rPr>
        <w:t>(v)</w:t>
        <w:tab/>
        <w:t>(</w:t>
      </w:r>
      <w:r>
        <w:rPr>
          <w:i/>
          <w:szCs w:val="27"/>
        </w:rPr>
        <w:t>如涉及法例修訂</w:t>
      </w:r>
      <w:r>
        <w:rPr>
          <w:i/>
          <w:szCs w:val="27"/>
        </w:rPr>
        <w:t>)</w:t>
      </w:r>
      <w:r>
        <w:rPr>
          <w:i/>
          <w:szCs w:val="27"/>
        </w:rPr>
        <w:t>修訂的詳情，及</w:t>
      </w:r>
    </w:p>
    <w:p>
      <w:pPr>
        <w:pStyle w:val="F21"/>
        <w:ind w:left="2269" w:hanging="851"/>
        <w:rPr>
          <w:i/>
          <w:i/>
          <w:szCs w:val="27"/>
        </w:rPr>
      </w:pPr>
      <w:r>
        <w:rPr>
          <w:i/>
          <w:szCs w:val="27"/>
        </w:rPr>
      </w:r>
    </w:p>
    <w:p>
      <w:pPr>
        <w:pStyle w:val="F21"/>
        <w:ind w:left="2269" w:hanging="851"/>
        <w:rPr>
          <w:i/>
          <w:i/>
          <w:szCs w:val="27"/>
        </w:rPr>
      </w:pPr>
      <w:r>
        <w:rPr>
          <w:i/>
          <w:szCs w:val="27"/>
        </w:rPr>
        <w:t>(vi)</w:t>
        <w:tab/>
        <w:t>(</w:t>
      </w:r>
      <w:r>
        <w:rPr>
          <w:i/>
          <w:szCs w:val="27"/>
        </w:rPr>
        <w:t>如不涉法例修訂</w:t>
      </w:r>
      <w:r>
        <w:rPr>
          <w:i/>
          <w:szCs w:val="27"/>
        </w:rPr>
        <w:t>)</w:t>
      </w:r>
      <w:r>
        <w:rPr>
          <w:i/>
          <w:szCs w:val="27"/>
        </w:rPr>
        <w:t>不涉修訂的原因？</w:t>
      </w:r>
    </w:p>
    <w:p>
      <w:pPr>
        <w:pStyle w:val="F21"/>
        <w:ind w:left="2269" w:hanging="851"/>
        <w:rPr>
          <w:i/>
          <w:i/>
          <w:szCs w:val="27"/>
        </w:rPr>
      </w:pPr>
      <w:r>
        <w:rPr>
          <w:i/>
          <w:szCs w:val="27"/>
        </w:rPr>
      </w:r>
    </w:p>
    <w:tbl>
      <w:tblPr>
        <w:tblStyle w:val="a9"/>
        <w:tblW w:w="7805" w:type="dxa"/>
        <w:jc w:val="left"/>
        <w:tblInd w:w="1418" w:type="dxa"/>
        <w:tblCellMar>
          <w:top w:w="0" w:type="dxa"/>
          <w:left w:w="108" w:type="dxa"/>
          <w:bottom w:w="0" w:type="dxa"/>
          <w:right w:w="108" w:type="dxa"/>
        </w:tblCellMar>
        <w:tblLook w:val="04a0" w:noHBand="0" w:noVBand="1" w:firstColumn="1" w:lastRow="0" w:lastColumn="0" w:firstRow="1"/>
      </w:tblPr>
      <w:tblGrid>
        <w:gridCol w:w="1706"/>
        <w:gridCol w:w="1015"/>
        <w:gridCol w:w="1017"/>
        <w:gridCol w:w="1016"/>
        <w:gridCol w:w="1017"/>
        <w:gridCol w:w="1017"/>
        <w:gridCol w:w="1016"/>
      </w:tblGrid>
      <w:tr>
        <w:trPr/>
        <w:tc>
          <w:tcPr>
            <w:tcW w:w="1706" w:type="dxa"/>
            <w:tcBorders/>
            <w:vAlign w:val="center"/>
          </w:tcPr>
          <w:p>
            <w:pPr>
              <w:pStyle w:val="F21"/>
              <w:ind w:left="57" w:right="57" w:hanging="0"/>
              <w:jc w:val="center"/>
              <w:rPr>
                <w:i/>
                <w:i/>
                <w:szCs w:val="27"/>
              </w:rPr>
            </w:pPr>
            <w:r>
              <w:rPr>
                <w:i/>
                <w:szCs w:val="27"/>
              </w:rPr>
              <w:t>測試產品</w:t>
            </w:r>
          </w:p>
        </w:tc>
        <w:tc>
          <w:tcPr>
            <w:tcW w:w="1015" w:type="dxa"/>
            <w:tcBorders/>
            <w:vAlign w:val="center"/>
          </w:tcPr>
          <w:p>
            <w:pPr>
              <w:pStyle w:val="F21"/>
              <w:ind w:left="57" w:right="57" w:hanging="0"/>
              <w:jc w:val="center"/>
              <w:rPr>
                <w:i/>
                <w:i/>
                <w:szCs w:val="27"/>
              </w:rPr>
            </w:pPr>
            <w:r>
              <w:rPr>
                <w:i/>
                <w:szCs w:val="27"/>
              </w:rPr>
              <w:t>(i)</w:t>
            </w:r>
          </w:p>
        </w:tc>
        <w:tc>
          <w:tcPr>
            <w:tcW w:w="1017" w:type="dxa"/>
            <w:tcBorders/>
            <w:vAlign w:val="center"/>
          </w:tcPr>
          <w:p>
            <w:pPr>
              <w:pStyle w:val="F21"/>
              <w:ind w:left="57" w:right="57" w:hanging="0"/>
              <w:jc w:val="center"/>
              <w:rPr>
                <w:i/>
                <w:i/>
                <w:szCs w:val="27"/>
              </w:rPr>
            </w:pPr>
            <w:r>
              <w:rPr>
                <w:i/>
                <w:szCs w:val="27"/>
              </w:rPr>
              <w:t>(ii)</w:t>
            </w:r>
          </w:p>
        </w:tc>
        <w:tc>
          <w:tcPr>
            <w:tcW w:w="1016" w:type="dxa"/>
            <w:tcBorders/>
            <w:vAlign w:val="center"/>
          </w:tcPr>
          <w:p>
            <w:pPr>
              <w:pStyle w:val="F21"/>
              <w:ind w:left="57" w:right="57" w:hanging="0"/>
              <w:jc w:val="center"/>
              <w:rPr>
                <w:i/>
                <w:i/>
                <w:szCs w:val="27"/>
              </w:rPr>
            </w:pPr>
            <w:r>
              <w:rPr>
                <w:i/>
                <w:szCs w:val="27"/>
              </w:rPr>
              <w:t>(iii)</w:t>
            </w:r>
          </w:p>
        </w:tc>
        <w:tc>
          <w:tcPr>
            <w:tcW w:w="1017" w:type="dxa"/>
            <w:tcBorders/>
            <w:vAlign w:val="center"/>
          </w:tcPr>
          <w:p>
            <w:pPr>
              <w:pStyle w:val="F21"/>
              <w:ind w:left="57" w:right="57" w:hanging="0"/>
              <w:jc w:val="center"/>
              <w:rPr>
                <w:i/>
                <w:i/>
                <w:szCs w:val="27"/>
              </w:rPr>
            </w:pPr>
            <w:r>
              <w:rPr>
                <w:i/>
                <w:szCs w:val="27"/>
              </w:rPr>
              <w:t>(iv)</w:t>
            </w:r>
          </w:p>
        </w:tc>
        <w:tc>
          <w:tcPr>
            <w:tcW w:w="1017" w:type="dxa"/>
            <w:tcBorders/>
            <w:vAlign w:val="center"/>
          </w:tcPr>
          <w:p>
            <w:pPr>
              <w:pStyle w:val="F21"/>
              <w:ind w:left="57" w:right="57" w:hanging="0"/>
              <w:jc w:val="center"/>
              <w:rPr>
                <w:i/>
                <w:i/>
                <w:szCs w:val="27"/>
              </w:rPr>
            </w:pPr>
            <w:r>
              <w:rPr>
                <w:i/>
                <w:szCs w:val="27"/>
              </w:rPr>
              <w:t>(v)</w:t>
            </w:r>
          </w:p>
        </w:tc>
        <w:tc>
          <w:tcPr>
            <w:tcW w:w="1016" w:type="dxa"/>
            <w:tcBorders/>
            <w:vAlign w:val="center"/>
          </w:tcPr>
          <w:p>
            <w:pPr>
              <w:pStyle w:val="F21"/>
              <w:ind w:left="57" w:right="57" w:hanging="0"/>
              <w:jc w:val="center"/>
              <w:rPr>
                <w:i/>
                <w:i/>
                <w:szCs w:val="27"/>
              </w:rPr>
            </w:pPr>
            <w:r>
              <w:rPr>
                <w:i/>
                <w:szCs w:val="27"/>
              </w:rPr>
              <w:t>(vi)</w:t>
            </w:r>
          </w:p>
        </w:tc>
      </w:tr>
      <w:tr>
        <w:trPr/>
        <w:tc>
          <w:tcPr>
            <w:tcW w:w="1706" w:type="dxa"/>
            <w:tcBorders/>
          </w:tcPr>
          <w:p>
            <w:pPr>
              <w:pStyle w:val="F21"/>
              <w:ind w:left="57" w:right="57" w:hanging="0"/>
              <w:rPr>
                <w:i/>
                <w:i/>
                <w:szCs w:val="27"/>
              </w:rPr>
            </w:pPr>
            <w:r>
              <w:rPr>
                <w:i/>
                <w:szCs w:val="27"/>
              </w:rPr>
            </w:r>
          </w:p>
        </w:tc>
        <w:tc>
          <w:tcPr>
            <w:tcW w:w="1015" w:type="dxa"/>
            <w:tcBorders/>
          </w:tcPr>
          <w:p>
            <w:pPr>
              <w:pStyle w:val="F21"/>
              <w:ind w:left="57" w:right="57" w:hanging="0"/>
              <w:rPr>
                <w:i/>
                <w:i/>
                <w:szCs w:val="27"/>
              </w:rPr>
            </w:pPr>
            <w:r>
              <w:rPr>
                <w:i/>
                <w:szCs w:val="27"/>
              </w:rPr>
            </w:r>
          </w:p>
        </w:tc>
        <w:tc>
          <w:tcPr>
            <w:tcW w:w="1017" w:type="dxa"/>
            <w:tcBorders/>
          </w:tcPr>
          <w:p>
            <w:pPr>
              <w:pStyle w:val="F21"/>
              <w:ind w:left="57" w:right="57" w:hanging="0"/>
              <w:rPr>
                <w:i/>
                <w:i/>
                <w:szCs w:val="27"/>
              </w:rPr>
            </w:pPr>
            <w:r>
              <w:rPr>
                <w:i/>
                <w:szCs w:val="27"/>
              </w:rPr>
            </w:r>
          </w:p>
        </w:tc>
        <w:tc>
          <w:tcPr>
            <w:tcW w:w="1016" w:type="dxa"/>
            <w:tcBorders/>
          </w:tcPr>
          <w:p>
            <w:pPr>
              <w:pStyle w:val="F21"/>
              <w:ind w:left="57" w:right="57" w:hanging="0"/>
              <w:rPr>
                <w:i/>
                <w:i/>
                <w:szCs w:val="27"/>
              </w:rPr>
            </w:pPr>
            <w:r>
              <w:rPr>
                <w:i/>
                <w:szCs w:val="27"/>
              </w:rPr>
            </w:r>
          </w:p>
        </w:tc>
        <w:tc>
          <w:tcPr>
            <w:tcW w:w="1017" w:type="dxa"/>
            <w:tcBorders/>
          </w:tcPr>
          <w:p>
            <w:pPr>
              <w:pStyle w:val="F21"/>
              <w:ind w:left="57" w:right="57" w:hanging="0"/>
              <w:rPr>
                <w:i/>
                <w:i/>
                <w:szCs w:val="27"/>
              </w:rPr>
            </w:pPr>
            <w:r>
              <w:rPr>
                <w:i/>
                <w:szCs w:val="27"/>
              </w:rPr>
            </w:r>
          </w:p>
        </w:tc>
        <w:tc>
          <w:tcPr>
            <w:tcW w:w="1017" w:type="dxa"/>
            <w:tcBorders/>
          </w:tcPr>
          <w:p>
            <w:pPr>
              <w:pStyle w:val="F21"/>
              <w:ind w:left="57" w:right="57" w:hanging="0"/>
              <w:rPr>
                <w:i/>
                <w:i/>
                <w:szCs w:val="27"/>
              </w:rPr>
            </w:pPr>
            <w:r>
              <w:rPr>
                <w:i/>
                <w:szCs w:val="27"/>
              </w:rPr>
            </w:r>
          </w:p>
        </w:tc>
        <w:tc>
          <w:tcPr>
            <w:tcW w:w="1016" w:type="dxa"/>
            <w:tcBorders/>
          </w:tcPr>
          <w:p>
            <w:pPr>
              <w:pStyle w:val="F21"/>
              <w:ind w:left="57" w:right="57" w:hanging="0"/>
              <w:rPr>
                <w:i/>
                <w:i/>
                <w:szCs w:val="27"/>
              </w:rPr>
            </w:pPr>
            <w:r>
              <w:rPr>
                <w:i/>
                <w:szCs w:val="27"/>
              </w:rPr>
            </w:r>
          </w:p>
        </w:tc>
      </w:tr>
      <w:tr>
        <w:trPr/>
        <w:tc>
          <w:tcPr>
            <w:tcW w:w="1706" w:type="dxa"/>
            <w:tcBorders/>
          </w:tcPr>
          <w:p>
            <w:pPr>
              <w:pStyle w:val="F21"/>
              <w:ind w:left="57" w:right="57" w:hanging="0"/>
              <w:rPr>
                <w:i/>
                <w:i/>
                <w:szCs w:val="27"/>
              </w:rPr>
            </w:pPr>
            <w:r>
              <w:rPr>
                <w:i/>
                <w:szCs w:val="27"/>
              </w:rPr>
            </w:r>
          </w:p>
        </w:tc>
        <w:tc>
          <w:tcPr>
            <w:tcW w:w="1015" w:type="dxa"/>
            <w:tcBorders/>
          </w:tcPr>
          <w:p>
            <w:pPr>
              <w:pStyle w:val="F21"/>
              <w:ind w:left="57" w:right="57" w:hanging="0"/>
              <w:rPr>
                <w:i/>
                <w:i/>
                <w:szCs w:val="27"/>
              </w:rPr>
            </w:pPr>
            <w:r>
              <w:rPr>
                <w:i/>
                <w:szCs w:val="27"/>
              </w:rPr>
            </w:r>
          </w:p>
        </w:tc>
        <w:tc>
          <w:tcPr>
            <w:tcW w:w="1017" w:type="dxa"/>
            <w:tcBorders/>
          </w:tcPr>
          <w:p>
            <w:pPr>
              <w:pStyle w:val="F21"/>
              <w:ind w:left="57" w:right="57" w:hanging="0"/>
              <w:rPr>
                <w:i/>
                <w:i/>
                <w:szCs w:val="27"/>
              </w:rPr>
            </w:pPr>
            <w:r>
              <w:rPr>
                <w:i/>
                <w:szCs w:val="27"/>
              </w:rPr>
            </w:r>
          </w:p>
        </w:tc>
        <w:tc>
          <w:tcPr>
            <w:tcW w:w="1016" w:type="dxa"/>
            <w:tcBorders/>
          </w:tcPr>
          <w:p>
            <w:pPr>
              <w:pStyle w:val="F21"/>
              <w:ind w:left="57" w:right="57" w:hanging="0"/>
              <w:rPr>
                <w:i/>
                <w:i/>
                <w:szCs w:val="27"/>
              </w:rPr>
            </w:pPr>
            <w:r>
              <w:rPr>
                <w:i/>
                <w:szCs w:val="27"/>
              </w:rPr>
            </w:r>
          </w:p>
        </w:tc>
        <w:tc>
          <w:tcPr>
            <w:tcW w:w="1017" w:type="dxa"/>
            <w:tcBorders/>
          </w:tcPr>
          <w:p>
            <w:pPr>
              <w:pStyle w:val="F21"/>
              <w:ind w:left="57" w:right="57" w:hanging="0"/>
              <w:rPr>
                <w:i/>
                <w:i/>
                <w:szCs w:val="27"/>
              </w:rPr>
            </w:pPr>
            <w:r>
              <w:rPr>
                <w:i/>
                <w:szCs w:val="27"/>
              </w:rPr>
            </w:r>
          </w:p>
        </w:tc>
        <w:tc>
          <w:tcPr>
            <w:tcW w:w="1017" w:type="dxa"/>
            <w:tcBorders/>
          </w:tcPr>
          <w:p>
            <w:pPr>
              <w:pStyle w:val="F21"/>
              <w:ind w:left="57" w:right="57" w:hanging="0"/>
              <w:rPr>
                <w:i/>
                <w:i/>
                <w:szCs w:val="27"/>
              </w:rPr>
            </w:pPr>
            <w:r>
              <w:rPr>
                <w:i/>
                <w:szCs w:val="27"/>
              </w:rPr>
            </w:r>
          </w:p>
        </w:tc>
        <w:tc>
          <w:tcPr>
            <w:tcW w:w="1016" w:type="dxa"/>
            <w:tcBorders/>
          </w:tcPr>
          <w:p>
            <w:pPr>
              <w:pStyle w:val="F21"/>
              <w:ind w:left="57" w:right="57" w:hanging="0"/>
              <w:rPr>
                <w:i/>
                <w:i/>
                <w:szCs w:val="27"/>
              </w:rPr>
            </w:pPr>
            <w:r>
              <w:rPr>
                <w:i/>
                <w:szCs w:val="27"/>
              </w:rPr>
            </w:r>
          </w:p>
        </w:tc>
      </w:tr>
      <w:tr>
        <w:trPr/>
        <w:tc>
          <w:tcPr>
            <w:tcW w:w="1706" w:type="dxa"/>
            <w:tcBorders/>
          </w:tcPr>
          <w:p>
            <w:pPr>
              <w:pStyle w:val="F21"/>
              <w:ind w:left="57" w:right="57" w:hanging="0"/>
              <w:rPr>
                <w:i/>
                <w:i/>
                <w:szCs w:val="27"/>
              </w:rPr>
            </w:pPr>
            <w:r>
              <w:rPr>
                <w:i/>
                <w:szCs w:val="27"/>
              </w:rPr>
            </w:r>
          </w:p>
        </w:tc>
        <w:tc>
          <w:tcPr>
            <w:tcW w:w="1015" w:type="dxa"/>
            <w:tcBorders/>
          </w:tcPr>
          <w:p>
            <w:pPr>
              <w:pStyle w:val="F21"/>
              <w:ind w:left="57" w:right="57" w:hanging="0"/>
              <w:rPr>
                <w:i/>
                <w:i/>
                <w:szCs w:val="27"/>
              </w:rPr>
            </w:pPr>
            <w:r>
              <w:rPr>
                <w:i/>
                <w:szCs w:val="27"/>
              </w:rPr>
            </w:r>
          </w:p>
        </w:tc>
        <w:tc>
          <w:tcPr>
            <w:tcW w:w="1017" w:type="dxa"/>
            <w:tcBorders/>
          </w:tcPr>
          <w:p>
            <w:pPr>
              <w:pStyle w:val="F21"/>
              <w:ind w:left="57" w:right="57" w:hanging="0"/>
              <w:rPr>
                <w:i/>
                <w:i/>
                <w:szCs w:val="27"/>
              </w:rPr>
            </w:pPr>
            <w:r>
              <w:rPr>
                <w:i/>
                <w:szCs w:val="27"/>
              </w:rPr>
            </w:r>
          </w:p>
        </w:tc>
        <w:tc>
          <w:tcPr>
            <w:tcW w:w="1016" w:type="dxa"/>
            <w:tcBorders/>
          </w:tcPr>
          <w:p>
            <w:pPr>
              <w:pStyle w:val="F21"/>
              <w:ind w:left="57" w:right="57" w:hanging="0"/>
              <w:rPr>
                <w:i/>
                <w:i/>
                <w:szCs w:val="27"/>
              </w:rPr>
            </w:pPr>
            <w:r>
              <w:rPr>
                <w:i/>
                <w:szCs w:val="27"/>
              </w:rPr>
            </w:r>
          </w:p>
        </w:tc>
        <w:tc>
          <w:tcPr>
            <w:tcW w:w="1017" w:type="dxa"/>
            <w:tcBorders/>
          </w:tcPr>
          <w:p>
            <w:pPr>
              <w:pStyle w:val="F21"/>
              <w:ind w:left="57" w:right="57" w:hanging="0"/>
              <w:rPr>
                <w:i/>
                <w:i/>
                <w:szCs w:val="27"/>
              </w:rPr>
            </w:pPr>
            <w:r>
              <w:rPr>
                <w:i/>
                <w:szCs w:val="27"/>
              </w:rPr>
            </w:r>
          </w:p>
        </w:tc>
        <w:tc>
          <w:tcPr>
            <w:tcW w:w="1017" w:type="dxa"/>
            <w:tcBorders/>
          </w:tcPr>
          <w:p>
            <w:pPr>
              <w:pStyle w:val="F21"/>
              <w:ind w:left="57" w:right="57" w:hanging="0"/>
              <w:rPr>
                <w:i/>
                <w:i/>
                <w:szCs w:val="27"/>
              </w:rPr>
            </w:pPr>
            <w:r>
              <w:rPr>
                <w:i/>
                <w:szCs w:val="27"/>
              </w:rPr>
            </w:r>
          </w:p>
        </w:tc>
        <w:tc>
          <w:tcPr>
            <w:tcW w:w="1016" w:type="dxa"/>
            <w:tcBorders/>
          </w:tcPr>
          <w:p>
            <w:pPr>
              <w:pStyle w:val="F21"/>
              <w:ind w:left="57" w:right="57" w:hanging="0"/>
              <w:rPr>
                <w:i/>
                <w:i/>
                <w:szCs w:val="27"/>
              </w:rPr>
            </w:pPr>
            <w:r>
              <w:rPr>
                <w:i/>
                <w:szCs w:val="27"/>
              </w:rPr>
            </w:r>
          </w:p>
        </w:tc>
      </w:tr>
    </w:tbl>
    <w:p>
      <w:pPr>
        <w:pStyle w:val="F21"/>
        <w:rPr>
          <w:szCs w:val="27"/>
        </w:rPr>
      </w:pPr>
      <w:r>
        <w:rPr>
          <w:szCs w:val="27"/>
        </w:rPr>
      </w:r>
    </w:p>
    <w:p>
      <w:pPr>
        <w:pStyle w:val="F21"/>
        <w:rPr>
          <w:szCs w:val="27"/>
        </w:rPr>
      </w:pPr>
      <w:r>
        <w:rPr>
          <w:szCs w:val="27"/>
        </w:rPr>
      </w:r>
    </w:p>
    <w:p>
      <w:pPr>
        <w:pStyle w:val="F21"/>
        <w:rPr>
          <w:szCs w:val="27"/>
        </w:rPr>
      </w:pPr>
      <w:r>
        <w:rPr>
          <w:rFonts w:ascii="華康中黑體" w:hAnsi="華康中黑體" w:eastAsia="華康中黑體"/>
          <w:b/>
          <w:szCs w:val="27"/>
        </w:rPr>
        <w:t>財經事務及庫務局局長</w:t>
      </w:r>
      <w:r>
        <w:rPr>
          <w:szCs w:val="27"/>
        </w:rPr>
        <w:t>：主席，</w:t>
      </w:r>
    </w:p>
    <w:p>
      <w:pPr>
        <w:pStyle w:val="F21"/>
        <w:rPr>
          <w:szCs w:val="27"/>
        </w:rPr>
      </w:pPr>
      <w:r>
        <w:rPr>
          <w:szCs w:val="27"/>
        </w:rPr>
      </w:r>
    </w:p>
    <w:p>
      <w:pPr>
        <w:pStyle w:val="F21"/>
        <w:ind w:left="1418" w:hanging="851"/>
        <w:rPr>
          <w:szCs w:val="27"/>
        </w:rPr>
      </w:pPr>
      <w:r>
        <w:rPr>
          <w:szCs w:val="27"/>
        </w:rPr>
        <w:t>(</w:t>
      </w:r>
      <w:r>
        <w:rPr>
          <w:szCs w:val="27"/>
        </w:rPr>
        <w:t>一</w:t>
      </w:r>
      <w:r>
        <w:rPr>
          <w:szCs w:val="27"/>
        </w:rPr>
        <w:t>)</w:t>
        <w:tab/>
      </w:r>
      <w:r>
        <w:rPr>
          <w:szCs w:val="27"/>
        </w:rPr>
        <w:t>香港的金融監管機構一直有密切留意虛擬資產活動的發展情況，以防範當中的潛在風險。若個別虛擬資產的結構及實況符合《證券及期貨條例》</w:t>
      </w:r>
      <w:r>
        <w:rPr>
          <w:szCs w:val="27"/>
        </w:rPr>
        <w:t>(</w:t>
      </w:r>
      <w:r>
        <w:rPr>
          <w:szCs w:val="27"/>
        </w:rPr>
        <w:t>香港法例第</w:t>
      </w:r>
      <w:r>
        <w:rPr>
          <w:szCs w:val="27"/>
        </w:rPr>
        <w:t>571</w:t>
      </w:r>
      <w:r>
        <w:rPr>
          <w:szCs w:val="27"/>
        </w:rPr>
        <w:t>章</w:t>
      </w:r>
      <w:r>
        <w:rPr>
          <w:szCs w:val="27"/>
        </w:rPr>
        <w:t>)</w:t>
      </w:r>
      <w:r>
        <w:rPr>
          <w:szCs w:val="27"/>
        </w:rPr>
        <w:t>所界定的</w:t>
      </w:r>
      <w:r>
        <w:rPr>
          <w:szCs w:val="27"/>
        </w:rPr>
        <w:t>"</w:t>
      </w:r>
      <w:r>
        <w:rPr>
          <w:szCs w:val="27"/>
        </w:rPr>
        <w:t>證券</w:t>
      </w:r>
      <w:r>
        <w:rPr>
          <w:szCs w:val="27"/>
        </w:rPr>
        <w:t>"</w:t>
      </w:r>
      <w:r>
        <w:rPr>
          <w:szCs w:val="27"/>
        </w:rPr>
        <w:t>或</w:t>
      </w:r>
      <w:r>
        <w:rPr>
          <w:szCs w:val="27"/>
        </w:rPr>
        <w:t>"</w:t>
      </w:r>
      <w:r>
        <w:rPr>
          <w:szCs w:val="27"/>
        </w:rPr>
        <w:t>期貨合約</w:t>
      </w:r>
      <w:r>
        <w:rPr>
          <w:szCs w:val="27"/>
        </w:rPr>
        <w:t>"</w:t>
      </w:r>
      <w:r>
        <w:rPr>
          <w:szCs w:val="27"/>
        </w:rPr>
        <w:t>，它們均受到香港證券法例的規管。就該類虛擬資產提供交易服務或提供意見，管理或推廣投資虛擬資產的基金的人士或機構，須獲證券及期貨事務監察委員會</w:t>
      </w:r>
      <w:r>
        <w:rPr>
          <w:szCs w:val="27"/>
        </w:rPr>
        <w:t>("</w:t>
      </w:r>
      <w:r>
        <w:rPr>
          <w:szCs w:val="27"/>
        </w:rPr>
        <w:t>證監會</w:t>
      </w:r>
      <w:r>
        <w:rPr>
          <w:szCs w:val="27"/>
        </w:rPr>
        <w:t>")</w:t>
      </w:r>
      <w:r>
        <w:rPr>
          <w:szCs w:val="27"/>
        </w:rPr>
        <w:t>發牌或向該會註冊。</w:t>
      </w:r>
    </w:p>
    <w:p>
      <w:pPr>
        <w:pStyle w:val="F21"/>
        <w:ind w:left="1418" w:hanging="851"/>
        <w:rPr>
          <w:szCs w:val="27"/>
        </w:rPr>
      </w:pPr>
      <w:r>
        <w:rPr>
          <w:szCs w:val="27"/>
        </w:rPr>
      </w:r>
    </w:p>
    <w:p>
      <w:pPr>
        <w:pStyle w:val="F21"/>
        <w:ind w:left="1418" w:hanging="851"/>
        <w:rPr>
          <w:szCs w:val="27"/>
        </w:rPr>
      </w:pPr>
      <w:r>
        <w:rPr>
          <w:szCs w:val="27"/>
        </w:rPr>
        <w:tab/>
      </w:r>
      <w:r>
        <w:rPr>
          <w:szCs w:val="27"/>
        </w:rPr>
        <w:t>就首次代幣發行的情況而言，如當中所發售或銷售的數碼代幣屬《證券及期貨條例》所界定的</w:t>
      </w:r>
      <w:r>
        <w:rPr>
          <w:szCs w:val="27"/>
        </w:rPr>
        <w:t>"</w:t>
      </w:r>
      <w:r>
        <w:rPr>
          <w:szCs w:val="27"/>
        </w:rPr>
        <w:t>證券</w:t>
      </w:r>
      <w:r>
        <w:rPr>
          <w:szCs w:val="27"/>
        </w:rPr>
        <w:t>"</w:t>
      </w:r>
      <w:r>
        <w:rPr>
          <w:szCs w:val="27"/>
        </w:rPr>
        <w:t>，包括股份、債權證及集體投資計劃，該發行活動會受《證券及期貨條例》規管。證監會已於</w:t>
      </w:r>
      <w:r>
        <w:rPr>
          <w:szCs w:val="27"/>
        </w:rPr>
        <w:t>2017</w:t>
      </w:r>
      <w:r>
        <w:rPr>
          <w:szCs w:val="27"/>
        </w:rPr>
        <w:t>年</w:t>
      </w:r>
      <w:r>
        <w:rPr>
          <w:szCs w:val="27"/>
        </w:rPr>
        <w:t>9</w:t>
      </w:r>
      <w:r>
        <w:rPr>
          <w:szCs w:val="27"/>
        </w:rPr>
        <w:t>月發出聲明，重申及闡明相關的規管制度。</w:t>
      </w:r>
    </w:p>
    <w:p>
      <w:pPr>
        <w:pStyle w:val="F21"/>
        <w:ind w:left="1418" w:hanging="851"/>
        <w:rPr>
          <w:szCs w:val="27"/>
        </w:rPr>
      </w:pPr>
      <w:r>
        <w:rPr>
          <w:szCs w:val="27"/>
        </w:rPr>
      </w:r>
    </w:p>
    <w:p>
      <w:pPr>
        <w:pStyle w:val="F21"/>
        <w:ind w:left="1418" w:hanging="851"/>
        <w:rPr>
          <w:szCs w:val="27"/>
        </w:rPr>
      </w:pPr>
      <w:r>
        <w:rPr>
          <w:szCs w:val="27"/>
        </w:rPr>
        <w:tab/>
      </w:r>
      <w:r>
        <w:rPr>
          <w:szCs w:val="27"/>
        </w:rPr>
        <w:t>就虛擬資產交易平台的情況而言，證監會於</w:t>
      </w:r>
      <w:r>
        <w:rPr>
          <w:szCs w:val="27"/>
        </w:rPr>
        <w:t>2018</w:t>
      </w:r>
      <w:r>
        <w:rPr>
          <w:szCs w:val="27"/>
        </w:rPr>
        <w:t>年</w:t>
      </w:r>
      <w:r>
        <w:rPr>
          <w:szCs w:val="27"/>
        </w:rPr>
        <w:t>11</w:t>
      </w:r>
      <w:r>
        <w:rPr>
          <w:szCs w:val="27"/>
        </w:rPr>
        <w:t>月公布擬以探索性質，根據現行法例賦予的權限，在規管沙盒的環境下觀察自願接受證監會監察的虛擬資產交易平台的運作情況，研究是否適宜就虛擬資產交易平台作出規管及訂立發牌制度。證監會於</w:t>
      </w:r>
      <w:r>
        <w:rPr>
          <w:szCs w:val="27"/>
        </w:rPr>
        <w:t>2018</w:t>
      </w:r>
      <w:r>
        <w:rPr>
          <w:szCs w:val="27"/>
        </w:rPr>
        <w:t>年</w:t>
      </w:r>
      <w:r>
        <w:rPr>
          <w:szCs w:val="27"/>
        </w:rPr>
        <w:t>11</w:t>
      </w:r>
      <w:r>
        <w:rPr>
          <w:szCs w:val="27"/>
        </w:rPr>
        <w:t>月公布的新監管方針也將現正管理或計劃管理投資於虛擬資產的投資組合的公司及虛擬資產基金分銷商納入證監會的監管範圍，在基金管理或</w:t>
      </w:r>
      <w:r>
        <w:rPr>
          <w:rFonts w:ascii="華康細明體" w:hAnsi="華康細明體"/>
          <w:szCs w:val="27"/>
        </w:rPr>
        <w:t>/</w:t>
      </w:r>
      <w:r>
        <w:rPr>
          <w:szCs w:val="27"/>
        </w:rPr>
        <w:t>及分銷層面上進行規管。</w:t>
      </w:r>
    </w:p>
    <w:p>
      <w:pPr>
        <w:pStyle w:val="F21"/>
        <w:ind w:left="1418" w:hanging="851"/>
        <w:rPr>
          <w:szCs w:val="27"/>
        </w:rPr>
      </w:pPr>
      <w:r>
        <w:rPr>
          <w:szCs w:val="27"/>
        </w:rPr>
      </w:r>
    </w:p>
    <w:p>
      <w:pPr>
        <w:pStyle w:val="F21"/>
        <w:ind w:left="1418" w:hanging="851"/>
        <w:rPr>
          <w:szCs w:val="27"/>
        </w:rPr>
      </w:pPr>
      <w:r>
        <w:rPr>
          <w:szCs w:val="27"/>
        </w:rPr>
        <w:tab/>
      </w:r>
      <w:r>
        <w:rPr>
          <w:szCs w:val="27"/>
        </w:rPr>
        <w:t>我們會繼續透過積極參與相關國際組織的會議，例如國際證券事務監察委員會組織及金融穩定委員會，與各地的監管機構保持溝通，以確保能適時制訂合適的制度，應對虛擬資產交易衍生的潛在風險。</w:t>
      </w:r>
    </w:p>
    <w:p>
      <w:pPr>
        <w:pStyle w:val="F21"/>
        <w:ind w:left="1418" w:hanging="851"/>
        <w:rPr>
          <w:szCs w:val="27"/>
        </w:rPr>
      </w:pPr>
      <w:r>
        <w:rPr>
          <w:szCs w:val="27"/>
        </w:rPr>
      </w:r>
    </w:p>
    <w:p>
      <w:pPr>
        <w:pStyle w:val="F21"/>
        <w:ind w:left="1418" w:hanging="851"/>
        <w:rPr>
          <w:szCs w:val="27"/>
        </w:rPr>
      </w:pPr>
      <w:r>
        <w:rPr>
          <w:szCs w:val="27"/>
        </w:rPr>
        <w:t>(</w:t>
      </w:r>
      <w:r>
        <w:rPr>
          <w:szCs w:val="27"/>
        </w:rPr>
        <w:t>二</w:t>
      </w:r>
      <w:r>
        <w:rPr>
          <w:szCs w:val="27"/>
        </w:rPr>
        <w:t>)</w:t>
        <w:tab/>
      </w:r>
      <w:r>
        <w:rPr>
          <w:szCs w:val="27"/>
        </w:rPr>
        <w:t>虛擬資產交易有機會被不法之徒利用作犯罪行為，例如洗錢及欺詐等。不論此類犯罪行為是否涉及虛擬資產交易，現行法例已作適當規管。</w:t>
      </w:r>
    </w:p>
    <w:p>
      <w:pPr>
        <w:pStyle w:val="F21"/>
        <w:ind w:left="1418" w:hanging="851"/>
        <w:rPr>
          <w:szCs w:val="27"/>
        </w:rPr>
      </w:pPr>
      <w:r>
        <w:rPr>
          <w:szCs w:val="27"/>
        </w:rPr>
      </w:r>
    </w:p>
    <w:p>
      <w:pPr>
        <w:pStyle w:val="F21"/>
        <w:ind w:left="1418" w:hanging="851"/>
        <w:rPr>
          <w:szCs w:val="27"/>
        </w:rPr>
      </w:pPr>
      <w:r>
        <w:rPr>
          <w:szCs w:val="27"/>
        </w:rPr>
        <w:tab/>
      </w:r>
      <w:r>
        <w:rPr>
          <w:szCs w:val="27"/>
        </w:rPr>
        <w:t>就洗錢及恐怖分子資金籌集的風險而言，《有組織及嚴重罪行條例》</w:t>
      </w:r>
      <w:r>
        <w:rPr>
          <w:szCs w:val="27"/>
        </w:rPr>
        <w:t>(</w:t>
      </w:r>
      <w:r>
        <w:rPr>
          <w:szCs w:val="27"/>
        </w:rPr>
        <w:t>香港法例第</w:t>
      </w:r>
      <w:r>
        <w:rPr>
          <w:szCs w:val="27"/>
        </w:rPr>
        <w:t>455</w:t>
      </w:r>
      <w:r>
        <w:rPr>
          <w:szCs w:val="27"/>
        </w:rPr>
        <w:t>章</w:t>
      </w:r>
      <w:r>
        <w:rPr>
          <w:szCs w:val="27"/>
        </w:rPr>
        <w:t>)</w:t>
      </w:r>
      <w:r>
        <w:rPr>
          <w:szCs w:val="27"/>
        </w:rPr>
        <w:t>、《販毒</w:t>
      </w:r>
      <w:r>
        <w:rPr>
          <w:szCs w:val="27"/>
        </w:rPr>
        <w:t>(</w:t>
      </w:r>
      <w:r>
        <w:rPr>
          <w:szCs w:val="27"/>
        </w:rPr>
        <w:t>追討得益</w:t>
      </w:r>
      <w:r>
        <w:rPr>
          <w:szCs w:val="27"/>
        </w:rPr>
        <w:t>)</w:t>
      </w:r>
      <w:r>
        <w:rPr>
          <w:szCs w:val="27"/>
        </w:rPr>
        <w:t>條例》</w:t>
      </w:r>
      <w:r>
        <w:rPr>
          <w:szCs w:val="27"/>
        </w:rPr>
        <w:t>(</w:t>
      </w:r>
      <w:r>
        <w:rPr>
          <w:szCs w:val="27"/>
        </w:rPr>
        <w:t>香港法例第</w:t>
      </w:r>
      <w:r>
        <w:rPr>
          <w:szCs w:val="27"/>
        </w:rPr>
        <w:t>405</w:t>
      </w:r>
      <w:r>
        <w:rPr>
          <w:szCs w:val="27"/>
        </w:rPr>
        <w:t>章</w:t>
      </w:r>
      <w:r>
        <w:rPr>
          <w:szCs w:val="27"/>
        </w:rPr>
        <w:t>)</w:t>
      </w:r>
      <w:r>
        <w:rPr>
          <w:szCs w:val="27"/>
        </w:rPr>
        <w:t>及《聯合國</w:t>
      </w:r>
      <w:r>
        <w:rPr>
          <w:szCs w:val="27"/>
        </w:rPr>
        <w:t>(</w:t>
      </w:r>
      <w:r>
        <w:rPr>
          <w:szCs w:val="27"/>
        </w:rPr>
        <w:t>反恐怖主義措施</w:t>
      </w:r>
      <w:r>
        <w:rPr>
          <w:szCs w:val="27"/>
        </w:rPr>
        <w:t>)</w:t>
      </w:r>
      <w:r>
        <w:rPr>
          <w:szCs w:val="27"/>
        </w:rPr>
        <w:t>條例》</w:t>
      </w:r>
      <w:r>
        <w:rPr>
          <w:szCs w:val="27"/>
        </w:rPr>
        <w:t>(</w:t>
      </w:r>
      <w:r>
        <w:rPr>
          <w:szCs w:val="27"/>
        </w:rPr>
        <w:t>香港法例第</w:t>
      </w:r>
      <w:r>
        <w:rPr>
          <w:szCs w:val="27"/>
        </w:rPr>
        <w:t>575</w:t>
      </w:r>
      <w:r>
        <w:rPr>
          <w:szCs w:val="27"/>
        </w:rPr>
        <w:t>章</w:t>
      </w:r>
      <w:r>
        <w:rPr>
          <w:szCs w:val="27"/>
        </w:rPr>
        <w:t>)</w:t>
      </w:r>
      <w:r>
        <w:rPr>
          <w:szCs w:val="27"/>
        </w:rPr>
        <w:t>規定，如任何人發現任何可能涉及洗錢或恐怖分子資金籌集的可疑活動，都必須向由香港警務處及香港海關成立的聯合財富情報組作出舉報及披露有關資料。《打擊洗錢及恐怖分子資金籌集條例》</w:t>
      </w:r>
      <w:r>
        <w:rPr>
          <w:szCs w:val="27"/>
        </w:rPr>
        <w:t>(</w:t>
      </w:r>
      <w:r>
        <w:rPr>
          <w:szCs w:val="27"/>
        </w:rPr>
        <w:t>香港法例第</w:t>
      </w:r>
      <w:r>
        <w:rPr>
          <w:szCs w:val="27"/>
        </w:rPr>
        <w:t>615</w:t>
      </w:r>
      <w:r>
        <w:rPr>
          <w:szCs w:val="27"/>
        </w:rPr>
        <w:t>章</w:t>
      </w:r>
      <w:r>
        <w:rPr>
          <w:szCs w:val="27"/>
        </w:rPr>
        <w:t>)</w:t>
      </w:r>
      <w:r>
        <w:rPr>
          <w:szCs w:val="27"/>
        </w:rPr>
        <w:t>訂明金融機構及指定非金融企業及行業人士在與客戶建立或維持業務關係時，必須嚴格遵行有關客戶盡職審查及備存紀錄的相關規定，防止洗錢、恐怖分子資金籌集等罪案發生。</w:t>
      </w:r>
    </w:p>
    <w:p>
      <w:pPr>
        <w:pStyle w:val="F21"/>
        <w:ind w:left="1418" w:hanging="851"/>
        <w:rPr>
          <w:szCs w:val="27"/>
        </w:rPr>
      </w:pPr>
      <w:r>
        <w:rPr>
          <w:szCs w:val="27"/>
        </w:rPr>
      </w:r>
    </w:p>
    <w:p>
      <w:pPr>
        <w:pStyle w:val="F21"/>
        <w:ind w:left="1418" w:hanging="851"/>
        <w:rPr>
          <w:szCs w:val="27"/>
        </w:rPr>
      </w:pPr>
      <w:r>
        <w:rPr>
          <w:szCs w:val="27"/>
        </w:rPr>
        <w:tab/>
      </w:r>
      <w:r>
        <w:rPr>
          <w:szCs w:val="27"/>
        </w:rPr>
        <w:t>以投資虛擬資產為名的欺詐及訛騙行為受《盜竊罪條例》</w:t>
      </w:r>
      <w:r>
        <w:rPr>
          <w:szCs w:val="27"/>
        </w:rPr>
        <w:t>(</w:t>
      </w:r>
      <w:r>
        <w:rPr>
          <w:szCs w:val="27"/>
        </w:rPr>
        <w:t>香港法例第</w:t>
      </w:r>
      <w:r>
        <w:rPr>
          <w:szCs w:val="27"/>
        </w:rPr>
        <w:t>210</w:t>
      </w:r>
      <w:r>
        <w:rPr>
          <w:szCs w:val="27"/>
        </w:rPr>
        <w:t>章</w:t>
      </w:r>
      <w:r>
        <w:rPr>
          <w:szCs w:val="27"/>
        </w:rPr>
        <w:t>)</w:t>
      </w:r>
      <w:r>
        <w:rPr>
          <w:szCs w:val="27"/>
        </w:rPr>
        <w:t>所規管，最高刑罰為監禁</w:t>
      </w:r>
      <w:r>
        <w:rPr>
          <w:szCs w:val="27"/>
        </w:rPr>
        <w:t>14</w:t>
      </w:r>
      <w:r>
        <w:rPr>
          <w:szCs w:val="27"/>
        </w:rPr>
        <w:t>年。</w:t>
      </w:r>
    </w:p>
    <w:p>
      <w:pPr>
        <w:pStyle w:val="F21"/>
        <w:ind w:left="1418" w:hanging="851"/>
        <w:rPr>
          <w:szCs w:val="27"/>
        </w:rPr>
      </w:pPr>
      <w:r>
        <w:rPr>
          <w:szCs w:val="27"/>
        </w:rPr>
      </w:r>
    </w:p>
    <w:p>
      <w:pPr>
        <w:pStyle w:val="F21"/>
        <w:ind w:left="1418" w:hanging="851"/>
        <w:rPr>
          <w:szCs w:val="27"/>
        </w:rPr>
      </w:pPr>
      <w:r>
        <w:rPr>
          <w:szCs w:val="27"/>
        </w:rPr>
        <w:tab/>
      </w:r>
      <w:r>
        <w:rPr>
          <w:szCs w:val="27"/>
        </w:rPr>
        <w:t>政府和相關監管機構、投資者及理財教育委員會等已推出了一系列措施提醒投資者防範虛擬資產交易的風險。</w:t>
      </w:r>
    </w:p>
    <w:p>
      <w:pPr>
        <w:pStyle w:val="F21"/>
        <w:ind w:left="1418" w:hanging="851"/>
        <w:rPr>
          <w:szCs w:val="27"/>
        </w:rPr>
      </w:pPr>
      <w:r>
        <w:rPr>
          <w:szCs w:val="27"/>
        </w:rPr>
      </w:r>
    </w:p>
    <w:p>
      <w:pPr>
        <w:pStyle w:val="F21"/>
        <w:ind w:left="1418" w:hanging="851"/>
        <w:rPr>
          <w:szCs w:val="27"/>
        </w:rPr>
      </w:pPr>
      <w:r>
        <w:rPr>
          <w:szCs w:val="27"/>
        </w:rPr>
        <w:t>(</w:t>
      </w:r>
      <w:r>
        <w:rPr>
          <w:szCs w:val="27"/>
        </w:rPr>
        <w:t>三</w:t>
      </w:r>
      <w:r>
        <w:rPr>
          <w:szCs w:val="27"/>
        </w:rPr>
        <w:t>)</w:t>
        <w:tab/>
      </w:r>
      <w:r>
        <w:rPr>
          <w:szCs w:val="27"/>
        </w:rPr>
        <w:t>證監會於</w:t>
      </w:r>
      <w:r>
        <w:rPr>
          <w:szCs w:val="27"/>
        </w:rPr>
        <w:t>2018</w:t>
      </w:r>
      <w:r>
        <w:rPr>
          <w:szCs w:val="27"/>
        </w:rPr>
        <w:t>年</w:t>
      </w:r>
      <w:r>
        <w:rPr>
          <w:szCs w:val="27"/>
        </w:rPr>
        <w:t>11</w:t>
      </w:r>
      <w:r>
        <w:rPr>
          <w:szCs w:val="27"/>
        </w:rPr>
        <w:t>月公布有關虛擬資產的新監管方針後暫時未有採取規管或執法行動的個案。若證監會採取規管或執法行動，將按既定做法，在合乎保密責任的前提下適當地透過發出新聞稿或聲明公開其行動。</w:t>
      </w:r>
    </w:p>
    <w:p>
      <w:pPr>
        <w:pStyle w:val="Normal"/>
        <w:widowControl/>
        <w:tabs>
          <w:tab w:val="clear" w:pos="720"/>
        </w:tabs>
        <w:snapToGrid w:val="true"/>
        <w:spacing w:lineRule="auto" w:line="276" w:before="0" w:after="200"/>
        <w:jc w:val="left"/>
        <w:rPr>
          <w:rFonts w:cs="" w:cstheme="minorBidi"/>
          <w:spacing w:val="20"/>
          <w:sz w:val="27"/>
          <w:szCs w:val="27"/>
          <w:lang w:val="en-US"/>
        </w:rPr>
      </w:pPr>
      <w:r>
        <w:rPr>
          <w:rFonts w:cs="" w:cstheme="minorBidi"/>
          <w:spacing w:val="20"/>
          <w:sz w:val="27"/>
          <w:szCs w:val="27"/>
          <w:lang w:val="en-US"/>
        </w:rPr>
      </w:r>
      <w:r>
        <w:br w:type="page"/>
      </w:r>
    </w:p>
    <w:p>
      <w:pPr>
        <w:pStyle w:val="F21"/>
        <w:ind w:left="1418" w:hanging="851"/>
        <w:rPr>
          <w:szCs w:val="27"/>
        </w:rPr>
      </w:pPr>
      <w:r>
        <w:rPr>
          <w:szCs w:val="27"/>
        </w:rPr>
        <w:t>(</w:t>
      </w:r>
      <w:r>
        <w:rPr>
          <w:szCs w:val="27"/>
        </w:rPr>
        <w:t>四</w:t>
      </w:r>
      <w:r>
        <w:rPr>
          <w:szCs w:val="27"/>
        </w:rPr>
        <w:t>)</w:t>
        <w:tab/>
      </w:r>
      <w:r>
        <w:rPr>
          <w:szCs w:val="27"/>
        </w:rPr>
        <w:t>現時香港沒有專設法例規管有關眾籌集資活動，視乎相關眾籌安排的具體結構及特性，某些類型的眾籌活動</w:t>
      </w:r>
      <w:r>
        <w:rPr>
          <w:szCs w:val="27"/>
        </w:rPr>
        <w:t>(</w:t>
      </w:r>
      <w:r>
        <w:rPr>
          <w:szCs w:val="27"/>
        </w:rPr>
        <w:t>尤其是</w:t>
      </w:r>
      <w:r>
        <w:rPr>
          <w:spacing w:val="18"/>
          <w:szCs w:val="27"/>
        </w:rPr>
        <w:t>股權眾籌及點對點網絡貸款</w:t>
      </w:r>
      <w:r>
        <w:rPr>
          <w:spacing w:val="18"/>
          <w:szCs w:val="27"/>
        </w:rPr>
        <w:t>)</w:t>
      </w:r>
      <w:r>
        <w:rPr>
          <w:spacing w:val="18"/>
          <w:szCs w:val="27"/>
        </w:rPr>
        <w:t>可能受《證券及期貨條例》及</w:t>
      </w:r>
      <w:r>
        <w:rPr>
          <w:rFonts w:ascii="華康細明體" w:hAnsi="華康細明體"/>
          <w:spacing w:val="18"/>
          <w:szCs w:val="27"/>
        </w:rPr>
        <w:t>/</w:t>
      </w:r>
      <w:r>
        <w:rPr>
          <w:szCs w:val="27"/>
        </w:rPr>
        <w:t>或《公司</w:t>
      </w:r>
      <w:r>
        <w:rPr>
          <w:szCs w:val="27"/>
        </w:rPr>
        <w:t>(</w:t>
      </w:r>
      <w:r>
        <w:rPr>
          <w:szCs w:val="27"/>
        </w:rPr>
        <w:t>清盤及雜項條文</w:t>
      </w:r>
      <w:r>
        <w:rPr>
          <w:szCs w:val="27"/>
        </w:rPr>
        <w:t>)</w:t>
      </w:r>
      <w:r>
        <w:rPr>
          <w:szCs w:val="27"/>
        </w:rPr>
        <w:t>條例》</w:t>
      </w:r>
      <w:r>
        <w:rPr>
          <w:szCs w:val="27"/>
        </w:rPr>
        <w:t>(</w:t>
      </w:r>
      <w:r>
        <w:rPr>
          <w:szCs w:val="27"/>
        </w:rPr>
        <w:t>第</w:t>
      </w:r>
      <w:r>
        <w:rPr>
          <w:szCs w:val="27"/>
        </w:rPr>
        <w:t>32</w:t>
      </w:r>
      <w:r>
        <w:rPr>
          <w:szCs w:val="27"/>
        </w:rPr>
        <w:t>章</w:t>
      </w:r>
      <w:r>
        <w:rPr>
          <w:szCs w:val="27"/>
        </w:rPr>
        <w:t>)</w:t>
      </w:r>
      <w:r>
        <w:rPr>
          <w:szCs w:val="27"/>
        </w:rPr>
        <w:t>的條文所規限。證監會一直採取科技中立的監管方針，若眾籌集資平台有使用創新科技，以及其商業模式有測試的需要，它們可被納入證監會推出的監管沙盒的環境下作嚴謹監察。證監會現時已將兩個有應用創新科技的眾籌集資平台納入監管沙盒中，試驗透過發牌方式進行監察，並規定有關平台只可向專業投資者提供服務。</w:t>
      </w:r>
    </w:p>
    <w:p>
      <w:pPr>
        <w:pStyle w:val="F21"/>
        <w:ind w:left="1418" w:hanging="851"/>
        <w:rPr>
          <w:szCs w:val="27"/>
        </w:rPr>
      </w:pPr>
      <w:r>
        <w:rPr>
          <w:szCs w:val="27"/>
        </w:rPr>
      </w:r>
    </w:p>
    <w:p>
      <w:pPr>
        <w:pStyle w:val="F21"/>
        <w:ind w:left="1418" w:hanging="851"/>
        <w:rPr>
          <w:szCs w:val="27"/>
        </w:rPr>
      </w:pPr>
      <w:r>
        <w:rPr>
          <w:szCs w:val="27"/>
        </w:rPr>
        <w:t>(</w:t>
      </w:r>
      <w:r>
        <w:rPr>
          <w:szCs w:val="27"/>
        </w:rPr>
        <w:t>五</w:t>
      </w:r>
      <w:r>
        <w:rPr>
          <w:szCs w:val="27"/>
        </w:rPr>
        <w:t>)</w:t>
        <w:tab/>
      </w:r>
      <w:r>
        <w:rPr>
          <w:szCs w:val="27"/>
        </w:rPr>
        <w:t>不少持牌法團有使用程式買賣及人工智能等方式進行證券交易，而證券交易為恆常受證監會按《證券及期貨條例》規管的活動。證監會對在監管沙盒內測試應用於證券交易的人工智能及其他創新技術持開放態度。直到目前，證監會並沒有收到申請將該類運作模式納入監管沙盒進行研究。</w:t>
      </w:r>
    </w:p>
    <w:p>
      <w:pPr>
        <w:pStyle w:val="F21"/>
        <w:ind w:left="1418" w:hanging="851"/>
        <w:rPr>
          <w:szCs w:val="27"/>
        </w:rPr>
      </w:pPr>
      <w:r>
        <w:rPr>
          <w:szCs w:val="27"/>
        </w:rPr>
      </w:r>
    </w:p>
    <w:p>
      <w:pPr>
        <w:pStyle w:val="F21"/>
        <w:ind w:left="1418" w:hanging="851"/>
        <w:rPr>
          <w:szCs w:val="27"/>
        </w:rPr>
      </w:pPr>
      <w:r>
        <w:rPr>
          <w:szCs w:val="27"/>
        </w:rPr>
        <w:t>(</w:t>
      </w:r>
      <w:r>
        <w:rPr>
          <w:szCs w:val="27"/>
        </w:rPr>
        <w:t>六</w:t>
      </w:r>
      <w:r>
        <w:rPr>
          <w:szCs w:val="27"/>
        </w:rPr>
        <w:t>)</w:t>
        <w:tab/>
      </w:r>
      <w:r>
        <w:rPr>
          <w:szCs w:val="27"/>
        </w:rPr>
        <w:t>將合資格企業所應用的創新技術納入監管沙盒的具體安排會視乎個別情況而定。個別合資格企業也會因應它們各自的測試情況，在適當時候</w:t>
      </w:r>
      <w:r>
        <w:rPr>
          <w:szCs w:val="27"/>
        </w:rPr>
        <w:t>(</w:t>
      </w:r>
      <w:r>
        <w:rPr>
          <w:szCs w:val="27"/>
        </w:rPr>
        <w:t>例如當它們能證明其服務是可靠，以及其內部監控程序足以處理所識別的風險</w:t>
      </w:r>
      <w:r>
        <w:rPr>
          <w:szCs w:val="27"/>
        </w:rPr>
        <w:t>)</w:t>
      </w:r>
      <w:r>
        <w:rPr>
          <w:szCs w:val="27"/>
        </w:rPr>
        <w:t>申請離開監管沙盒以完結研究。除了一些獲法例豁免的情況外，證監會按法定保密責任不能披露與個別合資格企業有關的具體資料，包括它們各自在監管沙盒內進行研究及測試的具體安排及情況。但就整體而言，由於各項研究及測試仍在進行中，我們暫時未有最終定論，包括有否需要修訂法例。</w:t>
      </w:r>
    </w:p>
    <w:p>
      <w:pPr>
        <w:pStyle w:val="F21"/>
        <w:overflowPunct w:val="true"/>
        <w:rPr>
          <w:rFonts w:cs="Times New Roman"/>
        </w:rPr>
      </w:pPr>
      <w:r>
        <w:rPr>
          <w:rFonts w:cs="Times New Roman"/>
        </w:rPr>
      </w:r>
    </w:p>
    <w:p>
      <w:pPr>
        <w:pStyle w:val="F21"/>
        <w:overflowPunct w:val="true"/>
        <w:rPr>
          <w:rFonts w:cs="Times New Roman"/>
        </w:rPr>
      </w:pPr>
      <w:r>
        <w:rPr>
          <w:rFonts w:cs="Times New Roman"/>
        </w:rPr>
      </w:r>
    </w:p>
    <w:p>
      <w:pPr>
        <w:pStyle w:val="F21"/>
        <w:overflowPunct w:val="true"/>
        <w:rPr>
          <w:rFonts w:eastAsia="華康中黑體" w:cs="Times New Roman"/>
          <w:b/>
          <w:b/>
        </w:rPr>
      </w:pPr>
      <w:bookmarkStart w:id="47" w:name="wrq17"/>
      <w:r>
        <w:rPr>
          <w:rFonts w:cs="Times New Roman" w:eastAsia="華康中黑體"/>
          <w:b/>
        </w:rPr>
        <w:t>觀塘避風塘</w:t>
      </w:r>
    </w:p>
    <w:p>
      <w:pPr>
        <w:pStyle w:val="Normal"/>
        <w:overflowPunct w:val="true"/>
        <w:rPr>
          <w:b/>
          <w:b/>
        </w:rPr>
      </w:pPr>
      <w:bookmarkStart w:id="48" w:name="wrq17"/>
      <w:r>
        <w:rPr>
          <w:b/>
        </w:rPr>
        <w:t>Kwun Tong Typhoon Shelter</w:t>
      </w:r>
      <w:bookmarkEnd w:id="48"/>
    </w:p>
    <w:p>
      <w:pPr>
        <w:pStyle w:val="F21"/>
        <w:overflowPunct w:val="true"/>
        <w:rPr>
          <w:rFonts w:cs="Times New Roman"/>
        </w:rPr>
      </w:pPr>
      <w:r>
        <w:rPr>
          <w:rFonts w:cs="Times New Roman"/>
        </w:rPr>
      </w:r>
    </w:p>
    <w:p>
      <w:pPr>
        <w:pStyle w:val="F21"/>
        <w:rPr>
          <w:i/>
          <w:i/>
          <w:szCs w:val="27"/>
        </w:rPr>
      </w:pPr>
      <w:r>
        <w:rPr>
          <w:rFonts w:eastAsia="華康中黑體" w:cs="Times New Roman"/>
          <w:b/>
          <w:szCs w:val="27"/>
        </w:rPr>
        <w:t>17.</w:t>
        <w:tab/>
      </w:r>
      <w:r>
        <w:rPr>
          <w:rFonts w:cs="Times New Roman" w:eastAsia="華康中黑體"/>
          <w:b/>
          <w:szCs w:val="27"/>
        </w:rPr>
        <w:t>謝偉俊議員</w:t>
      </w:r>
      <w:r>
        <w:rPr>
          <w:szCs w:val="27"/>
        </w:rPr>
        <w:t>：</w:t>
      </w:r>
      <w:r>
        <w:rPr>
          <w:i/>
          <w:szCs w:val="27"/>
        </w:rPr>
        <w:t>主席，有研究指出，在觀塘避風塘填海可在短期內創造大幅土地，而且較明日大嶼願景方案更具成本效益。另外，有市民反映，觀塘避風塘大部分時間僅有遊艇及油躉</w:t>
      </w:r>
      <w:r>
        <w:rPr>
          <w:i/>
          <w:szCs w:val="27"/>
        </w:rPr>
        <w:t>(</w:t>
      </w:r>
      <w:r>
        <w:rPr>
          <w:i/>
          <w:szCs w:val="27"/>
        </w:rPr>
        <w:t>海上油站</w:t>
      </w:r>
      <w:r>
        <w:rPr>
          <w:i/>
          <w:szCs w:val="27"/>
        </w:rPr>
        <w:t>)</w:t>
      </w:r>
      <w:r>
        <w:rPr>
          <w:i/>
          <w:szCs w:val="27"/>
        </w:rPr>
        <w:t>停泊，經濟活動不多。有傳媒報道有人在觀塘避風塘以浮躉霸位供遊艇靠泊，並向有關人士強徵</w:t>
      </w:r>
      <w:r>
        <w:rPr>
          <w:rFonts w:cs="Times New Roman"/>
          <w:i/>
          <w:szCs w:val="27"/>
        </w:rPr>
        <w:t>"</w:t>
      </w:r>
      <w:r>
        <w:rPr>
          <w:i/>
          <w:szCs w:val="27"/>
        </w:rPr>
        <w:t>保安費</w:t>
      </w:r>
      <w:r>
        <w:rPr>
          <w:rFonts w:cs="Times New Roman"/>
          <w:i/>
          <w:szCs w:val="27"/>
        </w:rPr>
        <w:t>"</w:t>
      </w:r>
      <w:r>
        <w:rPr>
          <w:i/>
          <w:szCs w:val="27"/>
        </w:rPr>
        <w:t>及</w:t>
      </w:r>
      <w:r>
        <w:rPr>
          <w:rFonts w:cs="Times New Roman"/>
          <w:i/>
          <w:szCs w:val="27"/>
        </w:rPr>
        <w:t>"</w:t>
      </w:r>
      <w:r>
        <w:rPr>
          <w:i/>
          <w:szCs w:val="27"/>
        </w:rPr>
        <w:t>泊位費</w:t>
      </w:r>
      <w:r>
        <w:rPr>
          <w:rFonts w:cs="Times New Roman"/>
          <w:i/>
          <w:szCs w:val="27"/>
        </w:rPr>
        <w:t>"</w:t>
      </w:r>
      <w:r>
        <w:rPr>
          <w:i/>
          <w:szCs w:val="27"/>
        </w:rPr>
        <w:t>謀利。申訴專員公署於上月發表主動調查報告，關注其他船隻公平使用該避風塘的權利有否受損。有市民批評《保護海港條例》</w:t>
      </w:r>
      <w:r>
        <w:rPr>
          <w:i/>
          <w:szCs w:val="27"/>
        </w:rPr>
        <w:t>(</w:t>
      </w:r>
      <w:r>
        <w:rPr>
          <w:i/>
          <w:szCs w:val="27"/>
        </w:rPr>
        <w:t>第</w:t>
      </w:r>
      <w:r>
        <w:rPr>
          <w:i/>
          <w:szCs w:val="27"/>
        </w:rPr>
        <w:t>531</w:t>
      </w:r>
      <w:r>
        <w:rPr>
          <w:i/>
          <w:szCs w:val="27"/>
        </w:rPr>
        <w:t>章</w:t>
      </w:r>
      <w:r>
        <w:rPr>
          <w:i/>
          <w:szCs w:val="27"/>
        </w:rPr>
        <w:t>)</w:t>
      </w:r>
      <w:r>
        <w:rPr>
          <w:i/>
          <w:szCs w:val="27"/>
        </w:rPr>
        <w:t>矯枉過正，並已變成保護避風塘各種違法活動的條例。此外，有意見認為，觀塘避風塘現時無法為長期閒置的啟德郵輪碼頭提供交通配套，更遑論產生協同效應。就此，政府可否告知本會：</w:t>
      </w:r>
    </w:p>
    <w:p>
      <w:pPr>
        <w:pStyle w:val="F21"/>
        <w:spacing w:lineRule="atLeast" w:line="376"/>
        <w:rPr>
          <w:i/>
          <w:i/>
          <w:szCs w:val="27"/>
        </w:rPr>
      </w:pPr>
      <w:r>
        <w:rPr>
          <w:i/>
          <w:szCs w:val="27"/>
        </w:rPr>
      </w:r>
    </w:p>
    <w:p>
      <w:pPr>
        <w:pStyle w:val="F21"/>
        <w:spacing w:lineRule="atLeast" w:line="376"/>
        <w:ind w:left="1418" w:hanging="851"/>
        <w:rPr>
          <w:i/>
          <w:i/>
          <w:szCs w:val="27"/>
        </w:rPr>
      </w:pPr>
      <w:r>
        <w:rPr>
          <w:i/>
          <w:szCs w:val="27"/>
        </w:rPr>
        <w:t>(</w:t>
      </w:r>
      <w:r>
        <w:rPr>
          <w:i/>
          <w:szCs w:val="27"/>
        </w:rPr>
        <w:t>一</w:t>
      </w:r>
      <w:r>
        <w:rPr>
          <w:i/>
          <w:szCs w:val="27"/>
        </w:rPr>
        <w:t>)</w:t>
        <w:tab/>
      </w:r>
      <w:r>
        <w:rPr>
          <w:i/>
          <w:szCs w:val="27"/>
        </w:rPr>
        <w:t>有否研究，上述以浮躉霸位供遊艇靠泊並強徵費用是否屬有組織犯罪行為；如有研究而結果為是，過去</w:t>
      </w:r>
      <w:r>
        <w:rPr>
          <w:i/>
          <w:szCs w:val="27"/>
        </w:rPr>
        <w:t>3</w:t>
      </w:r>
      <w:r>
        <w:rPr>
          <w:i/>
          <w:szCs w:val="27"/>
        </w:rPr>
        <w:t>年，政府有何跟進行動，以及對有關人士成功作出起訴的個案數字；</w:t>
      </w:r>
    </w:p>
    <w:p>
      <w:pPr>
        <w:pStyle w:val="F21"/>
        <w:spacing w:lineRule="atLeast" w:line="376"/>
        <w:ind w:left="1418" w:hanging="851"/>
        <w:rPr>
          <w:i/>
          <w:i/>
          <w:szCs w:val="27"/>
        </w:rPr>
      </w:pPr>
      <w:r>
        <w:rPr>
          <w:i/>
          <w:szCs w:val="27"/>
        </w:rPr>
      </w:r>
    </w:p>
    <w:p>
      <w:pPr>
        <w:pStyle w:val="F21"/>
        <w:spacing w:lineRule="atLeast" w:line="376"/>
        <w:ind w:left="1418" w:hanging="851"/>
        <w:rPr>
          <w:i/>
          <w:i/>
          <w:szCs w:val="27"/>
        </w:rPr>
      </w:pPr>
      <w:r>
        <w:rPr>
          <w:i/>
          <w:szCs w:val="27"/>
        </w:rPr>
        <w:t>(</w:t>
      </w:r>
      <w:r>
        <w:rPr>
          <w:i/>
          <w:szCs w:val="27"/>
        </w:rPr>
        <w:t>二</w:t>
      </w:r>
      <w:r>
        <w:rPr>
          <w:i/>
          <w:szCs w:val="27"/>
        </w:rPr>
        <w:t>)</w:t>
        <w:tab/>
      </w:r>
      <w:r>
        <w:rPr>
          <w:i/>
          <w:szCs w:val="27"/>
        </w:rPr>
        <w:t>因應政府擬向本會提交</w:t>
      </w:r>
      <w:r>
        <w:rPr>
          <w:i/>
          <w:szCs w:val="27"/>
        </w:rPr>
        <w:t>5</w:t>
      </w:r>
      <w:r>
        <w:rPr>
          <w:i/>
          <w:szCs w:val="27"/>
        </w:rPr>
        <w:t>億多元撥款申請，進行明日大嶼願景下中部水域人工島相關研究，但有市民認為該款額過高，政府會否考慮透過縮減有關開支，以騰出款項研究在觀塘避風塘填海的可行性和效益，包括新增土地價值、可興建單位數目、可容納人口、可為啟德郵輪碼頭提供的交通配套及可與其發揮的協同效應；</w:t>
      </w:r>
    </w:p>
    <w:p>
      <w:pPr>
        <w:pStyle w:val="F21"/>
        <w:spacing w:lineRule="atLeast" w:line="376"/>
        <w:ind w:left="1418" w:hanging="851"/>
        <w:rPr>
          <w:i/>
          <w:i/>
          <w:szCs w:val="27"/>
        </w:rPr>
      </w:pPr>
      <w:r>
        <w:rPr>
          <w:i/>
          <w:szCs w:val="27"/>
        </w:rPr>
      </w:r>
    </w:p>
    <w:p>
      <w:pPr>
        <w:pStyle w:val="F21"/>
        <w:spacing w:lineRule="atLeast" w:line="376"/>
        <w:ind w:left="1418" w:hanging="851"/>
        <w:rPr>
          <w:i/>
          <w:i/>
          <w:szCs w:val="27"/>
        </w:rPr>
      </w:pPr>
      <w:r>
        <w:rPr>
          <w:i/>
          <w:szCs w:val="27"/>
        </w:rPr>
        <w:t>(</w:t>
      </w:r>
      <w:r>
        <w:rPr>
          <w:i/>
          <w:szCs w:val="27"/>
        </w:rPr>
        <w:t>三</w:t>
      </w:r>
      <w:r>
        <w:rPr>
          <w:i/>
          <w:szCs w:val="27"/>
        </w:rPr>
        <w:t>)</w:t>
        <w:tab/>
      </w:r>
      <w:r>
        <w:rPr>
          <w:i/>
          <w:szCs w:val="27"/>
        </w:rPr>
        <w:t>過去</w:t>
      </w:r>
      <w:r>
        <w:rPr>
          <w:i/>
          <w:szCs w:val="27"/>
        </w:rPr>
        <w:t>3</w:t>
      </w:r>
      <w:r>
        <w:rPr>
          <w:i/>
          <w:szCs w:val="27"/>
        </w:rPr>
        <w:t>年，政府有否評估</w:t>
      </w:r>
      <w:r>
        <w:rPr>
          <w:i/>
          <w:szCs w:val="27"/>
        </w:rPr>
        <w:t>(i)</w:t>
      </w:r>
      <w:r>
        <w:rPr>
          <w:i/>
          <w:szCs w:val="27"/>
        </w:rPr>
        <w:t>安排船隻在觀塘避風塘靠泊</w:t>
      </w:r>
      <w:r>
        <w:rPr>
          <w:i/>
          <w:szCs w:val="27"/>
        </w:rPr>
        <w:t>(</w:t>
      </w:r>
      <w:r>
        <w:rPr>
          <w:i/>
          <w:szCs w:val="27"/>
        </w:rPr>
        <w:t>包括上述霸位供遊艇靠泊活動</w:t>
      </w:r>
      <w:r>
        <w:rPr>
          <w:i/>
          <w:szCs w:val="27"/>
        </w:rPr>
        <w:t>)</w:t>
      </w:r>
      <w:r>
        <w:rPr>
          <w:i/>
          <w:szCs w:val="27"/>
        </w:rPr>
        <w:t>應有經濟收益，以及</w:t>
      </w:r>
      <w:r>
        <w:rPr>
          <w:i/>
          <w:szCs w:val="27"/>
        </w:rPr>
        <w:t>(ii)</w:t>
      </w:r>
      <w:r>
        <w:rPr>
          <w:i/>
          <w:szCs w:val="27"/>
        </w:rPr>
        <w:t>各項在觀塘避風塘進行的商業活動帶來的經濟貢獻；</w:t>
      </w:r>
    </w:p>
    <w:p>
      <w:pPr>
        <w:pStyle w:val="F21"/>
        <w:spacing w:lineRule="atLeast" w:line="376"/>
        <w:ind w:left="1418" w:hanging="851"/>
        <w:rPr>
          <w:i/>
          <w:i/>
          <w:szCs w:val="27"/>
        </w:rPr>
      </w:pPr>
      <w:r>
        <w:rPr>
          <w:i/>
          <w:szCs w:val="27"/>
        </w:rPr>
      </w:r>
    </w:p>
    <w:p>
      <w:pPr>
        <w:pStyle w:val="F21"/>
        <w:spacing w:lineRule="atLeast" w:line="376"/>
        <w:ind w:left="1418" w:hanging="851"/>
        <w:rPr>
          <w:i/>
          <w:i/>
          <w:szCs w:val="27"/>
        </w:rPr>
      </w:pPr>
      <w:r>
        <w:rPr>
          <w:i/>
          <w:szCs w:val="27"/>
        </w:rPr>
        <w:t>(</w:t>
      </w:r>
      <w:r>
        <w:rPr>
          <w:i/>
          <w:szCs w:val="27"/>
        </w:rPr>
        <w:t>四</w:t>
      </w:r>
      <w:r>
        <w:rPr>
          <w:i/>
          <w:szCs w:val="27"/>
        </w:rPr>
        <w:t>)</w:t>
        <w:tab/>
      </w:r>
      <w:r>
        <w:rPr>
          <w:i/>
          <w:szCs w:val="27"/>
        </w:rPr>
        <w:t>會否盡快進行第</w:t>
      </w:r>
      <w:r>
        <w:rPr>
          <w:i/>
          <w:szCs w:val="27"/>
        </w:rPr>
        <w:t>(</w:t>
      </w:r>
      <w:r>
        <w:rPr>
          <w:i/>
          <w:szCs w:val="27"/>
        </w:rPr>
        <w:t>二</w:t>
      </w:r>
      <w:r>
        <w:rPr>
          <w:i/>
          <w:szCs w:val="27"/>
        </w:rPr>
        <w:t>)</w:t>
      </w:r>
      <w:r>
        <w:rPr>
          <w:i/>
          <w:szCs w:val="27"/>
        </w:rPr>
        <w:t>及第</w:t>
      </w:r>
      <w:r>
        <w:rPr>
          <w:i/>
          <w:szCs w:val="27"/>
        </w:rPr>
        <w:t>(</w:t>
      </w:r>
      <w:r>
        <w:rPr>
          <w:i/>
          <w:szCs w:val="27"/>
        </w:rPr>
        <w:t>三</w:t>
      </w:r>
      <w:r>
        <w:rPr>
          <w:i/>
          <w:szCs w:val="27"/>
        </w:rPr>
        <w:t>)</w:t>
      </w:r>
      <w:r>
        <w:rPr>
          <w:i/>
          <w:szCs w:val="27"/>
        </w:rPr>
        <w:t>項分別所述的研究及評估，以便評估應否推展觀塘避風塘填海計劃；</w:t>
      </w:r>
    </w:p>
    <w:p>
      <w:pPr>
        <w:pStyle w:val="F21"/>
        <w:spacing w:lineRule="atLeast" w:line="376"/>
        <w:ind w:left="1418" w:hanging="851"/>
        <w:rPr>
          <w:i/>
          <w:i/>
          <w:szCs w:val="27"/>
        </w:rPr>
      </w:pPr>
      <w:r>
        <w:rPr>
          <w:i/>
          <w:szCs w:val="27"/>
        </w:rPr>
      </w:r>
    </w:p>
    <w:p>
      <w:pPr>
        <w:pStyle w:val="F21"/>
        <w:spacing w:lineRule="atLeast" w:line="376"/>
        <w:ind w:left="1418" w:hanging="851"/>
        <w:rPr>
          <w:i/>
          <w:i/>
          <w:szCs w:val="27"/>
        </w:rPr>
      </w:pPr>
      <w:r>
        <w:rPr>
          <w:i/>
          <w:szCs w:val="27"/>
        </w:rPr>
        <w:t>(</w:t>
      </w:r>
      <w:r>
        <w:rPr>
          <w:i/>
          <w:szCs w:val="27"/>
        </w:rPr>
        <w:t>五</w:t>
      </w:r>
      <w:r>
        <w:rPr>
          <w:i/>
          <w:szCs w:val="27"/>
        </w:rPr>
        <w:t>)</w:t>
        <w:tab/>
      </w:r>
      <w:r>
        <w:rPr>
          <w:i/>
          <w:szCs w:val="27"/>
        </w:rPr>
        <w:t>早前發展局回應本人就</w:t>
      </w:r>
      <w:r>
        <w:rPr>
          <w:i/>
          <w:szCs w:val="27"/>
        </w:rPr>
        <w:t>2019-2020</w:t>
      </w:r>
      <w:r>
        <w:rPr>
          <w:i/>
          <w:szCs w:val="27"/>
        </w:rPr>
        <w:t>年度財政預算案所作建議時提及，如要在觀塘避風塘進行填海，必須先另行覓地計劃新避風塘或避風碇泊處，政府是否備有籌建避風塘選址建議；如是，詳情為何；如否，會否立即進行覓地工作；</w:t>
      </w:r>
    </w:p>
    <w:p>
      <w:pPr>
        <w:pStyle w:val="F21"/>
        <w:spacing w:lineRule="atLeast" w:line="376"/>
        <w:ind w:left="1418" w:hanging="851"/>
        <w:rPr>
          <w:i/>
          <w:i/>
          <w:szCs w:val="27"/>
        </w:rPr>
      </w:pPr>
      <w:r>
        <w:rPr>
          <w:i/>
          <w:szCs w:val="27"/>
        </w:rPr>
      </w:r>
    </w:p>
    <w:p>
      <w:pPr>
        <w:pStyle w:val="F21"/>
        <w:spacing w:lineRule="atLeast" w:line="376"/>
        <w:ind w:left="1418" w:hanging="851"/>
        <w:rPr>
          <w:i/>
          <w:i/>
          <w:szCs w:val="27"/>
        </w:rPr>
      </w:pPr>
      <w:r>
        <w:rPr>
          <w:i/>
          <w:szCs w:val="27"/>
        </w:rPr>
        <w:t>(</w:t>
      </w:r>
      <w:r>
        <w:rPr>
          <w:i/>
          <w:szCs w:val="27"/>
        </w:rPr>
        <w:t>六</w:t>
      </w:r>
      <w:r>
        <w:rPr>
          <w:i/>
          <w:szCs w:val="27"/>
        </w:rPr>
        <w:t>)</w:t>
        <w:tab/>
      </w:r>
      <w:r>
        <w:rPr>
          <w:i/>
          <w:szCs w:val="27"/>
        </w:rPr>
        <w:t>發展局局長日前回應本會議員就九龍東環保連接系統</w:t>
      </w:r>
      <w:r>
        <w:rPr>
          <w:i/>
          <w:szCs w:val="27"/>
        </w:rPr>
        <w:t>(</w:t>
      </w:r>
      <w:r>
        <w:rPr>
          <w:rFonts w:cs="Times New Roman"/>
          <w:i/>
          <w:szCs w:val="27"/>
        </w:rPr>
        <w:t>"</w:t>
      </w:r>
      <w:r>
        <w:rPr>
          <w:i/>
          <w:szCs w:val="27"/>
        </w:rPr>
        <w:t>環接系統</w:t>
      </w:r>
      <w:r>
        <w:rPr>
          <w:rFonts w:cs="Times New Roman"/>
          <w:i/>
          <w:szCs w:val="27"/>
        </w:rPr>
        <w:t>"</w:t>
      </w:r>
      <w:r>
        <w:rPr>
          <w:i/>
          <w:szCs w:val="27"/>
        </w:rPr>
        <w:t>)</w:t>
      </w:r>
      <w:r>
        <w:rPr>
          <w:i/>
          <w:szCs w:val="27"/>
        </w:rPr>
        <w:t>提出的質詢時指，原定由啟德郵輪碼頭末端，橫跨觀塘避風塘經開源道連接港鐵觀塘站的高架橋，因多處未能滿足《消防安全</w:t>
      </w:r>
      <w:r>
        <w:rPr>
          <w:i/>
          <w:szCs w:val="27"/>
        </w:rPr>
        <w:t>(</w:t>
      </w:r>
      <w:r>
        <w:rPr>
          <w:i/>
          <w:szCs w:val="27"/>
        </w:rPr>
        <w:t>建築物</w:t>
      </w:r>
      <w:r>
        <w:rPr>
          <w:i/>
          <w:szCs w:val="27"/>
        </w:rPr>
        <w:t>)</w:t>
      </w:r>
      <w:r>
        <w:rPr>
          <w:i/>
          <w:szCs w:val="27"/>
        </w:rPr>
        <w:t>條例》</w:t>
      </w:r>
      <w:r>
        <w:rPr>
          <w:i/>
          <w:szCs w:val="27"/>
        </w:rPr>
        <w:t>(</w:t>
      </w:r>
      <w:r>
        <w:rPr>
          <w:i/>
          <w:szCs w:val="27"/>
        </w:rPr>
        <w:t>第</w:t>
      </w:r>
      <w:r>
        <w:rPr>
          <w:i/>
          <w:szCs w:val="27"/>
        </w:rPr>
        <w:t>572</w:t>
      </w:r>
      <w:r>
        <w:rPr>
          <w:i/>
          <w:szCs w:val="27"/>
        </w:rPr>
        <w:t>章</w:t>
      </w:r>
      <w:r>
        <w:rPr>
          <w:i/>
          <w:szCs w:val="27"/>
        </w:rPr>
        <w:t>)</w:t>
      </w:r>
      <w:r>
        <w:rPr>
          <w:i/>
          <w:szCs w:val="27"/>
        </w:rPr>
        <w:t>所訂的消防安全要求，技術困難重重，政府會否一方面繼續研究環接系統，另一方面研究觀塘避風塘經填海可提供的陸路交通網絡，作為一旦放棄環接系統的後備方案；及</w:t>
      </w:r>
    </w:p>
    <w:p>
      <w:pPr>
        <w:pStyle w:val="Normal"/>
        <w:widowControl/>
        <w:tabs>
          <w:tab w:val="clear" w:pos="720"/>
        </w:tabs>
        <w:snapToGrid w:val="true"/>
        <w:spacing w:lineRule="auto" w:line="276" w:before="0" w:after="200"/>
        <w:jc w:val="left"/>
        <w:rPr>
          <w:rFonts w:cs="" w:cstheme="minorBidi"/>
          <w:i/>
          <w:i/>
          <w:spacing w:val="20"/>
          <w:sz w:val="27"/>
          <w:szCs w:val="27"/>
          <w:lang w:val="en-US"/>
        </w:rPr>
      </w:pPr>
      <w:r>
        <w:rPr>
          <w:rFonts w:cs="" w:cstheme="minorBidi"/>
          <w:i/>
          <w:spacing w:val="20"/>
          <w:sz w:val="27"/>
          <w:szCs w:val="27"/>
          <w:lang w:val="en-US"/>
        </w:rPr>
      </w:r>
      <w:r>
        <w:br w:type="page"/>
      </w:r>
    </w:p>
    <w:p>
      <w:pPr>
        <w:pStyle w:val="F21"/>
        <w:ind w:left="1418" w:hanging="851"/>
        <w:rPr>
          <w:i/>
          <w:i/>
          <w:szCs w:val="27"/>
        </w:rPr>
      </w:pPr>
      <w:r>
        <w:rPr>
          <w:i/>
          <w:szCs w:val="27"/>
        </w:rPr>
        <w:t>(</w:t>
      </w:r>
      <w:r>
        <w:rPr>
          <w:i/>
          <w:szCs w:val="27"/>
        </w:rPr>
        <w:t>七</w:t>
      </w:r>
      <w:r>
        <w:rPr>
          <w:i/>
          <w:szCs w:val="27"/>
        </w:rPr>
        <w:t>)</w:t>
        <w:tab/>
      </w:r>
      <w:r>
        <w:rPr>
          <w:i/>
          <w:szCs w:val="27"/>
        </w:rPr>
        <w:t>會否立即修訂《保護海港條例》，以便推行環接系統及在觀塘避風塘填海，為起動九龍東願景提供大幅住宅土地，連帶解決區內及啟德郵輪碼頭的交通問題？</w:t>
      </w:r>
    </w:p>
    <w:p>
      <w:pPr>
        <w:pStyle w:val="F21"/>
        <w:rPr>
          <w:szCs w:val="27"/>
        </w:rPr>
      </w:pPr>
      <w:r>
        <w:rPr>
          <w:szCs w:val="27"/>
        </w:rPr>
      </w:r>
    </w:p>
    <w:p>
      <w:pPr>
        <w:pStyle w:val="F21"/>
        <w:rPr>
          <w:szCs w:val="27"/>
        </w:rPr>
      </w:pPr>
      <w:r>
        <w:rPr>
          <w:szCs w:val="27"/>
        </w:rPr>
      </w:r>
    </w:p>
    <w:p>
      <w:pPr>
        <w:pStyle w:val="F21"/>
        <w:rPr>
          <w:szCs w:val="27"/>
        </w:rPr>
      </w:pPr>
      <w:r>
        <w:rPr>
          <w:rFonts w:ascii="華康中黑體" w:hAnsi="華康中黑體" w:eastAsia="華康中黑體"/>
          <w:b/>
          <w:szCs w:val="27"/>
        </w:rPr>
        <w:t>發展局局長</w:t>
      </w:r>
      <w:r>
        <w:rPr>
          <w:szCs w:val="27"/>
        </w:rPr>
        <w:t>：主席，政府一直採取多管齊下的方式增加土地供應，一方面善用現有已發展的土地，另一方面發展新的土地資源，包括推展新發展區項目和提出</w:t>
      </w:r>
      <w:r>
        <w:rPr>
          <w:szCs w:val="27"/>
        </w:rPr>
        <w:t>"</w:t>
      </w:r>
      <w:r>
        <w:rPr>
          <w:szCs w:val="27"/>
        </w:rPr>
        <w:t>明日大嶼</w:t>
      </w:r>
      <w:r>
        <w:rPr>
          <w:szCs w:val="27"/>
        </w:rPr>
        <w:t>"</w:t>
      </w:r>
      <w:r>
        <w:rPr>
          <w:szCs w:val="27"/>
        </w:rPr>
        <w:t>願景。</w:t>
      </w:r>
    </w:p>
    <w:p>
      <w:pPr>
        <w:pStyle w:val="F21"/>
        <w:rPr>
          <w:szCs w:val="27"/>
        </w:rPr>
      </w:pPr>
      <w:r>
        <w:rPr>
          <w:szCs w:val="27"/>
        </w:rPr>
      </w:r>
    </w:p>
    <w:p>
      <w:pPr>
        <w:pStyle w:val="F21"/>
        <w:rPr>
          <w:szCs w:val="27"/>
        </w:rPr>
      </w:pPr>
      <w:r>
        <w:rPr>
          <w:szCs w:val="27"/>
        </w:rPr>
        <w:tab/>
      </w:r>
      <w:r>
        <w:rPr>
          <w:szCs w:val="27"/>
        </w:rPr>
        <w:t>關於在觀塘避風塘填海的議題，政府在</w:t>
      </w:r>
      <w:r>
        <w:rPr>
          <w:szCs w:val="27"/>
        </w:rPr>
        <w:t>2001</w:t>
      </w:r>
      <w:r>
        <w:rPr>
          <w:szCs w:val="27"/>
        </w:rPr>
        <w:t>年完成的</w:t>
      </w:r>
      <w:r>
        <w:rPr>
          <w:szCs w:val="27"/>
        </w:rPr>
        <w:t>"</w:t>
      </w:r>
      <w:r>
        <w:rPr>
          <w:szCs w:val="27"/>
        </w:rPr>
        <w:t>東南九龍發展修訂計劃的整體可行性研究</w:t>
      </w:r>
      <w:r>
        <w:rPr>
          <w:szCs w:val="27"/>
        </w:rPr>
        <w:t>"</w:t>
      </w:r>
      <w:r>
        <w:rPr>
          <w:szCs w:val="27"/>
        </w:rPr>
        <w:t>，曾建議總發展面積約</w:t>
      </w:r>
      <w:r>
        <w:rPr>
          <w:szCs w:val="27"/>
        </w:rPr>
        <w:t>460</w:t>
      </w:r>
      <w:r>
        <w:rPr>
          <w:szCs w:val="27"/>
        </w:rPr>
        <w:t>公頃，其中約</w:t>
      </w:r>
      <w:r>
        <w:rPr>
          <w:szCs w:val="27"/>
        </w:rPr>
        <w:t>133</w:t>
      </w:r>
      <w:r>
        <w:rPr>
          <w:szCs w:val="27"/>
        </w:rPr>
        <w:t>公頃為填海面積，包括觀塘避風塘北部範圍。因應</w:t>
      </w:r>
      <w:r>
        <w:rPr>
          <w:szCs w:val="27"/>
        </w:rPr>
        <w:t>2004</w:t>
      </w:r>
      <w:r>
        <w:rPr>
          <w:szCs w:val="27"/>
        </w:rPr>
        <w:t>年</w:t>
      </w:r>
      <w:r>
        <w:rPr>
          <w:szCs w:val="27"/>
        </w:rPr>
        <w:t>1</w:t>
      </w:r>
      <w:r>
        <w:rPr>
          <w:szCs w:val="27"/>
        </w:rPr>
        <w:t>月終審法院在判決中對《保護海港條例》</w:t>
      </w:r>
      <w:r>
        <w:rPr>
          <w:szCs w:val="27"/>
        </w:rPr>
        <w:t>(</w:t>
      </w:r>
      <w:r>
        <w:rPr>
          <w:szCs w:val="27"/>
        </w:rPr>
        <w:t>第</w:t>
      </w:r>
      <w:r>
        <w:rPr>
          <w:szCs w:val="27"/>
        </w:rPr>
        <w:t>531</w:t>
      </w:r>
      <w:r>
        <w:rPr>
          <w:szCs w:val="27"/>
        </w:rPr>
        <w:t>章</w:t>
      </w:r>
      <w:r>
        <w:rPr>
          <w:szCs w:val="27"/>
        </w:rPr>
        <w:t>)</w:t>
      </w:r>
      <w:r>
        <w:rPr>
          <w:szCs w:val="27"/>
        </w:rPr>
        <w:t>作出的詮釋，政府於同年年中展開《啟德規劃檢討》，全面地檢討啟德發展計劃的規劃及工程，以</w:t>
      </w:r>
      <w:r>
        <w:rPr>
          <w:szCs w:val="27"/>
        </w:rPr>
        <w:t>"</w:t>
      </w:r>
      <w:r>
        <w:rPr>
          <w:szCs w:val="27"/>
        </w:rPr>
        <w:t>零填海</w:t>
      </w:r>
      <w:r>
        <w:rPr>
          <w:szCs w:val="27"/>
        </w:rPr>
        <w:t>"</w:t>
      </w:r>
      <w:r>
        <w:rPr>
          <w:szCs w:val="27"/>
        </w:rPr>
        <w:t>為基礎，為舊機場用地擬備新的發展計劃，並於</w:t>
      </w:r>
      <w:r>
        <w:rPr>
          <w:szCs w:val="27"/>
        </w:rPr>
        <w:t>2004</w:t>
      </w:r>
      <w:r>
        <w:rPr>
          <w:szCs w:val="27"/>
        </w:rPr>
        <w:t>年至</w:t>
      </w:r>
      <w:r>
        <w:rPr>
          <w:szCs w:val="27"/>
        </w:rPr>
        <w:t>2006</w:t>
      </w:r>
      <w:r>
        <w:rPr>
          <w:szCs w:val="27"/>
        </w:rPr>
        <w:t>年間廣泛地進行了</w:t>
      </w:r>
      <w:r>
        <w:rPr>
          <w:szCs w:val="27"/>
        </w:rPr>
        <w:t>3</w:t>
      </w:r>
      <w:r>
        <w:rPr>
          <w:szCs w:val="27"/>
        </w:rPr>
        <w:t>個階段的公眾參與活動。其後，《啟德規劃檢討》的建議在</w:t>
      </w:r>
      <w:r>
        <w:rPr>
          <w:szCs w:val="27"/>
        </w:rPr>
        <w:t>2006</w:t>
      </w:r>
      <w:r>
        <w:rPr>
          <w:szCs w:val="27"/>
        </w:rPr>
        <w:t>年</w:t>
      </w:r>
      <w:r>
        <w:rPr>
          <w:szCs w:val="27"/>
        </w:rPr>
        <w:t>11</w:t>
      </w:r>
      <w:r>
        <w:rPr>
          <w:szCs w:val="27"/>
        </w:rPr>
        <w:t>月納入法定的啟德分區計劃大綱圖內，並於</w:t>
      </w:r>
      <w:r>
        <w:rPr>
          <w:szCs w:val="27"/>
        </w:rPr>
        <w:t>2007</w:t>
      </w:r>
      <w:r>
        <w:rPr>
          <w:szCs w:val="27"/>
        </w:rPr>
        <w:t>年</w:t>
      </w:r>
      <w:r>
        <w:rPr>
          <w:szCs w:val="27"/>
        </w:rPr>
        <w:t>11</w:t>
      </w:r>
      <w:r>
        <w:rPr>
          <w:szCs w:val="27"/>
        </w:rPr>
        <w:t>月獲行政長官會同行政會議核准。現時適用的《啟德分區計劃大綱核准圖編號</w:t>
      </w:r>
      <w:r>
        <w:rPr>
          <w:szCs w:val="27"/>
        </w:rPr>
        <w:t>S/K22/6</w:t>
      </w:r>
      <w:r>
        <w:rPr>
          <w:szCs w:val="27"/>
        </w:rPr>
        <w:t>》，大致上是以</w:t>
      </w:r>
      <w:r>
        <w:rPr>
          <w:szCs w:val="27"/>
        </w:rPr>
        <w:t>2006</w:t>
      </w:r>
      <w:r>
        <w:rPr>
          <w:szCs w:val="27"/>
        </w:rPr>
        <w:t>年展示的大綱圖為藍本，並經過多輪的公眾參與，當中並不涉及任何填海建議。</w:t>
      </w:r>
    </w:p>
    <w:p>
      <w:pPr>
        <w:pStyle w:val="F21"/>
        <w:rPr>
          <w:szCs w:val="27"/>
        </w:rPr>
      </w:pPr>
      <w:r>
        <w:rPr>
          <w:szCs w:val="27"/>
        </w:rPr>
      </w:r>
    </w:p>
    <w:p>
      <w:pPr>
        <w:pStyle w:val="F21"/>
        <w:rPr>
          <w:szCs w:val="27"/>
        </w:rPr>
      </w:pPr>
      <w:r>
        <w:rPr>
          <w:szCs w:val="27"/>
        </w:rPr>
        <w:tab/>
      </w:r>
      <w:r>
        <w:rPr>
          <w:szCs w:val="27"/>
        </w:rPr>
        <w:t>事實上，觀塘避風塘是維多利亞港第二大避風塘，假如在觀塘避風塘進行填海工程，本港避風泊位的整體供應將會減少。因此，政府並無計劃研究可否在觀塘避風塘進行填海工程。</w:t>
      </w:r>
    </w:p>
    <w:p>
      <w:pPr>
        <w:pStyle w:val="F21"/>
        <w:rPr>
          <w:szCs w:val="27"/>
        </w:rPr>
      </w:pPr>
      <w:r>
        <w:rPr>
          <w:szCs w:val="27"/>
        </w:rPr>
      </w:r>
    </w:p>
    <w:p>
      <w:pPr>
        <w:pStyle w:val="F21"/>
        <w:rPr>
          <w:szCs w:val="27"/>
        </w:rPr>
      </w:pPr>
      <w:r>
        <w:rPr>
          <w:szCs w:val="27"/>
        </w:rPr>
        <w:tab/>
      </w:r>
      <w:r>
        <w:rPr>
          <w:szCs w:val="27"/>
        </w:rPr>
        <w:t>就謝議員質詢的各個部分，經諮詢相關政策局和部門的意見，現答覆如下：</w:t>
      </w:r>
    </w:p>
    <w:p>
      <w:pPr>
        <w:pStyle w:val="F21"/>
        <w:rPr>
          <w:szCs w:val="27"/>
        </w:rPr>
      </w:pPr>
      <w:r>
        <w:rPr>
          <w:szCs w:val="27"/>
        </w:rPr>
      </w:r>
    </w:p>
    <w:p>
      <w:pPr>
        <w:pStyle w:val="Style15"/>
        <w:rPr>
          <w:i w:val="false"/>
          <w:i w:val="false"/>
        </w:rPr>
      </w:pPr>
      <w:r>
        <w:rPr>
          <w:i w:val="false"/>
        </w:rPr>
        <w:t>(</w:t>
      </w:r>
      <w:r>
        <w:rPr>
          <w:i w:val="false"/>
        </w:rPr>
        <w:t>一</w:t>
      </w:r>
      <w:r>
        <w:rPr>
          <w:i w:val="false"/>
        </w:rPr>
        <w:t>)</w:t>
      </w:r>
      <w:r>
        <w:rPr>
          <w:i w:val="false"/>
        </w:rPr>
        <w:t>及</w:t>
      </w:r>
      <w:r>
        <w:rPr>
          <w:i w:val="false"/>
        </w:rPr>
        <w:t>(</w:t>
      </w:r>
      <w:r>
        <w:rPr>
          <w:i w:val="false"/>
        </w:rPr>
        <w:t>三</w:t>
      </w:r>
      <w:r>
        <w:rPr>
          <w:i w:val="false"/>
        </w:rPr>
        <w:t>)</w:t>
      </w:r>
    </w:p>
    <w:p>
      <w:pPr>
        <w:pStyle w:val="Style15"/>
        <w:rPr>
          <w:i w:val="false"/>
          <w:i w:val="false"/>
        </w:rPr>
      </w:pPr>
      <w:r>
        <w:rPr>
          <w:i w:val="false"/>
        </w:rPr>
      </w:r>
    </w:p>
    <w:p>
      <w:pPr>
        <w:pStyle w:val="Style15"/>
        <w:rPr>
          <w:i w:val="false"/>
          <w:i w:val="false"/>
        </w:rPr>
      </w:pPr>
      <w:r>
        <w:rPr>
          <w:i w:val="false"/>
        </w:rPr>
        <w:tab/>
      </w:r>
      <w:r>
        <w:rPr>
          <w:i w:val="false"/>
        </w:rPr>
        <w:t>根據運輸及房屋局提供的資料，避風塘的設立，旨在為本地船隻在颱風和惡劣天氣情況下，提供合適的避風位置。使用避風塘的船隻長度限制，按個別避風塘分別為</w:t>
      </w:r>
      <w:r>
        <w:rPr>
          <w:i w:val="false"/>
        </w:rPr>
        <w:t>30.4</w:t>
      </w:r>
      <w:r>
        <w:rPr>
          <w:i w:val="false"/>
        </w:rPr>
        <w:t>米，</w:t>
      </w:r>
      <w:r>
        <w:rPr>
          <w:i w:val="false"/>
        </w:rPr>
        <w:t>50</w:t>
      </w:r>
      <w:r>
        <w:rPr>
          <w:i w:val="false"/>
        </w:rPr>
        <w:t>米或</w:t>
      </w:r>
      <w:r>
        <w:rPr>
          <w:i w:val="false"/>
        </w:rPr>
        <w:t>75</w:t>
      </w:r>
      <w:r>
        <w:rPr>
          <w:i w:val="false"/>
        </w:rPr>
        <w:t>米。面積約</w:t>
      </w:r>
      <w:r>
        <w:rPr>
          <w:i w:val="false"/>
        </w:rPr>
        <w:t>33</w:t>
      </w:r>
      <w:r>
        <w:rPr>
          <w:i w:val="false"/>
        </w:rPr>
        <w:t>公頃的觀塘避風塘為全港</w:t>
      </w:r>
      <w:r>
        <w:rPr>
          <w:i w:val="false"/>
        </w:rPr>
        <w:t>14</w:t>
      </w:r>
      <w:r>
        <w:rPr>
          <w:i w:val="false"/>
        </w:rPr>
        <w:t>個避風塘之一。由於觀塘避風塘能為約</w:t>
      </w:r>
      <w:r>
        <w:rPr>
          <w:i w:val="false"/>
        </w:rPr>
        <w:t>350</w:t>
      </w:r>
      <w:r>
        <w:rPr>
          <w:i w:val="false"/>
        </w:rPr>
        <w:t>艘船隻在颱風侵襲及惡劣天氣時提供庇護，因此，如要在觀塘避風塘進行填海造地，必須先另行覓地計劃新避風塘或避風碇泊處，以確保在香港水域內有足夠的適合位置供本地船隻在颱風和惡劣天氣情況下避風。</w:t>
      </w:r>
    </w:p>
    <w:p>
      <w:pPr>
        <w:pStyle w:val="Style15"/>
        <w:rPr>
          <w:i w:val="false"/>
          <w:i w:val="false"/>
        </w:rPr>
      </w:pPr>
      <w:r>
        <w:rPr>
          <w:i w:val="false"/>
        </w:rPr>
      </w:r>
    </w:p>
    <w:p>
      <w:pPr>
        <w:pStyle w:val="Style15"/>
        <w:rPr>
          <w:i w:val="false"/>
          <w:i w:val="false"/>
        </w:rPr>
      </w:pPr>
      <w:r>
        <w:rPr>
          <w:i w:val="false"/>
        </w:rPr>
        <w:tab/>
      </w:r>
      <w:r>
        <w:rPr>
          <w:i w:val="false"/>
        </w:rPr>
        <w:t>另一方面，根據現行法例，除若干例外情況外</w:t>
      </w:r>
      <w:r>
        <w:rPr>
          <w:i w:val="false"/>
        </w:rPr>
        <w:t>(</w:t>
      </w:r>
      <w:r>
        <w:rPr>
          <w:i w:val="false"/>
        </w:rPr>
        <w:t>例如船隻載有危險品或超出上述避風塘的允許長度</w:t>
      </w:r>
      <w:r>
        <w:rPr>
          <w:i w:val="false"/>
        </w:rPr>
        <w:t>)</w:t>
      </w:r>
      <w:r>
        <w:rPr>
          <w:i w:val="false"/>
        </w:rPr>
        <w:t>，所有本地船隻</w:t>
      </w:r>
      <w:r>
        <w:rPr>
          <w:i w:val="false"/>
        </w:rPr>
        <w:t>(</w:t>
      </w:r>
      <w:r>
        <w:rPr>
          <w:i w:val="false"/>
        </w:rPr>
        <w:t>包括</w:t>
      </w:r>
      <w:r>
        <w:rPr>
          <w:i w:val="false"/>
        </w:rPr>
        <w:t>"</w:t>
      </w:r>
      <w:r>
        <w:rPr>
          <w:i w:val="false"/>
        </w:rPr>
        <w:t>浮躉</w:t>
      </w:r>
      <w:r>
        <w:rPr>
          <w:i w:val="false"/>
        </w:rPr>
        <w:t>"</w:t>
      </w:r>
      <w:r>
        <w:rPr>
          <w:i w:val="false"/>
        </w:rPr>
        <w:t>所屬的第</w:t>
      </w:r>
      <w:r>
        <w:rPr>
          <w:i w:val="false"/>
        </w:rPr>
        <w:t>II</w:t>
      </w:r>
      <w:r>
        <w:rPr>
          <w:i w:val="false"/>
        </w:rPr>
        <w:t>類別船隻</w:t>
      </w:r>
      <w:r>
        <w:rPr>
          <w:i w:val="false"/>
        </w:rPr>
        <w:t>)</w:t>
      </w:r>
      <w:r>
        <w:rPr>
          <w:i w:val="false"/>
        </w:rPr>
        <w:t>均可於任何時間進入任何避風塘並在其內停留。船隻</w:t>
      </w:r>
      <w:r>
        <w:rPr>
          <w:i w:val="false"/>
        </w:rPr>
        <w:t>(</w:t>
      </w:r>
      <w:r>
        <w:rPr>
          <w:i w:val="false"/>
        </w:rPr>
        <w:t>例如浮躉</w:t>
      </w:r>
      <w:r>
        <w:rPr>
          <w:i w:val="false"/>
        </w:rPr>
        <w:t>)</w:t>
      </w:r>
      <w:r>
        <w:rPr>
          <w:i w:val="false"/>
        </w:rPr>
        <w:t>在避風塘內向其他船隻提供如水、電、靠泊、看管及維修等服務，亦沒有違反現行法例。這些避風塘內的商業活動</w:t>
      </w:r>
      <w:r>
        <w:rPr>
          <w:i w:val="false"/>
        </w:rPr>
        <w:t>(</w:t>
      </w:r>
      <w:r>
        <w:rPr>
          <w:i w:val="false"/>
        </w:rPr>
        <w:t>包括上述活動</w:t>
      </w:r>
      <w:r>
        <w:rPr>
          <w:i w:val="false"/>
        </w:rPr>
        <w:t>)</w:t>
      </w:r>
      <w:r>
        <w:rPr>
          <w:i w:val="false"/>
        </w:rPr>
        <w:t>所帶動的經濟收益，為船東與有關服務提供者之間的安排，海事處沒有相關資料。</w:t>
      </w:r>
    </w:p>
    <w:p>
      <w:pPr>
        <w:pStyle w:val="Style15"/>
        <w:rPr>
          <w:i w:val="false"/>
          <w:i w:val="false"/>
        </w:rPr>
      </w:pPr>
      <w:r>
        <w:rPr>
          <w:i w:val="false"/>
        </w:rPr>
      </w:r>
    </w:p>
    <w:p>
      <w:pPr>
        <w:pStyle w:val="Style15"/>
        <w:rPr>
          <w:i w:val="false"/>
          <w:i w:val="false"/>
        </w:rPr>
      </w:pPr>
      <w:r>
        <w:rPr>
          <w:i w:val="false"/>
        </w:rPr>
        <w:tab/>
      </w:r>
      <w:r>
        <w:rPr>
          <w:i w:val="false"/>
        </w:rPr>
        <w:t>就觀塘避風塘內的商業活動有否影響了船隻公平使用避風塘的權利，根據海事處的實地檢視，觀塘避風塘現時仍有充裕的停泊位置可供船隻使用，而所述提供服務的浮躉並沒有妨礙其他船隻自由通往避風塘，亦不位處通航區，因此並無違反海事法例。在申訴專員公署發表的調查報告中，亦認同有關情況並沒有影響其他船隻公平使用該避風塘的權利。</w:t>
      </w:r>
    </w:p>
    <w:p>
      <w:pPr>
        <w:pStyle w:val="Style15"/>
        <w:rPr>
          <w:i w:val="false"/>
          <w:i w:val="false"/>
        </w:rPr>
      </w:pPr>
      <w:r>
        <w:rPr>
          <w:i w:val="false"/>
        </w:rPr>
      </w:r>
    </w:p>
    <w:p>
      <w:pPr>
        <w:pStyle w:val="Style15"/>
        <w:rPr>
          <w:i w:val="false"/>
          <w:i w:val="false"/>
        </w:rPr>
      </w:pPr>
      <w:r>
        <w:rPr>
          <w:i w:val="false"/>
        </w:rPr>
        <w:tab/>
      </w:r>
      <w:r>
        <w:rPr>
          <w:i w:val="false"/>
        </w:rPr>
        <w:t>至於觀塘避風塘的管理事宜，自</w:t>
      </w:r>
      <w:r>
        <w:rPr>
          <w:i w:val="false"/>
        </w:rPr>
        <w:t>2018</w:t>
      </w:r>
      <w:r>
        <w:rPr>
          <w:i w:val="false"/>
        </w:rPr>
        <w:t>年</w:t>
      </w:r>
      <w:r>
        <w:rPr>
          <w:i w:val="false"/>
        </w:rPr>
        <w:t>11</w:t>
      </w:r>
      <w:r>
        <w:rPr>
          <w:i w:val="false"/>
        </w:rPr>
        <w:t>月起，警務處聯同海事處已加強在觀塘避風塘巡邏，並舉行了共</w:t>
      </w:r>
      <w:r>
        <w:rPr>
          <w:i w:val="false"/>
        </w:rPr>
        <w:t>5</w:t>
      </w:r>
      <w:r>
        <w:rPr>
          <w:i w:val="false"/>
        </w:rPr>
        <w:t>次聯合行動，以防範在避風塘內的任何不法行為。海事處會繼續與警務處保持緊密聯繫並採取適切的巡邏和執法行動，以維持避風塘內船隻碇泊的安全和秩序。</w:t>
      </w:r>
    </w:p>
    <w:p>
      <w:pPr>
        <w:pStyle w:val="Style15"/>
        <w:rPr>
          <w:i w:val="false"/>
          <w:i w:val="false"/>
        </w:rPr>
      </w:pPr>
      <w:r>
        <w:rPr>
          <w:i w:val="false"/>
        </w:rPr>
      </w:r>
    </w:p>
    <w:p>
      <w:pPr>
        <w:pStyle w:val="Style15"/>
        <w:rPr>
          <w:i w:val="false"/>
          <w:i w:val="false"/>
        </w:rPr>
      </w:pPr>
      <w:r>
        <w:rPr>
          <w:i w:val="false"/>
        </w:rPr>
        <w:t>(</w:t>
      </w:r>
      <w:r>
        <w:rPr>
          <w:i w:val="false"/>
        </w:rPr>
        <w:t>二</w:t>
      </w:r>
      <w:r>
        <w:rPr>
          <w:i w:val="false"/>
        </w:rPr>
        <w:t>)</w:t>
        <w:tab/>
      </w:r>
      <w:r>
        <w:rPr>
          <w:i w:val="false"/>
        </w:rPr>
        <w:t>香港面對嚴重土地供應短缺。政府認同土地供應專責小組指，不能靠單一選項解決土地問題。我們會繼續以多管齊下的方式，增加土地供應。</w:t>
      </w:r>
      <w:r>
        <w:rPr>
          <w:i w:val="false"/>
        </w:rPr>
        <w:t>"</w:t>
      </w:r>
      <w:r>
        <w:rPr>
          <w:i w:val="false"/>
        </w:rPr>
        <w:t>明日大嶼願景</w:t>
      </w:r>
      <w:r>
        <w:rPr>
          <w:i w:val="false"/>
        </w:rPr>
        <w:t>"</w:t>
      </w:r>
      <w:r>
        <w:rPr>
          <w:i w:val="false"/>
        </w:rPr>
        <w:t>提出多項中長期的土地供應措施，而其中一項主要建議，是就中部水域分階段填海興建人工島展開研究。相關建議具有多重策略性效益。我們初步預計首階段研究推展約</w:t>
      </w:r>
      <w:r>
        <w:rPr>
          <w:i w:val="false"/>
        </w:rPr>
        <w:t>1 000</w:t>
      </w:r>
      <w:r>
        <w:rPr>
          <w:i w:val="false"/>
        </w:rPr>
        <w:t>公頃鄰近交椅洲的人工島可提供約</w:t>
      </w:r>
      <w:r>
        <w:rPr>
          <w:i w:val="false"/>
        </w:rPr>
        <w:t>15</w:t>
      </w:r>
      <w:r>
        <w:rPr>
          <w:i w:val="false"/>
        </w:rPr>
        <w:t>萬至</w:t>
      </w:r>
      <w:r>
        <w:rPr>
          <w:i w:val="false"/>
        </w:rPr>
        <w:t>26</w:t>
      </w:r>
      <w:r>
        <w:rPr>
          <w:i w:val="false"/>
        </w:rPr>
        <w:t>萬個房屋單位，當中七成為公營房屋。我們亦可以在交椅洲人工島建立第三個核心商業區，</w:t>
      </w:r>
      <w:r>
        <w:rPr>
          <w:i w:val="false"/>
          <w:vertAlign w:val="superscript"/>
        </w:rPr>
        <w:t>(</w:t>
      </w:r>
      <w:r>
        <w:rPr>
          <w:rStyle w:val="FootnoteAnchor"/>
          <w:i w:val="false"/>
        </w:rPr>
        <w:footnoteReference w:customMarkFollows="1" w:id="5"/>
        <w:t>1)</w:t>
      </w:r>
      <w:r>
        <w:rPr>
          <w:i w:val="false"/>
        </w:rPr>
        <w:t>促進經濟發展及提供約</w:t>
      </w:r>
      <w:r>
        <w:rPr>
          <w:i w:val="false"/>
        </w:rPr>
        <w:t>20</w:t>
      </w:r>
      <w:r>
        <w:rPr>
          <w:i w:val="false"/>
        </w:rPr>
        <w:t>萬個就業機會。接駁人工島的策略性道路和鐵路網絡，將貫通香港島、大嶼山和屯門沿海地區，令人工島、新界西北以至全港得以受惠。</w:t>
      </w:r>
    </w:p>
    <w:p>
      <w:pPr>
        <w:pStyle w:val="Style15"/>
        <w:rPr>
          <w:i w:val="false"/>
          <w:i w:val="false"/>
        </w:rPr>
      </w:pPr>
      <w:r>
        <w:rPr>
          <w:i w:val="false"/>
        </w:rPr>
      </w:r>
    </w:p>
    <w:p>
      <w:pPr>
        <w:pStyle w:val="Style15"/>
        <w:rPr>
          <w:i w:val="false"/>
          <w:i w:val="false"/>
        </w:rPr>
      </w:pPr>
      <w:r>
        <w:rPr>
          <w:i w:val="false"/>
        </w:rPr>
        <w:tab/>
      </w:r>
      <w:r>
        <w:rPr>
          <w:i w:val="false"/>
        </w:rPr>
        <w:t>擬議的中部水域人工島相關研究，涵蓋在交椅洲人工島進行詳細的規劃及工程研究，以訂定填海範圍、土地用途，以及其技術可行性，包括制訂詳細土地用途方案，為相關的工程進行初步設計，並就制訂發展方案進行法定的環境影響評估和公眾參與活動；以及進行策略性運輸基礎設施研究，並在鄰近喜靈洲和長洲南可能的人工島範圍及附近水域收集資料，以供長遠規劃參考。此外，研究亦包括進行相關的工地勘測工程及監管工作。</w:t>
      </w:r>
    </w:p>
    <w:p>
      <w:pPr>
        <w:pStyle w:val="Style15"/>
        <w:rPr>
          <w:i w:val="false"/>
          <w:i w:val="false"/>
        </w:rPr>
      </w:pPr>
      <w:r>
        <w:rPr>
          <w:i w:val="false"/>
        </w:rPr>
      </w:r>
    </w:p>
    <w:p>
      <w:pPr>
        <w:pStyle w:val="Style15"/>
        <w:rPr>
          <w:i w:val="false"/>
          <w:i w:val="false"/>
        </w:rPr>
      </w:pPr>
      <w:r>
        <w:rPr>
          <w:i w:val="false"/>
        </w:rPr>
        <w:tab/>
      </w:r>
      <w:r>
        <w:rPr>
          <w:i w:val="false"/>
        </w:rPr>
        <w:t>按付款當日價格計算，我們估計上述研究的費用為</w:t>
      </w:r>
      <w:r>
        <w:rPr>
          <w:i w:val="false"/>
        </w:rPr>
        <w:t>5</w:t>
      </w:r>
      <w:r>
        <w:rPr>
          <w:i w:val="false"/>
        </w:rPr>
        <w:t>億</w:t>
      </w:r>
      <w:r>
        <w:rPr>
          <w:i w:val="false"/>
        </w:rPr>
        <w:t>5,040</w:t>
      </w:r>
      <w:r>
        <w:rPr>
          <w:i w:val="false"/>
        </w:rPr>
        <w:t>萬元。我們認為有關研究的費用估算合理。如上文所述，目前政府並無計劃研究可否在觀塘避風塘進行填海工程。</w:t>
      </w:r>
    </w:p>
    <w:p>
      <w:pPr>
        <w:pStyle w:val="Style15"/>
        <w:rPr>
          <w:i w:val="false"/>
          <w:i w:val="false"/>
        </w:rPr>
      </w:pPr>
      <w:r>
        <w:rPr>
          <w:i w:val="false"/>
        </w:rPr>
      </w:r>
    </w:p>
    <w:p>
      <w:pPr>
        <w:pStyle w:val="Style15"/>
        <w:rPr>
          <w:i w:val="false"/>
          <w:i w:val="false"/>
        </w:rPr>
      </w:pPr>
      <w:r>
        <w:rPr>
          <w:i w:val="false"/>
        </w:rPr>
        <w:t>(</w:t>
      </w:r>
      <w:r>
        <w:rPr>
          <w:i w:val="false"/>
        </w:rPr>
        <w:t>四</w:t>
      </w:r>
      <w:r>
        <w:rPr>
          <w:i w:val="false"/>
        </w:rPr>
        <w:t>)</w:t>
      </w:r>
      <w:r>
        <w:rPr>
          <w:i w:val="false"/>
        </w:rPr>
        <w:t>至</w:t>
      </w:r>
      <w:r>
        <w:rPr>
          <w:i w:val="false"/>
        </w:rPr>
        <w:t>(</w:t>
      </w:r>
      <w:r>
        <w:rPr>
          <w:i w:val="false"/>
        </w:rPr>
        <w:t>七</w:t>
      </w:r>
      <w:r>
        <w:rPr>
          <w:i w:val="false"/>
        </w:rPr>
        <w:t>)</w:t>
      </w:r>
    </w:p>
    <w:p>
      <w:pPr>
        <w:pStyle w:val="Style15"/>
        <w:rPr>
          <w:i w:val="false"/>
          <w:i w:val="false"/>
        </w:rPr>
      </w:pPr>
      <w:r>
        <w:rPr>
          <w:i w:val="false"/>
        </w:rPr>
      </w:r>
    </w:p>
    <w:p>
      <w:pPr>
        <w:pStyle w:val="Style15"/>
        <w:rPr>
          <w:i w:val="false"/>
          <w:i w:val="false"/>
        </w:rPr>
      </w:pPr>
      <w:r>
        <w:rPr>
          <w:i w:val="false"/>
        </w:rPr>
        <w:tab/>
      </w:r>
      <w:r>
        <w:rPr>
          <w:i w:val="false"/>
        </w:rPr>
        <w:t>九龍東環保連接系統的詳細可行性研究正在進行中，當中包括探討在觀塘避風塘內設置連接橋的可行性。此外，如上文所述，假如在觀塘避風塘進行填海工程，本港避風泊位的整體供應將會減少。再者，觀塘避風塘亦是我們繁忙海港的一部分及水上康樂活動的好去處。政府正按照核准的啟德分區計劃大綱圖定下的方向促進發展水上康樂體育活動。有關的填海方案構思將影響促進觀塘避風塘作水體共享的方向。政府現時並無計劃研究可否在觀塘避風塘進行填海工程，亦無打算修訂《保護海港條例》</w:t>
      </w:r>
      <w:r>
        <w:rPr>
          <w:i w:val="false"/>
        </w:rPr>
        <w:t>(</w:t>
      </w:r>
      <w:r>
        <w:rPr>
          <w:i w:val="false"/>
        </w:rPr>
        <w:t>第</w:t>
      </w:r>
      <w:r>
        <w:rPr>
          <w:i w:val="false"/>
        </w:rPr>
        <w:t>531</w:t>
      </w:r>
      <w:r>
        <w:rPr>
          <w:i w:val="false"/>
        </w:rPr>
        <w:t>章</w:t>
      </w:r>
      <w:r>
        <w:rPr>
          <w:i w:val="false"/>
        </w:rPr>
        <w:t>)</w:t>
      </w:r>
      <w:r>
        <w:rPr>
          <w:i w:val="false"/>
        </w:rPr>
        <w:t>。</w:t>
      </w:r>
    </w:p>
    <w:p>
      <w:pPr>
        <w:pStyle w:val="F21"/>
        <w:overflowPunct w:val="true"/>
        <w:rPr>
          <w:rFonts w:cs="Times New Roman"/>
        </w:rPr>
      </w:pPr>
      <w:r>
        <w:rPr>
          <w:rFonts w:cs="Times New Roman"/>
        </w:rPr>
      </w:r>
    </w:p>
    <w:p>
      <w:pPr>
        <w:pStyle w:val="F21"/>
        <w:overflowPunct w:val="true"/>
        <w:rPr>
          <w:rFonts w:cs="Times New Roman"/>
        </w:rPr>
      </w:pPr>
      <w:r>
        <w:rPr>
          <w:rFonts w:cs="Times New Roman"/>
        </w:rPr>
      </w:r>
    </w:p>
    <w:p>
      <w:pPr>
        <w:pStyle w:val="F21"/>
        <w:overflowPunct w:val="true"/>
        <w:rPr>
          <w:rFonts w:eastAsia="華康中黑體" w:cs="Times New Roman"/>
          <w:b/>
          <w:b/>
        </w:rPr>
      </w:pPr>
      <w:bookmarkStart w:id="49" w:name="wrq18"/>
      <w:r>
        <w:rPr>
          <w:rFonts w:cs="Times New Roman" w:eastAsia="華康中黑體"/>
          <w:b/>
        </w:rPr>
        <w:t>樹木管理及園境工作的人事事宜</w:t>
      </w:r>
    </w:p>
    <w:p>
      <w:pPr>
        <w:pStyle w:val="Normal"/>
        <w:overflowPunct w:val="true"/>
        <w:rPr>
          <w:b/>
          <w:b/>
        </w:rPr>
      </w:pPr>
      <w:bookmarkStart w:id="50" w:name="wrq18"/>
      <w:r>
        <w:rPr>
          <w:b/>
        </w:rPr>
        <w:t>Staffing issues relating to tree management and landscape work</w:t>
      </w:r>
      <w:bookmarkEnd w:id="50"/>
    </w:p>
    <w:p>
      <w:pPr>
        <w:pStyle w:val="F21"/>
        <w:overflowPunct w:val="true"/>
        <w:rPr>
          <w:rFonts w:cs="Times New Roman"/>
        </w:rPr>
      </w:pPr>
      <w:r>
        <w:rPr>
          <w:rFonts w:cs="Times New Roman"/>
        </w:rPr>
      </w:r>
    </w:p>
    <w:p>
      <w:pPr>
        <w:pStyle w:val="F21"/>
        <w:rPr>
          <w:i/>
          <w:i/>
          <w:szCs w:val="27"/>
        </w:rPr>
      </w:pPr>
      <w:r>
        <w:rPr>
          <w:rFonts w:eastAsia="華康中黑體" w:cs="Times New Roman"/>
          <w:b/>
          <w:szCs w:val="27"/>
        </w:rPr>
        <w:t>18.</w:t>
        <w:tab/>
      </w:r>
      <w:r>
        <w:rPr>
          <w:rFonts w:cs="Times New Roman" w:eastAsia="華康中黑體"/>
          <w:b/>
          <w:szCs w:val="27"/>
        </w:rPr>
        <w:t>謝偉銓議員</w:t>
      </w:r>
      <w:r>
        <w:rPr>
          <w:szCs w:val="27"/>
        </w:rPr>
        <w:t>：</w:t>
      </w:r>
      <w:r>
        <w:rPr>
          <w:i/>
          <w:szCs w:val="27"/>
        </w:rPr>
        <w:t>主席，現時，發展局綠化、園境及樹木管理組</w:t>
      </w:r>
      <w:r>
        <w:rPr>
          <w:i/>
          <w:szCs w:val="27"/>
        </w:rPr>
        <w:t>(</w:t>
      </w:r>
      <w:r>
        <w:rPr>
          <w:rFonts w:cs="Times New Roman"/>
          <w:i/>
          <w:szCs w:val="27"/>
        </w:rPr>
        <w:t>"</w:t>
      </w:r>
      <w:r>
        <w:rPr>
          <w:i/>
          <w:szCs w:val="27"/>
        </w:rPr>
        <w:t>管理組</w:t>
      </w:r>
      <w:r>
        <w:rPr>
          <w:rFonts w:cs="Times New Roman"/>
          <w:i/>
          <w:szCs w:val="27"/>
        </w:rPr>
        <w:t>"</w:t>
      </w:r>
      <w:r>
        <w:rPr>
          <w:i/>
          <w:szCs w:val="27"/>
        </w:rPr>
        <w:t>)</w:t>
      </w:r>
      <w:r>
        <w:rPr>
          <w:i/>
          <w:szCs w:val="27"/>
        </w:rPr>
        <w:t>及其轄下樹木管理辦事處</w:t>
      </w:r>
      <w:r>
        <w:rPr>
          <w:i/>
          <w:szCs w:val="27"/>
        </w:rPr>
        <w:t>(</w:t>
      </w:r>
      <w:r>
        <w:rPr>
          <w:rFonts w:cs="Times New Roman"/>
          <w:i/>
          <w:szCs w:val="27"/>
        </w:rPr>
        <w:t>"</w:t>
      </w:r>
      <w:r>
        <w:rPr>
          <w:i/>
          <w:szCs w:val="27"/>
        </w:rPr>
        <w:t>樹木辦</w:t>
      </w:r>
      <w:r>
        <w:rPr>
          <w:rFonts w:cs="Times New Roman"/>
          <w:i/>
          <w:szCs w:val="27"/>
        </w:rPr>
        <w:t>"</w:t>
      </w:r>
      <w:r>
        <w:rPr>
          <w:i/>
          <w:szCs w:val="27"/>
        </w:rPr>
        <w:t>)</w:t>
      </w:r>
      <w:r>
        <w:rPr>
          <w:i/>
          <w:szCs w:val="27"/>
        </w:rPr>
        <w:t>，分別負責制訂和統籌香港整體有關園境及樹木管理策略及措施，以及協調各政府部門的樹木管理等工作。據報，管理組主管及樹木辦總監兩職在過去數年曾多次出缺，而其現任人則缺乏樹木管理或園境專業資格，有外行領導內行的問題。另一方面，發展局去年表示，正就樹木管理和樹木辦的工作進行檢討，並會一併檢視有關職位的聘任安排。就此，政府可否告知本會：</w:t>
      </w:r>
    </w:p>
    <w:p>
      <w:pPr>
        <w:pStyle w:val="F21"/>
        <w:rPr>
          <w:i/>
          <w:i/>
          <w:szCs w:val="27"/>
        </w:rPr>
      </w:pPr>
      <w:r>
        <w:rPr>
          <w:i/>
          <w:szCs w:val="27"/>
        </w:rPr>
      </w:r>
    </w:p>
    <w:p>
      <w:pPr>
        <w:pStyle w:val="F21"/>
        <w:ind w:left="1418" w:hanging="851"/>
        <w:rPr>
          <w:i/>
          <w:i/>
          <w:szCs w:val="27"/>
        </w:rPr>
      </w:pPr>
      <w:r>
        <w:rPr>
          <w:i/>
          <w:szCs w:val="27"/>
        </w:rPr>
        <w:t>(</w:t>
      </w:r>
      <w:r>
        <w:rPr>
          <w:i/>
          <w:szCs w:val="27"/>
        </w:rPr>
        <w:t>一</w:t>
      </w:r>
      <w:r>
        <w:rPr>
          <w:i/>
          <w:szCs w:val="27"/>
        </w:rPr>
        <w:t>)</w:t>
        <w:tab/>
      </w:r>
      <w:r>
        <w:rPr>
          <w:i/>
          <w:szCs w:val="27"/>
        </w:rPr>
        <w:t>上述檢討的範圍有否包括管理組和樹木辦的職責、組織架構和人手編制；檢討的進度及何時完成；</w:t>
      </w:r>
    </w:p>
    <w:p>
      <w:pPr>
        <w:pStyle w:val="F21"/>
        <w:ind w:left="1418" w:hanging="851"/>
        <w:rPr>
          <w:i/>
          <w:i/>
          <w:szCs w:val="27"/>
        </w:rPr>
      </w:pPr>
      <w:r>
        <w:rPr>
          <w:i/>
          <w:szCs w:val="27"/>
        </w:rPr>
      </w:r>
    </w:p>
    <w:p>
      <w:pPr>
        <w:pStyle w:val="F21"/>
        <w:ind w:left="1418" w:hanging="851"/>
        <w:rPr>
          <w:i/>
          <w:i/>
          <w:szCs w:val="27"/>
        </w:rPr>
      </w:pPr>
      <w:r>
        <w:rPr>
          <w:i/>
          <w:szCs w:val="27"/>
        </w:rPr>
        <w:t>(</w:t>
      </w:r>
      <w:r>
        <w:rPr>
          <w:i/>
          <w:szCs w:val="27"/>
        </w:rPr>
        <w:t>二</w:t>
      </w:r>
      <w:r>
        <w:rPr>
          <w:i/>
          <w:szCs w:val="27"/>
        </w:rPr>
        <w:t>)</w:t>
        <w:tab/>
      </w:r>
      <w:r>
        <w:rPr>
          <w:i/>
          <w:szCs w:val="27"/>
        </w:rPr>
        <w:t>就上述兩個職位的聘任安排所作檢視的範圍，有否包括招聘方式</w:t>
      </w:r>
      <w:r>
        <w:rPr>
          <w:i/>
          <w:szCs w:val="27"/>
        </w:rPr>
        <w:t>(</w:t>
      </w:r>
      <w:r>
        <w:rPr>
          <w:i/>
          <w:szCs w:val="27"/>
        </w:rPr>
        <w:t>例如須優先考慮內部晉升</w:t>
      </w:r>
      <w:r>
        <w:rPr>
          <w:i/>
          <w:szCs w:val="27"/>
        </w:rPr>
        <w:t>)</w:t>
      </w:r>
      <w:r>
        <w:rPr>
          <w:i/>
          <w:szCs w:val="27"/>
        </w:rPr>
        <w:t>和入職資歷要求</w:t>
      </w:r>
      <w:r>
        <w:rPr>
          <w:i/>
          <w:szCs w:val="27"/>
        </w:rPr>
        <w:t>(</w:t>
      </w:r>
      <w:r>
        <w:rPr>
          <w:i/>
          <w:szCs w:val="27"/>
        </w:rPr>
        <w:t>例如須具備樹木管理及園境等方面的專業資格</w:t>
      </w:r>
      <w:r>
        <w:rPr>
          <w:i/>
          <w:szCs w:val="27"/>
        </w:rPr>
        <w:t>)</w:t>
      </w:r>
      <w:r>
        <w:rPr>
          <w:i/>
          <w:szCs w:val="27"/>
        </w:rPr>
        <w:t>；及</w:t>
      </w:r>
    </w:p>
    <w:p>
      <w:pPr>
        <w:pStyle w:val="F21"/>
        <w:ind w:left="1418" w:hanging="851"/>
        <w:rPr>
          <w:i/>
          <w:i/>
          <w:szCs w:val="27"/>
        </w:rPr>
      </w:pPr>
      <w:r>
        <w:rPr>
          <w:i/>
          <w:szCs w:val="27"/>
        </w:rPr>
      </w:r>
    </w:p>
    <w:p>
      <w:pPr>
        <w:pStyle w:val="F21"/>
        <w:ind w:left="1418" w:hanging="851"/>
        <w:rPr>
          <w:i/>
          <w:i/>
          <w:szCs w:val="27"/>
        </w:rPr>
      </w:pPr>
      <w:r>
        <w:rPr>
          <w:i/>
          <w:szCs w:val="27"/>
        </w:rPr>
        <w:t>(</w:t>
      </w:r>
      <w:r>
        <w:rPr>
          <w:i/>
          <w:szCs w:val="27"/>
        </w:rPr>
        <w:t>三</w:t>
      </w:r>
      <w:r>
        <w:rPr>
          <w:i/>
          <w:szCs w:val="27"/>
        </w:rPr>
        <w:t>)</w:t>
        <w:tab/>
      </w:r>
      <w:r>
        <w:rPr>
          <w:i/>
          <w:szCs w:val="27"/>
        </w:rPr>
        <w:t>在上述檢討完成前，會否盡快聘請或調派具備樹木管理或園境專業資格的人員出任該兩個職位；如會，詳情為何；如否，原因為何？</w:t>
      </w:r>
    </w:p>
    <w:p>
      <w:pPr>
        <w:pStyle w:val="F21"/>
        <w:rPr>
          <w:szCs w:val="27"/>
        </w:rPr>
      </w:pPr>
      <w:r>
        <w:rPr>
          <w:szCs w:val="27"/>
        </w:rPr>
      </w:r>
    </w:p>
    <w:p>
      <w:pPr>
        <w:pStyle w:val="F21"/>
        <w:rPr>
          <w:szCs w:val="27"/>
        </w:rPr>
      </w:pPr>
      <w:r>
        <w:rPr>
          <w:szCs w:val="27"/>
        </w:rPr>
      </w:r>
    </w:p>
    <w:p>
      <w:pPr>
        <w:pStyle w:val="F21"/>
        <w:rPr>
          <w:szCs w:val="27"/>
        </w:rPr>
      </w:pPr>
      <w:r>
        <w:rPr>
          <w:rFonts w:ascii="華康中黑體" w:hAnsi="華康中黑體" w:eastAsia="華康中黑體"/>
          <w:b/>
          <w:szCs w:val="27"/>
        </w:rPr>
        <w:t>發展局局長</w:t>
      </w:r>
      <w:r>
        <w:rPr>
          <w:szCs w:val="27"/>
        </w:rPr>
        <w:t>：主席，在</w:t>
      </w:r>
      <w:r>
        <w:rPr>
          <w:szCs w:val="27"/>
        </w:rPr>
        <w:t>2018</w:t>
      </w:r>
      <w:r>
        <w:rPr>
          <w:szCs w:val="27"/>
        </w:rPr>
        <w:t>年，發展局的綠化、園境及樹木管理組</w:t>
      </w:r>
      <w:r>
        <w:rPr>
          <w:szCs w:val="27"/>
        </w:rPr>
        <w:t>("</w:t>
      </w:r>
      <w:r>
        <w:rPr>
          <w:szCs w:val="27"/>
        </w:rPr>
        <w:t>管理組</w:t>
      </w:r>
      <w:r>
        <w:rPr>
          <w:szCs w:val="27"/>
        </w:rPr>
        <w:t>")</w:t>
      </w:r>
      <w:r>
        <w:rPr>
          <w:szCs w:val="27"/>
        </w:rPr>
        <w:t>主管及其轄下的樹木管理辦事處</w:t>
      </w:r>
      <w:r>
        <w:rPr>
          <w:szCs w:val="27"/>
        </w:rPr>
        <w:t>("</w:t>
      </w:r>
      <w:r>
        <w:rPr>
          <w:szCs w:val="27"/>
        </w:rPr>
        <w:t>樹木辦</w:t>
      </w:r>
      <w:r>
        <w:rPr>
          <w:szCs w:val="27"/>
        </w:rPr>
        <w:t>")</w:t>
      </w:r>
      <w:r>
        <w:rPr>
          <w:szCs w:val="27"/>
        </w:rPr>
        <w:t>總監分別因個人原因離任。政府會按既定程序，適時填補兩個職位的空缺。現階段管理組主管一職由同職級的政務主任職系人員兼署理，而樹木辦總監一職，則由一名具備樹藝專業資格的總土力工程師以編外職位形式擔任，主理統籌樹木管理工作。上述安排旨在確保管理組及樹木辦能如常運作。</w:t>
      </w:r>
    </w:p>
    <w:p>
      <w:pPr>
        <w:pStyle w:val="F21"/>
        <w:rPr>
          <w:szCs w:val="27"/>
        </w:rPr>
      </w:pPr>
      <w:r>
        <w:rPr>
          <w:szCs w:val="27"/>
        </w:rPr>
      </w:r>
    </w:p>
    <w:p>
      <w:pPr>
        <w:pStyle w:val="F21"/>
        <w:rPr>
          <w:szCs w:val="27"/>
        </w:rPr>
      </w:pPr>
      <w:r>
        <w:rPr>
          <w:szCs w:val="27"/>
        </w:rPr>
        <w:tab/>
      </w:r>
      <w:r>
        <w:rPr>
          <w:szCs w:val="27"/>
        </w:rPr>
        <w:t>園境及樹木管理需要多方面的專業知識和經驗，因此管理組內有具有樹藝專業資格和經驗的不同專業界別人員，包括園境師、林務主任、土力工程師及康樂事務經理等。通過跨專業的配合，管理組致力提升本港園境和樹木管理的作業水平。</w:t>
      </w:r>
    </w:p>
    <w:p>
      <w:pPr>
        <w:pStyle w:val="F21"/>
        <w:rPr>
          <w:szCs w:val="27"/>
        </w:rPr>
      </w:pPr>
      <w:r>
        <w:rPr>
          <w:szCs w:val="27"/>
        </w:rPr>
      </w:r>
    </w:p>
    <w:p>
      <w:pPr>
        <w:pStyle w:val="F21"/>
        <w:rPr>
          <w:szCs w:val="27"/>
        </w:rPr>
      </w:pPr>
      <w:r>
        <w:rPr>
          <w:szCs w:val="27"/>
        </w:rPr>
        <w:tab/>
      </w:r>
      <w:r>
        <w:rPr>
          <w:szCs w:val="27"/>
        </w:rPr>
        <w:t>就謝偉銓議員質詢的</w:t>
      </w:r>
      <w:r>
        <w:rPr>
          <w:szCs w:val="27"/>
        </w:rPr>
        <w:t>3</w:t>
      </w:r>
      <w:r>
        <w:rPr>
          <w:szCs w:val="27"/>
        </w:rPr>
        <w:t>個部分，現答覆如下：</w:t>
      </w:r>
    </w:p>
    <w:p>
      <w:pPr>
        <w:pStyle w:val="F21"/>
        <w:rPr>
          <w:szCs w:val="27"/>
        </w:rPr>
      </w:pPr>
      <w:r>
        <w:rPr>
          <w:szCs w:val="27"/>
        </w:rPr>
      </w:r>
    </w:p>
    <w:p>
      <w:pPr>
        <w:pStyle w:val="F21"/>
        <w:ind w:left="1418" w:hanging="851"/>
        <w:rPr>
          <w:szCs w:val="27"/>
        </w:rPr>
      </w:pPr>
      <w:r>
        <w:rPr>
          <w:szCs w:val="27"/>
        </w:rPr>
        <w:t>(</w:t>
      </w:r>
      <w:r>
        <w:rPr>
          <w:szCs w:val="27"/>
        </w:rPr>
        <w:t>一</w:t>
      </w:r>
      <w:r>
        <w:rPr>
          <w:szCs w:val="27"/>
        </w:rPr>
        <w:t>)</w:t>
        <w:tab/>
      </w:r>
      <w:r>
        <w:rPr>
          <w:szCs w:val="27"/>
        </w:rPr>
        <w:t>發展局現正檢討管理組的職責、組織架構和人手編制，並會提出優化建議，以提升其職能和工作效率。是項檢討預計可在月內完成。</w:t>
      </w:r>
    </w:p>
    <w:p>
      <w:pPr>
        <w:pStyle w:val="F21"/>
        <w:ind w:left="1418" w:hanging="851"/>
        <w:rPr>
          <w:szCs w:val="27"/>
        </w:rPr>
      </w:pPr>
      <w:r>
        <w:rPr>
          <w:szCs w:val="27"/>
        </w:rPr>
      </w:r>
    </w:p>
    <w:p>
      <w:pPr>
        <w:pStyle w:val="F21"/>
        <w:ind w:left="1418" w:hanging="851"/>
        <w:rPr>
          <w:szCs w:val="27"/>
        </w:rPr>
      </w:pPr>
      <w:r>
        <w:rPr>
          <w:szCs w:val="27"/>
        </w:rPr>
        <w:t>(</w:t>
      </w:r>
      <w:r>
        <w:rPr>
          <w:szCs w:val="27"/>
        </w:rPr>
        <w:t>二</w:t>
      </w:r>
      <w:r>
        <w:rPr>
          <w:szCs w:val="27"/>
        </w:rPr>
        <w:t>)</w:t>
        <w:tab/>
      </w:r>
      <w:r>
        <w:rPr>
          <w:szCs w:val="27"/>
        </w:rPr>
        <w:t>上述檢討包括審視和考慮管理組主管及樹木辦總監兩個職位的資歷要求和聘任安排。</w:t>
      </w:r>
    </w:p>
    <w:p>
      <w:pPr>
        <w:pStyle w:val="Normal"/>
        <w:widowControl/>
        <w:tabs>
          <w:tab w:val="clear" w:pos="720"/>
        </w:tabs>
        <w:snapToGrid w:val="true"/>
        <w:spacing w:lineRule="auto" w:line="276" w:before="0" w:after="200"/>
        <w:jc w:val="left"/>
        <w:rPr>
          <w:rFonts w:cs="" w:cstheme="minorBidi"/>
          <w:spacing w:val="20"/>
          <w:sz w:val="27"/>
          <w:szCs w:val="27"/>
          <w:lang w:val="en-US"/>
        </w:rPr>
      </w:pPr>
      <w:r>
        <w:rPr>
          <w:rFonts w:cs="" w:cstheme="minorBidi"/>
          <w:spacing w:val="20"/>
          <w:sz w:val="27"/>
          <w:szCs w:val="27"/>
          <w:lang w:val="en-US"/>
        </w:rPr>
      </w:r>
      <w:r>
        <w:br w:type="page"/>
      </w:r>
    </w:p>
    <w:p>
      <w:pPr>
        <w:pStyle w:val="F21"/>
        <w:spacing w:lineRule="atLeast" w:line="320"/>
        <w:ind w:left="1418" w:hanging="851"/>
        <w:rPr>
          <w:szCs w:val="27"/>
        </w:rPr>
      </w:pPr>
      <w:r>
        <w:rPr>
          <w:szCs w:val="27"/>
        </w:rPr>
        <w:t>(</w:t>
      </w:r>
      <w:r>
        <w:rPr>
          <w:szCs w:val="27"/>
        </w:rPr>
        <w:t>三</w:t>
      </w:r>
      <w:r>
        <w:rPr>
          <w:szCs w:val="27"/>
        </w:rPr>
        <w:t>)</w:t>
        <w:tab/>
      </w:r>
      <w:r>
        <w:rPr>
          <w:szCs w:val="27"/>
        </w:rPr>
        <w:t>發展局於完成檢討後會擬訂執行方案，繼而展開招聘工作。鑒於相關招聘工作將在未來數月內展開，局方目前沒有計劃調派其他人士出任有關職位。</w:t>
      </w:r>
    </w:p>
    <w:p>
      <w:pPr>
        <w:pStyle w:val="F21"/>
        <w:spacing w:lineRule="atLeast" w:line="320"/>
        <w:rPr>
          <w:szCs w:val="27"/>
        </w:rPr>
      </w:pPr>
      <w:r>
        <w:rPr>
          <w:szCs w:val="27"/>
        </w:rPr>
      </w:r>
    </w:p>
    <w:p>
      <w:pPr>
        <w:pStyle w:val="F21"/>
        <w:overflowPunct w:val="true"/>
        <w:spacing w:lineRule="atLeast" w:line="320"/>
        <w:rPr>
          <w:rFonts w:cs="Times New Roman"/>
        </w:rPr>
      </w:pPr>
      <w:r>
        <w:rPr>
          <w:rFonts w:cs="Times New Roman"/>
        </w:rPr>
      </w:r>
    </w:p>
    <w:p>
      <w:pPr>
        <w:pStyle w:val="F21"/>
        <w:overflowPunct w:val="true"/>
        <w:spacing w:lineRule="atLeast" w:line="320"/>
        <w:rPr>
          <w:rFonts w:eastAsia="華康中黑體" w:cs="Times New Roman"/>
          <w:b/>
          <w:b/>
        </w:rPr>
      </w:pPr>
      <w:bookmarkStart w:id="51" w:name="wrq19"/>
      <w:r>
        <w:rPr>
          <w:rFonts w:cs="Times New Roman" w:eastAsia="華康中黑體"/>
          <w:b/>
        </w:rPr>
        <w:t>善用和打擊濫用公屋資源</w:t>
      </w:r>
    </w:p>
    <w:p>
      <w:pPr>
        <w:pStyle w:val="Normal"/>
        <w:overflowPunct w:val="true"/>
        <w:spacing w:lineRule="atLeast" w:line="320"/>
        <w:rPr>
          <w:b/>
          <w:b/>
        </w:rPr>
      </w:pPr>
      <w:bookmarkStart w:id="52" w:name="wrq19"/>
      <w:r>
        <w:rPr>
          <w:b/>
        </w:rPr>
        <w:t>Making good use and combating abuses of public rental housing resources</w:t>
      </w:r>
      <w:bookmarkEnd w:id="52"/>
    </w:p>
    <w:p>
      <w:pPr>
        <w:pStyle w:val="F21"/>
        <w:overflowPunct w:val="true"/>
        <w:spacing w:lineRule="atLeast" w:line="320"/>
        <w:rPr>
          <w:rFonts w:cs="Times New Roman"/>
        </w:rPr>
      </w:pPr>
      <w:r>
        <w:rPr>
          <w:rFonts w:cs="Times New Roman"/>
        </w:rPr>
      </w:r>
    </w:p>
    <w:p>
      <w:pPr>
        <w:pStyle w:val="F21"/>
        <w:spacing w:lineRule="atLeast" w:line="320"/>
        <w:rPr>
          <w:i/>
          <w:i/>
          <w:szCs w:val="27"/>
        </w:rPr>
      </w:pPr>
      <w:r>
        <w:rPr>
          <w:rFonts w:eastAsia="華康中黑體" w:cs="Times New Roman"/>
          <w:b/>
          <w:szCs w:val="27"/>
        </w:rPr>
        <w:t>19.</w:t>
        <w:tab/>
      </w:r>
      <w:r>
        <w:rPr>
          <w:rFonts w:cs="Times New Roman" w:eastAsia="華康中黑體"/>
          <w:b/>
          <w:szCs w:val="27"/>
        </w:rPr>
        <w:t>尹兆堅議員</w:t>
      </w:r>
      <w:r>
        <w:rPr>
          <w:szCs w:val="27"/>
        </w:rPr>
        <w:t>：</w:t>
      </w:r>
      <w:r>
        <w:rPr>
          <w:i/>
          <w:szCs w:val="27"/>
        </w:rPr>
        <w:t>主席，關於房屋署善用和打擊濫用公屋資源的工作，政府可否告知本會：</w:t>
      </w:r>
    </w:p>
    <w:p>
      <w:pPr>
        <w:pStyle w:val="F21"/>
        <w:spacing w:lineRule="atLeast" w:line="320"/>
        <w:rPr>
          <w:i/>
          <w:i/>
          <w:szCs w:val="27"/>
        </w:rPr>
      </w:pPr>
      <w:r>
        <w:rPr>
          <w:i/>
          <w:szCs w:val="27"/>
        </w:rPr>
      </w:r>
    </w:p>
    <w:p>
      <w:pPr>
        <w:pStyle w:val="F21"/>
        <w:spacing w:lineRule="atLeast" w:line="320"/>
        <w:ind w:left="1418" w:hanging="851"/>
        <w:rPr>
          <w:i/>
          <w:i/>
          <w:szCs w:val="27"/>
        </w:rPr>
      </w:pPr>
      <w:r>
        <w:rPr>
          <w:i/>
          <w:szCs w:val="27"/>
        </w:rPr>
        <w:t>(</w:t>
      </w:r>
      <w:r>
        <w:rPr>
          <w:i/>
          <w:szCs w:val="27"/>
        </w:rPr>
        <w:t>一</w:t>
      </w:r>
      <w:r>
        <w:rPr>
          <w:i/>
          <w:szCs w:val="27"/>
        </w:rPr>
        <w:t>)</w:t>
        <w:tab/>
      </w:r>
      <w:r>
        <w:rPr>
          <w:i/>
          <w:szCs w:val="27"/>
        </w:rPr>
        <w:t>過去</w:t>
      </w:r>
      <w:r>
        <w:rPr>
          <w:i/>
          <w:szCs w:val="27"/>
        </w:rPr>
        <w:t>5</w:t>
      </w:r>
      <w:r>
        <w:rPr>
          <w:i/>
          <w:szCs w:val="27"/>
        </w:rPr>
        <w:t>年，每年房屋署負責調查懷疑濫用公屋資源個案的人手編制及所涉開支；</w:t>
      </w:r>
    </w:p>
    <w:p>
      <w:pPr>
        <w:pStyle w:val="F21"/>
        <w:spacing w:lineRule="atLeast" w:line="320"/>
        <w:ind w:left="1418" w:hanging="851"/>
        <w:rPr>
          <w:i/>
          <w:i/>
          <w:szCs w:val="27"/>
        </w:rPr>
      </w:pPr>
      <w:r>
        <w:rPr>
          <w:i/>
          <w:szCs w:val="27"/>
        </w:rPr>
      </w:r>
    </w:p>
    <w:p>
      <w:pPr>
        <w:pStyle w:val="F21"/>
        <w:spacing w:lineRule="atLeast" w:line="320"/>
        <w:ind w:left="1418" w:hanging="851"/>
        <w:rPr>
          <w:i/>
          <w:i/>
          <w:szCs w:val="27"/>
        </w:rPr>
      </w:pPr>
      <w:r>
        <w:rPr>
          <w:i/>
          <w:szCs w:val="27"/>
        </w:rPr>
        <w:t>(</w:t>
      </w:r>
      <w:r>
        <w:rPr>
          <w:i/>
          <w:szCs w:val="27"/>
        </w:rPr>
        <w:t>二</w:t>
      </w:r>
      <w:r>
        <w:rPr>
          <w:i/>
          <w:szCs w:val="27"/>
        </w:rPr>
        <w:t>)</w:t>
        <w:tab/>
      </w:r>
      <w:r>
        <w:rPr>
          <w:i/>
          <w:szCs w:val="27"/>
        </w:rPr>
        <w:t>房屋署會否</w:t>
      </w:r>
      <w:r>
        <w:rPr>
          <w:i/>
          <w:szCs w:val="27"/>
        </w:rPr>
        <w:t>(i)</w:t>
      </w:r>
      <w:r>
        <w:rPr>
          <w:i/>
          <w:szCs w:val="27"/>
        </w:rPr>
        <w:t>成立專責隊伍及增撥所需人手和其他資源，加強調查公屋租戶懷疑隱瞞擁有境外資產的個案，以及</w:t>
      </w:r>
      <w:r>
        <w:rPr>
          <w:i/>
          <w:szCs w:val="27"/>
        </w:rPr>
        <w:t>(ii)‍</w:t>
      </w:r>
      <w:r>
        <w:rPr>
          <w:i/>
          <w:szCs w:val="27"/>
        </w:rPr>
        <w:t>提高對隱瞞行為的罰則，以加強阻嚇作用；</w:t>
      </w:r>
    </w:p>
    <w:p>
      <w:pPr>
        <w:pStyle w:val="F21"/>
        <w:spacing w:lineRule="atLeast" w:line="320"/>
        <w:ind w:left="1418" w:hanging="851"/>
        <w:rPr>
          <w:i/>
          <w:i/>
          <w:szCs w:val="27"/>
        </w:rPr>
      </w:pPr>
      <w:r>
        <w:rPr>
          <w:i/>
          <w:szCs w:val="27"/>
        </w:rPr>
      </w:r>
    </w:p>
    <w:p>
      <w:pPr>
        <w:pStyle w:val="F21"/>
        <w:spacing w:lineRule="atLeast" w:line="320"/>
        <w:ind w:left="1418" w:hanging="851"/>
        <w:rPr>
          <w:i/>
          <w:i/>
          <w:szCs w:val="27"/>
        </w:rPr>
      </w:pPr>
      <w:r>
        <w:rPr>
          <w:i/>
          <w:szCs w:val="27"/>
        </w:rPr>
        <w:t>(</w:t>
      </w:r>
      <w:r>
        <w:rPr>
          <w:i/>
          <w:szCs w:val="27"/>
        </w:rPr>
        <w:t>三</w:t>
      </w:r>
      <w:r>
        <w:rPr>
          <w:i/>
          <w:szCs w:val="27"/>
        </w:rPr>
        <w:t>)</w:t>
        <w:tab/>
      </w:r>
      <w:r>
        <w:rPr>
          <w:i/>
          <w:szCs w:val="27"/>
        </w:rPr>
        <w:t>鑒於有公屋戶主申請刪除入息較高的家庭成員的戶籍，以避免家庭入息超出限額，過去</w:t>
      </w:r>
      <w:r>
        <w:rPr>
          <w:i/>
          <w:szCs w:val="27"/>
        </w:rPr>
        <w:t>5</w:t>
      </w:r>
      <w:r>
        <w:rPr>
          <w:i/>
          <w:szCs w:val="27"/>
        </w:rPr>
        <w:t>年，每年房屋署接獲申請刪除家庭成員公屋戶籍的個案宗數；</w:t>
      </w:r>
    </w:p>
    <w:p>
      <w:pPr>
        <w:pStyle w:val="F21"/>
        <w:spacing w:lineRule="atLeast" w:line="320"/>
        <w:ind w:left="1418" w:hanging="851"/>
        <w:rPr>
          <w:i/>
          <w:i/>
          <w:szCs w:val="27"/>
        </w:rPr>
      </w:pPr>
      <w:r>
        <w:rPr>
          <w:i/>
          <w:szCs w:val="27"/>
        </w:rPr>
      </w:r>
    </w:p>
    <w:p>
      <w:pPr>
        <w:pStyle w:val="F21"/>
        <w:spacing w:lineRule="atLeast" w:line="320"/>
        <w:ind w:left="1418" w:hanging="851"/>
        <w:rPr>
          <w:i/>
          <w:i/>
          <w:szCs w:val="27"/>
        </w:rPr>
      </w:pPr>
      <w:r>
        <w:rPr>
          <w:i/>
          <w:szCs w:val="27"/>
        </w:rPr>
        <w:t>(</w:t>
      </w:r>
      <w:r>
        <w:rPr>
          <w:i/>
          <w:szCs w:val="27"/>
        </w:rPr>
        <w:t>四</w:t>
      </w:r>
      <w:r>
        <w:rPr>
          <w:i/>
          <w:szCs w:val="27"/>
        </w:rPr>
        <w:t>)</w:t>
        <w:tab/>
      </w:r>
      <w:r>
        <w:rPr>
          <w:i/>
          <w:szCs w:val="27"/>
        </w:rPr>
        <w:t>過去</w:t>
      </w:r>
      <w:r>
        <w:rPr>
          <w:i/>
          <w:szCs w:val="27"/>
        </w:rPr>
        <w:t>5</w:t>
      </w:r>
      <w:r>
        <w:rPr>
          <w:i/>
          <w:szCs w:val="27"/>
        </w:rPr>
        <w:t>年，每年因家庭入息或資產淨值超出上限而被房屋署終止租約的租戶數目；</w:t>
      </w:r>
    </w:p>
    <w:p>
      <w:pPr>
        <w:pStyle w:val="F21"/>
        <w:spacing w:lineRule="atLeast" w:line="320"/>
        <w:ind w:left="1418" w:hanging="851"/>
        <w:rPr>
          <w:i/>
          <w:i/>
          <w:szCs w:val="27"/>
        </w:rPr>
      </w:pPr>
      <w:r>
        <w:rPr>
          <w:i/>
          <w:szCs w:val="27"/>
        </w:rPr>
      </w:r>
    </w:p>
    <w:p>
      <w:pPr>
        <w:pStyle w:val="F21"/>
        <w:spacing w:lineRule="atLeast" w:line="320"/>
        <w:ind w:left="1418" w:hanging="851"/>
        <w:rPr>
          <w:i/>
          <w:i/>
          <w:szCs w:val="27"/>
        </w:rPr>
      </w:pPr>
      <w:r>
        <w:rPr>
          <w:i/>
          <w:szCs w:val="27"/>
        </w:rPr>
        <w:t>(</w:t>
      </w:r>
      <w:r>
        <w:rPr>
          <w:i/>
          <w:szCs w:val="27"/>
        </w:rPr>
        <w:t>五</w:t>
      </w:r>
      <w:r>
        <w:rPr>
          <w:i/>
          <w:szCs w:val="27"/>
        </w:rPr>
        <w:t>)</w:t>
        <w:tab/>
      </w:r>
      <w:r>
        <w:rPr>
          <w:i/>
          <w:szCs w:val="27"/>
        </w:rPr>
        <w:t>過去</w:t>
      </w:r>
      <w:r>
        <w:rPr>
          <w:i/>
          <w:szCs w:val="27"/>
        </w:rPr>
        <w:t>5</w:t>
      </w:r>
      <w:r>
        <w:rPr>
          <w:i/>
          <w:szCs w:val="27"/>
        </w:rPr>
        <w:t>年，公屋租戶就房屋署終止其租約而向上訴委員會</w:t>
      </w:r>
      <w:r>
        <w:rPr>
          <w:i/>
          <w:szCs w:val="27"/>
        </w:rPr>
        <w:t>(</w:t>
      </w:r>
      <w:r>
        <w:rPr>
          <w:i/>
          <w:szCs w:val="27"/>
        </w:rPr>
        <w:t>房屋</w:t>
      </w:r>
      <w:r>
        <w:rPr>
          <w:i/>
          <w:szCs w:val="27"/>
        </w:rPr>
        <w:t>)</w:t>
      </w:r>
      <w:r>
        <w:rPr>
          <w:i/>
          <w:szCs w:val="27"/>
        </w:rPr>
        <w:t>提出上訴的個案宗數，並按終止租約原因</w:t>
      </w:r>
      <w:r>
        <w:rPr>
          <w:i/>
          <w:szCs w:val="27"/>
        </w:rPr>
        <w:t>(</w:t>
      </w:r>
      <w:r>
        <w:rPr>
          <w:i/>
          <w:szCs w:val="27"/>
        </w:rPr>
        <w:t>例如未如實申報入息或資產、戶籍上的家庭成員未有居於有關單位</w:t>
      </w:r>
      <w:r>
        <w:rPr>
          <w:i/>
          <w:szCs w:val="27"/>
        </w:rPr>
        <w:t>)</w:t>
      </w:r>
      <w:r>
        <w:rPr>
          <w:i/>
          <w:szCs w:val="27"/>
        </w:rPr>
        <w:t>以表列出分項數目；及</w:t>
      </w:r>
    </w:p>
    <w:p>
      <w:pPr>
        <w:pStyle w:val="F21"/>
        <w:spacing w:lineRule="atLeast" w:line="320"/>
        <w:ind w:left="1418" w:hanging="851"/>
        <w:rPr>
          <w:i/>
          <w:i/>
          <w:szCs w:val="27"/>
        </w:rPr>
      </w:pPr>
      <w:r>
        <w:rPr>
          <w:i/>
          <w:szCs w:val="27"/>
        </w:rPr>
      </w:r>
    </w:p>
    <w:p>
      <w:pPr>
        <w:pStyle w:val="F21"/>
        <w:spacing w:lineRule="atLeast" w:line="320"/>
        <w:ind w:left="1418" w:hanging="851"/>
        <w:rPr>
          <w:i/>
          <w:i/>
          <w:szCs w:val="27"/>
        </w:rPr>
      </w:pPr>
      <w:r>
        <w:rPr>
          <w:i/>
          <w:szCs w:val="27"/>
        </w:rPr>
        <w:t>(</w:t>
      </w:r>
      <w:r>
        <w:rPr>
          <w:i/>
          <w:szCs w:val="27"/>
        </w:rPr>
        <w:t>六</w:t>
      </w:r>
      <w:r>
        <w:rPr>
          <w:i/>
          <w:szCs w:val="27"/>
        </w:rPr>
        <w:t>)</w:t>
        <w:tab/>
      </w:r>
      <w:r>
        <w:rPr>
          <w:i/>
          <w:szCs w:val="27"/>
        </w:rPr>
        <w:t>過去</w:t>
      </w:r>
      <w:r>
        <w:rPr>
          <w:i/>
          <w:szCs w:val="27"/>
        </w:rPr>
        <w:t>5</w:t>
      </w:r>
      <w:r>
        <w:rPr>
          <w:i/>
          <w:szCs w:val="27"/>
        </w:rPr>
        <w:t>年，每年年底因欠缺較細公屋單位而未被安排調遷的寬敞戶數目為何？</w:t>
      </w:r>
    </w:p>
    <w:p>
      <w:pPr>
        <w:pStyle w:val="F21"/>
        <w:spacing w:lineRule="atLeast" w:line="320"/>
        <w:rPr>
          <w:szCs w:val="27"/>
        </w:rPr>
      </w:pPr>
      <w:r>
        <w:rPr>
          <w:szCs w:val="27"/>
        </w:rPr>
      </w:r>
    </w:p>
    <w:p>
      <w:pPr>
        <w:pStyle w:val="F21"/>
        <w:spacing w:lineRule="atLeast" w:line="320"/>
        <w:rPr>
          <w:szCs w:val="27"/>
        </w:rPr>
      </w:pPr>
      <w:r>
        <w:rPr>
          <w:szCs w:val="27"/>
        </w:rPr>
      </w:r>
    </w:p>
    <w:p>
      <w:pPr>
        <w:pStyle w:val="F21"/>
        <w:spacing w:lineRule="atLeast" w:line="320"/>
        <w:rPr>
          <w:szCs w:val="27"/>
        </w:rPr>
      </w:pPr>
      <w:r>
        <w:rPr>
          <w:rFonts w:ascii="華康中黑體" w:hAnsi="華康中黑體" w:eastAsia="華康中黑體"/>
          <w:b/>
          <w:szCs w:val="27"/>
        </w:rPr>
        <w:t>運輸及房屋局局長</w:t>
      </w:r>
      <w:r>
        <w:rPr>
          <w:szCs w:val="27"/>
        </w:rPr>
        <w:t>：主席，我現就尹兆堅議員的質詢答覆如下：</w:t>
      </w:r>
    </w:p>
    <w:p>
      <w:pPr>
        <w:pStyle w:val="F21"/>
        <w:spacing w:lineRule="atLeast" w:line="320"/>
        <w:rPr>
          <w:szCs w:val="27"/>
        </w:rPr>
      </w:pPr>
      <w:r>
        <w:rPr>
          <w:szCs w:val="27"/>
        </w:rPr>
      </w:r>
    </w:p>
    <w:p>
      <w:pPr>
        <w:pStyle w:val="F21"/>
        <w:spacing w:lineRule="atLeast" w:line="320"/>
        <w:ind w:left="1418" w:hanging="851"/>
        <w:rPr>
          <w:szCs w:val="27"/>
        </w:rPr>
      </w:pPr>
      <w:r>
        <w:rPr>
          <w:szCs w:val="27"/>
        </w:rPr>
        <w:t>(</w:t>
      </w:r>
      <w:r>
        <w:rPr>
          <w:szCs w:val="27"/>
        </w:rPr>
        <w:t>一</w:t>
      </w:r>
      <w:r>
        <w:rPr>
          <w:szCs w:val="27"/>
        </w:rPr>
        <w:t>)</w:t>
      </w:r>
      <w:r>
        <w:rPr>
          <w:szCs w:val="27"/>
        </w:rPr>
        <w:t>及</w:t>
      </w:r>
      <w:r>
        <w:rPr>
          <w:szCs w:val="27"/>
        </w:rPr>
        <w:t>(</w:t>
      </w:r>
      <w:r>
        <w:rPr>
          <w:szCs w:val="27"/>
        </w:rPr>
        <w:t>二</w:t>
      </w:r>
      <w:r>
        <w:rPr>
          <w:szCs w:val="27"/>
        </w:rPr>
        <w:t>)</w:t>
      </w:r>
    </w:p>
    <w:p>
      <w:pPr>
        <w:pStyle w:val="F21"/>
        <w:spacing w:lineRule="atLeast" w:line="320"/>
        <w:ind w:left="1418" w:hanging="851"/>
        <w:rPr>
          <w:szCs w:val="27"/>
        </w:rPr>
      </w:pPr>
      <w:r>
        <w:rPr>
          <w:szCs w:val="27"/>
        </w:rPr>
      </w:r>
    </w:p>
    <w:p>
      <w:pPr>
        <w:pStyle w:val="F21"/>
        <w:spacing w:lineRule="atLeast" w:line="320"/>
        <w:ind w:left="1418" w:hanging="851"/>
        <w:rPr>
          <w:szCs w:val="27"/>
        </w:rPr>
      </w:pPr>
      <w:r>
        <w:rPr>
          <w:szCs w:val="27"/>
        </w:rPr>
        <w:tab/>
      </w:r>
      <w:r>
        <w:rPr>
          <w:szCs w:val="27"/>
        </w:rPr>
        <w:t>房屋署的善用公屋資源分組負責處理有關濫用香港房屋委員會</w:t>
      </w:r>
      <w:r>
        <w:rPr>
          <w:szCs w:val="27"/>
        </w:rPr>
        <w:t>(</w:t>
      </w:r>
      <w:r>
        <w:rPr>
          <w:rFonts w:cs="Times New Roman"/>
          <w:szCs w:val="27"/>
        </w:rPr>
        <w:t>"</w:t>
      </w:r>
      <w:r>
        <w:rPr>
          <w:szCs w:val="27"/>
        </w:rPr>
        <w:t>房委會</w:t>
      </w:r>
      <w:r>
        <w:rPr>
          <w:rFonts w:cs="Times New Roman"/>
          <w:szCs w:val="27"/>
        </w:rPr>
        <w:t>"</w:t>
      </w:r>
      <w:r>
        <w:rPr>
          <w:szCs w:val="27"/>
        </w:rPr>
        <w:t>)</w:t>
      </w:r>
      <w:r>
        <w:rPr>
          <w:szCs w:val="27"/>
        </w:rPr>
        <w:t>轄下公共租住房屋</w:t>
      </w:r>
      <w:r>
        <w:rPr>
          <w:szCs w:val="27"/>
        </w:rPr>
        <w:t>(</w:t>
      </w:r>
      <w:r>
        <w:rPr>
          <w:rFonts w:cs="Times New Roman"/>
          <w:szCs w:val="27"/>
        </w:rPr>
        <w:t>"</w:t>
      </w:r>
      <w:r>
        <w:rPr>
          <w:szCs w:val="27"/>
        </w:rPr>
        <w:t>公屋</w:t>
      </w:r>
      <w:r>
        <w:rPr>
          <w:rFonts w:cs="Times New Roman"/>
          <w:szCs w:val="27"/>
        </w:rPr>
        <w:t>"</w:t>
      </w:r>
      <w:r>
        <w:rPr>
          <w:szCs w:val="27"/>
        </w:rPr>
        <w:t>)</w:t>
      </w:r>
      <w:r>
        <w:rPr>
          <w:szCs w:val="27"/>
        </w:rPr>
        <w:t>的工作，包括就公屋租戶的住用情況及懷疑虛假陳述個案進行調查，並進行宣傳教育，讓公眾了解善用公屋資源的重要性。該項工作屬於善用公屋資源分組的其中一項恆常工作，因此我們未能提供有關的人手編制及開支分項數字。</w:t>
      </w:r>
    </w:p>
    <w:p>
      <w:pPr>
        <w:pStyle w:val="F21"/>
        <w:ind w:left="1418" w:hanging="851"/>
        <w:rPr>
          <w:szCs w:val="27"/>
        </w:rPr>
      </w:pPr>
      <w:r>
        <w:rPr>
          <w:szCs w:val="27"/>
        </w:rPr>
      </w:r>
    </w:p>
    <w:p>
      <w:pPr>
        <w:pStyle w:val="F21"/>
        <w:ind w:left="1418" w:hanging="851"/>
        <w:rPr>
          <w:szCs w:val="27"/>
        </w:rPr>
      </w:pPr>
      <w:r>
        <w:rPr>
          <w:szCs w:val="27"/>
        </w:rPr>
        <w:tab/>
      </w:r>
      <w:r>
        <w:rPr>
          <w:szCs w:val="27"/>
        </w:rPr>
        <w:t>根據《房屋條例》，公屋住戶有責任確保所填報的資料全部屬實及正確無訛。若公屋住戶就申報表的資料明知而作出虛假陳述，即屬違法，一經定罪，可被判罰款及監禁。此外，根據房委會的政策，無論有關公屋住戶最終是否被起訴或定罪，房委會均可按現行政策引用《房屋條例》終止其租約。</w:t>
      </w:r>
    </w:p>
    <w:p>
      <w:pPr>
        <w:pStyle w:val="F21"/>
        <w:ind w:left="1418" w:hanging="851"/>
        <w:rPr>
          <w:szCs w:val="27"/>
        </w:rPr>
      </w:pPr>
      <w:r>
        <w:rPr>
          <w:szCs w:val="27"/>
        </w:rPr>
      </w:r>
    </w:p>
    <w:p>
      <w:pPr>
        <w:pStyle w:val="F21"/>
        <w:ind w:left="1418" w:hanging="851"/>
        <w:rPr>
          <w:szCs w:val="27"/>
        </w:rPr>
      </w:pPr>
      <w:r>
        <w:rPr>
          <w:szCs w:val="27"/>
        </w:rPr>
        <w:tab/>
      </w:r>
      <w:r>
        <w:rPr>
          <w:szCs w:val="27"/>
        </w:rPr>
        <w:t>房委會會不時檢視這項工作的工作流程及人手需求，如有需要，會增撥資源或修訂現行機制。</w:t>
      </w:r>
    </w:p>
    <w:p>
      <w:pPr>
        <w:pStyle w:val="F21"/>
        <w:ind w:left="1418" w:hanging="851"/>
        <w:rPr>
          <w:szCs w:val="27"/>
        </w:rPr>
      </w:pPr>
      <w:r>
        <w:rPr>
          <w:szCs w:val="27"/>
        </w:rPr>
      </w:r>
    </w:p>
    <w:p>
      <w:pPr>
        <w:pStyle w:val="F21"/>
        <w:ind w:left="1418" w:hanging="851"/>
        <w:rPr>
          <w:szCs w:val="27"/>
        </w:rPr>
      </w:pPr>
      <w:r>
        <w:rPr>
          <w:szCs w:val="27"/>
        </w:rPr>
        <w:t>(</w:t>
      </w:r>
      <w:r>
        <w:rPr>
          <w:szCs w:val="27"/>
        </w:rPr>
        <w:t>三</w:t>
      </w:r>
      <w:r>
        <w:rPr>
          <w:szCs w:val="27"/>
        </w:rPr>
        <w:t>)</w:t>
        <w:tab/>
      </w:r>
      <w:r>
        <w:rPr>
          <w:szCs w:val="27"/>
        </w:rPr>
        <w:t>公屋家庭有各種原因，希望刪除個別成員的戶籍。過去</w:t>
      </w:r>
      <w:r>
        <w:rPr>
          <w:szCs w:val="27"/>
        </w:rPr>
        <w:t>5‍</w:t>
      </w:r>
      <w:r>
        <w:rPr>
          <w:szCs w:val="27"/>
        </w:rPr>
        <w:t>年</w:t>
      </w:r>
      <w:r>
        <w:rPr>
          <w:szCs w:val="27"/>
        </w:rPr>
        <w:t>(</w:t>
      </w:r>
      <w:r>
        <w:rPr>
          <w:szCs w:val="27"/>
        </w:rPr>
        <w:t>即</w:t>
      </w:r>
      <w:r>
        <w:rPr>
          <w:szCs w:val="27"/>
        </w:rPr>
        <w:t>2014</w:t>
      </w:r>
      <w:r>
        <w:rPr>
          <w:szCs w:val="27"/>
        </w:rPr>
        <w:t>年至</w:t>
      </w:r>
      <w:r>
        <w:rPr>
          <w:szCs w:val="27"/>
        </w:rPr>
        <w:t>2018</w:t>
      </w:r>
      <w:r>
        <w:rPr>
          <w:szCs w:val="27"/>
        </w:rPr>
        <w:t>年</w:t>
      </w:r>
      <w:r>
        <w:rPr>
          <w:szCs w:val="27"/>
        </w:rPr>
        <w:t>)</w:t>
      </w:r>
      <w:r>
        <w:rPr>
          <w:szCs w:val="27"/>
        </w:rPr>
        <w:t>，所有獲批准刪除成員戶籍的個案，分別有約</w:t>
      </w:r>
      <w:r>
        <w:rPr>
          <w:szCs w:val="27"/>
        </w:rPr>
        <w:t>36 200</w:t>
      </w:r>
      <w:r>
        <w:rPr>
          <w:szCs w:val="27"/>
        </w:rPr>
        <w:t>、</w:t>
      </w:r>
      <w:r>
        <w:rPr>
          <w:szCs w:val="27"/>
        </w:rPr>
        <w:t>33 900</w:t>
      </w:r>
      <w:r>
        <w:rPr>
          <w:szCs w:val="27"/>
        </w:rPr>
        <w:t>、</w:t>
      </w:r>
      <w:r>
        <w:rPr>
          <w:szCs w:val="27"/>
        </w:rPr>
        <w:t>33 800</w:t>
      </w:r>
      <w:r>
        <w:rPr>
          <w:szCs w:val="27"/>
        </w:rPr>
        <w:t>、</w:t>
      </w:r>
      <w:r>
        <w:rPr>
          <w:szCs w:val="27"/>
        </w:rPr>
        <w:t>41 100</w:t>
      </w:r>
      <w:r>
        <w:rPr>
          <w:szCs w:val="27"/>
        </w:rPr>
        <w:t>及</w:t>
      </w:r>
      <w:r>
        <w:rPr>
          <w:szCs w:val="27"/>
        </w:rPr>
        <w:t>41 500</w:t>
      </w:r>
      <w:r>
        <w:rPr>
          <w:szCs w:val="27"/>
        </w:rPr>
        <w:t>宗。房委會沒有再細分為</w:t>
      </w:r>
      <w:r>
        <w:rPr>
          <w:rFonts w:cs="Times New Roman"/>
          <w:szCs w:val="27"/>
        </w:rPr>
        <w:t>"</w:t>
      </w:r>
      <w:r>
        <w:rPr>
          <w:szCs w:val="27"/>
        </w:rPr>
        <w:t>避免家庭入息超出限額</w:t>
      </w:r>
      <w:r>
        <w:rPr>
          <w:rFonts w:cs="Times New Roman"/>
          <w:szCs w:val="27"/>
        </w:rPr>
        <w:t>"</w:t>
      </w:r>
      <w:r>
        <w:rPr>
          <w:szCs w:val="27"/>
        </w:rPr>
        <w:t>而刪除成員戶籍個案的數字。</w:t>
      </w:r>
    </w:p>
    <w:p>
      <w:pPr>
        <w:pStyle w:val="F21"/>
        <w:ind w:left="1418" w:hanging="851"/>
        <w:rPr>
          <w:szCs w:val="27"/>
        </w:rPr>
      </w:pPr>
      <w:r>
        <w:rPr>
          <w:szCs w:val="27"/>
        </w:rPr>
      </w:r>
    </w:p>
    <w:p>
      <w:pPr>
        <w:pStyle w:val="F21"/>
        <w:ind w:left="1418" w:hanging="851"/>
        <w:rPr>
          <w:szCs w:val="27"/>
        </w:rPr>
      </w:pPr>
      <w:r>
        <w:rPr>
          <w:szCs w:val="27"/>
        </w:rPr>
        <w:t>(</w:t>
      </w:r>
      <w:r>
        <w:rPr>
          <w:szCs w:val="27"/>
        </w:rPr>
        <w:t>四</w:t>
      </w:r>
      <w:r>
        <w:rPr>
          <w:szCs w:val="27"/>
        </w:rPr>
        <w:t>)</w:t>
        <w:tab/>
      </w:r>
      <w:r>
        <w:rPr>
          <w:szCs w:val="27"/>
        </w:rPr>
        <w:t>房委會在</w:t>
      </w:r>
      <w:r>
        <w:rPr>
          <w:szCs w:val="27"/>
        </w:rPr>
        <w:t>2017</w:t>
      </w:r>
      <w:r>
        <w:rPr>
          <w:szCs w:val="27"/>
        </w:rPr>
        <w:t>年修訂公屋住戶資助政策及維護公屋資源的合理分配政策</w:t>
      </w:r>
      <w:r>
        <w:rPr>
          <w:szCs w:val="27"/>
        </w:rPr>
        <w:t>(</w:t>
      </w:r>
      <w:r>
        <w:rPr>
          <w:szCs w:val="27"/>
        </w:rPr>
        <w:t>富戶政策</w:t>
      </w:r>
      <w:r>
        <w:rPr>
          <w:szCs w:val="27"/>
        </w:rPr>
        <w:t>)</w:t>
      </w:r>
      <w:r>
        <w:rPr>
          <w:szCs w:val="27"/>
        </w:rPr>
        <w:t>。</w:t>
      </w:r>
      <w:r>
        <w:rPr>
          <w:rStyle w:val="FootnoteAnchor"/>
          <w:szCs w:val="27"/>
        </w:rPr>
        <w:footnoteReference w:customMarkFollows="1" w:id="6"/>
        <w:t>(1)</w:t>
      </w:r>
      <w:r>
        <w:rPr>
          <w:szCs w:val="27"/>
        </w:rPr>
        <w:t>房委會於</w:t>
      </w:r>
      <w:r>
        <w:rPr>
          <w:szCs w:val="27"/>
        </w:rPr>
        <w:t>2017</w:t>
      </w:r>
      <w:r>
        <w:rPr>
          <w:szCs w:val="27"/>
        </w:rPr>
        <w:t>年</w:t>
      </w:r>
      <w:r>
        <w:rPr>
          <w:szCs w:val="27"/>
        </w:rPr>
        <w:t>10‍</w:t>
      </w:r>
      <w:r>
        <w:rPr>
          <w:szCs w:val="27"/>
        </w:rPr>
        <w:t>月和</w:t>
      </w:r>
      <w:r>
        <w:rPr>
          <w:szCs w:val="27"/>
        </w:rPr>
        <w:t>2018‍</w:t>
      </w:r>
      <w:r>
        <w:rPr>
          <w:szCs w:val="27"/>
        </w:rPr>
        <w:t>年</w:t>
      </w:r>
      <w:r>
        <w:rPr>
          <w:szCs w:val="27"/>
        </w:rPr>
        <w:t>4</w:t>
      </w:r>
      <w:r>
        <w:rPr>
          <w:szCs w:val="27"/>
        </w:rPr>
        <w:t>月的申報周期，向</w:t>
      </w:r>
      <w:r>
        <w:rPr>
          <w:szCs w:val="27"/>
        </w:rPr>
        <w:t>579</w:t>
      </w:r>
      <w:r>
        <w:rPr>
          <w:szCs w:val="27"/>
        </w:rPr>
        <w:t>個住戶發出《遷出通知書》，理由包括他們在本港擁有私人住宅物業、他們的入息或資產超逾相關限額及他們拒絕進行申報。過去</w:t>
      </w:r>
      <w:r>
        <w:rPr>
          <w:szCs w:val="27"/>
        </w:rPr>
        <w:t>5</w:t>
      </w:r>
      <w:r>
        <w:rPr>
          <w:szCs w:val="27"/>
        </w:rPr>
        <w:t>年</w:t>
      </w:r>
      <w:r>
        <w:rPr>
          <w:szCs w:val="27"/>
        </w:rPr>
        <w:t>(</w:t>
      </w:r>
      <w:r>
        <w:rPr>
          <w:szCs w:val="27"/>
        </w:rPr>
        <w:t>即</w:t>
      </w:r>
      <w:r>
        <w:rPr>
          <w:szCs w:val="27"/>
        </w:rPr>
        <w:t>2014‍</w:t>
      </w:r>
      <w:r>
        <w:rPr>
          <w:szCs w:val="27"/>
        </w:rPr>
        <w:t>年至</w:t>
      </w:r>
      <w:r>
        <w:rPr>
          <w:szCs w:val="27"/>
        </w:rPr>
        <w:t>2018</w:t>
      </w:r>
      <w:r>
        <w:rPr>
          <w:szCs w:val="27"/>
        </w:rPr>
        <w:t>年</w:t>
      </w:r>
      <w:r>
        <w:rPr>
          <w:szCs w:val="27"/>
        </w:rPr>
        <w:t>)</w:t>
      </w:r>
      <w:r>
        <w:rPr>
          <w:szCs w:val="27"/>
        </w:rPr>
        <w:t>，房委會由於住戶入息或資產淨值超出相關規定，而收回的公屋單位平均每年約</w:t>
      </w:r>
      <w:r>
        <w:rPr>
          <w:szCs w:val="27"/>
        </w:rPr>
        <w:t>280</w:t>
      </w:r>
      <w:r>
        <w:rPr>
          <w:szCs w:val="27"/>
        </w:rPr>
        <w:t>個。</w:t>
      </w:r>
    </w:p>
    <w:p>
      <w:pPr>
        <w:pStyle w:val="F21"/>
        <w:rPr>
          <w:szCs w:val="27"/>
        </w:rPr>
      </w:pPr>
      <w:r>
        <w:rPr>
          <w:szCs w:val="27"/>
        </w:rPr>
      </w:r>
    </w:p>
    <w:p>
      <w:pPr>
        <w:pStyle w:val="F21"/>
        <w:ind w:left="1418" w:hanging="851"/>
        <w:rPr>
          <w:szCs w:val="27"/>
        </w:rPr>
      </w:pPr>
      <w:r>
        <w:rPr>
          <w:szCs w:val="27"/>
        </w:rPr>
        <w:t>(</w:t>
      </w:r>
      <w:r>
        <w:rPr>
          <w:szCs w:val="27"/>
        </w:rPr>
        <w:t>五</w:t>
      </w:r>
      <w:r>
        <w:rPr>
          <w:szCs w:val="27"/>
        </w:rPr>
        <w:t>)</w:t>
        <w:tab/>
      </w:r>
      <w:r>
        <w:rPr>
          <w:szCs w:val="27"/>
        </w:rPr>
        <w:t>過去</w:t>
      </w:r>
      <w:r>
        <w:rPr>
          <w:szCs w:val="27"/>
        </w:rPr>
        <w:t>5</w:t>
      </w:r>
      <w:r>
        <w:rPr>
          <w:szCs w:val="27"/>
        </w:rPr>
        <w:t>年</w:t>
      </w:r>
      <w:r>
        <w:rPr>
          <w:szCs w:val="27"/>
        </w:rPr>
        <w:t>(</w:t>
      </w:r>
      <w:r>
        <w:rPr>
          <w:szCs w:val="27"/>
        </w:rPr>
        <w:t>即</w:t>
      </w:r>
      <w:r>
        <w:rPr>
          <w:szCs w:val="27"/>
        </w:rPr>
        <w:t>2014</w:t>
      </w:r>
      <w:r>
        <w:rPr>
          <w:szCs w:val="27"/>
        </w:rPr>
        <w:t>年至</w:t>
      </w:r>
      <w:r>
        <w:rPr>
          <w:szCs w:val="27"/>
        </w:rPr>
        <w:t>2018</w:t>
      </w:r>
      <w:r>
        <w:rPr>
          <w:szCs w:val="27"/>
        </w:rPr>
        <w:t>年</w:t>
      </w:r>
      <w:r>
        <w:rPr>
          <w:szCs w:val="27"/>
        </w:rPr>
        <w:t>)</w:t>
      </w:r>
      <w:r>
        <w:rPr>
          <w:szCs w:val="27"/>
        </w:rPr>
        <w:t>，上訴委員會</w:t>
      </w:r>
      <w:r>
        <w:rPr>
          <w:szCs w:val="27"/>
        </w:rPr>
        <w:t>(</w:t>
      </w:r>
      <w:r>
        <w:rPr>
          <w:szCs w:val="27"/>
        </w:rPr>
        <w:t>房屋</w:t>
      </w:r>
      <w:r>
        <w:rPr>
          <w:szCs w:val="27"/>
        </w:rPr>
        <w:t>)</w:t>
      </w:r>
      <w:r>
        <w:rPr>
          <w:szCs w:val="27"/>
        </w:rPr>
        <w:t>接獲的上訴個案數目及分類如下：</w:t>
      </w:r>
    </w:p>
    <w:p>
      <w:pPr>
        <w:pStyle w:val="F21"/>
        <w:ind w:left="1418" w:hanging="851"/>
        <w:rPr>
          <w:szCs w:val="27"/>
        </w:rPr>
      </w:pPr>
      <w:r>
        <w:rPr>
          <w:szCs w:val="27"/>
        </w:rPr>
        <w:tab/>
      </w:r>
    </w:p>
    <w:tbl>
      <w:tblPr>
        <w:tblStyle w:val="a9"/>
        <w:tblW w:w="7805" w:type="dxa"/>
        <w:jc w:val="left"/>
        <w:tblInd w:w="1418" w:type="dxa"/>
        <w:tblCellMar>
          <w:top w:w="0" w:type="dxa"/>
          <w:left w:w="108" w:type="dxa"/>
          <w:bottom w:w="0" w:type="dxa"/>
          <w:right w:w="108" w:type="dxa"/>
        </w:tblCellMar>
        <w:tblLook w:val="04a0" w:noHBand="0" w:noVBand="1" w:firstColumn="1" w:lastRow="0" w:lastColumn="0" w:firstRow="1"/>
      </w:tblPr>
      <w:tblGrid>
        <w:gridCol w:w="2130"/>
        <w:gridCol w:w="1134"/>
        <w:gridCol w:w="1135"/>
        <w:gridCol w:w="1136"/>
        <w:gridCol w:w="1135"/>
        <w:gridCol w:w="1134"/>
      </w:tblGrid>
      <w:tr>
        <w:trPr>
          <w:tblHeader w:val="true"/>
        </w:trPr>
        <w:tc>
          <w:tcPr>
            <w:tcW w:w="2130" w:type="dxa"/>
            <w:tcBorders/>
            <w:vAlign w:val="center"/>
          </w:tcPr>
          <w:p>
            <w:pPr>
              <w:pStyle w:val="F21"/>
              <w:tabs>
                <w:tab w:val="clear" w:pos="567"/>
              </w:tabs>
              <w:ind w:left="57" w:right="57" w:hanging="0"/>
              <w:jc w:val="center"/>
              <w:rPr>
                <w:i/>
                <w:i/>
                <w:szCs w:val="27"/>
              </w:rPr>
            </w:pPr>
            <w:r>
              <w:rPr>
                <w:i/>
                <w:szCs w:val="27"/>
              </w:rPr>
              <w:t>原因</w:t>
            </w:r>
          </w:p>
        </w:tc>
        <w:tc>
          <w:tcPr>
            <w:tcW w:w="1134" w:type="dxa"/>
            <w:tcBorders/>
            <w:vAlign w:val="center"/>
          </w:tcPr>
          <w:p>
            <w:pPr>
              <w:pStyle w:val="F21"/>
              <w:tabs>
                <w:tab w:val="clear" w:pos="567"/>
              </w:tabs>
              <w:ind w:left="57" w:right="57" w:hanging="0"/>
              <w:jc w:val="center"/>
              <w:rPr>
                <w:i/>
                <w:i/>
                <w:szCs w:val="27"/>
              </w:rPr>
            </w:pPr>
            <w:r>
              <w:rPr>
                <w:i/>
                <w:szCs w:val="27"/>
              </w:rPr>
              <w:t>2014</w:t>
            </w:r>
            <w:r>
              <w:rPr>
                <w:i/>
                <w:szCs w:val="27"/>
              </w:rPr>
              <w:t>年</w:t>
            </w:r>
          </w:p>
        </w:tc>
        <w:tc>
          <w:tcPr>
            <w:tcW w:w="1135" w:type="dxa"/>
            <w:tcBorders/>
            <w:vAlign w:val="center"/>
          </w:tcPr>
          <w:p>
            <w:pPr>
              <w:pStyle w:val="F21"/>
              <w:tabs>
                <w:tab w:val="clear" w:pos="567"/>
              </w:tabs>
              <w:ind w:left="57" w:right="57" w:hanging="0"/>
              <w:jc w:val="center"/>
              <w:rPr>
                <w:i/>
                <w:i/>
                <w:szCs w:val="27"/>
              </w:rPr>
            </w:pPr>
            <w:r>
              <w:rPr>
                <w:i/>
                <w:szCs w:val="27"/>
              </w:rPr>
              <w:t>2015</w:t>
            </w:r>
            <w:r>
              <w:rPr>
                <w:i/>
                <w:szCs w:val="27"/>
              </w:rPr>
              <w:t>年</w:t>
            </w:r>
          </w:p>
        </w:tc>
        <w:tc>
          <w:tcPr>
            <w:tcW w:w="1136" w:type="dxa"/>
            <w:tcBorders/>
            <w:vAlign w:val="center"/>
          </w:tcPr>
          <w:p>
            <w:pPr>
              <w:pStyle w:val="F21"/>
              <w:tabs>
                <w:tab w:val="clear" w:pos="567"/>
              </w:tabs>
              <w:ind w:left="57" w:right="57" w:hanging="0"/>
              <w:jc w:val="center"/>
              <w:rPr>
                <w:i/>
                <w:i/>
                <w:szCs w:val="27"/>
              </w:rPr>
            </w:pPr>
            <w:r>
              <w:rPr>
                <w:i/>
                <w:szCs w:val="27"/>
              </w:rPr>
              <w:t>2016</w:t>
            </w:r>
            <w:r>
              <w:rPr>
                <w:i/>
                <w:szCs w:val="27"/>
              </w:rPr>
              <w:t>年</w:t>
            </w:r>
          </w:p>
        </w:tc>
        <w:tc>
          <w:tcPr>
            <w:tcW w:w="1135" w:type="dxa"/>
            <w:tcBorders/>
            <w:vAlign w:val="center"/>
          </w:tcPr>
          <w:p>
            <w:pPr>
              <w:pStyle w:val="F21"/>
              <w:tabs>
                <w:tab w:val="clear" w:pos="567"/>
              </w:tabs>
              <w:ind w:left="57" w:right="57" w:hanging="0"/>
              <w:jc w:val="center"/>
              <w:rPr>
                <w:i/>
                <w:i/>
                <w:szCs w:val="27"/>
              </w:rPr>
            </w:pPr>
            <w:r>
              <w:rPr>
                <w:i/>
                <w:szCs w:val="27"/>
              </w:rPr>
              <w:t>2017</w:t>
            </w:r>
            <w:r>
              <w:rPr>
                <w:i/>
                <w:szCs w:val="27"/>
              </w:rPr>
              <w:t>年</w:t>
            </w:r>
          </w:p>
        </w:tc>
        <w:tc>
          <w:tcPr>
            <w:tcW w:w="1134" w:type="dxa"/>
            <w:tcBorders/>
            <w:vAlign w:val="center"/>
          </w:tcPr>
          <w:p>
            <w:pPr>
              <w:pStyle w:val="F21"/>
              <w:tabs>
                <w:tab w:val="clear" w:pos="567"/>
              </w:tabs>
              <w:ind w:left="57" w:right="57" w:hanging="0"/>
              <w:jc w:val="center"/>
              <w:rPr>
                <w:i/>
                <w:i/>
                <w:szCs w:val="27"/>
              </w:rPr>
            </w:pPr>
            <w:r>
              <w:rPr>
                <w:i/>
                <w:szCs w:val="27"/>
              </w:rPr>
              <w:t>2018</w:t>
            </w:r>
            <w:r>
              <w:rPr>
                <w:i/>
                <w:szCs w:val="27"/>
              </w:rPr>
              <w:t>年</w:t>
            </w:r>
          </w:p>
        </w:tc>
      </w:tr>
      <w:tr>
        <w:trPr/>
        <w:tc>
          <w:tcPr>
            <w:tcW w:w="2130" w:type="dxa"/>
            <w:tcBorders/>
          </w:tcPr>
          <w:p>
            <w:pPr>
              <w:pStyle w:val="F21"/>
              <w:tabs>
                <w:tab w:val="clear" w:pos="567"/>
              </w:tabs>
              <w:ind w:left="57" w:right="57" w:hanging="0"/>
              <w:rPr>
                <w:szCs w:val="27"/>
              </w:rPr>
            </w:pPr>
            <w:r>
              <w:rPr>
                <w:szCs w:val="27"/>
              </w:rPr>
              <w:t>欠租</w:t>
            </w:r>
          </w:p>
        </w:tc>
        <w:tc>
          <w:tcPr>
            <w:tcW w:w="1134" w:type="dxa"/>
            <w:tcBorders/>
          </w:tcPr>
          <w:p>
            <w:pPr>
              <w:pStyle w:val="F21"/>
              <w:tabs>
                <w:tab w:val="clear" w:pos="567"/>
              </w:tabs>
              <w:ind w:left="57" w:right="198" w:hanging="0"/>
              <w:jc w:val="right"/>
              <w:rPr>
                <w:szCs w:val="27"/>
              </w:rPr>
            </w:pPr>
            <w:r>
              <w:rPr>
                <w:szCs w:val="27"/>
              </w:rPr>
              <w:t>727</w:t>
            </w:r>
          </w:p>
        </w:tc>
        <w:tc>
          <w:tcPr>
            <w:tcW w:w="1135" w:type="dxa"/>
            <w:tcBorders/>
          </w:tcPr>
          <w:p>
            <w:pPr>
              <w:pStyle w:val="F21"/>
              <w:tabs>
                <w:tab w:val="clear" w:pos="567"/>
              </w:tabs>
              <w:ind w:left="57" w:right="198" w:hanging="0"/>
              <w:jc w:val="right"/>
              <w:rPr>
                <w:szCs w:val="27"/>
              </w:rPr>
            </w:pPr>
            <w:r>
              <w:rPr>
                <w:szCs w:val="27"/>
              </w:rPr>
              <w:t>701</w:t>
            </w:r>
          </w:p>
        </w:tc>
        <w:tc>
          <w:tcPr>
            <w:tcW w:w="1136" w:type="dxa"/>
            <w:tcBorders/>
          </w:tcPr>
          <w:p>
            <w:pPr>
              <w:pStyle w:val="F21"/>
              <w:tabs>
                <w:tab w:val="clear" w:pos="567"/>
              </w:tabs>
              <w:ind w:left="57" w:right="198" w:hanging="0"/>
              <w:jc w:val="right"/>
              <w:rPr>
                <w:szCs w:val="27"/>
              </w:rPr>
            </w:pPr>
            <w:r>
              <w:rPr>
                <w:szCs w:val="27"/>
              </w:rPr>
              <w:t>750</w:t>
            </w:r>
          </w:p>
        </w:tc>
        <w:tc>
          <w:tcPr>
            <w:tcW w:w="1135" w:type="dxa"/>
            <w:tcBorders/>
          </w:tcPr>
          <w:p>
            <w:pPr>
              <w:pStyle w:val="F21"/>
              <w:tabs>
                <w:tab w:val="clear" w:pos="567"/>
              </w:tabs>
              <w:ind w:left="57" w:right="284" w:hanging="0"/>
              <w:jc w:val="right"/>
              <w:rPr>
                <w:szCs w:val="27"/>
              </w:rPr>
            </w:pPr>
            <w:r>
              <w:rPr>
                <w:szCs w:val="27"/>
              </w:rPr>
              <w:t>534</w:t>
            </w:r>
          </w:p>
        </w:tc>
        <w:tc>
          <w:tcPr>
            <w:tcW w:w="1134" w:type="dxa"/>
            <w:tcBorders/>
          </w:tcPr>
          <w:p>
            <w:pPr>
              <w:pStyle w:val="F21"/>
              <w:tabs>
                <w:tab w:val="clear" w:pos="567"/>
              </w:tabs>
              <w:ind w:left="57" w:right="284" w:hanging="0"/>
              <w:jc w:val="right"/>
              <w:rPr>
                <w:szCs w:val="27"/>
              </w:rPr>
            </w:pPr>
            <w:r>
              <w:rPr>
                <w:szCs w:val="27"/>
              </w:rPr>
              <w:t>482</w:t>
            </w:r>
          </w:p>
        </w:tc>
      </w:tr>
      <w:tr>
        <w:trPr/>
        <w:tc>
          <w:tcPr>
            <w:tcW w:w="2130" w:type="dxa"/>
            <w:tcBorders/>
          </w:tcPr>
          <w:p>
            <w:pPr>
              <w:pStyle w:val="F21"/>
              <w:tabs>
                <w:tab w:val="clear" w:pos="567"/>
              </w:tabs>
              <w:ind w:left="57" w:right="57" w:hanging="0"/>
              <w:rPr>
                <w:szCs w:val="27"/>
              </w:rPr>
            </w:pPr>
            <w:r>
              <w:rPr>
                <w:szCs w:val="27"/>
              </w:rPr>
              <w:t>丟空單位</w:t>
            </w:r>
            <w:r>
              <w:rPr>
                <w:rFonts w:ascii="華康細明體" w:hAnsi="華康細明體"/>
                <w:szCs w:val="27"/>
              </w:rPr>
              <w:t>/</w:t>
            </w:r>
            <w:r>
              <w:rPr>
                <w:szCs w:val="27"/>
              </w:rPr>
              <w:t>未經認可人士入住單位</w:t>
            </w:r>
          </w:p>
        </w:tc>
        <w:tc>
          <w:tcPr>
            <w:tcW w:w="1134" w:type="dxa"/>
            <w:tcBorders/>
          </w:tcPr>
          <w:p>
            <w:pPr>
              <w:pStyle w:val="F21"/>
              <w:tabs>
                <w:tab w:val="clear" w:pos="567"/>
              </w:tabs>
              <w:ind w:left="57" w:right="198" w:hanging="0"/>
              <w:jc w:val="right"/>
              <w:rPr>
                <w:szCs w:val="27"/>
              </w:rPr>
            </w:pPr>
            <w:r>
              <w:rPr>
                <w:szCs w:val="27"/>
              </w:rPr>
              <w:t>325</w:t>
            </w:r>
          </w:p>
        </w:tc>
        <w:tc>
          <w:tcPr>
            <w:tcW w:w="1135" w:type="dxa"/>
            <w:tcBorders/>
          </w:tcPr>
          <w:p>
            <w:pPr>
              <w:pStyle w:val="F21"/>
              <w:tabs>
                <w:tab w:val="clear" w:pos="567"/>
              </w:tabs>
              <w:ind w:left="57" w:right="198" w:hanging="0"/>
              <w:jc w:val="right"/>
              <w:rPr>
                <w:szCs w:val="27"/>
              </w:rPr>
            </w:pPr>
            <w:r>
              <w:rPr>
                <w:szCs w:val="27"/>
              </w:rPr>
              <w:t>423</w:t>
            </w:r>
          </w:p>
        </w:tc>
        <w:tc>
          <w:tcPr>
            <w:tcW w:w="1136" w:type="dxa"/>
            <w:tcBorders/>
          </w:tcPr>
          <w:p>
            <w:pPr>
              <w:pStyle w:val="F21"/>
              <w:tabs>
                <w:tab w:val="clear" w:pos="567"/>
              </w:tabs>
              <w:ind w:left="57" w:right="198" w:hanging="0"/>
              <w:jc w:val="right"/>
              <w:rPr>
                <w:szCs w:val="27"/>
              </w:rPr>
            </w:pPr>
            <w:r>
              <w:rPr>
                <w:szCs w:val="27"/>
              </w:rPr>
              <w:t>313</w:t>
            </w:r>
          </w:p>
        </w:tc>
        <w:tc>
          <w:tcPr>
            <w:tcW w:w="1135" w:type="dxa"/>
            <w:tcBorders/>
          </w:tcPr>
          <w:p>
            <w:pPr>
              <w:pStyle w:val="F21"/>
              <w:tabs>
                <w:tab w:val="clear" w:pos="567"/>
              </w:tabs>
              <w:ind w:left="57" w:right="284" w:hanging="0"/>
              <w:jc w:val="right"/>
              <w:rPr>
                <w:szCs w:val="27"/>
              </w:rPr>
            </w:pPr>
            <w:r>
              <w:rPr>
                <w:szCs w:val="27"/>
              </w:rPr>
              <w:t>290</w:t>
            </w:r>
          </w:p>
        </w:tc>
        <w:tc>
          <w:tcPr>
            <w:tcW w:w="1134" w:type="dxa"/>
            <w:tcBorders/>
          </w:tcPr>
          <w:p>
            <w:pPr>
              <w:pStyle w:val="F21"/>
              <w:tabs>
                <w:tab w:val="clear" w:pos="567"/>
              </w:tabs>
              <w:ind w:left="57" w:right="284" w:hanging="0"/>
              <w:jc w:val="right"/>
              <w:rPr>
                <w:szCs w:val="27"/>
              </w:rPr>
            </w:pPr>
            <w:r>
              <w:rPr>
                <w:szCs w:val="27"/>
              </w:rPr>
              <w:t>166</w:t>
            </w:r>
          </w:p>
        </w:tc>
      </w:tr>
      <w:tr>
        <w:trPr/>
        <w:tc>
          <w:tcPr>
            <w:tcW w:w="2130" w:type="dxa"/>
            <w:tcBorders/>
          </w:tcPr>
          <w:p>
            <w:pPr>
              <w:pStyle w:val="F21"/>
              <w:tabs>
                <w:tab w:val="clear" w:pos="567"/>
              </w:tabs>
              <w:ind w:left="57" w:right="57" w:hanging="0"/>
              <w:rPr>
                <w:szCs w:val="27"/>
              </w:rPr>
            </w:pPr>
            <w:r>
              <w:rPr>
                <w:szCs w:val="27"/>
              </w:rPr>
              <w:t>其他</w:t>
            </w:r>
            <w:r>
              <w:rPr>
                <w:szCs w:val="27"/>
              </w:rPr>
              <w:t>(</w:t>
            </w:r>
            <w:r>
              <w:rPr>
                <w:szCs w:val="27"/>
              </w:rPr>
              <w:t>包括離婚、重建、扣分制及貯存違禁藥物等</w:t>
            </w:r>
            <w:r>
              <w:rPr>
                <w:szCs w:val="27"/>
              </w:rPr>
              <w:t>)</w:t>
            </w:r>
          </w:p>
        </w:tc>
        <w:tc>
          <w:tcPr>
            <w:tcW w:w="1134" w:type="dxa"/>
            <w:tcBorders/>
          </w:tcPr>
          <w:p>
            <w:pPr>
              <w:pStyle w:val="F21"/>
              <w:tabs>
                <w:tab w:val="clear" w:pos="567"/>
              </w:tabs>
              <w:ind w:left="57" w:right="198" w:hanging="0"/>
              <w:jc w:val="right"/>
              <w:rPr>
                <w:szCs w:val="27"/>
              </w:rPr>
            </w:pPr>
            <w:r>
              <w:rPr>
                <w:szCs w:val="27"/>
              </w:rPr>
              <w:t>160</w:t>
            </w:r>
          </w:p>
        </w:tc>
        <w:tc>
          <w:tcPr>
            <w:tcW w:w="1135" w:type="dxa"/>
            <w:tcBorders/>
          </w:tcPr>
          <w:p>
            <w:pPr>
              <w:pStyle w:val="F21"/>
              <w:tabs>
                <w:tab w:val="clear" w:pos="567"/>
              </w:tabs>
              <w:ind w:left="57" w:right="198" w:hanging="0"/>
              <w:jc w:val="right"/>
              <w:rPr>
                <w:szCs w:val="27"/>
              </w:rPr>
            </w:pPr>
            <w:r>
              <w:rPr>
                <w:szCs w:val="27"/>
              </w:rPr>
              <w:t>202</w:t>
            </w:r>
          </w:p>
        </w:tc>
        <w:tc>
          <w:tcPr>
            <w:tcW w:w="1136" w:type="dxa"/>
            <w:tcBorders/>
          </w:tcPr>
          <w:p>
            <w:pPr>
              <w:pStyle w:val="F21"/>
              <w:tabs>
                <w:tab w:val="clear" w:pos="567"/>
              </w:tabs>
              <w:ind w:left="57" w:right="198" w:hanging="0"/>
              <w:jc w:val="right"/>
              <w:rPr>
                <w:szCs w:val="27"/>
              </w:rPr>
            </w:pPr>
            <w:r>
              <w:rPr>
                <w:szCs w:val="27"/>
              </w:rPr>
              <w:t>116</w:t>
            </w:r>
          </w:p>
        </w:tc>
        <w:tc>
          <w:tcPr>
            <w:tcW w:w="1135" w:type="dxa"/>
            <w:tcBorders/>
          </w:tcPr>
          <w:p>
            <w:pPr>
              <w:pStyle w:val="F21"/>
              <w:tabs>
                <w:tab w:val="clear" w:pos="567"/>
              </w:tabs>
              <w:ind w:left="57" w:right="284" w:hanging="0"/>
              <w:jc w:val="right"/>
              <w:rPr>
                <w:szCs w:val="27"/>
              </w:rPr>
            </w:pPr>
            <w:r>
              <w:rPr>
                <w:szCs w:val="27"/>
              </w:rPr>
              <w:t>128</w:t>
            </w:r>
          </w:p>
        </w:tc>
        <w:tc>
          <w:tcPr>
            <w:tcW w:w="1134" w:type="dxa"/>
            <w:tcBorders/>
          </w:tcPr>
          <w:p>
            <w:pPr>
              <w:pStyle w:val="F21"/>
              <w:tabs>
                <w:tab w:val="clear" w:pos="567"/>
              </w:tabs>
              <w:ind w:left="57" w:right="284" w:hanging="0"/>
              <w:jc w:val="right"/>
              <w:rPr>
                <w:szCs w:val="27"/>
              </w:rPr>
            </w:pPr>
            <w:r>
              <w:rPr>
                <w:szCs w:val="27"/>
              </w:rPr>
              <w:t>99</w:t>
            </w:r>
          </w:p>
        </w:tc>
      </w:tr>
      <w:tr>
        <w:trPr/>
        <w:tc>
          <w:tcPr>
            <w:tcW w:w="2130" w:type="dxa"/>
            <w:tcBorders/>
          </w:tcPr>
          <w:p>
            <w:pPr>
              <w:pStyle w:val="F21"/>
              <w:tabs>
                <w:tab w:val="clear" w:pos="567"/>
              </w:tabs>
              <w:ind w:left="57" w:right="57" w:hanging="0"/>
              <w:rPr>
                <w:szCs w:val="27"/>
              </w:rPr>
            </w:pPr>
            <w:r>
              <w:rPr>
                <w:szCs w:val="27"/>
              </w:rPr>
              <w:t>合計</w:t>
            </w:r>
          </w:p>
        </w:tc>
        <w:tc>
          <w:tcPr>
            <w:tcW w:w="1134" w:type="dxa"/>
            <w:tcBorders/>
          </w:tcPr>
          <w:p>
            <w:pPr>
              <w:pStyle w:val="F21"/>
              <w:tabs>
                <w:tab w:val="clear" w:pos="567"/>
              </w:tabs>
              <w:ind w:left="57" w:right="198" w:hanging="0"/>
              <w:jc w:val="right"/>
              <w:rPr>
                <w:szCs w:val="27"/>
              </w:rPr>
            </w:pPr>
            <w:r>
              <w:rPr>
                <w:szCs w:val="27"/>
              </w:rPr>
              <w:t>1 212</w:t>
            </w:r>
          </w:p>
        </w:tc>
        <w:tc>
          <w:tcPr>
            <w:tcW w:w="1135" w:type="dxa"/>
            <w:tcBorders/>
          </w:tcPr>
          <w:p>
            <w:pPr>
              <w:pStyle w:val="F21"/>
              <w:tabs>
                <w:tab w:val="clear" w:pos="567"/>
              </w:tabs>
              <w:ind w:left="57" w:right="198" w:hanging="0"/>
              <w:jc w:val="right"/>
              <w:rPr>
                <w:szCs w:val="27"/>
              </w:rPr>
            </w:pPr>
            <w:r>
              <w:rPr>
                <w:szCs w:val="27"/>
              </w:rPr>
              <w:t>1 326</w:t>
            </w:r>
          </w:p>
        </w:tc>
        <w:tc>
          <w:tcPr>
            <w:tcW w:w="1136" w:type="dxa"/>
            <w:tcBorders/>
          </w:tcPr>
          <w:p>
            <w:pPr>
              <w:pStyle w:val="F21"/>
              <w:tabs>
                <w:tab w:val="clear" w:pos="567"/>
              </w:tabs>
              <w:ind w:left="57" w:right="198" w:hanging="0"/>
              <w:jc w:val="right"/>
              <w:rPr>
                <w:szCs w:val="27"/>
              </w:rPr>
            </w:pPr>
            <w:r>
              <w:rPr>
                <w:szCs w:val="27"/>
              </w:rPr>
              <w:t>1 179</w:t>
            </w:r>
          </w:p>
        </w:tc>
        <w:tc>
          <w:tcPr>
            <w:tcW w:w="1135" w:type="dxa"/>
            <w:tcBorders/>
          </w:tcPr>
          <w:p>
            <w:pPr>
              <w:pStyle w:val="F21"/>
              <w:tabs>
                <w:tab w:val="clear" w:pos="567"/>
              </w:tabs>
              <w:ind w:left="57" w:right="284" w:hanging="0"/>
              <w:jc w:val="right"/>
              <w:rPr>
                <w:szCs w:val="27"/>
              </w:rPr>
            </w:pPr>
            <w:r>
              <w:rPr>
                <w:szCs w:val="27"/>
              </w:rPr>
              <w:t>952</w:t>
            </w:r>
          </w:p>
        </w:tc>
        <w:tc>
          <w:tcPr>
            <w:tcW w:w="1134" w:type="dxa"/>
            <w:tcBorders/>
          </w:tcPr>
          <w:p>
            <w:pPr>
              <w:pStyle w:val="F21"/>
              <w:tabs>
                <w:tab w:val="clear" w:pos="567"/>
              </w:tabs>
              <w:ind w:left="57" w:right="284" w:hanging="0"/>
              <w:jc w:val="right"/>
              <w:rPr>
                <w:szCs w:val="27"/>
              </w:rPr>
            </w:pPr>
            <w:r>
              <w:rPr>
                <w:szCs w:val="27"/>
              </w:rPr>
              <w:t>747</w:t>
            </w:r>
          </w:p>
        </w:tc>
      </w:tr>
    </w:tbl>
    <w:p>
      <w:pPr>
        <w:pStyle w:val="F21"/>
        <w:spacing w:lineRule="atLeast" w:line="370"/>
        <w:rPr>
          <w:szCs w:val="27"/>
        </w:rPr>
      </w:pPr>
      <w:r>
        <w:rPr>
          <w:szCs w:val="27"/>
        </w:rPr>
      </w:r>
    </w:p>
    <w:p>
      <w:pPr>
        <w:pStyle w:val="F21"/>
        <w:spacing w:lineRule="atLeast" w:line="370"/>
        <w:ind w:left="1418" w:hanging="851"/>
        <w:rPr>
          <w:szCs w:val="27"/>
        </w:rPr>
      </w:pPr>
      <w:r>
        <w:rPr>
          <w:szCs w:val="27"/>
        </w:rPr>
        <w:t>(</w:t>
      </w:r>
      <w:r>
        <w:rPr>
          <w:szCs w:val="27"/>
        </w:rPr>
        <w:t>六</w:t>
      </w:r>
      <w:r>
        <w:rPr>
          <w:szCs w:val="27"/>
        </w:rPr>
        <w:t>)</w:t>
        <w:tab/>
      </w:r>
      <w:r>
        <w:rPr>
          <w:szCs w:val="27"/>
        </w:rPr>
        <w:t>公屋寬敞戶未被安排調遷的原因各有不同，可能涉及各種租戶個人或家庭因素</w:t>
      </w:r>
      <w:r>
        <w:rPr>
          <w:szCs w:val="27"/>
        </w:rPr>
        <w:t>(</w:t>
      </w:r>
      <w:r>
        <w:rPr>
          <w:szCs w:val="27"/>
        </w:rPr>
        <w:t>例如家庭成員有殘疾人士</w:t>
      </w:r>
      <w:r>
        <w:rPr>
          <w:rFonts w:ascii="華康細明體" w:hAnsi="華康細明體"/>
          <w:szCs w:val="27"/>
        </w:rPr>
        <w:t>/</w:t>
      </w:r>
      <w:r>
        <w:rPr>
          <w:szCs w:val="27"/>
        </w:rPr>
        <w:t>長者或有人身故，而獲延遲調遷</w:t>
      </w:r>
      <w:r>
        <w:rPr>
          <w:szCs w:val="27"/>
        </w:rPr>
        <w:t>)</w:t>
      </w:r>
      <w:r>
        <w:rPr>
          <w:szCs w:val="27"/>
        </w:rPr>
        <w:t>，未必與欠缺較細公屋單位有直接關係。房委會因此沒有質詢要求的統計數字。</w:t>
      </w:r>
    </w:p>
    <w:p>
      <w:pPr>
        <w:pStyle w:val="F21"/>
        <w:spacing w:lineRule="atLeast" w:line="370"/>
        <w:rPr>
          <w:szCs w:val="27"/>
        </w:rPr>
      </w:pPr>
      <w:r>
        <w:rPr>
          <w:szCs w:val="27"/>
        </w:rPr>
      </w:r>
    </w:p>
    <w:p>
      <w:pPr>
        <w:pStyle w:val="F21"/>
        <w:overflowPunct w:val="true"/>
        <w:spacing w:lineRule="atLeast" w:line="370"/>
        <w:rPr>
          <w:rFonts w:cs="Times New Roman"/>
        </w:rPr>
      </w:pPr>
      <w:r>
        <w:rPr>
          <w:rFonts w:cs="Times New Roman"/>
        </w:rPr>
      </w:r>
    </w:p>
    <w:p>
      <w:pPr>
        <w:pStyle w:val="F21"/>
        <w:overflowPunct w:val="true"/>
        <w:spacing w:lineRule="atLeast" w:line="370"/>
        <w:rPr>
          <w:rFonts w:eastAsia="華康中黑體" w:cs="Times New Roman"/>
          <w:b/>
          <w:b/>
        </w:rPr>
      </w:pPr>
      <w:bookmarkStart w:id="53" w:name="wrq20"/>
      <w:r>
        <w:rPr>
          <w:rFonts w:cs="Times New Roman" w:eastAsia="華康中黑體"/>
          <w:b/>
        </w:rPr>
        <w:t>對虛擬資產投資活動的監管</w:t>
      </w:r>
    </w:p>
    <w:p>
      <w:pPr>
        <w:pStyle w:val="Normal"/>
        <w:overflowPunct w:val="true"/>
        <w:spacing w:lineRule="atLeast" w:line="370"/>
        <w:rPr>
          <w:b/>
          <w:b/>
        </w:rPr>
      </w:pPr>
      <w:bookmarkStart w:id="54" w:name="wrq20"/>
      <w:r>
        <w:rPr>
          <w:b/>
        </w:rPr>
        <w:t>Regulation of virtual asset investment activities</w:t>
      </w:r>
      <w:bookmarkEnd w:id="54"/>
    </w:p>
    <w:p>
      <w:pPr>
        <w:pStyle w:val="F21"/>
        <w:overflowPunct w:val="true"/>
        <w:spacing w:lineRule="atLeast" w:line="370"/>
        <w:rPr>
          <w:rFonts w:cs="Times New Roman"/>
        </w:rPr>
      </w:pPr>
      <w:r>
        <w:rPr>
          <w:rFonts w:cs="Times New Roman"/>
        </w:rPr>
      </w:r>
    </w:p>
    <w:p>
      <w:pPr>
        <w:pStyle w:val="F21"/>
        <w:spacing w:lineRule="atLeast" w:line="370"/>
        <w:rPr>
          <w:i/>
          <w:i/>
          <w:szCs w:val="27"/>
        </w:rPr>
      </w:pPr>
      <w:r>
        <w:rPr>
          <w:rFonts w:eastAsia="華康中黑體" w:cs="Times New Roman"/>
          <w:b/>
          <w:szCs w:val="27"/>
        </w:rPr>
        <w:t>20.</w:t>
        <w:tab/>
      </w:r>
      <w:r>
        <w:rPr>
          <w:rFonts w:cs="Times New Roman" w:eastAsia="華康中黑體"/>
          <w:b/>
          <w:szCs w:val="27"/>
        </w:rPr>
        <w:t>胡志偉議員</w:t>
      </w:r>
      <w:r>
        <w:rPr>
          <w:szCs w:val="27"/>
        </w:rPr>
        <w:t>：</w:t>
      </w:r>
      <w:r>
        <w:rPr>
          <w:i/>
          <w:szCs w:val="27"/>
        </w:rPr>
        <w:t>主席，據悉，隨着近年與虛擬資產有關的投資活動迅速發展，有關投資者蒙受損失的事故頻生。例如，法庭最近頒令一間虛擬貨幣交易所清盤，而警方早前就涉嫌以詐騙手法誘使投資者購買聲稱可挖掘虛擬貨幣的礦機拘捕了一名人士。另一方面，證券及期貨事務監察委員會</w:t>
      </w:r>
      <w:r>
        <w:rPr>
          <w:i/>
          <w:szCs w:val="27"/>
        </w:rPr>
        <w:t>(</w:t>
      </w:r>
      <w:r>
        <w:rPr>
          <w:rFonts w:cs="Times New Roman"/>
          <w:i/>
          <w:szCs w:val="27"/>
        </w:rPr>
        <w:t>"</w:t>
      </w:r>
      <w:r>
        <w:rPr>
          <w:i/>
          <w:szCs w:val="27"/>
        </w:rPr>
        <w:t>證監會</w:t>
      </w:r>
      <w:r>
        <w:rPr>
          <w:rFonts w:cs="Times New Roman"/>
          <w:i/>
          <w:szCs w:val="27"/>
        </w:rPr>
        <w:t>"</w:t>
      </w:r>
      <w:r>
        <w:rPr>
          <w:i/>
          <w:szCs w:val="27"/>
        </w:rPr>
        <w:t>)</w:t>
      </w:r>
      <w:r>
        <w:rPr>
          <w:i/>
          <w:szCs w:val="27"/>
        </w:rPr>
        <w:t>在去年</w:t>
      </w:r>
      <w:r>
        <w:rPr>
          <w:i/>
          <w:szCs w:val="27"/>
        </w:rPr>
        <w:t>11</w:t>
      </w:r>
      <w:r>
        <w:rPr>
          <w:i/>
          <w:szCs w:val="27"/>
        </w:rPr>
        <w:t>月發布有關虛擬資產的新監管方針，以將虛擬資產投資組合管理公司及虛擬資產基金分銷商納入證監會的監管範圍。就此，政府可否告知本會：</w:t>
      </w:r>
    </w:p>
    <w:p>
      <w:pPr>
        <w:pStyle w:val="F21"/>
        <w:spacing w:lineRule="atLeast" w:line="370"/>
        <w:rPr>
          <w:i/>
          <w:i/>
          <w:szCs w:val="27"/>
        </w:rPr>
      </w:pPr>
      <w:r>
        <w:rPr>
          <w:i/>
          <w:szCs w:val="27"/>
        </w:rPr>
      </w:r>
    </w:p>
    <w:p>
      <w:pPr>
        <w:pStyle w:val="F21"/>
        <w:spacing w:lineRule="atLeast" w:line="370"/>
        <w:ind w:left="1418" w:hanging="851"/>
        <w:rPr>
          <w:i/>
          <w:i/>
          <w:szCs w:val="27"/>
        </w:rPr>
      </w:pPr>
      <w:r>
        <w:rPr>
          <w:i/>
          <w:szCs w:val="27"/>
        </w:rPr>
        <w:t>(</w:t>
      </w:r>
      <w:r>
        <w:rPr>
          <w:i/>
          <w:szCs w:val="27"/>
        </w:rPr>
        <w:t>一</w:t>
      </w:r>
      <w:r>
        <w:rPr>
          <w:i/>
          <w:szCs w:val="27"/>
        </w:rPr>
        <w:t>)</w:t>
        <w:tab/>
      </w:r>
      <w:r>
        <w:rPr>
          <w:i/>
          <w:szCs w:val="27"/>
        </w:rPr>
        <w:t>過去</w:t>
      </w:r>
      <w:r>
        <w:rPr>
          <w:i/>
          <w:szCs w:val="27"/>
        </w:rPr>
        <w:t>3</w:t>
      </w:r>
      <w:r>
        <w:rPr>
          <w:i/>
          <w:szCs w:val="27"/>
        </w:rPr>
        <w:t>年，各執法部門就涉嫌</w:t>
      </w:r>
      <w:r>
        <w:rPr>
          <w:i/>
          <w:szCs w:val="27"/>
        </w:rPr>
        <w:t>(a)</w:t>
      </w:r>
      <w:r>
        <w:rPr>
          <w:i/>
          <w:szCs w:val="27"/>
        </w:rPr>
        <w:t>利用虛擬貨幣洗錢、</w:t>
      </w:r>
      <w:r>
        <w:rPr>
          <w:i/>
          <w:szCs w:val="27"/>
        </w:rPr>
        <w:t>(b)‍</w:t>
      </w:r>
      <w:r>
        <w:rPr>
          <w:i/>
          <w:szCs w:val="27"/>
        </w:rPr>
        <w:t>以詐騙手法誘使投資者購買礦機，以及</w:t>
      </w:r>
      <w:r>
        <w:rPr>
          <w:i/>
          <w:szCs w:val="27"/>
        </w:rPr>
        <w:t>(c)</w:t>
      </w:r>
      <w:r>
        <w:rPr>
          <w:i/>
          <w:szCs w:val="27"/>
        </w:rPr>
        <w:t>以不法方式招攬投資虛擬資產個案採取執法行動的詳情，包括</w:t>
      </w:r>
      <w:r>
        <w:rPr>
          <w:i/>
          <w:szCs w:val="27"/>
        </w:rPr>
        <w:t>(i)</w:t>
      </w:r>
      <w:r>
        <w:rPr>
          <w:i/>
          <w:szCs w:val="27"/>
        </w:rPr>
        <w:t>涉及的金額、</w:t>
      </w:r>
      <w:r>
        <w:rPr>
          <w:i/>
          <w:szCs w:val="27"/>
        </w:rPr>
        <w:t>(ii)</w:t>
      </w:r>
      <w:r>
        <w:rPr>
          <w:i/>
          <w:szCs w:val="27"/>
        </w:rPr>
        <w:t>分別有多少人被捕、檢控及定罪，以及</w:t>
      </w:r>
      <w:r>
        <w:rPr>
          <w:i/>
          <w:szCs w:val="27"/>
        </w:rPr>
        <w:t>(iii)</w:t>
      </w:r>
      <w:r>
        <w:rPr>
          <w:i/>
          <w:szCs w:val="27"/>
        </w:rPr>
        <w:t>被定罪者被判處的刑罰；</w:t>
      </w:r>
    </w:p>
    <w:p>
      <w:pPr>
        <w:pStyle w:val="F21"/>
        <w:spacing w:lineRule="atLeast" w:line="370"/>
        <w:ind w:left="1418" w:hanging="851"/>
        <w:rPr>
          <w:i/>
          <w:i/>
          <w:szCs w:val="27"/>
        </w:rPr>
      </w:pPr>
      <w:r>
        <w:rPr>
          <w:i/>
          <w:szCs w:val="27"/>
        </w:rPr>
      </w:r>
    </w:p>
    <w:p>
      <w:pPr>
        <w:pStyle w:val="F21"/>
        <w:spacing w:lineRule="atLeast" w:line="370"/>
        <w:ind w:left="1418" w:hanging="851"/>
        <w:rPr>
          <w:i/>
          <w:i/>
          <w:szCs w:val="27"/>
        </w:rPr>
      </w:pPr>
      <w:r>
        <w:rPr>
          <w:i/>
          <w:szCs w:val="27"/>
        </w:rPr>
        <w:t>(</w:t>
      </w:r>
      <w:r>
        <w:rPr>
          <w:i/>
          <w:szCs w:val="27"/>
        </w:rPr>
        <w:t>二</w:t>
      </w:r>
      <w:r>
        <w:rPr>
          <w:i/>
          <w:szCs w:val="27"/>
        </w:rPr>
        <w:t>)</w:t>
        <w:tab/>
      </w:r>
      <w:r>
        <w:rPr>
          <w:i/>
          <w:szCs w:val="27"/>
        </w:rPr>
        <w:t>與虛擬資產有關的商品</w:t>
      </w:r>
      <w:r>
        <w:rPr>
          <w:i/>
          <w:szCs w:val="27"/>
        </w:rPr>
        <w:t>(</w:t>
      </w:r>
      <w:r>
        <w:rPr>
          <w:i/>
          <w:szCs w:val="27"/>
        </w:rPr>
        <w:t>例如礦機</w:t>
      </w:r>
      <w:r>
        <w:rPr>
          <w:i/>
          <w:szCs w:val="27"/>
        </w:rPr>
        <w:t>)</w:t>
      </w:r>
      <w:r>
        <w:rPr>
          <w:i/>
          <w:szCs w:val="27"/>
        </w:rPr>
        <w:t>銷售行為是否屬《商品說明條例》</w:t>
      </w:r>
      <w:r>
        <w:rPr>
          <w:i/>
          <w:szCs w:val="27"/>
        </w:rPr>
        <w:t>(</w:t>
      </w:r>
      <w:r>
        <w:rPr>
          <w:i/>
          <w:szCs w:val="27"/>
        </w:rPr>
        <w:t>第</w:t>
      </w:r>
      <w:r>
        <w:rPr>
          <w:i/>
          <w:szCs w:val="27"/>
        </w:rPr>
        <w:t>362</w:t>
      </w:r>
      <w:r>
        <w:rPr>
          <w:i/>
          <w:szCs w:val="27"/>
        </w:rPr>
        <w:t>章</w:t>
      </w:r>
      <w:r>
        <w:rPr>
          <w:i/>
          <w:szCs w:val="27"/>
        </w:rPr>
        <w:t>)</w:t>
      </w:r>
      <w:r>
        <w:rPr>
          <w:i/>
          <w:szCs w:val="27"/>
        </w:rPr>
        <w:t>的規管範圍；若否，原因為何，以及政府會否修訂法例把其納入香港海關的規管；</w:t>
      </w:r>
    </w:p>
    <w:p>
      <w:pPr>
        <w:pStyle w:val="Normal"/>
        <w:widowControl/>
        <w:tabs>
          <w:tab w:val="clear" w:pos="720"/>
        </w:tabs>
        <w:snapToGrid w:val="true"/>
        <w:spacing w:lineRule="auto" w:line="276" w:before="0" w:after="200"/>
        <w:jc w:val="left"/>
        <w:rPr>
          <w:rFonts w:cs="" w:cstheme="minorBidi"/>
          <w:i/>
          <w:i/>
          <w:spacing w:val="20"/>
          <w:sz w:val="27"/>
          <w:szCs w:val="27"/>
          <w:lang w:val="en-US"/>
        </w:rPr>
      </w:pPr>
      <w:r>
        <w:rPr>
          <w:rFonts w:cs="" w:cstheme="minorBidi"/>
          <w:i/>
          <w:spacing w:val="20"/>
          <w:sz w:val="27"/>
          <w:szCs w:val="27"/>
          <w:lang w:val="en-US"/>
        </w:rPr>
      </w:r>
      <w:r>
        <w:br w:type="page"/>
      </w:r>
    </w:p>
    <w:p>
      <w:pPr>
        <w:pStyle w:val="F21"/>
        <w:spacing w:lineRule="atLeast" w:line="370"/>
        <w:ind w:left="1418" w:hanging="851"/>
        <w:rPr>
          <w:i/>
          <w:i/>
          <w:szCs w:val="27"/>
        </w:rPr>
      </w:pPr>
      <w:r>
        <w:rPr>
          <w:i/>
          <w:szCs w:val="27"/>
        </w:rPr>
        <w:t>(</w:t>
      </w:r>
      <w:r>
        <w:rPr>
          <w:i/>
          <w:szCs w:val="27"/>
        </w:rPr>
        <w:t>三</w:t>
      </w:r>
      <w:r>
        <w:rPr>
          <w:i/>
          <w:szCs w:val="27"/>
        </w:rPr>
        <w:t>)</w:t>
        <w:tab/>
      </w:r>
      <w:r>
        <w:rPr>
          <w:i/>
          <w:szCs w:val="27"/>
        </w:rPr>
        <w:t>個人或業務經營者現時須否就使用虛擬貨幣進行的交易</w:t>
      </w:r>
      <w:r>
        <w:rPr>
          <w:i/>
          <w:szCs w:val="27"/>
        </w:rPr>
        <w:t>(</w:t>
      </w:r>
      <w:r>
        <w:rPr>
          <w:i/>
          <w:szCs w:val="27"/>
        </w:rPr>
        <w:t>例如樓宇或基金買賣</w:t>
      </w:r>
      <w:r>
        <w:rPr>
          <w:i/>
          <w:szCs w:val="27"/>
        </w:rPr>
        <w:t>)</w:t>
      </w:r>
      <w:r>
        <w:rPr>
          <w:i/>
          <w:szCs w:val="27"/>
        </w:rPr>
        <w:t>繳納稅項；若須要，稅務局如何確保虛擬貨幣交易的隱密性不會令稅收減少；</w:t>
      </w:r>
    </w:p>
    <w:p>
      <w:pPr>
        <w:pStyle w:val="F21"/>
        <w:spacing w:lineRule="atLeast" w:line="370"/>
        <w:ind w:left="1418" w:hanging="851"/>
        <w:rPr>
          <w:i/>
          <w:i/>
          <w:szCs w:val="27"/>
        </w:rPr>
      </w:pPr>
      <w:r>
        <w:rPr>
          <w:i/>
          <w:szCs w:val="27"/>
        </w:rPr>
      </w:r>
    </w:p>
    <w:p>
      <w:pPr>
        <w:pStyle w:val="F21"/>
        <w:spacing w:lineRule="atLeast" w:line="370"/>
        <w:ind w:left="1418" w:hanging="851"/>
        <w:rPr>
          <w:i/>
          <w:i/>
          <w:szCs w:val="27"/>
        </w:rPr>
      </w:pPr>
      <w:r>
        <w:rPr>
          <w:i/>
          <w:szCs w:val="27"/>
        </w:rPr>
        <w:t>(</w:t>
      </w:r>
      <w:r>
        <w:rPr>
          <w:i/>
          <w:szCs w:val="27"/>
        </w:rPr>
        <w:t>四</w:t>
      </w:r>
      <w:r>
        <w:rPr>
          <w:i/>
          <w:szCs w:val="27"/>
        </w:rPr>
        <w:t>)</w:t>
        <w:tab/>
      </w:r>
      <w:r>
        <w:rPr>
          <w:i/>
          <w:szCs w:val="27"/>
        </w:rPr>
        <w:t>過去</w:t>
      </w:r>
      <w:r>
        <w:rPr>
          <w:i/>
          <w:szCs w:val="27"/>
        </w:rPr>
        <w:t>3</w:t>
      </w:r>
      <w:r>
        <w:rPr>
          <w:i/>
          <w:szCs w:val="27"/>
        </w:rPr>
        <w:t>年，每年稅務局分別就經營</w:t>
      </w:r>
      <w:r>
        <w:rPr>
          <w:i/>
          <w:szCs w:val="27"/>
        </w:rPr>
        <w:t>(i)</w:t>
      </w:r>
      <w:r>
        <w:rPr>
          <w:i/>
          <w:szCs w:val="27"/>
        </w:rPr>
        <w:t>虛擬資產交易平台、</w:t>
      </w:r>
      <w:r>
        <w:rPr>
          <w:i/>
          <w:szCs w:val="27"/>
        </w:rPr>
        <w:t>(ii)</w:t>
      </w:r>
      <w:r>
        <w:rPr>
          <w:i/>
          <w:szCs w:val="27"/>
        </w:rPr>
        <w:t>礦機出售、</w:t>
      </w:r>
      <w:r>
        <w:rPr>
          <w:i/>
          <w:szCs w:val="27"/>
        </w:rPr>
        <w:t>(iii)</w:t>
      </w:r>
      <w:r>
        <w:rPr>
          <w:i/>
          <w:szCs w:val="27"/>
        </w:rPr>
        <w:t>雲端挖礦、</w:t>
      </w:r>
      <w:r>
        <w:rPr>
          <w:i/>
          <w:szCs w:val="27"/>
        </w:rPr>
        <w:t>(iv)</w:t>
      </w:r>
      <w:r>
        <w:rPr>
          <w:i/>
          <w:szCs w:val="27"/>
        </w:rPr>
        <w:t>備有虛擬貨幣相關功能的智能售賣機，以及</w:t>
      </w:r>
      <w:r>
        <w:rPr>
          <w:i/>
          <w:szCs w:val="27"/>
        </w:rPr>
        <w:t>(v)</w:t>
      </w:r>
      <w:r>
        <w:rPr>
          <w:i/>
          <w:szCs w:val="27"/>
        </w:rPr>
        <w:t>其他與虛擬資產有關的商業活動徵得的利得稅稅收為何；</w:t>
      </w:r>
    </w:p>
    <w:p>
      <w:pPr>
        <w:pStyle w:val="F21"/>
        <w:spacing w:lineRule="atLeast" w:line="370"/>
        <w:ind w:left="1418" w:hanging="851"/>
        <w:rPr>
          <w:i/>
          <w:i/>
          <w:szCs w:val="27"/>
        </w:rPr>
      </w:pPr>
      <w:r>
        <w:rPr>
          <w:i/>
          <w:szCs w:val="27"/>
        </w:rPr>
      </w:r>
    </w:p>
    <w:p>
      <w:pPr>
        <w:pStyle w:val="F21"/>
        <w:spacing w:lineRule="atLeast" w:line="370"/>
        <w:ind w:left="1418" w:hanging="851"/>
        <w:rPr>
          <w:i/>
          <w:i/>
          <w:szCs w:val="27"/>
        </w:rPr>
      </w:pPr>
      <w:r>
        <w:rPr>
          <w:i/>
          <w:szCs w:val="27"/>
        </w:rPr>
        <w:t>(</w:t>
      </w:r>
      <w:r>
        <w:rPr>
          <w:i/>
          <w:szCs w:val="27"/>
        </w:rPr>
        <w:t>五</w:t>
      </w:r>
      <w:r>
        <w:rPr>
          <w:i/>
          <w:szCs w:val="27"/>
        </w:rPr>
        <w:t>)</w:t>
        <w:tab/>
      </w:r>
      <w:r>
        <w:rPr>
          <w:i/>
          <w:szCs w:val="27"/>
        </w:rPr>
        <w:t>過去</w:t>
      </w:r>
      <w:r>
        <w:rPr>
          <w:i/>
          <w:szCs w:val="27"/>
        </w:rPr>
        <w:t>3</w:t>
      </w:r>
      <w:r>
        <w:rPr>
          <w:i/>
          <w:szCs w:val="27"/>
        </w:rPr>
        <w:t>年，稅務局有否就經營與虛擬資產有關業務的懷疑逃稅個案展開調查；若有，作出調查、檢控及定罪個案分別的數目，以及被定罪者被判處的刑罰；有多少宗個案的違例人士以繳交罰款代替被檢控，以及他們繳交罰款的平均金額為何；及</w:t>
      </w:r>
    </w:p>
    <w:p>
      <w:pPr>
        <w:pStyle w:val="F21"/>
        <w:spacing w:lineRule="atLeast" w:line="370"/>
        <w:ind w:left="1418" w:hanging="851"/>
        <w:rPr>
          <w:i/>
          <w:i/>
          <w:szCs w:val="27"/>
        </w:rPr>
      </w:pPr>
      <w:r>
        <w:rPr>
          <w:i/>
          <w:szCs w:val="27"/>
        </w:rPr>
      </w:r>
    </w:p>
    <w:p>
      <w:pPr>
        <w:pStyle w:val="F21"/>
        <w:spacing w:lineRule="atLeast" w:line="370"/>
        <w:ind w:left="1418" w:hanging="851"/>
        <w:rPr>
          <w:i/>
          <w:i/>
          <w:szCs w:val="27"/>
        </w:rPr>
      </w:pPr>
      <w:r>
        <w:rPr>
          <w:i/>
          <w:szCs w:val="27"/>
        </w:rPr>
        <w:t>(</w:t>
      </w:r>
      <w:r>
        <w:rPr>
          <w:i/>
          <w:szCs w:val="27"/>
        </w:rPr>
        <w:t>六</w:t>
      </w:r>
      <w:r>
        <w:rPr>
          <w:i/>
          <w:szCs w:val="27"/>
        </w:rPr>
        <w:t>)</w:t>
        <w:tab/>
      </w:r>
      <w:r>
        <w:rPr>
          <w:i/>
          <w:szCs w:val="27"/>
        </w:rPr>
        <w:t>證監會、香港金融管理局及相關政府部門會否研究加強規管與虛擬資產有關的投資活動；若會，詳情為何？</w:t>
      </w:r>
    </w:p>
    <w:p>
      <w:pPr>
        <w:pStyle w:val="F21"/>
        <w:spacing w:lineRule="atLeast" w:line="370"/>
        <w:rPr>
          <w:szCs w:val="27"/>
        </w:rPr>
      </w:pPr>
      <w:r>
        <w:rPr>
          <w:szCs w:val="27"/>
        </w:rPr>
      </w:r>
    </w:p>
    <w:p>
      <w:pPr>
        <w:pStyle w:val="F21"/>
        <w:spacing w:lineRule="atLeast" w:line="370"/>
        <w:rPr>
          <w:szCs w:val="27"/>
        </w:rPr>
      </w:pPr>
      <w:r>
        <w:rPr>
          <w:szCs w:val="27"/>
        </w:rPr>
      </w:r>
    </w:p>
    <w:p>
      <w:pPr>
        <w:pStyle w:val="F21"/>
        <w:spacing w:lineRule="atLeast" w:line="370"/>
        <w:rPr>
          <w:szCs w:val="27"/>
        </w:rPr>
      </w:pPr>
      <w:r>
        <w:rPr>
          <w:rFonts w:ascii="華康中黑體" w:hAnsi="華康中黑體" w:eastAsia="華康中黑體"/>
          <w:b/>
          <w:szCs w:val="27"/>
        </w:rPr>
        <w:t>財經事務及庫務局局長</w:t>
      </w:r>
      <w:r>
        <w:rPr>
          <w:szCs w:val="27"/>
        </w:rPr>
        <w:t>：主席，就胡議員的質詢，我們經諮詢相關政策局、部門及金融監管機構後，現綜合答覆如下：</w:t>
      </w:r>
    </w:p>
    <w:p>
      <w:pPr>
        <w:pStyle w:val="F21"/>
        <w:spacing w:lineRule="atLeast" w:line="370"/>
        <w:rPr>
          <w:szCs w:val="27"/>
        </w:rPr>
      </w:pPr>
      <w:r>
        <w:rPr>
          <w:szCs w:val="27"/>
        </w:rPr>
      </w:r>
    </w:p>
    <w:p>
      <w:pPr>
        <w:pStyle w:val="F21"/>
        <w:spacing w:lineRule="atLeast" w:line="370"/>
        <w:ind w:left="1418" w:hanging="851"/>
        <w:rPr>
          <w:szCs w:val="27"/>
        </w:rPr>
      </w:pPr>
      <w:r>
        <w:rPr>
          <w:szCs w:val="27"/>
        </w:rPr>
        <w:t>(</w:t>
      </w:r>
      <w:r>
        <w:rPr>
          <w:szCs w:val="27"/>
        </w:rPr>
        <w:t>一</w:t>
      </w:r>
      <w:r>
        <w:rPr>
          <w:szCs w:val="27"/>
        </w:rPr>
        <w:t>)</w:t>
        <w:tab/>
      </w:r>
      <w:r>
        <w:rPr>
          <w:szCs w:val="27"/>
        </w:rPr>
        <w:t>警方一直致力打擊洗黑錢活動，並會密切監察有關虛擬資產的罪案趨勢，以及採取相應行動。近年與虛擬資產有關的案件有上升趨勢，主要涉及詐騙及勒索案。警方在</w:t>
      </w:r>
      <w:r>
        <w:rPr>
          <w:szCs w:val="27"/>
        </w:rPr>
        <w:t>2018</w:t>
      </w:r>
      <w:r>
        <w:rPr>
          <w:szCs w:val="27"/>
        </w:rPr>
        <w:t>年接獲與虛擬資產有關的案件有</w:t>
      </w:r>
      <w:r>
        <w:rPr>
          <w:szCs w:val="27"/>
        </w:rPr>
        <w:t>324</w:t>
      </w:r>
      <w:r>
        <w:rPr>
          <w:szCs w:val="27"/>
        </w:rPr>
        <w:t>宗，而</w:t>
      </w:r>
      <w:r>
        <w:rPr>
          <w:szCs w:val="27"/>
        </w:rPr>
        <w:t>2016</w:t>
      </w:r>
      <w:r>
        <w:rPr>
          <w:szCs w:val="27"/>
        </w:rPr>
        <w:t>年及</w:t>
      </w:r>
      <w:r>
        <w:rPr>
          <w:szCs w:val="27"/>
        </w:rPr>
        <w:t>2017</w:t>
      </w:r>
      <w:r>
        <w:rPr>
          <w:szCs w:val="27"/>
        </w:rPr>
        <w:t>年涉及比特幣</w:t>
      </w:r>
      <w:r>
        <w:rPr>
          <w:szCs w:val="27"/>
        </w:rPr>
        <w:t>(</w:t>
      </w:r>
      <w:r>
        <w:rPr>
          <w:szCs w:val="27"/>
        </w:rPr>
        <w:t>期內警方只備存與比特幣有關的案件數字</w:t>
      </w:r>
      <w:r>
        <w:rPr>
          <w:szCs w:val="27"/>
        </w:rPr>
        <w:t>)</w:t>
      </w:r>
      <w:r>
        <w:rPr>
          <w:szCs w:val="27"/>
        </w:rPr>
        <w:t>的案件分別有</w:t>
      </w:r>
      <w:r>
        <w:rPr>
          <w:szCs w:val="27"/>
        </w:rPr>
        <w:t>67</w:t>
      </w:r>
      <w:r>
        <w:rPr>
          <w:szCs w:val="27"/>
        </w:rPr>
        <w:t>宗及</w:t>
      </w:r>
      <w:r>
        <w:rPr>
          <w:szCs w:val="27"/>
        </w:rPr>
        <w:t>50</w:t>
      </w:r>
      <w:r>
        <w:rPr>
          <w:szCs w:val="27"/>
        </w:rPr>
        <w:t>宗。</w:t>
      </w:r>
    </w:p>
    <w:p>
      <w:pPr>
        <w:pStyle w:val="F21"/>
        <w:spacing w:lineRule="atLeast" w:line="370"/>
        <w:ind w:left="1418" w:hanging="851"/>
        <w:rPr>
          <w:szCs w:val="27"/>
        </w:rPr>
      </w:pPr>
      <w:r>
        <w:rPr>
          <w:szCs w:val="27"/>
        </w:rPr>
      </w:r>
    </w:p>
    <w:p>
      <w:pPr>
        <w:pStyle w:val="F21"/>
        <w:spacing w:lineRule="atLeast" w:line="370"/>
        <w:ind w:left="1418" w:hanging="851"/>
        <w:rPr>
          <w:szCs w:val="27"/>
        </w:rPr>
      </w:pPr>
      <w:r>
        <w:rPr>
          <w:szCs w:val="27"/>
        </w:rPr>
        <w:tab/>
      </w:r>
      <w:r>
        <w:rPr>
          <w:szCs w:val="27"/>
        </w:rPr>
        <w:t>在投資騙案方面，在</w:t>
      </w:r>
      <w:r>
        <w:rPr>
          <w:szCs w:val="27"/>
        </w:rPr>
        <w:t>2016</w:t>
      </w:r>
      <w:r>
        <w:rPr>
          <w:szCs w:val="27"/>
        </w:rPr>
        <w:t>年至</w:t>
      </w:r>
      <w:r>
        <w:rPr>
          <w:szCs w:val="27"/>
        </w:rPr>
        <w:t>2018</w:t>
      </w:r>
      <w:r>
        <w:rPr>
          <w:szCs w:val="27"/>
        </w:rPr>
        <w:t>年，警方每年接獲的有關騙案分別有</w:t>
      </w:r>
      <w:r>
        <w:rPr>
          <w:szCs w:val="27"/>
        </w:rPr>
        <w:t>134</w:t>
      </w:r>
      <w:r>
        <w:rPr>
          <w:szCs w:val="27"/>
        </w:rPr>
        <w:t>宗、</w:t>
      </w:r>
      <w:r>
        <w:rPr>
          <w:szCs w:val="27"/>
        </w:rPr>
        <w:t>137</w:t>
      </w:r>
      <w:r>
        <w:rPr>
          <w:szCs w:val="27"/>
        </w:rPr>
        <w:t>宗及</w:t>
      </w:r>
      <w:r>
        <w:rPr>
          <w:szCs w:val="27"/>
        </w:rPr>
        <w:t>212</w:t>
      </w:r>
      <w:r>
        <w:rPr>
          <w:szCs w:val="27"/>
        </w:rPr>
        <w:t>宗。在這些投資騙案中，騙徒假借各種投資工具，聲稱投資為高回報、低風險以哄騙受害人。針對此類騙案，警方採取多個情報主導的打擊行動，包括於今年年初，警方拘捕</w:t>
      </w:r>
      <w:r>
        <w:rPr>
          <w:szCs w:val="27"/>
        </w:rPr>
        <w:t>3</w:t>
      </w:r>
      <w:r>
        <w:rPr>
          <w:szCs w:val="27"/>
        </w:rPr>
        <w:t>人，涉嫌詐騙超過</w:t>
      </w:r>
      <w:r>
        <w:rPr>
          <w:szCs w:val="27"/>
        </w:rPr>
        <w:t>20</w:t>
      </w:r>
      <w:r>
        <w:rPr>
          <w:szCs w:val="27"/>
        </w:rPr>
        <w:t>名受害人投資與虛擬資產相關的電腦設備及服務，涉案金額約</w:t>
      </w:r>
      <w:r>
        <w:rPr>
          <w:szCs w:val="27"/>
        </w:rPr>
        <w:t>370</w:t>
      </w:r>
      <w:r>
        <w:rPr>
          <w:szCs w:val="27"/>
        </w:rPr>
        <w:t>萬港元。</w:t>
      </w:r>
    </w:p>
    <w:p>
      <w:pPr>
        <w:pStyle w:val="Normal"/>
        <w:widowControl/>
        <w:tabs>
          <w:tab w:val="clear" w:pos="720"/>
        </w:tabs>
        <w:snapToGrid w:val="true"/>
        <w:spacing w:lineRule="auto" w:line="276" w:before="0" w:after="200"/>
        <w:jc w:val="left"/>
        <w:rPr>
          <w:rFonts w:cs="" w:cstheme="minorBidi"/>
          <w:spacing w:val="20"/>
          <w:sz w:val="27"/>
          <w:szCs w:val="27"/>
          <w:lang w:val="en-US"/>
        </w:rPr>
      </w:pPr>
      <w:r>
        <w:rPr>
          <w:rFonts w:cs="" w:cstheme="minorBidi"/>
          <w:spacing w:val="20"/>
          <w:sz w:val="27"/>
          <w:szCs w:val="27"/>
          <w:lang w:val="en-US"/>
        </w:rPr>
      </w:r>
      <w:r>
        <w:br w:type="page"/>
      </w:r>
    </w:p>
    <w:p>
      <w:pPr>
        <w:pStyle w:val="F21"/>
        <w:spacing w:lineRule="atLeast" w:line="350"/>
        <w:ind w:left="1418" w:hanging="851"/>
        <w:rPr>
          <w:szCs w:val="27"/>
        </w:rPr>
      </w:pPr>
      <w:r>
        <w:rPr>
          <w:szCs w:val="27"/>
        </w:rPr>
        <w:tab/>
      </w:r>
      <w:r>
        <w:rPr>
          <w:szCs w:val="27"/>
        </w:rPr>
        <w:t>至於證券及期貨事務監察委員會</w:t>
      </w:r>
      <w:r>
        <w:rPr>
          <w:szCs w:val="27"/>
        </w:rPr>
        <w:t>("</w:t>
      </w:r>
      <w:r>
        <w:rPr>
          <w:szCs w:val="27"/>
        </w:rPr>
        <w:t>證監會</w:t>
      </w:r>
      <w:r>
        <w:rPr>
          <w:szCs w:val="27"/>
        </w:rPr>
        <w:t>")</w:t>
      </w:r>
      <w:r>
        <w:rPr>
          <w:szCs w:val="27"/>
        </w:rPr>
        <w:t>方面，亦已經就涉及加密貨幣的活動所採取的監管行動發表新聞聲明。證監會於</w:t>
      </w:r>
      <w:r>
        <w:rPr>
          <w:szCs w:val="27"/>
        </w:rPr>
        <w:t>2018</w:t>
      </w:r>
      <w:r>
        <w:rPr>
          <w:szCs w:val="27"/>
        </w:rPr>
        <w:t>年</w:t>
      </w:r>
      <w:r>
        <w:rPr>
          <w:szCs w:val="27"/>
        </w:rPr>
        <w:t>2</w:t>
      </w:r>
      <w:r>
        <w:rPr>
          <w:szCs w:val="27"/>
        </w:rPr>
        <w:t>月發布新聞稿，指出已對</w:t>
      </w:r>
      <w:r>
        <w:rPr>
          <w:szCs w:val="27"/>
        </w:rPr>
        <w:t>7</w:t>
      </w:r>
      <w:r>
        <w:rPr>
          <w:szCs w:val="27"/>
        </w:rPr>
        <w:t>家加密貨幣交易所和</w:t>
      </w:r>
      <w:r>
        <w:rPr>
          <w:szCs w:val="27"/>
        </w:rPr>
        <w:t>7</w:t>
      </w:r>
      <w:r>
        <w:rPr>
          <w:szCs w:val="27"/>
        </w:rPr>
        <w:t>家首次代幣發行的發行人採取監管行動，以警告他們就在未領有牌照的情況下進行涉及屬於《證券及期貨條例》定義下的</w:t>
      </w:r>
      <w:r>
        <w:rPr>
          <w:szCs w:val="27"/>
        </w:rPr>
        <w:t>"</w:t>
      </w:r>
      <w:r>
        <w:rPr>
          <w:szCs w:val="27"/>
        </w:rPr>
        <w:t>證券</w:t>
      </w:r>
      <w:r>
        <w:rPr>
          <w:szCs w:val="27"/>
        </w:rPr>
        <w:t>"</w:t>
      </w:r>
      <w:r>
        <w:rPr>
          <w:szCs w:val="27"/>
        </w:rPr>
        <w:t>的加密貨幣的活動的後果。此外，證監會在</w:t>
      </w:r>
      <w:r>
        <w:rPr>
          <w:szCs w:val="27"/>
        </w:rPr>
        <w:t>2018</w:t>
      </w:r>
      <w:r>
        <w:rPr>
          <w:szCs w:val="27"/>
        </w:rPr>
        <w:t>年</w:t>
      </w:r>
      <w:r>
        <w:rPr>
          <w:szCs w:val="27"/>
        </w:rPr>
        <w:t>3</w:t>
      </w:r>
      <w:r>
        <w:rPr>
          <w:szCs w:val="27"/>
        </w:rPr>
        <w:t>月亦發布了另一份新聞稿，指出證監會因應關注到一家首次代幣發行的發行人可能曾進行未獲認可的推銷活動及無牌進行受規管活動而對其採取了監管行動，令其停止向香港公眾進行首次代幣發行。</w:t>
      </w:r>
    </w:p>
    <w:p>
      <w:pPr>
        <w:pStyle w:val="F21"/>
        <w:spacing w:lineRule="atLeast" w:line="350"/>
        <w:ind w:left="1418" w:hanging="851"/>
        <w:rPr>
          <w:szCs w:val="27"/>
        </w:rPr>
      </w:pPr>
      <w:r>
        <w:rPr>
          <w:szCs w:val="27"/>
        </w:rPr>
      </w:r>
    </w:p>
    <w:p>
      <w:pPr>
        <w:pStyle w:val="F21"/>
        <w:spacing w:lineRule="atLeast" w:line="350"/>
        <w:ind w:left="1418" w:hanging="851"/>
        <w:rPr>
          <w:szCs w:val="27"/>
        </w:rPr>
      </w:pPr>
      <w:r>
        <w:rPr>
          <w:szCs w:val="27"/>
        </w:rPr>
        <w:t>(</w:t>
      </w:r>
      <w:r>
        <w:rPr>
          <w:szCs w:val="27"/>
        </w:rPr>
        <w:t>二</w:t>
      </w:r>
      <w:r>
        <w:rPr>
          <w:szCs w:val="27"/>
        </w:rPr>
        <w:t>)</w:t>
        <w:tab/>
      </w:r>
      <w:r>
        <w:rPr>
          <w:szCs w:val="27"/>
        </w:rPr>
        <w:t>就銷售礦機或其他涉及虛擬資產的商品而言，如果商戶在營商過程中作出《商品說明條例》</w:t>
      </w:r>
      <w:r>
        <w:rPr>
          <w:szCs w:val="27"/>
        </w:rPr>
        <w:t>("</w:t>
      </w:r>
      <w:r>
        <w:rPr>
          <w:szCs w:val="27"/>
        </w:rPr>
        <w:t>《條例》</w:t>
      </w:r>
      <w:r>
        <w:rPr>
          <w:szCs w:val="27"/>
        </w:rPr>
        <w:t>")</w:t>
      </w:r>
      <w:r>
        <w:rPr>
          <w:szCs w:val="27"/>
        </w:rPr>
        <w:t>禁止的不良營商手法，包括</w:t>
      </w:r>
      <w:r>
        <w:rPr>
          <w:szCs w:val="27"/>
        </w:rPr>
        <w:t>"</w:t>
      </w:r>
      <w:r>
        <w:rPr>
          <w:szCs w:val="27"/>
        </w:rPr>
        <w:t>虛假商品說明</w:t>
      </w:r>
      <w:r>
        <w:rPr>
          <w:szCs w:val="27"/>
        </w:rPr>
        <w:t>"</w:t>
      </w:r>
      <w:r>
        <w:rPr>
          <w:szCs w:val="27"/>
        </w:rPr>
        <w:t>、</w:t>
      </w:r>
      <w:r>
        <w:rPr>
          <w:szCs w:val="27"/>
        </w:rPr>
        <w:t>"</w:t>
      </w:r>
      <w:r>
        <w:rPr>
          <w:szCs w:val="27"/>
        </w:rPr>
        <w:t>誤導性遺漏</w:t>
      </w:r>
      <w:r>
        <w:rPr>
          <w:szCs w:val="27"/>
        </w:rPr>
        <w:t>"</w:t>
      </w:r>
      <w:r>
        <w:rPr>
          <w:szCs w:val="27"/>
        </w:rPr>
        <w:t>、</w:t>
      </w:r>
      <w:r>
        <w:rPr>
          <w:szCs w:val="27"/>
        </w:rPr>
        <w:t>"</w:t>
      </w:r>
      <w:r>
        <w:rPr>
          <w:szCs w:val="27"/>
        </w:rPr>
        <w:t>具威嚇性的營業行為</w:t>
      </w:r>
      <w:r>
        <w:rPr>
          <w:szCs w:val="27"/>
        </w:rPr>
        <w:t>"</w:t>
      </w:r>
      <w:r>
        <w:rPr>
          <w:szCs w:val="27"/>
        </w:rPr>
        <w:t>、</w:t>
      </w:r>
      <w:r>
        <w:rPr>
          <w:szCs w:val="27"/>
        </w:rPr>
        <w:t>"</w:t>
      </w:r>
      <w:r>
        <w:rPr>
          <w:szCs w:val="27"/>
        </w:rPr>
        <w:t>餌誘式廣告宣傳</w:t>
      </w:r>
      <w:r>
        <w:rPr>
          <w:szCs w:val="27"/>
        </w:rPr>
        <w:t>"</w:t>
      </w:r>
      <w:r>
        <w:rPr>
          <w:szCs w:val="27"/>
        </w:rPr>
        <w:t>、</w:t>
      </w:r>
      <w:r>
        <w:rPr>
          <w:szCs w:val="27"/>
        </w:rPr>
        <w:t>"</w:t>
      </w:r>
      <w:r>
        <w:rPr>
          <w:szCs w:val="27"/>
        </w:rPr>
        <w:t>先誘後轉銷售行為</w:t>
      </w:r>
      <w:r>
        <w:rPr>
          <w:szCs w:val="27"/>
        </w:rPr>
        <w:t>"</w:t>
      </w:r>
      <w:r>
        <w:rPr>
          <w:szCs w:val="27"/>
        </w:rPr>
        <w:t>及</w:t>
      </w:r>
      <w:r>
        <w:rPr>
          <w:szCs w:val="27"/>
        </w:rPr>
        <w:t>"</w:t>
      </w:r>
      <w:r>
        <w:rPr>
          <w:szCs w:val="27"/>
        </w:rPr>
        <w:t>不當地接受付款</w:t>
      </w:r>
      <w:r>
        <w:rPr>
          <w:szCs w:val="27"/>
        </w:rPr>
        <w:t>"</w:t>
      </w:r>
      <w:r>
        <w:rPr>
          <w:szCs w:val="27"/>
        </w:rPr>
        <w:t>，即屬違法，一經定罪，最高可被判罰款</w:t>
      </w:r>
      <w:r>
        <w:rPr>
          <w:szCs w:val="27"/>
        </w:rPr>
        <w:t>50</w:t>
      </w:r>
      <w:r>
        <w:rPr>
          <w:szCs w:val="27"/>
        </w:rPr>
        <w:t>萬元及監禁</w:t>
      </w:r>
      <w:r>
        <w:rPr>
          <w:szCs w:val="27"/>
        </w:rPr>
        <w:t>5</w:t>
      </w:r>
      <w:r>
        <w:rPr>
          <w:szCs w:val="27"/>
        </w:rPr>
        <w:t>年。</w:t>
      </w:r>
    </w:p>
    <w:p>
      <w:pPr>
        <w:pStyle w:val="F21"/>
        <w:spacing w:lineRule="atLeast" w:line="350"/>
        <w:ind w:left="1418" w:hanging="851"/>
        <w:rPr>
          <w:szCs w:val="27"/>
        </w:rPr>
      </w:pPr>
      <w:r>
        <w:rPr>
          <w:szCs w:val="27"/>
        </w:rPr>
      </w:r>
    </w:p>
    <w:p>
      <w:pPr>
        <w:pStyle w:val="F21"/>
        <w:spacing w:lineRule="atLeast" w:line="350"/>
        <w:ind w:left="1418" w:hanging="851"/>
        <w:rPr>
          <w:szCs w:val="27"/>
        </w:rPr>
      </w:pPr>
      <w:r>
        <w:rPr>
          <w:szCs w:val="27"/>
        </w:rPr>
        <w:tab/>
      </w:r>
      <w:r>
        <w:rPr>
          <w:szCs w:val="27"/>
        </w:rPr>
        <w:t>海關一直致力打擊違反《條例》的不良營商手法，並密切注視及監察市面有關情況。如有違反《條例》的情況，會立即採取適當行動，以保障消費者權益。</w:t>
      </w:r>
    </w:p>
    <w:p>
      <w:pPr>
        <w:pStyle w:val="F21"/>
        <w:spacing w:lineRule="atLeast" w:line="350"/>
        <w:ind w:left="1418" w:hanging="851"/>
        <w:rPr>
          <w:szCs w:val="27"/>
        </w:rPr>
      </w:pPr>
      <w:r>
        <w:rPr>
          <w:szCs w:val="27"/>
        </w:rPr>
      </w:r>
    </w:p>
    <w:p>
      <w:pPr>
        <w:pStyle w:val="F21"/>
        <w:spacing w:lineRule="atLeast" w:line="350"/>
        <w:ind w:left="1418" w:hanging="851"/>
        <w:rPr>
          <w:szCs w:val="27"/>
        </w:rPr>
      </w:pPr>
      <w:r>
        <w:rPr>
          <w:szCs w:val="27"/>
        </w:rPr>
        <w:t>(</w:t>
      </w:r>
      <w:r>
        <w:rPr>
          <w:szCs w:val="27"/>
        </w:rPr>
        <w:t>三</w:t>
      </w:r>
      <w:r>
        <w:rPr>
          <w:szCs w:val="27"/>
        </w:rPr>
        <w:t>)</w:t>
      </w:r>
      <w:r>
        <w:rPr>
          <w:szCs w:val="27"/>
        </w:rPr>
        <w:t>至</w:t>
      </w:r>
      <w:r>
        <w:rPr>
          <w:szCs w:val="27"/>
        </w:rPr>
        <w:t>(</w:t>
      </w:r>
      <w:r>
        <w:rPr>
          <w:szCs w:val="27"/>
        </w:rPr>
        <w:t>五</w:t>
      </w:r>
      <w:r>
        <w:rPr>
          <w:szCs w:val="27"/>
        </w:rPr>
        <w:t>)</w:t>
      </w:r>
    </w:p>
    <w:p>
      <w:pPr>
        <w:pStyle w:val="F21"/>
        <w:spacing w:lineRule="atLeast" w:line="350"/>
        <w:ind w:left="1418" w:hanging="851"/>
        <w:rPr>
          <w:szCs w:val="27"/>
        </w:rPr>
      </w:pPr>
      <w:r>
        <w:rPr>
          <w:szCs w:val="27"/>
        </w:rPr>
      </w:r>
    </w:p>
    <w:p>
      <w:pPr>
        <w:pStyle w:val="F21"/>
        <w:spacing w:lineRule="atLeast" w:line="350"/>
        <w:ind w:left="1418" w:hanging="851"/>
        <w:rPr>
          <w:szCs w:val="27"/>
        </w:rPr>
      </w:pPr>
      <w:r>
        <w:rPr>
          <w:szCs w:val="27"/>
        </w:rPr>
        <w:tab/>
      </w:r>
      <w:r>
        <w:rPr>
          <w:szCs w:val="27"/>
        </w:rPr>
        <w:t>根據《稅務條例》的規定，任何人士在香港經營行業、專業或業務，而從中獲得於香港產生或得自香港的應評稅利潤，除由出售資本資產所得的利潤，均須繳納利得稅。至於某項利潤或收益是否須課繳利得稅，稅務局須考慮個案的個別事實和情況。《稅務條例》有關利得稅的條文和法院所訂立的相關案例，同樣適用於涉及虛擬資產的交易活動。</w:t>
      </w:r>
    </w:p>
    <w:p>
      <w:pPr>
        <w:pStyle w:val="F21"/>
        <w:spacing w:lineRule="atLeast" w:line="350"/>
        <w:ind w:left="1418" w:hanging="851"/>
        <w:rPr>
          <w:szCs w:val="27"/>
        </w:rPr>
      </w:pPr>
      <w:r>
        <w:rPr>
          <w:szCs w:val="27"/>
        </w:rPr>
      </w:r>
    </w:p>
    <w:p>
      <w:pPr>
        <w:pStyle w:val="F21"/>
        <w:spacing w:lineRule="atLeast" w:line="350"/>
        <w:ind w:left="1418" w:hanging="851"/>
        <w:rPr>
          <w:szCs w:val="27"/>
        </w:rPr>
      </w:pPr>
      <w:r>
        <w:rPr>
          <w:szCs w:val="27"/>
        </w:rPr>
        <w:tab/>
      </w:r>
      <w:r>
        <w:rPr>
          <w:szCs w:val="27"/>
        </w:rPr>
        <w:t>稅務局致力維護本港稅制穩健，一直從不同渠道收集資料，並配合資訊科技，根據風險評估，對個案作出適當的審核及深入調查。如果有需要，稅務局亦會透過稅務協定的資料交換機制，向外地稅務當局獲取相關資料，從而提升偵查避稅及逃稅的能力。稅務局並沒有就從事虛擬資產相關活動的人士應繳納的稅款和有關調查資料另作統計。</w:t>
      </w:r>
    </w:p>
    <w:p>
      <w:pPr>
        <w:pStyle w:val="Normal"/>
        <w:widowControl/>
        <w:tabs>
          <w:tab w:val="clear" w:pos="720"/>
        </w:tabs>
        <w:snapToGrid w:val="true"/>
        <w:spacing w:lineRule="auto" w:line="276" w:before="0" w:after="200"/>
        <w:jc w:val="left"/>
        <w:rPr>
          <w:rFonts w:cs="" w:cstheme="minorBidi"/>
          <w:spacing w:val="20"/>
          <w:sz w:val="27"/>
          <w:szCs w:val="27"/>
          <w:lang w:val="en-US"/>
        </w:rPr>
      </w:pPr>
      <w:r>
        <w:rPr>
          <w:rFonts w:cs="" w:cstheme="minorBidi"/>
          <w:spacing w:val="20"/>
          <w:sz w:val="27"/>
          <w:szCs w:val="27"/>
          <w:lang w:val="en-US"/>
        </w:rPr>
      </w:r>
      <w:r>
        <w:br w:type="page"/>
      </w:r>
    </w:p>
    <w:p>
      <w:pPr>
        <w:pStyle w:val="F21"/>
        <w:ind w:left="1418" w:hanging="851"/>
        <w:rPr>
          <w:szCs w:val="27"/>
        </w:rPr>
      </w:pPr>
      <w:r>
        <w:rPr>
          <w:szCs w:val="27"/>
        </w:rPr>
        <w:t>(</w:t>
      </w:r>
      <w:r>
        <w:rPr>
          <w:szCs w:val="27"/>
        </w:rPr>
        <w:t>六</w:t>
      </w:r>
      <w:r>
        <w:rPr>
          <w:szCs w:val="27"/>
        </w:rPr>
        <w:t>)</w:t>
        <w:tab/>
      </w:r>
      <w:r>
        <w:rPr>
          <w:szCs w:val="27"/>
        </w:rPr>
        <w:t>由於虛擬資產交易的發展不斷迅速演化，本局及證監會一直密切關注國際監管發展，以期探索是否適宜就虛擬資產交易平台作出規管。就此，證監會於</w:t>
      </w:r>
      <w:r>
        <w:rPr>
          <w:szCs w:val="27"/>
        </w:rPr>
        <w:t>2018</w:t>
      </w:r>
      <w:r>
        <w:rPr>
          <w:szCs w:val="27"/>
        </w:rPr>
        <w:t>年</w:t>
      </w:r>
      <w:r>
        <w:rPr>
          <w:szCs w:val="27"/>
        </w:rPr>
        <w:t>11</w:t>
      </w:r>
      <w:r>
        <w:rPr>
          <w:szCs w:val="27"/>
        </w:rPr>
        <w:t>月公布擬以探索性質，在規管沙盒的環境下研究是否適宜根據現有的權力就虛擬資產交易平台訂立發牌制度及作出規管，並會在探索階段後就是否，以及如何規管虛擬資產交易平台的未來路向作出適當的考慮。證監會現正與一些虛擬資產平台營運者溝通，以進一步了解其運作，及後方可決定虛擬資產交易平台是否應在《證券及期貨條例》下監管。</w:t>
      </w:r>
    </w:p>
    <w:p>
      <w:pPr>
        <w:pStyle w:val="F21"/>
        <w:ind w:left="1418" w:hanging="851"/>
        <w:rPr>
          <w:szCs w:val="27"/>
        </w:rPr>
      </w:pPr>
      <w:r>
        <w:rPr>
          <w:szCs w:val="27"/>
        </w:rPr>
      </w:r>
    </w:p>
    <w:p>
      <w:pPr>
        <w:pStyle w:val="F21"/>
        <w:ind w:left="1418" w:hanging="851"/>
        <w:rPr>
          <w:szCs w:val="27"/>
        </w:rPr>
      </w:pPr>
      <w:r>
        <w:rPr>
          <w:szCs w:val="27"/>
        </w:rPr>
        <w:tab/>
      </w:r>
      <w:r>
        <w:rPr>
          <w:szCs w:val="27"/>
        </w:rPr>
        <w:t>本局及金融監管機構會繼續密切留意虛擬資產活動在香港和全球的發展情況。證監會亦會繼續審視現有措施，務求適當地考慮會否制訂更有效的監管方式。我們會透過積極參與相關國際組織的會議，例如國際證券事務監察委員會組織及金融穩定委員會，與各地的監管機構保持溝通，以確保能適時制訂合適的制度，以應對虛擬資產交易而衍生的潛在風險。</w:t>
      </w:r>
    </w:p>
    <w:p>
      <w:pPr>
        <w:pStyle w:val="F21"/>
        <w:rPr>
          <w:szCs w:val="27"/>
        </w:rPr>
      </w:pPr>
      <w:r>
        <w:rPr>
          <w:szCs w:val="27"/>
        </w:rPr>
      </w:r>
    </w:p>
    <w:p>
      <w:pPr>
        <w:pStyle w:val="F21"/>
        <w:overflowPunct w:val="true"/>
        <w:rPr>
          <w:rFonts w:cs="Times New Roman"/>
        </w:rPr>
      </w:pPr>
      <w:r>
        <w:rPr>
          <w:rFonts w:cs="Times New Roman"/>
        </w:rPr>
      </w:r>
    </w:p>
    <w:p>
      <w:pPr>
        <w:pStyle w:val="F21"/>
        <w:overflowPunct w:val="true"/>
        <w:rPr>
          <w:rFonts w:eastAsia="華康中黑體" w:cs="Times New Roman"/>
          <w:b/>
          <w:b/>
        </w:rPr>
      </w:pPr>
      <w:bookmarkStart w:id="55" w:name="wrq21"/>
      <w:r>
        <w:rPr>
          <w:rFonts w:cs="Times New Roman" w:eastAsia="華康中黑體"/>
          <w:b/>
        </w:rPr>
        <w:t>聲請人的處理</w:t>
      </w:r>
    </w:p>
    <w:p>
      <w:pPr>
        <w:pStyle w:val="Normal"/>
        <w:overflowPunct w:val="true"/>
        <w:rPr>
          <w:b/>
          <w:b/>
        </w:rPr>
      </w:pPr>
      <w:bookmarkStart w:id="56" w:name="wrq21"/>
      <w:r>
        <w:rPr>
          <w:b/>
        </w:rPr>
        <w:t>Handling of claimants</w:t>
      </w:r>
      <w:bookmarkEnd w:id="56"/>
    </w:p>
    <w:p>
      <w:pPr>
        <w:pStyle w:val="F21"/>
        <w:overflowPunct w:val="true"/>
        <w:rPr>
          <w:rFonts w:cs="Times New Roman"/>
        </w:rPr>
      </w:pPr>
      <w:r>
        <w:rPr>
          <w:rFonts w:cs="Times New Roman"/>
        </w:rPr>
      </w:r>
    </w:p>
    <w:p>
      <w:pPr>
        <w:pStyle w:val="F21"/>
        <w:rPr>
          <w:i/>
          <w:i/>
          <w:szCs w:val="27"/>
        </w:rPr>
      </w:pPr>
      <w:r>
        <w:rPr>
          <w:rFonts w:eastAsia="華康中黑體" w:cs="Times New Roman"/>
          <w:b/>
          <w:szCs w:val="27"/>
        </w:rPr>
        <w:t>21.</w:t>
        <w:tab/>
      </w:r>
      <w:r>
        <w:rPr>
          <w:rFonts w:cs="Times New Roman" w:eastAsia="華康中黑體"/>
          <w:b/>
          <w:szCs w:val="27"/>
        </w:rPr>
        <w:t>吳永嘉議員</w:t>
      </w:r>
      <w:r>
        <w:rPr>
          <w:szCs w:val="27"/>
        </w:rPr>
        <w:t>：</w:t>
      </w:r>
      <w:r>
        <w:rPr>
          <w:i/>
          <w:szCs w:val="27"/>
        </w:rPr>
        <w:t>主席，據悉，近年有大量非法入境者抵港後隨即根據《禁止酷刑和其他殘忍、不人道或有辱人格的待遇或處罰公約》提出酷刑聲請或免遣返聲請</w:t>
      </w:r>
      <w:r>
        <w:rPr>
          <w:i/>
          <w:szCs w:val="27"/>
        </w:rPr>
        <w:t>(</w:t>
      </w:r>
      <w:r>
        <w:rPr>
          <w:i/>
          <w:szCs w:val="27"/>
        </w:rPr>
        <w:t>統稱</w:t>
      </w:r>
      <w:r>
        <w:rPr>
          <w:rFonts w:cs="Times New Roman"/>
          <w:i/>
          <w:szCs w:val="27"/>
        </w:rPr>
        <w:t>"</w:t>
      </w:r>
      <w:r>
        <w:rPr>
          <w:i/>
          <w:szCs w:val="27"/>
        </w:rPr>
        <w:t>聲請</w:t>
      </w:r>
      <w:r>
        <w:rPr>
          <w:rFonts w:cs="Times New Roman"/>
          <w:i/>
          <w:szCs w:val="27"/>
        </w:rPr>
        <w:t>"</w:t>
      </w:r>
      <w:r>
        <w:rPr>
          <w:i/>
          <w:szCs w:val="27"/>
        </w:rPr>
        <w:t>)</w:t>
      </w:r>
      <w:r>
        <w:rPr>
          <w:i/>
          <w:szCs w:val="27"/>
        </w:rPr>
        <w:t>。就此，政府可否告知本會：</w:t>
      </w:r>
    </w:p>
    <w:p>
      <w:pPr>
        <w:pStyle w:val="F21"/>
        <w:rPr>
          <w:i/>
          <w:i/>
          <w:szCs w:val="27"/>
        </w:rPr>
      </w:pPr>
      <w:r>
        <w:rPr>
          <w:i/>
          <w:szCs w:val="27"/>
        </w:rPr>
      </w:r>
    </w:p>
    <w:p>
      <w:pPr>
        <w:pStyle w:val="F21"/>
        <w:ind w:left="1418" w:hanging="851"/>
        <w:rPr>
          <w:i/>
          <w:i/>
          <w:szCs w:val="27"/>
        </w:rPr>
      </w:pPr>
      <w:r>
        <w:rPr>
          <w:i/>
          <w:szCs w:val="27"/>
        </w:rPr>
        <w:t>(</w:t>
      </w:r>
      <w:r>
        <w:rPr>
          <w:i/>
          <w:szCs w:val="27"/>
        </w:rPr>
        <w:t>一</w:t>
      </w:r>
      <w:r>
        <w:rPr>
          <w:i/>
          <w:szCs w:val="27"/>
        </w:rPr>
        <w:t>)</w:t>
        <w:tab/>
      </w:r>
      <w:r>
        <w:rPr>
          <w:i/>
          <w:szCs w:val="27"/>
        </w:rPr>
        <w:t>過去</w:t>
      </w:r>
      <w:r>
        <w:rPr>
          <w:i/>
          <w:szCs w:val="27"/>
        </w:rPr>
        <w:t>5</w:t>
      </w:r>
      <w:r>
        <w:rPr>
          <w:i/>
          <w:szCs w:val="27"/>
        </w:rPr>
        <w:t>年，</w:t>
      </w:r>
      <w:r>
        <w:rPr>
          <w:i/>
          <w:szCs w:val="27"/>
        </w:rPr>
        <w:t>(i)</w:t>
      </w:r>
      <w:r>
        <w:rPr>
          <w:i/>
          <w:szCs w:val="27"/>
        </w:rPr>
        <w:t>每年聲請被拒的人士被遣送離港的數目及</w:t>
      </w:r>
      <w:r>
        <w:rPr>
          <w:i/>
          <w:szCs w:val="27"/>
        </w:rPr>
        <w:t>(ii)‍</w:t>
      </w:r>
      <w:r>
        <w:rPr>
          <w:i/>
          <w:szCs w:val="27"/>
        </w:rPr>
        <w:t>該等人士主要來自哪</w:t>
      </w:r>
      <w:r>
        <w:rPr>
          <w:i/>
          <w:szCs w:val="27"/>
        </w:rPr>
        <w:t>5</w:t>
      </w:r>
      <w:r>
        <w:rPr>
          <w:i/>
          <w:szCs w:val="27"/>
        </w:rPr>
        <w:t>個國家，以及來自每個該等國家的人數及其佔聲請人總數的百分比</w:t>
      </w:r>
      <w:r>
        <w:rPr>
          <w:i/>
          <w:szCs w:val="27"/>
        </w:rPr>
        <w:t>(</w:t>
      </w:r>
      <w:r>
        <w:rPr>
          <w:i/>
          <w:szCs w:val="27"/>
        </w:rPr>
        <w:t>以表列出</w:t>
      </w:r>
      <w:r>
        <w:rPr>
          <w:i/>
          <w:szCs w:val="27"/>
        </w:rPr>
        <w:t>)</w:t>
      </w:r>
      <w:r>
        <w:rPr>
          <w:i/>
          <w:szCs w:val="27"/>
        </w:rPr>
        <w:t>；</w:t>
      </w:r>
    </w:p>
    <w:p>
      <w:pPr>
        <w:pStyle w:val="F21"/>
        <w:ind w:left="1418" w:hanging="851"/>
        <w:rPr>
          <w:i/>
          <w:i/>
          <w:szCs w:val="27"/>
        </w:rPr>
      </w:pPr>
      <w:r>
        <w:rPr>
          <w:i/>
          <w:szCs w:val="27"/>
        </w:rPr>
      </w:r>
    </w:p>
    <w:p>
      <w:pPr>
        <w:pStyle w:val="F21"/>
        <w:ind w:left="1418" w:hanging="851"/>
        <w:rPr>
          <w:i/>
          <w:i/>
          <w:szCs w:val="27"/>
        </w:rPr>
      </w:pPr>
      <w:r>
        <w:rPr>
          <w:i/>
          <w:szCs w:val="27"/>
        </w:rPr>
        <w:t>(</w:t>
      </w:r>
      <w:r>
        <w:rPr>
          <w:i/>
          <w:szCs w:val="27"/>
        </w:rPr>
        <w:t>二</w:t>
      </w:r>
      <w:r>
        <w:rPr>
          <w:i/>
          <w:szCs w:val="27"/>
        </w:rPr>
        <w:t>)</w:t>
        <w:tab/>
      </w:r>
      <w:r>
        <w:rPr>
          <w:i/>
          <w:szCs w:val="27"/>
        </w:rPr>
        <w:t>鑒於現時絕大部分聲請人以擔保外釋代替被羈留，而擔保外釋的非華裔人士</w:t>
      </w:r>
      <w:r>
        <w:rPr>
          <w:i/>
          <w:szCs w:val="27"/>
        </w:rPr>
        <w:t>(</w:t>
      </w:r>
      <w:r>
        <w:rPr>
          <w:i/>
          <w:szCs w:val="27"/>
        </w:rPr>
        <w:t>絕大部分為免遣返聲請人</w:t>
      </w:r>
      <w:r>
        <w:rPr>
          <w:i/>
          <w:szCs w:val="27"/>
        </w:rPr>
        <w:t>)</w:t>
      </w:r>
      <w:r>
        <w:rPr>
          <w:i/>
          <w:szCs w:val="27"/>
        </w:rPr>
        <w:t>因干犯刑事罪行而被拘捕的數字由</w:t>
      </w:r>
      <w:r>
        <w:rPr>
          <w:i/>
          <w:szCs w:val="27"/>
        </w:rPr>
        <w:t>2015</w:t>
      </w:r>
      <w:r>
        <w:rPr>
          <w:i/>
          <w:szCs w:val="27"/>
        </w:rPr>
        <w:t>年的</w:t>
      </w:r>
      <w:r>
        <w:rPr>
          <w:i/>
          <w:szCs w:val="27"/>
        </w:rPr>
        <w:t>1 113</w:t>
      </w:r>
      <w:r>
        <w:rPr>
          <w:i/>
          <w:szCs w:val="27"/>
        </w:rPr>
        <w:t>人次上升至</w:t>
      </w:r>
      <w:r>
        <w:rPr>
          <w:i/>
          <w:szCs w:val="27"/>
        </w:rPr>
        <w:t>2017</w:t>
      </w:r>
      <w:r>
        <w:rPr>
          <w:i/>
          <w:szCs w:val="27"/>
        </w:rPr>
        <w:t>年的</w:t>
      </w:r>
      <w:r>
        <w:rPr>
          <w:i/>
          <w:szCs w:val="27"/>
        </w:rPr>
        <w:t>1 542</w:t>
      </w:r>
      <w:r>
        <w:rPr>
          <w:i/>
          <w:szCs w:val="27"/>
        </w:rPr>
        <w:t>人次，增幅約四成，政府去年有否就打擊有關罪行採取針對性措施；若有，詳情為何；若否，原因為何；</w:t>
      </w:r>
    </w:p>
    <w:p>
      <w:pPr>
        <w:pStyle w:val="F21"/>
        <w:ind w:left="1418" w:hanging="851"/>
        <w:rPr>
          <w:i/>
          <w:i/>
          <w:szCs w:val="27"/>
        </w:rPr>
      </w:pPr>
      <w:r>
        <w:rPr>
          <w:i/>
          <w:szCs w:val="27"/>
        </w:rPr>
      </w:r>
    </w:p>
    <w:p>
      <w:pPr>
        <w:pStyle w:val="F21"/>
        <w:ind w:left="1418" w:hanging="851"/>
        <w:rPr>
          <w:i/>
          <w:i/>
          <w:szCs w:val="27"/>
        </w:rPr>
      </w:pPr>
      <w:r>
        <w:rPr>
          <w:i/>
          <w:szCs w:val="27"/>
        </w:rPr>
        <w:t>(</w:t>
      </w:r>
      <w:r>
        <w:rPr>
          <w:i/>
          <w:szCs w:val="27"/>
        </w:rPr>
        <w:t>三</w:t>
      </w:r>
      <w:r>
        <w:rPr>
          <w:i/>
          <w:szCs w:val="27"/>
        </w:rPr>
        <w:t>)</w:t>
        <w:tab/>
      </w:r>
      <w:r>
        <w:rPr>
          <w:i/>
          <w:szCs w:val="27"/>
        </w:rPr>
        <w:t>鑒於政府建議修訂《入境條例》</w:t>
      </w:r>
      <w:r>
        <w:rPr>
          <w:i/>
          <w:szCs w:val="27"/>
        </w:rPr>
        <w:t>(</w:t>
      </w:r>
      <w:r>
        <w:rPr>
          <w:i/>
          <w:szCs w:val="27"/>
        </w:rPr>
        <w:t>第</w:t>
      </w:r>
      <w:r>
        <w:rPr>
          <w:i/>
          <w:szCs w:val="27"/>
        </w:rPr>
        <w:t>115</w:t>
      </w:r>
      <w:r>
        <w:rPr>
          <w:i/>
          <w:szCs w:val="27"/>
        </w:rPr>
        <w:t>章</w:t>
      </w:r>
      <w:r>
        <w:rPr>
          <w:i/>
          <w:szCs w:val="27"/>
        </w:rPr>
        <w:t>)</w:t>
      </w:r>
      <w:r>
        <w:rPr>
          <w:i/>
          <w:szCs w:val="27"/>
        </w:rPr>
        <w:t>，把聲請人提交聲請表格的法定時限，由</w:t>
      </w:r>
      <w:r>
        <w:rPr>
          <w:i/>
          <w:szCs w:val="27"/>
        </w:rPr>
        <w:t>28</w:t>
      </w:r>
      <w:r>
        <w:rPr>
          <w:i/>
          <w:szCs w:val="27"/>
        </w:rPr>
        <w:t>天減至</w:t>
      </w:r>
      <w:r>
        <w:rPr>
          <w:i/>
          <w:szCs w:val="27"/>
        </w:rPr>
        <w:t>14</w:t>
      </w:r>
      <w:r>
        <w:rPr>
          <w:i/>
          <w:szCs w:val="27"/>
        </w:rPr>
        <w:t>天，並取消現時以行政措施提供的額外</w:t>
      </w:r>
      <w:r>
        <w:rPr>
          <w:i/>
          <w:szCs w:val="27"/>
        </w:rPr>
        <w:t>21</w:t>
      </w:r>
      <w:r>
        <w:rPr>
          <w:i/>
          <w:szCs w:val="27"/>
        </w:rPr>
        <w:t>天的時間，有否研究有關修訂實施後，平均每宗聲請的處理時間可縮短多少；及</w:t>
      </w:r>
    </w:p>
    <w:p>
      <w:pPr>
        <w:pStyle w:val="F21"/>
        <w:ind w:left="1418" w:hanging="851"/>
        <w:rPr>
          <w:i/>
          <w:i/>
          <w:szCs w:val="27"/>
        </w:rPr>
      </w:pPr>
      <w:r>
        <w:rPr>
          <w:i/>
          <w:szCs w:val="27"/>
        </w:rPr>
      </w:r>
    </w:p>
    <w:p>
      <w:pPr>
        <w:pStyle w:val="F21"/>
        <w:ind w:left="1418" w:hanging="851"/>
        <w:rPr>
          <w:i/>
          <w:i/>
          <w:szCs w:val="27"/>
        </w:rPr>
      </w:pPr>
      <w:r>
        <w:rPr>
          <w:i/>
          <w:szCs w:val="27"/>
        </w:rPr>
        <w:t>(</w:t>
      </w:r>
      <w:r>
        <w:rPr>
          <w:i/>
          <w:szCs w:val="27"/>
        </w:rPr>
        <w:t>四</w:t>
      </w:r>
      <w:r>
        <w:rPr>
          <w:i/>
          <w:szCs w:val="27"/>
        </w:rPr>
        <w:t>)</w:t>
        <w:tab/>
      </w:r>
      <w:r>
        <w:rPr>
          <w:i/>
          <w:szCs w:val="27"/>
        </w:rPr>
        <w:t>會否重新考慮設立聲請人收容中心或禁閉營；若會，詳情為何；若否，原因為何？</w:t>
      </w:r>
    </w:p>
    <w:p>
      <w:pPr>
        <w:pStyle w:val="F21"/>
        <w:rPr>
          <w:szCs w:val="27"/>
        </w:rPr>
      </w:pPr>
      <w:r>
        <w:rPr>
          <w:szCs w:val="27"/>
        </w:rPr>
      </w:r>
    </w:p>
    <w:p>
      <w:pPr>
        <w:pStyle w:val="F21"/>
        <w:rPr>
          <w:szCs w:val="27"/>
        </w:rPr>
      </w:pPr>
      <w:r>
        <w:rPr>
          <w:szCs w:val="27"/>
        </w:rPr>
      </w:r>
    </w:p>
    <w:p>
      <w:pPr>
        <w:pStyle w:val="F21"/>
        <w:rPr>
          <w:szCs w:val="27"/>
        </w:rPr>
      </w:pPr>
      <w:r>
        <w:rPr>
          <w:rFonts w:ascii="華康中黑體" w:hAnsi="華康中黑體" w:eastAsia="華康中黑體"/>
          <w:b/>
          <w:szCs w:val="27"/>
        </w:rPr>
        <w:t>保安局局長</w:t>
      </w:r>
      <w:r>
        <w:rPr>
          <w:szCs w:val="27"/>
        </w:rPr>
        <w:t>：主席，政府一直非常關注免遣返聲請者所帶來的問題。就此，我們自</w:t>
      </w:r>
      <w:r>
        <w:rPr>
          <w:szCs w:val="27"/>
        </w:rPr>
        <w:t>2016</w:t>
      </w:r>
      <w:r>
        <w:rPr>
          <w:szCs w:val="27"/>
        </w:rPr>
        <w:t>年就處理免遣返聲請的策略展開全面檢討，已先後落實多項措施，包括盡量防止聲請人抵港、加快就積壓的聲請展開審核程序、縮短審核每宗聲請所需的時間、增加酷刑聲請上訴委員會</w:t>
      </w:r>
      <w:r>
        <w:rPr>
          <w:szCs w:val="27"/>
        </w:rPr>
        <w:t>("</w:t>
      </w:r>
      <w:r>
        <w:rPr>
          <w:szCs w:val="27"/>
        </w:rPr>
        <w:t>上訴委員會</w:t>
      </w:r>
      <w:r>
        <w:rPr>
          <w:szCs w:val="27"/>
        </w:rPr>
        <w:t>")</w:t>
      </w:r>
      <w:r>
        <w:rPr>
          <w:szCs w:val="27"/>
        </w:rPr>
        <w:t>的委員人數和秘書處人手，以及加快將聲請被拒者遣送離港，並加強針對非法工作等罪行的執法行動。</w:t>
      </w:r>
    </w:p>
    <w:p>
      <w:pPr>
        <w:pStyle w:val="F21"/>
        <w:rPr>
          <w:szCs w:val="27"/>
        </w:rPr>
      </w:pPr>
      <w:r>
        <w:rPr>
          <w:szCs w:val="27"/>
        </w:rPr>
      </w:r>
    </w:p>
    <w:p>
      <w:pPr>
        <w:pStyle w:val="F21"/>
        <w:rPr>
          <w:szCs w:val="27"/>
        </w:rPr>
      </w:pPr>
      <w:r>
        <w:rPr>
          <w:szCs w:val="27"/>
        </w:rPr>
        <w:tab/>
      </w:r>
      <w:r>
        <w:rPr>
          <w:szCs w:val="27"/>
        </w:rPr>
        <w:t>政府亦會修訂《入境條例》，以改善審核程序，堵塞現有漏洞，避免聲請數字和處理時間回升，並加強入境事務處</w:t>
      </w:r>
      <w:r>
        <w:rPr>
          <w:szCs w:val="27"/>
        </w:rPr>
        <w:t>("</w:t>
      </w:r>
      <w:r>
        <w:rPr>
          <w:szCs w:val="27"/>
        </w:rPr>
        <w:t>入境處</w:t>
      </w:r>
      <w:r>
        <w:rPr>
          <w:szCs w:val="27"/>
        </w:rPr>
        <w:t>")</w:t>
      </w:r>
      <w:r>
        <w:rPr>
          <w:szCs w:val="27"/>
        </w:rPr>
        <w:t>執法、遣送及羈留的權力。政府已於</w:t>
      </w:r>
      <w:r>
        <w:rPr>
          <w:szCs w:val="27"/>
        </w:rPr>
        <w:t>2018</w:t>
      </w:r>
      <w:r>
        <w:rPr>
          <w:szCs w:val="27"/>
        </w:rPr>
        <w:t>年</w:t>
      </w:r>
      <w:r>
        <w:rPr>
          <w:szCs w:val="27"/>
        </w:rPr>
        <w:t>7</w:t>
      </w:r>
      <w:r>
        <w:rPr>
          <w:szCs w:val="27"/>
        </w:rPr>
        <w:t>月及</w:t>
      </w:r>
      <w:r>
        <w:rPr>
          <w:szCs w:val="27"/>
        </w:rPr>
        <w:t>2019</w:t>
      </w:r>
      <w:r>
        <w:rPr>
          <w:szCs w:val="27"/>
        </w:rPr>
        <w:t>年</w:t>
      </w:r>
      <w:r>
        <w:rPr>
          <w:szCs w:val="27"/>
        </w:rPr>
        <w:t>1</w:t>
      </w:r>
      <w:r>
        <w:rPr>
          <w:szCs w:val="27"/>
        </w:rPr>
        <w:t>月就修訂建議諮詢立法會保安事務委員會，目標在</w:t>
      </w:r>
      <w:r>
        <w:rPr>
          <w:szCs w:val="27"/>
        </w:rPr>
        <w:t>2019</w:t>
      </w:r>
      <w:r>
        <w:rPr>
          <w:szCs w:val="27"/>
        </w:rPr>
        <w:t>年上半年向立法會提交條例草案。</w:t>
      </w:r>
    </w:p>
    <w:p>
      <w:pPr>
        <w:pStyle w:val="F21"/>
        <w:rPr>
          <w:szCs w:val="27"/>
        </w:rPr>
      </w:pPr>
      <w:r>
        <w:rPr>
          <w:szCs w:val="27"/>
        </w:rPr>
      </w:r>
    </w:p>
    <w:p>
      <w:pPr>
        <w:pStyle w:val="F21"/>
        <w:rPr>
          <w:szCs w:val="27"/>
        </w:rPr>
      </w:pPr>
      <w:r>
        <w:rPr>
          <w:szCs w:val="27"/>
        </w:rPr>
        <w:tab/>
      </w:r>
      <w:r>
        <w:rPr>
          <w:szCs w:val="27"/>
        </w:rPr>
        <w:t>目前，新聲請及非法入境者的數目已比高峰期減少八成；入境處已經基本完成審核曾積壓過萬宗的聲請；而等候上訴委員會處理的個案亦開始逐步回落，並預計最快可於兩年內陸續完成處理。</w:t>
      </w:r>
    </w:p>
    <w:p>
      <w:pPr>
        <w:pStyle w:val="F21"/>
        <w:rPr>
          <w:szCs w:val="27"/>
        </w:rPr>
      </w:pPr>
      <w:r>
        <w:rPr>
          <w:szCs w:val="27"/>
        </w:rPr>
      </w:r>
    </w:p>
    <w:p>
      <w:pPr>
        <w:pStyle w:val="F21"/>
        <w:rPr>
          <w:szCs w:val="27"/>
        </w:rPr>
      </w:pPr>
      <w:r>
        <w:rPr>
          <w:szCs w:val="27"/>
        </w:rPr>
        <w:tab/>
      </w:r>
      <w:r>
        <w:rPr>
          <w:szCs w:val="27"/>
        </w:rPr>
        <w:t>就吳議員質詢的各個部分，我現答覆如下：</w:t>
      </w:r>
    </w:p>
    <w:p>
      <w:pPr>
        <w:pStyle w:val="F21"/>
        <w:rPr>
          <w:szCs w:val="27"/>
        </w:rPr>
      </w:pPr>
      <w:r>
        <w:rPr>
          <w:szCs w:val="27"/>
        </w:rPr>
      </w:r>
    </w:p>
    <w:p>
      <w:pPr>
        <w:pStyle w:val="F21"/>
        <w:ind w:left="1418" w:hanging="851"/>
        <w:rPr>
          <w:szCs w:val="27"/>
        </w:rPr>
      </w:pPr>
      <w:r>
        <w:rPr>
          <w:szCs w:val="27"/>
        </w:rPr>
        <w:t>(</w:t>
      </w:r>
      <w:r>
        <w:rPr>
          <w:szCs w:val="27"/>
        </w:rPr>
        <w:t>一</w:t>
      </w:r>
      <w:r>
        <w:rPr>
          <w:szCs w:val="27"/>
        </w:rPr>
        <w:t>)</w:t>
        <w:tab/>
      </w:r>
      <w:r>
        <w:rPr>
          <w:szCs w:val="27"/>
        </w:rPr>
        <w:t>在</w:t>
      </w:r>
      <w:r>
        <w:rPr>
          <w:szCs w:val="27"/>
        </w:rPr>
        <w:t>2014</w:t>
      </w:r>
      <w:r>
        <w:rPr>
          <w:szCs w:val="27"/>
        </w:rPr>
        <w:t>年至</w:t>
      </w:r>
      <w:r>
        <w:rPr>
          <w:szCs w:val="27"/>
        </w:rPr>
        <w:t>2018</w:t>
      </w:r>
      <w:r>
        <w:rPr>
          <w:szCs w:val="27"/>
        </w:rPr>
        <w:t>年，被入境處遣返的免遣返聲請人</w:t>
      </w:r>
      <w:r>
        <w:rPr>
          <w:szCs w:val="27"/>
        </w:rPr>
        <w:t>(</w:t>
      </w:r>
      <w:r>
        <w:rPr>
          <w:szCs w:val="27"/>
        </w:rPr>
        <w:t>包括在統一審核機制於</w:t>
      </w:r>
      <w:r>
        <w:rPr>
          <w:szCs w:val="27"/>
        </w:rPr>
        <w:t>2014</w:t>
      </w:r>
      <w:r>
        <w:rPr>
          <w:szCs w:val="27"/>
        </w:rPr>
        <w:t>年</w:t>
      </w:r>
      <w:r>
        <w:rPr>
          <w:szCs w:val="27"/>
        </w:rPr>
        <w:t>3</w:t>
      </w:r>
      <w:r>
        <w:rPr>
          <w:szCs w:val="27"/>
        </w:rPr>
        <w:t>月實施之前酷刑聲請已被拒絕、撤回或無法跟進的人</w:t>
      </w:r>
      <w:r>
        <w:rPr>
          <w:szCs w:val="27"/>
        </w:rPr>
        <w:t>)</w:t>
      </w:r>
      <w:r>
        <w:rPr>
          <w:szCs w:val="27"/>
        </w:rPr>
        <w:t>有</w:t>
      </w:r>
      <w:r>
        <w:rPr>
          <w:szCs w:val="27"/>
        </w:rPr>
        <w:t>9 137</w:t>
      </w:r>
      <w:r>
        <w:rPr>
          <w:szCs w:val="27"/>
        </w:rPr>
        <w:t>人，當中</w:t>
      </w:r>
      <w:r>
        <w:rPr>
          <w:szCs w:val="27"/>
        </w:rPr>
        <w:t>4 593</w:t>
      </w:r>
      <w:r>
        <w:rPr>
          <w:szCs w:val="27"/>
        </w:rPr>
        <w:t>人為聲請被拒絕的人。</w:t>
      </w:r>
    </w:p>
    <w:p>
      <w:pPr>
        <w:pStyle w:val="F21"/>
        <w:ind w:left="1418" w:hanging="851"/>
        <w:rPr>
          <w:szCs w:val="27"/>
        </w:rPr>
      </w:pPr>
      <w:r>
        <w:rPr>
          <w:szCs w:val="27"/>
        </w:rPr>
      </w:r>
    </w:p>
    <w:p>
      <w:pPr>
        <w:pStyle w:val="F21"/>
        <w:ind w:left="1418" w:hanging="851"/>
        <w:rPr>
          <w:szCs w:val="27"/>
        </w:rPr>
      </w:pPr>
      <w:r>
        <w:rPr>
          <w:szCs w:val="27"/>
        </w:rPr>
        <w:tab/>
      </w:r>
      <w:r>
        <w:rPr>
          <w:szCs w:val="27"/>
        </w:rPr>
        <w:t>在聲請被拒絕後被遣返的人當中，以總數計，最多分別來自越南、印度、巴基斯坦、印度尼西亞、孟加拉、菲律賓和尼泊爾。按年分項數字如下：</w:t>
      </w:r>
    </w:p>
    <w:p>
      <w:pPr>
        <w:pStyle w:val="F21"/>
        <w:rPr>
          <w:szCs w:val="27"/>
        </w:rPr>
      </w:pPr>
      <w:r>
        <w:rPr>
          <w:szCs w:val="27"/>
        </w:rPr>
      </w:r>
    </w:p>
    <w:tbl>
      <w:tblPr>
        <w:tblStyle w:val="a9"/>
        <w:tblW w:w="7805" w:type="dxa"/>
        <w:jc w:val="left"/>
        <w:tblInd w:w="1418" w:type="dxa"/>
        <w:tblCellMar>
          <w:top w:w="0" w:type="dxa"/>
          <w:left w:w="108" w:type="dxa"/>
          <w:bottom w:w="0" w:type="dxa"/>
          <w:right w:w="108" w:type="dxa"/>
        </w:tblCellMar>
        <w:tblLook w:val="04a0" w:noHBand="0" w:noVBand="1" w:firstColumn="1" w:lastRow="0" w:lastColumn="0" w:firstRow="1"/>
      </w:tblPr>
      <w:tblGrid>
        <w:gridCol w:w="1706"/>
        <w:gridCol w:w="1015"/>
        <w:gridCol w:w="1017"/>
        <w:gridCol w:w="1016"/>
        <w:gridCol w:w="1017"/>
        <w:gridCol w:w="1017"/>
        <w:gridCol w:w="1016"/>
      </w:tblGrid>
      <w:tr>
        <w:trPr>
          <w:tblHeader w:val="true"/>
        </w:trPr>
        <w:tc>
          <w:tcPr>
            <w:tcW w:w="1706" w:type="dxa"/>
            <w:tcBorders/>
          </w:tcPr>
          <w:p>
            <w:pPr>
              <w:pStyle w:val="F21"/>
              <w:jc w:val="center"/>
              <w:rPr>
                <w:i/>
                <w:i/>
                <w:szCs w:val="27"/>
              </w:rPr>
            </w:pPr>
            <w:r>
              <w:rPr>
                <w:i/>
                <w:szCs w:val="27"/>
              </w:rPr>
              <w:t>國籍</w:t>
            </w:r>
            <w:r>
              <w:rPr>
                <w:rFonts w:ascii="華康細明體" w:hAnsi="華康細明體"/>
                <w:i/>
                <w:szCs w:val="27"/>
              </w:rPr>
              <w:t>/</w:t>
            </w:r>
            <w:r>
              <w:rPr>
                <w:i/>
                <w:szCs w:val="27"/>
              </w:rPr>
              <w:t>年份</w:t>
            </w:r>
          </w:p>
        </w:tc>
        <w:tc>
          <w:tcPr>
            <w:tcW w:w="1015" w:type="dxa"/>
            <w:tcBorders/>
          </w:tcPr>
          <w:p>
            <w:pPr>
              <w:pStyle w:val="F21"/>
              <w:jc w:val="center"/>
              <w:rPr>
                <w:i/>
                <w:i/>
                <w:szCs w:val="27"/>
              </w:rPr>
            </w:pPr>
            <w:r>
              <w:rPr>
                <w:i/>
                <w:szCs w:val="27"/>
              </w:rPr>
              <w:t>2014</w:t>
            </w:r>
          </w:p>
        </w:tc>
        <w:tc>
          <w:tcPr>
            <w:tcW w:w="1017" w:type="dxa"/>
            <w:tcBorders/>
          </w:tcPr>
          <w:p>
            <w:pPr>
              <w:pStyle w:val="F21"/>
              <w:jc w:val="center"/>
              <w:rPr>
                <w:i/>
                <w:i/>
                <w:szCs w:val="27"/>
              </w:rPr>
            </w:pPr>
            <w:r>
              <w:rPr>
                <w:i/>
                <w:szCs w:val="27"/>
              </w:rPr>
              <w:t>2015</w:t>
            </w:r>
          </w:p>
        </w:tc>
        <w:tc>
          <w:tcPr>
            <w:tcW w:w="1016" w:type="dxa"/>
            <w:tcBorders/>
          </w:tcPr>
          <w:p>
            <w:pPr>
              <w:pStyle w:val="F21"/>
              <w:jc w:val="center"/>
              <w:rPr>
                <w:i/>
                <w:i/>
                <w:szCs w:val="27"/>
              </w:rPr>
            </w:pPr>
            <w:r>
              <w:rPr>
                <w:i/>
                <w:szCs w:val="27"/>
              </w:rPr>
              <w:t>2016</w:t>
            </w:r>
          </w:p>
        </w:tc>
        <w:tc>
          <w:tcPr>
            <w:tcW w:w="1017" w:type="dxa"/>
            <w:tcBorders/>
          </w:tcPr>
          <w:p>
            <w:pPr>
              <w:pStyle w:val="F21"/>
              <w:jc w:val="center"/>
              <w:rPr>
                <w:i/>
                <w:i/>
                <w:szCs w:val="27"/>
              </w:rPr>
            </w:pPr>
            <w:r>
              <w:rPr>
                <w:i/>
                <w:szCs w:val="27"/>
              </w:rPr>
              <w:t>2017</w:t>
            </w:r>
          </w:p>
        </w:tc>
        <w:tc>
          <w:tcPr>
            <w:tcW w:w="1017" w:type="dxa"/>
            <w:tcBorders/>
          </w:tcPr>
          <w:p>
            <w:pPr>
              <w:pStyle w:val="F21"/>
              <w:jc w:val="center"/>
              <w:rPr>
                <w:i/>
                <w:i/>
                <w:szCs w:val="27"/>
              </w:rPr>
            </w:pPr>
            <w:r>
              <w:rPr>
                <w:i/>
                <w:szCs w:val="27"/>
              </w:rPr>
              <w:t>2018</w:t>
            </w:r>
          </w:p>
        </w:tc>
        <w:tc>
          <w:tcPr>
            <w:tcW w:w="1016" w:type="dxa"/>
            <w:tcBorders/>
          </w:tcPr>
          <w:p>
            <w:pPr>
              <w:pStyle w:val="F21"/>
              <w:jc w:val="center"/>
              <w:rPr>
                <w:i/>
                <w:i/>
                <w:szCs w:val="27"/>
              </w:rPr>
            </w:pPr>
            <w:r>
              <w:rPr>
                <w:i/>
                <w:szCs w:val="27"/>
              </w:rPr>
              <w:t>總數</w:t>
            </w:r>
          </w:p>
        </w:tc>
      </w:tr>
      <w:tr>
        <w:trPr/>
        <w:tc>
          <w:tcPr>
            <w:tcW w:w="1706" w:type="dxa"/>
            <w:tcBorders/>
          </w:tcPr>
          <w:p>
            <w:pPr>
              <w:pStyle w:val="F21"/>
              <w:ind w:left="57" w:hanging="0"/>
              <w:rPr>
                <w:szCs w:val="27"/>
              </w:rPr>
            </w:pPr>
            <w:r>
              <w:rPr>
                <w:szCs w:val="27"/>
              </w:rPr>
              <w:t>越南</w:t>
            </w:r>
          </w:p>
        </w:tc>
        <w:tc>
          <w:tcPr>
            <w:tcW w:w="1015" w:type="dxa"/>
            <w:tcBorders/>
          </w:tcPr>
          <w:p>
            <w:pPr>
              <w:pStyle w:val="F21"/>
              <w:ind w:right="255" w:hanging="0"/>
              <w:jc w:val="right"/>
              <w:rPr>
                <w:szCs w:val="27"/>
              </w:rPr>
            </w:pPr>
            <w:r>
              <w:rPr>
                <w:szCs w:val="27"/>
              </w:rPr>
              <w:t>3</w:t>
            </w:r>
          </w:p>
        </w:tc>
        <w:tc>
          <w:tcPr>
            <w:tcW w:w="1017" w:type="dxa"/>
            <w:tcBorders/>
          </w:tcPr>
          <w:p>
            <w:pPr>
              <w:pStyle w:val="F21"/>
              <w:ind w:right="255" w:hanging="0"/>
              <w:jc w:val="right"/>
              <w:rPr>
                <w:szCs w:val="27"/>
              </w:rPr>
            </w:pPr>
            <w:r>
              <w:rPr>
                <w:szCs w:val="27"/>
              </w:rPr>
              <w:t>21</w:t>
            </w:r>
          </w:p>
        </w:tc>
        <w:tc>
          <w:tcPr>
            <w:tcW w:w="1016" w:type="dxa"/>
            <w:tcBorders/>
          </w:tcPr>
          <w:p>
            <w:pPr>
              <w:pStyle w:val="F21"/>
              <w:ind w:right="255" w:hanging="0"/>
              <w:jc w:val="right"/>
              <w:rPr>
                <w:szCs w:val="27"/>
              </w:rPr>
            </w:pPr>
            <w:r>
              <w:rPr>
                <w:szCs w:val="27"/>
              </w:rPr>
              <w:t>42</w:t>
            </w:r>
          </w:p>
        </w:tc>
        <w:tc>
          <w:tcPr>
            <w:tcW w:w="1017" w:type="dxa"/>
            <w:tcBorders/>
          </w:tcPr>
          <w:p>
            <w:pPr>
              <w:pStyle w:val="F21"/>
              <w:ind w:right="142" w:hanging="0"/>
              <w:jc w:val="right"/>
              <w:rPr>
                <w:szCs w:val="27"/>
              </w:rPr>
            </w:pPr>
            <w:r>
              <w:rPr>
                <w:szCs w:val="27"/>
              </w:rPr>
              <w:t>305</w:t>
            </w:r>
          </w:p>
        </w:tc>
        <w:tc>
          <w:tcPr>
            <w:tcW w:w="1017" w:type="dxa"/>
            <w:tcBorders/>
          </w:tcPr>
          <w:p>
            <w:pPr>
              <w:pStyle w:val="F21"/>
              <w:ind w:right="142" w:hanging="0"/>
              <w:jc w:val="right"/>
              <w:rPr>
                <w:szCs w:val="27"/>
              </w:rPr>
            </w:pPr>
            <w:r>
              <w:rPr>
                <w:szCs w:val="27"/>
              </w:rPr>
              <w:t>780</w:t>
            </w:r>
          </w:p>
        </w:tc>
        <w:tc>
          <w:tcPr>
            <w:tcW w:w="1016" w:type="dxa"/>
            <w:tcBorders/>
          </w:tcPr>
          <w:p>
            <w:pPr>
              <w:pStyle w:val="F21"/>
              <w:ind w:right="142" w:hanging="0"/>
              <w:jc w:val="right"/>
              <w:rPr>
                <w:szCs w:val="27"/>
              </w:rPr>
            </w:pPr>
            <w:r>
              <w:rPr>
                <w:szCs w:val="27"/>
              </w:rPr>
              <w:t>1 151</w:t>
            </w:r>
          </w:p>
        </w:tc>
      </w:tr>
      <w:tr>
        <w:trPr/>
        <w:tc>
          <w:tcPr>
            <w:tcW w:w="1706" w:type="dxa"/>
            <w:tcBorders/>
          </w:tcPr>
          <w:p>
            <w:pPr>
              <w:pStyle w:val="F21"/>
              <w:ind w:left="57" w:hanging="0"/>
              <w:rPr>
                <w:szCs w:val="27"/>
              </w:rPr>
            </w:pPr>
            <w:r>
              <w:rPr>
                <w:szCs w:val="27"/>
              </w:rPr>
              <w:t>印度</w:t>
            </w:r>
          </w:p>
        </w:tc>
        <w:tc>
          <w:tcPr>
            <w:tcW w:w="1015" w:type="dxa"/>
            <w:tcBorders/>
          </w:tcPr>
          <w:p>
            <w:pPr>
              <w:pStyle w:val="F21"/>
              <w:ind w:right="255" w:hanging="0"/>
              <w:jc w:val="right"/>
              <w:rPr>
                <w:szCs w:val="27"/>
              </w:rPr>
            </w:pPr>
            <w:r>
              <w:rPr>
                <w:szCs w:val="27"/>
              </w:rPr>
              <w:t>52</w:t>
            </w:r>
          </w:p>
        </w:tc>
        <w:tc>
          <w:tcPr>
            <w:tcW w:w="1017" w:type="dxa"/>
            <w:tcBorders/>
          </w:tcPr>
          <w:p>
            <w:pPr>
              <w:pStyle w:val="F21"/>
              <w:ind w:right="255" w:hanging="0"/>
              <w:jc w:val="right"/>
              <w:rPr>
                <w:szCs w:val="27"/>
              </w:rPr>
            </w:pPr>
            <w:r>
              <w:rPr>
                <w:szCs w:val="27"/>
              </w:rPr>
              <w:t>133</w:t>
            </w:r>
          </w:p>
        </w:tc>
        <w:tc>
          <w:tcPr>
            <w:tcW w:w="1016" w:type="dxa"/>
            <w:tcBorders/>
          </w:tcPr>
          <w:p>
            <w:pPr>
              <w:pStyle w:val="F21"/>
              <w:ind w:right="255" w:hanging="0"/>
              <w:jc w:val="right"/>
              <w:rPr>
                <w:szCs w:val="27"/>
              </w:rPr>
            </w:pPr>
            <w:r>
              <w:rPr>
                <w:szCs w:val="27"/>
              </w:rPr>
              <w:t>181</w:t>
            </w:r>
          </w:p>
        </w:tc>
        <w:tc>
          <w:tcPr>
            <w:tcW w:w="1017" w:type="dxa"/>
            <w:tcBorders/>
          </w:tcPr>
          <w:p>
            <w:pPr>
              <w:pStyle w:val="F21"/>
              <w:ind w:right="142" w:hanging="0"/>
              <w:jc w:val="right"/>
              <w:rPr>
                <w:szCs w:val="27"/>
              </w:rPr>
            </w:pPr>
            <w:r>
              <w:rPr>
                <w:szCs w:val="27"/>
              </w:rPr>
              <w:t>255</w:t>
            </w:r>
          </w:p>
        </w:tc>
        <w:tc>
          <w:tcPr>
            <w:tcW w:w="1017" w:type="dxa"/>
            <w:tcBorders/>
          </w:tcPr>
          <w:p>
            <w:pPr>
              <w:pStyle w:val="F21"/>
              <w:ind w:right="142" w:hanging="0"/>
              <w:jc w:val="right"/>
              <w:rPr>
                <w:szCs w:val="27"/>
              </w:rPr>
            </w:pPr>
            <w:r>
              <w:rPr>
                <w:szCs w:val="27"/>
              </w:rPr>
              <w:t>226</w:t>
            </w:r>
          </w:p>
        </w:tc>
        <w:tc>
          <w:tcPr>
            <w:tcW w:w="1016" w:type="dxa"/>
            <w:tcBorders/>
          </w:tcPr>
          <w:p>
            <w:pPr>
              <w:pStyle w:val="F21"/>
              <w:ind w:right="142" w:hanging="0"/>
              <w:jc w:val="right"/>
              <w:rPr>
                <w:szCs w:val="27"/>
              </w:rPr>
            </w:pPr>
            <w:r>
              <w:rPr>
                <w:szCs w:val="27"/>
              </w:rPr>
              <w:t>847</w:t>
            </w:r>
          </w:p>
        </w:tc>
      </w:tr>
      <w:tr>
        <w:trPr/>
        <w:tc>
          <w:tcPr>
            <w:tcW w:w="1706" w:type="dxa"/>
            <w:tcBorders/>
          </w:tcPr>
          <w:p>
            <w:pPr>
              <w:pStyle w:val="F21"/>
              <w:ind w:left="57" w:hanging="0"/>
              <w:rPr>
                <w:szCs w:val="27"/>
              </w:rPr>
            </w:pPr>
            <w:r>
              <w:rPr>
                <w:szCs w:val="27"/>
              </w:rPr>
              <w:t>巴基斯坦</w:t>
            </w:r>
          </w:p>
        </w:tc>
        <w:tc>
          <w:tcPr>
            <w:tcW w:w="1015" w:type="dxa"/>
            <w:tcBorders/>
          </w:tcPr>
          <w:p>
            <w:pPr>
              <w:pStyle w:val="F21"/>
              <w:ind w:right="255" w:hanging="0"/>
              <w:jc w:val="right"/>
              <w:rPr>
                <w:szCs w:val="27"/>
              </w:rPr>
            </w:pPr>
            <w:r>
              <w:rPr>
                <w:szCs w:val="27"/>
              </w:rPr>
              <w:t>56</w:t>
            </w:r>
          </w:p>
        </w:tc>
        <w:tc>
          <w:tcPr>
            <w:tcW w:w="1017" w:type="dxa"/>
            <w:tcBorders/>
          </w:tcPr>
          <w:p>
            <w:pPr>
              <w:pStyle w:val="F21"/>
              <w:ind w:right="255" w:hanging="0"/>
              <w:jc w:val="right"/>
              <w:rPr>
                <w:szCs w:val="27"/>
              </w:rPr>
            </w:pPr>
            <w:r>
              <w:rPr>
                <w:szCs w:val="27"/>
              </w:rPr>
              <w:t>131</w:t>
            </w:r>
          </w:p>
        </w:tc>
        <w:tc>
          <w:tcPr>
            <w:tcW w:w="1016" w:type="dxa"/>
            <w:tcBorders/>
          </w:tcPr>
          <w:p>
            <w:pPr>
              <w:pStyle w:val="F21"/>
              <w:ind w:right="255" w:hanging="0"/>
              <w:jc w:val="right"/>
              <w:rPr>
                <w:szCs w:val="27"/>
              </w:rPr>
            </w:pPr>
            <w:r>
              <w:rPr>
                <w:szCs w:val="27"/>
              </w:rPr>
              <w:t>126</w:t>
            </w:r>
          </w:p>
        </w:tc>
        <w:tc>
          <w:tcPr>
            <w:tcW w:w="1017" w:type="dxa"/>
            <w:tcBorders/>
          </w:tcPr>
          <w:p>
            <w:pPr>
              <w:pStyle w:val="F21"/>
              <w:ind w:right="142" w:hanging="0"/>
              <w:jc w:val="right"/>
              <w:rPr>
                <w:szCs w:val="27"/>
              </w:rPr>
            </w:pPr>
            <w:r>
              <w:rPr>
                <w:szCs w:val="27"/>
              </w:rPr>
              <w:t>261</w:t>
            </w:r>
          </w:p>
        </w:tc>
        <w:tc>
          <w:tcPr>
            <w:tcW w:w="1017" w:type="dxa"/>
            <w:tcBorders/>
          </w:tcPr>
          <w:p>
            <w:pPr>
              <w:pStyle w:val="F21"/>
              <w:ind w:right="142" w:hanging="0"/>
              <w:jc w:val="right"/>
              <w:rPr>
                <w:szCs w:val="27"/>
              </w:rPr>
            </w:pPr>
            <w:r>
              <w:rPr>
                <w:szCs w:val="27"/>
              </w:rPr>
              <w:t>242</w:t>
            </w:r>
          </w:p>
        </w:tc>
        <w:tc>
          <w:tcPr>
            <w:tcW w:w="1016" w:type="dxa"/>
            <w:tcBorders/>
          </w:tcPr>
          <w:p>
            <w:pPr>
              <w:pStyle w:val="F21"/>
              <w:ind w:right="142" w:hanging="0"/>
              <w:jc w:val="right"/>
              <w:rPr>
                <w:szCs w:val="27"/>
              </w:rPr>
            </w:pPr>
            <w:r>
              <w:rPr>
                <w:szCs w:val="27"/>
              </w:rPr>
              <w:t>816</w:t>
            </w:r>
          </w:p>
        </w:tc>
      </w:tr>
      <w:tr>
        <w:trPr/>
        <w:tc>
          <w:tcPr>
            <w:tcW w:w="1706" w:type="dxa"/>
            <w:tcBorders/>
          </w:tcPr>
          <w:p>
            <w:pPr>
              <w:pStyle w:val="F21"/>
              <w:ind w:left="57" w:hanging="0"/>
              <w:rPr>
                <w:szCs w:val="27"/>
              </w:rPr>
            </w:pPr>
            <w:r>
              <w:rPr>
                <w:szCs w:val="27"/>
              </w:rPr>
              <w:t>印度尼西亞</w:t>
            </w:r>
          </w:p>
        </w:tc>
        <w:tc>
          <w:tcPr>
            <w:tcW w:w="1015" w:type="dxa"/>
            <w:tcBorders/>
          </w:tcPr>
          <w:p>
            <w:pPr>
              <w:pStyle w:val="F21"/>
              <w:ind w:right="255" w:hanging="0"/>
              <w:jc w:val="right"/>
              <w:rPr>
                <w:szCs w:val="27"/>
              </w:rPr>
            </w:pPr>
            <w:r>
              <w:rPr>
                <w:szCs w:val="27"/>
              </w:rPr>
              <w:t>32</w:t>
            </w:r>
          </w:p>
        </w:tc>
        <w:tc>
          <w:tcPr>
            <w:tcW w:w="1017" w:type="dxa"/>
            <w:tcBorders/>
          </w:tcPr>
          <w:p>
            <w:pPr>
              <w:pStyle w:val="F21"/>
              <w:ind w:right="255" w:hanging="0"/>
              <w:jc w:val="right"/>
              <w:rPr>
                <w:szCs w:val="27"/>
              </w:rPr>
            </w:pPr>
            <w:r>
              <w:rPr>
                <w:szCs w:val="27"/>
              </w:rPr>
              <w:t>65</w:t>
            </w:r>
          </w:p>
        </w:tc>
        <w:tc>
          <w:tcPr>
            <w:tcW w:w="1016" w:type="dxa"/>
            <w:tcBorders/>
          </w:tcPr>
          <w:p>
            <w:pPr>
              <w:pStyle w:val="F21"/>
              <w:ind w:right="255" w:hanging="0"/>
              <w:jc w:val="right"/>
              <w:rPr>
                <w:szCs w:val="27"/>
              </w:rPr>
            </w:pPr>
            <w:r>
              <w:rPr>
                <w:szCs w:val="27"/>
              </w:rPr>
              <w:t>83</w:t>
            </w:r>
          </w:p>
        </w:tc>
        <w:tc>
          <w:tcPr>
            <w:tcW w:w="1017" w:type="dxa"/>
            <w:tcBorders/>
          </w:tcPr>
          <w:p>
            <w:pPr>
              <w:pStyle w:val="F21"/>
              <w:ind w:right="142" w:hanging="0"/>
              <w:jc w:val="right"/>
              <w:rPr>
                <w:szCs w:val="27"/>
              </w:rPr>
            </w:pPr>
            <w:r>
              <w:rPr>
                <w:szCs w:val="27"/>
              </w:rPr>
              <w:t>145</w:t>
            </w:r>
          </w:p>
        </w:tc>
        <w:tc>
          <w:tcPr>
            <w:tcW w:w="1017" w:type="dxa"/>
            <w:tcBorders/>
          </w:tcPr>
          <w:p>
            <w:pPr>
              <w:pStyle w:val="F21"/>
              <w:ind w:right="142" w:hanging="0"/>
              <w:jc w:val="right"/>
              <w:rPr>
                <w:szCs w:val="27"/>
              </w:rPr>
            </w:pPr>
            <w:r>
              <w:rPr>
                <w:szCs w:val="27"/>
              </w:rPr>
              <w:t>225</w:t>
            </w:r>
          </w:p>
        </w:tc>
        <w:tc>
          <w:tcPr>
            <w:tcW w:w="1016" w:type="dxa"/>
            <w:tcBorders/>
          </w:tcPr>
          <w:p>
            <w:pPr>
              <w:pStyle w:val="F21"/>
              <w:ind w:right="142" w:hanging="0"/>
              <w:jc w:val="right"/>
              <w:rPr>
                <w:szCs w:val="27"/>
              </w:rPr>
            </w:pPr>
            <w:r>
              <w:rPr>
                <w:szCs w:val="27"/>
              </w:rPr>
              <w:t>550</w:t>
            </w:r>
          </w:p>
        </w:tc>
      </w:tr>
      <w:tr>
        <w:trPr/>
        <w:tc>
          <w:tcPr>
            <w:tcW w:w="1706" w:type="dxa"/>
            <w:tcBorders/>
          </w:tcPr>
          <w:p>
            <w:pPr>
              <w:pStyle w:val="F21"/>
              <w:ind w:left="57" w:hanging="0"/>
              <w:rPr>
                <w:szCs w:val="27"/>
              </w:rPr>
            </w:pPr>
            <w:r>
              <w:rPr>
                <w:szCs w:val="27"/>
              </w:rPr>
              <w:t>孟加拉</w:t>
            </w:r>
          </w:p>
        </w:tc>
        <w:tc>
          <w:tcPr>
            <w:tcW w:w="1015" w:type="dxa"/>
            <w:tcBorders/>
          </w:tcPr>
          <w:p>
            <w:pPr>
              <w:pStyle w:val="F21"/>
              <w:ind w:right="255" w:hanging="0"/>
              <w:jc w:val="right"/>
              <w:rPr>
                <w:szCs w:val="27"/>
              </w:rPr>
            </w:pPr>
            <w:r>
              <w:rPr>
                <w:szCs w:val="27"/>
              </w:rPr>
              <w:t>17</w:t>
            </w:r>
          </w:p>
        </w:tc>
        <w:tc>
          <w:tcPr>
            <w:tcW w:w="1017" w:type="dxa"/>
            <w:tcBorders/>
          </w:tcPr>
          <w:p>
            <w:pPr>
              <w:pStyle w:val="F21"/>
              <w:ind w:right="255" w:hanging="0"/>
              <w:jc w:val="right"/>
              <w:rPr>
                <w:szCs w:val="27"/>
              </w:rPr>
            </w:pPr>
            <w:r>
              <w:rPr>
                <w:szCs w:val="27"/>
              </w:rPr>
              <w:t>40</w:t>
            </w:r>
          </w:p>
        </w:tc>
        <w:tc>
          <w:tcPr>
            <w:tcW w:w="1016" w:type="dxa"/>
            <w:tcBorders/>
          </w:tcPr>
          <w:p>
            <w:pPr>
              <w:pStyle w:val="F21"/>
              <w:ind w:right="255" w:hanging="0"/>
              <w:jc w:val="right"/>
              <w:rPr>
                <w:szCs w:val="27"/>
              </w:rPr>
            </w:pPr>
            <w:r>
              <w:rPr>
                <w:szCs w:val="27"/>
              </w:rPr>
              <w:t>61</w:t>
            </w:r>
          </w:p>
        </w:tc>
        <w:tc>
          <w:tcPr>
            <w:tcW w:w="1017" w:type="dxa"/>
            <w:tcBorders/>
          </w:tcPr>
          <w:p>
            <w:pPr>
              <w:pStyle w:val="F21"/>
              <w:ind w:right="142" w:hanging="0"/>
              <w:jc w:val="right"/>
              <w:rPr>
                <w:szCs w:val="27"/>
              </w:rPr>
            </w:pPr>
            <w:r>
              <w:rPr>
                <w:szCs w:val="27"/>
              </w:rPr>
              <w:t>123</w:t>
            </w:r>
          </w:p>
        </w:tc>
        <w:tc>
          <w:tcPr>
            <w:tcW w:w="1017" w:type="dxa"/>
            <w:tcBorders/>
          </w:tcPr>
          <w:p>
            <w:pPr>
              <w:pStyle w:val="F21"/>
              <w:ind w:right="142" w:hanging="0"/>
              <w:jc w:val="right"/>
              <w:rPr>
                <w:szCs w:val="27"/>
              </w:rPr>
            </w:pPr>
            <w:r>
              <w:rPr>
                <w:szCs w:val="27"/>
              </w:rPr>
              <w:t>100</w:t>
            </w:r>
          </w:p>
        </w:tc>
        <w:tc>
          <w:tcPr>
            <w:tcW w:w="1016" w:type="dxa"/>
            <w:tcBorders/>
          </w:tcPr>
          <w:p>
            <w:pPr>
              <w:pStyle w:val="F21"/>
              <w:ind w:right="142" w:hanging="0"/>
              <w:jc w:val="right"/>
              <w:rPr>
                <w:szCs w:val="27"/>
              </w:rPr>
            </w:pPr>
            <w:r>
              <w:rPr>
                <w:szCs w:val="27"/>
              </w:rPr>
              <w:t>341</w:t>
            </w:r>
          </w:p>
        </w:tc>
      </w:tr>
      <w:tr>
        <w:trPr/>
        <w:tc>
          <w:tcPr>
            <w:tcW w:w="1706" w:type="dxa"/>
            <w:tcBorders/>
          </w:tcPr>
          <w:p>
            <w:pPr>
              <w:pStyle w:val="F21"/>
              <w:ind w:left="57" w:hanging="0"/>
              <w:rPr>
                <w:szCs w:val="27"/>
              </w:rPr>
            </w:pPr>
            <w:r>
              <w:rPr>
                <w:szCs w:val="27"/>
              </w:rPr>
              <w:t>菲律賓</w:t>
            </w:r>
          </w:p>
        </w:tc>
        <w:tc>
          <w:tcPr>
            <w:tcW w:w="1015" w:type="dxa"/>
            <w:tcBorders/>
          </w:tcPr>
          <w:p>
            <w:pPr>
              <w:pStyle w:val="F21"/>
              <w:ind w:right="255" w:hanging="0"/>
              <w:jc w:val="right"/>
              <w:rPr>
                <w:szCs w:val="27"/>
              </w:rPr>
            </w:pPr>
            <w:r>
              <w:rPr>
                <w:szCs w:val="27"/>
              </w:rPr>
              <w:t>20</w:t>
            </w:r>
          </w:p>
        </w:tc>
        <w:tc>
          <w:tcPr>
            <w:tcW w:w="1017" w:type="dxa"/>
            <w:tcBorders/>
          </w:tcPr>
          <w:p>
            <w:pPr>
              <w:pStyle w:val="F21"/>
              <w:ind w:right="255" w:hanging="0"/>
              <w:jc w:val="right"/>
              <w:rPr>
                <w:szCs w:val="27"/>
              </w:rPr>
            </w:pPr>
            <w:r>
              <w:rPr>
                <w:szCs w:val="27"/>
              </w:rPr>
              <w:t>23</w:t>
            </w:r>
          </w:p>
        </w:tc>
        <w:tc>
          <w:tcPr>
            <w:tcW w:w="1016" w:type="dxa"/>
            <w:tcBorders/>
          </w:tcPr>
          <w:p>
            <w:pPr>
              <w:pStyle w:val="F21"/>
              <w:ind w:right="255" w:hanging="0"/>
              <w:jc w:val="right"/>
              <w:rPr>
                <w:szCs w:val="27"/>
              </w:rPr>
            </w:pPr>
            <w:r>
              <w:rPr>
                <w:szCs w:val="27"/>
              </w:rPr>
              <w:t>33</w:t>
            </w:r>
          </w:p>
        </w:tc>
        <w:tc>
          <w:tcPr>
            <w:tcW w:w="1017" w:type="dxa"/>
            <w:tcBorders/>
          </w:tcPr>
          <w:p>
            <w:pPr>
              <w:pStyle w:val="F21"/>
              <w:ind w:right="142" w:hanging="0"/>
              <w:jc w:val="right"/>
              <w:rPr>
                <w:szCs w:val="27"/>
              </w:rPr>
            </w:pPr>
            <w:r>
              <w:rPr>
                <w:szCs w:val="27"/>
              </w:rPr>
              <w:t>70</w:t>
            </w:r>
          </w:p>
        </w:tc>
        <w:tc>
          <w:tcPr>
            <w:tcW w:w="1017" w:type="dxa"/>
            <w:tcBorders/>
          </w:tcPr>
          <w:p>
            <w:pPr>
              <w:pStyle w:val="F21"/>
              <w:ind w:right="142" w:hanging="0"/>
              <w:jc w:val="right"/>
              <w:rPr>
                <w:szCs w:val="27"/>
              </w:rPr>
            </w:pPr>
            <w:r>
              <w:rPr>
                <w:szCs w:val="27"/>
              </w:rPr>
              <w:t>81</w:t>
            </w:r>
          </w:p>
        </w:tc>
        <w:tc>
          <w:tcPr>
            <w:tcW w:w="1016" w:type="dxa"/>
            <w:tcBorders/>
          </w:tcPr>
          <w:p>
            <w:pPr>
              <w:pStyle w:val="F21"/>
              <w:ind w:right="142" w:hanging="0"/>
              <w:jc w:val="right"/>
              <w:rPr>
                <w:szCs w:val="27"/>
              </w:rPr>
            </w:pPr>
            <w:r>
              <w:rPr>
                <w:szCs w:val="27"/>
              </w:rPr>
              <w:t>227</w:t>
            </w:r>
          </w:p>
        </w:tc>
      </w:tr>
      <w:tr>
        <w:trPr/>
        <w:tc>
          <w:tcPr>
            <w:tcW w:w="1706" w:type="dxa"/>
            <w:tcBorders/>
          </w:tcPr>
          <w:p>
            <w:pPr>
              <w:pStyle w:val="F21"/>
              <w:ind w:left="57" w:hanging="0"/>
              <w:rPr>
                <w:szCs w:val="27"/>
              </w:rPr>
            </w:pPr>
            <w:r>
              <w:rPr>
                <w:szCs w:val="27"/>
              </w:rPr>
              <w:t>尼泊爾</w:t>
            </w:r>
          </w:p>
        </w:tc>
        <w:tc>
          <w:tcPr>
            <w:tcW w:w="1015" w:type="dxa"/>
            <w:tcBorders/>
          </w:tcPr>
          <w:p>
            <w:pPr>
              <w:pStyle w:val="F21"/>
              <w:ind w:right="255" w:hanging="0"/>
              <w:jc w:val="right"/>
              <w:rPr>
                <w:szCs w:val="27"/>
              </w:rPr>
            </w:pPr>
            <w:r>
              <w:rPr>
                <w:szCs w:val="27"/>
              </w:rPr>
              <w:t>14</w:t>
            </w:r>
          </w:p>
        </w:tc>
        <w:tc>
          <w:tcPr>
            <w:tcW w:w="1017" w:type="dxa"/>
            <w:tcBorders/>
          </w:tcPr>
          <w:p>
            <w:pPr>
              <w:pStyle w:val="F21"/>
              <w:ind w:right="255" w:hanging="0"/>
              <w:jc w:val="right"/>
              <w:rPr>
                <w:szCs w:val="27"/>
              </w:rPr>
            </w:pPr>
            <w:r>
              <w:rPr>
                <w:szCs w:val="27"/>
              </w:rPr>
              <w:t>51</w:t>
            </w:r>
          </w:p>
        </w:tc>
        <w:tc>
          <w:tcPr>
            <w:tcW w:w="1016" w:type="dxa"/>
            <w:tcBorders/>
          </w:tcPr>
          <w:p>
            <w:pPr>
              <w:pStyle w:val="F21"/>
              <w:ind w:right="255" w:hanging="0"/>
              <w:jc w:val="right"/>
              <w:rPr>
                <w:szCs w:val="27"/>
              </w:rPr>
            </w:pPr>
            <w:r>
              <w:rPr>
                <w:szCs w:val="27"/>
              </w:rPr>
              <w:t>34</w:t>
            </w:r>
          </w:p>
        </w:tc>
        <w:tc>
          <w:tcPr>
            <w:tcW w:w="1017" w:type="dxa"/>
            <w:tcBorders/>
          </w:tcPr>
          <w:p>
            <w:pPr>
              <w:pStyle w:val="F21"/>
              <w:ind w:right="142" w:hanging="0"/>
              <w:jc w:val="right"/>
              <w:rPr>
                <w:szCs w:val="27"/>
              </w:rPr>
            </w:pPr>
            <w:r>
              <w:rPr>
                <w:szCs w:val="27"/>
              </w:rPr>
              <w:t>63</w:t>
            </w:r>
          </w:p>
        </w:tc>
        <w:tc>
          <w:tcPr>
            <w:tcW w:w="1017" w:type="dxa"/>
            <w:tcBorders/>
          </w:tcPr>
          <w:p>
            <w:pPr>
              <w:pStyle w:val="F21"/>
              <w:ind w:right="142" w:hanging="0"/>
              <w:jc w:val="right"/>
              <w:rPr>
                <w:szCs w:val="27"/>
              </w:rPr>
            </w:pPr>
            <w:r>
              <w:rPr>
                <w:szCs w:val="27"/>
              </w:rPr>
              <w:t>59</w:t>
            </w:r>
          </w:p>
        </w:tc>
        <w:tc>
          <w:tcPr>
            <w:tcW w:w="1016" w:type="dxa"/>
            <w:tcBorders/>
          </w:tcPr>
          <w:p>
            <w:pPr>
              <w:pStyle w:val="F21"/>
              <w:ind w:right="142" w:hanging="0"/>
              <w:jc w:val="right"/>
              <w:rPr>
                <w:szCs w:val="27"/>
              </w:rPr>
            </w:pPr>
            <w:r>
              <w:rPr>
                <w:szCs w:val="27"/>
              </w:rPr>
              <w:t>221</w:t>
            </w:r>
          </w:p>
        </w:tc>
      </w:tr>
      <w:tr>
        <w:trPr/>
        <w:tc>
          <w:tcPr>
            <w:tcW w:w="1706" w:type="dxa"/>
            <w:tcBorders/>
          </w:tcPr>
          <w:p>
            <w:pPr>
              <w:pStyle w:val="F21"/>
              <w:ind w:left="57" w:hanging="0"/>
              <w:rPr>
                <w:szCs w:val="27"/>
              </w:rPr>
            </w:pPr>
            <w:r>
              <w:rPr>
                <w:szCs w:val="27"/>
              </w:rPr>
              <w:t>其他</w:t>
            </w:r>
          </w:p>
        </w:tc>
        <w:tc>
          <w:tcPr>
            <w:tcW w:w="1015" w:type="dxa"/>
            <w:tcBorders/>
          </w:tcPr>
          <w:p>
            <w:pPr>
              <w:pStyle w:val="F21"/>
              <w:ind w:right="255" w:hanging="0"/>
              <w:jc w:val="right"/>
              <w:rPr>
                <w:szCs w:val="27"/>
              </w:rPr>
            </w:pPr>
            <w:r>
              <w:rPr>
                <w:szCs w:val="27"/>
              </w:rPr>
              <w:t>36</w:t>
            </w:r>
          </w:p>
        </w:tc>
        <w:tc>
          <w:tcPr>
            <w:tcW w:w="1017" w:type="dxa"/>
            <w:tcBorders/>
          </w:tcPr>
          <w:p>
            <w:pPr>
              <w:pStyle w:val="F21"/>
              <w:ind w:right="255" w:hanging="0"/>
              <w:jc w:val="right"/>
              <w:rPr>
                <w:szCs w:val="27"/>
              </w:rPr>
            </w:pPr>
            <w:r>
              <w:rPr>
                <w:szCs w:val="27"/>
              </w:rPr>
              <w:t>61</w:t>
            </w:r>
          </w:p>
        </w:tc>
        <w:tc>
          <w:tcPr>
            <w:tcW w:w="1016" w:type="dxa"/>
            <w:tcBorders/>
          </w:tcPr>
          <w:p>
            <w:pPr>
              <w:pStyle w:val="F21"/>
              <w:ind w:right="255" w:hanging="0"/>
              <w:jc w:val="right"/>
              <w:rPr>
                <w:szCs w:val="27"/>
              </w:rPr>
            </w:pPr>
            <w:r>
              <w:rPr>
                <w:szCs w:val="27"/>
              </w:rPr>
              <w:t>79</w:t>
            </w:r>
          </w:p>
        </w:tc>
        <w:tc>
          <w:tcPr>
            <w:tcW w:w="1017" w:type="dxa"/>
            <w:tcBorders/>
          </w:tcPr>
          <w:p>
            <w:pPr>
              <w:pStyle w:val="F21"/>
              <w:ind w:right="142" w:hanging="0"/>
              <w:jc w:val="right"/>
              <w:rPr>
                <w:szCs w:val="27"/>
              </w:rPr>
            </w:pPr>
            <w:r>
              <w:rPr>
                <w:szCs w:val="27"/>
              </w:rPr>
              <w:t>118</w:t>
            </w:r>
          </w:p>
        </w:tc>
        <w:tc>
          <w:tcPr>
            <w:tcW w:w="1017" w:type="dxa"/>
            <w:tcBorders/>
          </w:tcPr>
          <w:p>
            <w:pPr>
              <w:pStyle w:val="F21"/>
              <w:ind w:right="142" w:hanging="0"/>
              <w:jc w:val="right"/>
              <w:rPr>
                <w:szCs w:val="27"/>
              </w:rPr>
            </w:pPr>
            <w:r>
              <w:rPr>
                <w:szCs w:val="27"/>
              </w:rPr>
              <w:t>146</w:t>
            </w:r>
          </w:p>
        </w:tc>
        <w:tc>
          <w:tcPr>
            <w:tcW w:w="1016" w:type="dxa"/>
            <w:tcBorders/>
          </w:tcPr>
          <w:p>
            <w:pPr>
              <w:pStyle w:val="F21"/>
              <w:ind w:right="142" w:hanging="0"/>
              <w:jc w:val="right"/>
              <w:rPr>
                <w:szCs w:val="27"/>
              </w:rPr>
            </w:pPr>
            <w:r>
              <w:rPr>
                <w:szCs w:val="27"/>
              </w:rPr>
              <w:t>440</w:t>
            </w:r>
          </w:p>
        </w:tc>
      </w:tr>
      <w:tr>
        <w:trPr/>
        <w:tc>
          <w:tcPr>
            <w:tcW w:w="1706" w:type="dxa"/>
            <w:tcBorders/>
          </w:tcPr>
          <w:p>
            <w:pPr>
              <w:pStyle w:val="F21"/>
              <w:ind w:left="57" w:hanging="0"/>
              <w:rPr>
                <w:szCs w:val="27"/>
              </w:rPr>
            </w:pPr>
            <w:r>
              <w:rPr>
                <w:szCs w:val="27"/>
              </w:rPr>
              <w:t>總數</w:t>
            </w:r>
          </w:p>
        </w:tc>
        <w:tc>
          <w:tcPr>
            <w:tcW w:w="1015" w:type="dxa"/>
            <w:tcBorders/>
          </w:tcPr>
          <w:p>
            <w:pPr>
              <w:pStyle w:val="F21"/>
              <w:ind w:right="255" w:hanging="0"/>
              <w:jc w:val="right"/>
              <w:rPr>
                <w:szCs w:val="27"/>
              </w:rPr>
            </w:pPr>
            <w:r>
              <w:rPr>
                <w:szCs w:val="27"/>
              </w:rPr>
              <w:t>230</w:t>
            </w:r>
          </w:p>
        </w:tc>
        <w:tc>
          <w:tcPr>
            <w:tcW w:w="1017" w:type="dxa"/>
            <w:tcBorders/>
          </w:tcPr>
          <w:p>
            <w:pPr>
              <w:pStyle w:val="F21"/>
              <w:ind w:right="255" w:hanging="0"/>
              <w:jc w:val="right"/>
              <w:rPr>
                <w:szCs w:val="27"/>
              </w:rPr>
            </w:pPr>
            <w:r>
              <w:rPr>
                <w:szCs w:val="27"/>
              </w:rPr>
              <w:t>525</w:t>
            </w:r>
          </w:p>
        </w:tc>
        <w:tc>
          <w:tcPr>
            <w:tcW w:w="1016" w:type="dxa"/>
            <w:tcBorders/>
          </w:tcPr>
          <w:p>
            <w:pPr>
              <w:pStyle w:val="F21"/>
              <w:ind w:right="255" w:hanging="0"/>
              <w:jc w:val="right"/>
              <w:rPr>
                <w:szCs w:val="27"/>
              </w:rPr>
            </w:pPr>
            <w:r>
              <w:rPr>
                <w:szCs w:val="27"/>
              </w:rPr>
              <w:t>639</w:t>
            </w:r>
          </w:p>
        </w:tc>
        <w:tc>
          <w:tcPr>
            <w:tcW w:w="1017" w:type="dxa"/>
            <w:tcBorders/>
          </w:tcPr>
          <w:p>
            <w:pPr>
              <w:pStyle w:val="F21"/>
              <w:ind w:right="142" w:hanging="0"/>
              <w:jc w:val="right"/>
              <w:rPr>
                <w:szCs w:val="27"/>
              </w:rPr>
            </w:pPr>
            <w:r>
              <w:rPr>
                <w:szCs w:val="27"/>
              </w:rPr>
              <w:t>1 340</w:t>
            </w:r>
          </w:p>
        </w:tc>
        <w:tc>
          <w:tcPr>
            <w:tcW w:w="1017" w:type="dxa"/>
            <w:tcBorders/>
          </w:tcPr>
          <w:p>
            <w:pPr>
              <w:pStyle w:val="F21"/>
              <w:ind w:right="142" w:hanging="0"/>
              <w:jc w:val="right"/>
              <w:rPr>
                <w:szCs w:val="27"/>
              </w:rPr>
            </w:pPr>
            <w:r>
              <w:rPr>
                <w:szCs w:val="27"/>
              </w:rPr>
              <w:t>1 859</w:t>
            </w:r>
          </w:p>
        </w:tc>
        <w:tc>
          <w:tcPr>
            <w:tcW w:w="1016" w:type="dxa"/>
            <w:tcBorders/>
          </w:tcPr>
          <w:p>
            <w:pPr>
              <w:pStyle w:val="F21"/>
              <w:ind w:right="142" w:hanging="0"/>
              <w:jc w:val="right"/>
              <w:rPr>
                <w:szCs w:val="27"/>
              </w:rPr>
            </w:pPr>
            <w:r>
              <w:rPr>
                <w:szCs w:val="27"/>
              </w:rPr>
              <w:t>4 593</w:t>
            </w:r>
          </w:p>
        </w:tc>
      </w:tr>
    </w:tbl>
    <w:p>
      <w:pPr>
        <w:pStyle w:val="F21"/>
        <w:spacing w:lineRule="atLeast" w:line="376"/>
        <w:rPr>
          <w:szCs w:val="27"/>
        </w:rPr>
      </w:pPr>
      <w:r>
        <w:rPr>
          <w:szCs w:val="27"/>
        </w:rPr>
      </w:r>
    </w:p>
    <w:p>
      <w:pPr>
        <w:pStyle w:val="F21"/>
        <w:spacing w:lineRule="atLeast" w:line="376"/>
        <w:ind w:left="1418" w:hanging="851"/>
        <w:rPr>
          <w:szCs w:val="27"/>
        </w:rPr>
      </w:pPr>
      <w:r>
        <w:rPr>
          <w:szCs w:val="27"/>
        </w:rPr>
        <w:tab/>
      </w:r>
      <w:r>
        <w:rPr>
          <w:szCs w:val="27"/>
        </w:rPr>
        <w:t>截至</w:t>
      </w:r>
      <w:r>
        <w:rPr>
          <w:szCs w:val="27"/>
        </w:rPr>
        <w:t>2018</w:t>
      </w:r>
      <w:r>
        <w:rPr>
          <w:szCs w:val="27"/>
        </w:rPr>
        <w:t>年年底，入境處須按統一審核機制處理的免遣返聲請共涉及超過</w:t>
      </w:r>
      <w:r>
        <w:rPr>
          <w:szCs w:val="27"/>
        </w:rPr>
        <w:t>22 000</w:t>
      </w:r>
      <w:r>
        <w:rPr>
          <w:szCs w:val="27"/>
        </w:rPr>
        <w:t>名聲請人，當中約四成已被遣返。</w:t>
      </w:r>
    </w:p>
    <w:p>
      <w:pPr>
        <w:pStyle w:val="F21"/>
        <w:spacing w:lineRule="atLeast" w:line="376"/>
        <w:ind w:left="1418" w:hanging="851"/>
        <w:rPr>
          <w:szCs w:val="27"/>
        </w:rPr>
      </w:pPr>
      <w:r>
        <w:rPr>
          <w:szCs w:val="27"/>
        </w:rPr>
      </w:r>
    </w:p>
    <w:p>
      <w:pPr>
        <w:pStyle w:val="F21"/>
        <w:spacing w:lineRule="atLeast" w:line="376"/>
        <w:ind w:left="1418" w:hanging="851"/>
        <w:rPr>
          <w:szCs w:val="27"/>
        </w:rPr>
      </w:pPr>
      <w:r>
        <w:rPr>
          <w:szCs w:val="27"/>
        </w:rPr>
        <w:t>(</w:t>
      </w:r>
      <w:r>
        <w:rPr>
          <w:szCs w:val="27"/>
        </w:rPr>
        <w:t>二</w:t>
      </w:r>
      <w:r>
        <w:rPr>
          <w:szCs w:val="27"/>
        </w:rPr>
        <w:t>)</w:t>
        <w:tab/>
      </w:r>
      <w:r>
        <w:rPr>
          <w:szCs w:val="27"/>
        </w:rPr>
        <w:t>政府一直關注非華裔人士</w:t>
      </w:r>
      <w:r>
        <w:rPr>
          <w:szCs w:val="27"/>
        </w:rPr>
        <w:t>(</w:t>
      </w:r>
      <w:r>
        <w:rPr>
          <w:szCs w:val="27"/>
        </w:rPr>
        <w:t>包括免遣返聲請人</w:t>
      </w:r>
      <w:r>
        <w:rPr>
          <w:szCs w:val="27"/>
        </w:rPr>
        <w:t>)</w:t>
      </w:r>
      <w:r>
        <w:rPr>
          <w:szCs w:val="27"/>
        </w:rPr>
        <w:t>在港犯案及參與三合會活動的情況。就此，警方一直按各區罪案趨勢調配警力加強巡邏，以防止及偵破罪案。</w:t>
      </w:r>
    </w:p>
    <w:p>
      <w:pPr>
        <w:pStyle w:val="F21"/>
        <w:spacing w:lineRule="atLeast" w:line="376"/>
        <w:ind w:left="1418" w:hanging="851"/>
        <w:rPr>
          <w:szCs w:val="27"/>
        </w:rPr>
      </w:pPr>
      <w:r>
        <w:rPr>
          <w:szCs w:val="27"/>
        </w:rPr>
      </w:r>
    </w:p>
    <w:p>
      <w:pPr>
        <w:pStyle w:val="F21"/>
        <w:spacing w:lineRule="atLeast" w:line="376"/>
        <w:ind w:left="1418" w:hanging="851"/>
        <w:rPr>
          <w:szCs w:val="27"/>
        </w:rPr>
      </w:pPr>
      <w:r>
        <w:rPr>
          <w:szCs w:val="27"/>
        </w:rPr>
        <w:tab/>
      </w:r>
      <w:r>
        <w:rPr>
          <w:szCs w:val="27"/>
        </w:rPr>
        <w:t>為專注研究相關問題、制訂相關策略及統籌執法行動，警隊成立了</w:t>
      </w:r>
      <w:r>
        <w:rPr>
          <w:szCs w:val="27"/>
        </w:rPr>
        <w:t>"</w:t>
      </w:r>
      <w:r>
        <w:rPr>
          <w:szCs w:val="27"/>
        </w:rPr>
        <w:t>非華裔人士參與有組織罪案及三合會活動工作小組</w:t>
      </w:r>
      <w:r>
        <w:rPr>
          <w:szCs w:val="27"/>
        </w:rPr>
        <w:t>"</w:t>
      </w:r>
      <w:r>
        <w:rPr>
          <w:szCs w:val="27"/>
        </w:rPr>
        <w:t>，其職責範圍包括：監察非華裔人士參與有組織罪案及黑社會活動的趨勢；制訂警隊策略；協調執法行動；以及強化警隊系統及流程，並提高收集情報的能力。</w:t>
      </w:r>
    </w:p>
    <w:p>
      <w:pPr>
        <w:pStyle w:val="F21"/>
        <w:spacing w:lineRule="atLeast" w:line="376"/>
        <w:ind w:left="1418" w:hanging="851"/>
        <w:rPr>
          <w:szCs w:val="27"/>
        </w:rPr>
      </w:pPr>
      <w:r>
        <w:rPr>
          <w:szCs w:val="27"/>
        </w:rPr>
      </w:r>
    </w:p>
    <w:p>
      <w:pPr>
        <w:pStyle w:val="F21"/>
        <w:spacing w:lineRule="atLeast" w:line="376"/>
        <w:ind w:left="1418" w:hanging="851"/>
        <w:rPr>
          <w:szCs w:val="27"/>
        </w:rPr>
      </w:pPr>
      <w:r>
        <w:rPr>
          <w:szCs w:val="27"/>
        </w:rPr>
        <w:tab/>
      </w:r>
      <w:r>
        <w:rPr>
          <w:szCs w:val="27"/>
        </w:rPr>
        <w:t>在地區層面打擊犯罪方面，有組織罪案及三合會調查科已於</w:t>
      </w:r>
      <w:r>
        <w:rPr>
          <w:szCs w:val="27"/>
        </w:rPr>
        <w:t>2017</w:t>
      </w:r>
      <w:r>
        <w:rPr>
          <w:szCs w:val="27"/>
        </w:rPr>
        <w:t>年推出新策略，強調從</w:t>
      </w:r>
      <w:r>
        <w:rPr>
          <w:szCs w:val="27"/>
        </w:rPr>
        <w:t>4</w:t>
      </w:r>
      <w:r>
        <w:rPr>
          <w:szCs w:val="27"/>
        </w:rPr>
        <w:t>個方面應對非華裔人士犯案的問題，包括訓練、情報收集及分享、多機構合作及優化執法行動。</w:t>
      </w:r>
    </w:p>
    <w:p>
      <w:pPr>
        <w:pStyle w:val="F21"/>
        <w:spacing w:lineRule="atLeast" w:line="376"/>
        <w:ind w:left="1418" w:hanging="851"/>
        <w:rPr>
          <w:szCs w:val="27"/>
        </w:rPr>
      </w:pPr>
      <w:r>
        <w:rPr>
          <w:szCs w:val="27"/>
        </w:rPr>
      </w:r>
    </w:p>
    <w:p>
      <w:pPr>
        <w:pStyle w:val="F21"/>
        <w:spacing w:lineRule="atLeast" w:line="376"/>
        <w:ind w:left="1418" w:hanging="851"/>
        <w:rPr>
          <w:szCs w:val="27"/>
        </w:rPr>
      </w:pPr>
      <w:r>
        <w:rPr>
          <w:szCs w:val="27"/>
        </w:rPr>
        <w:tab/>
      </w:r>
      <w:r>
        <w:rPr>
          <w:szCs w:val="27"/>
        </w:rPr>
        <w:t>此外，警方亦持續與本港和境外各執法機構、各國駐港領事館，以及非華裔社群保持聯繫，適時採取行動打擊各類涉及有關人士的罪行。</w:t>
      </w:r>
    </w:p>
    <w:p>
      <w:pPr>
        <w:pStyle w:val="F21"/>
        <w:spacing w:lineRule="atLeast" w:line="376"/>
        <w:ind w:left="1418" w:hanging="851"/>
        <w:rPr>
          <w:szCs w:val="27"/>
        </w:rPr>
      </w:pPr>
      <w:r>
        <w:rPr>
          <w:szCs w:val="27"/>
        </w:rPr>
      </w:r>
    </w:p>
    <w:p>
      <w:pPr>
        <w:pStyle w:val="F21"/>
        <w:spacing w:lineRule="atLeast" w:line="376"/>
        <w:ind w:left="1418" w:hanging="851"/>
        <w:rPr>
          <w:szCs w:val="27"/>
        </w:rPr>
      </w:pPr>
      <w:r>
        <w:rPr>
          <w:szCs w:val="27"/>
        </w:rPr>
        <w:tab/>
        <w:t>2018</w:t>
      </w:r>
      <w:r>
        <w:rPr>
          <w:szCs w:val="27"/>
        </w:rPr>
        <w:t>年，獲擔保外釋的非華裔人士</w:t>
      </w:r>
      <w:r>
        <w:rPr>
          <w:szCs w:val="27"/>
        </w:rPr>
        <w:t>(</w:t>
      </w:r>
      <w:r>
        <w:rPr>
          <w:szCs w:val="27"/>
        </w:rPr>
        <w:t>絕大部分為免遣返聲請人</w:t>
      </w:r>
      <w:r>
        <w:rPr>
          <w:szCs w:val="27"/>
        </w:rPr>
        <w:t>)</w:t>
      </w:r>
      <w:r>
        <w:rPr>
          <w:szCs w:val="27"/>
        </w:rPr>
        <w:t>因干犯刑事罪行而被拘捕的數字為</w:t>
      </w:r>
      <w:r>
        <w:rPr>
          <w:szCs w:val="27"/>
        </w:rPr>
        <w:t>1 150</w:t>
      </w:r>
      <w:r>
        <w:rPr>
          <w:szCs w:val="27"/>
        </w:rPr>
        <w:t>人，較</w:t>
      </w:r>
      <w:r>
        <w:rPr>
          <w:szCs w:val="27"/>
        </w:rPr>
        <w:t>2017</w:t>
      </w:r>
      <w:r>
        <w:rPr>
          <w:szCs w:val="27"/>
        </w:rPr>
        <w:t>年下跌約</w:t>
      </w:r>
      <w:r>
        <w:rPr>
          <w:szCs w:val="27"/>
        </w:rPr>
        <w:t>25.4%</w:t>
      </w:r>
      <w:r>
        <w:rPr>
          <w:szCs w:val="27"/>
        </w:rPr>
        <w:t>。警方會繼續留意相關的罪案趨勢和行動需要，制訂有效措施採取行動予以打擊。</w:t>
      </w:r>
    </w:p>
    <w:p>
      <w:pPr>
        <w:pStyle w:val="Normal"/>
        <w:widowControl/>
        <w:tabs>
          <w:tab w:val="clear" w:pos="720"/>
        </w:tabs>
        <w:snapToGrid w:val="true"/>
        <w:spacing w:lineRule="auto" w:line="276" w:before="0" w:after="200"/>
        <w:jc w:val="left"/>
        <w:rPr>
          <w:rFonts w:cs="" w:cstheme="minorBidi"/>
          <w:spacing w:val="20"/>
          <w:sz w:val="27"/>
          <w:szCs w:val="27"/>
          <w:lang w:val="en-US"/>
        </w:rPr>
      </w:pPr>
      <w:r>
        <w:rPr>
          <w:rFonts w:cs="" w:cstheme="minorBidi"/>
          <w:spacing w:val="20"/>
          <w:sz w:val="27"/>
          <w:szCs w:val="27"/>
          <w:lang w:val="en-US"/>
        </w:rPr>
      </w:r>
      <w:r>
        <w:br w:type="page"/>
      </w:r>
    </w:p>
    <w:p>
      <w:pPr>
        <w:pStyle w:val="F21"/>
        <w:spacing w:lineRule="atLeast" w:line="350"/>
        <w:ind w:left="1418" w:hanging="851"/>
        <w:rPr>
          <w:szCs w:val="27"/>
        </w:rPr>
      </w:pPr>
      <w:r>
        <w:rPr>
          <w:szCs w:val="27"/>
        </w:rPr>
        <w:t>(</w:t>
      </w:r>
      <w:r>
        <w:rPr>
          <w:szCs w:val="27"/>
        </w:rPr>
        <w:t>三</w:t>
      </w:r>
      <w:r>
        <w:rPr>
          <w:szCs w:val="27"/>
        </w:rPr>
        <w:t>)</w:t>
        <w:tab/>
      </w:r>
      <w:r>
        <w:rPr>
          <w:szCs w:val="27"/>
        </w:rPr>
        <w:t>透過修訂法例加快審核和堵塞濫用程序的空間，從根本長遠解決有關免遣返聲請人的問題，是必要和重要的。保安局早前諮詢保安事務委員會的修訂建議中，包括建議將提交聲請表格的法定時限由</w:t>
      </w:r>
      <w:r>
        <w:rPr>
          <w:szCs w:val="27"/>
        </w:rPr>
        <w:t>28</w:t>
      </w:r>
      <w:r>
        <w:rPr>
          <w:szCs w:val="27"/>
        </w:rPr>
        <w:t>天縮減至</w:t>
      </w:r>
      <w:r>
        <w:rPr>
          <w:szCs w:val="27"/>
        </w:rPr>
        <w:t>14</w:t>
      </w:r>
      <w:r>
        <w:rPr>
          <w:szCs w:val="27"/>
        </w:rPr>
        <w:t>天，並取消現時額外</w:t>
      </w:r>
      <w:r>
        <w:rPr>
          <w:szCs w:val="27"/>
        </w:rPr>
        <w:t>21</w:t>
      </w:r>
      <w:r>
        <w:rPr>
          <w:szCs w:val="27"/>
        </w:rPr>
        <w:t>天提交表格的行政安排。如有關建議得以落實，我們預計入境處處理每宗聲請的時間，將可由現時平均約</w:t>
      </w:r>
      <w:r>
        <w:rPr>
          <w:szCs w:val="27"/>
        </w:rPr>
        <w:t>10</w:t>
      </w:r>
      <w:r>
        <w:rPr>
          <w:szCs w:val="27"/>
        </w:rPr>
        <w:t>個星期縮減至最快約</w:t>
      </w:r>
      <w:r>
        <w:rPr>
          <w:szCs w:val="27"/>
        </w:rPr>
        <w:t>5</w:t>
      </w:r>
      <w:r>
        <w:rPr>
          <w:szCs w:val="27"/>
        </w:rPr>
        <w:t>個星期。</w:t>
      </w:r>
    </w:p>
    <w:p>
      <w:pPr>
        <w:pStyle w:val="F21"/>
        <w:spacing w:lineRule="atLeast" w:line="350"/>
        <w:ind w:left="1418" w:hanging="851"/>
        <w:rPr>
          <w:szCs w:val="27"/>
        </w:rPr>
      </w:pPr>
      <w:r>
        <w:rPr>
          <w:szCs w:val="27"/>
        </w:rPr>
      </w:r>
    </w:p>
    <w:p>
      <w:pPr>
        <w:pStyle w:val="F21"/>
        <w:spacing w:lineRule="atLeast" w:line="350"/>
        <w:ind w:left="1418" w:hanging="851"/>
        <w:rPr>
          <w:szCs w:val="27"/>
        </w:rPr>
      </w:pPr>
      <w:r>
        <w:rPr>
          <w:szCs w:val="27"/>
        </w:rPr>
        <w:tab/>
      </w:r>
      <w:r>
        <w:rPr>
          <w:szCs w:val="27"/>
        </w:rPr>
        <w:t>另一方面，我們正考慮是否有空間將部分上訴程序的法定時限適當地縮減，務求在繼續確保高度公平標準時，令處理上訴亦更具效率。</w:t>
      </w:r>
    </w:p>
    <w:p>
      <w:pPr>
        <w:pStyle w:val="F21"/>
        <w:spacing w:lineRule="atLeast" w:line="350"/>
        <w:ind w:left="1418" w:hanging="851"/>
        <w:rPr>
          <w:szCs w:val="27"/>
        </w:rPr>
      </w:pPr>
      <w:r>
        <w:rPr>
          <w:szCs w:val="27"/>
        </w:rPr>
      </w:r>
    </w:p>
    <w:p>
      <w:pPr>
        <w:pStyle w:val="F21"/>
        <w:spacing w:lineRule="atLeast" w:line="350"/>
        <w:ind w:left="1418" w:hanging="851"/>
        <w:rPr>
          <w:szCs w:val="27"/>
        </w:rPr>
      </w:pPr>
      <w:r>
        <w:rPr>
          <w:szCs w:val="27"/>
        </w:rPr>
        <w:tab/>
      </w:r>
      <w:r>
        <w:rPr>
          <w:szCs w:val="27"/>
        </w:rPr>
        <w:t>透過修訂法例進一步改善整個審核程序，並堵塞漏洞避免部分人士意圖阻礙審核按時進行，可讓聲請人更快獲得審核結果，此舉對所有持份者</w:t>
      </w:r>
      <w:r>
        <w:rPr>
          <w:szCs w:val="27"/>
        </w:rPr>
        <w:t>(</w:t>
      </w:r>
      <w:r>
        <w:rPr>
          <w:szCs w:val="27"/>
        </w:rPr>
        <w:t>包括聲請人</w:t>
      </w:r>
      <w:r>
        <w:rPr>
          <w:szCs w:val="27"/>
        </w:rPr>
        <w:t>)</w:t>
      </w:r>
      <w:r>
        <w:rPr>
          <w:szCs w:val="27"/>
        </w:rPr>
        <w:t>和社會大眾都有利。</w:t>
      </w:r>
    </w:p>
    <w:p>
      <w:pPr>
        <w:pStyle w:val="F21"/>
        <w:spacing w:lineRule="atLeast" w:line="350"/>
        <w:ind w:left="1418" w:hanging="851"/>
        <w:rPr>
          <w:szCs w:val="27"/>
        </w:rPr>
      </w:pPr>
      <w:r>
        <w:rPr>
          <w:szCs w:val="27"/>
        </w:rPr>
      </w:r>
    </w:p>
    <w:p>
      <w:pPr>
        <w:pStyle w:val="F21"/>
        <w:spacing w:lineRule="atLeast" w:line="350"/>
        <w:ind w:left="1418" w:hanging="851"/>
        <w:rPr>
          <w:szCs w:val="27"/>
        </w:rPr>
      </w:pPr>
      <w:r>
        <w:rPr>
          <w:szCs w:val="27"/>
        </w:rPr>
        <w:t>(</w:t>
      </w:r>
      <w:r>
        <w:rPr>
          <w:szCs w:val="27"/>
        </w:rPr>
        <w:t>四</w:t>
      </w:r>
      <w:r>
        <w:rPr>
          <w:szCs w:val="27"/>
        </w:rPr>
        <w:t>)</w:t>
        <w:tab/>
      </w:r>
      <w:r>
        <w:rPr>
          <w:szCs w:val="27"/>
        </w:rPr>
        <w:t>就設立收容中心或禁閉營的建議，涉及法律、土地、基建、人手、資源、管理及保安等事宜，政府一直積極考慮所有合法、可行和有效的做法；就有關建議問題複雜，必須作審慎及全面研究。</w:t>
      </w:r>
    </w:p>
    <w:p>
      <w:pPr>
        <w:pStyle w:val="F21"/>
        <w:spacing w:lineRule="atLeast" w:line="350"/>
        <w:ind w:left="1418" w:hanging="851"/>
        <w:rPr>
          <w:szCs w:val="27"/>
        </w:rPr>
      </w:pPr>
      <w:r>
        <w:rPr>
          <w:szCs w:val="27"/>
        </w:rPr>
      </w:r>
    </w:p>
    <w:p>
      <w:pPr>
        <w:pStyle w:val="F21"/>
        <w:spacing w:lineRule="atLeast" w:line="350"/>
        <w:ind w:left="1418" w:hanging="851"/>
        <w:rPr>
          <w:szCs w:val="27"/>
        </w:rPr>
      </w:pPr>
      <w:r>
        <w:rPr>
          <w:szCs w:val="27"/>
        </w:rPr>
        <w:tab/>
      </w:r>
      <w:r>
        <w:rPr>
          <w:szCs w:val="27"/>
        </w:rPr>
        <w:t>另一方面，正如早前向保安事務委員會諮詢法例修訂建議時所解釋，在考慮羈留策略時，我們亦正研究透過修訂法例，確保入境處在審核及遣返程序中的不同階段，均能合法及合理地羈留聲請人。</w:t>
      </w:r>
    </w:p>
    <w:p>
      <w:pPr>
        <w:pStyle w:val="F21"/>
        <w:spacing w:lineRule="atLeast" w:line="350"/>
        <w:rPr>
          <w:szCs w:val="27"/>
        </w:rPr>
      </w:pPr>
      <w:r>
        <w:rPr>
          <w:szCs w:val="27"/>
        </w:rPr>
      </w:r>
    </w:p>
    <w:p>
      <w:pPr>
        <w:pStyle w:val="F21"/>
        <w:overflowPunct w:val="true"/>
        <w:spacing w:lineRule="atLeast" w:line="350"/>
        <w:rPr>
          <w:rFonts w:cs="Times New Roman"/>
        </w:rPr>
      </w:pPr>
      <w:r>
        <w:rPr>
          <w:rFonts w:cs="Times New Roman"/>
        </w:rPr>
      </w:r>
    </w:p>
    <w:p>
      <w:pPr>
        <w:pStyle w:val="F21"/>
        <w:overflowPunct w:val="true"/>
        <w:spacing w:lineRule="atLeast" w:line="350"/>
        <w:rPr>
          <w:rFonts w:eastAsia="華康中黑體" w:cs="Times New Roman"/>
          <w:b/>
          <w:b/>
        </w:rPr>
      </w:pPr>
      <w:bookmarkStart w:id="57" w:name="wrq22"/>
      <w:r>
        <w:rPr>
          <w:rFonts w:cs="Times New Roman" w:eastAsia="華康中黑體"/>
          <w:b/>
        </w:rPr>
        <w:t>資助出售房屋</w:t>
      </w:r>
    </w:p>
    <w:p>
      <w:pPr>
        <w:pStyle w:val="Normal"/>
        <w:overflowPunct w:val="true"/>
        <w:spacing w:lineRule="atLeast" w:line="350"/>
        <w:rPr>
          <w:b/>
          <w:b/>
        </w:rPr>
      </w:pPr>
      <w:bookmarkStart w:id="58" w:name="wrq22"/>
      <w:r>
        <w:rPr>
          <w:b/>
        </w:rPr>
        <w:t>Subsidized sale flats</w:t>
      </w:r>
      <w:bookmarkEnd w:id="58"/>
    </w:p>
    <w:p>
      <w:pPr>
        <w:pStyle w:val="F21"/>
        <w:overflowPunct w:val="true"/>
        <w:spacing w:lineRule="atLeast" w:line="350"/>
        <w:rPr>
          <w:rFonts w:cs="Times New Roman"/>
        </w:rPr>
      </w:pPr>
      <w:r>
        <w:rPr>
          <w:rFonts w:cs="Times New Roman"/>
        </w:rPr>
      </w:r>
    </w:p>
    <w:p>
      <w:pPr>
        <w:pStyle w:val="F21"/>
        <w:spacing w:lineRule="atLeast" w:line="350"/>
        <w:rPr>
          <w:rFonts w:cs="Times New Roman"/>
          <w:i/>
          <w:i/>
          <w:szCs w:val="27"/>
        </w:rPr>
      </w:pPr>
      <w:r>
        <w:rPr>
          <w:rFonts w:eastAsia="華康中黑體" w:cs="Times New Roman"/>
          <w:b/>
          <w:szCs w:val="27"/>
        </w:rPr>
        <w:t>22.</w:t>
        <w:tab/>
      </w:r>
      <w:r>
        <w:rPr>
          <w:rFonts w:cs="Times New Roman" w:eastAsia="華康中黑體"/>
          <w:b/>
          <w:szCs w:val="27"/>
        </w:rPr>
        <w:t>陳克勤議員</w:t>
      </w:r>
      <w:r>
        <w:rPr>
          <w:rFonts w:cs="Times New Roman"/>
          <w:szCs w:val="27"/>
        </w:rPr>
        <w:t>：</w:t>
      </w:r>
      <w:r>
        <w:rPr>
          <w:rFonts w:cs="Times New Roman"/>
          <w:i/>
          <w:szCs w:val="27"/>
        </w:rPr>
        <w:t>主席，關於香港房屋委員會</w:t>
      </w:r>
      <w:r>
        <w:rPr>
          <w:rFonts w:cs="Times New Roman"/>
          <w:i/>
          <w:szCs w:val="27"/>
        </w:rPr>
        <w:t>("</w:t>
      </w:r>
      <w:r>
        <w:rPr>
          <w:rFonts w:cs="Times New Roman"/>
          <w:i/>
          <w:szCs w:val="27"/>
        </w:rPr>
        <w:t>房委會</w:t>
      </w:r>
      <w:r>
        <w:rPr>
          <w:rFonts w:cs="Times New Roman"/>
          <w:i/>
          <w:szCs w:val="27"/>
        </w:rPr>
        <w:t>")</w:t>
      </w:r>
      <w:r>
        <w:rPr>
          <w:rFonts w:cs="Times New Roman"/>
          <w:i/>
          <w:szCs w:val="27"/>
        </w:rPr>
        <w:t>及香港房屋協會</w:t>
      </w:r>
      <w:r>
        <w:rPr>
          <w:rFonts w:cs="Times New Roman"/>
          <w:i/>
          <w:szCs w:val="27"/>
        </w:rPr>
        <w:t>("</w:t>
      </w:r>
      <w:r>
        <w:rPr>
          <w:rFonts w:cs="Times New Roman"/>
          <w:i/>
          <w:szCs w:val="27"/>
        </w:rPr>
        <w:t>房協</w:t>
      </w:r>
      <w:r>
        <w:rPr>
          <w:rFonts w:cs="Times New Roman"/>
          <w:i/>
          <w:szCs w:val="27"/>
        </w:rPr>
        <w:t>")</w:t>
      </w:r>
      <w:r>
        <w:rPr>
          <w:rFonts w:cs="Times New Roman"/>
          <w:i/>
          <w:szCs w:val="27"/>
        </w:rPr>
        <w:t>發展的資助出售房屋項目，政府可否告知本會：</w:t>
      </w:r>
    </w:p>
    <w:p>
      <w:pPr>
        <w:pStyle w:val="F21"/>
        <w:spacing w:lineRule="atLeast" w:line="350"/>
        <w:rPr>
          <w:rFonts w:cs="Times New Roman"/>
          <w:i/>
          <w:i/>
          <w:szCs w:val="27"/>
        </w:rPr>
      </w:pPr>
      <w:r>
        <w:rPr>
          <w:rFonts w:cs="Times New Roman"/>
          <w:i/>
          <w:szCs w:val="27"/>
        </w:rPr>
      </w:r>
    </w:p>
    <w:p>
      <w:pPr>
        <w:pStyle w:val="F21"/>
        <w:spacing w:lineRule="atLeast" w:line="350"/>
        <w:ind w:left="1418" w:hanging="851"/>
        <w:rPr>
          <w:rFonts w:cs="Times New Roman"/>
          <w:i/>
          <w:i/>
          <w:szCs w:val="27"/>
        </w:rPr>
      </w:pPr>
      <w:r>
        <w:rPr>
          <w:rFonts w:cs="Times New Roman"/>
          <w:i/>
          <w:szCs w:val="27"/>
        </w:rPr>
        <w:t>(</w:t>
      </w:r>
      <w:r>
        <w:rPr>
          <w:rFonts w:cs="Times New Roman"/>
          <w:i/>
          <w:szCs w:val="27"/>
        </w:rPr>
        <w:t>一</w:t>
      </w:r>
      <w:r>
        <w:rPr>
          <w:rFonts w:cs="Times New Roman"/>
          <w:i/>
          <w:szCs w:val="27"/>
        </w:rPr>
        <w:t>)</w:t>
        <w:tab/>
      </w:r>
      <w:r>
        <w:rPr>
          <w:rFonts w:cs="Times New Roman"/>
          <w:i/>
          <w:szCs w:val="27"/>
        </w:rPr>
        <w:t>鑒於房委會發展的居者有其屋計劃</w:t>
      </w:r>
      <w:r>
        <w:rPr>
          <w:rFonts w:cs="Times New Roman"/>
          <w:i/>
          <w:szCs w:val="27"/>
        </w:rPr>
        <w:t>("</w:t>
      </w:r>
      <w:r>
        <w:rPr>
          <w:rFonts w:cs="Times New Roman"/>
          <w:i/>
          <w:szCs w:val="27"/>
        </w:rPr>
        <w:t>居屋</w:t>
      </w:r>
      <w:r>
        <w:rPr>
          <w:rFonts w:cs="Times New Roman"/>
          <w:i/>
          <w:szCs w:val="27"/>
        </w:rPr>
        <w:t>")</w:t>
      </w:r>
      <w:r>
        <w:rPr>
          <w:rFonts w:cs="Times New Roman"/>
          <w:i/>
          <w:szCs w:val="27"/>
        </w:rPr>
        <w:t>項目的總工程費用由發展成本、相當於發展成本</w:t>
      </w:r>
      <w:r>
        <w:rPr>
          <w:rFonts w:cs="Times New Roman"/>
          <w:i/>
          <w:szCs w:val="27"/>
        </w:rPr>
        <w:t>35%</w:t>
      </w:r>
      <w:r>
        <w:rPr>
          <w:rFonts w:cs="Times New Roman"/>
          <w:i/>
          <w:szCs w:val="27"/>
        </w:rPr>
        <w:t>的土地成本、間接行政成本及其他與銷售相關的開支組成，</w:t>
      </w:r>
      <w:r>
        <w:rPr>
          <w:rFonts w:cs="Times New Roman"/>
          <w:i/>
          <w:szCs w:val="27"/>
        </w:rPr>
        <w:t>(i)</w:t>
      </w:r>
      <w:r>
        <w:rPr>
          <w:rFonts w:cs="Times New Roman"/>
          <w:i/>
          <w:szCs w:val="27"/>
        </w:rPr>
        <w:t>發展成本、</w:t>
      </w:r>
      <w:r>
        <w:rPr>
          <w:rFonts w:cs="Times New Roman"/>
          <w:i/>
          <w:szCs w:val="27"/>
        </w:rPr>
        <w:t>(ii)‍</w:t>
      </w:r>
      <w:r>
        <w:rPr>
          <w:rFonts w:cs="Times New Roman"/>
          <w:i/>
          <w:szCs w:val="27"/>
        </w:rPr>
        <w:t>土地成本及</w:t>
      </w:r>
      <w:r>
        <w:rPr>
          <w:rFonts w:cs="Times New Roman"/>
          <w:i/>
          <w:szCs w:val="27"/>
        </w:rPr>
        <w:t>(iii)</w:t>
      </w:r>
      <w:r>
        <w:rPr>
          <w:rFonts w:cs="Times New Roman"/>
          <w:i/>
          <w:szCs w:val="27"/>
        </w:rPr>
        <w:t>間接行政成本分別包括哪些具體開支項目；</w:t>
      </w:r>
      <w:r>
        <w:br w:type="page"/>
      </w:r>
    </w:p>
    <w:p>
      <w:pPr>
        <w:pStyle w:val="F21"/>
        <w:ind w:left="1418" w:hanging="851"/>
        <w:rPr>
          <w:rFonts w:cs="Times New Roman"/>
          <w:i/>
          <w:i/>
          <w:szCs w:val="27"/>
        </w:rPr>
      </w:pPr>
      <w:r>
        <w:rPr>
          <w:rFonts w:cs="Times New Roman"/>
          <w:i/>
          <w:szCs w:val="27"/>
        </w:rPr>
        <w:t>(</w:t>
      </w:r>
      <w:r>
        <w:rPr>
          <w:rFonts w:cs="Times New Roman"/>
          <w:i/>
          <w:szCs w:val="27"/>
        </w:rPr>
        <w:t>二</w:t>
      </w:r>
      <w:r>
        <w:rPr>
          <w:rFonts w:cs="Times New Roman"/>
          <w:i/>
          <w:szCs w:val="27"/>
        </w:rPr>
        <w:t>)</w:t>
        <w:tab/>
      </w:r>
      <w:r>
        <w:rPr>
          <w:rFonts w:cs="Times New Roman"/>
          <w:i/>
          <w:szCs w:val="27"/>
        </w:rPr>
        <w:t>為何政府把居屋項目的土地成本定於其發展成本的</w:t>
      </w:r>
      <w:r>
        <w:rPr>
          <w:rFonts w:cs="Times New Roman"/>
          <w:i/>
          <w:szCs w:val="27"/>
        </w:rPr>
        <w:t>35%</w:t>
      </w:r>
      <w:r>
        <w:rPr>
          <w:rFonts w:cs="Times New Roman"/>
          <w:i/>
          <w:szCs w:val="27"/>
        </w:rPr>
        <w:t>；</w:t>
      </w:r>
    </w:p>
    <w:p>
      <w:pPr>
        <w:pStyle w:val="F21"/>
        <w:ind w:left="1418" w:hanging="851"/>
        <w:rPr>
          <w:rFonts w:cs="Times New Roman"/>
          <w:i/>
          <w:i/>
          <w:szCs w:val="27"/>
        </w:rPr>
      </w:pPr>
      <w:r>
        <w:rPr>
          <w:rFonts w:cs="Times New Roman"/>
          <w:i/>
          <w:szCs w:val="27"/>
        </w:rPr>
      </w:r>
    </w:p>
    <w:p>
      <w:pPr>
        <w:pStyle w:val="F21"/>
        <w:ind w:left="1418" w:hanging="851"/>
        <w:rPr>
          <w:rFonts w:cs="Times New Roman"/>
          <w:i/>
          <w:i/>
          <w:szCs w:val="27"/>
        </w:rPr>
      </w:pPr>
      <w:r>
        <w:rPr>
          <w:rFonts w:cs="Times New Roman"/>
          <w:i/>
          <w:szCs w:val="27"/>
        </w:rPr>
        <w:t>(</w:t>
      </w:r>
      <w:r>
        <w:rPr>
          <w:rFonts w:cs="Times New Roman"/>
          <w:i/>
          <w:szCs w:val="27"/>
        </w:rPr>
        <w:t>三</w:t>
      </w:r>
      <w:r>
        <w:rPr>
          <w:rFonts w:cs="Times New Roman"/>
          <w:i/>
          <w:szCs w:val="27"/>
        </w:rPr>
        <w:t>)</w:t>
        <w:tab/>
      </w:r>
      <w:r>
        <w:rPr>
          <w:rFonts w:cs="Times New Roman"/>
          <w:i/>
          <w:szCs w:val="27"/>
        </w:rPr>
        <w:t>過去</w:t>
      </w:r>
      <w:r>
        <w:rPr>
          <w:rFonts w:cs="Times New Roman"/>
          <w:i/>
          <w:szCs w:val="27"/>
        </w:rPr>
        <w:t>5</w:t>
      </w:r>
      <w:r>
        <w:rPr>
          <w:rFonts w:cs="Times New Roman"/>
          <w:i/>
          <w:szCs w:val="27"/>
        </w:rPr>
        <w:t>年，每期發售的居屋項目的</w:t>
      </w:r>
      <w:r>
        <w:rPr>
          <w:rFonts w:cs="Times New Roman"/>
          <w:i/>
          <w:szCs w:val="27"/>
        </w:rPr>
        <w:t>(i)</w:t>
      </w:r>
      <w:r>
        <w:rPr>
          <w:rFonts w:cs="Times New Roman"/>
          <w:i/>
          <w:szCs w:val="27"/>
        </w:rPr>
        <w:t>總工程費用、</w:t>
      </w:r>
      <w:r>
        <w:rPr>
          <w:rFonts w:cs="Times New Roman"/>
          <w:i/>
          <w:szCs w:val="27"/>
        </w:rPr>
        <w:t>(ii)</w:t>
      </w:r>
      <w:r>
        <w:rPr>
          <w:rFonts w:cs="Times New Roman"/>
          <w:i/>
          <w:szCs w:val="27"/>
        </w:rPr>
        <w:t>總售樓收益、</w:t>
      </w:r>
      <w:r>
        <w:rPr>
          <w:rFonts w:cs="Times New Roman"/>
          <w:i/>
          <w:szCs w:val="27"/>
        </w:rPr>
        <w:t>(iii)</w:t>
      </w:r>
      <w:r>
        <w:rPr>
          <w:rFonts w:cs="Times New Roman"/>
          <w:i/>
          <w:szCs w:val="27"/>
        </w:rPr>
        <w:t>運作盈餘，以及</w:t>
      </w:r>
      <w:r>
        <w:rPr>
          <w:rFonts w:cs="Times New Roman"/>
          <w:i/>
          <w:szCs w:val="27"/>
        </w:rPr>
        <w:t>(iv)</w:t>
      </w:r>
      <w:r>
        <w:rPr>
          <w:rFonts w:cs="Times New Roman"/>
          <w:i/>
          <w:szCs w:val="27"/>
        </w:rPr>
        <w:t>土地成本為何；</w:t>
      </w:r>
    </w:p>
    <w:p>
      <w:pPr>
        <w:pStyle w:val="F21"/>
        <w:ind w:left="1418" w:hanging="851"/>
        <w:rPr>
          <w:rFonts w:cs="Times New Roman"/>
          <w:i/>
          <w:i/>
          <w:szCs w:val="27"/>
        </w:rPr>
      </w:pPr>
      <w:r>
        <w:rPr>
          <w:rFonts w:cs="Times New Roman"/>
          <w:i/>
          <w:szCs w:val="27"/>
        </w:rPr>
      </w:r>
    </w:p>
    <w:p>
      <w:pPr>
        <w:pStyle w:val="F21"/>
        <w:ind w:left="1418" w:hanging="851"/>
        <w:rPr>
          <w:rFonts w:cs="Times New Roman"/>
          <w:i/>
          <w:i/>
          <w:szCs w:val="27"/>
        </w:rPr>
      </w:pPr>
      <w:r>
        <w:rPr>
          <w:rFonts w:cs="Times New Roman"/>
          <w:i/>
          <w:szCs w:val="27"/>
        </w:rPr>
        <w:t>(</w:t>
      </w:r>
      <w:r>
        <w:rPr>
          <w:rFonts w:cs="Times New Roman"/>
          <w:i/>
          <w:szCs w:val="27"/>
        </w:rPr>
        <w:t>四</w:t>
      </w:r>
      <w:r>
        <w:rPr>
          <w:rFonts w:cs="Times New Roman"/>
          <w:i/>
          <w:szCs w:val="27"/>
        </w:rPr>
        <w:t>)</w:t>
        <w:tab/>
      </w:r>
      <w:r>
        <w:rPr>
          <w:rFonts w:cs="Times New Roman"/>
          <w:i/>
          <w:szCs w:val="27"/>
        </w:rPr>
        <w:t>會否把房委會及房協須就其發展的資助出售房屋項目向政府繳付的土地成本的計算方式劃一；若否，原因為何；</w:t>
      </w:r>
    </w:p>
    <w:p>
      <w:pPr>
        <w:pStyle w:val="F21"/>
        <w:ind w:left="1418" w:hanging="851"/>
        <w:rPr>
          <w:rFonts w:cs="Times New Roman"/>
          <w:i/>
          <w:i/>
          <w:szCs w:val="27"/>
        </w:rPr>
      </w:pPr>
      <w:r>
        <w:rPr>
          <w:rFonts w:cs="Times New Roman"/>
          <w:i/>
          <w:szCs w:val="27"/>
        </w:rPr>
      </w:r>
    </w:p>
    <w:p>
      <w:pPr>
        <w:pStyle w:val="F21"/>
        <w:ind w:left="1418" w:hanging="851"/>
        <w:rPr>
          <w:rFonts w:cs="Times New Roman"/>
          <w:i/>
          <w:i/>
          <w:szCs w:val="27"/>
        </w:rPr>
      </w:pPr>
      <w:r>
        <w:rPr>
          <w:rFonts w:cs="Times New Roman"/>
          <w:i/>
          <w:szCs w:val="27"/>
        </w:rPr>
        <w:t>(</w:t>
      </w:r>
      <w:r>
        <w:rPr>
          <w:rFonts w:cs="Times New Roman"/>
          <w:i/>
          <w:szCs w:val="27"/>
        </w:rPr>
        <w:t>五</w:t>
      </w:r>
      <w:r>
        <w:rPr>
          <w:rFonts w:cs="Times New Roman"/>
          <w:i/>
          <w:szCs w:val="27"/>
        </w:rPr>
        <w:t>)</w:t>
        <w:tab/>
      </w:r>
      <w:r>
        <w:rPr>
          <w:rFonts w:cs="Times New Roman"/>
          <w:i/>
          <w:szCs w:val="27"/>
        </w:rPr>
        <w:t>房委會及房協預計在本個及未來</w:t>
      </w:r>
      <w:r>
        <w:rPr>
          <w:rFonts w:cs="Times New Roman"/>
          <w:i/>
          <w:szCs w:val="27"/>
        </w:rPr>
        <w:t>4</w:t>
      </w:r>
      <w:r>
        <w:rPr>
          <w:rFonts w:cs="Times New Roman"/>
          <w:i/>
          <w:szCs w:val="27"/>
        </w:rPr>
        <w:t>個財政年度，每年推售的資助出售房屋項目數目及其單位總數分別為何；及</w:t>
      </w:r>
    </w:p>
    <w:p>
      <w:pPr>
        <w:pStyle w:val="F21"/>
        <w:ind w:left="1418" w:hanging="851"/>
        <w:rPr>
          <w:rFonts w:cs="Times New Roman"/>
          <w:i/>
          <w:i/>
          <w:szCs w:val="27"/>
        </w:rPr>
      </w:pPr>
      <w:r>
        <w:rPr>
          <w:rFonts w:cs="Times New Roman"/>
          <w:i/>
          <w:szCs w:val="27"/>
        </w:rPr>
      </w:r>
    </w:p>
    <w:p>
      <w:pPr>
        <w:pStyle w:val="F21"/>
        <w:ind w:left="1418" w:hanging="851"/>
        <w:rPr>
          <w:rFonts w:cs="Times New Roman"/>
          <w:i/>
          <w:i/>
          <w:szCs w:val="27"/>
        </w:rPr>
      </w:pPr>
      <w:r>
        <w:rPr>
          <w:rFonts w:cs="Times New Roman"/>
          <w:i/>
          <w:szCs w:val="27"/>
        </w:rPr>
        <w:t>(</w:t>
      </w:r>
      <w:r>
        <w:rPr>
          <w:rFonts w:cs="Times New Roman"/>
          <w:i/>
          <w:szCs w:val="27"/>
        </w:rPr>
        <w:t>六</w:t>
      </w:r>
      <w:r>
        <w:rPr>
          <w:rFonts w:cs="Times New Roman"/>
          <w:i/>
          <w:szCs w:val="27"/>
        </w:rPr>
        <w:t>)</w:t>
        <w:tab/>
      </w:r>
      <w:r>
        <w:rPr>
          <w:rFonts w:cs="Times New Roman"/>
          <w:i/>
          <w:szCs w:val="27"/>
        </w:rPr>
        <w:t>鑒於近年每期居屋的白表申請者均遠多於綠表申請者，房委會會否把綠表與白表申請者的配額比例，由現時的</w:t>
      </w:r>
      <w:r>
        <w:rPr>
          <w:rFonts w:cs="Times New Roman"/>
          <w:i/>
          <w:szCs w:val="27"/>
        </w:rPr>
        <w:t>50</w:t>
      </w:r>
      <w:r>
        <w:rPr>
          <w:rFonts w:cs="Times New Roman"/>
          <w:i/>
          <w:szCs w:val="27"/>
        </w:rPr>
        <w:t>：‍</w:t>
      </w:r>
      <w:r>
        <w:rPr>
          <w:rFonts w:cs="Times New Roman"/>
          <w:i/>
          <w:szCs w:val="27"/>
        </w:rPr>
        <w:t>50</w:t>
      </w:r>
      <w:r>
        <w:rPr>
          <w:rFonts w:cs="Times New Roman"/>
          <w:i/>
          <w:szCs w:val="27"/>
        </w:rPr>
        <w:t>改為</w:t>
      </w:r>
      <w:r>
        <w:rPr>
          <w:rFonts w:cs="Times New Roman"/>
          <w:i/>
          <w:szCs w:val="27"/>
        </w:rPr>
        <w:t>40</w:t>
      </w:r>
      <w:r>
        <w:rPr>
          <w:rFonts w:cs="Times New Roman"/>
          <w:i/>
          <w:szCs w:val="27"/>
        </w:rPr>
        <w:t>：</w:t>
      </w:r>
      <w:r>
        <w:rPr>
          <w:rFonts w:cs="Times New Roman"/>
          <w:i/>
          <w:szCs w:val="27"/>
        </w:rPr>
        <w:t>60</w:t>
      </w:r>
      <w:r>
        <w:rPr>
          <w:rFonts w:cs="Times New Roman"/>
          <w:i/>
          <w:szCs w:val="27"/>
        </w:rPr>
        <w:t>；若否，原因為何；若會，詳情為何？</w:t>
      </w:r>
    </w:p>
    <w:p>
      <w:pPr>
        <w:pStyle w:val="F21"/>
        <w:rPr>
          <w:rFonts w:cs="Times New Roman"/>
          <w:szCs w:val="27"/>
        </w:rPr>
      </w:pPr>
      <w:r>
        <w:rPr>
          <w:rFonts w:cs="Times New Roman"/>
          <w:szCs w:val="27"/>
        </w:rPr>
      </w:r>
    </w:p>
    <w:p>
      <w:pPr>
        <w:pStyle w:val="F21"/>
        <w:rPr>
          <w:rFonts w:cs="Times New Roman"/>
          <w:szCs w:val="27"/>
        </w:rPr>
      </w:pPr>
      <w:r>
        <w:rPr>
          <w:rFonts w:cs="Times New Roman"/>
          <w:szCs w:val="27"/>
        </w:rPr>
      </w:r>
    </w:p>
    <w:p>
      <w:pPr>
        <w:pStyle w:val="F21"/>
        <w:rPr>
          <w:rFonts w:cs="Times New Roman"/>
          <w:szCs w:val="27"/>
        </w:rPr>
      </w:pPr>
      <w:r>
        <w:rPr>
          <w:rFonts w:cs="Times New Roman" w:eastAsia="華康中黑體"/>
          <w:b/>
          <w:szCs w:val="27"/>
        </w:rPr>
        <w:t>運輸及房屋局局長</w:t>
      </w:r>
      <w:r>
        <w:rPr>
          <w:rFonts w:cs="Times New Roman"/>
          <w:szCs w:val="27"/>
        </w:rPr>
        <w:t xml:space="preserve">：主席，我現就陳克勤議員的質詢綜合答覆如下： </w:t>
      </w:r>
    </w:p>
    <w:p>
      <w:pPr>
        <w:pStyle w:val="F21"/>
        <w:rPr>
          <w:rFonts w:cs="Times New Roman"/>
          <w:szCs w:val="27"/>
        </w:rPr>
      </w:pPr>
      <w:r>
        <w:rPr>
          <w:rFonts w:cs="Times New Roman"/>
          <w:szCs w:val="27"/>
        </w:rPr>
      </w:r>
    </w:p>
    <w:p>
      <w:pPr>
        <w:pStyle w:val="F21"/>
        <w:rPr>
          <w:rFonts w:cs="Times New Roman"/>
          <w:szCs w:val="27"/>
        </w:rPr>
      </w:pPr>
      <w:r>
        <w:rPr>
          <w:rFonts w:cs="Times New Roman"/>
          <w:szCs w:val="27"/>
        </w:rPr>
        <w:tab/>
      </w:r>
      <w:r>
        <w:rPr>
          <w:rFonts w:cs="Times New Roman"/>
          <w:szCs w:val="27"/>
        </w:rPr>
        <w:t>香港房屋委員會</w:t>
      </w:r>
      <w:r>
        <w:rPr>
          <w:rFonts w:cs="Times New Roman"/>
          <w:szCs w:val="27"/>
        </w:rPr>
        <w:t>("</w:t>
      </w:r>
      <w:r>
        <w:rPr>
          <w:rFonts w:cs="Times New Roman"/>
          <w:szCs w:val="27"/>
        </w:rPr>
        <w:t>房委會</w:t>
      </w:r>
      <w:r>
        <w:rPr>
          <w:rFonts w:cs="Times New Roman"/>
          <w:szCs w:val="27"/>
        </w:rPr>
        <w:t>")</w:t>
      </w:r>
      <w:r>
        <w:rPr>
          <w:rFonts w:cs="Times New Roman"/>
          <w:szCs w:val="27"/>
        </w:rPr>
        <w:t>居者有其屋</w:t>
      </w:r>
      <w:r>
        <w:rPr>
          <w:rFonts w:cs="Times New Roman"/>
          <w:szCs w:val="27"/>
        </w:rPr>
        <w:t>("</w:t>
      </w:r>
      <w:r>
        <w:rPr>
          <w:rFonts w:cs="Times New Roman"/>
          <w:szCs w:val="27"/>
        </w:rPr>
        <w:t>居屋</w:t>
      </w:r>
      <w:r>
        <w:rPr>
          <w:rFonts w:cs="Times New Roman"/>
          <w:szCs w:val="27"/>
        </w:rPr>
        <w:t>")</w:t>
      </w:r>
      <w:r>
        <w:rPr>
          <w:rFonts w:cs="Times New Roman"/>
          <w:szCs w:val="27"/>
        </w:rPr>
        <w:t>計劃所涉及的發展成本是指建築和間接成本。根據現行安排，政府以</w:t>
      </w:r>
      <w:r>
        <w:rPr>
          <w:rFonts w:cs="Times New Roman"/>
          <w:szCs w:val="27"/>
        </w:rPr>
        <w:t>1,000</w:t>
      </w:r>
      <w:r>
        <w:rPr>
          <w:rFonts w:cs="Times New Roman"/>
          <w:szCs w:val="27"/>
        </w:rPr>
        <w:t>元象徵式地價向房委會提供土地發展資助出售單位</w:t>
      </w:r>
      <w:r>
        <w:rPr>
          <w:rFonts w:cs="Times New Roman"/>
          <w:szCs w:val="27"/>
        </w:rPr>
        <w:t>(</w:t>
      </w:r>
      <w:r>
        <w:rPr>
          <w:rFonts w:cs="Times New Roman"/>
          <w:szCs w:val="27"/>
        </w:rPr>
        <w:t>包括居屋</w:t>
      </w:r>
      <w:r>
        <w:rPr>
          <w:rFonts w:cs="Times New Roman"/>
          <w:szCs w:val="27"/>
        </w:rPr>
        <w:t>)</w:t>
      </w:r>
      <w:r>
        <w:rPr>
          <w:rFonts w:cs="Times New Roman"/>
          <w:szCs w:val="27"/>
        </w:rPr>
        <w:t>，房委會向政府支付發展成本的</w:t>
      </w:r>
      <w:r>
        <w:rPr>
          <w:rFonts w:cs="Times New Roman"/>
          <w:szCs w:val="27"/>
        </w:rPr>
        <w:t>35%</w:t>
      </w:r>
      <w:r>
        <w:rPr>
          <w:rFonts w:cs="Times New Roman"/>
          <w:szCs w:val="27"/>
        </w:rPr>
        <w:t>，作為政府提供平整土地及基礎設施的土地成本。至於間接行政成本及其他與銷售相關的開支，則包括印刷、廣告、宣傳、顧問、入伙前管理事宜等。房委會在</w:t>
      </w:r>
      <w:r>
        <w:rPr>
          <w:rFonts w:cs="Times New Roman"/>
          <w:szCs w:val="27"/>
        </w:rPr>
        <w:t>2014</w:t>
      </w:r>
      <w:r>
        <w:rPr>
          <w:rFonts w:cs="Times New Roman"/>
          <w:szCs w:val="27"/>
        </w:rPr>
        <w:t>年至</w:t>
      </w:r>
      <w:r>
        <w:rPr>
          <w:rFonts w:cs="Times New Roman"/>
          <w:szCs w:val="27"/>
        </w:rPr>
        <w:t>2018</w:t>
      </w:r>
      <w:r>
        <w:rPr>
          <w:rFonts w:cs="Times New Roman"/>
          <w:szCs w:val="27"/>
        </w:rPr>
        <w:t>年發售的居屋項目的財務資料載於附件。</w:t>
      </w:r>
    </w:p>
    <w:p>
      <w:pPr>
        <w:pStyle w:val="F21"/>
        <w:rPr>
          <w:rFonts w:cs="Times New Roman"/>
          <w:szCs w:val="27"/>
        </w:rPr>
      </w:pPr>
      <w:r>
        <w:rPr>
          <w:rFonts w:cs="Times New Roman"/>
          <w:szCs w:val="27"/>
        </w:rPr>
      </w:r>
    </w:p>
    <w:p>
      <w:pPr>
        <w:pStyle w:val="F21"/>
        <w:rPr>
          <w:rFonts w:cs="Times New Roman"/>
          <w:szCs w:val="27"/>
        </w:rPr>
      </w:pPr>
      <w:r>
        <w:rPr>
          <w:rFonts w:cs="Times New Roman"/>
          <w:szCs w:val="27"/>
        </w:rPr>
        <w:tab/>
      </w:r>
      <w:r>
        <w:rPr>
          <w:rFonts w:cs="Times New Roman"/>
          <w:szCs w:val="27"/>
        </w:rPr>
        <w:t>香港房屋協會</w:t>
      </w:r>
      <w:r>
        <w:rPr>
          <w:rFonts w:cs="Times New Roman"/>
          <w:szCs w:val="27"/>
        </w:rPr>
        <w:t>("</w:t>
      </w:r>
      <w:r>
        <w:rPr>
          <w:rFonts w:cs="Times New Roman"/>
          <w:szCs w:val="27"/>
        </w:rPr>
        <w:t>房協</w:t>
      </w:r>
      <w:r>
        <w:rPr>
          <w:rFonts w:cs="Times New Roman"/>
          <w:szCs w:val="27"/>
        </w:rPr>
        <w:t>")</w:t>
      </w:r>
      <w:r>
        <w:rPr>
          <w:rFonts w:cs="Times New Roman"/>
          <w:szCs w:val="27"/>
        </w:rPr>
        <w:t>是政府房屋政策的重要合作夥伴，為中低收入家庭提供出租單位和資助出售房屋方面發揮積極作用。政府一向透過優惠地價的方式，讓房協在政府批租的土地上以自負盈虧的模式發展資助房屋項目。</w:t>
      </w:r>
    </w:p>
    <w:p>
      <w:pPr>
        <w:pStyle w:val="F21"/>
        <w:rPr>
          <w:rFonts w:cs="Times New Roman"/>
          <w:szCs w:val="27"/>
        </w:rPr>
      </w:pPr>
      <w:r>
        <w:rPr>
          <w:rFonts w:cs="Times New Roman"/>
          <w:szCs w:val="27"/>
        </w:rPr>
      </w:r>
    </w:p>
    <w:p>
      <w:pPr>
        <w:pStyle w:val="F21"/>
        <w:rPr>
          <w:rFonts w:cs="Times New Roman"/>
          <w:szCs w:val="27"/>
        </w:rPr>
      </w:pPr>
      <w:r>
        <w:rPr>
          <w:rFonts w:cs="Times New Roman"/>
          <w:szCs w:val="27"/>
        </w:rPr>
        <w:tab/>
      </w:r>
      <w:r>
        <w:rPr>
          <w:rFonts w:cs="Times New Roman"/>
          <w:szCs w:val="27"/>
        </w:rPr>
        <w:t>在</w:t>
      </w:r>
      <w:r>
        <w:rPr>
          <w:rFonts w:cs="Times New Roman"/>
          <w:szCs w:val="27"/>
        </w:rPr>
        <w:t>2018</w:t>
      </w:r>
      <w:r>
        <w:rPr>
          <w:rFonts w:cs="Times New Roman"/>
          <w:szCs w:val="27"/>
        </w:rPr>
        <w:t>年</w:t>
      </w:r>
      <w:r>
        <w:rPr>
          <w:rFonts w:cs="Times New Roman"/>
          <w:szCs w:val="27"/>
        </w:rPr>
        <w:t>6</w:t>
      </w:r>
      <w:r>
        <w:rPr>
          <w:rFonts w:cs="Times New Roman"/>
          <w:szCs w:val="27"/>
        </w:rPr>
        <w:t>月</w:t>
      </w:r>
      <w:r>
        <w:rPr>
          <w:rFonts w:cs="Times New Roman"/>
          <w:szCs w:val="27"/>
        </w:rPr>
        <w:t>29</w:t>
      </w:r>
      <w:r>
        <w:rPr>
          <w:rFonts w:cs="Times New Roman"/>
          <w:szCs w:val="27"/>
        </w:rPr>
        <w:t>日公布的新居屋定價機制下，房協或需相應調高其資助出售房屋的折扣率，這或會導致房協收入減少，影響房協的財政可持續性。政府在檢視有關房協資助房屋項目的地價安排後，已於</w:t>
      </w:r>
      <w:r>
        <w:rPr>
          <w:rFonts w:cs="Times New Roman"/>
          <w:szCs w:val="27"/>
        </w:rPr>
        <w:t>2019</w:t>
      </w:r>
      <w:r>
        <w:rPr>
          <w:rFonts w:cs="Times New Roman"/>
          <w:szCs w:val="27"/>
        </w:rPr>
        <w:t>年</w:t>
      </w:r>
      <w:r>
        <w:rPr>
          <w:rFonts w:cs="Times New Roman"/>
          <w:szCs w:val="27"/>
        </w:rPr>
        <w:t>1</w:t>
      </w:r>
      <w:r>
        <w:rPr>
          <w:rFonts w:cs="Times New Roman"/>
          <w:szCs w:val="27"/>
        </w:rPr>
        <w:t>月作出修訂：房協出租屋邨由十足市值地價的三分之一減至</w:t>
      </w:r>
      <w:r>
        <w:rPr>
          <w:rFonts w:cs="Times New Roman"/>
          <w:szCs w:val="27"/>
        </w:rPr>
        <w:t>1,000</w:t>
      </w:r>
      <w:r>
        <w:rPr>
          <w:rFonts w:cs="Times New Roman"/>
          <w:szCs w:val="27"/>
        </w:rPr>
        <w:t>元象徵式地價；資助出售房屋項目的住用部分由十足市值地價的二分之一減至三分之一，非住用部分則維持現時收取十足市值地價的安排。</w:t>
      </w:r>
      <w:r>
        <w:br w:type="page"/>
      </w:r>
    </w:p>
    <w:p>
      <w:pPr>
        <w:pStyle w:val="F21"/>
        <w:rPr>
          <w:rFonts w:cs="Times New Roman"/>
          <w:szCs w:val="27"/>
        </w:rPr>
      </w:pPr>
      <w:r>
        <w:rPr>
          <w:rFonts w:cs="Times New Roman"/>
          <w:szCs w:val="27"/>
        </w:rPr>
        <w:tab/>
      </w:r>
      <w:r>
        <w:rPr>
          <w:rFonts w:cs="Times New Roman"/>
          <w:szCs w:val="27"/>
        </w:rPr>
        <w:t>政府認為經修訂的地價安排可有助減低新居屋定價機制對房協造成的財政影響，並增強房協長遠的財政可持續性，讓房協能繼續以可負擔的租金和售價提供出租單位和資助出售房屋，滿足社會的住屋需要。</w:t>
      </w:r>
    </w:p>
    <w:p>
      <w:pPr>
        <w:pStyle w:val="F21"/>
        <w:rPr>
          <w:rFonts w:cs="Times New Roman"/>
          <w:szCs w:val="27"/>
        </w:rPr>
      </w:pPr>
      <w:r>
        <w:rPr>
          <w:rFonts w:cs="Times New Roman"/>
          <w:szCs w:val="27"/>
        </w:rPr>
      </w:r>
    </w:p>
    <w:p>
      <w:pPr>
        <w:pStyle w:val="F21"/>
        <w:rPr>
          <w:rFonts w:cs="Times New Roman"/>
          <w:szCs w:val="27"/>
        </w:rPr>
      </w:pPr>
      <w:r>
        <w:rPr>
          <w:rFonts w:cs="Times New Roman"/>
          <w:szCs w:val="27"/>
        </w:rPr>
        <w:tab/>
      </w:r>
      <w:r>
        <w:rPr>
          <w:rFonts w:cs="Times New Roman"/>
          <w:szCs w:val="27"/>
        </w:rPr>
        <w:t>房委會和房協在提供公營房屋方面扮演不同角色，兩者相輔相成。房委會是負責興建公屋和居屋的主要機構；而房協除了提供出租單位和資助出售房屋外，亦擔當房屋實驗室的角色。兩間機構的架構和營運模式亦有所不同。政府認為沒有必要劃一這兩間機構有關資助出售房屋項目的地價安排。</w:t>
      </w:r>
    </w:p>
    <w:p>
      <w:pPr>
        <w:pStyle w:val="F21"/>
        <w:rPr>
          <w:rFonts w:cs="Times New Roman"/>
          <w:szCs w:val="27"/>
        </w:rPr>
      </w:pPr>
      <w:r>
        <w:rPr>
          <w:rFonts w:cs="Times New Roman"/>
          <w:szCs w:val="27"/>
        </w:rPr>
      </w:r>
    </w:p>
    <w:p>
      <w:pPr>
        <w:pStyle w:val="F21"/>
        <w:rPr>
          <w:rFonts w:cs="Times New Roman"/>
          <w:szCs w:val="27"/>
        </w:rPr>
      </w:pPr>
      <w:r>
        <w:rPr>
          <w:rFonts w:cs="Times New Roman"/>
          <w:szCs w:val="27"/>
        </w:rPr>
        <w:tab/>
      </w:r>
      <w:r>
        <w:rPr>
          <w:rFonts w:cs="Times New Roman"/>
          <w:szCs w:val="27"/>
        </w:rPr>
        <w:t>根據</w:t>
      </w:r>
      <w:r>
        <w:rPr>
          <w:rFonts w:cs="Times New Roman"/>
          <w:szCs w:val="27"/>
        </w:rPr>
        <w:t>2018</w:t>
      </w:r>
      <w:r>
        <w:rPr>
          <w:rFonts w:cs="Times New Roman"/>
          <w:szCs w:val="27"/>
        </w:rPr>
        <w:t>年</w:t>
      </w:r>
      <w:r>
        <w:rPr>
          <w:rFonts w:cs="Times New Roman"/>
          <w:szCs w:val="27"/>
        </w:rPr>
        <w:t>12</w:t>
      </w:r>
      <w:r>
        <w:rPr>
          <w:rFonts w:cs="Times New Roman"/>
          <w:szCs w:val="27"/>
        </w:rPr>
        <w:t>月公布的《長遠房屋策略》</w:t>
      </w:r>
      <w:r>
        <w:rPr>
          <w:rFonts w:cs="Times New Roman"/>
          <w:szCs w:val="27"/>
        </w:rPr>
        <w:t>2018</w:t>
      </w:r>
      <w:r>
        <w:rPr>
          <w:rFonts w:cs="Times New Roman"/>
          <w:szCs w:val="27"/>
        </w:rPr>
        <w:t>年周年進度報告的最新推算，</w:t>
      </w:r>
      <w:r>
        <w:rPr>
          <w:rFonts w:cs="Times New Roman"/>
          <w:szCs w:val="27"/>
        </w:rPr>
        <w:t>2019-2020</w:t>
      </w:r>
      <w:r>
        <w:rPr>
          <w:rFonts w:cs="Times New Roman"/>
          <w:szCs w:val="27"/>
        </w:rPr>
        <w:t>年度至</w:t>
      </w:r>
      <w:r>
        <w:rPr>
          <w:rFonts w:cs="Times New Roman"/>
          <w:szCs w:val="27"/>
        </w:rPr>
        <w:t>2028-2029</w:t>
      </w:r>
      <w:r>
        <w:rPr>
          <w:rFonts w:cs="Times New Roman"/>
          <w:szCs w:val="27"/>
        </w:rPr>
        <w:t>年度十年期的總房屋供應目標為</w:t>
      </w:r>
      <w:r>
        <w:rPr>
          <w:rFonts w:cs="Times New Roman"/>
          <w:szCs w:val="27"/>
        </w:rPr>
        <w:t>450 000</w:t>
      </w:r>
      <w:r>
        <w:rPr>
          <w:rFonts w:cs="Times New Roman"/>
          <w:szCs w:val="27"/>
        </w:rPr>
        <w:t>個單位，當中公營房屋供應目標為</w:t>
      </w:r>
      <w:r>
        <w:rPr>
          <w:rFonts w:cs="Times New Roman"/>
          <w:szCs w:val="27"/>
        </w:rPr>
        <w:t>315 000</w:t>
      </w:r>
      <w:r>
        <w:rPr>
          <w:rFonts w:cs="Times New Roman"/>
          <w:szCs w:val="27"/>
        </w:rPr>
        <w:t>個單位，私營房屋供應目標則為</w:t>
      </w:r>
      <w:r>
        <w:rPr>
          <w:rFonts w:cs="Times New Roman"/>
          <w:szCs w:val="27"/>
        </w:rPr>
        <w:t>135 000</w:t>
      </w:r>
      <w:r>
        <w:rPr>
          <w:rFonts w:cs="Times New Roman"/>
          <w:szCs w:val="27"/>
        </w:rPr>
        <w:t>個單位。根據</w:t>
      </w:r>
      <w:r>
        <w:rPr>
          <w:rFonts w:cs="Times New Roman"/>
          <w:szCs w:val="27"/>
        </w:rPr>
        <w:t>2018</w:t>
      </w:r>
      <w:r>
        <w:rPr>
          <w:rFonts w:cs="Times New Roman"/>
          <w:szCs w:val="27"/>
        </w:rPr>
        <w:t>年</w:t>
      </w:r>
      <w:r>
        <w:rPr>
          <w:rFonts w:cs="Times New Roman"/>
          <w:szCs w:val="27"/>
        </w:rPr>
        <w:t>12</w:t>
      </w:r>
      <w:r>
        <w:rPr>
          <w:rFonts w:cs="Times New Roman"/>
          <w:szCs w:val="27"/>
        </w:rPr>
        <w:t>月的估算，在</w:t>
      </w:r>
      <w:r>
        <w:rPr>
          <w:rFonts w:cs="Times New Roman"/>
          <w:szCs w:val="27"/>
        </w:rPr>
        <w:t>2018-2019</w:t>
      </w:r>
      <w:r>
        <w:rPr>
          <w:rFonts w:cs="Times New Roman"/>
          <w:szCs w:val="27"/>
        </w:rPr>
        <w:t>年度至</w:t>
      </w:r>
      <w:r>
        <w:rPr>
          <w:rFonts w:cs="Times New Roman"/>
          <w:szCs w:val="27"/>
        </w:rPr>
        <w:t>2022-2023</w:t>
      </w:r>
      <w:r>
        <w:rPr>
          <w:rFonts w:cs="Times New Roman"/>
          <w:szCs w:val="27"/>
        </w:rPr>
        <w:t>年度的五年期內，預計房委會和房協的公營房屋總落成量合共約為</w:t>
      </w:r>
      <w:r>
        <w:rPr>
          <w:rFonts w:cs="Times New Roman"/>
          <w:szCs w:val="27"/>
        </w:rPr>
        <w:t>100 400</w:t>
      </w:r>
      <w:r>
        <w:rPr>
          <w:rFonts w:cs="Times New Roman"/>
          <w:szCs w:val="27"/>
        </w:rPr>
        <w:t>個單位；私營房屋方面，根據政府截至</w:t>
      </w:r>
      <w:r>
        <w:rPr>
          <w:rFonts w:cs="Times New Roman"/>
          <w:szCs w:val="27"/>
        </w:rPr>
        <w:t>2018</w:t>
      </w:r>
      <w:r>
        <w:rPr>
          <w:rFonts w:cs="Times New Roman"/>
          <w:szCs w:val="27"/>
        </w:rPr>
        <w:t>年年底就已知</w:t>
      </w:r>
      <w:r>
        <w:rPr>
          <w:rFonts w:cs="Times New Roman"/>
          <w:szCs w:val="27"/>
        </w:rPr>
        <w:t>"</w:t>
      </w:r>
      <w:r>
        <w:rPr>
          <w:rFonts w:cs="Times New Roman"/>
          <w:szCs w:val="27"/>
        </w:rPr>
        <w:t>熟地</w:t>
      </w:r>
      <w:r>
        <w:rPr>
          <w:rFonts w:cs="Times New Roman"/>
          <w:szCs w:val="27"/>
        </w:rPr>
        <w:t>"</w:t>
      </w:r>
      <w:r>
        <w:rPr>
          <w:rFonts w:cs="Times New Roman"/>
          <w:szCs w:val="27"/>
        </w:rPr>
        <w:t>上私人住宅項目的初步估計，</w:t>
      </w:r>
      <w:r>
        <w:rPr>
          <w:rFonts w:cs="Times New Roman"/>
          <w:szCs w:val="27"/>
        </w:rPr>
        <w:t>2019</w:t>
      </w:r>
      <w:r>
        <w:rPr>
          <w:rFonts w:cs="Times New Roman"/>
          <w:szCs w:val="27"/>
        </w:rPr>
        <w:t>年至</w:t>
      </w:r>
      <w:r>
        <w:rPr>
          <w:rFonts w:cs="Times New Roman"/>
          <w:szCs w:val="27"/>
        </w:rPr>
        <w:t>2023</w:t>
      </w:r>
      <w:r>
        <w:rPr>
          <w:rFonts w:cs="Times New Roman"/>
          <w:szCs w:val="27"/>
        </w:rPr>
        <w:t>年私人住宅單位的每年平均落成量約為</w:t>
      </w:r>
      <w:r>
        <w:rPr>
          <w:rFonts w:cs="Times New Roman"/>
          <w:szCs w:val="27"/>
        </w:rPr>
        <w:t>18 800</w:t>
      </w:r>
      <w:r>
        <w:rPr>
          <w:rFonts w:cs="Times New Roman"/>
          <w:szCs w:val="27"/>
        </w:rPr>
        <w:t>個。</w:t>
      </w:r>
    </w:p>
    <w:p>
      <w:pPr>
        <w:pStyle w:val="F21"/>
        <w:rPr>
          <w:rFonts w:cs="Times New Roman"/>
          <w:szCs w:val="27"/>
        </w:rPr>
      </w:pPr>
      <w:r>
        <w:rPr>
          <w:rFonts w:cs="Times New Roman"/>
          <w:szCs w:val="27"/>
        </w:rPr>
      </w:r>
    </w:p>
    <w:p>
      <w:pPr>
        <w:pStyle w:val="F21"/>
        <w:rPr>
          <w:rFonts w:cs="Times New Roman"/>
          <w:szCs w:val="27"/>
        </w:rPr>
      </w:pPr>
      <w:r>
        <w:rPr>
          <w:rFonts w:cs="Times New Roman"/>
          <w:szCs w:val="27"/>
        </w:rPr>
        <w:tab/>
      </w:r>
      <w:r>
        <w:rPr>
          <w:rFonts w:cs="Times New Roman"/>
          <w:szCs w:val="27"/>
        </w:rPr>
        <w:t>房委會在考慮每年推出的居屋項目時，會審視個別項目銷售前期的準備工作</w:t>
      </w:r>
      <w:r>
        <w:rPr>
          <w:rFonts w:cs="Times New Roman"/>
          <w:szCs w:val="27"/>
        </w:rPr>
        <w:t>(</w:t>
      </w:r>
      <w:r>
        <w:rPr>
          <w:rFonts w:cs="Times New Roman"/>
          <w:szCs w:val="27"/>
        </w:rPr>
        <w:t>例如擬備地契及公契等</w:t>
      </w:r>
      <w:r>
        <w:rPr>
          <w:rFonts w:cs="Times New Roman"/>
          <w:szCs w:val="27"/>
        </w:rPr>
        <w:t>)</w:t>
      </w:r>
      <w:r>
        <w:rPr>
          <w:rFonts w:cs="Times New Roman"/>
          <w:szCs w:val="27"/>
        </w:rPr>
        <w:t>的工作進度，以及合適預售日期。每期發售的居屋項目的售價及銷售安排會由房委會資助房屋小組委員會審議和決定。房委會會在</w:t>
      </w:r>
      <w:r>
        <w:rPr>
          <w:rFonts w:cs="Times New Roman"/>
          <w:szCs w:val="27"/>
        </w:rPr>
        <w:t>2019</w:t>
      </w:r>
      <w:r>
        <w:rPr>
          <w:rFonts w:cs="Times New Roman"/>
          <w:szCs w:val="27"/>
        </w:rPr>
        <w:t>年推售</w:t>
      </w:r>
      <w:r>
        <w:rPr>
          <w:rFonts w:cs="Times New Roman"/>
          <w:szCs w:val="27"/>
        </w:rPr>
        <w:t>4 871</w:t>
      </w:r>
      <w:r>
        <w:rPr>
          <w:rFonts w:cs="Times New Roman"/>
          <w:szCs w:val="27"/>
        </w:rPr>
        <w:t>個居屋單位，包括</w:t>
      </w:r>
      <w:r>
        <w:rPr>
          <w:rFonts w:cs="Times New Roman"/>
          <w:szCs w:val="27"/>
        </w:rPr>
        <w:t>6</w:t>
      </w:r>
      <w:r>
        <w:rPr>
          <w:rFonts w:cs="Times New Roman"/>
          <w:szCs w:val="27"/>
        </w:rPr>
        <w:t>個位於何文田、長沙灣、葵涌、將軍澳、馬鞍山和沙田的發展項目。</w:t>
      </w:r>
    </w:p>
    <w:p>
      <w:pPr>
        <w:pStyle w:val="F21"/>
        <w:rPr>
          <w:rFonts w:cs="Times New Roman"/>
          <w:szCs w:val="27"/>
        </w:rPr>
      </w:pPr>
      <w:r>
        <w:rPr>
          <w:rFonts w:cs="Times New Roman"/>
          <w:szCs w:val="27"/>
        </w:rPr>
      </w:r>
    </w:p>
    <w:p>
      <w:pPr>
        <w:pStyle w:val="F21"/>
        <w:rPr>
          <w:rFonts w:cs="Times New Roman"/>
          <w:szCs w:val="27"/>
        </w:rPr>
      </w:pPr>
      <w:r>
        <w:rPr>
          <w:rFonts w:cs="Times New Roman"/>
          <w:szCs w:val="27"/>
        </w:rPr>
        <w:tab/>
      </w:r>
      <w:r>
        <w:rPr>
          <w:rFonts w:cs="Times New Roman"/>
          <w:szCs w:val="27"/>
        </w:rPr>
        <w:t>至於綠表置居計劃</w:t>
      </w:r>
      <w:r>
        <w:rPr>
          <w:rFonts w:cs="Times New Roman"/>
          <w:szCs w:val="27"/>
        </w:rPr>
        <w:t>("</w:t>
      </w:r>
      <w:r>
        <w:rPr>
          <w:rFonts w:cs="Times New Roman"/>
          <w:szCs w:val="27"/>
        </w:rPr>
        <w:t>綠置居</w:t>
      </w:r>
      <w:r>
        <w:rPr>
          <w:rFonts w:cs="Times New Roman"/>
          <w:szCs w:val="27"/>
        </w:rPr>
        <w:t>")</w:t>
      </w:r>
      <w:r>
        <w:rPr>
          <w:rFonts w:cs="Times New Roman"/>
          <w:szCs w:val="27"/>
        </w:rPr>
        <w:t>，房委會於</w:t>
      </w:r>
      <w:r>
        <w:rPr>
          <w:rFonts w:cs="Times New Roman"/>
          <w:szCs w:val="27"/>
        </w:rPr>
        <w:t>2019</w:t>
      </w:r>
      <w:r>
        <w:rPr>
          <w:rFonts w:cs="Times New Roman"/>
          <w:szCs w:val="27"/>
        </w:rPr>
        <w:t>年</w:t>
      </w:r>
      <w:r>
        <w:rPr>
          <w:rFonts w:cs="Times New Roman"/>
          <w:szCs w:val="27"/>
        </w:rPr>
        <w:t>3</w:t>
      </w:r>
      <w:r>
        <w:rPr>
          <w:rFonts w:cs="Times New Roman"/>
          <w:szCs w:val="27"/>
        </w:rPr>
        <w:t>月決定將兩個分別位於柴灣柴灣道和青衣青鴻路的公屋項目轉為</w:t>
      </w:r>
      <w:r>
        <w:rPr>
          <w:rFonts w:cs="Times New Roman"/>
          <w:szCs w:val="27"/>
        </w:rPr>
        <w:t>"</w:t>
      </w:r>
      <w:r>
        <w:rPr>
          <w:rFonts w:cs="Times New Roman"/>
          <w:szCs w:val="27"/>
        </w:rPr>
        <w:t>綠置居</w:t>
      </w:r>
      <w:r>
        <w:rPr>
          <w:rFonts w:cs="Times New Roman"/>
          <w:szCs w:val="27"/>
        </w:rPr>
        <w:t>"</w:t>
      </w:r>
      <w:r>
        <w:rPr>
          <w:rFonts w:cs="Times New Roman"/>
          <w:szCs w:val="27"/>
        </w:rPr>
        <w:t>，合共提供約</w:t>
      </w:r>
      <w:r>
        <w:rPr>
          <w:rFonts w:cs="Times New Roman"/>
          <w:szCs w:val="27"/>
        </w:rPr>
        <w:t>3 700</w:t>
      </w:r>
      <w:r>
        <w:rPr>
          <w:rFonts w:cs="Times New Roman"/>
          <w:szCs w:val="27"/>
        </w:rPr>
        <w:t>個單位，預計於</w:t>
      </w:r>
      <w:r>
        <w:rPr>
          <w:rFonts w:cs="Times New Roman"/>
          <w:szCs w:val="27"/>
        </w:rPr>
        <w:t>2019</w:t>
      </w:r>
      <w:r>
        <w:rPr>
          <w:rFonts w:cs="Times New Roman"/>
          <w:szCs w:val="27"/>
        </w:rPr>
        <w:t>年年底預售。在未來推展</w:t>
      </w:r>
      <w:r>
        <w:rPr>
          <w:rFonts w:cs="Times New Roman"/>
          <w:szCs w:val="27"/>
        </w:rPr>
        <w:t>"</w:t>
      </w:r>
      <w:r>
        <w:rPr>
          <w:rFonts w:cs="Times New Roman"/>
          <w:szCs w:val="27"/>
        </w:rPr>
        <w:t>綠置居</w:t>
      </w:r>
      <w:r>
        <w:rPr>
          <w:rFonts w:cs="Times New Roman"/>
          <w:szCs w:val="27"/>
        </w:rPr>
        <w:t>"</w:t>
      </w:r>
      <w:r>
        <w:rPr>
          <w:rFonts w:cs="Times New Roman"/>
          <w:szCs w:val="27"/>
        </w:rPr>
        <w:t>時，房委會會根據將</w:t>
      </w:r>
      <w:r>
        <w:rPr>
          <w:rFonts w:cs="Times New Roman"/>
          <w:szCs w:val="27"/>
        </w:rPr>
        <w:t>"</w:t>
      </w:r>
      <w:r>
        <w:rPr>
          <w:rFonts w:cs="Times New Roman"/>
          <w:szCs w:val="27"/>
        </w:rPr>
        <w:t>綠置居</w:t>
      </w:r>
      <w:r>
        <w:rPr>
          <w:rFonts w:cs="Times New Roman"/>
          <w:szCs w:val="27"/>
        </w:rPr>
        <w:t>"</w:t>
      </w:r>
      <w:r>
        <w:rPr>
          <w:rFonts w:cs="Times New Roman"/>
          <w:szCs w:val="27"/>
        </w:rPr>
        <w:t>恆常化時的決定，以較穩健的步伐推行</w:t>
      </w:r>
      <w:r>
        <w:rPr>
          <w:rFonts w:cs="Times New Roman"/>
          <w:szCs w:val="27"/>
        </w:rPr>
        <w:t>"</w:t>
      </w:r>
      <w:r>
        <w:rPr>
          <w:rFonts w:cs="Times New Roman"/>
          <w:szCs w:val="27"/>
        </w:rPr>
        <w:t>綠置居</w:t>
      </w:r>
      <w:r>
        <w:rPr>
          <w:rFonts w:cs="Times New Roman"/>
          <w:szCs w:val="27"/>
        </w:rPr>
        <w:t>"</w:t>
      </w:r>
      <w:r>
        <w:rPr>
          <w:rFonts w:cs="Times New Roman"/>
          <w:szCs w:val="27"/>
        </w:rPr>
        <w:t>，從而累積更多經驗，以減低出現未售單位的風險及減少對公屋申請者輪候時間的影響。房委會會繼續按循序漸進的方式，參考運作經驗及銷售反應，每年揀選適合由公屋發展計劃轉為</w:t>
      </w:r>
      <w:r>
        <w:rPr>
          <w:rFonts w:cs="Times New Roman"/>
          <w:szCs w:val="27"/>
        </w:rPr>
        <w:t>"</w:t>
      </w:r>
      <w:r>
        <w:rPr>
          <w:rFonts w:cs="Times New Roman"/>
          <w:szCs w:val="27"/>
        </w:rPr>
        <w:t>綠置居</w:t>
      </w:r>
      <w:r>
        <w:rPr>
          <w:rFonts w:cs="Times New Roman"/>
          <w:szCs w:val="27"/>
        </w:rPr>
        <w:t>"</w:t>
      </w:r>
      <w:r>
        <w:rPr>
          <w:rFonts w:cs="Times New Roman"/>
          <w:szCs w:val="27"/>
        </w:rPr>
        <w:t>的項目。</w:t>
      </w:r>
    </w:p>
    <w:p>
      <w:pPr>
        <w:pStyle w:val="F21"/>
        <w:rPr>
          <w:rFonts w:cs="Times New Roman"/>
          <w:szCs w:val="27"/>
        </w:rPr>
      </w:pPr>
      <w:r>
        <w:rPr>
          <w:rFonts w:cs="Times New Roman"/>
          <w:szCs w:val="27"/>
        </w:rPr>
      </w:r>
    </w:p>
    <w:p>
      <w:pPr>
        <w:pStyle w:val="F21"/>
        <w:rPr>
          <w:szCs w:val="27"/>
        </w:rPr>
      </w:pPr>
      <w:r>
        <w:rPr>
          <w:rFonts w:cs="Times New Roman"/>
          <w:szCs w:val="27"/>
        </w:rPr>
        <w:tab/>
      </w:r>
      <w:r>
        <w:rPr>
          <w:rFonts w:cs="Times New Roman"/>
          <w:szCs w:val="27"/>
        </w:rPr>
        <w:t>房協在</w:t>
      </w:r>
      <w:r>
        <w:rPr>
          <w:rFonts w:cs="Times New Roman"/>
          <w:szCs w:val="27"/>
        </w:rPr>
        <w:t>2017</w:t>
      </w:r>
      <w:r>
        <w:rPr>
          <w:rFonts w:cs="Times New Roman"/>
          <w:szCs w:val="27"/>
        </w:rPr>
        <w:t>年</w:t>
      </w:r>
      <w:r>
        <w:rPr>
          <w:rFonts w:cs="Times New Roman"/>
          <w:szCs w:val="27"/>
        </w:rPr>
        <w:t>11</w:t>
      </w:r>
      <w:r>
        <w:rPr>
          <w:rFonts w:cs="Times New Roman"/>
          <w:szCs w:val="27"/>
        </w:rPr>
        <w:t>月預售共</w:t>
      </w:r>
      <w:r>
        <w:rPr>
          <w:rFonts w:cs="Times New Roman"/>
          <w:szCs w:val="27"/>
        </w:rPr>
        <w:t>620</w:t>
      </w:r>
      <w:r>
        <w:rPr>
          <w:rFonts w:cs="Times New Roman"/>
          <w:szCs w:val="27"/>
        </w:rPr>
        <w:t>個分別位於屯門和將軍澳的資助出售單位。所有單位已於</w:t>
      </w:r>
      <w:r>
        <w:rPr>
          <w:rFonts w:cs="Times New Roman"/>
          <w:szCs w:val="27"/>
        </w:rPr>
        <w:t>2018</w:t>
      </w:r>
      <w:r>
        <w:rPr>
          <w:rFonts w:cs="Times New Roman"/>
          <w:szCs w:val="27"/>
        </w:rPr>
        <w:t>年</w:t>
      </w:r>
      <w:r>
        <w:rPr>
          <w:rFonts w:cs="Times New Roman"/>
          <w:szCs w:val="27"/>
        </w:rPr>
        <w:t>6</w:t>
      </w:r>
      <w:r>
        <w:rPr>
          <w:rFonts w:cs="Times New Roman"/>
          <w:szCs w:val="27"/>
        </w:rPr>
        <w:t>月售出。</w:t>
      </w:r>
      <w:r>
        <w:br w:type="page"/>
      </w:r>
    </w:p>
    <w:p>
      <w:pPr>
        <w:pStyle w:val="F21"/>
        <w:rPr>
          <w:rFonts w:cs="Times New Roman"/>
          <w:szCs w:val="27"/>
        </w:rPr>
      </w:pPr>
      <w:r>
        <w:rPr>
          <w:rFonts w:cs="Times New Roman"/>
          <w:szCs w:val="27"/>
        </w:rPr>
        <w:tab/>
      </w:r>
      <w:r>
        <w:rPr>
          <w:rFonts w:cs="Times New Roman"/>
          <w:szCs w:val="27"/>
        </w:rPr>
        <w:t>另一方面，政府在</w:t>
      </w:r>
      <w:r>
        <w:rPr>
          <w:rFonts w:cs="Times New Roman"/>
          <w:szCs w:val="27"/>
        </w:rPr>
        <w:t>2018</w:t>
      </w:r>
      <w:r>
        <w:rPr>
          <w:rFonts w:cs="Times New Roman"/>
          <w:szCs w:val="27"/>
        </w:rPr>
        <w:t>年</w:t>
      </w:r>
      <w:r>
        <w:rPr>
          <w:rFonts w:cs="Times New Roman"/>
          <w:szCs w:val="27"/>
        </w:rPr>
        <w:t>6</w:t>
      </w:r>
      <w:r>
        <w:rPr>
          <w:rFonts w:cs="Times New Roman"/>
          <w:szCs w:val="27"/>
        </w:rPr>
        <w:t>月</w:t>
      </w:r>
      <w:r>
        <w:rPr>
          <w:rFonts w:cs="Times New Roman"/>
          <w:szCs w:val="27"/>
        </w:rPr>
        <w:t>29</w:t>
      </w:r>
      <w:r>
        <w:rPr>
          <w:rFonts w:cs="Times New Roman"/>
          <w:szCs w:val="27"/>
        </w:rPr>
        <w:t>日公布將</w:t>
      </w:r>
      <w:r>
        <w:rPr>
          <w:rFonts w:cs="Times New Roman"/>
          <w:szCs w:val="27"/>
        </w:rPr>
        <w:t>9</w:t>
      </w:r>
      <w:r>
        <w:rPr>
          <w:rFonts w:cs="Times New Roman"/>
          <w:szCs w:val="27"/>
        </w:rPr>
        <w:t>幅原本計劃在未來數年出售的啟德及安達臣道石礦場用地改撥為公營房屋用途，預料可提供約</w:t>
      </w:r>
      <w:r>
        <w:rPr>
          <w:rFonts w:cs="Times New Roman"/>
          <w:szCs w:val="27"/>
        </w:rPr>
        <w:t>11 000</w:t>
      </w:r>
      <w:r>
        <w:rPr>
          <w:rFonts w:cs="Times New Roman"/>
          <w:szCs w:val="27"/>
        </w:rPr>
        <w:t>個公營房屋單位，有助收窄較後期公營房屋的供應短缺。其中一幅位於啟德的用地將批予房協重建真善美村，然後再在真善美村原址分階段重建樂民新村。這幅啟德用地的其餘新建單位亦可用作安置其他受政府發展計劃或市區重建局項目影響的合資格住戶。至於其餘</w:t>
      </w:r>
      <w:r>
        <w:rPr>
          <w:rFonts w:cs="Times New Roman"/>
          <w:szCs w:val="27"/>
        </w:rPr>
        <w:t>8</w:t>
      </w:r>
      <w:r>
        <w:rPr>
          <w:rFonts w:cs="Times New Roman"/>
          <w:szCs w:val="27"/>
        </w:rPr>
        <w:t>幅用地，考慮到有關用地的原有規劃意向及鄰近發展，房委會及房協將各自在</w:t>
      </w:r>
      <w:r>
        <w:rPr>
          <w:rFonts w:cs="Times New Roman"/>
          <w:szCs w:val="27"/>
        </w:rPr>
        <w:t>1</w:t>
      </w:r>
      <w:r>
        <w:rPr>
          <w:rFonts w:cs="Times New Roman"/>
          <w:szCs w:val="27"/>
        </w:rPr>
        <w:t>幅位於啟德的用地及</w:t>
      </w:r>
      <w:r>
        <w:rPr>
          <w:rFonts w:cs="Times New Roman"/>
          <w:szCs w:val="27"/>
        </w:rPr>
        <w:t>3</w:t>
      </w:r>
      <w:r>
        <w:rPr>
          <w:rFonts w:cs="Times New Roman"/>
          <w:szCs w:val="27"/>
        </w:rPr>
        <w:t>幅位於安達臣道石礦場的用地發展資助出售房屋。</w:t>
      </w:r>
    </w:p>
    <w:p>
      <w:pPr>
        <w:pStyle w:val="F21"/>
        <w:rPr>
          <w:rFonts w:cs="Times New Roman"/>
          <w:szCs w:val="27"/>
        </w:rPr>
      </w:pPr>
      <w:r>
        <w:rPr>
          <w:rFonts w:cs="Times New Roman"/>
          <w:szCs w:val="27"/>
        </w:rPr>
      </w:r>
    </w:p>
    <w:p>
      <w:pPr>
        <w:pStyle w:val="F21"/>
        <w:rPr>
          <w:rFonts w:cs="Times New Roman"/>
          <w:szCs w:val="27"/>
        </w:rPr>
      </w:pPr>
      <w:r>
        <w:rPr>
          <w:rFonts w:cs="Times New Roman"/>
          <w:szCs w:val="27"/>
        </w:rPr>
        <w:tab/>
      </w:r>
      <w:r>
        <w:rPr>
          <w:rFonts w:cs="Times New Roman"/>
          <w:szCs w:val="27"/>
        </w:rPr>
        <w:t>按既定安排，房委會會於每期新建居屋開售前，根據當時的情況制訂相關銷售細節，包括綠、白表申請者的配額比例。就</w:t>
      </w:r>
      <w:r>
        <w:rPr>
          <w:rFonts w:cs="Times New Roman"/>
          <w:szCs w:val="27"/>
        </w:rPr>
        <w:t>2019</w:t>
      </w:r>
      <w:r>
        <w:rPr>
          <w:rFonts w:cs="Times New Roman"/>
          <w:szCs w:val="27"/>
        </w:rPr>
        <w:t>年居屋銷售而言，房委會決定綠、白表申請者配額比例維持在</w:t>
      </w:r>
      <w:r>
        <w:rPr>
          <w:rFonts w:cs="Times New Roman"/>
          <w:szCs w:val="27"/>
        </w:rPr>
        <w:t>50</w:t>
      </w:r>
      <w:r>
        <w:rPr>
          <w:rFonts w:cs="Times New Roman"/>
          <w:szCs w:val="27"/>
        </w:rPr>
        <w:t>：</w:t>
      </w:r>
      <w:r>
        <w:rPr>
          <w:rFonts w:cs="Times New Roman"/>
          <w:szCs w:val="27"/>
        </w:rPr>
        <w:t>50</w:t>
      </w:r>
      <w:r>
        <w:rPr>
          <w:rFonts w:cs="Times New Roman"/>
          <w:szCs w:val="27"/>
        </w:rPr>
        <w:t>。房委會一方面考慮到向綠表人士</w:t>
      </w:r>
      <w:r>
        <w:rPr>
          <w:rFonts w:cs="Times New Roman"/>
          <w:szCs w:val="27"/>
        </w:rPr>
        <w:t>(</w:t>
      </w:r>
      <w:r>
        <w:rPr>
          <w:rFonts w:cs="Times New Roman"/>
          <w:szCs w:val="27"/>
        </w:rPr>
        <w:t>主要為公屋居民</w:t>
      </w:r>
      <w:r>
        <w:rPr>
          <w:rFonts w:cs="Times New Roman"/>
          <w:szCs w:val="27"/>
        </w:rPr>
        <w:t>)</w:t>
      </w:r>
      <w:r>
        <w:rPr>
          <w:rFonts w:cs="Times New Roman"/>
          <w:szCs w:val="27"/>
        </w:rPr>
        <w:t>出售居屋，有助增加公屋單位的流轉。此外，由於綠表的配額若未用盡，可重新編配予白表申請者。例如，雖然在居屋</w:t>
      </w:r>
      <w:r>
        <w:rPr>
          <w:rFonts w:cs="Times New Roman"/>
          <w:szCs w:val="27"/>
        </w:rPr>
        <w:t>2016</w:t>
      </w:r>
      <w:r>
        <w:rPr>
          <w:rFonts w:cs="Times New Roman"/>
          <w:szCs w:val="27"/>
        </w:rPr>
        <w:t>及居屋</w:t>
      </w:r>
      <w:r>
        <w:rPr>
          <w:rFonts w:cs="Times New Roman"/>
          <w:szCs w:val="27"/>
        </w:rPr>
        <w:t>2017</w:t>
      </w:r>
      <w:r>
        <w:rPr>
          <w:rFonts w:cs="Times New Roman"/>
          <w:szCs w:val="27"/>
        </w:rPr>
        <w:t>的銷售中，綠、白表申請者配額比例為</w:t>
      </w:r>
      <w:r>
        <w:rPr>
          <w:rFonts w:cs="Times New Roman"/>
          <w:szCs w:val="27"/>
        </w:rPr>
        <w:t>50</w:t>
      </w:r>
      <w:r>
        <w:rPr>
          <w:rFonts w:cs="Times New Roman"/>
          <w:szCs w:val="27"/>
        </w:rPr>
        <w:t>：</w:t>
      </w:r>
      <w:r>
        <w:rPr>
          <w:rFonts w:cs="Times New Roman"/>
          <w:szCs w:val="27"/>
        </w:rPr>
        <w:t>50</w:t>
      </w:r>
      <w:r>
        <w:rPr>
          <w:rFonts w:cs="Times New Roman"/>
          <w:szCs w:val="27"/>
        </w:rPr>
        <w:t>，但白表買家實際上購買了分別約</w:t>
      </w:r>
      <w:r>
        <w:rPr>
          <w:rFonts w:cs="Times New Roman"/>
          <w:szCs w:val="27"/>
        </w:rPr>
        <w:t>70%</w:t>
      </w:r>
      <w:r>
        <w:rPr>
          <w:rFonts w:cs="Times New Roman"/>
          <w:szCs w:val="27"/>
        </w:rPr>
        <w:t>及</w:t>
      </w:r>
      <w:r>
        <w:rPr>
          <w:rFonts w:cs="Times New Roman"/>
          <w:szCs w:val="27"/>
        </w:rPr>
        <w:t>60%</w:t>
      </w:r>
      <w:r>
        <w:rPr>
          <w:rFonts w:cs="Times New Roman"/>
          <w:szCs w:val="27"/>
        </w:rPr>
        <w:t>的單位。另一方面，白表居屋第二市場計劃</w:t>
      </w:r>
      <w:r>
        <w:rPr>
          <w:rFonts w:cs="Times New Roman"/>
          <w:szCs w:val="27"/>
        </w:rPr>
        <w:t>("</w:t>
      </w:r>
      <w:r>
        <w:rPr>
          <w:rFonts w:cs="Times New Roman"/>
          <w:szCs w:val="27"/>
        </w:rPr>
        <w:t>白居二</w:t>
      </w:r>
      <w:r>
        <w:rPr>
          <w:rFonts w:cs="Times New Roman"/>
          <w:szCs w:val="27"/>
        </w:rPr>
        <w:t>")</w:t>
      </w:r>
      <w:r>
        <w:rPr>
          <w:rFonts w:cs="Times New Roman"/>
          <w:szCs w:val="27"/>
        </w:rPr>
        <w:t>為白表買家提供了購買資助出售單位的另一途徑，而</w:t>
      </w:r>
      <w:r>
        <w:rPr>
          <w:rFonts w:cs="Times New Roman"/>
          <w:szCs w:val="27"/>
        </w:rPr>
        <w:t>2019</w:t>
      </w:r>
      <w:r>
        <w:rPr>
          <w:rFonts w:cs="Times New Roman"/>
          <w:szCs w:val="27"/>
        </w:rPr>
        <w:t>年</w:t>
      </w:r>
      <w:r>
        <w:rPr>
          <w:rFonts w:cs="Times New Roman"/>
          <w:szCs w:val="27"/>
        </w:rPr>
        <w:t>"</w:t>
      </w:r>
      <w:r>
        <w:rPr>
          <w:rFonts w:cs="Times New Roman"/>
          <w:szCs w:val="27"/>
        </w:rPr>
        <w:t>白居二</w:t>
      </w:r>
      <w:r>
        <w:rPr>
          <w:rFonts w:cs="Times New Roman"/>
          <w:szCs w:val="27"/>
        </w:rPr>
        <w:t>"</w:t>
      </w:r>
      <w:r>
        <w:rPr>
          <w:rFonts w:cs="Times New Roman"/>
          <w:szCs w:val="27"/>
        </w:rPr>
        <w:t>的配額亦增至</w:t>
      </w:r>
      <w:r>
        <w:rPr>
          <w:rFonts w:cs="Times New Roman"/>
          <w:szCs w:val="27"/>
        </w:rPr>
        <w:t>3 000</w:t>
      </w:r>
      <w:r>
        <w:rPr>
          <w:rFonts w:cs="Times New Roman"/>
          <w:szCs w:val="27"/>
        </w:rPr>
        <w:t>個。因此，房委會決定</w:t>
      </w:r>
      <w:r>
        <w:rPr>
          <w:rFonts w:cs="Times New Roman"/>
          <w:szCs w:val="27"/>
        </w:rPr>
        <w:t>2019</w:t>
      </w:r>
      <w:r>
        <w:rPr>
          <w:rFonts w:cs="Times New Roman"/>
          <w:szCs w:val="27"/>
        </w:rPr>
        <w:t>年居屋銷售的綠、白表申請者配額比例維持在</w:t>
      </w:r>
      <w:r>
        <w:rPr>
          <w:rFonts w:cs="Times New Roman"/>
          <w:szCs w:val="27"/>
        </w:rPr>
        <w:t>50</w:t>
      </w:r>
      <w:r>
        <w:rPr>
          <w:rFonts w:cs="Times New Roman"/>
          <w:szCs w:val="27"/>
        </w:rPr>
        <w:t>：</w:t>
      </w:r>
      <w:r>
        <w:rPr>
          <w:rFonts w:cs="Times New Roman"/>
          <w:szCs w:val="27"/>
        </w:rPr>
        <w:t>50</w:t>
      </w:r>
      <w:r>
        <w:rPr>
          <w:rFonts w:cs="Times New Roman"/>
          <w:szCs w:val="27"/>
        </w:rPr>
        <w:t>。</w:t>
      </w:r>
    </w:p>
    <w:p>
      <w:pPr>
        <w:pStyle w:val="F21"/>
        <w:rPr>
          <w:rFonts w:cs="Times New Roman"/>
          <w:szCs w:val="27"/>
        </w:rPr>
      </w:pPr>
      <w:r>
        <w:rPr>
          <w:rFonts w:cs="Times New Roman"/>
          <w:szCs w:val="27"/>
        </w:rPr>
      </w:r>
    </w:p>
    <w:p>
      <w:pPr>
        <w:pStyle w:val="F21"/>
        <w:rPr>
          <w:rFonts w:cs="Times New Roman"/>
          <w:szCs w:val="27"/>
        </w:rPr>
      </w:pPr>
      <w:r>
        <w:rPr>
          <w:rFonts w:cs="Times New Roman"/>
          <w:szCs w:val="27"/>
        </w:rPr>
        <w:tab/>
      </w:r>
      <w:r>
        <w:rPr>
          <w:rFonts w:cs="Times New Roman"/>
          <w:szCs w:val="27"/>
        </w:rPr>
        <w:t>房委會日後制訂綠表和白表的配額比例時，會一如既往，考慮所有相關因素。</w:t>
      </w:r>
    </w:p>
    <w:p>
      <w:pPr>
        <w:pStyle w:val="F21"/>
        <w:rPr>
          <w:rFonts w:cs="Times New Roman"/>
          <w:szCs w:val="27"/>
        </w:rPr>
      </w:pPr>
      <w:r>
        <w:rPr>
          <w:rFonts w:cs="Times New Roman"/>
          <w:szCs w:val="27"/>
        </w:rPr>
      </w:r>
    </w:p>
    <w:p>
      <w:pPr>
        <w:pStyle w:val="F21"/>
        <w:rPr>
          <w:rFonts w:cs="Times New Roman"/>
          <w:szCs w:val="27"/>
        </w:rPr>
      </w:pPr>
      <w:r>
        <w:rPr>
          <w:rFonts w:cs="Times New Roman"/>
          <w:szCs w:val="27"/>
        </w:rPr>
      </w:r>
    </w:p>
    <w:p>
      <w:pPr>
        <w:pStyle w:val="F21"/>
        <w:jc w:val="right"/>
        <w:rPr>
          <w:rFonts w:cs="Times New Roman"/>
          <w:szCs w:val="27"/>
        </w:rPr>
      </w:pPr>
      <w:r>
        <w:rPr>
          <w:rFonts w:cs="Times New Roman"/>
          <w:szCs w:val="27"/>
        </w:rPr>
        <w:t>附件</w:t>
      </w:r>
    </w:p>
    <w:p>
      <w:pPr>
        <w:pStyle w:val="F21"/>
        <w:rPr>
          <w:rFonts w:cs="Times New Roman"/>
          <w:szCs w:val="27"/>
        </w:rPr>
      </w:pPr>
      <w:r>
        <w:rPr>
          <w:rFonts w:cs="Times New Roman"/>
          <w:szCs w:val="27"/>
        </w:rPr>
      </w:r>
    </w:p>
    <w:p>
      <w:pPr>
        <w:pStyle w:val="F21"/>
        <w:jc w:val="center"/>
        <w:rPr>
          <w:rFonts w:cs="Times New Roman"/>
          <w:szCs w:val="27"/>
        </w:rPr>
      </w:pPr>
      <w:r>
        <w:rPr>
          <w:rFonts w:cs="Times New Roman"/>
          <w:szCs w:val="27"/>
        </w:rPr>
        <w:t>房委會在</w:t>
      </w:r>
      <w:r>
        <w:rPr>
          <w:rFonts w:cs="Times New Roman"/>
          <w:szCs w:val="27"/>
        </w:rPr>
        <w:t>2014</w:t>
      </w:r>
      <w:r>
        <w:rPr>
          <w:rFonts w:cs="Times New Roman"/>
          <w:szCs w:val="27"/>
        </w:rPr>
        <w:t>年至</w:t>
      </w:r>
      <w:r>
        <w:rPr>
          <w:rFonts w:cs="Times New Roman"/>
          <w:szCs w:val="27"/>
        </w:rPr>
        <w:t>2018</w:t>
      </w:r>
      <w:r>
        <w:rPr>
          <w:rFonts w:cs="Times New Roman"/>
          <w:szCs w:val="27"/>
        </w:rPr>
        <w:t>年發售的居屋項目的財務資料</w:t>
      </w:r>
    </w:p>
    <w:p>
      <w:pPr>
        <w:pStyle w:val="F21"/>
        <w:rPr>
          <w:rFonts w:cs="Times New Roman"/>
          <w:szCs w:val="27"/>
        </w:rPr>
      </w:pPr>
      <w:r>
        <w:rPr>
          <w:rFonts w:cs="Times New Roman"/>
          <w:szCs w:val="27"/>
        </w:rPr>
      </w:r>
    </w:p>
    <w:tbl>
      <w:tblPr>
        <w:tblStyle w:val="a9"/>
        <w:tblW w:w="9175" w:type="dxa"/>
        <w:jc w:val="left"/>
        <w:tblInd w:w="0" w:type="dxa"/>
        <w:tblCellMar>
          <w:top w:w="0" w:type="dxa"/>
          <w:left w:w="108" w:type="dxa"/>
          <w:bottom w:w="0" w:type="dxa"/>
          <w:right w:w="108" w:type="dxa"/>
        </w:tblCellMar>
        <w:tblLook w:val="04a0" w:noHBand="0" w:noVBand="1" w:firstColumn="1" w:lastRow="0" w:lastColumn="0" w:firstRow="1"/>
      </w:tblPr>
      <w:tblGrid>
        <w:gridCol w:w="2370"/>
        <w:gridCol w:w="1701"/>
        <w:gridCol w:w="1701"/>
        <w:gridCol w:w="1701"/>
        <w:gridCol w:w="1702"/>
      </w:tblGrid>
      <w:tr>
        <w:trPr>
          <w:tblHeader w:val="true"/>
        </w:trPr>
        <w:tc>
          <w:tcPr>
            <w:tcW w:w="2370" w:type="dxa"/>
            <w:tcBorders/>
          </w:tcPr>
          <w:p>
            <w:pPr>
              <w:pStyle w:val="F21"/>
              <w:tabs>
                <w:tab w:val="clear" w:pos="567"/>
              </w:tabs>
              <w:ind w:left="57" w:hanging="0"/>
              <w:rPr>
                <w:rFonts w:cs="Times New Roman"/>
                <w:szCs w:val="27"/>
              </w:rPr>
            </w:pPr>
            <w:r>
              <w:rPr>
                <w:rFonts w:cs="Times New Roman"/>
                <w:szCs w:val="27"/>
              </w:rPr>
            </w:r>
          </w:p>
        </w:tc>
        <w:tc>
          <w:tcPr>
            <w:tcW w:w="1701" w:type="dxa"/>
            <w:tcBorders/>
          </w:tcPr>
          <w:p>
            <w:pPr>
              <w:pStyle w:val="F21"/>
              <w:tabs>
                <w:tab w:val="clear" w:pos="567"/>
              </w:tabs>
              <w:ind w:left="57" w:hanging="0"/>
              <w:jc w:val="center"/>
              <w:rPr>
                <w:rFonts w:cs="Times New Roman"/>
                <w:i/>
                <w:i/>
                <w:szCs w:val="27"/>
              </w:rPr>
            </w:pPr>
            <w:r>
              <w:rPr>
                <w:rFonts w:cs="Times New Roman"/>
                <w:i/>
                <w:szCs w:val="27"/>
              </w:rPr>
              <w:t>(a)</w:t>
            </w:r>
          </w:p>
        </w:tc>
        <w:tc>
          <w:tcPr>
            <w:tcW w:w="1701" w:type="dxa"/>
            <w:tcBorders/>
          </w:tcPr>
          <w:p>
            <w:pPr>
              <w:pStyle w:val="F21"/>
              <w:tabs>
                <w:tab w:val="clear" w:pos="567"/>
              </w:tabs>
              <w:ind w:left="57" w:hanging="0"/>
              <w:jc w:val="center"/>
              <w:rPr>
                <w:rFonts w:cs="Times New Roman"/>
                <w:i/>
                <w:i/>
                <w:szCs w:val="27"/>
              </w:rPr>
            </w:pPr>
            <w:r>
              <w:rPr>
                <w:rFonts w:cs="Times New Roman"/>
                <w:i/>
                <w:szCs w:val="27"/>
              </w:rPr>
              <w:t>(b)</w:t>
            </w:r>
          </w:p>
        </w:tc>
        <w:tc>
          <w:tcPr>
            <w:tcW w:w="1701" w:type="dxa"/>
            <w:tcBorders/>
          </w:tcPr>
          <w:p>
            <w:pPr>
              <w:pStyle w:val="F21"/>
              <w:tabs>
                <w:tab w:val="clear" w:pos="567"/>
              </w:tabs>
              <w:ind w:left="57" w:hanging="0"/>
              <w:jc w:val="center"/>
              <w:rPr>
                <w:rFonts w:cs="Times New Roman"/>
                <w:i/>
                <w:i/>
                <w:szCs w:val="27"/>
              </w:rPr>
            </w:pPr>
            <w:r>
              <w:rPr>
                <w:rFonts w:cs="Times New Roman"/>
                <w:i/>
                <w:szCs w:val="27"/>
              </w:rPr>
              <w:t>(c)</w:t>
            </w:r>
          </w:p>
        </w:tc>
        <w:tc>
          <w:tcPr>
            <w:tcW w:w="1702" w:type="dxa"/>
            <w:tcBorders/>
          </w:tcPr>
          <w:p>
            <w:pPr>
              <w:pStyle w:val="F21"/>
              <w:tabs>
                <w:tab w:val="clear" w:pos="567"/>
              </w:tabs>
              <w:ind w:left="57" w:hanging="0"/>
              <w:jc w:val="center"/>
              <w:rPr>
                <w:rFonts w:cs="Times New Roman"/>
                <w:i/>
                <w:i/>
                <w:szCs w:val="27"/>
              </w:rPr>
            </w:pPr>
            <w:r>
              <w:rPr>
                <w:rFonts w:cs="Times New Roman"/>
                <w:i/>
                <w:szCs w:val="27"/>
              </w:rPr>
              <w:t>(d)</w:t>
            </w:r>
          </w:p>
        </w:tc>
      </w:tr>
      <w:tr>
        <w:trPr>
          <w:tblHeader w:val="true"/>
        </w:trPr>
        <w:tc>
          <w:tcPr>
            <w:tcW w:w="2370" w:type="dxa"/>
            <w:tcBorders/>
          </w:tcPr>
          <w:p>
            <w:pPr>
              <w:pStyle w:val="F21"/>
              <w:tabs>
                <w:tab w:val="clear" w:pos="567"/>
              </w:tabs>
              <w:ind w:left="57" w:hanging="0"/>
              <w:rPr>
                <w:rFonts w:cs="Times New Roman"/>
                <w:szCs w:val="27"/>
              </w:rPr>
            </w:pPr>
            <w:r>
              <w:rPr>
                <w:rFonts w:cs="Times New Roman"/>
                <w:szCs w:val="27"/>
              </w:rPr>
            </w:r>
          </w:p>
        </w:tc>
        <w:tc>
          <w:tcPr>
            <w:tcW w:w="1701" w:type="dxa"/>
            <w:tcBorders/>
          </w:tcPr>
          <w:p>
            <w:pPr>
              <w:pStyle w:val="F21"/>
              <w:tabs>
                <w:tab w:val="clear" w:pos="567"/>
              </w:tabs>
              <w:ind w:left="57" w:hanging="0"/>
              <w:jc w:val="center"/>
              <w:rPr>
                <w:rFonts w:cs="Times New Roman"/>
                <w:i/>
                <w:i/>
                <w:szCs w:val="27"/>
              </w:rPr>
            </w:pPr>
            <w:r>
              <w:rPr>
                <w:rFonts w:cs="Times New Roman"/>
                <w:i/>
                <w:szCs w:val="27"/>
              </w:rPr>
              <w:t>總工程費用</w:t>
            </w:r>
            <w:r>
              <w:rPr>
                <w:rFonts w:cs="Times New Roman"/>
                <w:i/>
                <w:szCs w:val="27"/>
              </w:rPr>
              <w:t>(</w:t>
            </w:r>
            <w:r>
              <w:rPr>
                <w:rFonts w:cs="Times New Roman"/>
                <w:i/>
                <w:szCs w:val="27"/>
              </w:rPr>
              <w:t>億元</w:t>
            </w:r>
            <w:r>
              <w:rPr>
                <w:rFonts w:cs="Times New Roman"/>
                <w:i/>
                <w:szCs w:val="27"/>
              </w:rPr>
              <w:t>)</w:t>
            </w:r>
            <w:r>
              <w:rPr>
                <w:rFonts w:cs="Times New Roman"/>
                <w:i/>
                <w:szCs w:val="27"/>
                <w:vertAlign w:val="superscript"/>
              </w:rPr>
              <w:t>(1)</w:t>
            </w:r>
          </w:p>
        </w:tc>
        <w:tc>
          <w:tcPr>
            <w:tcW w:w="1701" w:type="dxa"/>
            <w:tcBorders/>
          </w:tcPr>
          <w:p>
            <w:pPr>
              <w:pStyle w:val="F21"/>
              <w:tabs>
                <w:tab w:val="clear" w:pos="567"/>
              </w:tabs>
              <w:ind w:left="57" w:hanging="0"/>
              <w:jc w:val="center"/>
              <w:rPr>
                <w:rFonts w:cs="Times New Roman"/>
                <w:i/>
                <w:i/>
                <w:szCs w:val="27"/>
              </w:rPr>
            </w:pPr>
            <w:r>
              <w:rPr>
                <w:rFonts w:cs="Times New Roman"/>
                <w:i/>
                <w:szCs w:val="27"/>
              </w:rPr>
              <w:t>總售樓收益</w:t>
            </w:r>
            <w:r>
              <w:rPr>
                <w:rFonts w:cs="Times New Roman"/>
                <w:i/>
                <w:szCs w:val="27"/>
              </w:rPr>
              <w:t>(</w:t>
            </w:r>
            <w:r>
              <w:rPr>
                <w:rFonts w:cs="Times New Roman"/>
                <w:i/>
                <w:szCs w:val="27"/>
              </w:rPr>
              <w:t>億元</w:t>
            </w:r>
            <w:r>
              <w:rPr>
                <w:rFonts w:cs="Times New Roman"/>
                <w:i/>
                <w:szCs w:val="27"/>
              </w:rPr>
              <w:t>)</w:t>
            </w:r>
          </w:p>
        </w:tc>
        <w:tc>
          <w:tcPr>
            <w:tcW w:w="1701" w:type="dxa"/>
            <w:tcBorders/>
          </w:tcPr>
          <w:p>
            <w:pPr>
              <w:pStyle w:val="F21"/>
              <w:tabs>
                <w:tab w:val="clear" w:pos="567"/>
              </w:tabs>
              <w:ind w:left="57" w:hanging="0"/>
              <w:jc w:val="center"/>
              <w:rPr>
                <w:rFonts w:cs="Times New Roman"/>
                <w:i/>
                <w:i/>
                <w:szCs w:val="27"/>
              </w:rPr>
            </w:pPr>
            <w:r>
              <w:rPr>
                <w:rFonts w:cs="Times New Roman"/>
                <w:i/>
                <w:szCs w:val="27"/>
              </w:rPr>
              <w:t>運作盈餘</w:t>
            </w:r>
            <w:r>
              <w:rPr>
                <w:rFonts w:cs="Times New Roman"/>
                <w:i/>
                <w:szCs w:val="27"/>
              </w:rPr>
              <w:t>(</w:t>
            </w:r>
            <w:r>
              <w:rPr>
                <w:rFonts w:cs="Times New Roman"/>
                <w:i/>
                <w:szCs w:val="27"/>
              </w:rPr>
              <w:t>億元</w:t>
            </w:r>
            <w:r>
              <w:rPr>
                <w:rFonts w:cs="Times New Roman"/>
                <w:i/>
                <w:szCs w:val="27"/>
              </w:rPr>
              <w:t>)</w:t>
            </w:r>
          </w:p>
        </w:tc>
        <w:tc>
          <w:tcPr>
            <w:tcW w:w="1702" w:type="dxa"/>
            <w:tcBorders/>
          </w:tcPr>
          <w:p>
            <w:pPr>
              <w:pStyle w:val="F21"/>
              <w:tabs>
                <w:tab w:val="clear" w:pos="567"/>
              </w:tabs>
              <w:ind w:left="57" w:hanging="0"/>
              <w:jc w:val="center"/>
              <w:rPr>
                <w:rFonts w:cs="Times New Roman"/>
                <w:i/>
                <w:i/>
                <w:szCs w:val="27"/>
              </w:rPr>
            </w:pPr>
            <w:r>
              <w:rPr>
                <w:rFonts w:cs="Times New Roman"/>
                <w:i/>
                <w:szCs w:val="27"/>
              </w:rPr>
              <w:t>土地成本</w:t>
            </w:r>
            <w:r>
              <w:rPr>
                <w:rFonts w:cs="Times New Roman"/>
                <w:i/>
                <w:szCs w:val="27"/>
              </w:rPr>
              <w:t>(</w:t>
            </w:r>
            <w:r>
              <w:rPr>
                <w:rFonts w:cs="Times New Roman"/>
                <w:i/>
                <w:szCs w:val="27"/>
              </w:rPr>
              <w:t>億元</w:t>
            </w:r>
            <w:r>
              <w:rPr>
                <w:rFonts w:cs="Times New Roman"/>
                <w:i/>
                <w:szCs w:val="27"/>
              </w:rPr>
              <w:t>)</w:t>
            </w:r>
          </w:p>
        </w:tc>
      </w:tr>
      <w:tr>
        <w:trPr/>
        <w:tc>
          <w:tcPr>
            <w:tcW w:w="2370" w:type="dxa"/>
            <w:tcBorders/>
          </w:tcPr>
          <w:p>
            <w:pPr>
              <w:pStyle w:val="F21"/>
              <w:tabs>
                <w:tab w:val="clear" w:pos="567"/>
              </w:tabs>
              <w:ind w:left="57" w:hanging="0"/>
              <w:rPr>
                <w:rFonts w:cs="Times New Roman"/>
                <w:szCs w:val="27"/>
              </w:rPr>
            </w:pPr>
            <w:r>
              <w:rPr>
                <w:rFonts w:cs="Times New Roman"/>
                <w:szCs w:val="27"/>
              </w:rPr>
              <w:t>出售居者有其屋計劃單位</w:t>
            </w:r>
            <w:r>
              <w:rPr>
                <w:rFonts w:cs="Times New Roman"/>
                <w:szCs w:val="27"/>
              </w:rPr>
              <w:t>2014</w:t>
            </w:r>
          </w:p>
        </w:tc>
        <w:tc>
          <w:tcPr>
            <w:tcW w:w="1701" w:type="dxa"/>
            <w:tcBorders/>
          </w:tcPr>
          <w:p>
            <w:pPr>
              <w:pStyle w:val="F21"/>
              <w:tabs>
                <w:tab w:val="clear" w:pos="567"/>
              </w:tabs>
              <w:ind w:left="57" w:hanging="0"/>
              <w:jc w:val="center"/>
              <w:rPr>
                <w:rFonts w:cs="Times New Roman"/>
                <w:szCs w:val="27"/>
              </w:rPr>
            </w:pPr>
            <w:r>
              <w:rPr>
                <w:rFonts w:cs="Times New Roman"/>
                <w:szCs w:val="27"/>
              </w:rPr>
              <w:t>45.37</w:t>
            </w:r>
          </w:p>
        </w:tc>
        <w:tc>
          <w:tcPr>
            <w:tcW w:w="1701" w:type="dxa"/>
            <w:tcBorders/>
          </w:tcPr>
          <w:p>
            <w:pPr>
              <w:pStyle w:val="F21"/>
              <w:tabs>
                <w:tab w:val="clear" w:pos="567"/>
              </w:tabs>
              <w:ind w:left="57" w:right="392" w:hanging="0"/>
              <w:jc w:val="right"/>
              <w:rPr>
                <w:rFonts w:cs="Times New Roman"/>
                <w:szCs w:val="27"/>
              </w:rPr>
            </w:pPr>
            <w:r>
              <w:rPr>
                <w:rFonts w:cs="Times New Roman"/>
                <w:szCs w:val="27"/>
              </w:rPr>
              <w:t>56.36</w:t>
            </w:r>
          </w:p>
        </w:tc>
        <w:tc>
          <w:tcPr>
            <w:tcW w:w="1701" w:type="dxa"/>
            <w:tcBorders/>
          </w:tcPr>
          <w:p>
            <w:pPr>
              <w:pStyle w:val="F21"/>
              <w:tabs>
                <w:tab w:val="clear" w:pos="567"/>
              </w:tabs>
              <w:ind w:left="57" w:hanging="0"/>
              <w:jc w:val="center"/>
              <w:rPr>
                <w:rFonts w:cs="Times New Roman"/>
                <w:szCs w:val="27"/>
              </w:rPr>
            </w:pPr>
            <w:r>
              <w:rPr>
                <w:rFonts w:cs="Times New Roman"/>
                <w:szCs w:val="27"/>
              </w:rPr>
              <w:t>10.99</w:t>
            </w:r>
          </w:p>
        </w:tc>
        <w:tc>
          <w:tcPr>
            <w:tcW w:w="1702" w:type="dxa"/>
            <w:tcBorders/>
          </w:tcPr>
          <w:p>
            <w:pPr>
              <w:pStyle w:val="F21"/>
              <w:tabs>
                <w:tab w:val="clear" w:pos="567"/>
              </w:tabs>
              <w:ind w:left="57" w:hanging="0"/>
              <w:jc w:val="center"/>
              <w:rPr>
                <w:rFonts w:cs="Times New Roman"/>
                <w:szCs w:val="27"/>
              </w:rPr>
            </w:pPr>
            <w:r>
              <w:rPr>
                <w:rFonts w:cs="Times New Roman"/>
                <w:szCs w:val="27"/>
              </w:rPr>
              <w:t>11.37</w:t>
            </w:r>
          </w:p>
        </w:tc>
      </w:tr>
      <w:tr>
        <w:trPr/>
        <w:tc>
          <w:tcPr>
            <w:tcW w:w="2370" w:type="dxa"/>
            <w:tcBorders/>
          </w:tcPr>
          <w:p>
            <w:pPr>
              <w:pStyle w:val="F21"/>
              <w:tabs>
                <w:tab w:val="clear" w:pos="567"/>
              </w:tabs>
              <w:ind w:left="57" w:hanging="0"/>
              <w:rPr>
                <w:rFonts w:cs="Times New Roman"/>
                <w:szCs w:val="27"/>
              </w:rPr>
            </w:pPr>
            <w:r>
              <w:rPr>
                <w:rFonts w:cs="Times New Roman"/>
                <w:szCs w:val="27"/>
              </w:rPr>
              <w:t>出售居者有其屋計劃單位</w:t>
            </w:r>
            <w:r>
              <w:rPr>
                <w:rFonts w:cs="Times New Roman"/>
                <w:szCs w:val="27"/>
              </w:rPr>
              <w:t>2016</w:t>
            </w:r>
          </w:p>
        </w:tc>
        <w:tc>
          <w:tcPr>
            <w:tcW w:w="1701" w:type="dxa"/>
            <w:tcBorders/>
          </w:tcPr>
          <w:p>
            <w:pPr>
              <w:pStyle w:val="F21"/>
              <w:tabs>
                <w:tab w:val="clear" w:pos="567"/>
              </w:tabs>
              <w:ind w:left="57" w:hanging="0"/>
              <w:jc w:val="center"/>
              <w:rPr>
                <w:rFonts w:cs="Times New Roman"/>
                <w:szCs w:val="27"/>
              </w:rPr>
            </w:pPr>
            <w:r>
              <w:rPr>
                <w:rFonts w:cs="Times New Roman"/>
                <w:szCs w:val="27"/>
              </w:rPr>
              <w:t>46.05</w:t>
            </w:r>
          </w:p>
        </w:tc>
        <w:tc>
          <w:tcPr>
            <w:tcW w:w="1701" w:type="dxa"/>
            <w:tcBorders/>
          </w:tcPr>
          <w:p>
            <w:pPr>
              <w:pStyle w:val="F21"/>
              <w:tabs>
                <w:tab w:val="clear" w:pos="567"/>
              </w:tabs>
              <w:ind w:left="57" w:right="392" w:hanging="0"/>
              <w:jc w:val="right"/>
              <w:rPr>
                <w:rFonts w:cs="Times New Roman"/>
                <w:szCs w:val="27"/>
              </w:rPr>
            </w:pPr>
            <w:r>
              <w:rPr>
                <w:rFonts w:cs="Times New Roman"/>
                <w:szCs w:val="27"/>
              </w:rPr>
              <w:t>57.23</w:t>
            </w:r>
          </w:p>
        </w:tc>
        <w:tc>
          <w:tcPr>
            <w:tcW w:w="1701" w:type="dxa"/>
            <w:tcBorders/>
          </w:tcPr>
          <w:p>
            <w:pPr>
              <w:pStyle w:val="F21"/>
              <w:tabs>
                <w:tab w:val="clear" w:pos="567"/>
              </w:tabs>
              <w:ind w:left="57" w:hanging="0"/>
              <w:jc w:val="center"/>
              <w:rPr>
                <w:rFonts w:cs="Times New Roman"/>
                <w:szCs w:val="27"/>
              </w:rPr>
            </w:pPr>
            <w:r>
              <w:rPr>
                <w:rFonts w:cs="Times New Roman"/>
                <w:szCs w:val="27"/>
              </w:rPr>
              <w:t>11.18</w:t>
            </w:r>
          </w:p>
        </w:tc>
        <w:tc>
          <w:tcPr>
            <w:tcW w:w="1702" w:type="dxa"/>
            <w:tcBorders/>
          </w:tcPr>
          <w:p>
            <w:pPr>
              <w:pStyle w:val="F21"/>
              <w:tabs>
                <w:tab w:val="clear" w:pos="567"/>
              </w:tabs>
              <w:ind w:left="57" w:hanging="0"/>
              <w:jc w:val="center"/>
              <w:rPr>
                <w:rFonts w:cs="Times New Roman"/>
                <w:szCs w:val="27"/>
              </w:rPr>
            </w:pPr>
            <w:r>
              <w:rPr>
                <w:rFonts w:cs="Times New Roman"/>
                <w:szCs w:val="27"/>
              </w:rPr>
              <w:t>11.46</w:t>
            </w:r>
          </w:p>
        </w:tc>
      </w:tr>
      <w:tr>
        <w:trPr/>
        <w:tc>
          <w:tcPr>
            <w:tcW w:w="2370" w:type="dxa"/>
            <w:tcBorders/>
          </w:tcPr>
          <w:p>
            <w:pPr>
              <w:pStyle w:val="F21"/>
              <w:tabs>
                <w:tab w:val="clear" w:pos="567"/>
              </w:tabs>
              <w:ind w:left="57" w:hanging="0"/>
              <w:rPr>
                <w:rFonts w:cs="Times New Roman"/>
                <w:szCs w:val="27"/>
              </w:rPr>
            </w:pPr>
            <w:r>
              <w:rPr>
                <w:rFonts w:cs="Times New Roman"/>
                <w:szCs w:val="27"/>
              </w:rPr>
              <w:t>出售居者有其屋計劃單位</w:t>
            </w:r>
            <w:r>
              <w:rPr>
                <w:rFonts w:cs="Times New Roman"/>
                <w:szCs w:val="27"/>
              </w:rPr>
              <w:t>2017</w:t>
            </w:r>
          </w:p>
        </w:tc>
        <w:tc>
          <w:tcPr>
            <w:tcW w:w="1701" w:type="dxa"/>
            <w:tcBorders/>
          </w:tcPr>
          <w:p>
            <w:pPr>
              <w:pStyle w:val="F21"/>
              <w:tabs>
                <w:tab w:val="clear" w:pos="567"/>
              </w:tabs>
              <w:ind w:left="57" w:hanging="0"/>
              <w:jc w:val="center"/>
              <w:rPr>
                <w:rFonts w:cs="Times New Roman"/>
                <w:szCs w:val="27"/>
              </w:rPr>
            </w:pPr>
            <w:r>
              <w:rPr>
                <w:rFonts w:cs="Times New Roman"/>
                <w:szCs w:val="27"/>
              </w:rPr>
              <w:t>41.98</w:t>
            </w:r>
          </w:p>
        </w:tc>
        <w:tc>
          <w:tcPr>
            <w:tcW w:w="1701" w:type="dxa"/>
            <w:tcBorders/>
          </w:tcPr>
          <w:p>
            <w:pPr>
              <w:pStyle w:val="F21"/>
              <w:tabs>
                <w:tab w:val="clear" w:pos="567"/>
              </w:tabs>
              <w:ind w:left="57" w:right="392" w:hanging="0"/>
              <w:jc w:val="right"/>
              <w:rPr>
                <w:rFonts w:cs="Times New Roman"/>
                <w:szCs w:val="27"/>
              </w:rPr>
            </w:pPr>
            <w:r>
              <w:rPr>
                <w:rFonts w:cs="Times New Roman"/>
                <w:szCs w:val="27"/>
              </w:rPr>
              <w:t>55.64</w:t>
            </w:r>
          </w:p>
        </w:tc>
        <w:tc>
          <w:tcPr>
            <w:tcW w:w="1701" w:type="dxa"/>
            <w:tcBorders/>
          </w:tcPr>
          <w:p>
            <w:pPr>
              <w:pStyle w:val="F21"/>
              <w:tabs>
                <w:tab w:val="clear" w:pos="567"/>
              </w:tabs>
              <w:ind w:left="57" w:hanging="0"/>
              <w:jc w:val="center"/>
              <w:rPr>
                <w:rFonts w:cs="Times New Roman"/>
                <w:szCs w:val="27"/>
              </w:rPr>
            </w:pPr>
            <w:r>
              <w:rPr>
                <w:rFonts w:cs="Times New Roman"/>
                <w:szCs w:val="27"/>
              </w:rPr>
              <w:t>13.66</w:t>
            </w:r>
          </w:p>
        </w:tc>
        <w:tc>
          <w:tcPr>
            <w:tcW w:w="1702" w:type="dxa"/>
            <w:tcBorders/>
          </w:tcPr>
          <w:p>
            <w:pPr>
              <w:pStyle w:val="F21"/>
              <w:tabs>
                <w:tab w:val="clear" w:pos="567"/>
              </w:tabs>
              <w:ind w:left="57" w:hanging="0"/>
              <w:jc w:val="center"/>
              <w:rPr>
                <w:rFonts w:cs="Times New Roman"/>
                <w:szCs w:val="27"/>
              </w:rPr>
            </w:pPr>
            <w:r>
              <w:rPr>
                <w:rFonts w:cs="Times New Roman"/>
                <w:szCs w:val="27"/>
              </w:rPr>
              <w:t>10.48</w:t>
            </w:r>
          </w:p>
        </w:tc>
      </w:tr>
      <w:tr>
        <w:trPr/>
        <w:tc>
          <w:tcPr>
            <w:tcW w:w="2370" w:type="dxa"/>
            <w:tcBorders/>
          </w:tcPr>
          <w:p>
            <w:pPr>
              <w:pStyle w:val="F21"/>
              <w:tabs>
                <w:tab w:val="clear" w:pos="567"/>
              </w:tabs>
              <w:ind w:left="57" w:hanging="0"/>
              <w:rPr>
                <w:rFonts w:cs="Times New Roman"/>
                <w:szCs w:val="27"/>
              </w:rPr>
            </w:pPr>
            <w:r>
              <w:rPr>
                <w:rFonts w:cs="Times New Roman"/>
                <w:szCs w:val="27"/>
              </w:rPr>
              <w:t>出售居者有其屋計劃單位</w:t>
            </w:r>
            <w:r>
              <w:rPr>
                <w:rFonts w:cs="Times New Roman"/>
                <w:szCs w:val="27"/>
              </w:rPr>
              <w:t>2018</w:t>
            </w:r>
          </w:p>
        </w:tc>
        <w:tc>
          <w:tcPr>
            <w:tcW w:w="1701" w:type="dxa"/>
            <w:tcBorders/>
          </w:tcPr>
          <w:p>
            <w:pPr>
              <w:pStyle w:val="F21"/>
              <w:tabs>
                <w:tab w:val="clear" w:pos="567"/>
              </w:tabs>
              <w:ind w:left="57" w:hanging="0"/>
              <w:jc w:val="center"/>
              <w:rPr>
                <w:rFonts w:cs="Times New Roman"/>
                <w:szCs w:val="27"/>
              </w:rPr>
            </w:pPr>
            <w:r>
              <w:rPr>
                <w:rFonts w:cs="Times New Roman"/>
                <w:szCs w:val="27"/>
              </w:rPr>
              <w:t>77.27</w:t>
            </w:r>
          </w:p>
        </w:tc>
        <w:tc>
          <w:tcPr>
            <w:tcW w:w="1701" w:type="dxa"/>
            <w:tcBorders/>
          </w:tcPr>
          <w:p>
            <w:pPr>
              <w:pStyle w:val="F21"/>
              <w:tabs>
                <w:tab w:val="clear" w:pos="567"/>
              </w:tabs>
              <w:ind w:left="57" w:hanging="0"/>
              <w:jc w:val="center"/>
              <w:rPr>
                <w:rFonts w:cs="Times New Roman"/>
                <w:szCs w:val="27"/>
              </w:rPr>
            </w:pPr>
            <w:r>
              <w:rPr>
                <w:rFonts w:cs="Times New Roman"/>
                <w:szCs w:val="27"/>
              </w:rPr>
              <w:t>118.57</w:t>
            </w:r>
          </w:p>
        </w:tc>
        <w:tc>
          <w:tcPr>
            <w:tcW w:w="1701" w:type="dxa"/>
            <w:tcBorders/>
          </w:tcPr>
          <w:p>
            <w:pPr>
              <w:pStyle w:val="F21"/>
              <w:tabs>
                <w:tab w:val="clear" w:pos="567"/>
              </w:tabs>
              <w:ind w:left="57" w:hanging="0"/>
              <w:jc w:val="center"/>
              <w:rPr>
                <w:rFonts w:cs="Times New Roman"/>
                <w:szCs w:val="27"/>
              </w:rPr>
            </w:pPr>
            <w:r>
              <w:rPr>
                <w:rFonts w:cs="Times New Roman"/>
                <w:szCs w:val="27"/>
              </w:rPr>
              <w:t>41.30</w:t>
            </w:r>
          </w:p>
        </w:tc>
        <w:tc>
          <w:tcPr>
            <w:tcW w:w="1702" w:type="dxa"/>
            <w:tcBorders/>
          </w:tcPr>
          <w:p>
            <w:pPr>
              <w:pStyle w:val="F21"/>
              <w:tabs>
                <w:tab w:val="clear" w:pos="567"/>
              </w:tabs>
              <w:ind w:left="57" w:hanging="0"/>
              <w:jc w:val="center"/>
              <w:rPr>
                <w:rFonts w:cs="Times New Roman"/>
                <w:szCs w:val="27"/>
              </w:rPr>
            </w:pPr>
            <w:r>
              <w:rPr>
                <w:rFonts w:cs="Times New Roman"/>
                <w:szCs w:val="27"/>
              </w:rPr>
              <w:t>18.72</w:t>
            </w:r>
          </w:p>
        </w:tc>
      </w:tr>
    </w:tbl>
    <w:p>
      <w:pPr>
        <w:pStyle w:val="F21"/>
        <w:spacing w:lineRule="auto" w:line="240"/>
        <w:ind w:left="567" w:hanging="567"/>
        <w:rPr>
          <w:rFonts w:cs="Times New Roman"/>
          <w:sz w:val="22"/>
        </w:rPr>
      </w:pPr>
      <w:r>
        <w:rPr>
          <w:rFonts w:cs="Times New Roman"/>
          <w:sz w:val="22"/>
        </w:rPr>
      </w:r>
    </w:p>
    <w:p>
      <w:pPr>
        <w:pStyle w:val="F21"/>
        <w:spacing w:lineRule="auto" w:line="240"/>
        <w:ind w:left="567" w:hanging="567"/>
        <w:rPr>
          <w:rFonts w:cs="Times New Roman"/>
          <w:sz w:val="22"/>
        </w:rPr>
      </w:pPr>
      <w:r>
        <w:rPr>
          <w:rFonts w:cs="Times New Roman"/>
          <w:sz w:val="22"/>
        </w:rPr>
        <w:t>註：</w:t>
      </w:r>
    </w:p>
    <w:p>
      <w:pPr>
        <w:pStyle w:val="F21"/>
        <w:spacing w:lineRule="auto" w:line="240"/>
        <w:ind w:left="567" w:hanging="567"/>
        <w:rPr>
          <w:rFonts w:cs="Times New Roman"/>
          <w:sz w:val="22"/>
        </w:rPr>
      </w:pPr>
      <w:r>
        <w:rPr>
          <w:rFonts w:cs="Times New Roman"/>
          <w:sz w:val="22"/>
        </w:rPr>
      </w:r>
    </w:p>
    <w:p>
      <w:pPr>
        <w:pStyle w:val="F21"/>
        <w:spacing w:lineRule="auto" w:line="240"/>
        <w:ind w:left="567" w:hanging="567"/>
        <w:rPr>
          <w:rFonts w:cs="Times New Roman"/>
          <w:sz w:val="22"/>
        </w:rPr>
      </w:pPr>
      <w:r>
        <w:rPr>
          <w:rFonts w:cs="Times New Roman"/>
          <w:sz w:val="22"/>
        </w:rPr>
        <w:t>(1)</w:t>
        <w:tab/>
      </w:r>
      <w:r>
        <w:rPr>
          <w:rFonts w:cs="Times New Roman"/>
          <w:sz w:val="22"/>
        </w:rPr>
        <w:t>總工程費用包括發展成本、土地成本</w:t>
      </w:r>
      <w:r>
        <w:rPr>
          <w:rFonts w:cs="Times New Roman"/>
          <w:sz w:val="22"/>
        </w:rPr>
        <w:t>(</w:t>
      </w:r>
      <w:r>
        <w:rPr>
          <w:rFonts w:cs="Times New Roman"/>
          <w:sz w:val="22"/>
        </w:rPr>
        <w:t>即上表</w:t>
      </w:r>
      <w:r>
        <w:rPr>
          <w:rFonts w:cs="Times New Roman"/>
          <w:sz w:val="22"/>
        </w:rPr>
        <w:t>(d)</w:t>
      </w:r>
      <w:r>
        <w:rPr>
          <w:rFonts w:cs="Times New Roman"/>
          <w:sz w:val="22"/>
        </w:rPr>
        <w:t>項</w:t>
      </w:r>
      <w:r>
        <w:rPr>
          <w:rFonts w:cs="Times New Roman"/>
          <w:sz w:val="22"/>
        </w:rPr>
        <w:t>)</w:t>
      </w:r>
      <w:r>
        <w:rPr>
          <w:rFonts w:cs="Times New Roman"/>
          <w:sz w:val="22"/>
        </w:rPr>
        <w:t>，以及間接行政成本和其他與銷售相關的開支。</w:t>
      </w:r>
    </w:p>
    <w:p>
      <w:pPr>
        <w:pStyle w:val="F21"/>
        <w:overflowPunct w:val="true"/>
        <w:spacing w:lineRule="atLeast" w:line="370"/>
        <w:rPr>
          <w:rFonts w:cs="Times New Roman"/>
        </w:rPr>
      </w:pPr>
      <w:r>
        <w:rPr>
          <w:rFonts w:cs="Times New Roman"/>
        </w:rPr>
      </w:r>
    </w:p>
    <w:p>
      <w:pPr>
        <w:pStyle w:val="F21"/>
        <w:overflowPunct w:val="true"/>
        <w:spacing w:lineRule="atLeast" w:line="370"/>
        <w:rPr>
          <w:rFonts w:cs="Times New Roman"/>
        </w:rPr>
      </w:pPr>
      <w:r>
        <w:rPr>
          <w:rFonts w:cs="Times New Roman"/>
        </w:rPr>
      </w:r>
    </w:p>
    <w:p>
      <w:pPr>
        <w:pStyle w:val="F21"/>
        <w:overflowPunct w:val="true"/>
        <w:spacing w:lineRule="atLeast" w:line="370"/>
        <w:rPr>
          <w:rFonts w:eastAsia="華康中黑體" w:cs="Times New Roman"/>
          <w:b/>
          <w:b/>
          <w:sz w:val="28"/>
          <w:szCs w:val="28"/>
        </w:rPr>
      </w:pPr>
      <w:bookmarkStart w:id="59" w:name="bil"/>
      <w:r>
        <w:rPr>
          <w:rFonts w:cs="Times New Roman" w:eastAsia="華康中黑體"/>
          <w:b/>
          <w:sz w:val="28"/>
          <w:szCs w:val="28"/>
        </w:rPr>
        <w:t>政府法案</w:t>
      </w:r>
    </w:p>
    <w:p>
      <w:pPr>
        <w:pStyle w:val="Normal"/>
        <w:overflowPunct w:val="true"/>
        <w:spacing w:lineRule="atLeast" w:line="370"/>
        <w:rPr>
          <w:rFonts w:eastAsia="華康中黑體"/>
          <w:b/>
          <w:b/>
          <w:spacing w:val="20"/>
          <w:sz w:val="27"/>
          <w:szCs w:val="22"/>
          <w:lang w:val="en-US"/>
        </w:rPr>
      </w:pPr>
      <w:r>
        <w:rPr>
          <w:b/>
          <w:lang w:val="en-US"/>
        </w:rPr>
        <w:t>GOVERNMENT</w:t>
      </w:r>
      <w:r>
        <w:rPr>
          <w:b/>
        </w:rPr>
        <w:t xml:space="preserve"> BILL</w:t>
      </w:r>
      <w:bookmarkEnd w:id="59"/>
    </w:p>
    <w:p>
      <w:pPr>
        <w:pStyle w:val="F21"/>
        <w:overflowPunct w:val="true"/>
        <w:spacing w:lineRule="atLeast" w:line="370"/>
        <w:rPr>
          <w:rFonts w:cs="Times New Roman"/>
        </w:rPr>
      </w:pPr>
      <w:r>
        <w:rPr>
          <w:rFonts w:cs="Times New Roman"/>
        </w:rPr>
      </w:r>
    </w:p>
    <w:p>
      <w:pPr>
        <w:pStyle w:val="F21"/>
        <w:overflowPunct w:val="true"/>
        <w:spacing w:lineRule="atLeast" w:line="370"/>
        <w:rPr>
          <w:rFonts w:eastAsia="華康中黑體" w:cs="Times New Roman"/>
          <w:b/>
          <w:b/>
        </w:rPr>
      </w:pPr>
      <w:r>
        <w:rPr>
          <w:rFonts w:cs="Times New Roman" w:eastAsia="華康中黑體"/>
          <w:b/>
        </w:rPr>
        <w:t>政府法案首讀及二讀</w:t>
      </w:r>
    </w:p>
    <w:p>
      <w:pPr>
        <w:pStyle w:val="Normal"/>
        <w:overflowPunct w:val="true"/>
        <w:spacing w:lineRule="atLeast" w:line="370"/>
        <w:rPr>
          <w:b/>
          <w:b/>
          <w:lang w:val="en-US"/>
        </w:rPr>
      </w:pPr>
      <w:r>
        <w:rPr>
          <w:b/>
        </w:rPr>
        <w:t>First Reading and Second Reading of Government Bill</w:t>
      </w:r>
    </w:p>
    <w:p>
      <w:pPr>
        <w:pStyle w:val="F21"/>
        <w:overflowPunct w:val="true"/>
        <w:spacing w:lineRule="atLeast" w:line="370"/>
        <w:rPr>
          <w:rFonts w:cs="Times New Roman"/>
        </w:rPr>
      </w:pPr>
      <w:r>
        <w:rPr>
          <w:rFonts w:cs="Times New Roman"/>
        </w:rPr>
      </w:r>
    </w:p>
    <w:p>
      <w:pPr>
        <w:pStyle w:val="F21"/>
        <w:overflowPunct w:val="true"/>
        <w:spacing w:lineRule="atLeast" w:line="370"/>
        <w:rPr>
          <w:rFonts w:eastAsia="華康中黑體" w:cs="Times New Roman"/>
          <w:b/>
          <w:b/>
        </w:rPr>
      </w:pPr>
      <w:bookmarkStart w:id="60" w:name="b1r"/>
      <w:r>
        <w:rPr>
          <w:rFonts w:cs="Times New Roman" w:eastAsia="華康中黑體"/>
          <w:b/>
        </w:rPr>
        <w:t>政府法案首讀</w:t>
      </w:r>
    </w:p>
    <w:p>
      <w:pPr>
        <w:pStyle w:val="Normal"/>
        <w:overflowPunct w:val="true"/>
        <w:spacing w:lineRule="atLeast" w:line="370"/>
        <w:rPr>
          <w:b/>
          <w:b/>
        </w:rPr>
      </w:pPr>
      <w:bookmarkStart w:id="61" w:name="b1r"/>
      <w:r>
        <w:rPr>
          <w:b/>
        </w:rPr>
        <w:t>First Reading of Government Bill</w:t>
      </w:r>
      <w:bookmarkEnd w:id="61"/>
    </w:p>
    <w:p>
      <w:pPr>
        <w:pStyle w:val="F21"/>
        <w:overflowPunct w:val="true"/>
        <w:spacing w:lineRule="atLeast" w:line="370"/>
        <w:rPr>
          <w:rFonts w:cs="Times New Roman"/>
        </w:rPr>
      </w:pPr>
      <w:r>
        <w:rPr>
          <w:rFonts w:cs="Times New Roman"/>
        </w:rPr>
      </w:r>
    </w:p>
    <w:p>
      <w:pPr>
        <w:pStyle w:val="F21"/>
        <w:overflowPunct w:val="true"/>
        <w:spacing w:lineRule="atLeast" w:line="370"/>
        <w:rPr>
          <w:rFonts w:cs="Times New Roman"/>
        </w:rPr>
      </w:pPr>
      <w:r>
        <w:rPr>
          <w:rFonts w:cs="Times New Roman" w:eastAsia="華康中黑體"/>
          <w:b/>
        </w:rPr>
        <w:t>主席</w:t>
      </w:r>
      <w:r>
        <w:rPr>
          <w:rFonts w:cs="Times New Roman"/>
        </w:rPr>
        <w:t>：</w:t>
      </w:r>
      <w:r>
        <w:rPr/>
        <w:t>政府</w:t>
      </w:r>
      <w:r>
        <w:rPr>
          <w:rFonts w:cs="Times New Roman"/>
        </w:rPr>
        <w:t>法案：首讀。</w:t>
      </w:r>
    </w:p>
    <w:p>
      <w:pPr>
        <w:pStyle w:val="F21"/>
        <w:overflowPunct w:val="true"/>
        <w:spacing w:lineRule="atLeast" w:line="370"/>
        <w:rPr>
          <w:rFonts w:cs="Times New Roman"/>
        </w:rPr>
      </w:pPr>
      <w:r>
        <w:rPr>
          <w:rFonts w:cs="Times New Roman"/>
        </w:rPr>
      </w:r>
    </w:p>
    <w:p>
      <w:pPr>
        <w:pStyle w:val="F21"/>
        <w:overflowPunct w:val="true"/>
        <w:spacing w:lineRule="atLeast" w:line="370"/>
        <w:rPr>
          <w:rFonts w:cs="Times New Roman"/>
        </w:rPr>
      </w:pPr>
      <w:r>
        <w:rPr>
          <w:rFonts w:cs="Times New Roman"/>
        </w:rPr>
      </w:r>
    </w:p>
    <w:p>
      <w:pPr>
        <w:pStyle w:val="F21"/>
        <w:overflowPunct w:val="true"/>
        <w:spacing w:lineRule="atLeast" w:line="370"/>
        <w:rPr>
          <w:rFonts w:eastAsia="華康中黑體" w:cs="Times New Roman"/>
          <w:b/>
          <w:b/>
        </w:rPr>
      </w:pPr>
      <w:bookmarkStart w:id="62" w:name="b1r01"/>
      <w:r>
        <w:rPr>
          <w:rFonts w:cs="Times New Roman" w:eastAsia="華康中黑體"/>
          <w:b/>
        </w:rPr>
        <w:t>《</w:t>
      </w:r>
      <w:r>
        <w:rPr>
          <w:rFonts w:eastAsia="華康中黑體" w:cs="Times New Roman"/>
          <w:b/>
        </w:rPr>
        <w:t>2019</w:t>
      </w:r>
      <w:r>
        <w:rPr>
          <w:rFonts w:cs="Times New Roman" w:eastAsia="華康中黑體"/>
          <w:b/>
        </w:rPr>
        <w:t>年逃犯及刑事事宜相互法律協助法例</w:t>
      </w:r>
      <w:r>
        <w:rPr>
          <w:rFonts w:eastAsia="華康中黑體" w:cs="Times New Roman"/>
          <w:b/>
        </w:rPr>
        <w:t>(</w:t>
      </w:r>
      <w:r>
        <w:rPr>
          <w:rFonts w:cs="Times New Roman" w:eastAsia="華康中黑體"/>
          <w:b/>
        </w:rPr>
        <w:t>修訂</w:t>
      </w:r>
      <w:r>
        <w:rPr>
          <w:rFonts w:eastAsia="華康中黑體" w:cs="Times New Roman"/>
          <w:b/>
        </w:rPr>
        <w:t>)</w:t>
      </w:r>
      <w:r>
        <w:rPr>
          <w:rFonts w:cs="Times New Roman" w:eastAsia="華康中黑體"/>
          <w:b/>
        </w:rPr>
        <w:t>條例草案》</w:t>
      </w:r>
    </w:p>
    <w:p>
      <w:pPr>
        <w:pStyle w:val="Normal"/>
        <w:overflowPunct w:val="true"/>
        <w:spacing w:lineRule="atLeast" w:line="370"/>
        <w:rPr>
          <w:rFonts w:eastAsia="華康中黑體"/>
          <w:b/>
          <w:b/>
          <w:spacing w:val="20"/>
          <w:sz w:val="27"/>
          <w:szCs w:val="22"/>
          <w:lang w:val="en-US"/>
        </w:rPr>
      </w:pPr>
      <w:bookmarkStart w:id="63" w:name="b1r01"/>
      <w:r>
        <w:rPr>
          <w:b/>
          <w:caps/>
        </w:rPr>
        <w:t>Fugitive Offenders and Mutual Legal Assistance in Criminal Matters Legislation (Amendment) Bill 2019</w:t>
      </w:r>
      <w:bookmarkEnd w:id="63"/>
    </w:p>
    <w:p>
      <w:pPr>
        <w:pStyle w:val="F21"/>
        <w:overflowPunct w:val="true"/>
        <w:spacing w:lineRule="atLeast" w:line="370"/>
        <w:rPr>
          <w:rFonts w:cs="Times New Roman"/>
        </w:rPr>
      </w:pPr>
      <w:r>
        <w:rPr>
          <w:rFonts w:cs="Times New Roman"/>
        </w:rPr>
      </w:r>
    </w:p>
    <w:p>
      <w:pPr>
        <w:pStyle w:val="F21"/>
        <w:overflowPunct w:val="true"/>
        <w:spacing w:lineRule="atLeast" w:line="370"/>
        <w:rPr>
          <w:rFonts w:cs="Times New Roman"/>
        </w:rPr>
      </w:pPr>
      <w:r>
        <w:rPr>
          <w:rFonts w:cs="Times New Roman" w:eastAsia="華康中黑體"/>
          <w:b/>
        </w:rPr>
        <w:t>秘書</w:t>
      </w:r>
      <w:r>
        <w:rPr>
          <w:rFonts w:cs="Times New Roman"/>
        </w:rPr>
        <w:t>：《</w:t>
      </w:r>
      <w:r>
        <w:rPr>
          <w:rFonts w:cs="Times New Roman"/>
        </w:rPr>
        <w:t>2019</w:t>
      </w:r>
      <w:r>
        <w:rPr>
          <w:rFonts w:cs="Times New Roman"/>
        </w:rPr>
        <w:t>年逃犯及刑事事宜相互法律協助法例</w:t>
      </w:r>
      <w:r>
        <w:rPr>
          <w:rFonts w:cs="Times New Roman"/>
        </w:rPr>
        <w:t>(</w:t>
      </w:r>
      <w:r>
        <w:rPr>
          <w:rFonts w:cs="Times New Roman"/>
        </w:rPr>
        <w:t>修訂</w:t>
      </w:r>
      <w:r>
        <w:rPr>
          <w:rFonts w:cs="Times New Roman"/>
        </w:rPr>
        <w:t>)</w:t>
      </w:r>
      <w:r>
        <w:rPr>
          <w:rFonts w:cs="Times New Roman"/>
        </w:rPr>
        <w:t>條例草案》。</w:t>
      </w:r>
    </w:p>
    <w:p>
      <w:pPr>
        <w:pStyle w:val="F21"/>
        <w:overflowPunct w:val="true"/>
        <w:spacing w:lineRule="atLeast" w:line="370"/>
        <w:rPr>
          <w:rFonts w:cs="Times New Roman"/>
        </w:rPr>
      </w:pPr>
      <w:r>
        <w:rPr>
          <w:rFonts w:cs="Times New Roman"/>
        </w:rPr>
      </w:r>
    </w:p>
    <w:p>
      <w:pPr>
        <w:pStyle w:val="F21"/>
        <w:overflowPunct w:val="true"/>
        <w:spacing w:lineRule="atLeast" w:line="370"/>
        <w:rPr>
          <w:rFonts w:cs="Times New Roman"/>
          <w:i/>
          <w:i/>
        </w:rPr>
      </w:pPr>
      <w:r>
        <w:rPr>
          <w:rFonts w:cs="Times New Roman"/>
          <w:i/>
        </w:rPr>
        <w:t>條例草案經過首讀，並依據《議事規則》第</w:t>
      </w:r>
      <w:r>
        <w:rPr>
          <w:rFonts w:cs="Times New Roman"/>
          <w:i/>
        </w:rPr>
        <w:t>53(3)</w:t>
      </w:r>
      <w:r>
        <w:rPr>
          <w:rFonts w:cs="Times New Roman"/>
          <w:i/>
        </w:rPr>
        <w:t>條的規定，受命安排二讀。</w:t>
      </w:r>
    </w:p>
    <w:p>
      <w:pPr>
        <w:pStyle w:val="Normal"/>
        <w:overflowPunct w:val="true"/>
        <w:spacing w:lineRule="atLeast" w:line="370"/>
        <w:rPr>
          <w:i/>
          <w:i/>
        </w:rPr>
      </w:pPr>
      <w:r>
        <w:rPr>
          <w:i/>
        </w:rPr>
        <w:t>Bill read the First time and ordered to be set down for Second Reading pursuant to Rule 53(3) of the Rules of Procedure.</w:t>
      </w:r>
    </w:p>
    <w:p>
      <w:pPr>
        <w:pStyle w:val="Normal"/>
        <w:widowControl/>
        <w:tabs>
          <w:tab w:val="clear" w:pos="720"/>
        </w:tabs>
        <w:snapToGrid w:val="true"/>
        <w:spacing w:lineRule="auto" w:line="276" w:before="0" w:after="200"/>
        <w:jc w:val="left"/>
        <w:rPr>
          <w:i/>
          <w:i/>
        </w:rPr>
      </w:pPr>
      <w:r>
        <w:rPr>
          <w:i/>
        </w:rPr>
      </w:r>
      <w:r>
        <w:br w:type="page"/>
      </w:r>
    </w:p>
    <w:p>
      <w:pPr>
        <w:pStyle w:val="Normal"/>
        <w:overflowPunct w:val="true"/>
        <w:spacing w:lineRule="atLeast" w:line="320"/>
        <w:rPr>
          <w:spacing w:val="20"/>
          <w:sz w:val="27"/>
          <w:szCs w:val="27"/>
        </w:rPr>
      </w:pPr>
      <w:r>
        <w:rPr>
          <w:spacing w:val="20"/>
          <w:sz w:val="27"/>
          <w:szCs w:val="27"/>
        </w:rPr>
        <w:t>(</w:t>
      </w:r>
      <w:r>
        <w:rPr>
          <w:spacing w:val="20"/>
          <w:sz w:val="27"/>
          <w:szCs w:val="27"/>
        </w:rPr>
        <w:t>郭家麒議員站起來</w:t>
      </w:r>
      <w:r>
        <w:rPr>
          <w:spacing w:val="20"/>
          <w:sz w:val="27"/>
          <w:szCs w:val="27"/>
        </w:rPr>
        <w:t>)</w:t>
      </w:r>
    </w:p>
    <w:p>
      <w:pPr>
        <w:pStyle w:val="F21"/>
        <w:overflowPunct w:val="true"/>
        <w:spacing w:lineRule="atLeast" w:line="320"/>
        <w:rPr>
          <w:rFonts w:cs="Times New Roman"/>
        </w:rPr>
      </w:pPr>
      <w:r>
        <w:rPr>
          <w:rFonts w:cs="Times New Roman"/>
        </w:rPr>
      </w:r>
    </w:p>
    <w:p>
      <w:pPr>
        <w:pStyle w:val="F21"/>
        <w:overflowPunct w:val="true"/>
        <w:spacing w:lineRule="atLeast" w:line="320"/>
        <w:rPr>
          <w:rFonts w:cs="Times New Roman"/>
        </w:rPr>
      </w:pPr>
      <w:r>
        <w:rPr>
          <w:rFonts w:cs="Times New Roman"/>
        </w:rPr>
      </w:r>
    </w:p>
    <w:p>
      <w:pPr>
        <w:pStyle w:val="F21"/>
        <w:overflowPunct w:val="true"/>
        <w:spacing w:lineRule="atLeast" w:line="320"/>
        <w:rPr>
          <w:rFonts w:cs="Times New Roman"/>
        </w:rPr>
      </w:pPr>
      <w:r>
        <w:rPr>
          <w:rFonts w:ascii="華康中黑體" w:hAnsi="華康中黑體" w:cs="Times New Roman" w:eastAsia="華康中黑體"/>
          <w:b/>
        </w:rPr>
        <w:t>主席</w:t>
      </w:r>
      <w:r>
        <w:rPr>
          <w:rFonts w:cs="Times New Roman"/>
        </w:rPr>
        <w:t>：郭家麒議員，你有甚麼問題？</w:t>
      </w:r>
    </w:p>
    <w:p>
      <w:pPr>
        <w:pStyle w:val="F21"/>
        <w:overflowPunct w:val="true"/>
        <w:spacing w:lineRule="atLeast" w:line="320"/>
        <w:rPr>
          <w:rFonts w:cs="Times New Roman"/>
        </w:rPr>
      </w:pPr>
      <w:r>
        <w:rPr>
          <w:rFonts w:cs="Times New Roman"/>
        </w:rPr>
      </w:r>
    </w:p>
    <w:p>
      <w:pPr>
        <w:pStyle w:val="F21"/>
        <w:overflowPunct w:val="true"/>
        <w:spacing w:lineRule="atLeast" w:line="320"/>
        <w:rPr>
          <w:rFonts w:cs="Times New Roman"/>
        </w:rPr>
      </w:pPr>
      <w:r>
        <w:rPr>
          <w:rFonts w:cs="Times New Roman"/>
        </w:rPr>
      </w:r>
    </w:p>
    <w:p>
      <w:pPr>
        <w:pStyle w:val="F21"/>
        <w:overflowPunct w:val="true"/>
        <w:spacing w:lineRule="atLeast" w:line="320"/>
        <w:rPr>
          <w:rFonts w:cs="Times New Roman"/>
        </w:rPr>
      </w:pPr>
      <w:r>
        <w:rPr>
          <w:rFonts w:ascii="華康中黑體" w:hAnsi="華康中黑體" w:cs="Times New Roman" w:eastAsia="華康中黑體"/>
          <w:b/>
        </w:rPr>
        <w:t>郭家麒議員</w:t>
      </w:r>
      <w:r>
        <w:rPr>
          <w:rFonts w:cs="Times New Roman"/>
        </w:rPr>
        <w:t>：主席，會議廳內沒有足夠法定人數。</w:t>
      </w:r>
    </w:p>
    <w:p>
      <w:pPr>
        <w:pStyle w:val="F21"/>
        <w:overflowPunct w:val="true"/>
        <w:spacing w:lineRule="atLeast" w:line="320"/>
        <w:rPr>
          <w:rFonts w:cs="Times New Roman"/>
        </w:rPr>
      </w:pPr>
      <w:r>
        <w:rPr>
          <w:rFonts w:cs="Times New Roman"/>
        </w:rPr>
      </w:r>
    </w:p>
    <w:p>
      <w:pPr>
        <w:pStyle w:val="F21"/>
        <w:overflowPunct w:val="true"/>
        <w:spacing w:lineRule="atLeast" w:line="320"/>
        <w:rPr>
          <w:rFonts w:cs="Times New Roman"/>
        </w:rPr>
      </w:pPr>
      <w:r>
        <w:rPr>
          <w:rFonts w:cs="Times New Roman"/>
        </w:rPr>
      </w:r>
    </w:p>
    <w:p>
      <w:pPr>
        <w:pStyle w:val="F21"/>
        <w:overflowPunct w:val="true"/>
        <w:spacing w:lineRule="atLeast" w:line="320"/>
        <w:rPr>
          <w:rFonts w:cs="Times New Roman"/>
        </w:rPr>
      </w:pPr>
      <w:r>
        <w:rPr>
          <w:rFonts w:ascii="華康中黑體" w:hAnsi="華康中黑體" w:cs="Times New Roman" w:eastAsia="華康中黑體"/>
          <w:b/>
        </w:rPr>
        <w:t>主席</w:t>
      </w:r>
      <w:r>
        <w:rPr>
          <w:rFonts w:cs="Times New Roman"/>
        </w:rPr>
        <w:t>：秘書，請響鐘傳召議員返回會議廳。</w:t>
      </w:r>
    </w:p>
    <w:p>
      <w:pPr>
        <w:pStyle w:val="F21"/>
        <w:overflowPunct w:val="true"/>
        <w:spacing w:lineRule="atLeast" w:line="320"/>
        <w:rPr>
          <w:rFonts w:cs="Times New Roman"/>
        </w:rPr>
      </w:pPr>
      <w:r>
        <w:rPr>
          <w:rFonts w:cs="Times New Roman"/>
        </w:rPr>
      </w:r>
    </w:p>
    <w:p>
      <w:pPr>
        <w:pStyle w:val="F21"/>
        <w:overflowPunct w:val="true"/>
        <w:spacing w:lineRule="atLeast" w:line="320"/>
        <w:rPr>
          <w:rFonts w:cs="Times New Roman"/>
        </w:rPr>
      </w:pPr>
      <w:r>
        <w:rPr>
          <w:rFonts w:cs="Times New Roman"/>
        </w:rPr>
        <w:t>(</w:t>
      </w:r>
      <w:r>
        <w:rPr>
          <w:rFonts w:cs="Times New Roman"/>
        </w:rPr>
        <w:t>在傳召鐘響起期間，有議員步出會議廳並高聲叫喊</w:t>
      </w:r>
      <w:r>
        <w:rPr>
          <w:rFonts w:cs="Times New Roman"/>
        </w:rPr>
        <w:t>)</w:t>
      </w:r>
    </w:p>
    <w:p>
      <w:pPr>
        <w:pStyle w:val="F21"/>
        <w:overflowPunct w:val="true"/>
        <w:spacing w:lineRule="atLeast" w:line="320"/>
        <w:rPr>
          <w:rFonts w:cs="Times New Roman"/>
        </w:rPr>
      </w:pPr>
      <w:r>
        <w:rPr>
          <w:rFonts w:cs="Times New Roman"/>
        </w:rPr>
      </w:r>
    </w:p>
    <w:p>
      <w:pPr>
        <w:pStyle w:val="F21"/>
        <w:overflowPunct w:val="true"/>
        <w:spacing w:lineRule="atLeast" w:line="320"/>
        <w:rPr>
          <w:rFonts w:cs="Times New Roman"/>
        </w:rPr>
      </w:pPr>
      <w:r>
        <w:rPr>
          <w:rFonts w:cs="Times New Roman"/>
        </w:rPr>
      </w:r>
    </w:p>
    <w:p>
      <w:pPr>
        <w:pStyle w:val="F21"/>
        <w:overflowPunct w:val="true"/>
        <w:spacing w:lineRule="atLeast" w:line="320"/>
        <w:rPr>
          <w:rFonts w:cs="Times New Roman"/>
        </w:rPr>
      </w:pPr>
      <w:r>
        <w:rPr>
          <w:rFonts w:ascii="華康中黑體" w:hAnsi="華康中黑體" w:cs="Times New Roman" w:eastAsia="華康中黑體"/>
          <w:b/>
        </w:rPr>
        <w:t>主席</w:t>
      </w:r>
      <w:r>
        <w:rPr>
          <w:rFonts w:cs="Times New Roman"/>
        </w:rPr>
        <w:t>：請各位議員保持肅靜。</w:t>
      </w:r>
    </w:p>
    <w:p>
      <w:pPr>
        <w:pStyle w:val="F21"/>
        <w:overflowPunct w:val="true"/>
        <w:spacing w:lineRule="atLeast" w:line="320"/>
        <w:rPr>
          <w:rFonts w:cs="Times New Roman"/>
        </w:rPr>
      </w:pPr>
      <w:r>
        <w:rPr>
          <w:rFonts w:cs="Times New Roman"/>
        </w:rPr>
      </w:r>
    </w:p>
    <w:p>
      <w:pPr>
        <w:pStyle w:val="F21"/>
        <w:overflowPunct w:val="true"/>
        <w:spacing w:lineRule="atLeast" w:line="320"/>
        <w:rPr>
          <w:rFonts w:cs="Times New Roman"/>
        </w:rPr>
      </w:pPr>
      <w:r>
        <w:rPr>
          <w:rFonts w:cs="Times New Roman"/>
        </w:rPr>
        <w:t>(</w:t>
      </w:r>
      <w:r>
        <w:rPr>
          <w:rFonts w:cs="Times New Roman"/>
        </w:rPr>
        <w:t>在傳召鐘響後，多位議員返回會議廳</w:t>
      </w:r>
      <w:r>
        <w:rPr>
          <w:rFonts w:cs="Times New Roman"/>
        </w:rPr>
        <w:t>)</w:t>
      </w:r>
    </w:p>
    <w:p>
      <w:pPr>
        <w:pStyle w:val="F21"/>
        <w:overflowPunct w:val="true"/>
        <w:spacing w:lineRule="atLeast" w:line="320"/>
        <w:rPr>
          <w:rFonts w:cs="Times New Roman"/>
        </w:rPr>
      </w:pPr>
      <w:r>
        <w:rPr>
          <w:rFonts w:cs="Times New Roman"/>
        </w:rPr>
      </w:r>
    </w:p>
    <w:p>
      <w:pPr>
        <w:pStyle w:val="F21"/>
        <w:overflowPunct w:val="true"/>
        <w:spacing w:lineRule="atLeast" w:line="320"/>
        <w:rPr>
          <w:rFonts w:cs="Times New Roman"/>
        </w:rPr>
      </w:pPr>
      <w:r>
        <w:rPr>
          <w:rFonts w:cs="Times New Roman"/>
        </w:rPr>
      </w:r>
    </w:p>
    <w:p>
      <w:pPr>
        <w:pStyle w:val="F21"/>
        <w:overflowPunct w:val="true"/>
        <w:spacing w:lineRule="atLeast" w:line="320"/>
        <w:rPr>
          <w:rFonts w:eastAsia="華康中黑體" w:cs="Times New Roman"/>
          <w:b/>
          <w:b/>
        </w:rPr>
      </w:pPr>
      <w:bookmarkStart w:id="64" w:name="b2r"/>
      <w:r>
        <w:rPr>
          <w:rFonts w:cs="Times New Roman" w:eastAsia="華康中黑體"/>
          <w:b/>
        </w:rPr>
        <w:t>政府法案二讀</w:t>
      </w:r>
    </w:p>
    <w:p>
      <w:pPr>
        <w:pStyle w:val="Normal"/>
        <w:overflowPunct w:val="true"/>
        <w:spacing w:lineRule="atLeast" w:line="320"/>
        <w:rPr>
          <w:b/>
          <w:b/>
        </w:rPr>
      </w:pPr>
      <w:bookmarkStart w:id="65" w:name="b2r"/>
      <w:r>
        <w:rPr>
          <w:b/>
        </w:rPr>
        <w:t>Second Reading of Government Bill</w:t>
      </w:r>
      <w:bookmarkEnd w:id="65"/>
    </w:p>
    <w:p>
      <w:pPr>
        <w:pStyle w:val="F21"/>
        <w:overflowPunct w:val="true"/>
        <w:spacing w:lineRule="atLeast" w:line="320"/>
        <w:rPr>
          <w:rFonts w:cs="Times New Roman"/>
        </w:rPr>
      </w:pPr>
      <w:r>
        <w:rPr>
          <w:rFonts w:cs="Times New Roman"/>
        </w:rPr>
      </w:r>
    </w:p>
    <w:p>
      <w:pPr>
        <w:pStyle w:val="F21"/>
        <w:overflowPunct w:val="true"/>
        <w:spacing w:lineRule="atLeast" w:line="320"/>
        <w:rPr>
          <w:rFonts w:cs="Times New Roman"/>
        </w:rPr>
      </w:pPr>
      <w:r>
        <w:rPr>
          <w:rFonts w:cs="Times New Roman" w:eastAsia="華康中黑體"/>
          <w:b/>
        </w:rPr>
        <w:t>主席</w:t>
      </w:r>
      <w:r>
        <w:rPr>
          <w:rFonts w:cs="Times New Roman"/>
        </w:rPr>
        <w:t>：政府法案：二讀。保安局局長，請發言。</w:t>
      </w:r>
    </w:p>
    <w:p>
      <w:pPr>
        <w:pStyle w:val="F21"/>
        <w:overflowPunct w:val="true"/>
        <w:spacing w:lineRule="atLeast" w:line="320"/>
        <w:rPr>
          <w:rFonts w:cs="Times New Roman"/>
        </w:rPr>
      </w:pPr>
      <w:r>
        <w:rPr>
          <w:rFonts w:cs="Times New Roman"/>
        </w:rPr>
      </w:r>
    </w:p>
    <w:p>
      <w:pPr>
        <w:pStyle w:val="F21"/>
        <w:overflowPunct w:val="true"/>
        <w:spacing w:lineRule="atLeast" w:line="320"/>
        <w:rPr>
          <w:rFonts w:cs="Times New Roman"/>
        </w:rPr>
      </w:pPr>
      <w:r>
        <w:rPr>
          <w:rFonts w:cs="Times New Roman"/>
        </w:rPr>
      </w:r>
    </w:p>
    <w:p>
      <w:pPr>
        <w:pStyle w:val="F21"/>
        <w:overflowPunct w:val="true"/>
        <w:spacing w:lineRule="atLeast" w:line="320"/>
        <w:rPr>
          <w:rFonts w:eastAsia="華康中黑體" w:cs="Times New Roman"/>
          <w:b/>
          <w:b/>
        </w:rPr>
      </w:pPr>
      <w:bookmarkStart w:id="66" w:name="b2r01"/>
      <w:r>
        <w:rPr>
          <w:rFonts w:cs="Times New Roman" w:eastAsia="華康中黑體"/>
          <w:b/>
        </w:rPr>
        <w:t>《</w:t>
      </w:r>
      <w:r>
        <w:rPr>
          <w:rFonts w:eastAsia="華康中黑體" w:cs="Times New Roman"/>
          <w:b/>
        </w:rPr>
        <w:t>2019</w:t>
      </w:r>
      <w:r>
        <w:rPr>
          <w:rFonts w:cs="Times New Roman" w:eastAsia="華康中黑體"/>
          <w:b/>
        </w:rPr>
        <w:t>年逃犯及刑事事宜相互法律協助法例</w:t>
      </w:r>
      <w:r>
        <w:rPr>
          <w:rFonts w:eastAsia="華康中黑體" w:cs="Times New Roman"/>
          <w:b/>
        </w:rPr>
        <w:t>(</w:t>
      </w:r>
      <w:r>
        <w:rPr>
          <w:rFonts w:cs="Times New Roman" w:eastAsia="華康中黑體"/>
          <w:b/>
        </w:rPr>
        <w:t>修訂</w:t>
      </w:r>
      <w:r>
        <w:rPr>
          <w:rFonts w:eastAsia="華康中黑體" w:cs="Times New Roman"/>
          <w:b/>
        </w:rPr>
        <w:t>)</w:t>
      </w:r>
      <w:r>
        <w:rPr>
          <w:rFonts w:cs="Times New Roman" w:eastAsia="華康中黑體"/>
          <w:b/>
        </w:rPr>
        <w:t>條例草案》</w:t>
      </w:r>
    </w:p>
    <w:p>
      <w:pPr>
        <w:pStyle w:val="Normal"/>
        <w:overflowPunct w:val="true"/>
        <w:spacing w:lineRule="atLeast" w:line="320"/>
        <w:rPr>
          <w:rFonts w:eastAsia="華康中黑體"/>
          <w:b/>
          <w:b/>
          <w:spacing w:val="20"/>
          <w:sz w:val="27"/>
          <w:szCs w:val="22"/>
          <w:lang w:val="en-US"/>
        </w:rPr>
      </w:pPr>
      <w:bookmarkStart w:id="67" w:name="b2r01"/>
      <w:r>
        <w:rPr>
          <w:b/>
          <w:caps/>
        </w:rPr>
        <w:t>Fugitive Offenders and Mutual Legal Assistance in Criminal Matters Legislation (Amendment) Bill 2019</w:t>
      </w:r>
      <w:bookmarkEnd w:id="67"/>
    </w:p>
    <w:p>
      <w:pPr>
        <w:pStyle w:val="F21"/>
        <w:overflowPunct w:val="true"/>
        <w:spacing w:lineRule="atLeast" w:line="320"/>
        <w:rPr>
          <w:rFonts w:cs="Times New Roman"/>
        </w:rPr>
      </w:pPr>
      <w:r>
        <w:rPr>
          <w:rFonts w:cs="Times New Roman"/>
        </w:rPr>
      </w:r>
    </w:p>
    <w:p>
      <w:pPr>
        <w:pStyle w:val="F21"/>
        <w:overflowPunct w:val="true"/>
        <w:spacing w:lineRule="atLeast" w:line="320"/>
        <w:rPr>
          <w:szCs w:val="27"/>
        </w:rPr>
      </w:pPr>
      <w:r>
        <w:rPr>
          <w:rFonts w:eastAsia="華康中黑體"/>
          <w:b/>
          <w:szCs w:val="27"/>
        </w:rPr>
        <w:t>保安局局長</w:t>
      </w:r>
      <w:r>
        <w:rPr>
          <w:szCs w:val="27"/>
        </w:rPr>
        <w:t>：主席，我動議二讀《</w:t>
      </w:r>
      <w:r>
        <w:rPr>
          <w:szCs w:val="27"/>
        </w:rPr>
        <w:t>2019</w:t>
      </w:r>
      <w:r>
        <w:rPr>
          <w:szCs w:val="27"/>
        </w:rPr>
        <w:t>年逃犯及刑事事宜相互法律協助法例</w:t>
      </w:r>
      <w:r>
        <w:rPr>
          <w:szCs w:val="27"/>
        </w:rPr>
        <w:t>(</w:t>
      </w:r>
      <w:r>
        <w:rPr>
          <w:szCs w:val="27"/>
        </w:rPr>
        <w:t>修訂</w:t>
      </w:r>
      <w:r>
        <w:rPr>
          <w:szCs w:val="27"/>
        </w:rPr>
        <w:t>)</w:t>
      </w:r>
      <w:r>
        <w:rPr>
          <w:szCs w:val="27"/>
        </w:rPr>
        <w:t>條例草案》</w:t>
      </w:r>
      <w:r>
        <w:rPr>
          <w:szCs w:val="27"/>
        </w:rPr>
        <w:t>("</w:t>
      </w:r>
      <w:r>
        <w:rPr>
          <w:szCs w:val="27"/>
        </w:rPr>
        <w:t>《條例草案》</w:t>
      </w:r>
      <w:r>
        <w:rPr>
          <w:szCs w:val="27"/>
        </w:rPr>
        <w:t>")</w:t>
      </w:r>
      <w:r>
        <w:rPr>
          <w:szCs w:val="27"/>
        </w:rPr>
        <w:t>。</w:t>
      </w:r>
    </w:p>
    <w:p>
      <w:pPr>
        <w:pStyle w:val="F21"/>
        <w:overflowPunct w:val="true"/>
        <w:spacing w:lineRule="atLeast" w:line="320"/>
        <w:rPr>
          <w:szCs w:val="27"/>
        </w:rPr>
      </w:pPr>
      <w:r>
        <w:rPr>
          <w:szCs w:val="27"/>
        </w:rPr>
      </w:r>
    </w:p>
    <w:p>
      <w:pPr>
        <w:pStyle w:val="F21"/>
        <w:overflowPunct w:val="true"/>
        <w:spacing w:lineRule="atLeast" w:line="320"/>
        <w:rPr>
          <w:szCs w:val="27"/>
        </w:rPr>
      </w:pPr>
      <w:r>
        <w:rPr>
          <w:szCs w:val="27"/>
        </w:rPr>
        <w:tab/>
      </w:r>
      <w:r>
        <w:rPr>
          <w:szCs w:val="27"/>
        </w:rPr>
        <w:t>《條例草案》的目的，是修訂《逃犯條例》和《刑事事宜相互法律協助條例》，以處理兩個現實問題：</w:t>
      </w:r>
      <w:r>
        <w:rPr>
          <w:szCs w:val="27"/>
        </w:rPr>
        <w:t>(</w:t>
      </w:r>
      <w:r>
        <w:rPr>
          <w:szCs w:val="27"/>
        </w:rPr>
        <w:t>一</w:t>
      </w:r>
      <w:r>
        <w:rPr>
          <w:szCs w:val="27"/>
        </w:rPr>
        <w:t>)2018</w:t>
      </w:r>
      <w:r>
        <w:rPr>
          <w:szCs w:val="27"/>
        </w:rPr>
        <w:t>年年初在台灣發生的一宗涉及港人的殺人案；</w:t>
      </w:r>
      <w:r>
        <w:rPr>
          <w:szCs w:val="27"/>
        </w:rPr>
        <w:t>(</w:t>
      </w:r>
      <w:r>
        <w:rPr>
          <w:szCs w:val="27"/>
        </w:rPr>
        <w:t>二</w:t>
      </w:r>
      <w:r>
        <w:rPr>
          <w:szCs w:val="27"/>
        </w:rPr>
        <w:t>)</w:t>
      </w:r>
      <w:r>
        <w:rPr>
          <w:szCs w:val="27"/>
        </w:rPr>
        <w:t>同時堵塞香港整體</w:t>
      </w:r>
      <w:r>
        <w:rPr>
          <w:szCs w:val="27"/>
        </w:rPr>
        <w:t>......</w:t>
      </w:r>
    </w:p>
    <w:p>
      <w:pPr>
        <w:pStyle w:val="F21"/>
        <w:overflowPunct w:val="true"/>
        <w:spacing w:lineRule="atLeast" w:line="320"/>
        <w:rPr>
          <w:szCs w:val="27"/>
        </w:rPr>
      </w:pPr>
      <w:r>
        <w:rPr>
          <w:szCs w:val="27"/>
        </w:rPr>
      </w:r>
    </w:p>
    <w:p>
      <w:pPr>
        <w:pStyle w:val="F21"/>
        <w:overflowPunct w:val="true"/>
        <w:spacing w:lineRule="atLeast" w:line="320"/>
        <w:rPr>
          <w:szCs w:val="27"/>
        </w:rPr>
      </w:pPr>
      <w:r>
        <w:rPr>
          <w:szCs w:val="27"/>
        </w:rPr>
        <w:t>(</w:t>
      </w:r>
      <w:r>
        <w:rPr>
          <w:szCs w:val="27"/>
        </w:rPr>
        <w:t>多位議員進入會議廳並高聲叫喊</w:t>
      </w:r>
      <w:r>
        <w:rPr>
          <w:szCs w:val="27"/>
        </w:rPr>
        <w:t>)</w:t>
      </w:r>
    </w:p>
    <w:p>
      <w:pPr>
        <w:pStyle w:val="F21"/>
        <w:overflowPunct w:val="true"/>
        <w:spacing w:lineRule="atLeast" w:line="320"/>
        <w:rPr>
          <w:szCs w:val="27"/>
        </w:rPr>
      </w:pPr>
      <w:r>
        <w:rPr>
          <w:szCs w:val="27"/>
        </w:rPr>
      </w:r>
    </w:p>
    <w:p>
      <w:pPr>
        <w:pStyle w:val="F21"/>
        <w:overflowPunct w:val="true"/>
        <w:spacing w:lineRule="atLeast" w:line="320"/>
        <w:rPr>
          <w:szCs w:val="27"/>
        </w:rPr>
      </w:pPr>
      <w:r>
        <w:rPr>
          <w:szCs w:val="27"/>
        </w:rPr>
      </w:r>
    </w:p>
    <w:p>
      <w:pPr>
        <w:pStyle w:val="F21"/>
        <w:overflowPunct w:val="true"/>
        <w:spacing w:lineRule="atLeast" w:line="320"/>
        <w:rPr>
          <w:szCs w:val="27"/>
        </w:rPr>
      </w:pPr>
      <w:r>
        <w:rPr>
          <w:rFonts w:ascii="華康中黑體" w:hAnsi="華康中黑體" w:eastAsia="華康中黑體"/>
          <w:b/>
          <w:szCs w:val="27"/>
        </w:rPr>
        <w:t>主席</w:t>
      </w:r>
      <w:r>
        <w:rPr>
          <w:szCs w:val="27"/>
        </w:rPr>
        <w:t>：請議員保持肅靜。如果有議員不保持肅靜，我會命令有關議員離開會議廳，不會再作警告。</w:t>
      </w:r>
      <w:r>
        <w:br w:type="page"/>
      </w:r>
    </w:p>
    <w:p>
      <w:pPr>
        <w:pStyle w:val="F21"/>
        <w:overflowPunct w:val="true"/>
        <w:rPr>
          <w:szCs w:val="27"/>
        </w:rPr>
      </w:pPr>
      <w:r>
        <w:rPr>
          <w:rFonts w:eastAsia="華康中黑體"/>
          <w:b/>
          <w:szCs w:val="27"/>
        </w:rPr>
        <w:t>保安局局長</w:t>
      </w:r>
      <w:r>
        <w:rPr>
          <w:szCs w:val="27"/>
        </w:rPr>
        <w:t>：</w:t>
      </w:r>
      <w:r>
        <w:rPr>
          <w:szCs w:val="27"/>
        </w:rPr>
        <w:t>......</w:t>
      </w:r>
      <w:r>
        <w:rPr>
          <w:szCs w:val="27"/>
        </w:rPr>
        <w:t>刑事事宜協作制度的漏洞，包括現時兩條條例的地理限制和不切實可行的操作程序。</w:t>
      </w:r>
    </w:p>
    <w:p>
      <w:pPr>
        <w:pStyle w:val="F21"/>
        <w:overflowPunct w:val="true"/>
        <w:rPr>
          <w:szCs w:val="27"/>
        </w:rPr>
      </w:pPr>
      <w:r>
        <w:rPr>
          <w:szCs w:val="27"/>
        </w:rPr>
      </w:r>
    </w:p>
    <w:p>
      <w:pPr>
        <w:pStyle w:val="F21"/>
        <w:overflowPunct w:val="true"/>
        <w:rPr>
          <w:szCs w:val="27"/>
        </w:rPr>
      </w:pPr>
      <w:r>
        <w:rPr>
          <w:szCs w:val="27"/>
        </w:rPr>
        <w:tab/>
      </w:r>
      <w:r>
        <w:rPr>
          <w:szCs w:val="27"/>
        </w:rPr>
        <w:t>兩條條例現時均不適用於香港與中華人民共和國其他部分的移交逃犯及相互法律協助要求，我們現時沒有法律基礎去處理台灣殺人案的刑事司法互助及移送疑犯的要求。</w:t>
      </w:r>
    </w:p>
    <w:p>
      <w:pPr>
        <w:pStyle w:val="F21"/>
        <w:overflowPunct w:val="true"/>
        <w:rPr>
          <w:szCs w:val="27"/>
        </w:rPr>
      </w:pPr>
      <w:r>
        <w:rPr>
          <w:szCs w:val="27"/>
        </w:rPr>
      </w:r>
    </w:p>
    <w:p>
      <w:pPr>
        <w:pStyle w:val="F21"/>
        <w:overflowPunct w:val="true"/>
        <w:rPr>
          <w:szCs w:val="27"/>
        </w:rPr>
      </w:pPr>
      <w:r>
        <w:rPr>
          <w:szCs w:val="27"/>
        </w:rPr>
        <w:t>(</w:t>
      </w:r>
      <w:r>
        <w:rPr>
          <w:szCs w:val="27"/>
        </w:rPr>
        <w:t>許智峯議員站起來</w:t>
      </w:r>
      <w:r>
        <w:rPr>
          <w:szCs w:val="27"/>
        </w:rPr>
        <w:t>)</w:t>
      </w:r>
    </w:p>
    <w:p>
      <w:pPr>
        <w:pStyle w:val="F21"/>
        <w:overflowPunct w:val="true"/>
        <w:rPr>
          <w:szCs w:val="27"/>
        </w:rPr>
      </w:pPr>
      <w:r>
        <w:rPr>
          <w:szCs w:val="27"/>
        </w:rPr>
      </w:r>
    </w:p>
    <w:p>
      <w:pPr>
        <w:pStyle w:val="F21"/>
        <w:overflowPunct w:val="true"/>
        <w:rPr>
          <w:szCs w:val="27"/>
        </w:rPr>
      </w:pPr>
      <w:r>
        <w:rPr>
          <w:szCs w:val="27"/>
        </w:rPr>
      </w:r>
    </w:p>
    <w:p>
      <w:pPr>
        <w:pStyle w:val="F21"/>
        <w:overflowPunct w:val="true"/>
        <w:rPr>
          <w:szCs w:val="27"/>
        </w:rPr>
      </w:pPr>
      <w:r>
        <w:rPr>
          <w:rFonts w:ascii="華康中黑體" w:hAnsi="華康中黑體" w:eastAsia="華康中黑體"/>
          <w:b/>
          <w:szCs w:val="27"/>
        </w:rPr>
        <w:t>主席</w:t>
      </w:r>
      <w:r>
        <w:rPr>
          <w:szCs w:val="27"/>
        </w:rPr>
        <w:t>：局長，請稍停。許智峯議員，你有甚麼規程問題？</w:t>
      </w:r>
    </w:p>
    <w:p>
      <w:pPr>
        <w:pStyle w:val="F21"/>
        <w:overflowPunct w:val="true"/>
        <w:rPr>
          <w:szCs w:val="27"/>
        </w:rPr>
      </w:pPr>
      <w:r>
        <w:rPr>
          <w:szCs w:val="27"/>
        </w:rPr>
      </w:r>
    </w:p>
    <w:p>
      <w:pPr>
        <w:pStyle w:val="F21"/>
        <w:overflowPunct w:val="true"/>
        <w:rPr>
          <w:szCs w:val="27"/>
        </w:rPr>
      </w:pPr>
      <w:r>
        <w:rPr>
          <w:szCs w:val="27"/>
        </w:rPr>
      </w:r>
    </w:p>
    <w:p>
      <w:pPr>
        <w:pStyle w:val="F21"/>
        <w:overflowPunct w:val="true"/>
        <w:rPr>
          <w:szCs w:val="27"/>
        </w:rPr>
      </w:pPr>
      <w:r>
        <w:rPr>
          <w:rFonts w:eastAsia="華康中黑體"/>
          <w:b/>
          <w:szCs w:val="27"/>
        </w:rPr>
        <w:t>許智峯議員</w:t>
      </w:r>
      <w:r>
        <w:rPr>
          <w:szCs w:val="27"/>
        </w:rPr>
        <w:t>：按照《議事規則》第</w:t>
      </w:r>
      <w:r>
        <w:rPr>
          <w:szCs w:val="27"/>
        </w:rPr>
        <w:t>64(1)</w:t>
      </w:r>
      <w:r>
        <w:rPr>
          <w:szCs w:val="27"/>
        </w:rPr>
        <w:t>條，負責某法案的官員可在該法案進行二讀時，宣布撤回或押後處理該法案。鑒於已有市民入稟挑戰《條例草案》</w:t>
      </w:r>
      <w:r>
        <w:rPr>
          <w:szCs w:val="27"/>
        </w:rPr>
        <w:t>......</w:t>
      </w:r>
    </w:p>
    <w:p>
      <w:pPr>
        <w:pStyle w:val="F21"/>
        <w:overflowPunct w:val="true"/>
        <w:rPr>
          <w:szCs w:val="27"/>
        </w:rPr>
      </w:pPr>
      <w:r>
        <w:rPr>
          <w:szCs w:val="27"/>
        </w:rPr>
      </w:r>
    </w:p>
    <w:p>
      <w:pPr>
        <w:pStyle w:val="F21"/>
        <w:overflowPunct w:val="true"/>
        <w:rPr>
          <w:szCs w:val="27"/>
        </w:rPr>
      </w:pPr>
      <w:r>
        <w:rPr>
          <w:szCs w:val="27"/>
        </w:rPr>
      </w:r>
    </w:p>
    <w:p>
      <w:pPr>
        <w:pStyle w:val="F21"/>
        <w:overflowPunct w:val="true"/>
        <w:rPr>
          <w:szCs w:val="27"/>
          <w:highlight w:val="lightGray"/>
        </w:rPr>
      </w:pPr>
      <w:r>
        <w:rPr>
          <w:rFonts w:ascii="華康中黑體" w:hAnsi="華康中黑體" w:eastAsia="華康中黑體"/>
          <w:b/>
          <w:szCs w:val="27"/>
        </w:rPr>
        <w:t>主席</w:t>
      </w:r>
      <w:r>
        <w:rPr>
          <w:szCs w:val="27"/>
        </w:rPr>
        <w:t>：許議員，這不是規程問題。是否撤回這項《條例草案》由局長決定，請你坐下。</w:t>
      </w:r>
    </w:p>
    <w:p>
      <w:pPr>
        <w:pStyle w:val="F21"/>
        <w:overflowPunct w:val="true"/>
        <w:rPr>
          <w:szCs w:val="27"/>
          <w:highlight w:val="lightGray"/>
        </w:rPr>
      </w:pPr>
      <w:r>
        <w:rPr>
          <w:szCs w:val="27"/>
          <w:highlight w:val="lightGray"/>
        </w:rPr>
      </w:r>
    </w:p>
    <w:p>
      <w:pPr>
        <w:pStyle w:val="F21"/>
        <w:overflowPunct w:val="true"/>
        <w:rPr>
          <w:szCs w:val="27"/>
          <w:highlight w:val="lightGray"/>
        </w:rPr>
      </w:pPr>
      <w:r>
        <w:rPr>
          <w:szCs w:val="27"/>
          <w:highlight w:val="lightGray"/>
        </w:rPr>
      </w:r>
    </w:p>
    <w:p>
      <w:pPr>
        <w:pStyle w:val="F21"/>
        <w:overflowPunct w:val="true"/>
        <w:rPr>
          <w:szCs w:val="27"/>
        </w:rPr>
      </w:pPr>
      <w:r>
        <w:rPr>
          <w:rFonts w:ascii="華康中黑體" w:hAnsi="華康中黑體" w:eastAsia="華康中黑體"/>
          <w:b/>
          <w:szCs w:val="27"/>
        </w:rPr>
        <w:t>許智峯議員</w:t>
      </w:r>
      <w:r>
        <w:rPr>
          <w:szCs w:val="27"/>
        </w:rPr>
        <w:t>：主席，我要求政府撤回這項《條例草案》。</w:t>
      </w:r>
    </w:p>
    <w:p>
      <w:pPr>
        <w:pStyle w:val="F21"/>
        <w:overflowPunct w:val="true"/>
        <w:rPr>
          <w:szCs w:val="27"/>
        </w:rPr>
      </w:pPr>
      <w:r>
        <w:rPr>
          <w:szCs w:val="27"/>
        </w:rPr>
      </w:r>
    </w:p>
    <w:p>
      <w:pPr>
        <w:pStyle w:val="F21"/>
        <w:overflowPunct w:val="true"/>
        <w:rPr>
          <w:szCs w:val="27"/>
        </w:rPr>
      </w:pPr>
      <w:r>
        <w:rPr>
          <w:szCs w:val="27"/>
        </w:rPr>
      </w:r>
    </w:p>
    <w:p>
      <w:pPr>
        <w:pStyle w:val="F21"/>
        <w:overflowPunct w:val="true"/>
        <w:rPr>
          <w:szCs w:val="27"/>
          <w:highlight w:val="lightGray"/>
        </w:rPr>
      </w:pPr>
      <w:r>
        <w:rPr>
          <w:rFonts w:ascii="華康中黑體" w:hAnsi="華康中黑體" w:eastAsia="華康中黑體"/>
          <w:b/>
          <w:szCs w:val="27"/>
        </w:rPr>
        <w:t>主席</w:t>
      </w:r>
      <w:r>
        <w:rPr>
          <w:szCs w:val="27"/>
        </w:rPr>
        <w:t>：局長，請繼續。</w:t>
      </w:r>
    </w:p>
    <w:p>
      <w:pPr>
        <w:pStyle w:val="F21"/>
        <w:overflowPunct w:val="true"/>
        <w:rPr>
          <w:szCs w:val="27"/>
          <w:highlight w:val="lightGray"/>
        </w:rPr>
      </w:pPr>
      <w:r>
        <w:rPr>
          <w:szCs w:val="27"/>
          <w:highlight w:val="lightGray"/>
        </w:rPr>
      </w:r>
    </w:p>
    <w:p>
      <w:pPr>
        <w:pStyle w:val="F21"/>
        <w:overflowPunct w:val="true"/>
        <w:rPr>
          <w:szCs w:val="27"/>
        </w:rPr>
      </w:pPr>
      <w:r>
        <w:rPr>
          <w:szCs w:val="27"/>
        </w:rPr>
      </w:r>
    </w:p>
    <w:p>
      <w:pPr>
        <w:pStyle w:val="F21"/>
        <w:overflowPunct w:val="true"/>
        <w:rPr>
          <w:rFonts w:ascii="華康細明體" w:hAnsi="華康細明體"/>
          <w:szCs w:val="27"/>
        </w:rPr>
      </w:pPr>
      <w:r>
        <w:rPr>
          <w:rFonts w:eastAsia="華康中黑體"/>
          <w:b/>
          <w:szCs w:val="27"/>
        </w:rPr>
        <w:t>保安局局長</w:t>
      </w:r>
      <w:r>
        <w:rPr>
          <w:szCs w:val="27"/>
        </w:rPr>
        <w:t>：主席，我繼續發</w:t>
      </w:r>
      <w:r>
        <w:rPr>
          <w:rFonts w:ascii="華康細明體" w:hAnsi="華康細明體"/>
          <w:szCs w:val="27"/>
        </w:rPr>
        <w:t>言。</w:t>
      </w:r>
    </w:p>
    <w:p>
      <w:pPr>
        <w:pStyle w:val="F21"/>
        <w:overflowPunct w:val="true"/>
        <w:rPr>
          <w:szCs w:val="27"/>
        </w:rPr>
      </w:pPr>
      <w:r>
        <w:rPr>
          <w:szCs w:val="27"/>
        </w:rPr>
      </w:r>
    </w:p>
    <w:p>
      <w:pPr>
        <w:pStyle w:val="F21"/>
        <w:overflowPunct w:val="true"/>
        <w:rPr>
          <w:szCs w:val="27"/>
        </w:rPr>
      </w:pPr>
      <w:r>
        <w:rPr>
          <w:szCs w:val="27"/>
        </w:rPr>
        <w:tab/>
      </w:r>
      <w:r>
        <w:rPr>
          <w:szCs w:val="27"/>
        </w:rPr>
        <w:t>我們現時沒有法律基礎去處理台灣殺人案的刑事司法互助及移送疑犯的要求。</w:t>
      </w:r>
    </w:p>
    <w:p>
      <w:pPr>
        <w:pStyle w:val="F21"/>
        <w:overflowPunct w:val="true"/>
        <w:rPr>
          <w:szCs w:val="27"/>
        </w:rPr>
      </w:pPr>
      <w:r>
        <w:rPr>
          <w:szCs w:val="27"/>
        </w:rPr>
      </w:r>
    </w:p>
    <w:p>
      <w:pPr>
        <w:pStyle w:val="F21"/>
        <w:overflowPunct w:val="true"/>
        <w:rPr>
          <w:szCs w:val="27"/>
        </w:rPr>
      </w:pPr>
      <w:r>
        <w:rPr>
          <w:szCs w:val="27"/>
        </w:rPr>
        <w:t>(</w:t>
      </w:r>
      <w:r>
        <w:rPr>
          <w:szCs w:val="27"/>
        </w:rPr>
        <w:t>許智峯議員站起來</w:t>
      </w:r>
      <w:r>
        <w:rPr>
          <w:szCs w:val="27"/>
        </w:rPr>
        <w:t>)</w:t>
      </w:r>
    </w:p>
    <w:p>
      <w:pPr>
        <w:pStyle w:val="F21"/>
        <w:overflowPunct w:val="true"/>
        <w:rPr>
          <w:szCs w:val="27"/>
        </w:rPr>
      </w:pPr>
      <w:r>
        <w:rPr>
          <w:szCs w:val="27"/>
        </w:rPr>
      </w:r>
    </w:p>
    <w:p>
      <w:pPr>
        <w:pStyle w:val="F21"/>
        <w:overflowPunct w:val="true"/>
        <w:rPr>
          <w:szCs w:val="27"/>
        </w:rPr>
      </w:pPr>
      <w:r>
        <w:rPr>
          <w:szCs w:val="27"/>
        </w:rPr>
      </w:r>
    </w:p>
    <w:p>
      <w:pPr>
        <w:pStyle w:val="F21"/>
        <w:overflowPunct w:val="true"/>
        <w:rPr>
          <w:szCs w:val="27"/>
        </w:rPr>
      </w:pPr>
      <w:r>
        <w:rPr>
          <w:rFonts w:ascii="華康中黑體" w:hAnsi="華康中黑體" w:eastAsia="華康中黑體"/>
          <w:b/>
          <w:szCs w:val="27"/>
        </w:rPr>
        <w:t>主席</w:t>
      </w:r>
      <w:r>
        <w:rPr>
          <w:szCs w:val="27"/>
        </w:rPr>
        <w:t>：局長，請稍停。許智峯議員，你有甚麼規程問題？</w:t>
      </w:r>
    </w:p>
    <w:p>
      <w:pPr>
        <w:pStyle w:val="Normal"/>
        <w:widowControl/>
        <w:tabs>
          <w:tab w:val="clear" w:pos="720"/>
        </w:tabs>
        <w:snapToGrid w:val="true"/>
        <w:spacing w:lineRule="auto" w:line="276" w:before="0" w:after="200"/>
        <w:jc w:val="left"/>
        <w:rPr>
          <w:rFonts w:cs="" w:cstheme="minorBidi"/>
          <w:spacing w:val="20"/>
          <w:sz w:val="27"/>
          <w:szCs w:val="27"/>
          <w:lang w:val="en-US"/>
        </w:rPr>
      </w:pPr>
      <w:r>
        <w:rPr>
          <w:rFonts w:cs="" w:cstheme="minorBidi"/>
          <w:spacing w:val="20"/>
          <w:sz w:val="27"/>
          <w:szCs w:val="27"/>
          <w:lang w:val="en-US"/>
        </w:rPr>
      </w:r>
      <w:r>
        <w:br w:type="page"/>
      </w:r>
    </w:p>
    <w:p>
      <w:pPr>
        <w:pStyle w:val="F21"/>
        <w:overflowPunct w:val="true"/>
        <w:rPr>
          <w:szCs w:val="27"/>
        </w:rPr>
      </w:pPr>
      <w:r>
        <w:rPr>
          <w:rFonts w:eastAsia="華康中黑體"/>
          <w:b/>
          <w:szCs w:val="27"/>
        </w:rPr>
        <w:t>許智峯議員</w:t>
      </w:r>
      <w:r>
        <w:rPr>
          <w:szCs w:val="27"/>
        </w:rPr>
        <w:t>：按照《議事規則》第</w:t>
      </w:r>
      <w:r>
        <w:rPr>
          <w:szCs w:val="27"/>
        </w:rPr>
        <w:t>64(3)</w:t>
      </w:r>
      <w:r>
        <w:rPr>
          <w:szCs w:val="27"/>
        </w:rPr>
        <w:t>條，如果政府決定宣布撤回《條例草案》，可在現在這個時候就此發言。我要求他撤回《條例草案》，所以請你讓他發言，作出相關宣布。</w:t>
      </w:r>
    </w:p>
    <w:p>
      <w:pPr>
        <w:pStyle w:val="F21"/>
        <w:overflowPunct w:val="true"/>
        <w:rPr>
          <w:szCs w:val="27"/>
        </w:rPr>
      </w:pPr>
      <w:r>
        <w:rPr>
          <w:szCs w:val="27"/>
        </w:rPr>
      </w:r>
    </w:p>
    <w:p>
      <w:pPr>
        <w:pStyle w:val="F21"/>
        <w:overflowPunct w:val="true"/>
        <w:rPr>
          <w:szCs w:val="27"/>
        </w:rPr>
      </w:pPr>
      <w:r>
        <w:rPr>
          <w:szCs w:val="27"/>
        </w:rPr>
      </w:r>
    </w:p>
    <w:p>
      <w:pPr>
        <w:pStyle w:val="F21"/>
        <w:overflowPunct w:val="true"/>
        <w:rPr>
          <w:szCs w:val="27"/>
        </w:rPr>
      </w:pPr>
      <w:r>
        <w:rPr>
          <w:rFonts w:ascii="華康中黑體" w:hAnsi="華康中黑體" w:eastAsia="華康中黑體"/>
          <w:b/>
          <w:szCs w:val="27"/>
        </w:rPr>
        <w:t>主席</w:t>
      </w:r>
      <w:r>
        <w:rPr>
          <w:szCs w:val="27"/>
        </w:rPr>
        <w:t>：許議員，這不是規程問題，而現在亦非你的發言時間，請立即坐下。如果你繼續提出與規程無關的問題，我會視之為行為極不檢點。</w:t>
      </w:r>
    </w:p>
    <w:p>
      <w:pPr>
        <w:pStyle w:val="F21"/>
        <w:overflowPunct w:val="true"/>
        <w:rPr>
          <w:szCs w:val="27"/>
        </w:rPr>
      </w:pPr>
      <w:r>
        <w:rPr>
          <w:szCs w:val="27"/>
        </w:rPr>
      </w:r>
    </w:p>
    <w:p>
      <w:pPr>
        <w:pStyle w:val="F21"/>
        <w:overflowPunct w:val="true"/>
        <w:rPr>
          <w:szCs w:val="27"/>
        </w:rPr>
      </w:pPr>
      <w:r>
        <w:rPr>
          <w:szCs w:val="27"/>
        </w:rPr>
        <w:tab/>
      </w:r>
      <w:r>
        <w:rPr>
          <w:szCs w:val="27"/>
        </w:rPr>
        <w:t>局長，請繼續。</w:t>
      </w:r>
    </w:p>
    <w:p>
      <w:pPr>
        <w:pStyle w:val="F21"/>
        <w:overflowPunct w:val="true"/>
        <w:rPr>
          <w:szCs w:val="27"/>
        </w:rPr>
      </w:pPr>
      <w:r>
        <w:rPr>
          <w:szCs w:val="27"/>
        </w:rPr>
      </w:r>
    </w:p>
    <w:p>
      <w:pPr>
        <w:pStyle w:val="F21"/>
        <w:overflowPunct w:val="true"/>
        <w:rPr>
          <w:szCs w:val="27"/>
        </w:rPr>
      </w:pPr>
      <w:r>
        <w:rPr>
          <w:szCs w:val="27"/>
        </w:rPr>
      </w:r>
    </w:p>
    <w:p>
      <w:pPr>
        <w:pStyle w:val="F21"/>
        <w:overflowPunct w:val="true"/>
        <w:rPr>
          <w:szCs w:val="27"/>
        </w:rPr>
      </w:pPr>
      <w:r>
        <w:rPr>
          <w:rFonts w:eastAsia="華康中黑體"/>
          <w:b/>
          <w:szCs w:val="27"/>
        </w:rPr>
        <w:t>保安局局長</w:t>
      </w:r>
      <w:r>
        <w:rPr>
          <w:szCs w:val="27"/>
        </w:rPr>
        <w:t>：主席，我繼續發言。</w:t>
      </w:r>
    </w:p>
    <w:p>
      <w:pPr>
        <w:pStyle w:val="F21"/>
        <w:overflowPunct w:val="true"/>
        <w:rPr>
          <w:szCs w:val="27"/>
        </w:rPr>
      </w:pPr>
      <w:r>
        <w:rPr>
          <w:szCs w:val="27"/>
        </w:rPr>
      </w:r>
    </w:p>
    <w:p>
      <w:pPr>
        <w:pStyle w:val="F21"/>
        <w:overflowPunct w:val="true"/>
        <w:rPr>
          <w:szCs w:val="27"/>
        </w:rPr>
      </w:pPr>
      <w:r>
        <w:rPr>
          <w:szCs w:val="27"/>
        </w:rPr>
        <w:tab/>
      </w:r>
      <w:r>
        <w:rPr>
          <w:szCs w:val="27"/>
        </w:rPr>
        <w:t>《逃犯條例》現行的個案方式移交運作並不切實可行</w:t>
      </w:r>
      <w:r>
        <w:rPr>
          <w:szCs w:val="27"/>
        </w:rPr>
        <w:t>......</w:t>
      </w:r>
    </w:p>
    <w:p>
      <w:pPr>
        <w:pStyle w:val="F21"/>
        <w:overflowPunct w:val="true"/>
        <w:rPr>
          <w:szCs w:val="27"/>
        </w:rPr>
      </w:pPr>
      <w:r>
        <w:rPr>
          <w:szCs w:val="27"/>
        </w:rPr>
      </w:r>
    </w:p>
    <w:p>
      <w:pPr>
        <w:pStyle w:val="F21"/>
        <w:overflowPunct w:val="true"/>
        <w:rPr>
          <w:szCs w:val="27"/>
        </w:rPr>
      </w:pPr>
      <w:r>
        <w:rPr>
          <w:szCs w:val="27"/>
        </w:rPr>
        <w:t>(</w:t>
      </w:r>
      <w:r>
        <w:rPr>
          <w:szCs w:val="27"/>
        </w:rPr>
        <w:t>郭家麒議員站起來</w:t>
      </w:r>
      <w:r>
        <w:rPr>
          <w:szCs w:val="27"/>
        </w:rPr>
        <w:t>)</w:t>
      </w:r>
    </w:p>
    <w:p>
      <w:pPr>
        <w:pStyle w:val="F21"/>
        <w:overflowPunct w:val="true"/>
        <w:rPr>
          <w:szCs w:val="27"/>
        </w:rPr>
      </w:pPr>
      <w:r>
        <w:rPr>
          <w:szCs w:val="27"/>
        </w:rPr>
      </w:r>
    </w:p>
    <w:p>
      <w:pPr>
        <w:pStyle w:val="F21"/>
        <w:overflowPunct w:val="true"/>
        <w:rPr>
          <w:szCs w:val="27"/>
        </w:rPr>
      </w:pPr>
      <w:r>
        <w:rPr>
          <w:szCs w:val="27"/>
        </w:rPr>
      </w:r>
    </w:p>
    <w:p>
      <w:pPr>
        <w:pStyle w:val="F21"/>
        <w:overflowPunct w:val="true"/>
        <w:rPr>
          <w:szCs w:val="27"/>
        </w:rPr>
      </w:pPr>
      <w:r>
        <w:rPr>
          <w:rFonts w:ascii="華康中黑體" w:hAnsi="華康中黑體" w:eastAsia="華康中黑體"/>
          <w:b/>
          <w:szCs w:val="27"/>
        </w:rPr>
        <w:t>主席</w:t>
      </w:r>
      <w:r>
        <w:rPr>
          <w:szCs w:val="27"/>
        </w:rPr>
        <w:t>：郭家麒議員，你有甚麼規程問題？</w:t>
      </w:r>
    </w:p>
    <w:p>
      <w:pPr>
        <w:pStyle w:val="F21"/>
        <w:overflowPunct w:val="true"/>
        <w:rPr>
          <w:szCs w:val="27"/>
        </w:rPr>
      </w:pPr>
      <w:r>
        <w:rPr>
          <w:szCs w:val="27"/>
        </w:rPr>
      </w:r>
    </w:p>
    <w:p>
      <w:pPr>
        <w:pStyle w:val="F21"/>
        <w:overflowPunct w:val="true"/>
        <w:rPr>
          <w:szCs w:val="27"/>
        </w:rPr>
      </w:pPr>
      <w:r>
        <w:rPr>
          <w:szCs w:val="27"/>
        </w:rPr>
      </w:r>
    </w:p>
    <w:p>
      <w:pPr>
        <w:pStyle w:val="F21"/>
        <w:overflowPunct w:val="true"/>
        <w:rPr>
          <w:szCs w:val="27"/>
        </w:rPr>
      </w:pPr>
      <w:r>
        <w:rPr>
          <w:rFonts w:eastAsia="華康中黑體"/>
          <w:b/>
          <w:szCs w:val="27"/>
        </w:rPr>
        <w:t>郭家麒議員</w:t>
      </w:r>
      <w:r>
        <w:rPr>
          <w:szCs w:val="27"/>
        </w:rPr>
        <w:t>：主席，我想局長澄清。他剛才說現行機制不切實可行，我想他澄清，現時是否沒有機制引渡罪犯？</w:t>
      </w:r>
    </w:p>
    <w:p>
      <w:pPr>
        <w:pStyle w:val="F21"/>
        <w:overflowPunct w:val="true"/>
        <w:rPr>
          <w:szCs w:val="27"/>
        </w:rPr>
      </w:pPr>
      <w:r>
        <w:rPr>
          <w:szCs w:val="27"/>
        </w:rPr>
      </w:r>
    </w:p>
    <w:p>
      <w:pPr>
        <w:pStyle w:val="F21"/>
        <w:overflowPunct w:val="true"/>
        <w:rPr>
          <w:szCs w:val="27"/>
        </w:rPr>
      </w:pPr>
      <w:r>
        <w:rPr>
          <w:szCs w:val="27"/>
        </w:rPr>
      </w:r>
    </w:p>
    <w:p>
      <w:pPr>
        <w:pStyle w:val="F21"/>
        <w:overflowPunct w:val="true"/>
        <w:rPr>
          <w:szCs w:val="27"/>
        </w:rPr>
      </w:pPr>
      <w:r>
        <w:rPr>
          <w:rFonts w:ascii="華康中黑體" w:hAnsi="華康中黑體" w:eastAsia="華康中黑體"/>
          <w:b/>
          <w:szCs w:val="27"/>
        </w:rPr>
        <w:t>主席</w:t>
      </w:r>
      <w:r>
        <w:rPr>
          <w:szCs w:val="27"/>
        </w:rPr>
        <w:t>：根據《議事規則》第</w:t>
      </w:r>
      <w:r>
        <w:rPr>
          <w:szCs w:val="27"/>
        </w:rPr>
        <w:t>39(b)</w:t>
      </w:r>
      <w:r>
        <w:rPr>
          <w:szCs w:val="27"/>
        </w:rPr>
        <w:t>條，議員可要求官員澄清其發言中的事宜，但有關官員可自行決定是否須要澄清。</w:t>
      </w:r>
    </w:p>
    <w:p>
      <w:pPr>
        <w:pStyle w:val="F21"/>
        <w:overflowPunct w:val="true"/>
        <w:rPr>
          <w:szCs w:val="27"/>
        </w:rPr>
      </w:pPr>
      <w:r>
        <w:rPr>
          <w:szCs w:val="27"/>
        </w:rPr>
      </w:r>
    </w:p>
    <w:p>
      <w:pPr>
        <w:pStyle w:val="F21"/>
        <w:overflowPunct w:val="true"/>
        <w:rPr>
          <w:szCs w:val="27"/>
        </w:rPr>
      </w:pPr>
      <w:r>
        <w:rPr>
          <w:szCs w:val="27"/>
        </w:rPr>
        <w:tab/>
      </w:r>
      <w:r>
        <w:rPr>
          <w:szCs w:val="27"/>
        </w:rPr>
        <w:t>局長，你是否想澄清？</w:t>
      </w:r>
    </w:p>
    <w:p>
      <w:pPr>
        <w:pStyle w:val="F21"/>
        <w:overflowPunct w:val="true"/>
        <w:rPr>
          <w:szCs w:val="27"/>
        </w:rPr>
      </w:pPr>
      <w:r>
        <w:rPr>
          <w:szCs w:val="27"/>
        </w:rPr>
      </w:r>
    </w:p>
    <w:p>
      <w:pPr>
        <w:pStyle w:val="F21"/>
        <w:overflowPunct w:val="true"/>
        <w:rPr>
          <w:szCs w:val="27"/>
        </w:rPr>
      </w:pPr>
      <w:r>
        <w:rPr>
          <w:szCs w:val="27"/>
        </w:rPr>
      </w:r>
    </w:p>
    <w:p>
      <w:pPr>
        <w:pStyle w:val="F21"/>
        <w:overflowPunct w:val="true"/>
        <w:rPr>
          <w:szCs w:val="27"/>
        </w:rPr>
      </w:pPr>
      <w:r>
        <w:rPr>
          <w:rFonts w:eastAsia="華康中黑體"/>
          <w:b/>
          <w:szCs w:val="27"/>
        </w:rPr>
        <w:t>保安局局長</w:t>
      </w:r>
      <w:r>
        <w:rPr>
          <w:szCs w:val="27"/>
        </w:rPr>
        <w:t>：主席，政府會在法案委員會討論《條例草案》時，解答郭議員的問題。</w:t>
      </w:r>
    </w:p>
    <w:p>
      <w:pPr>
        <w:pStyle w:val="F21"/>
        <w:overflowPunct w:val="true"/>
        <w:rPr>
          <w:szCs w:val="27"/>
        </w:rPr>
      </w:pPr>
      <w:r>
        <w:rPr>
          <w:szCs w:val="27"/>
        </w:rPr>
      </w:r>
    </w:p>
    <w:p>
      <w:pPr>
        <w:pStyle w:val="F21"/>
        <w:overflowPunct w:val="true"/>
        <w:rPr>
          <w:szCs w:val="27"/>
        </w:rPr>
      </w:pPr>
      <w:r>
        <w:rPr>
          <w:szCs w:val="27"/>
        </w:rPr>
        <w:t>(</w:t>
      </w:r>
      <w:r>
        <w:rPr>
          <w:szCs w:val="27"/>
        </w:rPr>
        <w:t>譚文豪議員站起來</w:t>
      </w:r>
      <w:r>
        <w:rPr>
          <w:szCs w:val="27"/>
        </w:rPr>
        <w:t>)</w:t>
      </w:r>
    </w:p>
    <w:p>
      <w:pPr>
        <w:pStyle w:val="F21"/>
        <w:overflowPunct w:val="true"/>
        <w:rPr>
          <w:szCs w:val="27"/>
        </w:rPr>
      </w:pPr>
      <w:r>
        <w:rPr>
          <w:szCs w:val="27"/>
        </w:rPr>
      </w:r>
    </w:p>
    <w:p>
      <w:pPr>
        <w:pStyle w:val="F21"/>
        <w:overflowPunct w:val="true"/>
        <w:rPr>
          <w:szCs w:val="27"/>
        </w:rPr>
      </w:pPr>
      <w:r>
        <w:rPr>
          <w:szCs w:val="27"/>
        </w:rPr>
      </w:r>
    </w:p>
    <w:p>
      <w:pPr>
        <w:pStyle w:val="F21"/>
        <w:overflowPunct w:val="true"/>
        <w:rPr>
          <w:szCs w:val="27"/>
        </w:rPr>
      </w:pPr>
      <w:r>
        <w:rPr>
          <w:rFonts w:ascii="華康中黑體" w:hAnsi="華康中黑體" w:eastAsia="華康中黑體"/>
          <w:b/>
          <w:szCs w:val="27"/>
        </w:rPr>
        <w:t>主席</w:t>
      </w:r>
      <w:r>
        <w:rPr>
          <w:szCs w:val="27"/>
        </w:rPr>
        <w:t>：譚文豪議員，你有甚麼問題？</w:t>
      </w:r>
      <w:r>
        <w:br w:type="page"/>
      </w:r>
    </w:p>
    <w:p>
      <w:pPr>
        <w:pStyle w:val="F21"/>
        <w:overflowPunct w:val="true"/>
        <w:rPr>
          <w:szCs w:val="27"/>
        </w:rPr>
      </w:pPr>
      <w:r>
        <w:rPr>
          <w:rFonts w:eastAsia="華康中黑體"/>
          <w:b/>
          <w:szCs w:val="27"/>
        </w:rPr>
        <w:t>譚文豪議員</w:t>
      </w:r>
      <w:r>
        <w:rPr>
          <w:szCs w:val="27"/>
        </w:rPr>
        <w:t>：主席，我的規程問題是，你剛才表示，如果許智峯議員再提出規程問題，你會視之為行為不檢，你是如何訂立界線的？如果你認為議員提出的不是規程問題，你可要求他坐下，但不能</w:t>
      </w:r>
      <w:r>
        <w:rPr>
          <w:szCs w:val="27"/>
        </w:rPr>
        <w:t>......</w:t>
      </w:r>
    </w:p>
    <w:p>
      <w:pPr>
        <w:pStyle w:val="F21"/>
        <w:overflowPunct w:val="true"/>
        <w:rPr>
          <w:szCs w:val="27"/>
        </w:rPr>
      </w:pPr>
      <w:r>
        <w:rPr>
          <w:szCs w:val="27"/>
        </w:rPr>
      </w:r>
    </w:p>
    <w:p>
      <w:pPr>
        <w:pStyle w:val="F21"/>
        <w:overflowPunct w:val="true"/>
        <w:rPr>
          <w:szCs w:val="27"/>
        </w:rPr>
      </w:pPr>
      <w:r>
        <w:rPr>
          <w:szCs w:val="27"/>
        </w:rPr>
      </w:r>
    </w:p>
    <w:p>
      <w:pPr>
        <w:pStyle w:val="F21"/>
        <w:overflowPunct w:val="true"/>
        <w:rPr>
          <w:szCs w:val="27"/>
        </w:rPr>
      </w:pPr>
      <w:r>
        <w:rPr>
          <w:rFonts w:ascii="華康中黑體" w:hAnsi="華康中黑體" w:eastAsia="華康中黑體"/>
          <w:b/>
          <w:szCs w:val="27"/>
        </w:rPr>
        <w:t>主席</w:t>
      </w:r>
      <w:r>
        <w:rPr>
          <w:szCs w:val="27"/>
        </w:rPr>
        <w:t>：我剛才說，如果議員濫用規程問題，我會視之為行為不檢。</w:t>
      </w:r>
    </w:p>
    <w:p>
      <w:pPr>
        <w:pStyle w:val="F21"/>
        <w:overflowPunct w:val="true"/>
        <w:rPr>
          <w:szCs w:val="27"/>
        </w:rPr>
      </w:pPr>
      <w:r>
        <w:rPr>
          <w:szCs w:val="27"/>
        </w:rPr>
      </w:r>
    </w:p>
    <w:p>
      <w:pPr>
        <w:pStyle w:val="F21"/>
        <w:overflowPunct w:val="true"/>
        <w:rPr>
          <w:szCs w:val="27"/>
        </w:rPr>
      </w:pPr>
      <w:r>
        <w:rPr>
          <w:szCs w:val="27"/>
        </w:rPr>
      </w:r>
    </w:p>
    <w:p>
      <w:pPr>
        <w:pStyle w:val="F21"/>
        <w:overflowPunct w:val="true"/>
        <w:rPr>
          <w:szCs w:val="27"/>
        </w:rPr>
      </w:pPr>
      <w:r>
        <w:rPr>
          <w:rFonts w:ascii="華康中黑體" w:hAnsi="華康中黑體" w:eastAsia="華康中黑體"/>
          <w:b/>
          <w:szCs w:val="27"/>
        </w:rPr>
        <w:t>譚文豪議員</w:t>
      </w:r>
      <w:r>
        <w:rPr>
          <w:szCs w:val="27"/>
        </w:rPr>
        <w:t>：何謂濫用？</w:t>
      </w:r>
    </w:p>
    <w:p>
      <w:pPr>
        <w:pStyle w:val="F21"/>
        <w:overflowPunct w:val="true"/>
        <w:rPr>
          <w:szCs w:val="27"/>
        </w:rPr>
      </w:pPr>
      <w:r>
        <w:rPr>
          <w:szCs w:val="27"/>
        </w:rPr>
      </w:r>
    </w:p>
    <w:p>
      <w:pPr>
        <w:pStyle w:val="F21"/>
        <w:overflowPunct w:val="true"/>
        <w:rPr>
          <w:szCs w:val="27"/>
        </w:rPr>
      </w:pPr>
      <w:r>
        <w:rPr>
          <w:szCs w:val="27"/>
        </w:rPr>
      </w:r>
    </w:p>
    <w:p>
      <w:pPr>
        <w:pStyle w:val="F21"/>
        <w:overflowPunct w:val="true"/>
        <w:rPr>
          <w:szCs w:val="27"/>
        </w:rPr>
      </w:pPr>
      <w:r>
        <w:rPr>
          <w:rFonts w:ascii="華康中黑體" w:hAnsi="華康中黑體" w:eastAsia="華康中黑體"/>
          <w:b/>
          <w:szCs w:val="27"/>
        </w:rPr>
        <w:t>主席</w:t>
      </w:r>
      <w:r>
        <w:rPr>
          <w:szCs w:val="27"/>
        </w:rPr>
        <w:t>：許智峯議員剛才兩度提出同樣的問題，我已表示那不是規程問題。</w:t>
      </w:r>
    </w:p>
    <w:p>
      <w:pPr>
        <w:pStyle w:val="F21"/>
        <w:overflowPunct w:val="true"/>
        <w:rPr>
          <w:szCs w:val="27"/>
        </w:rPr>
      </w:pPr>
      <w:r>
        <w:rPr>
          <w:szCs w:val="27"/>
        </w:rPr>
      </w:r>
    </w:p>
    <w:p>
      <w:pPr>
        <w:pStyle w:val="F21"/>
        <w:overflowPunct w:val="true"/>
        <w:rPr>
          <w:szCs w:val="27"/>
        </w:rPr>
      </w:pPr>
      <w:r>
        <w:rPr>
          <w:szCs w:val="27"/>
        </w:rPr>
      </w:r>
    </w:p>
    <w:p>
      <w:pPr>
        <w:pStyle w:val="F21"/>
        <w:overflowPunct w:val="true"/>
        <w:rPr>
          <w:szCs w:val="27"/>
        </w:rPr>
      </w:pPr>
      <w:r>
        <w:rPr>
          <w:rFonts w:ascii="華康中黑體" w:hAnsi="華康中黑體" w:eastAsia="華康中黑體"/>
          <w:b/>
          <w:szCs w:val="27"/>
        </w:rPr>
        <w:t>譚文豪議員</w:t>
      </w:r>
      <w:r>
        <w:rPr>
          <w:szCs w:val="27"/>
        </w:rPr>
        <w:t>：議員提出一個問題，被裁定不是規程問題後坐下，何來行為不檢？</w:t>
      </w:r>
    </w:p>
    <w:p>
      <w:pPr>
        <w:pStyle w:val="F21"/>
        <w:overflowPunct w:val="true"/>
        <w:rPr>
          <w:szCs w:val="27"/>
        </w:rPr>
      </w:pPr>
      <w:r>
        <w:rPr>
          <w:szCs w:val="27"/>
        </w:rPr>
      </w:r>
    </w:p>
    <w:p>
      <w:pPr>
        <w:pStyle w:val="F21"/>
        <w:overflowPunct w:val="true"/>
        <w:rPr>
          <w:szCs w:val="27"/>
        </w:rPr>
      </w:pPr>
      <w:r>
        <w:rPr>
          <w:szCs w:val="27"/>
        </w:rPr>
      </w:r>
    </w:p>
    <w:p>
      <w:pPr>
        <w:pStyle w:val="F21"/>
        <w:overflowPunct w:val="true"/>
        <w:rPr>
          <w:szCs w:val="27"/>
        </w:rPr>
      </w:pPr>
      <w:r>
        <w:rPr>
          <w:rFonts w:ascii="華康中黑體" w:hAnsi="華康中黑體" w:eastAsia="華康中黑體"/>
          <w:b/>
          <w:szCs w:val="27"/>
        </w:rPr>
        <w:t>主席</w:t>
      </w:r>
      <w:r>
        <w:rPr>
          <w:szCs w:val="27"/>
        </w:rPr>
        <w:t>：譚議員，請立即停止發言，現在是局長的發言時間。請你真的有規程問題時才向主席提出。</w:t>
      </w:r>
    </w:p>
    <w:p>
      <w:pPr>
        <w:pStyle w:val="F21"/>
        <w:overflowPunct w:val="true"/>
        <w:rPr>
          <w:szCs w:val="27"/>
        </w:rPr>
      </w:pPr>
      <w:r>
        <w:rPr>
          <w:szCs w:val="27"/>
        </w:rPr>
      </w:r>
    </w:p>
    <w:p>
      <w:pPr>
        <w:pStyle w:val="F21"/>
        <w:tabs>
          <w:tab w:val="clear" w:pos="567"/>
          <w:tab w:val="left" w:pos="720" w:leader="none"/>
        </w:tabs>
        <w:overflowPunct w:val="true"/>
        <w:rPr>
          <w:szCs w:val="27"/>
        </w:rPr>
      </w:pPr>
      <w:r>
        <w:rPr>
          <w:szCs w:val="27"/>
        </w:rPr>
        <w:tab/>
      </w:r>
      <w:r>
        <w:rPr>
          <w:szCs w:val="27"/>
        </w:rPr>
        <w:t>局長，請繼續。</w:t>
      </w:r>
    </w:p>
    <w:p>
      <w:pPr>
        <w:pStyle w:val="F21"/>
        <w:tabs>
          <w:tab w:val="clear" w:pos="567"/>
          <w:tab w:val="left" w:pos="720" w:leader="none"/>
        </w:tabs>
        <w:overflowPunct w:val="true"/>
        <w:rPr>
          <w:szCs w:val="27"/>
        </w:rPr>
      </w:pPr>
      <w:r>
        <w:rPr>
          <w:szCs w:val="27"/>
        </w:rPr>
      </w:r>
    </w:p>
    <w:p>
      <w:pPr>
        <w:pStyle w:val="F21"/>
        <w:overflowPunct w:val="true"/>
        <w:rPr>
          <w:szCs w:val="27"/>
        </w:rPr>
      </w:pPr>
      <w:r>
        <w:rPr>
          <w:szCs w:val="27"/>
        </w:rPr>
      </w:r>
    </w:p>
    <w:p>
      <w:pPr>
        <w:pStyle w:val="F21"/>
        <w:overflowPunct w:val="true"/>
        <w:rPr>
          <w:szCs w:val="27"/>
        </w:rPr>
      </w:pPr>
      <w:r>
        <w:rPr>
          <w:rFonts w:eastAsia="華康中黑體"/>
          <w:b/>
          <w:szCs w:val="27"/>
        </w:rPr>
        <w:t>保安局局長</w:t>
      </w:r>
      <w:r>
        <w:rPr>
          <w:szCs w:val="27"/>
        </w:rPr>
        <w:t>：《逃犯條例》現行的個案方式移交運作並不切實可行。現行機制要求個案式的移交須藉附屬法例，並刊登憲報予以實行。即使我們將逃犯的個人資料隱蔽，由於有些案情會有其獨特性，立法會進行公開審議會驚動逃犯。即使能拘捕逃犯，他亦可能基於其個案細節已被泄露或公開討論，損害其接受公平聆訊的機會，而向當局提出司法挑戰。《逃犯條例》現時亦訂明，在立法會審議期屆滿前，有關程序和命令</w:t>
      </w:r>
      <w:r>
        <w:rPr>
          <w:szCs w:val="27"/>
        </w:rPr>
        <w:t>(</w:t>
      </w:r>
      <w:r>
        <w:rPr>
          <w:szCs w:val="27"/>
        </w:rPr>
        <w:t>包括拘捕程序</w:t>
      </w:r>
      <w:r>
        <w:rPr>
          <w:szCs w:val="27"/>
        </w:rPr>
        <w:t>)</w:t>
      </w:r>
      <w:r>
        <w:rPr>
          <w:szCs w:val="27"/>
        </w:rPr>
        <w:t>不得生效。因此，在立法會的審議期內</w:t>
      </w:r>
      <w:r>
        <w:rPr>
          <w:szCs w:val="27"/>
        </w:rPr>
        <w:t>(</w:t>
      </w:r>
      <w:r>
        <w:rPr>
          <w:szCs w:val="27"/>
        </w:rPr>
        <w:t>由</w:t>
      </w:r>
      <w:r>
        <w:rPr>
          <w:szCs w:val="27"/>
        </w:rPr>
        <w:t>28</w:t>
      </w:r>
      <w:r>
        <w:rPr>
          <w:szCs w:val="27"/>
        </w:rPr>
        <w:t>至</w:t>
      </w:r>
      <w:r>
        <w:rPr>
          <w:szCs w:val="27"/>
        </w:rPr>
        <w:t>49</w:t>
      </w:r>
      <w:r>
        <w:rPr>
          <w:szCs w:val="27"/>
        </w:rPr>
        <w:t>日不等，即</w:t>
      </w:r>
      <w:r>
        <w:rPr>
          <w:szCs w:val="27"/>
        </w:rPr>
        <w:t>4</w:t>
      </w:r>
      <w:r>
        <w:rPr>
          <w:szCs w:val="27"/>
        </w:rPr>
        <w:t>至</w:t>
      </w:r>
      <w:r>
        <w:rPr>
          <w:szCs w:val="27"/>
        </w:rPr>
        <w:t>7</w:t>
      </w:r>
      <w:r>
        <w:rPr>
          <w:szCs w:val="27"/>
        </w:rPr>
        <w:t>個星期</w:t>
      </w:r>
      <w:r>
        <w:rPr>
          <w:szCs w:val="27"/>
        </w:rPr>
        <w:t>)</w:t>
      </w:r>
      <w:r>
        <w:rPr>
          <w:szCs w:val="27"/>
        </w:rPr>
        <w:t>，即使收到另一地方提出的移交要求，也不能採取行動，包括臨時拘捕。在這段期間，逃犯已可逃離香港。再者，若因案情被公開而未能拘捕疑犯，會對請求方的拘捕行動造成嚴重影響，破壞其他地方對香港打擊嚴重罪行的信心，並質疑我們的能力。</w:t>
      </w:r>
    </w:p>
    <w:p>
      <w:pPr>
        <w:pStyle w:val="Normal"/>
        <w:widowControl/>
        <w:tabs>
          <w:tab w:val="clear" w:pos="720"/>
        </w:tabs>
        <w:snapToGrid w:val="true"/>
        <w:spacing w:lineRule="auto" w:line="276" w:before="0" w:after="200"/>
        <w:jc w:val="left"/>
        <w:rPr>
          <w:rFonts w:cs="" w:cstheme="minorBidi"/>
          <w:spacing w:val="20"/>
          <w:sz w:val="27"/>
          <w:szCs w:val="27"/>
          <w:lang w:val="en-US"/>
        </w:rPr>
      </w:pPr>
      <w:r>
        <w:rPr>
          <w:rFonts w:cs="" w:cstheme="minorBidi"/>
          <w:spacing w:val="20"/>
          <w:sz w:val="27"/>
          <w:szCs w:val="27"/>
          <w:lang w:val="en-US"/>
        </w:rPr>
      </w:r>
      <w:r>
        <w:br w:type="page"/>
      </w:r>
    </w:p>
    <w:p>
      <w:pPr>
        <w:pStyle w:val="F21"/>
        <w:overflowPunct w:val="true"/>
        <w:rPr>
          <w:szCs w:val="27"/>
        </w:rPr>
      </w:pPr>
      <w:r>
        <w:rPr>
          <w:szCs w:val="27"/>
        </w:rPr>
        <w:tab/>
      </w:r>
      <w:r>
        <w:rPr>
          <w:szCs w:val="27"/>
        </w:rPr>
        <w:t>《條例草案》有兩個主要部分：</w:t>
      </w:r>
      <w:r>
        <w:rPr>
          <w:szCs w:val="27"/>
        </w:rPr>
        <w:t>(</w:t>
      </w:r>
      <w:r>
        <w:rPr>
          <w:szCs w:val="27"/>
        </w:rPr>
        <w:t>一</w:t>
      </w:r>
      <w:r>
        <w:rPr>
          <w:szCs w:val="27"/>
        </w:rPr>
        <w:t>)</w:t>
      </w:r>
      <w:r>
        <w:rPr>
          <w:szCs w:val="27"/>
        </w:rPr>
        <w:t>關於《逃犯條例》的修訂；</w:t>
      </w:r>
      <w:r>
        <w:rPr>
          <w:szCs w:val="27"/>
        </w:rPr>
        <w:t>(</w:t>
      </w:r>
      <w:r>
        <w:rPr>
          <w:szCs w:val="27"/>
        </w:rPr>
        <w:t>二</w:t>
      </w:r>
      <w:r>
        <w:rPr>
          <w:szCs w:val="27"/>
        </w:rPr>
        <w:t>)</w:t>
      </w:r>
      <w:r>
        <w:rPr>
          <w:szCs w:val="27"/>
        </w:rPr>
        <w:t>關於《刑事事宜相互法律協助條例》的修訂</w:t>
      </w:r>
      <w:r>
        <w:rPr>
          <w:szCs w:val="27"/>
        </w:rPr>
        <w:t>......</w:t>
      </w:r>
    </w:p>
    <w:p>
      <w:pPr>
        <w:pStyle w:val="F21"/>
        <w:overflowPunct w:val="true"/>
        <w:rPr>
          <w:szCs w:val="27"/>
        </w:rPr>
      </w:pPr>
      <w:r>
        <w:rPr>
          <w:szCs w:val="27"/>
        </w:rPr>
      </w:r>
    </w:p>
    <w:p>
      <w:pPr>
        <w:pStyle w:val="F21"/>
        <w:overflowPunct w:val="true"/>
        <w:rPr>
          <w:szCs w:val="27"/>
        </w:rPr>
      </w:pPr>
      <w:r>
        <w:rPr>
          <w:szCs w:val="27"/>
        </w:rPr>
        <w:t>(</w:t>
      </w:r>
      <w:r>
        <w:rPr>
          <w:szCs w:val="27"/>
        </w:rPr>
        <w:t>譚文豪議員站起來</w:t>
      </w:r>
      <w:r>
        <w:rPr>
          <w:szCs w:val="27"/>
        </w:rPr>
        <w:t>)</w:t>
      </w:r>
    </w:p>
    <w:p>
      <w:pPr>
        <w:pStyle w:val="F21"/>
        <w:overflowPunct w:val="true"/>
        <w:rPr>
          <w:szCs w:val="27"/>
        </w:rPr>
      </w:pPr>
      <w:r>
        <w:rPr>
          <w:szCs w:val="27"/>
        </w:rPr>
      </w:r>
    </w:p>
    <w:p>
      <w:pPr>
        <w:pStyle w:val="F21"/>
        <w:overflowPunct w:val="true"/>
        <w:rPr>
          <w:szCs w:val="27"/>
        </w:rPr>
      </w:pPr>
      <w:r>
        <w:rPr>
          <w:szCs w:val="27"/>
        </w:rPr>
      </w:r>
    </w:p>
    <w:p>
      <w:pPr>
        <w:pStyle w:val="F21"/>
        <w:overflowPunct w:val="true"/>
        <w:rPr>
          <w:szCs w:val="27"/>
        </w:rPr>
      </w:pPr>
      <w:r>
        <w:rPr>
          <w:rFonts w:ascii="華康中黑體" w:hAnsi="華康中黑體" w:eastAsia="華康中黑體"/>
          <w:b/>
          <w:szCs w:val="27"/>
        </w:rPr>
        <w:t>主席</w:t>
      </w:r>
      <w:r>
        <w:rPr>
          <w:szCs w:val="27"/>
        </w:rPr>
        <w:t>：局長，請稍停。譚文豪議員，你有甚麼規程問題？</w:t>
      </w:r>
    </w:p>
    <w:p>
      <w:pPr>
        <w:pStyle w:val="F21"/>
        <w:overflowPunct w:val="true"/>
        <w:rPr>
          <w:szCs w:val="27"/>
        </w:rPr>
      </w:pPr>
      <w:r>
        <w:rPr>
          <w:szCs w:val="27"/>
        </w:rPr>
      </w:r>
    </w:p>
    <w:p>
      <w:pPr>
        <w:pStyle w:val="F21"/>
        <w:overflowPunct w:val="true"/>
        <w:rPr>
          <w:szCs w:val="27"/>
        </w:rPr>
      </w:pPr>
      <w:r>
        <w:rPr>
          <w:szCs w:val="27"/>
        </w:rPr>
      </w:r>
    </w:p>
    <w:p>
      <w:pPr>
        <w:pStyle w:val="F21"/>
        <w:overflowPunct w:val="true"/>
        <w:rPr>
          <w:szCs w:val="27"/>
        </w:rPr>
      </w:pPr>
      <w:r>
        <w:rPr>
          <w:rFonts w:eastAsia="華康中黑體"/>
          <w:b/>
          <w:szCs w:val="27"/>
        </w:rPr>
        <w:t>譚文豪議員</w:t>
      </w:r>
      <w:r>
        <w:rPr>
          <w:szCs w:val="27"/>
        </w:rPr>
        <w:t>：主席，我明白你可能焦急，但也要先把問題弄清楚。如果我提出規程問題，你不同意，我會坐下，沒問題；但你不能在大家還在討論這個問題時，讓局長繼續發言</w:t>
      </w:r>
      <w:r>
        <w:rPr>
          <w:szCs w:val="27"/>
        </w:rPr>
        <w:t>......</w:t>
      </w:r>
    </w:p>
    <w:p>
      <w:pPr>
        <w:pStyle w:val="F21"/>
        <w:overflowPunct w:val="true"/>
        <w:rPr>
          <w:szCs w:val="27"/>
        </w:rPr>
      </w:pPr>
      <w:r>
        <w:rPr>
          <w:szCs w:val="27"/>
        </w:rPr>
      </w:r>
    </w:p>
    <w:p>
      <w:pPr>
        <w:pStyle w:val="F21"/>
        <w:overflowPunct w:val="true"/>
        <w:rPr>
          <w:szCs w:val="27"/>
        </w:rPr>
      </w:pPr>
      <w:r>
        <w:rPr>
          <w:szCs w:val="27"/>
        </w:rPr>
      </w:r>
    </w:p>
    <w:p>
      <w:pPr>
        <w:pStyle w:val="F21"/>
        <w:overflowPunct w:val="true"/>
        <w:rPr>
          <w:szCs w:val="27"/>
        </w:rPr>
      </w:pPr>
      <w:r>
        <w:rPr>
          <w:rFonts w:ascii="華康中黑體" w:hAnsi="華康中黑體" w:eastAsia="華康中黑體"/>
          <w:b/>
          <w:szCs w:val="27"/>
        </w:rPr>
        <w:t>主席</w:t>
      </w:r>
      <w:r>
        <w:rPr>
          <w:szCs w:val="27"/>
        </w:rPr>
        <w:t>：譚議員，請提出你的規程問題。</w:t>
      </w:r>
    </w:p>
    <w:p>
      <w:pPr>
        <w:pStyle w:val="F21"/>
        <w:overflowPunct w:val="true"/>
        <w:rPr>
          <w:szCs w:val="27"/>
        </w:rPr>
      </w:pPr>
      <w:r>
        <w:rPr>
          <w:szCs w:val="27"/>
        </w:rPr>
      </w:r>
    </w:p>
    <w:p>
      <w:pPr>
        <w:pStyle w:val="F21"/>
        <w:overflowPunct w:val="true"/>
        <w:rPr>
          <w:szCs w:val="27"/>
        </w:rPr>
      </w:pPr>
      <w:r>
        <w:rPr>
          <w:szCs w:val="27"/>
        </w:rPr>
      </w:r>
    </w:p>
    <w:p>
      <w:pPr>
        <w:pStyle w:val="F21"/>
        <w:overflowPunct w:val="true"/>
        <w:rPr>
          <w:szCs w:val="27"/>
        </w:rPr>
      </w:pPr>
      <w:r>
        <w:rPr>
          <w:rFonts w:eastAsia="華康中黑體"/>
          <w:b/>
          <w:szCs w:val="27"/>
        </w:rPr>
        <w:t>譚文豪議員</w:t>
      </w:r>
      <w:r>
        <w:rPr>
          <w:szCs w:val="27"/>
        </w:rPr>
        <w:t>：我的規程問題是，你如何界定</w:t>
      </w:r>
      <w:r>
        <w:rPr>
          <w:szCs w:val="27"/>
        </w:rPr>
        <w:t>"</w:t>
      </w:r>
      <w:r>
        <w:rPr>
          <w:szCs w:val="27"/>
        </w:rPr>
        <w:t>行為不檢</w:t>
      </w:r>
      <w:r>
        <w:rPr>
          <w:szCs w:val="27"/>
        </w:rPr>
        <w:t>"</w:t>
      </w:r>
      <w:r>
        <w:rPr>
          <w:szCs w:val="27"/>
        </w:rPr>
        <w:t>？如果議員提出規程問題會構成行為不檢，這完全違反《議事規則》。《議事規則》哪項條文有此規定？你此舉是開先例。</w:t>
      </w:r>
    </w:p>
    <w:p>
      <w:pPr>
        <w:pStyle w:val="F21"/>
        <w:overflowPunct w:val="true"/>
        <w:rPr>
          <w:szCs w:val="27"/>
        </w:rPr>
      </w:pPr>
      <w:r>
        <w:rPr>
          <w:szCs w:val="27"/>
        </w:rPr>
      </w:r>
    </w:p>
    <w:p>
      <w:pPr>
        <w:pStyle w:val="F21"/>
        <w:overflowPunct w:val="true"/>
        <w:rPr>
          <w:szCs w:val="27"/>
        </w:rPr>
      </w:pPr>
      <w:r>
        <w:rPr>
          <w:szCs w:val="27"/>
        </w:rPr>
      </w:r>
    </w:p>
    <w:p>
      <w:pPr>
        <w:pStyle w:val="F21"/>
        <w:overflowPunct w:val="true"/>
        <w:rPr>
          <w:szCs w:val="27"/>
        </w:rPr>
      </w:pPr>
      <w:r>
        <w:rPr>
          <w:rFonts w:ascii="華康中黑體" w:hAnsi="華康中黑體" w:eastAsia="華康中黑體"/>
          <w:b/>
          <w:szCs w:val="27"/>
        </w:rPr>
        <w:t>主席</w:t>
      </w:r>
      <w:r>
        <w:rPr>
          <w:szCs w:val="27"/>
        </w:rPr>
        <w:t>：譚議員，這不是規程問題，請坐下。</w:t>
      </w:r>
    </w:p>
    <w:p>
      <w:pPr>
        <w:pStyle w:val="F21"/>
        <w:overflowPunct w:val="true"/>
        <w:rPr>
          <w:szCs w:val="27"/>
        </w:rPr>
      </w:pPr>
      <w:r>
        <w:rPr>
          <w:szCs w:val="27"/>
        </w:rPr>
      </w:r>
    </w:p>
    <w:p>
      <w:pPr>
        <w:pStyle w:val="F21"/>
        <w:overflowPunct w:val="true"/>
        <w:rPr>
          <w:szCs w:val="27"/>
        </w:rPr>
      </w:pPr>
      <w:r>
        <w:rPr>
          <w:szCs w:val="27"/>
        </w:rPr>
        <w:t>(</w:t>
      </w:r>
      <w:r>
        <w:rPr>
          <w:szCs w:val="27"/>
        </w:rPr>
        <w:t>郭家麒議員站起來</w:t>
      </w:r>
      <w:r>
        <w:rPr>
          <w:szCs w:val="27"/>
        </w:rPr>
        <w:t>)</w:t>
      </w:r>
    </w:p>
    <w:p>
      <w:pPr>
        <w:pStyle w:val="F21"/>
        <w:overflowPunct w:val="true"/>
        <w:rPr>
          <w:szCs w:val="27"/>
        </w:rPr>
      </w:pPr>
      <w:r>
        <w:rPr>
          <w:szCs w:val="27"/>
        </w:rPr>
      </w:r>
    </w:p>
    <w:p>
      <w:pPr>
        <w:pStyle w:val="F21"/>
        <w:overflowPunct w:val="true"/>
        <w:rPr>
          <w:szCs w:val="27"/>
        </w:rPr>
      </w:pPr>
      <w:r>
        <w:rPr>
          <w:szCs w:val="27"/>
        </w:rPr>
      </w:r>
    </w:p>
    <w:p>
      <w:pPr>
        <w:pStyle w:val="F21"/>
        <w:overflowPunct w:val="true"/>
        <w:rPr>
          <w:szCs w:val="27"/>
        </w:rPr>
      </w:pPr>
      <w:r>
        <w:rPr>
          <w:rFonts w:ascii="華康中黑體" w:hAnsi="華康中黑體" w:eastAsia="華康中黑體"/>
          <w:b/>
          <w:szCs w:val="27"/>
        </w:rPr>
        <w:t>主席</w:t>
      </w:r>
      <w:r>
        <w:rPr>
          <w:szCs w:val="27"/>
        </w:rPr>
        <w:t>：郭家麒議員，你有甚麼問題？</w:t>
      </w:r>
    </w:p>
    <w:p>
      <w:pPr>
        <w:pStyle w:val="F21"/>
        <w:overflowPunct w:val="true"/>
        <w:rPr>
          <w:szCs w:val="27"/>
        </w:rPr>
      </w:pPr>
      <w:r>
        <w:rPr>
          <w:szCs w:val="27"/>
        </w:rPr>
      </w:r>
    </w:p>
    <w:p>
      <w:pPr>
        <w:pStyle w:val="F21"/>
        <w:overflowPunct w:val="true"/>
        <w:rPr>
          <w:szCs w:val="27"/>
        </w:rPr>
      </w:pPr>
      <w:r>
        <w:rPr>
          <w:szCs w:val="27"/>
        </w:rPr>
      </w:r>
    </w:p>
    <w:p>
      <w:pPr>
        <w:pStyle w:val="F21"/>
        <w:overflowPunct w:val="true"/>
        <w:rPr>
          <w:szCs w:val="27"/>
        </w:rPr>
      </w:pPr>
      <w:r>
        <w:rPr>
          <w:rFonts w:eastAsia="華康中黑體"/>
          <w:b/>
          <w:szCs w:val="27"/>
        </w:rPr>
        <w:t>郭家麒議員</w:t>
      </w:r>
      <w:r>
        <w:rPr>
          <w:szCs w:val="27"/>
        </w:rPr>
        <w:t>：主席，我想局長澄清，他剛才的發言是否違反《基本法》第二條，即香港特別行政區可以實行</w:t>
      </w:r>
      <w:r>
        <w:rPr>
          <w:szCs w:val="27"/>
        </w:rPr>
        <w:t>"</w:t>
      </w:r>
      <w:r>
        <w:rPr>
          <w:szCs w:val="27"/>
        </w:rPr>
        <w:t>高度自治</w:t>
      </w:r>
      <w:r>
        <w:rPr>
          <w:szCs w:val="27"/>
        </w:rPr>
        <w:t>"</w:t>
      </w:r>
      <w:r>
        <w:rPr>
          <w:szCs w:val="27"/>
        </w:rPr>
        <w:t>，享有行政管理權、立法權、獨立司法權及終審權？我想他澄清。</w:t>
      </w:r>
    </w:p>
    <w:p>
      <w:pPr>
        <w:pStyle w:val="F21"/>
        <w:overflowPunct w:val="true"/>
        <w:rPr>
          <w:szCs w:val="27"/>
        </w:rPr>
      </w:pPr>
      <w:r>
        <w:rPr>
          <w:szCs w:val="27"/>
        </w:rPr>
      </w:r>
    </w:p>
    <w:p>
      <w:pPr>
        <w:pStyle w:val="F21"/>
        <w:overflowPunct w:val="true"/>
        <w:rPr>
          <w:szCs w:val="27"/>
        </w:rPr>
      </w:pPr>
      <w:r>
        <w:rPr>
          <w:szCs w:val="27"/>
        </w:rPr>
      </w:r>
    </w:p>
    <w:p>
      <w:pPr>
        <w:pStyle w:val="F21"/>
        <w:overflowPunct w:val="true"/>
        <w:rPr>
          <w:szCs w:val="27"/>
        </w:rPr>
      </w:pPr>
      <w:r>
        <w:rPr>
          <w:rFonts w:ascii="華康中黑體" w:hAnsi="華康中黑體" w:eastAsia="華康中黑體"/>
          <w:b/>
          <w:szCs w:val="27"/>
        </w:rPr>
        <w:t>主席</w:t>
      </w:r>
      <w:r>
        <w:rPr>
          <w:szCs w:val="27"/>
        </w:rPr>
        <w:t>：局長，你是否想澄清？如果你不想澄清，請繼續發言。</w:t>
      </w:r>
    </w:p>
    <w:p>
      <w:pPr>
        <w:pStyle w:val="Normal"/>
        <w:widowControl/>
        <w:tabs>
          <w:tab w:val="clear" w:pos="720"/>
        </w:tabs>
        <w:snapToGrid w:val="true"/>
        <w:spacing w:lineRule="auto" w:line="276" w:before="0" w:after="200"/>
        <w:jc w:val="left"/>
        <w:rPr>
          <w:szCs w:val="27"/>
          <w:highlight w:val="lightGray"/>
        </w:rPr>
      </w:pPr>
      <w:r>
        <w:rPr>
          <w:szCs w:val="27"/>
          <w:highlight w:val="lightGray"/>
        </w:rPr>
      </w:r>
      <w:r>
        <w:br w:type="page"/>
      </w:r>
    </w:p>
    <w:p>
      <w:pPr>
        <w:pStyle w:val="F21"/>
        <w:overflowPunct w:val="true"/>
        <w:rPr>
          <w:szCs w:val="27"/>
        </w:rPr>
      </w:pPr>
      <w:r>
        <w:rPr>
          <w:rFonts w:ascii="華康中黑體" w:hAnsi="華康中黑體" w:eastAsia="華康中黑體"/>
          <w:b/>
          <w:szCs w:val="27"/>
        </w:rPr>
        <w:t>保安局局長</w:t>
      </w:r>
      <w:r>
        <w:rPr>
          <w:szCs w:val="27"/>
        </w:rPr>
        <w:t>：政府會在法案委員會討論《條例草案》時，解答各位議員的問題。</w:t>
      </w:r>
    </w:p>
    <w:p>
      <w:pPr>
        <w:pStyle w:val="F21"/>
        <w:overflowPunct w:val="true"/>
        <w:rPr>
          <w:szCs w:val="27"/>
        </w:rPr>
      </w:pPr>
      <w:r>
        <w:rPr>
          <w:szCs w:val="27"/>
        </w:rPr>
      </w:r>
    </w:p>
    <w:p>
      <w:pPr>
        <w:pStyle w:val="F21"/>
        <w:overflowPunct w:val="true"/>
        <w:rPr>
          <w:szCs w:val="27"/>
        </w:rPr>
      </w:pPr>
      <w:r>
        <w:rPr>
          <w:szCs w:val="27"/>
        </w:rPr>
      </w:r>
    </w:p>
    <w:p>
      <w:pPr>
        <w:pStyle w:val="F21"/>
        <w:overflowPunct w:val="true"/>
        <w:rPr>
          <w:szCs w:val="27"/>
        </w:rPr>
      </w:pPr>
      <w:r>
        <w:rPr>
          <w:rFonts w:ascii="華康中黑體" w:hAnsi="華康中黑體" w:eastAsia="華康中黑體"/>
          <w:b/>
          <w:szCs w:val="27"/>
        </w:rPr>
        <w:t>主席</w:t>
      </w:r>
      <w:r>
        <w:rPr>
          <w:szCs w:val="27"/>
        </w:rPr>
        <w:t>：局長，請繼續發言。</w:t>
      </w:r>
    </w:p>
    <w:p>
      <w:pPr>
        <w:pStyle w:val="F21"/>
        <w:overflowPunct w:val="true"/>
        <w:rPr>
          <w:szCs w:val="27"/>
        </w:rPr>
      </w:pPr>
      <w:r>
        <w:rPr>
          <w:szCs w:val="27"/>
        </w:rPr>
      </w:r>
    </w:p>
    <w:p>
      <w:pPr>
        <w:pStyle w:val="F21"/>
        <w:overflowPunct w:val="true"/>
        <w:rPr>
          <w:szCs w:val="27"/>
        </w:rPr>
      </w:pPr>
      <w:r>
        <w:rPr>
          <w:szCs w:val="27"/>
        </w:rPr>
      </w:r>
    </w:p>
    <w:p>
      <w:pPr>
        <w:pStyle w:val="F21"/>
        <w:overflowPunct w:val="true"/>
        <w:rPr>
          <w:szCs w:val="27"/>
        </w:rPr>
      </w:pPr>
      <w:r>
        <w:rPr>
          <w:rFonts w:eastAsia="華康中黑體"/>
          <w:b/>
          <w:szCs w:val="27"/>
        </w:rPr>
        <w:t>保安局局長</w:t>
      </w:r>
      <w:r>
        <w:rPr>
          <w:szCs w:val="27"/>
        </w:rPr>
        <w:t>：有關《逃犯條例》的修訂，我們建議在現時的《逃犯條例》之內</w:t>
      </w:r>
      <w:r>
        <w:rPr>
          <w:szCs w:val="27"/>
        </w:rPr>
        <w:t>......</w:t>
      </w:r>
    </w:p>
    <w:p>
      <w:pPr>
        <w:pStyle w:val="F21"/>
        <w:overflowPunct w:val="true"/>
        <w:rPr>
          <w:szCs w:val="27"/>
        </w:rPr>
      </w:pPr>
      <w:r>
        <w:rPr>
          <w:szCs w:val="27"/>
        </w:rPr>
      </w:r>
    </w:p>
    <w:p>
      <w:pPr>
        <w:pStyle w:val="F21"/>
        <w:overflowPunct w:val="true"/>
        <w:rPr>
          <w:szCs w:val="27"/>
        </w:rPr>
      </w:pPr>
      <w:r>
        <w:rPr>
          <w:szCs w:val="27"/>
        </w:rPr>
        <w:t>(</w:t>
      </w:r>
      <w:r>
        <w:rPr>
          <w:szCs w:val="27"/>
        </w:rPr>
        <w:t>許智峯議員站起來</w:t>
      </w:r>
      <w:r>
        <w:rPr>
          <w:szCs w:val="27"/>
        </w:rPr>
        <w:t>)</w:t>
      </w:r>
    </w:p>
    <w:p>
      <w:pPr>
        <w:pStyle w:val="F21"/>
        <w:overflowPunct w:val="true"/>
        <w:rPr>
          <w:szCs w:val="27"/>
        </w:rPr>
      </w:pPr>
      <w:r>
        <w:rPr>
          <w:szCs w:val="27"/>
        </w:rPr>
      </w:r>
    </w:p>
    <w:p>
      <w:pPr>
        <w:pStyle w:val="F21"/>
        <w:overflowPunct w:val="true"/>
        <w:rPr>
          <w:szCs w:val="27"/>
        </w:rPr>
      </w:pPr>
      <w:r>
        <w:rPr>
          <w:szCs w:val="27"/>
        </w:rPr>
      </w:r>
    </w:p>
    <w:p>
      <w:pPr>
        <w:pStyle w:val="F21"/>
        <w:overflowPunct w:val="true"/>
        <w:rPr>
          <w:szCs w:val="27"/>
        </w:rPr>
      </w:pPr>
      <w:r>
        <w:rPr>
          <w:rFonts w:ascii="華康中黑體" w:hAnsi="華康中黑體" w:eastAsia="華康中黑體"/>
          <w:b/>
          <w:szCs w:val="27"/>
        </w:rPr>
        <w:t>主席</w:t>
      </w:r>
      <w:r>
        <w:rPr>
          <w:szCs w:val="27"/>
        </w:rPr>
        <w:t>：局長，請稍停。許智峯議員，你有甚麼問題？</w:t>
      </w:r>
    </w:p>
    <w:p>
      <w:pPr>
        <w:pStyle w:val="F21"/>
        <w:overflowPunct w:val="true"/>
        <w:rPr>
          <w:szCs w:val="27"/>
        </w:rPr>
      </w:pPr>
      <w:r>
        <w:rPr>
          <w:szCs w:val="27"/>
        </w:rPr>
      </w:r>
    </w:p>
    <w:p>
      <w:pPr>
        <w:pStyle w:val="F21"/>
        <w:overflowPunct w:val="true"/>
        <w:rPr>
          <w:szCs w:val="27"/>
        </w:rPr>
      </w:pPr>
      <w:r>
        <w:rPr>
          <w:szCs w:val="27"/>
        </w:rPr>
      </w:r>
    </w:p>
    <w:p>
      <w:pPr>
        <w:pStyle w:val="F21"/>
        <w:overflowPunct w:val="true"/>
        <w:rPr>
          <w:szCs w:val="26"/>
        </w:rPr>
      </w:pPr>
      <w:r>
        <w:rPr>
          <w:rFonts w:eastAsia="華康中黑體"/>
          <w:b/>
        </w:rPr>
        <w:t>許智峯議員</w:t>
      </w:r>
      <w:r>
        <w:rPr/>
        <w:t>：</w:t>
      </w:r>
      <w:r>
        <w:rPr>
          <w:szCs w:val="27"/>
        </w:rPr>
        <w:t>主席，我想你冷靜一點，平心靜氣。我不是跟你鬥氣，而是真的要提出程序問題，希望你可先聽我說完</w:t>
      </w:r>
      <w:r>
        <w:rPr/>
        <w:t>，麻煩你。</w:t>
      </w:r>
    </w:p>
    <w:p>
      <w:pPr>
        <w:pStyle w:val="F21"/>
        <w:overflowPunct w:val="true"/>
        <w:rPr/>
      </w:pPr>
      <w:r>
        <w:rPr/>
      </w:r>
    </w:p>
    <w:p>
      <w:pPr>
        <w:pStyle w:val="F21"/>
        <w:overflowPunct w:val="true"/>
        <w:rPr>
          <w:szCs w:val="27"/>
        </w:rPr>
      </w:pPr>
      <w:r>
        <w:rPr>
          <w:szCs w:val="27"/>
        </w:rPr>
        <w:tab/>
      </w:r>
      <w:r>
        <w:rPr>
          <w:szCs w:val="27"/>
        </w:rPr>
        <w:t>我剛才提到《議事規則》第</w:t>
      </w:r>
      <w:r>
        <w:rPr>
          <w:szCs w:val="27"/>
        </w:rPr>
        <w:t>64(1)</w:t>
      </w:r>
      <w:r>
        <w:rPr>
          <w:szCs w:val="27"/>
        </w:rPr>
        <w:t>條，因為有市民提出司法覆核，挑戰《條例草案》違反人權。有見及此，政府當局應中止相關修例程序，或撤回《條例草案》。程序上容許政府當局這樣做，所以我請主席至少請局長回答，他會否在這一刻中止相關修例程序，或撤回《條例草案》。請你至少給他一個機會回應。</w:t>
      </w:r>
    </w:p>
    <w:p>
      <w:pPr>
        <w:pStyle w:val="F21"/>
        <w:overflowPunct w:val="true"/>
        <w:rPr>
          <w:szCs w:val="27"/>
        </w:rPr>
      </w:pPr>
      <w:r>
        <w:rPr>
          <w:szCs w:val="27"/>
        </w:rPr>
      </w:r>
    </w:p>
    <w:p>
      <w:pPr>
        <w:pStyle w:val="F21"/>
        <w:overflowPunct w:val="true"/>
        <w:rPr>
          <w:szCs w:val="27"/>
        </w:rPr>
      </w:pPr>
      <w:r>
        <w:rPr>
          <w:szCs w:val="27"/>
        </w:rPr>
      </w:r>
    </w:p>
    <w:p>
      <w:pPr>
        <w:pStyle w:val="F21"/>
        <w:overflowPunct w:val="true"/>
        <w:rPr>
          <w:szCs w:val="27"/>
        </w:rPr>
      </w:pPr>
      <w:r>
        <w:rPr>
          <w:rFonts w:eastAsia="華康中黑體"/>
          <w:b/>
          <w:szCs w:val="27"/>
        </w:rPr>
        <w:t>主席</w:t>
      </w:r>
      <w:r>
        <w:rPr>
          <w:szCs w:val="27"/>
        </w:rPr>
        <w:t>：這不是規程問題。不過，局長，如你有補充，你可就此發言；如果沒有，請繼續。</w:t>
      </w:r>
    </w:p>
    <w:p>
      <w:pPr>
        <w:pStyle w:val="F21"/>
        <w:overflowPunct w:val="true"/>
        <w:rPr>
          <w:szCs w:val="27"/>
        </w:rPr>
      </w:pPr>
      <w:r>
        <w:rPr>
          <w:szCs w:val="27"/>
        </w:rPr>
      </w:r>
    </w:p>
    <w:p>
      <w:pPr>
        <w:pStyle w:val="F21"/>
        <w:overflowPunct w:val="true"/>
        <w:rPr>
          <w:szCs w:val="27"/>
        </w:rPr>
      </w:pPr>
      <w:r>
        <w:rPr>
          <w:szCs w:val="27"/>
        </w:rPr>
      </w:r>
    </w:p>
    <w:p>
      <w:pPr>
        <w:pStyle w:val="F21"/>
        <w:overflowPunct w:val="true"/>
        <w:rPr>
          <w:szCs w:val="27"/>
        </w:rPr>
      </w:pPr>
      <w:r>
        <w:rPr>
          <w:rFonts w:eastAsia="華康中黑體"/>
          <w:b/>
          <w:kern w:val="2"/>
          <w:szCs w:val="27"/>
        </w:rPr>
        <w:t>保安局局長</w:t>
      </w:r>
      <w:r>
        <w:rPr>
          <w:szCs w:val="27"/>
        </w:rPr>
        <w:t>：主席，我沒有補充，請容許我繼續發言。</w:t>
      </w:r>
    </w:p>
    <w:p>
      <w:pPr>
        <w:pStyle w:val="F21"/>
        <w:overflowPunct w:val="true"/>
        <w:rPr>
          <w:szCs w:val="27"/>
        </w:rPr>
      </w:pPr>
      <w:r>
        <w:rPr>
          <w:szCs w:val="27"/>
        </w:rPr>
      </w:r>
    </w:p>
    <w:p>
      <w:pPr>
        <w:pStyle w:val="F21"/>
        <w:overflowPunct w:val="true"/>
        <w:rPr>
          <w:szCs w:val="27"/>
        </w:rPr>
      </w:pPr>
      <w:r>
        <w:rPr>
          <w:szCs w:val="27"/>
        </w:rPr>
        <w:tab/>
      </w:r>
      <w:r>
        <w:rPr>
          <w:szCs w:val="27"/>
        </w:rPr>
        <w:t>有關《逃犯條例》的修訂，我們建議在現時的《逃犯條例》之內，把個案方式的移交安排與一般的長期移交安排作出明確區分。個案方式的移交安排會採用同一標準，適用於所有現時未與香港簽訂長期移交協定的司法管轄區</w:t>
      </w:r>
      <w:r>
        <w:rPr>
          <w:szCs w:val="27"/>
        </w:rPr>
        <w:t>......</w:t>
      </w:r>
    </w:p>
    <w:p>
      <w:pPr>
        <w:pStyle w:val="F21"/>
        <w:overflowPunct w:val="true"/>
        <w:rPr>
          <w:szCs w:val="27"/>
        </w:rPr>
      </w:pPr>
      <w:r>
        <w:rPr>
          <w:szCs w:val="27"/>
        </w:rPr>
      </w:r>
    </w:p>
    <w:p>
      <w:pPr>
        <w:pStyle w:val="F21"/>
        <w:overflowPunct w:val="true"/>
        <w:rPr>
          <w:szCs w:val="27"/>
        </w:rPr>
      </w:pPr>
      <w:r>
        <w:rPr>
          <w:szCs w:val="27"/>
        </w:rPr>
        <w:t>(</w:t>
      </w:r>
      <w:r>
        <w:rPr>
          <w:szCs w:val="27"/>
        </w:rPr>
        <w:t>郭家麒議員站起來</w:t>
      </w:r>
      <w:r>
        <w:rPr>
          <w:szCs w:val="27"/>
        </w:rPr>
        <w:t>)</w:t>
      </w:r>
      <w:r>
        <w:br w:type="page"/>
      </w:r>
    </w:p>
    <w:p>
      <w:pPr>
        <w:pStyle w:val="F21"/>
        <w:overflowPunct w:val="true"/>
        <w:rPr>
          <w:szCs w:val="27"/>
        </w:rPr>
      </w:pPr>
      <w:r>
        <w:rPr>
          <w:rFonts w:ascii="華康中黑體" w:hAnsi="華康中黑體" w:eastAsia="華康中黑體"/>
          <w:b/>
          <w:szCs w:val="27"/>
        </w:rPr>
        <w:t>主席</w:t>
      </w:r>
      <w:r>
        <w:rPr>
          <w:szCs w:val="27"/>
        </w:rPr>
        <w:t>：局長，請稍停。郭家麒議員，你有甚麼規程問題？</w:t>
      </w:r>
    </w:p>
    <w:p>
      <w:pPr>
        <w:pStyle w:val="F21"/>
        <w:overflowPunct w:val="true"/>
        <w:rPr>
          <w:szCs w:val="27"/>
        </w:rPr>
      </w:pPr>
      <w:r>
        <w:rPr>
          <w:szCs w:val="27"/>
        </w:rPr>
      </w:r>
    </w:p>
    <w:p>
      <w:pPr>
        <w:pStyle w:val="F21"/>
        <w:overflowPunct w:val="true"/>
        <w:rPr>
          <w:szCs w:val="27"/>
        </w:rPr>
      </w:pPr>
      <w:r>
        <w:rPr>
          <w:szCs w:val="27"/>
        </w:rPr>
      </w:r>
    </w:p>
    <w:p>
      <w:pPr>
        <w:pStyle w:val="F21"/>
        <w:overflowPunct w:val="true"/>
        <w:rPr>
          <w:szCs w:val="27"/>
        </w:rPr>
      </w:pPr>
      <w:r>
        <w:rPr>
          <w:rFonts w:eastAsia="華康中黑體"/>
          <w:b/>
          <w:kern w:val="2"/>
          <w:szCs w:val="27"/>
        </w:rPr>
        <w:t>郭家麒議員</w:t>
      </w:r>
      <w:r>
        <w:rPr>
          <w:szCs w:val="27"/>
        </w:rPr>
        <w:t>：主席，我想局長澄清，他剛才的發言有否抵觸《基本法》第四條，即</w:t>
      </w:r>
      <w:r>
        <w:rPr>
          <w:szCs w:val="27"/>
        </w:rPr>
        <w:t>"</w:t>
      </w:r>
      <w:r>
        <w:rPr>
          <w:szCs w:val="27"/>
        </w:rPr>
        <w:t>香港特別行政區依法保障香港特別行政區居民和其他人的權利和自由</w:t>
      </w:r>
      <w:r>
        <w:rPr>
          <w:szCs w:val="27"/>
        </w:rPr>
        <w:t>"</w:t>
      </w:r>
      <w:r>
        <w:rPr>
          <w:szCs w:val="27"/>
        </w:rPr>
        <w:t>？</w:t>
      </w:r>
    </w:p>
    <w:p>
      <w:pPr>
        <w:pStyle w:val="F21"/>
        <w:overflowPunct w:val="true"/>
        <w:rPr>
          <w:szCs w:val="27"/>
        </w:rPr>
      </w:pPr>
      <w:r>
        <w:rPr>
          <w:szCs w:val="27"/>
        </w:rPr>
      </w:r>
    </w:p>
    <w:p>
      <w:pPr>
        <w:pStyle w:val="F21"/>
        <w:overflowPunct w:val="true"/>
        <w:rPr>
          <w:szCs w:val="27"/>
        </w:rPr>
      </w:pPr>
      <w:r>
        <w:rPr>
          <w:szCs w:val="27"/>
        </w:rPr>
      </w:r>
    </w:p>
    <w:p>
      <w:pPr>
        <w:pStyle w:val="F21"/>
        <w:overflowPunct w:val="true"/>
        <w:rPr>
          <w:szCs w:val="27"/>
        </w:rPr>
      </w:pPr>
      <w:r>
        <w:rPr>
          <w:rFonts w:ascii="華康中黑體" w:hAnsi="華康中黑體" w:eastAsia="華康中黑體"/>
          <w:b/>
          <w:szCs w:val="27"/>
        </w:rPr>
        <w:t>主席</w:t>
      </w:r>
      <w:r>
        <w:rPr>
          <w:szCs w:val="27"/>
        </w:rPr>
        <w:t>：局長已明確表示</w:t>
      </w:r>
      <w:r>
        <w:rPr>
          <w:szCs w:val="27"/>
        </w:rPr>
        <w:t>......</w:t>
      </w:r>
    </w:p>
    <w:p>
      <w:pPr>
        <w:pStyle w:val="F21"/>
        <w:overflowPunct w:val="true"/>
        <w:rPr>
          <w:szCs w:val="27"/>
        </w:rPr>
      </w:pPr>
      <w:r>
        <w:rPr>
          <w:szCs w:val="27"/>
        </w:rPr>
      </w:r>
    </w:p>
    <w:p>
      <w:pPr>
        <w:pStyle w:val="F21"/>
        <w:overflowPunct w:val="true"/>
        <w:rPr>
          <w:szCs w:val="27"/>
        </w:rPr>
      </w:pPr>
      <w:r>
        <w:rPr>
          <w:szCs w:val="27"/>
        </w:rPr>
      </w:r>
    </w:p>
    <w:p>
      <w:pPr>
        <w:pStyle w:val="F21"/>
        <w:overflowPunct w:val="true"/>
        <w:rPr>
          <w:szCs w:val="27"/>
        </w:rPr>
      </w:pPr>
      <w:r>
        <w:rPr>
          <w:rFonts w:ascii="華康中黑體" w:hAnsi="華康中黑體" w:eastAsia="華康中黑體"/>
          <w:b/>
          <w:szCs w:val="27"/>
        </w:rPr>
        <w:t>郭家麒議員</w:t>
      </w:r>
      <w:r>
        <w:rPr>
          <w:szCs w:val="27"/>
        </w:rPr>
        <w:t>：不，我剛才問的是《基本法》第二條，現在問的是《基‍本‍法》第四條。</w:t>
      </w:r>
    </w:p>
    <w:p>
      <w:pPr>
        <w:pStyle w:val="F21"/>
        <w:overflowPunct w:val="true"/>
        <w:rPr>
          <w:szCs w:val="27"/>
        </w:rPr>
      </w:pPr>
      <w:r>
        <w:rPr>
          <w:szCs w:val="27"/>
        </w:rPr>
      </w:r>
    </w:p>
    <w:p>
      <w:pPr>
        <w:pStyle w:val="F21"/>
        <w:overflowPunct w:val="true"/>
        <w:rPr>
          <w:szCs w:val="27"/>
        </w:rPr>
      </w:pPr>
      <w:r>
        <w:rPr>
          <w:szCs w:val="27"/>
        </w:rPr>
      </w:r>
    </w:p>
    <w:p>
      <w:pPr>
        <w:pStyle w:val="F21"/>
        <w:overflowPunct w:val="true"/>
        <w:rPr>
          <w:szCs w:val="27"/>
        </w:rPr>
      </w:pPr>
      <w:r>
        <w:rPr>
          <w:rFonts w:ascii="華康中黑體" w:hAnsi="華康中黑體" w:eastAsia="華康中黑體"/>
          <w:b/>
          <w:szCs w:val="27"/>
        </w:rPr>
        <w:t>主席</w:t>
      </w:r>
      <w:r>
        <w:rPr>
          <w:szCs w:val="27"/>
        </w:rPr>
        <w:t>：局長已明確表示，議員如有問題，政府會在法案委員會澄清。</w:t>
      </w:r>
    </w:p>
    <w:p>
      <w:pPr>
        <w:pStyle w:val="F21"/>
        <w:overflowPunct w:val="true"/>
        <w:rPr>
          <w:szCs w:val="27"/>
        </w:rPr>
      </w:pPr>
      <w:r>
        <w:rPr>
          <w:szCs w:val="27"/>
        </w:rPr>
      </w:r>
    </w:p>
    <w:p>
      <w:pPr>
        <w:pStyle w:val="F21"/>
        <w:overflowPunct w:val="true"/>
        <w:rPr>
          <w:szCs w:val="27"/>
        </w:rPr>
      </w:pPr>
      <w:r>
        <w:rPr>
          <w:szCs w:val="27"/>
        </w:rPr>
      </w:r>
    </w:p>
    <w:p>
      <w:pPr>
        <w:pStyle w:val="F21"/>
        <w:overflowPunct w:val="true"/>
        <w:rPr>
          <w:szCs w:val="27"/>
        </w:rPr>
      </w:pPr>
      <w:r>
        <w:rPr>
          <w:rFonts w:ascii="華康中黑體" w:hAnsi="華康中黑體" w:eastAsia="華康中黑體"/>
          <w:b/>
          <w:szCs w:val="27"/>
        </w:rPr>
        <w:t>郭家麒議員</w:t>
      </w:r>
      <w:r>
        <w:rPr>
          <w:szCs w:val="27"/>
        </w:rPr>
        <w:t>：局長會否就《基本法》第四條作出澄清？</w:t>
      </w:r>
    </w:p>
    <w:p>
      <w:pPr>
        <w:pStyle w:val="F21"/>
        <w:overflowPunct w:val="true"/>
        <w:rPr>
          <w:szCs w:val="27"/>
        </w:rPr>
      </w:pPr>
      <w:r>
        <w:rPr>
          <w:szCs w:val="27"/>
        </w:rPr>
      </w:r>
    </w:p>
    <w:p>
      <w:pPr>
        <w:pStyle w:val="F21"/>
        <w:overflowPunct w:val="true"/>
        <w:rPr>
          <w:szCs w:val="27"/>
        </w:rPr>
      </w:pPr>
      <w:r>
        <w:rPr>
          <w:szCs w:val="27"/>
        </w:rPr>
      </w:r>
    </w:p>
    <w:p>
      <w:pPr>
        <w:pStyle w:val="F21"/>
        <w:overflowPunct w:val="true"/>
        <w:rPr>
          <w:szCs w:val="27"/>
        </w:rPr>
      </w:pPr>
      <w:r>
        <w:rPr>
          <w:rFonts w:ascii="華康中黑體" w:hAnsi="華康中黑體" w:eastAsia="華康中黑體"/>
          <w:b/>
          <w:szCs w:val="27"/>
        </w:rPr>
        <w:t>主席</w:t>
      </w:r>
      <w:r>
        <w:rPr>
          <w:szCs w:val="27"/>
        </w:rPr>
        <w:t>：局長，你有否補充或澄清？如果沒有，請你繼續發言。</w:t>
      </w:r>
    </w:p>
    <w:p>
      <w:pPr>
        <w:pStyle w:val="F21"/>
        <w:overflowPunct w:val="true"/>
        <w:rPr>
          <w:szCs w:val="27"/>
        </w:rPr>
      </w:pPr>
      <w:r>
        <w:rPr>
          <w:szCs w:val="27"/>
        </w:rPr>
      </w:r>
    </w:p>
    <w:p>
      <w:pPr>
        <w:pStyle w:val="F21"/>
        <w:overflowPunct w:val="true"/>
        <w:rPr>
          <w:szCs w:val="27"/>
        </w:rPr>
      </w:pPr>
      <w:r>
        <w:rPr>
          <w:szCs w:val="27"/>
        </w:rPr>
      </w:r>
    </w:p>
    <w:p>
      <w:pPr>
        <w:pStyle w:val="F21"/>
        <w:overflowPunct w:val="true"/>
        <w:rPr>
          <w:szCs w:val="27"/>
        </w:rPr>
      </w:pPr>
      <w:r>
        <w:rPr>
          <w:rFonts w:eastAsia="華康中黑體"/>
          <w:b/>
          <w:kern w:val="2"/>
          <w:szCs w:val="27"/>
        </w:rPr>
        <w:t>保安局局長</w:t>
      </w:r>
      <w:r>
        <w:rPr>
          <w:szCs w:val="27"/>
        </w:rPr>
        <w:t>：我沒有補充或澄清。</w:t>
      </w:r>
    </w:p>
    <w:p>
      <w:pPr>
        <w:pStyle w:val="F21"/>
        <w:overflowPunct w:val="true"/>
        <w:rPr>
          <w:szCs w:val="27"/>
        </w:rPr>
      </w:pPr>
      <w:r>
        <w:rPr>
          <w:szCs w:val="27"/>
        </w:rPr>
      </w:r>
    </w:p>
    <w:p>
      <w:pPr>
        <w:pStyle w:val="F21"/>
        <w:overflowPunct w:val="true"/>
        <w:rPr>
          <w:szCs w:val="27"/>
        </w:rPr>
      </w:pPr>
      <w:r>
        <w:rPr>
          <w:szCs w:val="27"/>
        </w:rPr>
        <w:tab/>
      </w:r>
      <w:r>
        <w:rPr>
          <w:szCs w:val="27"/>
        </w:rPr>
        <w:t>這項建議參考了在其他司法管轄區</w:t>
      </w:r>
      <w:r>
        <w:rPr>
          <w:szCs w:val="27"/>
        </w:rPr>
        <w:t>(</w:t>
      </w:r>
      <w:r>
        <w:rPr>
          <w:szCs w:val="27"/>
        </w:rPr>
        <w:t>例如英國和加拿大</w:t>
      </w:r>
      <w:r>
        <w:rPr>
          <w:szCs w:val="27"/>
        </w:rPr>
        <w:t>)</w:t>
      </w:r>
      <w:r>
        <w:rPr>
          <w:szCs w:val="27"/>
        </w:rPr>
        <w:t>已實行多年的類似個案方式移交安排。</w:t>
      </w:r>
    </w:p>
    <w:p>
      <w:pPr>
        <w:pStyle w:val="F21"/>
        <w:overflowPunct w:val="true"/>
        <w:rPr>
          <w:szCs w:val="27"/>
        </w:rPr>
      </w:pPr>
      <w:r>
        <w:rPr>
          <w:szCs w:val="27"/>
        </w:rPr>
      </w:r>
    </w:p>
    <w:p>
      <w:pPr>
        <w:pStyle w:val="F21"/>
        <w:overflowPunct w:val="true"/>
        <w:rPr>
          <w:szCs w:val="27"/>
        </w:rPr>
      </w:pPr>
      <w:r>
        <w:rPr>
          <w:szCs w:val="27"/>
        </w:rPr>
        <w:tab/>
      </w:r>
      <w:r>
        <w:rPr>
          <w:szCs w:val="27"/>
        </w:rPr>
        <w:t>香港現時與</w:t>
      </w:r>
      <w:r>
        <w:rPr>
          <w:szCs w:val="27"/>
        </w:rPr>
        <w:t>20</w:t>
      </w:r>
      <w:r>
        <w:rPr>
          <w:szCs w:val="27"/>
        </w:rPr>
        <w:t>個司法管轄區簽訂移交逃犯協定，並與</w:t>
      </w:r>
      <w:r>
        <w:rPr>
          <w:szCs w:val="27"/>
        </w:rPr>
        <w:t>32</w:t>
      </w:r>
      <w:r>
        <w:rPr>
          <w:szCs w:val="27"/>
        </w:rPr>
        <w:t>個司法管轄區簽訂相互法律協助協定。個案方式移交只是長期合作安排生效前的補充措施，只有在未有適用的長期協定時，才可使用個案方式移交</w:t>
      </w:r>
      <w:r>
        <w:rPr>
          <w:szCs w:val="27"/>
        </w:rPr>
        <w:t>......</w:t>
      </w:r>
    </w:p>
    <w:p>
      <w:pPr>
        <w:pStyle w:val="F21"/>
        <w:overflowPunct w:val="true"/>
        <w:rPr>
          <w:szCs w:val="27"/>
        </w:rPr>
      </w:pPr>
      <w:r>
        <w:rPr>
          <w:szCs w:val="27"/>
        </w:rPr>
      </w:r>
    </w:p>
    <w:p>
      <w:pPr>
        <w:pStyle w:val="F21"/>
        <w:overflowPunct w:val="true"/>
        <w:rPr>
          <w:szCs w:val="27"/>
        </w:rPr>
      </w:pPr>
      <w:r>
        <w:rPr>
          <w:szCs w:val="27"/>
        </w:rPr>
        <w:t>(</w:t>
      </w:r>
      <w:r>
        <w:rPr>
          <w:szCs w:val="27"/>
        </w:rPr>
        <w:t>郭家麒議員站起來</w:t>
      </w:r>
      <w:r>
        <w:rPr>
          <w:szCs w:val="27"/>
        </w:rPr>
        <w:t>)</w:t>
      </w:r>
    </w:p>
    <w:p>
      <w:pPr>
        <w:pStyle w:val="F21"/>
        <w:overflowPunct w:val="true"/>
        <w:rPr>
          <w:szCs w:val="27"/>
          <w:highlight w:val="lightGray"/>
        </w:rPr>
      </w:pPr>
      <w:r>
        <w:rPr>
          <w:szCs w:val="27"/>
          <w:highlight w:val="lightGray"/>
        </w:rPr>
      </w:r>
    </w:p>
    <w:p>
      <w:pPr>
        <w:pStyle w:val="F21"/>
        <w:overflowPunct w:val="true"/>
        <w:rPr>
          <w:szCs w:val="27"/>
          <w:highlight w:val="lightGray"/>
        </w:rPr>
      </w:pPr>
      <w:r>
        <w:rPr>
          <w:szCs w:val="27"/>
          <w:highlight w:val="lightGray"/>
        </w:rPr>
      </w:r>
    </w:p>
    <w:p>
      <w:pPr>
        <w:pStyle w:val="F21"/>
        <w:overflowPunct w:val="true"/>
        <w:rPr>
          <w:szCs w:val="27"/>
        </w:rPr>
      </w:pPr>
      <w:r>
        <w:rPr>
          <w:rFonts w:ascii="華康中黑體" w:hAnsi="華康中黑體" w:eastAsia="華康中黑體"/>
          <w:b/>
          <w:szCs w:val="27"/>
        </w:rPr>
        <w:t>主席</w:t>
      </w:r>
      <w:r>
        <w:rPr>
          <w:szCs w:val="27"/>
        </w:rPr>
        <w:t>：郭家麒議員，你有甚麼問題？</w:t>
      </w:r>
      <w:r>
        <w:br w:type="page"/>
      </w:r>
    </w:p>
    <w:p>
      <w:pPr>
        <w:pStyle w:val="F21"/>
        <w:overflowPunct w:val="true"/>
        <w:spacing w:lineRule="atLeast" w:line="370"/>
        <w:rPr>
          <w:szCs w:val="27"/>
        </w:rPr>
      </w:pPr>
      <w:r>
        <w:rPr>
          <w:rFonts w:eastAsia="華康中黑體"/>
          <w:b/>
          <w:kern w:val="2"/>
          <w:szCs w:val="27"/>
        </w:rPr>
        <w:t>郭家麒議員</w:t>
      </w:r>
      <w:r>
        <w:rPr>
          <w:szCs w:val="27"/>
        </w:rPr>
        <w:t>：主席，我想局長澄清，他剛才的發言有否抵觸《基本法》第五條，即</w:t>
      </w:r>
      <w:r>
        <w:rPr>
          <w:szCs w:val="27"/>
        </w:rPr>
        <w:t>"</w:t>
      </w:r>
      <w:r>
        <w:rPr>
          <w:szCs w:val="27"/>
        </w:rPr>
        <w:t>香港特別行政區不實行社會主義制度和政策，保持原有的資本主義制度和生活方式，五十年不變</w:t>
      </w:r>
      <w:r>
        <w:rPr>
          <w:szCs w:val="27"/>
        </w:rPr>
        <w:t>"</w:t>
      </w:r>
      <w:r>
        <w:rPr>
          <w:szCs w:val="27"/>
        </w:rPr>
        <w:t>？</w:t>
      </w:r>
    </w:p>
    <w:p>
      <w:pPr>
        <w:pStyle w:val="F21"/>
        <w:overflowPunct w:val="true"/>
        <w:spacing w:lineRule="atLeast" w:line="370"/>
        <w:rPr>
          <w:szCs w:val="27"/>
        </w:rPr>
      </w:pPr>
      <w:r>
        <w:rPr>
          <w:szCs w:val="27"/>
        </w:rPr>
      </w:r>
    </w:p>
    <w:p>
      <w:pPr>
        <w:pStyle w:val="F21"/>
        <w:overflowPunct w:val="true"/>
        <w:spacing w:lineRule="atLeast" w:line="370"/>
        <w:rPr>
          <w:szCs w:val="27"/>
        </w:rPr>
      </w:pPr>
      <w:r>
        <w:rPr>
          <w:szCs w:val="27"/>
        </w:rPr>
      </w:r>
    </w:p>
    <w:p>
      <w:pPr>
        <w:pStyle w:val="F21"/>
        <w:overflowPunct w:val="true"/>
        <w:spacing w:lineRule="atLeast" w:line="370"/>
        <w:rPr>
          <w:szCs w:val="27"/>
        </w:rPr>
      </w:pPr>
      <w:r>
        <w:rPr>
          <w:rFonts w:ascii="華康中黑體" w:hAnsi="華康中黑體" w:eastAsia="華康中黑體"/>
          <w:b/>
          <w:szCs w:val="27"/>
        </w:rPr>
        <w:t>主席</w:t>
      </w:r>
      <w:r>
        <w:rPr>
          <w:szCs w:val="27"/>
        </w:rPr>
        <w:t>：我認為議員濫用規程問題。</w:t>
      </w:r>
    </w:p>
    <w:p>
      <w:pPr>
        <w:pStyle w:val="F21"/>
        <w:overflowPunct w:val="true"/>
        <w:spacing w:lineRule="atLeast" w:line="370"/>
        <w:rPr>
          <w:szCs w:val="27"/>
        </w:rPr>
      </w:pPr>
      <w:r>
        <w:rPr>
          <w:szCs w:val="27"/>
        </w:rPr>
      </w:r>
    </w:p>
    <w:p>
      <w:pPr>
        <w:pStyle w:val="F21"/>
        <w:overflowPunct w:val="true"/>
        <w:spacing w:lineRule="atLeast" w:line="370"/>
        <w:rPr>
          <w:szCs w:val="27"/>
        </w:rPr>
      </w:pPr>
      <w:r>
        <w:rPr>
          <w:szCs w:val="27"/>
        </w:rPr>
      </w:r>
    </w:p>
    <w:p>
      <w:pPr>
        <w:pStyle w:val="F21"/>
        <w:overflowPunct w:val="true"/>
        <w:spacing w:lineRule="atLeast" w:line="370"/>
        <w:rPr>
          <w:szCs w:val="27"/>
        </w:rPr>
      </w:pPr>
      <w:r>
        <w:rPr>
          <w:rFonts w:ascii="華康中黑體" w:hAnsi="華康中黑體" w:eastAsia="華康中黑體"/>
          <w:b/>
          <w:szCs w:val="27"/>
        </w:rPr>
        <w:t>郭家麒議員</w:t>
      </w:r>
      <w:r>
        <w:rPr>
          <w:szCs w:val="27"/>
        </w:rPr>
        <w:t>：沒有，主席。我現在提述的是《基本法》第五條，與剛才的問題並無重複。</w:t>
      </w:r>
    </w:p>
    <w:p>
      <w:pPr>
        <w:pStyle w:val="F21"/>
        <w:overflowPunct w:val="true"/>
        <w:spacing w:lineRule="atLeast" w:line="370"/>
        <w:rPr>
          <w:szCs w:val="27"/>
        </w:rPr>
      </w:pPr>
      <w:r>
        <w:rPr>
          <w:szCs w:val="27"/>
        </w:rPr>
      </w:r>
    </w:p>
    <w:p>
      <w:pPr>
        <w:pStyle w:val="F21"/>
        <w:overflowPunct w:val="true"/>
        <w:spacing w:lineRule="atLeast" w:line="370"/>
        <w:rPr>
          <w:szCs w:val="27"/>
        </w:rPr>
      </w:pPr>
      <w:r>
        <w:rPr>
          <w:szCs w:val="27"/>
        </w:rPr>
      </w:r>
    </w:p>
    <w:p>
      <w:pPr>
        <w:pStyle w:val="F21"/>
        <w:overflowPunct w:val="true"/>
        <w:spacing w:lineRule="atLeast" w:line="370"/>
        <w:rPr>
          <w:szCs w:val="27"/>
        </w:rPr>
      </w:pPr>
      <w:r>
        <w:rPr>
          <w:rFonts w:ascii="華康中黑體" w:hAnsi="華康中黑體" w:eastAsia="華康中黑體"/>
          <w:b/>
          <w:szCs w:val="27"/>
        </w:rPr>
        <w:t>主席</w:t>
      </w:r>
      <w:r>
        <w:rPr>
          <w:szCs w:val="27"/>
        </w:rPr>
        <w:t>：局長已多次表明，政府會在法案委員會解答議員的問題。</w:t>
      </w:r>
    </w:p>
    <w:p>
      <w:pPr>
        <w:pStyle w:val="F21"/>
        <w:overflowPunct w:val="true"/>
        <w:spacing w:lineRule="atLeast" w:line="370"/>
        <w:rPr>
          <w:szCs w:val="27"/>
        </w:rPr>
      </w:pPr>
      <w:r>
        <w:rPr>
          <w:szCs w:val="27"/>
        </w:rPr>
      </w:r>
    </w:p>
    <w:p>
      <w:pPr>
        <w:pStyle w:val="F21"/>
        <w:overflowPunct w:val="true"/>
        <w:spacing w:lineRule="atLeast" w:line="370"/>
        <w:rPr>
          <w:szCs w:val="27"/>
        </w:rPr>
      </w:pPr>
      <w:r>
        <w:rPr>
          <w:szCs w:val="27"/>
        </w:rPr>
      </w:r>
    </w:p>
    <w:p>
      <w:pPr>
        <w:pStyle w:val="F21"/>
        <w:overflowPunct w:val="true"/>
        <w:spacing w:lineRule="atLeast" w:line="370"/>
        <w:rPr>
          <w:szCs w:val="27"/>
        </w:rPr>
      </w:pPr>
      <w:r>
        <w:rPr>
          <w:rFonts w:ascii="華康中黑體" w:hAnsi="華康中黑體" w:eastAsia="華康中黑體"/>
          <w:b/>
          <w:szCs w:val="27"/>
        </w:rPr>
        <w:t>郭家麒議員</w:t>
      </w:r>
      <w:r>
        <w:rPr>
          <w:szCs w:val="27"/>
        </w:rPr>
        <w:t>：局長或許想就《基本法》第五條作出澄清呢。</w:t>
      </w:r>
    </w:p>
    <w:p>
      <w:pPr>
        <w:pStyle w:val="F21"/>
        <w:overflowPunct w:val="true"/>
        <w:spacing w:lineRule="atLeast" w:line="370"/>
        <w:rPr>
          <w:szCs w:val="27"/>
        </w:rPr>
      </w:pPr>
      <w:r>
        <w:rPr>
          <w:szCs w:val="27"/>
        </w:rPr>
      </w:r>
    </w:p>
    <w:p>
      <w:pPr>
        <w:pStyle w:val="F21"/>
        <w:overflowPunct w:val="true"/>
        <w:spacing w:lineRule="atLeast" w:line="370"/>
        <w:rPr>
          <w:szCs w:val="27"/>
        </w:rPr>
      </w:pPr>
      <w:r>
        <w:rPr>
          <w:szCs w:val="27"/>
        </w:rPr>
      </w:r>
    </w:p>
    <w:p>
      <w:pPr>
        <w:pStyle w:val="F21"/>
        <w:overflowPunct w:val="true"/>
        <w:spacing w:lineRule="atLeast" w:line="370"/>
        <w:rPr>
          <w:szCs w:val="27"/>
        </w:rPr>
      </w:pPr>
      <w:r>
        <w:rPr>
          <w:rFonts w:ascii="華康中黑體" w:hAnsi="華康中黑體" w:eastAsia="華康中黑體"/>
          <w:b/>
          <w:szCs w:val="27"/>
        </w:rPr>
        <w:t>主席</w:t>
      </w:r>
      <w:r>
        <w:rPr>
          <w:szCs w:val="27"/>
        </w:rPr>
        <w:t>：局長，你是否想澄清？如果你不想，請繼續發言。</w:t>
      </w:r>
    </w:p>
    <w:p>
      <w:pPr>
        <w:pStyle w:val="F21"/>
        <w:overflowPunct w:val="true"/>
        <w:spacing w:lineRule="atLeast" w:line="370"/>
        <w:rPr>
          <w:szCs w:val="27"/>
        </w:rPr>
      </w:pPr>
      <w:r>
        <w:rPr>
          <w:szCs w:val="27"/>
        </w:rPr>
      </w:r>
    </w:p>
    <w:p>
      <w:pPr>
        <w:pStyle w:val="F21"/>
        <w:spacing w:lineRule="atLeast" w:line="370"/>
        <w:rPr>
          <w:szCs w:val="27"/>
        </w:rPr>
      </w:pPr>
      <w:r>
        <w:rPr>
          <w:szCs w:val="27"/>
        </w:rPr>
      </w:r>
    </w:p>
    <w:p>
      <w:pPr>
        <w:pStyle w:val="F21"/>
        <w:overflowPunct w:val="true"/>
        <w:spacing w:lineRule="atLeast" w:line="370"/>
        <w:rPr>
          <w:szCs w:val="27"/>
        </w:rPr>
      </w:pPr>
      <w:r>
        <w:rPr>
          <w:rFonts w:eastAsia="華康中黑體"/>
          <w:b/>
          <w:kern w:val="2"/>
          <w:szCs w:val="27"/>
        </w:rPr>
        <w:t>保安局局長</w:t>
      </w:r>
      <w:r>
        <w:rPr>
          <w:szCs w:val="27"/>
        </w:rPr>
        <w:t>：我沒有事項要澄清。主席，請容許我繼續發言。</w:t>
      </w:r>
    </w:p>
    <w:p>
      <w:pPr>
        <w:pStyle w:val="F21"/>
        <w:overflowPunct w:val="true"/>
        <w:spacing w:lineRule="atLeast" w:line="370"/>
        <w:rPr>
          <w:szCs w:val="27"/>
        </w:rPr>
      </w:pPr>
      <w:r>
        <w:rPr>
          <w:szCs w:val="27"/>
        </w:rPr>
      </w:r>
    </w:p>
    <w:p>
      <w:pPr>
        <w:pStyle w:val="F21"/>
        <w:overflowPunct w:val="true"/>
        <w:spacing w:lineRule="atLeast" w:line="370"/>
        <w:rPr>
          <w:szCs w:val="27"/>
        </w:rPr>
      </w:pPr>
      <w:r>
        <w:rPr>
          <w:szCs w:val="27"/>
        </w:rPr>
        <w:tab/>
      </w:r>
      <w:r>
        <w:rPr>
          <w:szCs w:val="27"/>
        </w:rPr>
        <w:t>《條例草案》的建議不會影響任何現行移交逃犯的長期安排</w:t>
      </w:r>
      <w:r>
        <w:rPr>
          <w:szCs w:val="27"/>
        </w:rPr>
        <w:t>......</w:t>
      </w:r>
    </w:p>
    <w:p>
      <w:pPr>
        <w:pStyle w:val="F21"/>
        <w:overflowPunct w:val="true"/>
        <w:spacing w:lineRule="atLeast" w:line="370"/>
        <w:rPr>
          <w:szCs w:val="27"/>
        </w:rPr>
      </w:pPr>
      <w:r>
        <w:rPr>
          <w:szCs w:val="27"/>
        </w:rPr>
      </w:r>
    </w:p>
    <w:p>
      <w:pPr>
        <w:pStyle w:val="F21"/>
        <w:overflowPunct w:val="true"/>
        <w:spacing w:lineRule="atLeast" w:line="370"/>
        <w:rPr>
          <w:szCs w:val="27"/>
        </w:rPr>
      </w:pPr>
      <w:r>
        <w:rPr>
          <w:szCs w:val="27"/>
        </w:rPr>
        <w:t>(</w:t>
      </w:r>
      <w:r>
        <w:rPr>
          <w:szCs w:val="27"/>
        </w:rPr>
        <w:t>有議員在席上高聲說話</w:t>
      </w:r>
      <w:r>
        <w:rPr>
          <w:szCs w:val="27"/>
        </w:rPr>
        <w:t>)</w:t>
      </w:r>
    </w:p>
    <w:p>
      <w:pPr>
        <w:pStyle w:val="F21"/>
        <w:overflowPunct w:val="true"/>
        <w:spacing w:lineRule="atLeast" w:line="370"/>
        <w:rPr>
          <w:szCs w:val="27"/>
        </w:rPr>
      </w:pPr>
      <w:r>
        <w:rPr>
          <w:szCs w:val="27"/>
        </w:rPr>
      </w:r>
    </w:p>
    <w:p>
      <w:pPr>
        <w:pStyle w:val="F21"/>
        <w:overflowPunct w:val="true"/>
        <w:spacing w:lineRule="atLeast" w:line="370"/>
        <w:rPr>
          <w:szCs w:val="27"/>
        </w:rPr>
      </w:pPr>
      <w:r>
        <w:rPr>
          <w:szCs w:val="27"/>
        </w:rPr>
      </w:r>
    </w:p>
    <w:p>
      <w:pPr>
        <w:pStyle w:val="F21"/>
        <w:overflowPunct w:val="true"/>
        <w:spacing w:lineRule="atLeast" w:line="370"/>
        <w:rPr>
          <w:szCs w:val="27"/>
        </w:rPr>
      </w:pPr>
      <w:r>
        <w:rPr>
          <w:rFonts w:ascii="華康中黑體" w:hAnsi="華康中黑體" w:eastAsia="華康中黑體"/>
          <w:b/>
          <w:szCs w:val="27"/>
        </w:rPr>
        <w:t>主席</w:t>
      </w:r>
      <w:r>
        <w:rPr>
          <w:szCs w:val="27"/>
        </w:rPr>
        <w:t>：議員如欲要求局長作出澄清，請待局長發言完畢後提出，我會一併處理。</w:t>
      </w:r>
    </w:p>
    <w:p>
      <w:pPr>
        <w:pStyle w:val="F21"/>
        <w:overflowPunct w:val="true"/>
        <w:spacing w:lineRule="atLeast" w:line="370"/>
        <w:rPr>
          <w:szCs w:val="27"/>
        </w:rPr>
      </w:pPr>
      <w:r>
        <w:rPr>
          <w:szCs w:val="27"/>
        </w:rPr>
      </w:r>
    </w:p>
    <w:p>
      <w:pPr>
        <w:pStyle w:val="F21"/>
        <w:overflowPunct w:val="true"/>
        <w:spacing w:lineRule="atLeast" w:line="370"/>
        <w:rPr>
          <w:szCs w:val="27"/>
        </w:rPr>
      </w:pPr>
      <w:r>
        <w:rPr>
          <w:szCs w:val="27"/>
        </w:rPr>
        <w:t>(</w:t>
      </w:r>
      <w:r>
        <w:rPr>
          <w:szCs w:val="27"/>
        </w:rPr>
        <w:t>區諾軒議員站起來</w:t>
      </w:r>
      <w:r>
        <w:rPr>
          <w:szCs w:val="27"/>
        </w:rPr>
        <w:t>)</w:t>
      </w:r>
    </w:p>
    <w:p>
      <w:pPr>
        <w:pStyle w:val="F21"/>
        <w:overflowPunct w:val="true"/>
        <w:spacing w:lineRule="atLeast" w:line="370"/>
        <w:rPr>
          <w:szCs w:val="27"/>
        </w:rPr>
      </w:pPr>
      <w:r>
        <w:rPr>
          <w:szCs w:val="27"/>
        </w:rPr>
      </w:r>
    </w:p>
    <w:p>
      <w:pPr>
        <w:pStyle w:val="F21"/>
        <w:overflowPunct w:val="true"/>
        <w:spacing w:lineRule="atLeast" w:line="370"/>
        <w:rPr>
          <w:szCs w:val="27"/>
        </w:rPr>
      </w:pPr>
      <w:r>
        <w:rPr>
          <w:szCs w:val="27"/>
        </w:rPr>
      </w:r>
    </w:p>
    <w:p>
      <w:pPr>
        <w:pStyle w:val="F21"/>
        <w:overflowPunct w:val="true"/>
        <w:spacing w:lineRule="atLeast" w:line="370"/>
        <w:rPr>
          <w:szCs w:val="27"/>
        </w:rPr>
      </w:pPr>
      <w:r>
        <w:rPr>
          <w:rFonts w:ascii="華康中黑體" w:hAnsi="華康中黑體" w:eastAsia="華康中黑體"/>
          <w:b/>
          <w:szCs w:val="27"/>
        </w:rPr>
        <w:t>主席</w:t>
      </w:r>
      <w:r>
        <w:rPr>
          <w:szCs w:val="27"/>
        </w:rPr>
        <w:t>：區諾軒議員，你有甚麼問題？</w:t>
      </w:r>
    </w:p>
    <w:p>
      <w:pPr>
        <w:pStyle w:val="Normal"/>
        <w:widowControl/>
        <w:tabs>
          <w:tab w:val="clear" w:pos="720"/>
        </w:tabs>
        <w:snapToGrid w:val="true"/>
        <w:spacing w:lineRule="auto" w:line="276" w:before="0" w:after="200"/>
        <w:jc w:val="left"/>
        <w:rPr>
          <w:rFonts w:cs="" w:cstheme="minorBidi"/>
          <w:spacing w:val="20"/>
          <w:sz w:val="27"/>
          <w:szCs w:val="27"/>
          <w:lang w:val="en-US"/>
        </w:rPr>
      </w:pPr>
      <w:r>
        <w:rPr>
          <w:rFonts w:cs="" w:cstheme="minorBidi"/>
          <w:spacing w:val="20"/>
          <w:sz w:val="27"/>
          <w:szCs w:val="27"/>
          <w:lang w:val="en-US"/>
        </w:rPr>
      </w:r>
      <w:r>
        <w:br w:type="page"/>
      </w:r>
    </w:p>
    <w:p>
      <w:pPr>
        <w:pStyle w:val="F21"/>
        <w:overflowPunct w:val="true"/>
        <w:spacing w:lineRule="atLeast" w:line="370"/>
        <w:rPr>
          <w:szCs w:val="27"/>
        </w:rPr>
      </w:pPr>
      <w:r>
        <w:rPr>
          <w:rFonts w:eastAsia="華康中黑體"/>
          <w:b/>
          <w:kern w:val="2"/>
          <w:szCs w:val="27"/>
        </w:rPr>
        <w:t>區諾軒議員</w:t>
      </w:r>
      <w:r>
        <w:rPr>
          <w:szCs w:val="27"/>
        </w:rPr>
        <w:t>：主席，我希望你澄清，我們要求局長澄清，如果《條例草案》不符合《基本法》，就不應提交立法會進行首讀。如果局長根本無意解答議員的疑問，只管不斷說會在法案委員會跟進，但屆時《條例草案》已完成首讀程序。請問政府將一項既不符合《基本法》，也不符合台灣立場及意願的《條例草案》提交立法會，是合理的做法嗎？</w:t>
      </w:r>
    </w:p>
    <w:p>
      <w:pPr>
        <w:pStyle w:val="F21"/>
        <w:overflowPunct w:val="true"/>
        <w:spacing w:lineRule="atLeast" w:line="370"/>
        <w:rPr>
          <w:szCs w:val="27"/>
        </w:rPr>
      </w:pPr>
      <w:r>
        <w:rPr>
          <w:szCs w:val="27"/>
        </w:rPr>
      </w:r>
    </w:p>
    <w:p>
      <w:pPr>
        <w:pStyle w:val="F21"/>
        <w:overflowPunct w:val="true"/>
        <w:spacing w:lineRule="atLeast" w:line="370"/>
        <w:rPr>
          <w:szCs w:val="27"/>
        </w:rPr>
      </w:pPr>
      <w:r>
        <w:rPr>
          <w:szCs w:val="27"/>
        </w:rPr>
      </w:r>
    </w:p>
    <w:p>
      <w:pPr>
        <w:pStyle w:val="F21"/>
        <w:overflowPunct w:val="true"/>
        <w:spacing w:lineRule="atLeast" w:line="370"/>
        <w:rPr>
          <w:szCs w:val="27"/>
        </w:rPr>
      </w:pPr>
      <w:r>
        <w:rPr>
          <w:rFonts w:ascii="華康中黑體" w:hAnsi="華康中黑體" w:eastAsia="華康中黑體"/>
          <w:b/>
          <w:szCs w:val="27"/>
        </w:rPr>
        <w:t>主席</w:t>
      </w:r>
      <w:r>
        <w:rPr>
          <w:szCs w:val="27"/>
        </w:rPr>
        <w:t>：區議員，請坐下。我已指出，根據《議事規則》第</w:t>
      </w:r>
      <w:r>
        <w:rPr>
          <w:szCs w:val="27"/>
        </w:rPr>
        <w:t>39(b)</w:t>
      </w:r>
      <w:r>
        <w:rPr>
          <w:szCs w:val="27"/>
        </w:rPr>
        <w:t>條，議員可要求官員澄清其發言中的事宜，但有關官員可自行決定是否須要澄清。</w:t>
      </w:r>
    </w:p>
    <w:p>
      <w:pPr>
        <w:pStyle w:val="F21"/>
        <w:overflowPunct w:val="true"/>
        <w:spacing w:lineRule="atLeast" w:line="370"/>
        <w:rPr>
          <w:szCs w:val="27"/>
        </w:rPr>
      </w:pPr>
      <w:r>
        <w:rPr>
          <w:szCs w:val="27"/>
        </w:rPr>
      </w:r>
    </w:p>
    <w:p>
      <w:pPr>
        <w:pStyle w:val="F21"/>
        <w:overflowPunct w:val="true"/>
        <w:spacing w:lineRule="atLeast" w:line="370"/>
        <w:rPr>
          <w:szCs w:val="27"/>
        </w:rPr>
      </w:pPr>
      <w:r>
        <w:rPr>
          <w:szCs w:val="27"/>
        </w:rPr>
      </w:r>
    </w:p>
    <w:p>
      <w:pPr>
        <w:pStyle w:val="F21"/>
        <w:overflowPunct w:val="true"/>
        <w:spacing w:lineRule="atLeast" w:line="370"/>
        <w:rPr>
          <w:szCs w:val="27"/>
        </w:rPr>
      </w:pPr>
      <w:r>
        <w:rPr>
          <w:rFonts w:ascii="華康中黑體" w:hAnsi="華康中黑體" w:eastAsia="華康中黑體"/>
          <w:b/>
          <w:szCs w:val="27"/>
        </w:rPr>
        <w:t>區諾軒議員</w:t>
      </w:r>
      <w:r>
        <w:rPr>
          <w:szCs w:val="27"/>
        </w:rPr>
        <w:t>：那我要求主席澄清，是否容許一項不符合《基本法》的條例草案提交立法會首讀？</w:t>
      </w:r>
    </w:p>
    <w:p>
      <w:pPr>
        <w:pStyle w:val="F21"/>
        <w:overflowPunct w:val="true"/>
        <w:spacing w:lineRule="atLeast" w:line="370"/>
        <w:rPr>
          <w:szCs w:val="27"/>
        </w:rPr>
      </w:pPr>
      <w:r>
        <w:rPr>
          <w:szCs w:val="27"/>
        </w:rPr>
      </w:r>
    </w:p>
    <w:p>
      <w:pPr>
        <w:pStyle w:val="F21"/>
        <w:overflowPunct w:val="true"/>
        <w:spacing w:lineRule="atLeast" w:line="370"/>
        <w:rPr>
          <w:szCs w:val="27"/>
        </w:rPr>
      </w:pPr>
      <w:r>
        <w:rPr>
          <w:szCs w:val="27"/>
        </w:rPr>
      </w:r>
    </w:p>
    <w:p>
      <w:pPr>
        <w:pStyle w:val="F21"/>
        <w:overflowPunct w:val="true"/>
        <w:spacing w:lineRule="atLeast" w:line="370"/>
        <w:rPr>
          <w:szCs w:val="27"/>
        </w:rPr>
      </w:pPr>
      <w:r>
        <w:rPr>
          <w:rFonts w:ascii="華康中黑體" w:hAnsi="華康中黑體" w:eastAsia="華康中黑體"/>
          <w:b/>
          <w:szCs w:val="27"/>
        </w:rPr>
        <w:t>主席</w:t>
      </w:r>
      <w:r>
        <w:rPr>
          <w:szCs w:val="27"/>
        </w:rPr>
        <w:t>：某項法案是否符合《基本法》，並非由立法會主席澄清。局長，你是否想澄清？如果你不想，請繼續發言。</w:t>
      </w:r>
    </w:p>
    <w:p>
      <w:pPr>
        <w:pStyle w:val="F21"/>
        <w:overflowPunct w:val="true"/>
        <w:spacing w:lineRule="atLeast" w:line="370"/>
        <w:rPr>
          <w:szCs w:val="27"/>
        </w:rPr>
      </w:pPr>
      <w:r>
        <w:rPr>
          <w:szCs w:val="27"/>
        </w:rPr>
      </w:r>
    </w:p>
    <w:p>
      <w:pPr>
        <w:pStyle w:val="F21"/>
        <w:overflowPunct w:val="true"/>
        <w:spacing w:lineRule="atLeast" w:line="370"/>
        <w:rPr>
          <w:szCs w:val="27"/>
        </w:rPr>
      </w:pPr>
      <w:r>
        <w:rPr>
          <w:szCs w:val="27"/>
        </w:rPr>
      </w:r>
    </w:p>
    <w:p>
      <w:pPr>
        <w:pStyle w:val="F21"/>
        <w:overflowPunct w:val="true"/>
        <w:spacing w:lineRule="atLeast" w:line="370"/>
        <w:rPr>
          <w:szCs w:val="27"/>
        </w:rPr>
      </w:pPr>
      <w:r>
        <w:rPr>
          <w:rFonts w:eastAsia="華康中黑體"/>
          <w:b/>
          <w:kern w:val="2"/>
          <w:szCs w:val="27"/>
        </w:rPr>
        <w:t>保安局局長</w:t>
      </w:r>
      <w:r>
        <w:rPr>
          <w:szCs w:val="27"/>
        </w:rPr>
        <w:t>：主席，我沒有事項要澄清。我繼續發言。</w:t>
      </w:r>
    </w:p>
    <w:p>
      <w:pPr>
        <w:pStyle w:val="F21"/>
        <w:overflowPunct w:val="true"/>
        <w:spacing w:lineRule="atLeast" w:line="370"/>
        <w:rPr>
          <w:szCs w:val="27"/>
        </w:rPr>
      </w:pPr>
      <w:r>
        <w:rPr>
          <w:szCs w:val="27"/>
        </w:rPr>
      </w:r>
    </w:p>
    <w:p>
      <w:pPr>
        <w:pStyle w:val="F21"/>
        <w:overflowPunct w:val="true"/>
        <w:spacing w:lineRule="atLeast" w:line="370"/>
        <w:rPr>
          <w:szCs w:val="27"/>
        </w:rPr>
      </w:pPr>
      <w:r>
        <w:rPr>
          <w:szCs w:val="27"/>
        </w:rPr>
        <w:tab/>
      </w:r>
      <w:r>
        <w:rPr>
          <w:szCs w:val="27"/>
        </w:rPr>
        <w:t>《條例草案》同時建議個案方式移交所涵蓋的罪類。政府在考慮了一系列的因素後，謹慎地</w:t>
      </w:r>
      <w:r>
        <w:rPr>
          <w:szCs w:val="27"/>
        </w:rPr>
        <w:t>......</w:t>
      </w:r>
    </w:p>
    <w:p>
      <w:pPr>
        <w:pStyle w:val="F21"/>
        <w:overflowPunct w:val="true"/>
        <w:spacing w:lineRule="atLeast" w:line="370"/>
        <w:rPr>
          <w:szCs w:val="27"/>
        </w:rPr>
      </w:pPr>
      <w:r>
        <w:rPr>
          <w:szCs w:val="27"/>
        </w:rPr>
      </w:r>
    </w:p>
    <w:p>
      <w:pPr>
        <w:pStyle w:val="F21"/>
        <w:overflowPunct w:val="true"/>
        <w:spacing w:lineRule="atLeast" w:line="370"/>
        <w:rPr>
          <w:szCs w:val="27"/>
        </w:rPr>
      </w:pPr>
      <w:r>
        <w:rPr>
          <w:szCs w:val="27"/>
        </w:rPr>
        <w:t>(</w:t>
      </w:r>
      <w:r>
        <w:rPr>
          <w:szCs w:val="27"/>
        </w:rPr>
        <w:t>有議員在席上高聲說話</w:t>
      </w:r>
      <w:r>
        <w:rPr>
          <w:szCs w:val="27"/>
        </w:rPr>
        <w:t>)</w:t>
      </w:r>
    </w:p>
    <w:p>
      <w:pPr>
        <w:pStyle w:val="F21"/>
        <w:overflowPunct w:val="true"/>
        <w:spacing w:lineRule="atLeast" w:line="370"/>
        <w:rPr>
          <w:szCs w:val="27"/>
        </w:rPr>
      </w:pPr>
      <w:r>
        <w:rPr>
          <w:szCs w:val="27"/>
        </w:rPr>
      </w:r>
    </w:p>
    <w:p>
      <w:pPr>
        <w:pStyle w:val="F21"/>
        <w:overflowPunct w:val="true"/>
        <w:spacing w:lineRule="atLeast" w:line="370"/>
        <w:rPr>
          <w:szCs w:val="27"/>
        </w:rPr>
      </w:pPr>
      <w:r>
        <w:rPr>
          <w:szCs w:val="27"/>
        </w:rPr>
      </w:r>
    </w:p>
    <w:p>
      <w:pPr>
        <w:pStyle w:val="F21"/>
        <w:overflowPunct w:val="true"/>
        <w:spacing w:lineRule="atLeast" w:line="370"/>
        <w:rPr>
          <w:szCs w:val="27"/>
        </w:rPr>
      </w:pPr>
      <w:r>
        <w:rPr>
          <w:rFonts w:ascii="華康中黑體" w:hAnsi="華康中黑體" w:eastAsia="華康中黑體"/>
          <w:b/>
          <w:szCs w:val="27"/>
        </w:rPr>
        <w:t>主席</w:t>
      </w:r>
      <w:r>
        <w:rPr>
          <w:szCs w:val="27"/>
        </w:rPr>
        <w:t>：我已說過，如果議員要求局長作出澄清，我會待局長發言完畢後一併處理。局長，請繼續。</w:t>
      </w:r>
    </w:p>
    <w:p>
      <w:pPr>
        <w:pStyle w:val="F21"/>
        <w:overflowPunct w:val="true"/>
        <w:spacing w:lineRule="atLeast" w:line="370"/>
        <w:rPr>
          <w:szCs w:val="27"/>
        </w:rPr>
      </w:pPr>
      <w:r>
        <w:rPr>
          <w:szCs w:val="27"/>
        </w:rPr>
      </w:r>
    </w:p>
    <w:p>
      <w:pPr>
        <w:pStyle w:val="F21"/>
        <w:overflowPunct w:val="true"/>
        <w:spacing w:lineRule="atLeast" w:line="370"/>
        <w:rPr>
          <w:szCs w:val="27"/>
        </w:rPr>
      </w:pPr>
      <w:r>
        <w:rPr>
          <w:szCs w:val="27"/>
        </w:rPr>
        <w:t>(</w:t>
      </w:r>
      <w:r>
        <w:rPr>
          <w:szCs w:val="27"/>
        </w:rPr>
        <w:t>許智峯議員站起來</w:t>
      </w:r>
      <w:r>
        <w:rPr>
          <w:szCs w:val="27"/>
        </w:rPr>
        <w:t>)</w:t>
      </w:r>
    </w:p>
    <w:p>
      <w:pPr>
        <w:pStyle w:val="F21"/>
        <w:overflowPunct w:val="true"/>
        <w:spacing w:lineRule="atLeast" w:line="370"/>
        <w:rPr>
          <w:szCs w:val="27"/>
        </w:rPr>
      </w:pPr>
      <w:r>
        <w:rPr>
          <w:szCs w:val="27"/>
        </w:rPr>
      </w:r>
    </w:p>
    <w:p>
      <w:pPr>
        <w:pStyle w:val="F21"/>
        <w:overflowPunct w:val="true"/>
        <w:spacing w:lineRule="atLeast" w:line="370"/>
        <w:rPr>
          <w:szCs w:val="27"/>
        </w:rPr>
      </w:pPr>
      <w:r>
        <w:rPr>
          <w:szCs w:val="27"/>
        </w:rPr>
      </w:r>
    </w:p>
    <w:p>
      <w:pPr>
        <w:pStyle w:val="F21"/>
        <w:overflowPunct w:val="true"/>
        <w:spacing w:lineRule="atLeast" w:line="370"/>
        <w:rPr>
          <w:szCs w:val="27"/>
        </w:rPr>
      </w:pPr>
      <w:r>
        <w:rPr>
          <w:rFonts w:ascii="華康中黑體" w:hAnsi="華康中黑體" w:eastAsia="華康中黑體"/>
          <w:b/>
          <w:szCs w:val="27"/>
        </w:rPr>
        <w:t>主席</w:t>
      </w:r>
      <w:r>
        <w:rPr>
          <w:szCs w:val="27"/>
        </w:rPr>
        <w:t>：許智峯議員，你有甚麼問題？</w:t>
      </w:r>
    </w:p>
    <w:p>
      <w:pPr>
        <w:pStyle w:val="Normal"/>
        <w:widowControl/>
        <w:tabs>
          <w:tab w:val="clear" w:pos="720"/>
        </w:tabs>
        <w:snapToGrid w:val="true"/>
        <w:spacing w:lineRule="auto" w:line="276" w:before="0" w:after="200"/>
        <w:jc w:val="left"/>
        <w:rPr>
          <w:rFonts w:cs="" w:cstheme="minorBidi"/>
          <w:spacing w:val="20"/>
          <w:sz w:val="27"/>
          <w:szCs w:val="27"/>
          <w:lang w:val="en-US"/>
        </w:rPr>
      </w:pPr>
      <w:r>
        <w:rPr>
          <w:rFonts w:cs="" w:cstheme="minorBidi"/>
          <w:spacing w:val="20"/>
          <w:sz w:val="27"/>
          <w:szCs w:val="27"/>
          <w:lang w:val="en-US"/>
        </w:rPr>
      </w:r>
      <w:r>
        <w:br w:type="page"/>
      </w:r>
    </w:p>
    <w:p>
      <w:pPr>
        <w:pStyle w:val="F21"/>
        <w:overflowPunct w:val="true"/>
        <w:rPr>
          <w:szCs w:val="27"/>
        </w:rPr>
      </w:pPr>
      <w:r>
        <w:rPr>
          <w:rFonts w:eastAsia="華康中黑體"/>
          <w:b/>
          <w:kern w:val="2"/>
          <w:szCs w:val="27"/>
        </w:rPr>
        <w:t>許智峯議員</w:t>
      </w:r>
      <w:r>
        <w:rPr>
          <w:szCs w:val="27"/>
        </w:rPr>
        <w:t>：主席，我不是要求局長，而是要求立法會的法律顧問作出澄清。當一項法案在首讀和二讀時遭到司法覆核，立法會還應繼續審議這項可能違反人權的法案嗎？可否讓法律顧問回答，以往是否曾有這樣的先例？</w:t>
      </w:r>
    </w:p>
    <w:p>
      <w:pPr>
        <w:pStyle w:val="F21"/>
        <w:overflowPunct w:val="true"/>
        <w:rPr>
          <w:szCs w:val="27"/>
        </w:rPr>
      </w:pPr>
      <w:r>
        <w:rPr>
          <w:szCs w:val="27"/>
        </w:rPr>
      </w:r>
    </w:p>
    <w:p>
      <w:pPr>
        <w:pStyle w:val="F21"/>
        <w:overflowPunct w:val="true"/>
        <w:rPr>
          <w:szCs w:val="27"/>
        </w:rPr>
      </w:pPr>
      <w:r>
        <w:rPr>
          <w:szCs w:val="27"/>
        </w:rPr>
      </w:r>
    </w:p>
    <w:p>
      <w:pPr>
        <w:pStyle w:val="F21"/>
        <w:overflowPunct w:val="true"/>
        <w:rPr>
          <w:szCs w:val="27"/>
        </w:rPr>
      </w:pPr>
      <w:r>
        <w:rPr>
          <w:rFonts w:ascii="華康中黑體" w:hAnsi="華康中黑體" w:eastAsia="華康中黑體"/>
          <w:b/>
          <w:szCs w:val="27"/>
        </w:rPr>
        <w:t>主席</w:t>
      </w:r>
      <w:r>
        <w:rPr>
          <w:szCs w:val="27"/>
        </w:rPr>
        <w:t>：將政府法案提交立法會首讀及動議二讀，是由局長負責。至於司法覆核申請會否獲批許可，將由法院決定，並非由本會處理。</w:t>
      </w:r>
    </w:p>
    <w:p>
      <w:pPr>
        <w:pStyle w:val="F21"/>
        <w:overflowPunct w:val="true"/>
        <w:rPr>
          <w:szCs w:val="27"/>
        </w:rPr>
      </w:pPr>
      <w:r>
        <w:rPr>
          <w:szCs w:val="27"/>
        </w:rPr>
      </w:r>
    </w:p>
    <w:p>
      <w:pPr>
        <w:pStyle w:val="F21"/>
        <w:overflowPunct w:val="true"/>
        <w:rPr>
          <w:szCs w:val="27"/>
        </w:rPr>
      </w:pPr>
      <w:r>
        <w:rPr>
          <w:szCs w:val="27"/>
        </w:rPr>
      </w:r>
    </w:p>
    <w:p>
      <w:pPr>
        <w:pStyle w:val="F21"/>
        <w:overflowPunct w:val="true"/>
        <w:rPr>
          <w:szCs w:val="27"/>
        </w:rPr>
      </w:pPr>
      <w:r>
        <w:rPr>
          <w:rFonts w:eastAsia="華康中黑體"/>
          <w:b/>
          <w:kern w:val="2"/>
          <w:szCs w:val="27"/>
        </w:rPr>
        <w:t>許智峯議員</w:t>
      </w:r>
      <w:r>
        <w:rPr>
          <w:szCs w:val="27"/>
        </w:rPr>
        <w:t>：可否給法律顧問一點時間研究，看看是否有這樣的先例？立法會此刻應否處理這項受司法覆核挑戰、違反人權的《條例草案》？</w:t>
      </w:r>
    </w:p>
    <w:p>
      <w:pPr>
        <w:pStyle w:val="F21"/>
        <w:overflowPunct w:val="true"/>
        <w:rPr>
          <w:szCs w:val="27"/>
        </w:rPr>
      </w:pPr>
      <w:r>
        <w:rPr>
          <w:szCs w:val="27"/>
        </w:rPr>
      </w:r>
    </w:p>
    <w:p>
      <w:pPr>
        <w:pStyle w:val="F21"/>
        <w:overflowPunct w:val="true"/>
        <w:rPr>
          <w:szCs w:val="27"/>
        </w:rPr>
      </w:pPr>
      <w:r>
        <w:rPr>
          <w:szCs w:val="27"/>
        </w:rPr>
      </w:r>
    </w:p>
    <w:p>
      <w:pPr>
        <w:pStyle w:val="F21"/>
        <w:overflowPunct w:val="true"/>
        <w:rPr>
          <w:szCs w:val="27"/>
        </w:rPr>
      </w:pPr>
      <w:r>
        <w:rPr>
          <w:rFonts w:ascii="華康中黑體" w:hAnsi="華康中黑體" w:eastAsia="華康中黑體"/>
          <w:b/>
          <w:szCs w:val="27"/>
        </w:rPr>
        <w:t>主席</w:t>
      </w:r>
      <w:r>
        <w:rPr>
          <w:szCs w:val="27"/>
        </w:rPr>
        <w:t>：許議員，如你認為有此需要，你可向法庭申請禁制令。局長，請繼續發言。</w:t>
      </w:r>
    </w:p>
    <w:p>
      <w:pPr>
        <w:pStyle w:val="F21"/>
        <w:overflowPunct w:val="true"/>
        <w:rPr>
          <w:szCs w:val="27"/>
        </w:rPr>
      </w:pPr>
      <w:r>
        <w:rPr>
          <w:szCs w:val="27"/>
        </w:rPr>
      </w:r>
    </w:p>
    <w:p>
      <w:pPr>
        <w:pStyle w:val="F21"/>
        <w:overflowPunct w:val="true"/>
        <w:rPr>
          <w:szCs w:val="27"/>
        </w:rPr>
      </w:pPr>
      <w:r>
        <w:rPr>
          <w:szCs w:val="27"/>
        </w:rPr>
      </w:r>
    </w:p>
    <w:p>
      <w:pPr>
        <w:pStyle w:val="F21"/>
        <w:overflowPunct w:val="true"/>
        <w:rPr>
          <w:szCs w:val="27"/>
        </w:rPr>
      </w:pPr>
      <w:r>
        <w:rPr>
          <w:rFonts w:eastAsia="華康中黑體"/>
          <w:b/>
          <w:kern w:val="2"/>
          <w:szCs w:val="27"/>
        </w:rPr>
        <w:t>保安局局長</w:t>
      </w:r>
      <w:r>
        <w:rPr>
          <w:szCs w:val="27"/>
        </w:rPr>
        <w:t>：《條例草案》同時建議個案方式移交所涵蓋的罪類。政府在考慮了一系列的因素後，謹慎地決定個案方式的移交安排所涵蓋的罪類，包括現時《逃犯條例》附表</w:t>
      </w:r>
      <w:r>
        <w:rPr>
          <w:szCs w:val="27"/>
        </w:rPr>
        <w:t>1</w:t>
      </w:r>
      <w:r>
        <w:rPr>
          <w:szCs w:val="27"/>
        </w:rPr>
        <w:t>載列的</w:t>
      </w:r>
      <w:r>
        <w:rPr>
          <w:szCs w:val="27"/>
        </w:rPr>
        <w:t>46</w:t>
      </w:r>
      <w:r>
        <w:rPr>
          <w:szCs w:val="27"/>
        </w:rPr>
        <w:t>項罪類的其中</w:t>
      </w:r>
      <w:r>
        <w:rPr>
          <w:szCs w:val="27"/>
        </w:rPr>
        <w:t>37</w:t>
      </w:r>
      <w:r>
        <w:rPr>
          <w:szCs w:val="27"/>
        </w:rPr>
        <w:t>項，而涉及的罪行必須可判監</w:t>
      </w:r>
      <w:r>
        <w:rPr>
          <w:szCs w:val="27"/>
        </w:rPr>
        <w:t>3</w:t>
      </w:r>
      <w:r>
        <w:rPr>
          <w:szCs w:val="27"/>
        </w:rPr>
        <w:t>年以上，並在香港而言，可循公訴程序審訊</w:t>
      </w:r>
      <w:r>
        <w:rPr>
          <w:szCs w:val="27"/>
        </w:rPr>
        <w:t>......</w:t>
      </w:r>
    </w:p>
    <w:p>
      <w:pPr>
        <w:pStyle w:val="F21"/>
        <w:overflowPunct w:val="true"/>
        <w:rPr>
          <w:szCs w:val="27"/>
        </w:rPr>
      </w:pPr>
      <w:r>
        <w:rPr>
          <w:szCs w:val="27"/>
        </w:rPr>
      </w:r>
    </w:p>
    <w:p>
      <w:pPr>
        <w:pStyle w:val="F21"/>
        <w:overflowPunct w:val="true"/>
        <w:rPr>
          <w:szCs w:val="27"/>
        </w:rPr>
      </w:pPr>
      <w:r>
        <w:rPr>
          <w:szCs w:val="27"/>
        </w:rPr>
        <w:t>(</w:t>
      </w:r>
      <w:r>
        <w:rPr>
          <w:szCs w:val="27"/>
        </w:rPr>
        <w:t>郭家麒議員站起來</w:t>
      </w:r>
      <w:r>
        <w:rPr>
          <w:szCs w:val="27"/>
        </w:rPr>
        <w:t>)</w:t>
      </w:r>
    </w:p>
    <w:p>
      <w:pPr>
        <w:pStyle w:val="F21"/>
        <w:overflowPunct w:val="true"/>
        <w:rPr>
          <w:szCs w:val="27"/>
        </w:rPr>
      </w:pPr>
      <w:r>
        <w:rPr>
          <w:szCs w:val="27"/>
        </w:rPr>
      </w:r>
    </w:p>
    <w:p>
      <w:pPr>
        <w:pStyle w:val="F21"/>
        <w:overflowPunct w:val="true"/>
        <w:rPr>
          <w:szCs w:val="27"/>
        </w:rPr>
      </w:pPr>
      <w:r>
        <w:rPr>
          <w:szCs w:val="27"/>
        </w:rPr>
      </w:r>
    </w:p>
    <w:p>
      <w:pPr>
        <w:pStyle w:val="F21"/>
        <w:overflowPunct w:val="true"/>
        <w:rPr>
          <w:szCs w:val="27"/>
        </w:rPr>
      </w:pPr>
      <w:r>
        <w:rPr>
          <w:rFonts w:ascii="華康中黑體" w:hAnsi="華康中黑體" w:eastAsia="華康中黑體"/>
          <w:b/>
          <w:szCs w:val="27"/>
        </w:rPr>
        <w:t>主席</w:t>
      </w:r>
      <w:r>
        <w:rPr>
          <w:szCs w:val="27"/>
        </w:rPr>
        <w:t>：局長，請稍停。郭家麒議員，你有甚麼規程問題？</w:t>
      </w:r>
    </w:p>
    <w:p>
      <w:pPr>
        <w:pStyle w:val="F21"/>
        <w:overflowPunct w:val="true"/>
        <w:rPr>
          <w:szCs w:val="27"/>
        </w:rPr>
      </w:pPr>
      <w:r>
        <w:rPr>
          <w:szCs w:val="27"/>
        </w:rPr>
      </w:r>
    </w:p>
    <w:p>
      <w:pPr>
        <w:pStyle w:val="F21"/>
        <w:overflowPunct w:val="true"/>
        <w:rPr>
          <w:szCs w:val="27"/>
        </w:rPr>
      </w:pPr>
      <w:r>
        <w:rPr>
          <w:szCs w:val="27"/>
        </w:rPr>
      </w:r>
    </w:p>
    <w:p>
      <w:pPr>
        <w:pStyle w:val="F21"/>
        <w:overflowPunct w:val="true"/>
        <w:rPr>
          <w:szCs w:val="27"/>
        </w:rPr>
      </w:pPr>
      <w:r>
        <w:rPr>
          <w:rFonts w:eastAsia="華康中黑體"/>
          <w:b/>
          <w:kern w:val="2"/>
          <w:szCs w:val="27"/>
        </w:rPr>
        <w:t>郭家麒議員</w:t>
      </w:r>
      <w:r>
        <w:rPr>
          <w:szCs w:val="27"/>
        </w:rPr>
        <w:t>：主席，我想局長澄清，他剛才的發言跟《基本法》第十‍一‍條</w:t>
      </w:r>
      <w:r>
        <w:rPr>
          <w:szCs w:val="27"/>
        </w:rPr>
        <w:t>......</w:t>
      </w:r>
    </w:p>
    <w:p>
      <w:pPr>
        <w:pStyle w:val="F21"/>
        <w:overflowPunct w:val="true"/>
        <w:rPr>
          <w:szCs w:val="27"/>
        </w:rPr>
      </w:pPr>
      <w:r>
        <w:rPr>
          <w:szCs w:val="27"/>
        </w:rPr>
      </w:r>
    </w:p>
    <w:p>
      <w:pPr>
        <w:pStyle w:val="F21"/>
        <w:overflowPunct w:val="true"/>
        <w:rPr>
          <w:szCs w:val="27"/>
        </w:rPr>
      </w:pPr>
      <w:r>
        <w:rPr>
          <w:szCs w:val="27"/>
        </w:rPr>
      </w:r>
    </w:p>
    <w:p>
      <w:pPr>
        <w:pStyle w:val="F21"/>
        <w:overflowPunct w:val="true"/>
        <w:rPr>
          <w:szCs w:val="27"/>
        </w:rPr>
      </w:pPr>
      <w:r>
        <w:rPr>
          <w:rFonts w:ascii="華康中黑體" w:hAnsi="華康中黑體" w:eastAsia="華康中黑體"/>
          <w:b/>
          <w:szCs w:val="27"/>
        </w:rPr>
        <w:t>主席</w:t>
      </w:r>
      <w:r>
        <w:rPr>
          <w:szCs w:val="27"/>
        </w:rPr>
        <w:t>：郭議員，我已說過，如果議員要求局長澄清，我會待局長發言完畢後一併處理。局長，請繼續。</w:t>
      </w:r>
    </w:p>
    <w:p>
      <w:pPr>
        <w:pStyle w:val="Normal"/>
        <w:widowControl/>
        <w:tabs>
          <w:tab w:val="clear" w:pos="720"/>
        </w:tabs>
        <w:snapToGrid w:val="true"/>
        <w:spacing w:lineRule="auto" w:line="276" w:before="0" w:after="200"/>
        <w:jc w:val="left"/>
        <w:rPr>
          <w:rFonts w:cs="" w:cstheme="minorBidi"/>
          <w:spacing w:val="20"/>
          <w:sz w:val="27"/>
          <w:szCs w:val="27"/>
          <w:lang w:val="en-US"/>
        </w:rPr>
      </w:pPr>
      <w:r>
        <w:rPr>
          <w:rFonts w:cs="" w:cstheme="minorBidi"/>
          <w:spacing w:val="20"/>
          <w:sz w:val="27"/>
          <w:szCs w:val="27"/>
          <w:lang w:val="en-US"/>
        </w:rPr>
      </w:r>
      <w:r>
        <w:br w:type="page"/>
      </w:r>
    </w:p>
    <w:p>
      <w:pPr>
        <w:pStyle w:val="F21"/>
        <w:overflowPunct w:val="true"/>
        <w:spacing w:lineRule="atLeast" w:line="350"/>
        <w:rPr>
          <w:szCs w:val="27"/>
        </w:rPr>
      </w:pPr>
      <w:r>
        <w:rPr>
          <w:rFonts w:eastAsia="華康中黑體"/>
          <w:b/>
          <w:kern w:val="2"/>
          <w:szCs w:val="27"/>
        </w:rPr>
        <w:t>保安局局長</w:t>
      </w:r>
      <w:r>
        <w:rPr>
          <w:szCs w:val="27"/>
        </w:rPr>
        <w:t>：主席，現時的</w:t>
      </w:r>
      <w:r>
        <w:rPr>
          <w:szCs w:val="27"/>
        </w:rPr>
        <w:t>46</w:t>
      </w:r>
      <w:r>
        <w:rPr>
          <w:szCs w:val="27"/>
        </w:rPr>
        <w:t>項罪類是香港和其他司法管轄區商討長期協定時的基礎。事實上，香港現時已簽訂的</w:t>
      </w:r>
      <w:r>
        <w:rPr>
          <w:szCs w:val="27"/>
        </w:rPr>
        <w:t>20</w:t>
      </w:r>
      <w:r>
        <w:rPr>
          <w:szCs w:val="27"/>
        </w:rPr>
        <w:t>份長期協定，其中很多都涵蓋少於全部</w:t>
      </w:r>
      <w:r>
        <w:rPr>
          <w:szCs w:val="27"/>
        </w:rPr>
        <w:t>46</w:t>
      </w:r>
      <w:r>
        <w:rPr>
          <w:szCs w:val="27"/>
        </w:rPr>
        <w:t>項罪類的，例如涵蓋</w:t>
      </w:r>
      <w:r>
        <w:rPr>
          <w:szCs w:val="27"/>
        </w:rPr>
        <w:t>20</w:t>
      </w:r>
      <w:r>
        <w:rPr>
          <w:szCs w:val="27"/>
        </w:rPr>
        <w:t>多項罪類的有</w:t>
      </w:r>
      <w:r>
        <w:rPr>
          <w:szCs w:val="27"/>
        </w:rPr>
        <w:t>4</w:t>
      </w:r>
      <w:r>
        <w:rPr>
          <w:szCs w:val="27"/>
        </w:rPr>
        <w:t>份，涵蓋</w:t>
      </w:r>
      <w:r>
        <w:rPr>
          <w:szCs w:val="27"/>
        </w:rPr>
        <w:t>30</w:t>
      </w:r>
      <w:r>
        <w:rPr>
          <w:szCs w:val="27"/>
        </w:rPr>
        <w:t>多項罪類的有</w:t>
      </w:r>
      <w:r>
        <w:rPr>
          <w:szCs w:val="27"/>
        </w:rPr>
        <w:t>7</w:t>
      </w:r>
      <w:r>
        <w:rPr>
          <w:szCs w:val="27"/>
        </w:rPr>
        <w:t>份。</w:t>
      </w:r>
    </w:p>
    <w:p>
      <w:pPr>
        <w:pStyle w:val="F21"/>
        <w:overflowPunct w:val="true"/>
        <w:spacing w:lineRule="atLeast" w:line="350"/>
        <w:rPr>
          <w:szCs w:val="27"/>
        </w:rPr>
      </w:pPr>
      <w:r>
        <w:rPr>
          <w:szCs w:val="27"/>
        </w:rPr>
      </w:r>
    </w:p>
    <w:p>
      <w:pPr>
        <w:pStyle w:val="F21"/>
        <w:overflowPunct w:val="true"/>
        <w:spacing w:lineRule="atLeast" w:line="350"/>
        <w:rPr>
          <w:szCs w:val="27"/>
        </w:rPr>
      </w:pPr>
      <w:r>
        <w:rPr>
          <w:szCs w:val="27"/>
        </w:rPr>
        <w:tab/>
      </w:r>
      <w:r>
        <w:rPr>
          <w:szCs w:val="27"/>
        </w:rPr>
        <w:t>在收到單一個案移交請求時，特區政府會全面和詳細去審理和考慮，有全權去決定處理或者不處理。政府過往亦曾因不同原因，包括不符合</w:t>
      </w:r>
      <w:r>
        <w:rPr>
          <w:szCs w:val="27"/>
        </w:rPr>
        <w:t>"</w:t>
      </w:r>
      <w:r>
        <w:rPr>
          <w:szCs w:val="27"/>
        </w:rPr>
        <w:t>雙重犯罪</w:t>
      </w:r>
      <w:r>
        <w:rPr>
          <w:szCs w:val="27"/>
        </w:rPr>
        <w:t>"</w:t>
      </w:r>
      <w:r>
        <w:rPr>
          <w:szCs w:val="27"/>
        </w:rPr>
        <w:t>原則、證據不足、或沒有簽訂長期協定等原因，拒絕請求，不啟動程序處理。《條例草案》建議，如特區政府決定處理某一個案的移交請求，行政長官會發出證明書以啟動程序。啟動程序並不表示逃犯一定會被移交，因為有關要求須經所有法定程序處理，包括由行政長官授權進行、法院進行交付的公開聆訊程序，以及最後</w:t>
      </w:r>
      <w:r>
        <w:rPr>
          <w:color w:val="000000"/>
        </w:rPr>
        <w:t>由行政長官發出移交令。所有個案移交的要求</w:t>
      </w:r>
      <w:r>
        <w:rPr>
          <w:szCs w:val="27"/>
        </w:rPr>
        <w:t>......</w:t>
      </w:r>
    </w:p>
    <w:p>
      <w:pPr>
        <w:pStyle w:val="F21"/>
        <w:overflowPunct w:val="true"/>
        <w:spacing w:lineRule="atLeast" w:line="350"/>
        <w:rPr>
          <w:szCs w:val="27"/>
        </w:rPr>
      </w:pPr>
      <w:r>
        <w:rPr>
          <w:szCs w:val="27"/>
        </w:rPr>
      </w:r>
    </w:p>
    <w:p>
      <w:pPr>
        <w:pStyle w:val="F21"/>
        <w:overflowPunct w:val="true"/>
        <w:spacing w:lineRule="atLeast" w:line="350"/>
        <w:rPr>
          <w:szCs w:val="27"/>
        </w:rPr>
      </w:pPr>
      <w:r>
        <w:rPr>
          <w:szCs w:val="27"/>
        </w:rPr>
        <w:t>(</w:t>
      </w:r>
      <w:r>
        <w:rPr>
          <w:szCs w:val="27"/>
        </w:rPr>
        <w:t>區諾軒議員站起來</w:t>
      </w:r>
      <w:r>
        <w:rPr>
          <w:szCs w:val="27"/>
        </w:rPr>
        <w:t>)</w:t>
      </w:r>
    </w:p>
    <w:p>
      <w:pPr>
        <w:pStyle w:val="F21"/>
        <w:overflowPunct w:val="true"/>
        <w:spacing w:lineRule="atLeast" w:line="350"/>
        <w:rPr>
          <w:szCs w:val="27"/>
        </w:rPr>
      </w:pPr>
      <w:r>
        <w:rPr>
          <w:szCs w:val="27"/>
        </w:rPr>
      </w:r>
    </w:p>
    <w:p>
      <w:pPr>
        <w:pStyle w:val="F21"/>
        <w:overflowPunct w:val="true"/>
        <w:spacing w:lineRule="atLeast" w:line="350"/>
        <w:rPr>
          <w:szCs w:val="27"/>
        </w:rPr>
      </w:pPr>
      <w:r>
        <w:rPr>
          <w:szCs w:val="27"/>
        </w:rPr>
      </w:r>
    </w:p>
    <w:p>
      <w:pPr>
        <w:pStyle w:val="F21"/>
        <w:overflowPunct w:val="true"/>
        <w:spacing w:lineRule="atLeast" w:line="350"/>
        <w:rPr>
          <w:szCs w:val="27"/>
        </w:rPr>
      </w:pPr>
      <w:r>
        <w:rPr>
          <w:rFonts w:ascii="華康中黑體" w:hAnsi="華康中黑體" w:eastAsia="華康中黑體"/>
          <w:b/>
          <w:szCs w:val="26"/>
        </w:rPr>
        <w:t>主席</w:t>
      </w:r>
      <w:r>
        <w:rPr>
          <w:szCs w:val="27"/>
        </w:rPr>
        <w:t>：局長，請稍停。區諾軒議員，你有甚麼規程問題？</w:t>
      </w:r>
    </w:p>
    <w:p>
      <w:pPr>
        <w:pStyle w:val="F21"/>
        <w:overflowPunct w:val="true"/>
        <w:spacing w:lineRule="atLeast" w:line="350"/>
        <w:rPr/>
      </w:pPr>
      <w:r>
        <w:rPr/>
      </w:r>
    </w:p>
    <w:p>
      <w:pPr>
        <w:pStyle w:val="F21"/>
        <w:overflowPunct w:val="true"/>
        <w:spacing w:lineRule="atLeast" w:line="350"/>
        <w:rPr/>
      </w:pPr>
      <w:r>
        <w:rPr/>
      </w:r>
    </w:p>
    <w:p>
      <w:pPr>
        <w:pStyle w:val="F21"/>
        <w:overflowPunct w:val="true"/>
        <w:spacing w:lineRule="atLeast" w:line="350"/>
        <w:rPr/>
      </w:pPr>
      <w:r>
        <w:rPr>
          <w:rFonts w:eastAsia="華康中黑體"/>
          <w:b/>
        </w:rPr>
        <w:t>區諾軒議員</w:t>
      </w:r>
      <w:r>
        <w:rPr/>
        <w:t>：主席，我想局長就行政長官發出證明書後的法律程序作出澄清。</w:t>
      </w:r>
    </w:p>
    <w:p>
      <w:pPr>
        <w:pStyle w:val="F21"/>
        <w:overflowPunct w:val="true"/>
        <w:spacing w:lineRule="atLeast" w:line="350"/>
        <w:rPr/>
      </w:pPr>
      <w:r>
        <w:rPr/>
      </w:r>
    </w:p>
    <w:p>
      <w:pPr>
        <w:pStyle w:val="F21"/>
        <w:overflowPunct w:val="true"/>
        <w:spacing w:lineRule="atLeast" w:line="350"/>
        <w:rPr/>
      </w:pPr>
      <w:r>
        <w:rPr/>
      </w:r>
    </w:p>
    <w:p>
      <w:pPr>
        <w:pStyle w:val="F21"/>
        <w:overflowPunct w:val="true"/>
        <w:spacing w:lineRule="atLeast" w:line="350"/>
        <w:rPr/>
      </w:pPr>
      <w:r>
        <w:rPr>
          <w:rFonts w:ascii="華康中黑體" w:hAnsi="華康中黑體" w:eastAsia="華康中黑體"/>
          <w:b/>
        </w:rPr>
        <w:t>主席</w:t>
      </w:r>
      <w:r>
        <w:rPr/>
        <w:t>：我剛才已指出，我會待局長發言完畢後一併處理議員的澄清要求。局長，請繼續。</w:t>
      </w:r>
    </w:p>
    <w:p>
      <w:pPr>
        <w:pStyle w:val="F21"/>
        <w:overflowPunct w:val="true"/>
        <w:spacing w:lineRule="atLeast" w:line="350"/>
        <w:rPr>
          <w:rFonts w:eastAsia="華康中黑體"/>
          <w:b/>
          <w:b/>
        </w:rPr>
      </w:pPr>
      <w:r>
        <w:rPr>
          <w:rFonts w:eastAsia="華康中黑體"/>
          <w:b/>
        </w:rPr>
      </w:r>
    </w:p>
    <w:p>
      <w:pPr>
        <w:pStyle w:val="F21"/>
        <w:overflowPunct w:val="true"/>
        <w:spacing w:lineRule="atLeast" w:line="350"/>
        <w:rPr>
          <w:rFonts w:eastAsia="華康中黑體"/>
          <w:b/>
          <w:b/>
        </w:rPr>
      </w:pPr>
      <w:r>
        <w:rPr>
          <w:rFonts w:eastAsia="華康中黑體"/>
          <w:b/>
        </w:rPr>
      </w:r>
    </w:p>
    <w:p>
      <w:pPr>
        <w:pStyle w:val="F21"/>
        <w:overflowPunct w:val="true"/>
        <w:spacing w:lineRule="atLeast" w:line="350"/>
        <w:rPr/>
      </w:pPr>
      <w:r>
        <w:rPr>
          <w:rFonts w:eastAsia="華康中黑體"/>
          <w:b/>
        </w:rPr>
        <w:t>保安局局長</w:t>
      </w:r>
      <w:r>
        <w:rPr/>
        <w:t>：主席，所有個案移交的要求會受到行政機關及法院的雙重把關</w:t>
      </w:r>
      <w:r>
        <w:rPr/>
        <w:t>......</w:t>
      </w:r>
    </w:p>
    <w:p>
      <w:pPr>
        <w:pStyle w:val="F21"/>
        <w:overflowPunct w:val="true"/>
        <w:spacing w:lineRule="atLeast" w:line="350"/>
        <w:rPr/>
      </w:pPr>
      <w:r>
        <w:rPr/>
      </w:r>
    </w:p>
    <w:p>
      <w:pPr>
        <w:pStyle w:val="F21"/>
        <w:overflowPunct w:val="true"/>
        <w:spacing w:lineRule="atLeast" w:line="350"/>
        <w:rPr/>
      </w:pPr>
      <w:r>
        <w:rPr/>
        <w:t>(</w:t>
      </w:r>
      <w:r>
        <w:rPr/>
        <w:t>鄺俊宇議員站起來</w:t>
      </w:r>
      <w:r>
        <w:rPr/>
        <w:t>)</w:t>
      </w:r>
    </w:p>
    <w:p>
      <w:pPr>
        <w:pStyle w:val="F21"/>
        <w:overflowPunct w:val="true"/>
        <w:spacing w:lineRule="atLeast" w:line="350"/>
        <w:rPr>
          <w:highlight w:val="lightGray"/>
        </w:rPr>
      </w:pPr>
      <w:r>
        <w:rPr>
          <w:highlight w:val="lightGray"/>
        </w:rPr>
      </w:r>
    </w:p>
    <w:p>
      <w:pPr>
        <w:pStyle w:val="F21"/>
        <w:overflowPunct w:val="true"/>
        <w:spacing w:lineRule="atLeast" w:line="350"/>
        <w:rPr>
          <w:highlight w:val="lightGray"/>
        </w:rPr>
      </w:pPr>
      <w:r>
        <w:rPr>
          <w:highlight w:val="lightGray"/>
        </w:rPr>
      </w:r>
    </w:p>
    <w:p>
      <w:pPr>
        <w:pStyle w:val="F21"/>
        <w:overflowPunct w:val="true"/>
        <w:spacing w:lineRule="atLeast" w:line="350"/>
        <w:rPr/>
      </w:pPr>
      <w:r>
        <w:rPr>
          <w:rFonts w:ascii="華康中黑體" w:hAnsi="華康中黑體" w:eastAsia="華康中黑體"/>
          <w:b/>
        </w:rPr>
        <w:t>主席</w:t>
      </w:r>
      <w:r>
        <w:rPr/>
        <w:t>：鄺俊宇議員，你有甚麼規程問題？</w:t>
      </w:r>
    </w:p>
    <w:p>
      <w:pPr>
        <w:pStyle w:val="F21"/>
        <w:overflowPunct w:val="true"/>
        <w:spacing w:lineRule="atLeast" w:line="350"/>
        <w:rPr>
          <w:highlight w:val="lightGray"/>
        </w:rPr>
      </w:pPr>
      <w:r>
        <w:rPr>
          <w:highlight w:val="lightGray"/>
        </w:rPr>
      </w:r>
    </w:p>
    <w:p>
      <w:pPr>
        <w:pStyle w:val="F21"/>
        <w:overflowPunct w:val="true"/>
        <w:spacing w:lineRule="atLeast" w:line="350"/>
        <w:rPr>
          <w:highlight w:val="lightGray"/>
        </w:rPr>
      </w:pPr>
      <w:r>
        <w:rPr>
          <w:highlight w:val="lightGray"/>
        </w:rPr>
      </w:r>
    </w:p>
    <w:p>
      <w:pPr>
        <w:pStyle w:val="F21"/>
        <w:overflowPunct w:val="true"/>
        <w:spacing w:lineRule="atLeast" w:line="350"/>
        <w:rPr/>
      </w:pPr>
      <w:r>
        <w:rPr>
          <w:rFonts w:eastAsia="華康中黑體"/>
          <w:b/>
          <w:szCs w:val="27"/>
        </w:rPr>
        <w:t>鄺俊宇議員</w:t>
      </w:r>
      <w:r>
        <w:rPr/>
        <w:t>：主席，規程問題。根據《議事規則》第</w:t>
      </w:r>
      <w:r>
        <w:rPr/>
        <w:t>39(a)</w:t>
      </w:r>
      <w:r>
        <w:rPr/>
        <w:t>條，</w:t>
      </w:r>
      <w:r>
        <w:rPr/>
        <w:t>"</w:t>
      </w:r>
      <w:r>
        <w:rPr/>
        <w:t>除非起立要求就規程問題發言；遇此情況，正在發言的議員須坐下，而打斷其發言的議員須指出其認為應注意的問題，並將該問題交由立法會主席或全體委員會主席決定</w:t>
      </w:r>
      <w:r>
        <w:rPr/>
        <w:t>"</w:t>
      </w:r>
      <w:r>
        <w:rPr/>
        <w:t>。換言之，主席現時應處理規程問題。如果待局長發言後才處理，那還是規程問題嗎？</w:t>
      </w:r>
    </w:p>
    <w:p>
      <w:pPr>
        <w:pStyle w:val="F21"/>
        <w:overflowPunct w:val="true"/>
        <w:spacing w:lineRule="atLeast" w:line="350"/>
        <w:rPr/>
      </w:pPr>
      <w:r>
        <w:rPr/>
      </w:r>
    </w:p>
    <w:p>
      <w:pPr>
        <w:pStyle w:val="F21"/>
        <w:overflowPunct w:val="true"/>
        <w:spacing w:lineRule="atLeast" w:line="350"/>
        <w:rPr/>
      </w:pPr>
      <w:r>
        <w:rPr/>
      </w:r>
    </w:p>
    <w:p>
      <w:pPr>
        <w:pStyle w:val="F21"/>
        <w:overflowPunct w:val="true"/>
        <w:spacing w:lineRule="atLeast" w:line="350"/>
        <w:rPr/>
      </w:pPr>
      <w:r>
        <w:rPr>
          <w:rFonts w:ascii="華康中黑體" w:hAnsi="華康中黑體" w:eastAsia="華康中黑體"/>
          <w:b/>
        </w:rPr>
        <w:t>主席</w:t>
      </w:r>
      <w:r>
        <w:rPr/>
        <w:t>：當局長作二讀發言時，不單立法會議員，公眾也想聽到局長完整的說法，因為大家都關注這項《條例草案》。多位議員多次要求局長澄清，而局長亦已表明不想在此作出澄清，認為在法案委員會解釋會較清楚。作出澄清與否，是局長的選擇。如大家有問題希望局長澄清，我認為應待局長發言完畢後才一併處理，而不應打斷局長的發言，因為公眾有知情權，希望知道局長的演辭的完整內容。</w:t>
      </w:r>
    </w:p>
    <w:p>
      <w:pPr>
        <w:pStyle w:val="F21"/>
        <w:overflowPunct w:val="true"/>
        <w:spacing w:lineRule="atLeast" w:line="350"/>
        <w:rPr>
          <w:highlight w:val="lightGray"/>
        </w:rPr>
      </w:pPr>
      <w:r>
        <w:rPr>
          <w:highlight w:val="lightGray"/>
        </w:rPr>
      </w:r>
    </w:p>
    <w:p>
      <w:pPr>
        <w:pStyle w:val="F21"/>
        <w:overflowPunct w:val="true"/>
        <w:spacing w:lineRule="atLeast" w:line="350"/>
        <w:rPr/>
      </w:pPr>
      <w:r>
        <w:rPr/>
        <w:t>(</w:t>
      </w:r>
      <w:r>
        <w:rPr/>
        <w:t>區諾軒議員站起來</w:t>
      </w:r>
      <w:r>
        <w:rPr/>
        <w:t>)</w:t>
      </w:r>
    </w:p>
    <w:p>
      <w:pPr>
        <w:pStyle w:val="F21"/>
        <w:overflowPunct w:val="true"/>
        <w:spacing w:lineRule="atLeast" w:line="350"/>
        <w:rPr>
          <w:highlight w:val="lightGray"/>
        </w:rPr>
      </w:pPr>
      <w:r>
        <w:rPr>
          <w:highlight w:val="lightGray"/>
        </w:rPr>
      </w:r>
    </w:p>
    <w:p>
      <w:pPr>
        <w:pStyle w:val="F21"/>
        <w:overflowPunct w:val="true"/>
        <w:spacing w:lineRule="atLeast" w:line="350"/>
        <w:rPr>
          <w:highlight w:val="lightGray"/>
        </w:rPr>
      </w:pPr>
      <w:r>
        <w:rPr>
          <w:highlight w:val="lightGray"/>
        </w:rPr>
      </w:r>
    </w:p>
    <w:p>
      <w:pPr>
        <w:pStyle w:val="F21"/>
        <w:overflowPunct w:val="true"/>
        <w:spacing w:lineRule="atLeast" w:line="350"/>
        <w:rPr/>
      </w:pPr>
      <w:r>
        <w:rPr>
          <w:rFonts w:ascii="華康中黑體" w:hAnsi="華康中黑體" w:eastAsia="華康中黑體"/>
          <w:b/>
        </w:rPr>
        <w:t>主席</w:t>
      </w:r>
      <w:r>
        <w:rPr/>
        <w:t>：區諾軒議員，你有甚麼問題？</w:t>
      </w:r>
    </w:p>
    <w:p>
      <w:pPr>
        <w:pStyle w:val="F21"/>
        <w:overflowPunct w:val="true"/>
        <w:spacing w:lineRule="atLeast" w:line="350"/>
        <w:rPr/>
      </w:pPr>
      <w:r>
        <w:rPr/>
      </w:r>
    </w:p>
    <w:p>
      <w:pPr>
        <w:pStyle w:val="F21"/>
        <w:overflowPunct w:val="true"/>
        <w:spacing w:lineRule="atLeast" w:line="350"/>
        <w:rPr>
          <w:rFonts w:eastAsia="華康中黑體"/>
          <w:b/>
          <w:b/>
        </w:rPr>
      </w:pPr>
      <w:r>
        <w:rPr>
          <w:rFonts w:eastAsia="華康中黑體"/>
          <w:b/>
        </w:rPr>
      </w:r>
    </w:p>
    <w:p>
      <w:pPr>
        <w:pStyle w:val="F21"/>
        <w:overflowPunct w:val="true"/>
        <w:spacing w:lineRule="atLeast" w:line="350"/>
        <w:rPr/>
      </w:pPr>
      <w:r>
        <w:rPr>
          <w:rFonts w:eastAsia="華康中黑體"/>
          <w:b/>
        </w:rPr>
        <w:t>區諾軒議員</w:t>
      </w:r>
      <w:r>
        <w:rPr/>
        <w:t>：主席，我希望你明白，局長剛才提及法律程序時沒有闡述相關詳情，我認為他有偷換概念之虞。須知道只要內地說有合理證據，香港法院就要</w:t>
      </w:r>
      <w:r>
        <w:rPr/>
        <w:t>......</w:t>
      </w:r>
    </w:p>
    <w:p>
      <w:pPr>
        <w:pStyle w:val="F21"/>
        <w:overflowPunct w:val="true"/>
        <w:spacing w:lineRule="atLeast" w:line="350"/>
        <w:rPr/>
      </w:pPr>
      <w:r>
        <w:rPr/>
      </w:r>
    </w:p>
    <w:p>
      <w:pPr>
        <w:pStyle w:val="F21"/>
        <w:overflowPunct w:val="true"/>
        <w:spacing w:lineRule="atLeast" w:line="350"/>
        <w:rPr/>
      </w:pPr>
      <w:r>
        <w:rPr/>
      </w:r>
    </w:p>
    <w:p>
      <w:pPr>
        <w:pStyle w:val="F21"/>
        <w:overflowPunct w:val="true"/>
        <w:spacing w:lineRule="atLeast" w:line="350"/>
        <w:rPr/>
      </w:pPr>
      <w:r>
        <w:rPr>
          <w:rFonts w:ascii="華康中黑體" w:hAnsi="華康中黑體" w:eastAsia="華康中黑體"/>
          <w:b/>
        </w:rPr>
        <w:t>主席</w:t>
      </w:r>
      <w:r>
        <w:rPr/>
        <w:t>：區議員，這並非要澄清的問題，請坐下。</w:t>
      </w:r>
    </w:p>
    <w:p>
      <w:pPr>
        <w:pStyle w:val="F21"/>
        <w:overflowPunct w:val="true"/>
        <w:spacing w:lineRule="atLeast" w:line="350"/>
        <w:rPr/>
      </w:pPr>
      <w:r>
        <w:rPr/>
      </w:r>
    </w:p>
    <w:p>
      <w:pPr>
        <w:pStyle w:val="F21"/>
        <w:overflowPunct w:val="true"/>
        <w:spacing w:lineRule="atLeast" w:line="350"/>
        <w:rPr/>
      </w:pPr>
      <w:r>
        <w:rPr/>
        <w:t>(</w:t>
      </w:r>
      <w:r>
        <w:rPr/>
        <w:t>謝偉俊議員站起來</w:t>
      </w:r>
      <w:r>
        <w:rPr/>
        <w:t>)</w:t>
      </w:r>
    </w:p>
    <w:p>
      <w:pPr>
        <w:pStyle w:val="F21"/>
        <w:overflowPunct w:val="true"/>
        <w:spacing w:lineRule="atLeast" w:line="350"/>
        <w:rPr/>
      </w:pPr>
      <w:r>
        <w:rPr/>
      </w:r>
    </w:p>
    <w:p>
      <w:pPr>
        <w:pStyle w:val="F21"/>
        <w:overflowPunct w:val="true"/>
        <w:spacing w:lineRule="atLeast" w:line="350"/>
        <w:rPr/>
      </w:pPr>
      <w:r>
        <w:rPr/>
      </w:r>
    </w:p>
    <w:p>
      <w:pPr>
        <w:pStyle w:val="F21"/>
        <w:overflowPunct w:val="true"/>
        <w:spacing w:lineRule="atLeast" w:line="350"/>
        <w:rPr/>
      </w:pPr>
      <w:r>
        <w:rPr>
          <w:rFonts w:ascii="華康中黑體" w:hAnsi="華康中黑體" w:eastAsia="華康中黑體"/>
          <w:b/>
        </w:rPr>
        <w:t>主席</w:t>
      </w:r>
      <w:r>
        <w:rPr/>
        <w:t>：謝偉俊議員，你有甚麼問題？</w:t>
      </w:r>
    </w:p>
    <w:p>
      <w:pPr>
        <w:pStyle w:val="F21"/>
        <w:overflowPunct w:val="true"/>
        <w:spacing w:lineRule="atLeast" w:line="350"/>
        <w:rPr>
          <w:rFonts w:eastAsia="華康中黑體"/>
          <w:b/>
          <w:b/>
          <w:szCs w:val="27"/>
        </w:rPr>
      </w:pPr>
      <w:r>
        <w:rPr>
          <w:rFonts w:eastAsia="華康中黑體"/>
          <w:b/>
          <w:szCs w:val="27"/>
        </w:rPr>
      </w:r>
    </w:p>
    <w:p>
      <w:pPr>
        <w:pStyle w:val="F21"/>
        <w:overflowPunct w:val="true"/>
        <w:spacing w:lineRule="atLeast" w:line="350"/>
        <w:rPr>
          <w:rFonts w:eastAsia="華康中黑體"/>
          <w:b/>
          <w:b/>
          <w:szCs w:val="27"/>
        </w:rPr>
      </w:pPr>
      <w:r>
        <w:rPr>
          <w:rFonts w:eastAsia="華康中黑體"/>
          <w:b/>
          <w:szCs w:val="27"/>
        </w:rPr>
      </w:r>
    </w:p>
    <w:p>
      <w:pPr>
        <w:pStyle w:val="F21"/>
        <w:overflowPunct w:val="true"/>
        <w:spacing w:lineRule="atLeast" w:line="350"/>
        <w:rPr/>
      </w:pPr>
      <w:r>
        <w:rPr>
          <w:rFonts w:eastAsia="華康中黑體"/>
          <w:b/>
          <w:szCs w:val="27"/>
        </w:rPr>
        <w:t>謝偉俊議員</w:t>
      </w:r>
      <w:r>
        <w:rPr/>
        <w:t>：主席，《議事規則》第</w:t>
      </w:r>
      <w:r>
        <w:rPr/>
        <w:t>39(b)</w:t>
      </w:r>
      <w:r>
        <w:rPr/>
        <w:t>條訂出插言的先決條件，是發言的議員</w:t>
      </w:r>
      <w:r>
        <w:rPr>
          <w:rFonts w:ascii="Symbol" w:hAnsi="Symbol" w:cs="Symbol" w:eastAsia="Symbol"/>
          <w:kern w:val="2"/>
          <w:szCs w:val="27"/>
        </w:rPr>
        <w:t></w:t>
      </w:r>
      <w:r>
        <w:rPr/>
        <w:t>包括官員</w:t>
      </w:r>
      <w:r>
        <w:rPr>
          <w:rFonts w:ascii="Symbol" w:hAnsi="Symbol" w:cs="Symbol" w:eastAsia="Symbol"/>
          <w:kern w:val="2"/>
          <w:szCs w:val="27"/>
        </w:rPr>
        <w:t></w:t>
      </w:r>
      <w:r>
        <w:rPr/>
        <w:t>願意</w:t>
      </w:r>
      <w:r>
        <w:rPr/>
        <w:t>"</w:t>
      </w:r>
      <w:r>
        <w:rPr/>
        <w:t>退讓</w:t>
      </w:r>
      <w:r>
        <w:rPr/>
        <w:t>"</w:t>
      </w:r>
      <w:r>
        <w:rPr/>
        <w:t>。為方便計，請局長確認，在他發言時是否願意退讓，給議員提出規程問題？如否，我相信議員提出規程問題，已違反了《議事規則》。</w:t>
      </w:r>
    </w:p>
    <w:p>
      <w:pPr>
        <w:pStyle w:val="F21"/>
        <w:overflowPunct w:val="true"/>
        <w:spacing w:lineRule="atLeast" w:line="350"/>
        <w:rPr/>
      </w:pPr>
      <w:r>
        <w:rPr/>
      </w:r>
    </w:p>
    <w:p>
      <w:pPr>
        <w:pStyle w:val="F21"/>
        <w:overflowPunct w:val="true"/>
        <w:spacing w:lineRule="atLeast" w:line="350"/>
        <w:rPr/>
      </w:pPr>
      <w:r>
        <w:rPr/>
      </w:r>
    </w:p>
    <w:p>
      <w:pPr>
        <w:pStyle w:val="F21"/>
        <w:overflowPunct w:val="true"/>
        <w:spacing w:lineRule="atLeast" w:line="350"/>
        <w:rPr/>
      </w:pPr>
      <w:r>
        <w:rPr>
          <w:rFonts w:ascii="華康中黑體" w:hAnsi="華康中黑體" w:eastAsia="華康中黑體"/>
          <w:b/>
        </w:rPr>
        <w:t>主席</w:t>
      </w:r>
      <w:r>
        <w:rPr/>
        <w:t>：局長，你是否願意？</w:t>
      </w:r>
    </w:p>
    <w:p>
      <w:pPr>
        <w:pStyle w:val="Normal"/>
        <w:widowControl/>
        <w:tabs>
          <w:tab w:val="clear" w:pos="720"/>
        </w:tabs>
        <w:snapToGrid w:val="true"/>
        <w:spacing w:lineRule="auto" w:line="276" w:before="0" w:after="200"/>
        <w:jc w:val="left"/>
        <w:rPr>
          <w:rFonts w:cs="" w:cstheme="minorBidi"/>
          <w:spacing w:val="20"/>
          <w:sz w:val="27"/>
          <w:szCs w:val="22"/>
          <w:lang w:val="en-US"/>
        </w:rPr>
      </w:pPr>
      <w:r>
        <w:rPr>
          <w:rFonts w:cs="" w:cstheme="minorBidi"/>
          <w:spacing w:val="20"/>
          <w:sz w:val="27"/>
          <w:szCs w:val="22"/>
          <w:lang w:val="en-US"/>
        </w:rPr>
      </w:r>
      <w:r>
        <w:br w:type="page"/>
      </w:r>
    </w:p>
    <w:p>
      <w:pPr>
        <w:pStyle w:val="F21"/>
        <w:overflowPunct w:val="true"/>
        <w:spacing w:lineRule="atLeast" w:line="350"/>
        <w:rPr/>
      </w:pPr>
      <w:r>
        <w:rPr>
          <w:rFonts w:ascii="華康中黑體" w:hAnsi="華康中黑體" w:eastAsia="華康中黑體"/>
          <w:b/>
        </w:rPr>
        <w:t>保安局局長</w:t>
      </w:r>
      <w:r>
        <w:rPr/>
        <w:t>：我不願意，我希望可以完成發言。多謝主席。</w:t>
      </w:r>
    </w:p>
    <w:p>
      <w:pPr>
        <w:pStyle w:val="F21"/>
        <w:overflowPunct w:val="true"/>
        <w:spacing w:lineRule="atLeast" w:line="350"/>
        <w:rPr/>
      </w:pPr>
      <w:r>
        <w:rPr/>
      </w:r>
    </w:p>
    <w:p>
      <w:pPr>
        <w:pStyle w:val="F21"/>
        <w:overflowPunct w:val="true"/>
        <w:spacing w:lineRule="atLeast" w:line="350"/>
        <w:rPr/>
      </w:pPr>
      <w:r>
        <w:rPr/>
      </w:r>
    </w:p>
    <w:p>
      <w:pPr>
        <w:pStyle w:val="F21"/>
        <w:overflowPunct w:val="true"/>
        <w:spacing w:lineRule="atLeast" w:line="350"/>
        <w:rPr/>
      </w:pPr>
      <w:r>
        <w:rPr>
          <w:rFonts w:ascii="華康中黑體" w:hAnsi="華康中黑體" w:eastAsia="華康中黑體"/>
          <w:b/>
        </w:rPr>
        <w:t>主席</w:t>
      </w:r>
      <w:r>
        <w:rPr/>
        <w:t>：局長，請繼續發言。</w:t>
      </w:r>
    </w:p>
    <w:p>
      <w:pPr>
        <w:pStyle w:val="F21"/>
        <w:overflowPunct w:val="true"/>
        <w:spacing w:lineRule="atLeast" w:line="350"/>
        <w:rPr/>
      </w:pPr>
      <w:r>
        <w:rPr/>
      </w:r>
    </w:p>
    <w:p>
      <w:pPr>
        <w:pStyle w:val="F21"/>
        <w:overflowPunct w:val="true"/>
        <w:spacing w:lineRule="atLeast" w:line="350"/>
        <w:rPr/>
      </w:pPr>
      <w:r>
        <w:rPr/>
      </w:r>
    </w:p>
    <w:p>
      <w:pPr>
        <w:pStyle w:val="F21"/>
        <w:overflowPunct w:val="true"/>
        <w:spacing w:lineRule="atLeast" w:line="350"/>
        <w:rPr/>
      </w:pPr>
      <w:r>
        <w:rPr>
          <w:rFonts w:eastAsia="華康中黑體"/>
          <w:b/>
        </w:rPr>
        <w:t>保安局局長</w:t>
      </w:r>
      <w:r>
        <w:rPr/>
        <w:t>：主席，現時《逃犯條例》下的人權和程序保障，例如必須符合</w:t>
      </w:r>
      <w:r>
        <w:rPr/>
        <w:t>"</w:t>
      </w:r>
      <w:r>
        <w:rPr/>
        <w:t>雙重犯罪</w:t>
      </w:r>
      <w:r>
        <w:rPr/>
        <w:t>"</w:t>
      </w:r>
      <w:r>
        <w:rPr/>
        <w:t>的原則、禁止政治目的的移交、死刑不移交、</w:t>
      </w:r>
      <w:r>
        <w:rPr/>
        <w:t>"</w:t>
      </w:r>
      <w:r>
        <w:rPr/>
        <w:t>一罪不能兩審</w:t>
      </w:r>
      <w:r>
        <w:rPr/>
        <w:t>"</w:t>
      </w:r>
      <w:r>
        <w:rPr/>
        <w:t>、不能移交至第三地方、可申請人身保護令、可就行政長官的決定提出司法覆核等，一律維持不變。</w:t>
      </w:r>
    </w:p>
    <w:p>
      <w:pPr>
        <w:pStyle w:val="F21"/>
        <w:overflowPunct w:val="true"/>
        <w:spacing w:lineRule="atLeast" w:line="350"/>
        <w:rPr/>
      </w:pPr>
      <w:r>
        <w:rPr/>
      </w:r>
    </w:p>
    <w:p>
      <w:pPr>
        <w:pStyle w:val="F21"/>
        <w:overflowPunct w:val="true"/>
        <w:spacing w:lineRule="atLeast" w:line="350"/>
        <w:rPr/>
      </w:pPr>
      <w:r>
        <w:rPr/>
        <w:tab/>
      </w:r>
      <w:r>
        <w:rPr/>
        <w:t>《條例草案》另一主要部分建議擴大《刑事事宜相互法律協助條例》的適用範圍，涵蓋至香港以外的任何一個司法管轄區，以及一旦香港與一個司法管轄區簽有長期協定時，請求只可根據長期協定行事。</w:t>
      </w:r>
    </w:p>
    <w:p>
      <w:pPr>
        <w:pStyle w:val="F21"/>
        <w:overflowPunct w:val="true"/>
        <w:spacing w:lineRule="atLeast" w:line="350"/>
        <w:rPr/>
      </w:pPr>
      <w:r>
        <w:rPr/>
      </w:r>
    </w:p>
    <w:p>
      <w:pPr>
        <w:pStyle w:val="F21"/>
        <w:overflowPunct w:val="true"/>
        <w:spacing w:lineRule="atLeast" w:line="350"/>
        <w:rPr/>
      </w:pPr>
      <w:r>
        <w:rPr/>
        <w:tab/>
      </w:r>
      <w:r>
        <w:rPr/>
        <w:t>我希望議員支持《條例草案》，使我們有法律依據，與台灣落實以個案形式處理與台灣殺人案有關的刑事司法協助及移送疑犯，以及改善香港的刑事協作制度。</w:t>
      </w:r>
    </w:p>
    <w:p>
      <w:pPr>
        <w:pStyle w:val="F21"/>
        <w:overflowPunct w:val="true"/>
        <w:spacing w:lineRule="atLeast" w:line="350"/>
        <w:rPr/>
      </w:pPr>
      <w:r>
        <w:rPr/>
      </w:r>
    </w:p>
    <w:p>
      <w:pPr>
        <w:pStyle w:val="F21"/>
        <w:overflowPunct w:val="true"/>
        <w:spacing w:lineRule="atLeast" w:line="350"/>
        <w:rPr/>
      </w:pPr>
      <w:r>
        <w:rPr/>
        <w:tab/>
      </w:r>
      <w:r>
        <w:rPr/>
        <w:t>主席，我謹此陳辭。</w:t>
      </w:r>
    </w:p>
    <w:p>
      <w:pPr>
        <w:pStyle w:val="F21"/>
        <w:overflowPunct w:val="true"/>
        <w:spacing w:lineRule="atLeast" w:line="350"/>
        <w:rPr/>
      </w:pPr>
      <w:r>
        <w:rPr/>
      </w:r>
    </w:p>
    <w:p>
      <w:pPr>
        <w:pStyle w:val="F21"/>
        <w:overflowPunct w:val="true"/>
        <w:spacing w:lineRule="atLeast" w:line="350"/>
        <w:rPr/>
      </w:pPr>
      <w:r>
        <w:rPr/>
        <w:t>(</w:t>
      </w:r>
      <w:r>
        <w:rPr/>
        <w:t>鄺俊宇議員站起來</w:t>
      </w:r>
      <w:r>
        <w:rPr/>
        <w:t>)</w:t>
      </w:r>
    </w:p>
    <w:p>
      <w:pPr>
        <w:pStyle w:val="F21"/>
        <w:overflowPunct w:val="true"/>
        <w:spacing w:lineRule="atLeast" w:line="350"/>
        <w:rPr/>
      </w:pPr>
      <w:r>
        <w:rPr/>
      </w:r>
    </w:p>
    <w:p>
      <w:pPr>
        <w:pStyle w:val="F21"/>
        <w:overflowPunct w:val="true"/>
        <w:spacing w:lineRule="atLeast" w:line="350"/>
        <w:rPr/>
      </w:pPr>
      <w:r>
        <w:rPr/>
      </w:r>
    </w:p>
    <w:p>
      <w:pPr>
        <w:pStyle w:val="F21"/>
        <w:overflowPunct w:val="true"/>
        <w:spacing w:lineRule="atLeast" w:line="350"/>
        <w:rPr/>
      </w:pPr>
      <w:r>
        <w:rPr>
          <w:rFonts w:ascii="華康中黑體" w:hAnsi="華康中黑體" w:eastAsia="華康中黑體"/>
          <w:b/>
        </w:rPr>
        <w:t>主席</w:t>
      </w:r>
      <w:r>
        <w:rPr/>
        <w:t>：區諾軒議員</w:t>
      </w:r>
      <w:r>
        <w:rPr/>
        <w:t>......</w:t>
      </w:r>
      <w:r>
        <w:rPr/>
        <w:t>鄺俊宇議員，你有甚麼規程問題？</w:t>
      </w:r>
    </w:p>
    <w:p>
      <w:pPr>
        <w:pStyle w:val="F21"/>
        <w:overflowPunct w:val="true"/>
        <w:spacing w:lineRule="atLeast" w:line="350"/>
        <w:rPr/>
      </w:pPr>
      <w:r>
        <w:rPr/>
      </w:r>
    </w:p>
    <w:p>
      <w:pPr>
        <w:pStyle w:val="F21"/>
        <w:overflowPunct w:val="true"/>
        <w:spacing w:lineRule="atLeast" w:line="350"/>
        <w:rPr/>
      </w:pPr>
      <w:r>
        <w:rPr/>
      </w:r>
    </w:p>
    <w:p>
      <w:pPr>
        <w:pStyle w:val="F21"/>
        <w:overflowPunct w:val="true"/>
        <w:spacing w:lineRule="atLeast" w:line="350"/>
        <w:rPr/>
      </w:pPr>
      <w:r>
        <w:rPr>
          <w:rFonts w:ascii="華康中黑體" w:hAnsi="華康中黑體" w:eastAsia="華康中黑體"/>
          <w:b/>
        </w:rPr>
        <w:t>鄺俊宇議員</w:t>
      </w:r>
      <w:r>
        <w:rPr/>
        <w:t>：主席，我是鄺俊宇議員。</w:t>
      </w:r>
    </w:p>
    <w:p>
      <w:pPr>
        <w:pStyle w:val="F21"/>
        <w:overflowPunct w:val="true"/>
        <w:spacing w:lineRule="atLeast" w:line="350"/>
        <w:rPr/>
      </w:pPr>
      <w:r>
        <w:rPr/>
      </w:r>
    </w:p>
    <w:p>
      <w:pPr>
        <w:pStyle w:val="F21"/>
        <w:overflowPunct w:val="true"/>
        <w:spacing w:lineRule="atLeast" w:line="350"/>
        <w:rPr/>
      </w:pPr>
      <w:r>
        <w:rPr/>
      </w:r>
    </w:p>
    <w:p>
      <w:pPr>
        <w:pStyle w:val="F21"/>
        <w:overflowPunct w:val="true"/>
        <w:spacing w:lineRule="atLeast" w:line="350"/>
        <w:rPr/>
      </w:pPr>
      <w:r>
        <w:rPr>
          <w:rFonts w:ascii="華康中黑體" w:hAnsi="華康中黑體" w:eastAsia="華康中黑體"/>
          <w:b/>
        </w:rPr>
        <w:t>主席</w:t>
      </w:r>
      <w:r>
        <w:rPr/>
        <w:t>：鄺俊宇議員，請提出你的規程問題。</w:t>
      </w:r>
    </w:p>
    <w:p>
      <w:pPr>
        <w:pStyle w:val="F21"/>
        <w:overflowPunct w:val="true"/>
        <w:spacing w:lineRule="atLeast" w:line="350"/>
        <w:rPr/>
      </w:pPr>
      <w:r>
        <w:rPr/>
      </w:r>
    </w:p>
    <w:p>
      <w:pPr>
        <w:pStyle w:val="F21"/>
        <w:overflowPunct w:val="true"/>
        <w:spacing w:lineRule="atLeast" w:line="350"/>
        <w:rPr/>
      </w:pPr>
      <w:r>
        <w:rPr/>
      </w:r>
    </w:p>
    <w:p>
      <w:pPr>
        <w:pStyle w:val="F21"/>
        <w:rPr>
          <w:szCs w:val="27"/>
        </w:rPr>
      </w:pPr>
      <w:r>
        <w:rPr>
          <w:rFonts w:ascii="華康中黑體" w:hAnsi="華康中黑體" w:cs="華康中黑體" w:eastAsia="華康中黑體"/>
          <w:b/>
          <w:szCs w:val="27"/>
        </w:rPr>
        <w:t>鄺俊宇議員</w:t>
      </w:r>
      <w:r>
        <w:rPr>
          <w:szCs w:val="27"/>
        </w:rPr>
        <w:t>：主席，《議事規則》第</w:t>
      </w:r>
      <w:r>
        <w:rPr>
          <w:szCs w:val="27"/>
        </w:rPr>
        <w:t>39(a)</w:t>
      </w:r>
      <w:r>
        <w:rPr>
          <w:szCs w:val="27"/>
        </w:rPr>
        <w:t>條訂明，</w:t>
      </w:r>
      <w:r>
        <w:rPr>
          <w:szCs w:val="27"/>
        </w:rPr>
        <w:t>"</w:t>
      </w:r>
      <w:r>
        <w:rPr>
          <w:szCs w:val="27"/>
        </w:rPr>
        <w:t>打斷其發言的議員須指出其認為應注意的問題</w:t>
      </w:r>
      <w:r>
        <w:rPr>
          <w:szCs w:val="27"/>
        </w:rPr>
        <w:t>"</w:t>
      </w:r>
      <w:r>
        <w:rPr>
          <w:szCs w:val="27"/>
        </w:rPr>
        <w:t>。我們提出規程問題後，你可以決定不處理，但你要先讓我們提出。當議員起立要求就規程問題發言時，你要讓議員提出規程問題。主席，你沒有權否決議員打斷別人發言的權利。現在我們打斷局長的發言，提出規程問題。我們提出規程問題後，你有權裁決我們提出的並非規程問題，要求我們坐下，但另一位議員應可繼續提出規程問題。</w:t>
      </w:r>
    </w:p>
    <w:p>
      <w:pPr>
        <w:pStyle w:val="F21"/>
        <w:spacing w:lineRule="atLeast" w:line="330"/>
        <w:rPr>
          <w:szCs w:val="27"/>
        </w:rPr>
      </w:pPr>
      <w:r>
        <w:rPr>
          <w:szCs w:val="27"/>
        </w:rPr>
      </w:r>
    </w:p>
    <w:p>
      <w:pPr>
        <w:pStyle w:val="F21"/>
        <w:spacing w:lineRule="atLeast" w:line="330"/>
        <w:rPr>
          <w:szCs w:val="27"/>
        </w:rPr>
      </w:pPr>
      <w:r>
        <w:rPr>
          <w:szCs w:val="27"/>
        </w:rPr>
        <w:tab/>
      </w:r>
      <w:r>
        <w:rPr>
          <w:szCs w:val="27"/>
        </w:rPr>
        <w:t>我現在根據《議事規則》第</w:t>
      </w:r>
      <w:r>
        <w:rPr>
          <w:szCs w:val="27"/>
        </w:rPr>
        <w:t>39(b)</w:t>
      </w:r>
      <w:r>
        <w:rPr>
          <w:szCs w:val="27"/>
        </w:rPr>
        <w:t>條提問，局長的發言與《基本法》第二十七條</w:t>
      </w:r>
      <w:r>
        <w:rPr>
          <w:szCs w:val="27"/>
        </w:rPr>
        <w:t>"</w:t>
      </w:r>
      <w:r>
        <w:rPr>
          <w:szCs w:val="27"/>
        </w:rPr>
        <w:t>香港居民享有言論、新聞、出版的自由，結社、集會、遊行、示威的自由，組織和參加工會、罷工的權利和自由</w:t>
      </w:r>
      <w:r>
        <w:rPr>
          <w:szCs w:val="27"/>
        </w:rPr>
        <w:t>"</w:t>
      </w:r>
      <w:r>
        <w:rPr>
          <w:szCs w:val="27"/>
        </w:rPr>
        <w:t>有否抵觸？請局長作出澄清。</w:t>
      </w:r>
    </w:p>
    <w:p>
      <w:pPr>
        <w:pStyle w:val="F21"/>
        <w:spacing w:lineRule="atLeast" w:line="330"/>
        <w:rPr>
          <w:szCs w:val="27"/>
        </w:rPr>
      </w:pPr>
      <w:r>
        <w:rPr>
          <w:szCs w:val="27"/>
        </w:rPr>
      </w:r>
    </w:p>
    <w:p>
      <w:pPr>
        <w:pStyle w:val="F21"/>
        <w:spacing w:lineRule="atLeast" w:line="330"/>
        <w:rPr>
          <w:szCs w:val="27"/>
        </w:rPr>
      </w:pPr>
      <w:r>
        <w:rPr>
          <w:szCs w:val="27"/>
        </w:rPr>
      </w:r>
    </w:p>
    <w:p>
      <w:pPr>
        <w:pStyle w:val="F21"/>
        <w:spacing w:lineRule="atLeast" w:line="330"/>
        <w:rPr>
          <w:szCs w:val="27"/>
        </w:rPr>
      </w:pPr>
      <w:r>
        <w:rPr>
          <w:rFonts w:ascii="華康中黑體" w:hAnsi="華康中黑體" w:cs="華康中黑體" w:eastAsia="華康中黑體"/>
          <w:b/>
          <w:szCs w:val="27"/>
        </w:rPr>
        <w:t>主席</w:t>
      </w:r>
      <w:r>
        <w:rPr>
          <w:szCs w:val="27"/>
        </w:rPr>
        <w:t>：局長，你會否澄清？</w:t>
      </w:r>
    </w:p>
    <w:p>
      <w:pPr>
        <w:pStyle w:val="F21"/>
        <w:spacing w:lineRule="atLeast" w:line="330"/>
        <w:rPr>
          <w:szCs w:val="27"/>
        </w:rPr>
      </w:pPr>
      <w:r>
        <w:rPr>
          <w:szCs w:val="27"/>
        </w:rPr>
      </w:r>
    </w:p>
    <w:p>
      <w:pPr>
        <w:pStyle w:val="F21"/>
        <w:spacing w:lineRule="atLeast" w:line="330"/>
        <w:rPr>
          <w:szCs w:val="27"/>
        </w:rPr>
      </w:pPr>
      <w:r>
        <w:rPr>
          <w:szCs w:val="27"/>
        </w:rPr>
      </w:r>
    </w:p>
    <w:p>
      <w:pPr>
        <w:pStyle w:val="F21"/>
        <w:spacing w:lineRule="atLeast" w:line="330"/>
        <w:rPr>
          <w:szCs w:val="27"/>
        </w:rPr>
      </w:pPr>
      <w:r>
        <w:rPr>
          <w:rFonts w:ascii="華康中黑體" w:hAnsi="華康中黑體" w:cs="華康中黑體" w:eastAsia="華康中黑體"/>
          <w:b/>
          <w:szCs w:val="27"/>
        </w:rPr>
        <w:t>保安局局長</w:t>
      </w:r>
      <w:r>
        <w:rPr>
          <w:szCs w:val="27"/>
        </w:rPr>
        <w:t>：主席，我已多次解釋，政府會在法案委員會討論《條例草案》時，解答各位議員的問題。</w:t>
      </w:r>
    </w:p>
    <w:p>
      <w:pPr>
        <w:pStyle w:val="F21"/>
        <w:spacing w:lineRule="atLeast" w:line="330"/>
        <w:rPr>
          <w:szCs w:val="27"/>
        </w:rPr>
      </w:pPr>
      <w:r>
        <w:rPr>
          <w:szCs w:val="27"/>
        </w:rPr>
      </w:r>
    </w:p>
    <w:p>
      <w:pPr>
        <w:pStyle w:val="F21"/>
        <w:spacing w:lineRule="atLeast" w:line="330"/>
        <w:rPr>
          <w:szCs w:val="27"/>
        </w:rPr>
      </w:pPr>
      <w:r>
        <w:rPr>
          <w:szCs w:val="27"/>
        </w:rPr>
        <w:t>(</w:t>
      </w:r>
      <w:r>
        <w:rPr>
          <w:szCs w:val="27"/>
        </w:rPr>
        <w:t>區諾軒議員站起來</w:t>
      </w:r>
      <w:r>
        <w:rPr>
          <w:szCs w:val="27"/>
        </w:rPr>
        <w:t>)</w:t>
      </w:r>
    </w:p>
    <w:p>
      <w:pPr>
        <w:pStyle w:val="F21"/>
        <w:spacing w:lineRule="atLeast" w:line="330"/>
        <w:rPr>
          <w:szCs w:val="27"/>
        </w:rPr>
      </w:pPr>
      <w:r>
        <w:rPr>
          <w:szCs w:val="27"/>
        </w:rPr>
      </w:r>
    </w:p>
    <w:p>
      <w:pPr>
        <w:pStyle w:val="F21"/>
        <w:spacing w:lineRule="atLeast" w:line="330"/>
        <w:rPr>
          <w:szCs w:val="27"/>
        </w:rPr>
      </w:pPr>
      <w:r>
        <w:rPr>
          <w:szCs w:val="27"/>
        </w:rPr>
      </w:r>
    </w:p>
    <w:p>
      <w:pPr>
        <w:pStyle w:val="F21"/>
        <w:spacing w:lineRule="atLeast" w:line="330"/>
        <w:rPr>
          <w:szCs w:val="27"/>
        </w:rPr>
      </w:pPr>
      <w:r>
        <w:rPr>
          <w:rFonts w:ascii="華康中黑體" w:hAnsi="華康中黑體" w:eastAsia="華康中黑體"/>
          <w:b/>
          <w:szCs w:val="27"/>
        </w:rPr>
        <w:t>主席</w:t>
      </w:r>
      <w:r>
        <w:rPr>
          <w:szCs w:val="27"/>
        </w:rPr>
        <w:t>：區諾軒議員，你有甚麼問題？</w:t>
      </w:r>
    </w:p>
    <w:p>
      <w:pPr>
        <w:pStyle w:val="F21"/>
        <w:spacing w:lineRule="atLeast" w:line="330"/>
        <w:rPr>
          <w:szCs w:val="27"/>
        </w:rPr>
      </w:pPr>
      <w:r>
        <w:rPr>
          <w:szCs w:val="27"/>
        </w:rPr>
      </w:r>
    </w:p>
    <w:p>
      <w:pPr>
        <w:pStyle w:val="F21"/>
        <w:spacing w:lineRule="atLeast" w:line="330"/>
        <w:rPr>
          <w:szCs w:val="27"/>
        </w:rPr>
      </w:pPr>
      <w:r>
        <w:rPr>
          <w:szCs w:val="27"/>
        </w:rPr>
      </w:r>
    </w:p>
    <w:p>
      <w:pPr>
        <w:pStyle w:val="F21"/>
        <w:spacing w:lineRule="atLeast" w:line="330"/>
        <w:rPr>
          <w:szCs w:val="27"/>
        </w:rPr>
      </w:pPr>
      <w:r>
        <w:rPr>
          <w:rFonts w:ascii="華康中黑體" w:hAnsi="華康中黑體" w:cs="華康中黑體" w:eastAsia="華康中黑體"/>
          <w:b/>
          <w:szCs w:val="27"/>
        </w:rPr>
        <w:t>區諾軒議員</w:t>
      </w:r>
      <w:r>
        <w:rPr>
          <w:szCs w:val="27"/>
        </w:rPr>
        <w:t>：主席，現在局長已經發言完畢，是時候就我們剛才提出的質疑作出澄清。剛才他說行政長官會發出證明書以啟動法律程序，我想他澄清究竟是甚麼法律程序。現時很多人擔心，只要中國大陸裁定表證成立，本地法院便必須批准移交，最後決定權在行政長官手上，到頭來本地法院不能把關。</w:t>
      </w:r>
    </w:p>
    <w:p>
      <w:pPr>
        <w:pStyle w:val="F21"/>
        <w:spacing w:lineRule="atLeast" w:line="330"/>
        <w:rPr>
          <w:szCs w:val="27"/>
        </w:rPr>
      </w:pPr>
      <w:r>
        <w:rPr>
          <w:szCs w:val="27"/>
        </w:rPr>
      </w:r>
    </w:p>
    <w:p>
      <w:pPr>
        <w:pStyle w:val="F21"/>
        <w:spacing w:lineRule="atLeast" w:line="330"/>
        <w:rPr>
          <w:szCs w:val="27"/>
        </w:rPr>
      </w:pPr>
      <w:r>
        <w:rPr>
          <w:szCs w:val="27"/>
        </w:rPr>
      </w:r>
    </w:p>
    <w:p>
      <w:pPr>
        <w:pStyle w:val="F21"/>
        <w:spacing w:lineRule="atLeast" w:line="330"/>
        <w:rPr>
          <w:szCs w:val="27"/>
        </w:rPr>
      </w:pPr>
      <w:r>
        <w:rPr>
          <w:rFonts w:ascii="華康中黑體" w:hAnsi="華康中黑體" w:cs="華康中黑體" w:eastAsia="華康中黑體"/>
          <w:b/>
          <w:szCs w:val="27"/>
        </w:rPr>
        <w:t>主席</w:t>
      </w:r>
      <w:r>
        <w:rPr>
          <w:szCs w:val="27"/>
        </w:rPr>
        <w:t>：局長，你會否澄清？</w:t>
      </w:r>
    </w:p>
    <w:p>
      <w:pPr>
        <w:pStyle w:val="F21"/>
        <w:spacing w:lineRule="atLeast" w:line="330"/>
        <w:rPr>
          <w:szCs w:val="27"/>
        </w:rPr>
      </w:pPr>
      <w:r>
        <w:rPr>
          <w:szCs w:val="27"/>
        </w:rPr>
      </w:r>
    </w:p>
    <w:p>
      <w:pPr>
        <w:pStyle w:val="F21"/>
        <w:spacing w:lineRule="atLeast" w:line="330"/>
        <w:rPr>
          <w:szCs w:val="27"/>
        </w:rPr>
      </w:pPr>
      <w:r>
        <w:rPr>
          <w:szCs w:val="27"/>
        </w:rPr>
      </w:r>
    </w:p>
    <w:p>
      <w:pPr>
        <w:pStyle w:val="F21"/>
        <w:spacing w:lineRule="atLeast" w:line="330"/>
        <w:rPr>
          <w:szCs w:val="27"/>
        </w:rPr>
      </w:pPr>
      <w:r>
        <w:rPr>
          <w:rFonts w:ascii="華康中黑體" w:hAnsi="華康中黑體" w:cs="華康中黑體" w:eastAsia="華康中黑體"/>
          <w:b/>
          <w:szCs w:val="27"/>
        </w:rPr>
        <w:t>保安局局長</w:t>
      </w:r>
      <w:r>
        <w:rPr>
          <w:szCs w:val="27"/>
        </w:rPr>
        <w:t>：主席，政府、保安局和我的同事會在法案委員會討論《條例草案》時，解答各位議員的問題。</w:t>
      </w:r>
    </w:p>
    <w:p>
      <w:pPr>
        <w:pStyle w:val="F21"/>
        <w:spacing w:lineRule="atLeast" w:line="330"/>
        <w:rPr>
          <w:szCs w:val="27"/>
        </w:rPr>
      </w:pPr>
      <w:r>
        <w:rPr>
          <w:szCs w:val="27"/>
        </w:rPr>
      </w:r>
    </w:p>
    <w:p>
      <w:pPr>
        <w:pStyle w:val="F21"/>
        <w:spacing w:lineRule="atLeast" w:line="330"/>
        <w:rPr>
          <w:szCs w:val="27"/>
        </w:rPr>
      </w:pPr>
      <w:r>
        <w:rPr>
          <w:szCs w:val="27"/>
        </w:rPr>
      </w:r>
    </w:p>
    <w:p>
      <w:pPr>
        <w:pStyle w:val="F21"/>
        <w:overflowPunct w:val="true"/>
        <w:spacing w:lineRule="atLeast" w:line="330"/>
        <w:rPr>
          <w:rFonts w:cs="Times New Roman"/>
        </w:rPr>
      </w:pPr>
      <w:r>
        <w:rPr>
          <w:rFonts w:cs="Times New Roman" w:eastAsia="華康中黑體"/>
          <w:b/>
        </w:rPr>
        <w:t>主席</w:t>
      </w:r>
      <w:r>
        <w:rPr>
          <w:rFonts w:cs="Times New Roman"/>
        </w:rPr>
        <w:t>：我現在向各位提出的待議議題是：《</w:t>
      </w:r>
      <w:r>
        <w:rPr>
          <w:rFonts w:cs="Times New Roman"/>
        </w:rPr>
        <w:t>2019</w:t>
      </w:r>
      <w:r>
        <w:rPr>
          <w:rFonts w:cs="Times New Roman"/>
        </w:rPr>
        <w:t>年逃犯及刑事事宜相互法律協助法例</w:t>
      </w:r>
      <w:r>
        <w:rPr>
          <w:rFonts w:cs="Times New Roman"/>
        </w:rPr>
        <w:t>(</w:t>
      </w:r>
      <w:r>
        <w:rPr>
          <w:rFonts w:cs="Times New Roman"/>
        </w:rPr>
        <w:t>修訂</w:t>
      </w:r>
      <w:r>
        <w:rPr>
          <w:rFonts w:cs="Times New Roman"/>
        </w:rPr>
        <w:t>)</w:t>
      </w:r>
      <w:r>
        <w:rPr>
          <w:rFonts w:cs="Times New Roman"/>
        </w:rPr>
        <w:t>條例草案》，予以二讀。</w:t>
      </w:r>
    </w:p>
    <w:p>
      <w:pPr>
        <w:pStyle w:val="F21"/>
        <w:overflowPunct w:val="true"/>
        <w:spacing w:lineRule="atLeast" w:line="330"/>
        <w:rPr>
          <w:rFonts w:cs="Times New Roman"/>
        </w:rPr>
      </w:pPr>
      <w:r>
        <w:rPr>
          <w:rFonts w:cs="Times New Roman"/>
        </w:rPr>
      </w:r>
    </w:p>
    <w:p>
      <w:pPr>
        <w:pStyle w:val="F21"/>
        <w:overflowPunct w:val="true"/>
        <w:spacing w:lineRule="atLeast" w:line="330"/>
        <w:rPr>
          <w:rFonts w:cs="Times New Roman"/>
        </w:rPr>
      </w:pPr>
      <w:r>
        <w:rPr>
          <w:rFonts w:cs="Times New Roman"/>
        </w:rPr>
        <w:tab/>
      </w:r>
      <w:r>
        <w:rPr>
          <w:rFonts w:cs="Times New Roman"/>
        </w:rPr>
        <w:t>按照《議事規則》，二讀辯論中止待續，條例草案交由內務委員會處理。</w:t>
      </w:r>
      <w:r>
        <w:br w:type="page"/>
      </w:r>
    </w:p>
    <w:p>
      <w:pPr>
        <w:pStyle w:val="F21"/>
        <w:overflowPunct w:val="true"/>
        <w:spacing w:lineRule="atLeast" w:line="376"/>
        <w:rPr>
          <w:rFonts w:eastAsia="華康中黑體" w:cs="Times New Roman"/>
          <w:b/>
          <w:b/>
          <w:sz w:val="28"/>
          <w:szCs w:val="28"/>
        </w:rPr>
      </w:pPr>
      <w:bookmarkStart w:id="68" w:name="mot"/>
      <w:r>
        <w:rPr>
          <w:rFonts w:cs="Times New Roman" w:eastAsia="華康中黑體"/>
          <w:b/>
          <w:sz w:val="28"/>
          <w:szCs w:val="28"/>
        </w:rPr>
        <w:t>政府議案</w:t>
      </w:r>
    </w:p>
    <w:p>
      <w:pPr>
        <w:pStyle w:val="Normal"/>
        <w:overflowPunct w:val="true"/>
        <w:spacing w:lineRule="atLeast" w:line="376"/>
        <w:rPr>
          <w:rFonts w:eastAsia="華康中黑體"/>
          <w:b/>
          <w:b/>
          <w:spacing w:val="20"/>
          <w:sz w:val="27"/>
          <w:szCs w:val="22"/>
          <w:lang w:val="en-US"/>
        </w:rPr>
      </w:pPr>
      <w:r>
        <w:rPr>
          <w:b/>
          <w:lang w:val="en-US"/>
        </w:rPr>
        <w:t>GOVERNMENT</w:t>
      </w:r>
      <w:r>
        <w:rPr>
          <w:b/>
        </w:rPr>
        <w:t xml:space="preserve"> MOTIONS</w:t>
      </w:r>
      <w:bookmarkEnd w:id="68"/>
    </w:p>
    <w:p>
      <w:pPr>
        <w:pStyle w:val="F21"/>
        <w:overflowPunct w:val="true"/>
        <w:spacing w:lineRule="atLeast" w:line="376"/>
        <w:rPr>
          <w:rFonts w:cs="Times New Roman"/>
        </w:rPr>
      </w:pPr>
      <w:r>
        <w:rPr>
          <w:rFonts w:cs="Times New Roman"/>
        </w:rPr>
      </w:r>
    </w:p>
    <w:p>
      <w:pPr>
        <w:pStyle w:val="F21"/>
        <w:overflowPunct w:val="true"/>
        <w:spacing w:lineRule="atLeast" w:line="376"/>
        <w:rPr>
          <w:rFonts w:cs="Times New Roman"/>
        </w:rPr>
      </w:pPr>
      <w:r>
        <w:rPr>
          <w:rFonts w:cs="Times New Roman" w:eastAsia="華康中黑體"/>
          <w:b/>
        </w:rPr>
        <w:t>主席</w:t>
      </w:r>
      <w:r>
        <w:rPr>
          <w:rFonts w:cs="Times New Roman"/>
        </w:rPr>
        <w:t>：政府議案。勞工及福利局局長動議的</w:t>
      </w:r>
      <w:r>
        <w:rPr>
          <w:rFonts w:cs="Times New Roman"/>
        </w:rPr>
        <w:t>3</w:t>
      </w:r>
      <w:r>
        <w:rPr>
          <w:rFonts w:cs="Times New Roman"/>
        </w:rPr>
        <w:t>項擬議決議案：</w:t>
      </w:r>
    </w:p>
    <w:p>
      <w:pPr>
        <w:pStyle w:val="F21"/>
        <w:overflowPunct w:val="true"/>
        <w:spacing w:lineRule="atLeast" w:line="376"/>
        <w:rPr>
          <w:rFonts w:cs="Times New Roman"/>
        </w:rPr>
      </w:pPr>
      <w:r>
        <w:rPr>
          <w:rFonts w:cs="Times New Roman"/>
        </w:rPr>
      </w:r>
    </w:p>
    <w:p>
      <w:pPr>
        <w:pStyle w:val="F21"/>
        <w:overflowPunct w:val="true"/>
        <w:spacing w:lineRule="atLeast" w:line="376"/>
        <w:rPr>
          <w:rFonts w:cs="Times New Roman"/>
        </w:rPr>
      </w:pPr>
      <w:r>
        <w:rPr>
          <w:rFonts w:cs="Times New Roman"/>
        </w:rPr>
        <w:tab/>
      </w:r>
      <w:r>
        <w:rPr>
          <w:rFonts w:cs="Times New Roman"/>
        </w:rPr>
        <w:t>第一項議案：根據《僱員補償條例》動議的擬議決議案。</w:t>
      </w:r>
    </w:p>
    <w:p>
      <w:pPr>
        <w:pStyle w:val="F21"/>
        <w:overflowPunct w:val="true"/>
        <w:spacing w:lineRule="atLeast" w:line="376"/>
        <w:rPr>
          <w:rFonts w:cs="Times New Roman"/>
        </w:rPr>
      </w:pPr>
      <w:r>
        <w:rPr>
          <w:rFonts w:cs="Times New Roman"/>
        </w:rPr>
      </w:r>
    </w:p>
    <w:p>
      <w:pPr>
        <w:pStyle w:val="F21"/>
        <w:overflowPunct w:val="true"/>
        <w:spacing w:lineRule="atLeast" w:line="376"/>
        <w:rPr>
          <w:rFonts w:cs="Times New Roman"/>
        </w:rPr>
      </w:pPr>
      <w:r>
        <w:rPr>
          <w:rFonts w:cs="Times New Roman"/>
        </w:rPr>
        <w:tab/>
      </w:r>
      <w:r>
        <w:rPr>
          <w:rFonts w:cs="Times New Roman"/>
        </w:rPr>
        <w:t>第二項議案：根據《肺塵埃沉着病及間皮瘤</w:t>
      </w:r>
      <w:r>
        <w:rPr>
          <w:rFonts w:cs="Times New Roman"/>
        </w:rPr>
        <w:t>(</w:t>
      </w:r>
      <w:r>
        <w:rPr>
          <w:rFonts w:cs="Times New Roman"/>
        </w:rPr>
        <w:t>補償</w:t>
      </w:r>
      <w:r>
        <w:rPr>
          <w:rFonts w:cs="Times New Roman"/>
        </w:rPr>
        <w:t>)</w:t>
      </w:r>
      <w:r>
        <w:rPr>
          <w:rFonts w:cs="Times New Roman"/>
        </w:rPr>
        <w:t>條例》動議的擬議決議案。</w:t>
      </w:r>
    </w:p>
    <w:p>
      <w:pPr>
        <w:pStyle w:val="F21"/>
        <w:overflowPunct w:val="true"/>
        <w:spacing w:lineRule="atLeast" w:line="376"/>
        <w:rPr>
          <w:rFonts w:cs="Times New Roman"/>
        </w:rPr>
      </w:pPr>
      <w:r>
        <w:rPr>
          <w:rFonts w:cs="Times New Roman"/>
        </w:rPr>
      </w:r>
    </w:p>
    <w:p>
      <w:pPr>
        <w:pStyle w:val="F21"/>
        <w:overflowPunct w:val="true"/>
        <w:spacing w:lineRule="atLeast" w:line="376"/>
        <w:rPr>
          <w:rFonts w:cs="Times New Roman"/>
        </w:rPr>
      </w:pPr>
      <w:r>
        <w:rPr>
          <w:rFonts w:cs="Times New Roman"/>
        </w:rPr>
        <w:tab/>
      </w:r>
      <w:r>
        <w:rPr>
          <w:rFonts w:cs="Times New Roman"/>
        </w:rPr>
        <w:t>第三項議案：根據《職業性失聰</w:t>
      </w:r>
      <w:r>
        <w:rPr>
          <w:rFonts w:cs="Times New Roman"/>
        </w:rPr>
        <w:t>(</w:t>
      </w:r>
      <w:r>
        <w:rPr>
          <w:rFonts w:cs="Times New Roman"/>
        </w:rPr>
        <w:t>補償</w:t>
      </w:r>
      <w:r>
        <w:rPr>
          <w:rFonts w:cs="Times New Roman"/>
        </w:rPr>
        <w:t>)</w:t>
      </w:r>
      <w:r>
        <w:rPr>
          <w:rFonts w:cs="Times New Roman"/>
        </w:rPr>
        <w:t>條例》動議的擬議決議案。</w:t>
      </w:r>
    </w:p>
    <w:p>
      <w:pPr>
        <w:pStyle w:val="F21"/>
        <w:overflowPunct w:val="true"/>
        <w:spacing w:lineRule="atLeast" w:line="376"/>
        <w:rPr>
          <w:rFonts w:cs="Times New Roman"/>
        </w:rPr>
      </w:pPr>
      <w:r>
        <w:rPr>
          <w:rFonts w:cs="Times New Roman"/>
        </w:rPr>
      </w:r>
    </w:p>
    <w:p>
      <w:pPr>
        <w:pStyle w:val="F21"/>
        <w:overflowPunct w:val="true"/>
        <w:spacing w:lineRule="atLeast" w:line="376"/>
        <w:rPr>
          <w:rFonts w:cs="Times New Roman"/>
        </w:rPr>
      </w:pPr>
      <w:r>
        <w:rPr>
          <w:rFonts w:cs="Times New Roman"/>
        </w:rPr>
        <w:tab/>
      </w:r>
      <w:r>
        <w:rPr>
          <w:rFonts w:cs="Times New Roman"/>
        </w:rPr>
        <w:t>我較早前已透過秘書處通知議員，由於</w:t>
      </w:r>
      <w:r>
        <w:rPr>
          <w:rFonts w:cs="Times New Roman"/>
        </w:rPr>
        <w:t>3</w:t>
      </w:r>
      <w:r>
        <w:rPr>
          <w:rFonts w:cs="Times New Roman"/>
        </w:rPr>
        <w:t>項議案均旨在上調相關條例下合共</w:t>
      </w:r>
      <w:r>
        <w:rPr>
          <w:rFonts w:cs="Times New Roman"/>
        </w:rPr>
        <w:t>18</w:t>
      </w:r>
      <w:r>
        <w:rPr>
          <w:rFonts w:cs="Times New Roman"/>
        </w:rPr>
        <w:t>個補償項目的金額，並擴大《肺塵埃沉着病及間皮瘤</w:t>
      </w:r>
      <w:r>
        <w:rPr>
          <w:rFonts w:cs="Times New Roman"/>
        </w:rPr>
        <w:t>(</w:t>
      </w:r>
      <w:r>
        <w:rPr>
          <w:rFonts w:cs="Times New Roman"/>
        </w:rPr>
        <w:t>補償</w:t>
      </w:r>
      <w:r>
        <w:rPr>
          <w:rFonts w:cs="Times New Roman"/>
        </w:rPr>
        <w:t>)</w:t>
      </w:r>
      <w:r>
        <w:rPr>
          <w:rFonts w:cs="Times New Roman"/>
        </w:rPr>
        <w:t>條例》的醫療裝置範圍，本會會就這</w:t>
      </w:r>
      <w:r>
        <w:rPr>
          <w:rFonts w:cs="Times New Roman"/>
        </w:rPr>
        <w:t>3</w:t>
      </w:r>
      <w:r>
        <w:rPr>
          <w:rFonts w:cs="Times New Roman"/>
        </w:rPr>
        <w:t>項議案進行合併辯論。</w:t>
      </w:r>
    </w:p>
    <w:p>
      <w:pPr>
        <w:pStyle w:val="F21"/>
        <w:overflowPunct w:val="true"/>
        <w:spacing w:lineRule="atLeast" w:line="376"/>
        <w:rPr>
          <w:rFonts w:cs="Times New Roman"/>
        </w:rPr>
      </w:pPr>
      <w:r>
        <w:rPr>
          <w:rFonts w:cs="Times New Roman"/>
        </w:rPr>
      </w:r>
    </w:p>
    <w:p>
      <w:pPr>
        <w:pStyle w:val="F21"/>
        <w:overflowPunct w:val="true"/>
        <w:spacing w:lineRule="atLeast" w:line="376"/>
        <w:rPr>
          <w:rFonts w:cs="Times New Roman"/>
        </w:rPr>
      </w:pPr>
      <w:r>
        <w:rPr>
          <w:rFonts w:cs="Times New Roman"/>
        </w:rPr>
        <w:tab/>
      </w:r>
      <w:r>
        <w:rPr>
          <w:rFonts w:cs="Times New Roman"/>
        </w:rPr>
        <w:t>合併辯論結束後，本會會逐一表決</w:t>
      </w:r>
      <w:r>
        <w:rPr>
          <w:rFonts w:cs="Times New Roman"/>
        </w:rPr>
        <w:t>3</w:t>
      </w:r>
      <w:r>
        <w:rPr>
          <w:rFonts w:cs="Times New Roman"/>
        </w:rPr>
        <w:t>項議案。</w:t>
      </w:r>
    </w:p>
    <w:p>
      <w:pPr>
        <w:pStyle w:val="F21"/>
        <w:overflowPunct w:val="true"/>
        <w:spacing w:lineRule="atLeast" w:line="376"/>
        <w:rPr>
          <w:rFonts w:cs="Times New Roman"/>
        </w:rPr>
      </w:pPr>
      <w:r>
        <w:rPr>
          <w:rFonts w:cs="Times New Roman"/>
        </w:rPr>
      </w:r>
    </w:p>
    <w:p>
      <w:pPr>
        <w:pStyle w:val="F21"/>
        <w:overflowPunct w:val="true"/>
        <w:spacing w:lineRule="atLeast" w:line="376"/>
        <w:rPr>
          <w:rFonts w:cs="Times New Roman"/>
        </w:rPr>
      </w:pPr>
      <w:r>
        <w:rPr>
          <w:rFonts w:cs="Times New Roman"/>
        </w:rPr>
        <w:tab/>
      </w:r>
      <w:r>
        <w:rPr>
          <w:rFonts w:cs="Times New Roman"/>
        </w:rPr>
        <w:t>合併辯論現在開始，有意發言的議員請按</w:t>
      </w:r>
      <w:r>
        <w:rPr>
          <w:rFonts w:cs="Times New Roman"/>
        </w:rPr>
        <w:t>"</w:t>
      </w:r>
      <w:r>
        <w:rPr>
          <w:rFonts w:cs="Times New Roman"/>
        </w:rPr>
        <w:t>要求發言</w:t>
      </w:r>
      <w:r>
        <w:rPr>
          <w:rFonts w:cs="Times New Roman"/>
        </w:rPr>
        <w:t>"</w:t>
      </w:r>
      <w:r>
        <w:rPr>
          <w:rFonts w:cs="Times New Roman"/>
        </w:rPr>
        <w:t>按鈕。</w:t>
      </w:r>
    </w:p>
    <w:p>
      <w:pPr>
        <w:pStyle w:val="F21"/>
        <w:overflowPunct w:val="true"/>
        <w:spacing w:lineRule="atLeast" w:line="376"/>
        <w:rPr>
          <w:rFonts w:cs="Times New Roman"/>
        </w:rPr>
      </w:pPr>
      <w:r>
        <w:rPr>
          <w:rFonts w:cs="Times New Roman"/>
        </w:rPr>
      </w:r>
    </w:p>
    <w:p>
      <w:pPr>
        <w:pStyle w:val="F21"/>
        <w:overflowPunct w:val="true"/>
        <w:spacing w:lineRule="atLeast" w:line="376"/>
        <w:rPr>
          <w:rFonts w:cs="Times New Roman"/>
        </w:rPr>
      </w:pPr>
      <w:r>
        <w:rPr>
          <w:rFonts w:cs="Times New Roman"/>
        </w:rPr>
        <w:tab/>
      </w:r>
      <w:r>
        <w:rPr>
          <w:rFonts w:cs="Times New Roman"/>
        </w:rPr>
        <w:t>我現在請局長就</w:t>
      </w:r>
      <w:r>
        <w:rPr>
          <w:rFonts w:cs="Times New Roman"/>
        </w:rPr>
        <w:t>3</w:t>
      </w:r>
      <w:r>
        <w:rPr>
          <w:rFonts w:cs="Times New Roman"/>
        </w:rPr>
        <w:t>項議案發言及動議第一項議案。</w:t>
      </w:r>
    </w:p>
    <w:p>
      <w:pPr>
        <w:pStyle w:val="F21"/>
        <w:overflowPunct w:val="true"/>
        <w:spacing w:lineRule="atLeast" w:line="376"/>
        <w:rPr>
          <w:rFonts w:cs="Times New Roman"/>
        </w:rPr>
      </w:pPr>
      <w:r>
        <w:rPr>
          <w:rFonts w:cs="Times New Roman"/>
        </w:rPr>
      </w:r>
    </w:p>
    <w:p>
      <w:pPr>
        <w:pStyle w:val="F21"/>
        <w:overflowPunct w:val="true"/>
        <w:spacing w:lineRule="atLeast" w:line="376"/>
        <w:rPr/>
      </w:pPr>
      <w:r>
        <w:rPr/>
      </w:r>
    </w:p>
    <w:p>
      <w:pPr>
        <w:pStyle w:val="F21"/>
        <w:overflowPunct w:val="true"/>
        <w:spacing w:lineRule="atLeast" w:line="376"/>
        <w:rPr>
          <w:rFonts w:eastAsia="華康中黑體" w:cs="Times New Roman"/>
          <w:b/>
          <w:b/>
        </w:rPr>
      </w:pPr>
      <w:bookmarkStart w:id="69" w:name="mot01"/>
      <w:r>
        <w:rPr>
          <w:rFonts w:cs="Times New Roman" w:eastAsia="華康中黑體"/>
          <w:b/>
        </w:rPr>
        <w:t>根據《僱員補償條例》動議的擬議決議案</w:t>
      </w:r>
    </w:p>
    <w:p>
      <w:pPr>
        <w:pStyle w:val="Normal"/>
        <w:overflowPunct w:val="true"/>
        <w:spacing w:lineRule="atLeast" w:line="376"/>
        <w:rPr>
          <w:b/>
          <w:b/>
        </w:rPr>
      </w:pPr>
      <w:bookmarkStart w:id="70" w:name="mot01"/>
      <w:r>
        <w:rPr>
          <w:b/>
          <w:caps/>
        </w:rPr>
        <w:t>Proposed resolution under the Employees' Compensation Ordinance</w:t>
      </w:r>
      <w:bookmarkEnd w:id="70"/>
    </w:p>
    <w:p>
      <w:pPr>
        <w:pStyle w:val="F21"/>
        <w:overflowPunct w:val="true"/>
        <w:spacing w:lineRule="atLeast" w:line="376"/>
        <w:rPr>
          <w:rFonts w:cs="Times New Roman"/>
        </w:rPr>
      </w:pPr>
      <w:r>
        <w:rPr>
          <w:rFonts w:cs="Times New Roman"/>
        </w:rPr>
      </w:r>
    </w:p>
    <w:p>
      <w:pPr>
        <w:pStyle w:val="F21"/>
        <w:overflowPunct w:val="true"/>
        <w:spacing w:lineRule="atLeast" w:line="376"/>
        <w:rPr>
          <w:rFonts w:cs="Times New Roman"/>
        </w:rPr>
      </w:pPr>
      <w:r>
        <w:rPr>
          <w:rFonts w:ascii="華康中黑體" w:hAnsi="華康中黑體" w:cs="Times New Roman" w:eastAsia="華康中黑體"/>
          <w:b/>
        </w:rPr>
        <w:t>勞工及福利局局長</w:t>
      </w:r>
      <w:r>
        <w:rPr>
          <w:rFonts w:cs="Times New Roman"/>
        </w:rPr>
        <w:t>：主席，我謹動議通過印載於議程內的第一項決議，以上調《僱員補償條例》下</w:t>
      </w:r>
      <w:r>
        <w:rPr>
          <w:rFonts w:cs="Times New Roman"/>
        </w:rPr>
        <w:t>9</w:t>
      </w:r>
      <w:r>
        <w:rPr>
          <w:rFonts w:cs="Times New Roman"/>
        </w:rPr>
        <w:t>個補償項目的金額。我將於稍後動議通過印載於議程內的第二及第三項決議</w:t>
      </w:r>
      <w:r>
        <w:rPr>
          <w:rFonts w:cs="Times New Roman"/>
        </w:rPr>
        <w:t>......</w:t>
      </w:r>
    </w:p>
    <w:p>
      <w:pPr>
        <w:pStyle w:val="F21"/>
        <w:overflowPunct w:val="true"/>
        <w:spacing w:lineRule="atLeast" w:line="376"/>
        <w:rPr>
          <w:rFonts w:cs="Times New Roman"/>
        </w:rPr>
      </w:pPr>
      <w:r>
        <w:rPr>
          <w:rFonts w:cs="Times New Roman"/>
        </w:rPr>
      </w:r>
    </w:p>
    <w:p>
      <w:pPr>
        <w:pStyle w:val="F21"/>
        <w:overflowPunct w:val="true"/>
        <w:spacing w:lineRule="atLeast" w:line="376"/>
        <w:rPr>
          <w:rFonts w:cs="Times New Roman"/>
        </w:rPr>
      </w:pPr>
      <w:r>
        <w:rPr>
          <w:rFonts w:cs="Times New Roman"/>
        </w:rPr>
        <w:t>(</w:t>
      </w:r>
      <w:r>
        <w:rPr>
          <w:rFonts w:cs="Times New Roman"/>
        </w:rPr>
        <w:t>郭家麒議員站起來</w:t>
      </w:r>
      <w:r>
        <w:rPr>
          <w:rFonts w:cs="Times New Roman"/>
        </w:rPr>
        <w:t>)</w:t>
      </w:r>
    </w:p>
    <w:p>
      <w:pPr>
        <w:pStyle w:val="F21"/>
        <w:overflowPunct w:val="true"/>
        <w:spacing w:lineRule="atLeast" w:line="376"/>
        <w:rPr>
          <w:rFonts w:cs="Times New Roman"/>
          <w:highlight w:val="lightGray"/>
        </w:rPr>
      </w:pPr>
      <w:r>
        <w:rPr>
          <w:rFonts w:cs="Times New Roman"/>
          <w:highlight w:val="lightGray"/>
        </w:rPr>
      </w:r>
    </w:p>
    <w:p>
      <w:pPr>
        <w:pStyle w:val="F21"/>
        <w:overflowPunct w:val="true"/>
        <w:spacing w:lineRule="atLeast" w:line="376"/>
        <w:rPr>
          <w:rFonts w:cs="Times New Roman"/>
          <w:highlight w:val="lightGray"/>
        </w:rPr>
      </w:pPr>
      <w:r>
        <w:rPr>
          <w:rFonts w:cs="Times New Roman"/>
          <w:highlight w:val="lightGray"/>
        </w:rPr>
      </w:r>
    </w:p>
    <w:p>
      <w:pPr>
        <w:pStyle w:val="F21"/>
        <w:overflowPunct w:val="true"/>
        <w:spacing w:lineRule="atLeast" w:line="376"/>
        <w:rPr>
          <w:rFonts w:cs="Times New Roman"/>
        </w:rPr>
      </w:pPr>
      <w:r>
        <w:rPr>
          <w:rFonts w:ascii="華康中黑體" w:hAnsi="華康中黑體" w:cs="Times New Roman" w:eastAsia="華康中黑體"/>
          <w:b/>
        </w:rPr>
        <w:t>主席</w:t>
      </w:r>
      <w:r>
        <w:rPr>
          <w:rFonts w:cs="Times New Roman"/>
        </w:rPr>
        <w:t>：郭家麒議員，你有甚麼規程問題？</w:t>
      </w:r>
    </w:p>
    <w:p>
      <w:pPr>
        <w:pStyle w:val="Normal"/>
        <w:widowControl/>
        <w:tabs>
          <w:tab w:val="clear" w:pos="720"/>
        </w:tabs>
        <w:snapToGrid w:val="true"/>
        <w:spacing w:lineRule="auto" w:line="276" w:before="0" w:after="200"/>
        <w:jc w:val="left"/>
        <w:rPr>
          <w:spacing w:val="20"/>
          <w:sz w:val="27"/>
          <w:szCs w:val="22"/>
          <w:lang w:val="en-US"/>
        </w:rPr>
      </w:pPr>
      <w:r>
        <w:rPr>
          <w:spacing w:val="20"/>
          <w:sz w:val="27"/>
          <w:szCs w:val="22"/>
          <w:lang w:val="en-US"/>
        </w:rPr>
      </w:r>
      <w:r>
        <w:br w:type="page"/>
      </w:r>
    </w:p>
    <w:p>
      <w:pPr>
        <w:pStyle w:val="F21"/>
        <w:overflowPunct w:val="true"/>
        <w:rPr>
          <w:rFonts w:cs="Times New Roman"/>
        </w:rPr>
      </w:pPr>
      <w:r>
        <w:rPr>
          <w:rFonts w:ascii="華康中黑體" w:hAnsi="華康中黑體" w:cs="Times New Roman" w:eastAsia="華康中黑體"/>
          <w:b/>
        </w:rPr>
        <w:t>郭家麒議員</w:t>
      </w:r>
      <w:r>
        <w:rPr>
          <w:rFonts w:cs="Times New Roman"/>
        </w:rPr>
        <w:t>：主席，會議廳內法定人數不足。</w:t>
      </w:r>
    </w:p>
    <w:p>
      <w:pPr>
        <w:pStyle w:val="F21"/>
        <w:overflowPunct w:val="true"/>
        <w:rPr>
          <w:rFonts w:cs="Times New Roman"/>
        </w:rPr>
      </w:pPr>
      <w:r>
        <w:rPr>
          <w:rFonts w:cs="Times New Roman"/>
        </w:rPr>
      </w:r>
    </w:p>
    <w:p>
      <w:pPr>
        <w:pStyle w:val="F21"/>
        <w:overflowPunct w:val="true"/>
        <w:rPr>
          <w:rFonts w:cs="Times New Roman"/>
        </w:rPr>
      </w:pPr>
      <w:r>
        <w:rPr>
          <w:rFonts w:cs="Times New Roman"/>
        </w:rPr>
      </w:r>
    </w:p>
    <w:p>
      <w:pPr>
        <w:pStyle w:val="F21"/>
        <w:overflowPunct w:val="true"/>
        <w:rPr>
          <w:rFonts w:cs="Times New Roman"/>
        </w:rPr>
      </w:pPr>
      <w:r>
        <w:rPr>
          <w:rFonts w:ascii="華康中黑體" w:hAnsi="華康中黑體" w:cs="Times New Roman" w:eastAsia="華康中黑體"/>
          <w:b/>
        </w:rPr>
        <w:t>主席</w:t>
      </w:r>
      <w:r>
        <w:rPr>
          <w:rFonts w:cs="Times New Roman"/>
        </w:rPr>
        <w:t>：秘書，請響鐘傳召議員返回會議廳。</w:t>
      </w:r>
    </w:p>
    <w:p>
      <w:pPr>
        <w:pStyle w:val="F21"/>
        <w:overflowPunct w:val="true"/>
        <w:rPr>
          <w:rFonts w:cs="Times New Roman"/>
        </w:rPr>
      </w:pPr>
      <w:r>
        <w:rPr>
          <w:rFonts w:cs="Times New Roman"/>
        </w:rPr>
      </w:r>
    </w:p>
    <w:p>
      <w:pPr>
        <w:pStyle w:val="F21"/>
        <w:overflowPunct w:val="true"/>
        <w:rPr>
          <w:rFonts w:cs="Times New Roman"/>
        </w:rPr>
      </w:pPr>
      <w:r>
        <w:rPr>
          <w:rFonts w:cs="Times New Roman"/>
        </w:rPr>
        <w:t>(</w:t>
      </w:r>
      <w:r>
        <w:rPr>
          <w:rFonts w:cs="Times New Roman"/>
        </w:rPr>
        <w:t>在傳召鐘響起期間，多位議員返回會議廳，但有議員尚未返回座位</w:t>
      </w:r>
      <w:r>
        <w:rPr>
          <w:rFonts w:cs="Times New Roman"/>
        </w:rPr>
        <w:t>)</w:t>
      </w:r>
    </w:p>
    <w:p>
      <w:pPr>
        <w:pStyle w:val="F21"/>
        <w:overflowPunct w:val="true"/>
        <w:rPr>
          <w:rFonts w:cs="Times New Roman"/>
        </w:rPr>
      </w:pPr>
      <w:r>
        <w:rPr>
          <w:rFonts w:cs="Times New Roman"/>
        </w:rPr>
      </w:r>
    </w:p>
    <w:p>
      <w:pPr>
        <w:pStyle w:val="F21"/>
        <w:overflowPunct w:val="true"/>
        <w:rPr>
          <w:rFonts w:cs="Times New Roman"/>
        </w:rPr>
      </w:pPr>
      <w:r>
        <w:rPr>
          <w:rFonts w:cs="Times New Roman"/>
        </w:rPr>
      </w:r>
    </w:p>
    <w:p>
      <w:pPr>
        <w:pStyle w:val="F21"/>
        <w:overflowPunct w:val="true"/>
        <w:rPr>
          <w:rFonts w:cs="Times New Roman"/>
        </w:rPr>
      </w:pPr>
      <w:r>
        <w:rPr>
          <w:rFonts w:ascii="華康中黑體" w:hAnsi="華康中黑體" w:cs="Times New Roman" w:eastAsia="華康中黑體"/>
          <w:b/>
        </w:rPr>
        <w:t>主席</w:t>
      </w:r>
      <w:r>
        <w:rPr>
          <w:rFonts w:cs="Times New Roman"/>
        </w:rPr>
        <w:t>：請各位議員返回座位，以便秘書點算法定人數。</w:t>
      </w:r>
    </w:p>
    <w:p>
      <w:pPr>
        <w:pStyle w:val="F21"/>
        <w:overflowPunct w:val="true"/>
        <w:rPr>
          <w:rFonts w:cs="Times New Roman"/>
        </w:rPr>
      </w:pPr>
      <w:r>
        <w:rPr>
          <w:rFonts w:cs="Times New Roman"/>
        </w:rPr>
      </w:r>
    </w:p>
    <w:p>
      <w:pPr>
        <w:pStyle w:val="F21"/>
        <w:overflowPunct w:val="true"/>
        <w:rPr>
          <w:rFonts w:cs="Times New Roman"/>
        </w:rPr>
      </w:pPr>
      <w:r>
        <w:rPr>
          <w:rFonts w:cs="Times New Roman"/>
        </w:rPr>
        <w:t>(</w:t>
      </w:r>
      <w:r>
        <w:rPr>
          <w:rFonts w:cs="Times New Roman"/>
        </w:rPr>
        <w:t>在傳召鐘響後，多位議員返回會議廳</w:t>
      </w:r>
      <w:r>
        <w:rPr>
          <w:rFonts w:cs="Times New Roman"/>
        </w:rPr>
        <w:t>)</w:t>
      </w:r>
    </w:p>
    <w:p>
      <w:pPr>
        <w:pStyle w:val="F21"/>
        <w:overflowPunct w:val="true"/>
        <w:rPr>
          <w:rFonts w:cs="Times New Roman"/>
        </w:rPr>
      </w:pPr>
      <w:r>
        <w:rPr>
          <w:rFonts w:cs="Times New Roman"/>
        </w:rPr>
      </w:r>
    </w:p>
    <w:p>
      <w:pPr>
        <w:pStyle w:val="F21"/>
        <w:overflowPunct w:val="true"/>
        <w:rPr>
          <w:rFonts w:cs="Times New Roman"/>
        </w:rPr>
      </w:pPr>
      <w:r>
        <w:rPr>
          <w:rFonts w:cs="Times New Roman"/>
        </w:rPr>
      </w:r>
    </w:p>
    <w:p>
      <w:pPr>
        <w:pStyle w:val="F21"/>
        <w:overflowPunct w:val="true"/>
        <w:rPr>
          <w:rFonts w:cs="Times New Roman"/>
        </w:rPr>
      </w:pPr>
      <w:r>
        <w:rPr>
          <w:rFonts w:ascii="華康中黑體" w:hAnsi="華康中黑體" w:cs="Times New Roman" w:eastAsia="華康中黑體"/>
          <w:b/>
        </w:rPr>
        <w:t>主席</w:t>
      </w:r>
      <w:r>
        <w:rPr>
          <w:rFonts w:cs="Times New Roman"/>
        </w:rPr>
        <w:t>：局長，請繼續發言。</w:t>
      </w:r>
    </w:p>
    <w:p>
      <w:pPr>
        <w:pStyle w:val="F21"/>
        <w:overflowPunct w:val="true"/>
        <w:rPr>
          <w:rFonts w:cs="Times New Roman"/>
          <w:highlight w:val="lightGray"/>
        </w:rPr>
      </w:pPr>
      <w:r>
        <w:rPr>
          <w:rFonts w:cs="Times New Roman"/>
          <w:highlight w:val="lightGray"/>
        </w:rPr>
      </w:r>
    </w:p>
    <w:p>
      <w:pPr>
        <w:pStyle w:val="F21"/>
        <w:overflowPunct w:val="true"/>
        <w:rPr>
          <w:rFonts w:cs="Times New Roman"/>
        </w:rPr>
      </w:pPr>
      <w:r>
        <w:rPr>
          <w:rFonts w:cs="Times New Roman"/>
        </w:rPr>
      </w:r>
    </w:p>
    <w:p>
      <w:pPr>
        <w:pStyle w:val="F21"/>
        <w:rPr>
          <w:szCs w:val="27"/>
        </w:rPr>
      </w:pPr>
      <w:r>
        <w:rPr>
          <w:rFonts w:ascii="華康中黑體" w:hAnsi="華康中黑體" w:cs="華康中黑體" w:eastAsia="華康中黑體"/>
          <w:b/>
          <w:szCs w:val="27"/>
        </w:rPr>
        <w:t>勞工及福利局局長</w:t>
      </w:r>
      <w:r>
        <w:rPr>
          <w:szCs w:val="27"/>
        </w:rPr>
        <w:t>：我繼續剛才未完成的句子。我將於稍後動議通過印載於議程內的第二及第三項決議，以分別增加《肺塵埃沉着病及間皮瘤</w:t>
      </w:r>
      <w:r>
        <w:rPr>
          <w:szCs w:val="27"/>
        </w:rPr>
        <w:t>(</w:t>
      </w:r>
      <w:r>
        <w:rPr>
          <w:szCs w:val="27"/>
        </w:rPr>
        <w:t>補償</w:t>
      </w:r>
      <w:r>
        <w:rPr>
          <w:szCs w:val="27"/>
        </w:rPr>
        <w:t>)</w:t>
      </w:r>
      <w:r>
        <w:rPr>
          <w:szCs w:val="27"/>
        </w:rPr>
        <w:t>條例》</w:t>
      </w:r>
      <w:r>
        <w:rPr>
          <w:szCs w:val="27"/>
        </w:rPr>
        <w:t>("</w:t>
      </w:r>
      <w:r>
        <w:rPr>
          <w:szCs w:val="27"/>
        </w:rPr>
        <w:t>《肺塵病條例》</w:t>
      </w:r>
      <w:r>
        <w:rPr>
          <w:szCs w:val="27"/>
        </w:rPr>
        <w:t>")</w:t>
      </w:r>
      <w:r>
        <w:rPr>
          <w:szCs w:val="27"/>
        </w:rPr>
        <w:t>下</w:t>
      </w:r>
      <w:r>
        <w:rPr>
          <w:szCs w:val="27"/>
        </w:rPr>
        <w:t>5</w:t>
      </w:r>
      <w:r>
        <w:rPr>
          <w:szCs w:val="27"/>
        </w:rPr>
        <w:t>個補償項目的金額及擴大該條例的醫療裝置範圍，以及增加《職業性失聰</w:t>
      </w:r>
      <w:r>
        <w:rPr>
          <w:szCs w:val="27"/>
        </w:rPr>
        <w:t>(</w:t>
      </w:r>
      <w:r>
        <w:rPr>
          <w:szCs w:val="27"/>
        </w:rPr>
        <w:t>補償</w:t>
      </w:r>
      <w:r>
        <w:rPr>
          <w:szCs w:val="27"/>
        </w:rPr>
        <w:t>)</w:t>
      </w:r>
      <w:r>
        <w:rPr>
          <w:szCs w:val="27"/>
        </w:rPr>
        <w:t>條例》</w:t>
      </w:r>
      <w:r>
        <w:rPr>
          <w:szCs w:val="27"/>
        </w:rPr>
        <w:t>("</w:t>
      </w:r>
      <w:r>
        <w:rPr>
          <w:szCs w:val="27"/>
        </w:rPr>
        <w:t>《失聰補償條例》</w:t>
      </w:r>
      <w:r>
        <w:rPr>
          <w:szCs w:val="27"/>
        </w:rPr>
        <w:t>")</w:t>
      </w:r>
      <w:r>
        <w:rPr>
          <w:szCs w:val="27"/>
        </w:rPr>
        <w:t>下</w:t>
      </w:r>
      <w:r>
        <w:rPr>
          <w:szCs w:val="27"/>
        </w:rPr>
        <w:t>4</w:t>
      </w:r>
      <w:r>
        <w:rPr>
          <w:szCs w:val="27"/>
        </w:rPr>
        <w:t>個補償項目的金額。</w:t>
      </w:r>
    </w:p>
    <w:p>
      <w:pPr>
        <w:pStyle w:val="Style15"/>
        <w:rPr>
          <w:rFonts w:cs="Times New Roman"/>
          <w:i w:val="false"/>
          <w:i w:val="false"/>
          <w:szCs w:val="27"/>
        </w:rPr>
      </w:pPr>
      <w:r>
        <w:rPr>
          <w:rFonts w:cs="Times New Roman"/>
          <w:i w:val="false"/>
          <w:szCs w:val="27"/>
        </w:rPr>
      </w:r>
    </w:p>
    <w:p>
      <w:pPr>
        <w:pStyle w:val="Style15"/>
        <w:ind w:left="851" w:hanging="851"/>
        <w:rPr>
          <w:szCs w:val="27"/>
        </w:rPr>
      </w:pPr>
      <w:r>
        <w:rPr>
          <w:szCs w:val="27"/>
        </w:rPr>
        <w:t>(</w:t>
      </w:r>
      <w:r>
        <w:rPr>
          <w:szCs w:val="27"/>
        </w:rPr>
        <w:t>一</w:t>
      </w:r>
      <w:r>
        <w:rPr>
          <w:szCs w:val="27"/>
        </w:rPr>
        <w:t>)</w:t>
        <w:tab/>
      </w:r>
      <w:r>
        <w:rPr>
          <w:szCs w:val="27"/>
        </w:rPr>
        <w:t>根據《僱員補償條例》第</w:t>
      </w:r>
      <w:r>
        <w:rPr>
          <w:szCs w:val="27"/>
        </w:rPr>
        <w:t>48A</w:t>
      </w:r>
      <w:r>
        <w:rPr>
          <w:szCs w:val="27"/>
        </w:rPr>
        <w:t>條動議的決議</w:t>
      </w:r>
    </w:p>
    <w:p>
      <w:pPr>
        <w:pStyle w:val="F21"/>
        <w:rPr>
          <w:szCs w:val="27"/>
        </w:rPr>
      </w:pPr>
      <w:r>
        <w:rPr>
          <w:szCs w:val="27"/>
        </w:rPr>
      </w:r>
    </w:p>
    <w:p>
      <w:pPr>
        <w:pStyle w:val="F21"/>
        <w:rPr>
          <w:szCs w:val="27"/>
        </w:rPr>
      </w:pPr>
      <w:r>
        <w:rPr>
          <w:szCs w:val="27"/>
        </w:rPr>
        <w:tab/>
      </w:r>
      <w:r>
        <w:rPr>
          <w:szCs w:val="27"/>
        </w:rPr>
        <w:t>這項決議的目的是上調《僱員補償條例》下</w:t>
      </w:r>
      <w:r>
        <w:rPr>
          <w:szCs w:val="27"/>
        </w:rPr>
        <w:t>9</w:t>
      </w:r>
      <w:r>
        <w:rPr>
          <w:szCs w:val="27"/>
        </w:rPr>
        <w:t>個補償項目的金額。《僱員補償條例》就受僱工作期間因工遭遇意外或患訂明職業病而受傷或死亡的僱員及他們的家庭成員，訂定法定補償的支付。按既定機制，《僱員補償條例》所規定的補償金額，會與《肺塵病條例》及《失聰補償條例》的補償金額，在適當情況下每兩年調整</w:t>
      </w:r>
      <w:r>
        <w:rPr>
          <w:szCs w:val="27"/>
        </w:rPr>
        <w:t>1</w:t>
      </w:r>
      <w:r>
        <w:rPr>
          <w:szCs w:val="27"/>
        </w:rPr>
        <w:t>次。如有需要作出調整，調整的幅度一般會參照有關期間的工資或物價的變動，並顧及其他相關的因素。</w:t>
      </w:r>
      <w:r>
        <w:rPr>
          <w:szCs w:val="27"/>
        </w:rPr>
        <w:tab/>
      </w:r>
    </w:p>
    <w:p>
      <w:pPr>
        <w:pStyle w:val="F21"/>
        <w:rPr>
          <w:szCs w:val="27"/>
        </w:rPr>
      </w:pPr>
      <w:r>
        <w:rPr>
          <w:szCs w:val="27"/>
        </w:rPr>
      </w:r>
    </w:p>
    <w:p>
      <w:pPr>
        <w:pStyle w:val="F21"/>
        <w:rPr>
          <w:szCs w:val="27"/>
        </w:rPr>
      </w:pPr>
      <w:r>
        <w:rPr>
          <w:szCs w:val="27"/>
        </w:rPr>
        <w:tab/>
      </w:r>
      <w:r>
        <w:rPr>
          <w:szCs w:val="27"/>
        </w:rPr>
        <w:t>根據政府統計處的資料，在</w:t>
      </w:r>
      <w:r>
        <w:rPr>
          <w:szCs w:val="27"/>
        </w:rPr>
        <w:t>2016</w:t>
      </w:r>
      <w:r>
        <w:rPr>
          <w:szCs w:val="27"/>
        </w:rPr>
        <w:t>年及</w:t>
      </w:r>
      <w:r>
        <w:rPr>
          <w:szCs w:val="27"/>
        </w:rPr>
        <w:t>2017</w:t>
      </w:r>
      <w:r>
        <w:rPr>
          <w:szCs w:val="27"/>
        </w:rPr>
        <w:t>年，名義工資指數及甲類消費物價指數分別錄得</w:t>
      </w:r>
      <w:r>
        <w:rPr>
          <w:szCs w:val="27"/>
        </w:rPr>
        <w:t>7.64%</w:t>
      </w:r>
      <w:r>
        <w:rPr>
          <w:szCs w:val="27"/>
        </w:rPr>
        <w:t>及</w:t>
      </w:r>
      <w:r>
        <w:rPr>
          <w:szCs w:val="27"/>
        </w:rPr>
        <w:t>4.34%</w:t>
      </w:r>
      <w:r>
        <w:rPr>
          <w:szCs w:val="27"/>
        </w:rPr>
        <w:t>的累積升幅。</w:t>
      </w:r>
    </w:p>
    <w:p>
      <w:pPr>
        <w:pStyle w:val="F21"/>
        <w:rPr>
          <w:szCs w:val="27"/>
        </w:rPr>
      </w:pPr>
      <w:r>
        <w:rPr>
          <w:szCs w:val="27"/>
        </w:rPr>
      </w:r>
    </w:p>
    <w:p>
      <w:pPr>
        <w:pStyle w:val="F21"/>
        <w:rPr>
          <w:szCs w:val="27"/>
        </w:rPr>
      </w:pPr>
      <w:r>
        <w:rPr>
          <w:szCs w:val="27"/>
        </w:rPr>
        <w:tab/>
      </w:r>
      <w:r>
        <w:rPr>
          <w:szCs w:val="27"/>
        </w:rPr>
        <w:t>我們建議按照上述的工資變動，將《僱員補償條例》的</w:t>
      </w:r>
      <w:r>
        <w:rPr>
          <w:szCs w:val="27"/>
        </w:rPr>
        <w:t>5</w:t>
      </w:r>
      <w:r>
        <w:rPr>
          <w:szCs w:val="27"/>
        </w:rPr>
        <w:t>個補償項目的金額調高</w:t>
      </w:r>
      <w:r>
        <w:rPr>
          <w:szCs w:val="27"/>
        </w:rPr>
        <w:t>7.64%</w:t>
      </w:r>
      <w:r>
        <w:rPr>
          <w:szCs w:val="27"/>
        </w:rPr>
        <w:t>。建議的修訂包括將用以計算死亡及永久完全喪失工作能力補償金額的每月收入上限，由</w:t>
      </w:r>
      <w:r>
        <w:rPr>
          <w:szCs w:val="27"/>
        </w:rPr>
        <w:t>28,360</w:t>
      </w:r>
      <w:r>
        <w:rPr>
          <w:szCs w:val="27"/>
        </w:rPr>
        <w:t>元提高至</w:t>
      </w:r>
      <w:r>
        <w:rPr>
          <w:szCs w:val="27"/>
        </w:rPr>
        <w:t>30,530</w:t>
      </w:r>
      <w:r>
        <w:rPr>
          <w:szCs w:val="27"/>
        </w:rPr>
        <w:t>元。我們亦建議將死亡補償的最低金額，由</w:t>
      </w:r>
      <w:r>
        <w:rPr>
          <w:szCs w:val="27"/>
        </w:rPr>
        <w:t>408,960</w:t>
      </w:r>
      <w:r>
        <w:rPr>
          <w:szCs w:val="27"/>
        </w:rPr>
        <w:t>元提高至</w:t>
      </w:r>
      <w:r>
        <w:rPr>
          <w:szCs w:val="27"/>
        </w:rPr>
        <w:t>440,200</w:t>
      </w:r>
      <w:r>
        <w:rPr>
          <w:szCs w:val="27"/>
        </w:rPr>
        <w:t>元，而永久完全喪失工作能力補償的最低金額，則由</w:t>
      </w:r>
      <w:r>
        <w:rPr>
          <w:szCs w:val="27"/>
        </w:rPr>
        <w:t>464,360</w:t>
      </w:r>
      <w:r>
        <w:rPr>
          <w:szCs w:val="27"/>
        </w:rPr>
        <w:t>元提高至</w:t>
      </w:r>
      <w:r>
        <w:rPr>
          <w:szCs w:val="27"/>
        </w:rPr>
        <w:t>499,840</w:t>
      </w:r>
      <w:r>
        <w:rPr>
          <w:szCs w:val="27"/>
        </w:rPr>
        <w:t>元。此外，我們建議修訂因工受傷而需要別人照顧的僱員的最高補償金額，由</w:t>
      </w:r>
      <w:r>
        <w:rPr>
          <w:szCs w:val="27"/>
        </w:rPr>
        <w:t>556,700</w:t>
      </w:r>
      <w:r>
        <w:rPr>
          <w:szCs w:val="27"/>
        </w:rPr>
        <w:t>元調高至</w:t>
      </w:r>
      <w:r>
        <w:rPr>
          <w:szCs w:val="27"/>
        </w:rPr>
        <w:t>599,230</w:t>
      </w:r>
      <w:r>
        <w:rPr>
          <w:szCs w:val="27"/>
        </w:rPr>
        <w:t>元。至於過期支付補償而徵收的附加費，我們建議將在付款期屆滿時須繳付的最低附加費，由</w:t>
      </w:r>
      <w:r>
        <w:rPr>
          <w:szCs w:val="27"/>
        </w:rPr>
        <w:t>660</w:t>
      </w:r>
      <w:r>
        <w:rPr>
          <w:szCs w:val="27"/>
        </w:rPr>
        <w:t>元提高至</w:t>
      </w:r>
      <w:r>
        <w:rPr>
          <w:szCs w:val="27"/>
        </w:rPr>
        <w:t>710</w:t>
      </w:r>
      <w:r>
        <w:rPr>
          <w:szCs w:val="27"/>
        </w:rPr>
        <w:t>元，而在付款期屆滿</w:t>
      </w:r>
      <w:r>
        <w:rPr>
          <w:szCs w:val="27"/>
        </w:rPr>
        <w:t>3</w:t>
      </w:r>
      <w:r>
        <w:rPr>
          <w:szCs w:val="27"/>
        </w:rPr>
        <w:t>個月後須繳付的進一步附加費的最低金額，則由</w:t>
      </w:r>
      <w:r>
        <w:rPr>
          <w:szCs w:val="27"/>
        </w:rPr>
        <w:t>1,330</w:t>
      </w:r>
      <w:r>
        <w:rPr>
          <w:szCs w:val="27"/>
        </w:rPr>
        <w:t>元提高至</w:t>
      </w:r>
      <w:r>
        <w:rPr>
          <w:szCs w:val="27"/>
        </w:rPr>
        <w:t>1,430</w:t>
      </w:r>
      <w:r>
        <w:rPr>
          <w:szCs w:val="27"/>
        </w:rPr>
        <w:t>元。</w:t>
      </w:r>
    </w:p>
    <w:p>
      <w:pPr>
        <w:pStyle w:val="F21"/>
        <w:rPr>
          <w:szCs w:val="27"/>
        </w:rPr>
      </w:pPr>
      <w:r>
        <w:rPr>
          <w:szCs w:val="27"/>
        </w:rPr>
      </w:r>
    </w:p>
    <w:p>
      <w:pPr>
        <w:pStyle w:val="F21"/>
        <w:rPr>
          <w:szCs w:val="27"/>
        </w:rPr>
      </w:pPr>
      <w:r>
        <w:rPr>
          <w:szCs w:val="27"/>
        </w:rPr>
      </w:r>
    </w:p>
    <w:p>
      <w:pPr>
        <w:pStyle w:val="F21"/>
        <w:rPr>
          <w:szCs w:val="27"/>
        </w:rPr>
      </w:pPr>
      <w:r>
        <w:rPr>
          <w:szCs w:val="27"/>
        </w:rPr>
        <w:t>(</w:t>
      </w:r>
      <w:r>
        <w:rPr>
          <w:szCs w:val="27"/>
        </w:rPr>
        <w:t>代理主席李慧琼議員代為主持會議</w:t>
      </w:r>
      <w:r>
        <w:rPr>
          <w:szCs w:val="27"/>
        </w:rPr>
        <w:t>)</w:t>
      </w:r>
    </w:p>
    <w:p>
      <w:pPr>
        <w:pStyle w:val="F21"/>
        <w:rPr>
          <w:szCs w:val="27"/>
        </w:rPr>
      </w:pPr>
      <w:r>
        <w:rPr>
          <w:szCs w:val="27"/>
        </w:rPr>
      </w:r>
    </w:p>
    <w:p>
      <w:pPr>
        <w:pStyle w:val="F21"/>
        <w:rPr>
          <w:szCs w:val="27"/>
        </w:rPr>
      </w:pPr>
      <w:r>
        <w:rPr>
          <w:szCs w:val="27"/>
        </w:rPr>
      </w:r>
    </w:p>
    <w:p>
      <w:pPr>
        <w:pStyle w:val="F21"/>
        <w:rPr>
          <w:szCs w:val="27"/>
        </w:rPr>
      </w:pPr>
      <w:r>
        <w:rPr>
          <w:szCs w:val="27"/>
        </w:rPr>
        <w:tab/>
      </w:r>
      <w:r>
        <w:rPr>
          <w:szCs w:val="27"/>
        </w:rPr>
        <w:t>同時，我們亦建議參照上述的物價變動，將</w:t>
      </w:r>
      <w:r>
        <w:rPr>
          <w:szCs w:val="27"/>
        </w:rPr>
        <w:t>3</w:t>
      </w:r>
      <w:r>
        <w:rPr>
          <w:szCs w:val="27"/>
        </w:rPr>
        <w:t>個補償項目的金額調高</w:t>
      </w:r>
      <w:r>
        <w:rPr>
          <w:szCs w:val="27"/>
        </w:rPr>
        <w:t>4.34%</w:t>
      </w:r>
      <w:r>
        <w:rPr>
          <w:szCs w:val="27"/>
        </w:rPr>
        <w:t>。建議的修訂包括將殯殮費的上限由</w:t>
      </w:r>
      <w:r>
        <w:rPr>
          <w:szCs w:val="27"/>
        </w:rPr>
        <w:t>83,700</w:t>
      </w:r>
      <w:r>
        <w:rPr>
          <w:szCs w:val="27"/>
        </w:rPr>
        <w:t>元提高至</w:t>
      </w:r>
      <w:r>
        <w:rPr>
          <w:szCs w:val="27"/>
        </w:rPr>
        <w:t>87,330</w:t>
      </w:r>
      <w:r>
        <w:rPr>
          <w:szCs w:val="27"/>
        </w:rPr>
        <w:t>元；僱主須為僱員支付有關供應及裝配義製人體器官或外科器具費用的最高金額，由</w:t>
      </w:r>
      <w:r>
        <w:rPr>
          <w:szCs w:val="27"/>
        </w:rPr>
        <w:t>40,010</w:t>
      </w:r>
      <w:r>
        <w:rPr>
          <w:szCs w:val="27"/>
        </w:rPr>
        <w:t>元提高至</w:t>
      </w:r>
      <w:r>
        <w:rPr>
          <w:szCs w:val="27"/>
        </w:rPr>
        <w:t>41,750</w:t>
      </w:r>
      <w:r>
        <w:rPr>
          <w:szCs w:val="27"/>
        </w:rPr>
        <w:t>元，以及僱主須承擔的維修和更換義製人體器官或外科器具費用的最高金額，由</w:t>
      </w:r>
      <w:r>
        <w:rPr>
          <w:szCs w:val="27"/>
        </w:rPr>
        <w:t>121,230</w:t>
      </w:r>
      <w:r>
        <w:rPr>
          <w:szCs w:val="27"/>
        </w:rPr>
        <w:t>元提高至</w:t>
      </w:r>
      <w:r>
        <w:rPr>
          <w:szCs w:val="27"/>
        </w:rPr>
        <w:t>126,490</w:t>
      </w:r>
      <w:r>
        <w:rPr>
          <w:szCs w:val="27"/>
        </w:rPr>
        <w:t>元。</w:t>
      </w:r>
    </w:p>
    <w:p>
      <w:pPr>
        <w:pStyle w:val="F21"/>
        <w:rPr>
          <w:szCs w:val="27"/>
        </w:rPr>
      </w:pPr>
      <w:r>
        <w:rPr>
          <w:szCs w:val="27"/>
        </w:rPr>
      </w:r>
    </w:p>
    <w:p>
      <w:pPr>
        <w:pStyle w:val="F21"/>
        <w:rPr>
          <w:szCs w:val="27"/>
        </w:rPr>
      </w:pPr>
      <w:r>
        <w:rPr>
          <w:szCs w:val="27"/>
        </w:rPr>
        <w:tab/>
      </w:r>
      <w:r>
        <w:rPr>
          <w:szCs w:val="27"/>
        </w:rPr>
        <w:t>此外，我們建議參考截至</w:t>
      </w:r>
      <w:r>
        <w:rPr>
          <w:szCs w:val="27"/>
        </w:rPr>
        <w:t>2018</w:t>
      </w:r>
      <w:r>
        <w:rPr>
          <w:szCs w:val="27"/>
        </w:rPr>
        <w:t>年</w:t>
      </w:r>
      <w:r>
        <w:rPr>
          <w:szCs w:val="27"/>
        </w:rPr>
        <w:t>4</w:t>
      </w:r>
      <w:r>
        <w:rPr>
          <w:szCs w:val="27"/>
        </w:rPr>
        <w:t>月綜合社會保障援助計劃所提供的相關項目，將《僱員補償條例》訂明用以計算工傷病假期間的按期付款的每月最低收入金額由</w:t>
      </w:r>
      <w:r>
        <w:rPr>
          <w:szCs w:val="27"/>
        </w:rPr>
        <w:t>4,090</w:t>
      </w:r>
      <w:r>
        <w:rPr>
          <w:szCs w:val="27"/>
        </w:rPr>
        <w:t>元調高至</w:t>
      </w:r>
      <w:r>
        <w:rPr>
          <w:szCs w:val="27"/>
        </w:rPr>
        <w:t>4,500</w:t>
      </w:r>
      <w:r>
        <w:rPr>
          <w:szCs w:val="27"/>
        </w:rPr>
        <w:t>元。</w:t>
      </w:r>
    </w:p>
    <w:p>
      <w:pPr>
        <w:pStyle w:val="F21"/>
        <w:rPr>
          <w:szCs w:val="27"/>
        </w:rPr>
      </w:pPr>
      <w:r>
        <w:rPr>
          <w:szCs w:val="27"/>
        </w:rPr>
      </w:r>
    </w:p>
    <w:p>
      <w:pPr>
        <w:pStyle w:val="F21"/>
        <w:rPr>
          <w:i/>
          <w:i/>
          <w:szCs w:val="27"/>
        </w:rPr>
      </w:pPr>
      <w:r>
        <w:rPr>
          <w:i/>
          <w:szCs w:val="27"/>
        </w:rPr>
        <w:t>(</w:t>
      </w:r>
      <w:r>
        <w:rPr>
          <w:i/>
          <w:szCs w:val="27"/>
        </w:rPr>
        <w:t>二</w:t>
      </w:r>
      <w:r>
        <w:rPr>
          <w:i/>
          <w:szCs w:val="27"/>
        </w:rPr>
        <w:t>)</w:t>
        <w:tab/>
      </w:r>
      <w:r>
        <w:rPr>
          <w:i/>
          <w:szCs w:val="27"/>
        </w:rPr>
        <w:t>根據《肺塵病條例》第</w:t>
      </w:r>
      <w:r>
        <w:rPr>
          <w:i/>
          <w:szCs w:val="27"/>
        </w:rPr>
        <w:t>40</w:t>
      </w:r>
      <w:r>
        <w:rPr>
          <w:i/>
          <w:szCs w:val="27"/>
        </w:rPr>
        <w:t>條動議的決議</w:t>
      </w:r>
    </w:p>
    <w:p>
      <w:pPr>
        <w:pStyle w:val="F21"/>
        <w:rPr>
          <w:szCs w:val="27"/>
        </w:rPr>
      </w:pPr>
      <w:r>
        <w:rPr>
          <w:szCs w:val="27"/>
        </w:rPr>
      </w:r>
    </w:p>
    <w:p>
      <w:pPr>
        <w:pStyle w:val="F21"/>
        <w:rPr>
          <w:szCs w:val="27"/>
        </w:rPr>
      </w:pPr>
      <w:r>
        <w:rPr>
          <w:szCs w:val="27"/>
        </w:rPr>
        <w:tab/>
      </w:r>
      <w:r>
        <w:rPr>
          <w:szCs w:val="27"/>
        </w:rPr>
        <w:t>代理主席，接着下來我會就建議增加《肺塵病條例》下</w:t>
      </w:r>
      <w:r>
        <w:rPr>
          <w:szCs w:val="27"/>
        </w:rPr>
        <w:t>5</w:t>
      </w:r>
      <w:r>
        <w:rPr>
          <w:szCs w:val="27"/>
        </w:rPr>
        <w:t>個補償項目的金額及擴大該條例的醫療裝置範圍發言。《肺塵病條例》就患肺塵埃沉着病</w:t>
      </w:r>
      <w:r>
        <w:rPr>
          <w:szCs w:val="27"/>
        </w:rPr>
        <w:t>("</w:t>
      </w:r>
      <w:r>
        <w:rPr>
          <w:szCs w:val="27"/>
        </w:rPr>
        <w:t>肺塵病</w:t>
      </w:r>
      <w:r>
        <w:rPr>
          <w:szCs w:val="27"/>
        </w:rPr>
        <w:t>")</w:t>
      </w:r>
      <w:r>
        <w:rPr>
          <w:szCs w:val="27"/>
        </w:rPr>
        <w:t>或間皮瘤以致喪失工作能力的人士或死亡人士的家庭成員，訂定補償的支付。</w:t>
      </w:r>
    </w:p>
    <w:p>
      <w:pPr>
        <w:pStyle w:val="F21"/>
        <w:rPr>
          <w:szCs w:val="27"/>
        </w:rPr>
      </w:pPr>
      <w:r>
        <w:rPr>
          <w:szCs w:val="27"/>
        </w:rPr>
      </w:r>
    </w:p>
    <w:p>
      <w:pPr>
        <w:pStyle w:val="F21"/>
        <w:rPr>
          <w:szCs w:val="27"/>
        </w:rPr>
      </w:pPr>
      <w:r>
        <w:rPr>
          <w:szCs w:val="27"/>
        </w:rPr>
        <w:tab/>
      </w:r>
      <w:r>
        <w:rPr>
          <w:szCs w:val="27"/>
        </w:rPr>
        <w:t>按既定機制，我們建議根據甲類消費物價指數在</w:t>
      </w:r>
      <w:r>
        <w:rPr>
          <w:szCs w:val="27"/>
        </w:rPr>
        <w:t>2016</w:t>
      </w:r>
      <w:r>
        <w:rPr>
          <w:szCs w:val="27"/>
        </w:rPr>
        <w:t>年及</w:t>
      </w:r>
      <w:r>
        <w:rPr>
          <w:szCs w:val="27"/>
        </w:rPr>
        <w:t>2017</w:t>
      </w:r>
      <w:r>
        <w:rPr>
          <w:szCs w:val="27"/>
        </w:rPr>
        <w:t>年的累積升幅，將《肺塵病條例》的兩個補償項目的金額調高</w:t>
      </w:r>
      <w:r>
        <w:rPr>
          <w:szCs w:val="27"/>
        </w:rPr>
        <w:t>4.34%</w:t>
      </w:r>
      <w:r>
        <w:rPr>
          <w:szCs w:val="27"/>
        </w:rPr>
        <w:t>。建議的修訂包括將疼痛、痛苦與喪失生活樂趣的補償金額，由每月的</w:t>
      </w:r>
      <w:r>
        <w:rPr>
          <w:szCs w:val="27"/>
        </w:rPr>
        <w:t>5,110</w:t>
      </w:r>
      <w:r>
        <w:rPr>
          <w:szCs w:val="27"/>
        </w:rPr>
        <w:t>元提高至</w:t>
      </w:r>
      <w:r>
        <w:rPr>
          <w:szCs w:val="27"/>
        </w:rPr>
        <w:t>5,330</w:t>
      </w:r>
      <w:r>
        <w:rPr>
          <w:szCs w:val="27"/>
        </w:rPr>
        <w:t>元，以及將殯殮費的上限由</w:t>
      </w:r>
      <w:r>
        <w:rPr>
          <w:szCs w:val="27"/>
        </w:rPr>
        <w:t>83,700</w:t>
      </w:r>
      <w:r>
        <w:rPr>
          <w:szCs w:val="27"/>
        </w:rPr>
        <w:t>元調高至</w:t>
      </w:r>
      <w:r>
        <w:rPr>
          <w:szCs w:val="27"/>
        </w:rPr>
        <w:t>87,330</w:t>
      </w:r>
      <w:r>
        <w:rPr>
          <w:szCs w:val="27"/>
        </w:rPr>
        <w:t>元。</w:t>
      </w:r>
    </w:p>
    <w:p>
      <w:pPr>
        <w:pStyle w:val="F21"/>
        <w:rPr>
          <w:szCs w:val="27"/>
        </w:rPr>
      </w:pPr>
      <w:r>
        <w:rPr>
          <w:szCs w:val="27"/>
        </w:rPr>
      </w:r>
    </w:p>
    <w:p>
      <w:pPr>
        <w:pStyle w:val="F21"/>
        <w:rPr>
          <w:szCs w:val="27"/>
        </w:rPr>
      </w:pPr>
      <w:r>
        <w:rPr>
          <w:szCs w:val="27"/>
        </w:rPr>
        <w:tab/>
      </w:r>
      <w:r>
        <w:rPr>
          <w:szCs w:val="27"/>
        </w:rPr>
        <w:t>就《肺塵病條例》下的親屬喪亡之痛的補償，我們建議參照《致命意外條例》下的親屬喪亡之痛損害賠償最新款額而作出調整。立法會在</w:t>
      </w:r>
      <w:r>
        <w:rPr>
          <w:szCs w:val="27"/>
        </w:rPr>
        <w:t>2018</w:t>
      </w:r>
      <w:r>
        <w:rPr>
          <w:szCs w:val="27"/>
        </w:rPr>
        <w:t>年</w:t>
      </w:r>
      <w:r>
        <w:rPr>
          <w:szCs w:val="27"/>
        </w:rPr>
        <w:t>7</w:t>
      </w:r>
      <w:r>
        <w:rPr>
          <w:szCs w:val="27"/>
        </w:rPr>
        <w:t>月</w:t>
      </w:r>
      <w:r>
        <w:rPr>
          <w:szCs w:val="27"/>
        </w:rPr>
        <w:t>11</w:t>
      </w:r>
      <w:r>
        <w:rPr>
          <w:szCs w:val="27"/>
        </w:rPr>
        <w:t>日的會議上通過決議，調高《致命意外條例》下的親屬喪亡之痛損害賠償款額至</w:t>
      </w:r>
      <w:r>
        <w:rPr>
          <w:szCs w:val="27"/>
        </w:rPr>
        <w:t>220,000</w:t>
      </w:r>
      <w:r>
        <w:rPr>
          <w:szCs w:val="27"/>
        </w:rPr>
        <w:t>元，修訂款額已於</w:t>
      </w:r>
      <w:r>
        <w:rPr>
          <w:szCs w:val="27"/>
        </w:rPr>
        <w:t>2018</w:t>
      </w:r>
      <w:r>
        <w:rPr>
          <w:szCs w:val="27"/>
        </w:rPr>
        <w:t>年</w:t>
      </w:r>
      <w:r>
        <w:rPr>
          <w:szCs w:val="27"/>
        </w:rPr>
        <w:t>7</w:t>
      </w:r>
      <w:r>
        <w:rPr>
          <w:szCs w:val="27"/>
        </w:rPr>
        <w:t>月</w:t>
      </w:r>
      <w:r>
        <w:rPr>
          <w:szCs w:val="27"/>
        </w:rPr>
        <w:t>13</w:t>
      </w:r>
      <w:r>
        <w:rPr>
          <w:szCs w:val="27"/>
        </w:rPr>
        <w:t>日生效。參照此損害賠償款額，我們建議調高《肺塵病條例》下的親屬喪亡之痛的補償，由</w:t>
      </w:r>
      <w:r>
        <w:rPr>
          <w:szCs w:val="27"/>
        </w:rPr>
        <w:t>121,230</w:t>
      </w:r>
      <w:r>
        <w:rPr>
          <w:szCs w:val="27"/>
        </w:rPr>
        <w:t>元上調</w:t>
      </w:r>
      <w:r>
        <w:rPr>
          <w:szCs w:val="27"/>
        </w:rPr>
        <w:t>81.47%</w:t>
      </w:r>
      <w:r>
        <w:rPr>
          <w:szCs w:val="27"/>
        </w:rPr>
        <w:t>至</w:t>
      </w:r>
      <w:r>
        <w:rPr>
          <w:szCs w:val="27"/>
        </w:rPr>
        <w:t>220,000</w:t>
      </w:r>
      <w:r>
        <w:rPr>
          <w:szCs w:val="27"/>
        </w:rPr>
        <w:t>元。由於《肺塵病條例》下的死亡補償的最低金額是與親屬喪亡之痛的補償金額掛鈎，因此我們亦建議將死亡補償的最低金額由</w:t>
      </w:r>
      <w:r>
        <w:rPr>
          <w:szCs w:val="27"/>
        </w:rPr>
        <w:t>121,230</w:t>
      </w:r>
      <w:r>
        <w:rPr>
          <w:szCs w:val="27"/>
        </w:rPr>
        <w:t>元提升至</w:t>
      </w:r>
      <w:r>
        <w:rPr>
          <w:szCs w:val="27"/>
        </w:rPr>
        <w:t>220,000</w:t>
      </w:r>
      <w:r>
        <w:rPr>
          <w:szCs w:val="27"/>
        </w:rPr>
        <w:t>元。</w:t>
      </w:r>
    </w:p>
    <w:p>
      <w:pPr>
        <w:pStyle w:val="F21"/>
        <w:rPr>
          <w:szCs w:val="27"/>
        </w:rPr>
      </w:pPr>
      <w:r>
        <w:rPr>
          <w:szCs w:val="27"/>
        </w:rPr>
      </w:r>
    </w:p>
    <w:p>
      <w:pPr>
        <w:pStyle w:val="F21"/>
        <w:rPr>
          <w:szCs w:val="27"/>
        </w:rPr>
      </w:pPr>
      <w:r>
        <w:rPr>
          <w:szCs w:val="27"/>
        </w:rPr>
        <w:tab/>
      </w:r>
      <w:r>
        <w:rPr>
          <w:szCs w:val="27"/>
        </w:rPr>
        <w:t>另外，我們建議參照在</w:t>
      </w:r>
      <w:r>
        <w:rPr>
          <w:szCs w:val="27"/>
        </w:rPr>
        <w:t>2018</w:t>
      </w:r>
      <w:r>
        <w:rPr>
          <w:szCs w:val="27"/>
        </w:rPr>
        <w:t>年</w:t>
      </w:r>
      <w:r>
        <w:rPr>
          <w:szCs w:val="27"/>
        </w:rPr>
        <w:t>9</w:t>
      </w:r>
      <w:r>
        <w:rPr>
          <w:szCs w:val="27"/>
        </w:rPr>
        <w:t>月最新的</w:t>
      </w:r>
      <w:r>
        <w:rPr>
          <w:szCs w:val="27"/>
        </w:rPr>
        <w:t>......</w:t>
      </w:r>
    </w:p>
    <w:p>
      <w:pPr>
        <w:pStyle w:val="F21"/>
        <w:rPr>
          <w:szCs w:val="27"/>
        </w:rPr>
      </w:pPr>
      <w:r>
        <w:rPr>
          <w:szCs w:val="27"/>
        </w:rPr>
      </w:r>
    </w:p>
    <w:p>
      <w:pPr>
        <w:pStyle w:val="F21"/>
        <w:rPr>
          <w:szCs w:val="27"/>
        </w:rPr>
      </w:pPr>
      <w:r>
        <w:rPr>
          <w:szCs w:val="27"/>
        </w:rPr>
        <w:t>(</w:t>
      </w:r>
      <w:r>
        <w:rPr>
          <w:szCs w:val="27"/>
        </w:rPr>
        <w:t>郭榮鏗議員站起來</w:t>
      </w:r>
      <w:r>
        <w:rPr>
          <w:szCs w:val="27"/>
        </w:rPr>
        <w:t>)</w:t>
      </w:r>
    </w:p>
    <w:p>
      <w:pPr>
        <w:pStyle w:val="F21"/>
        <w:rPr>
          <w:szCs w:val="27"/>
          <w:highlight w:val="lightGray"/>
        </w:rPr>
      </w:pPr>
      <w:r>
        <w:rPr>
          <w:szCs w:val="27"/>
          <w:highlight w:val="lightGray"/>
        </w:rPr>
      </w:r>
    </w:p>
    <w:p>
      <w:pPr>
        <w:pStyle w:val="F21"/>
        <w:rPr>
          <w:szCs w:val="27"/>
          <w:highlight w:val="lightGray"/>
        </w:rPr>
      </w:pPr>
      <w:r>
        <w:rPr>
          <w:szCs w:val="27"/>
          <w:highlight w:val="lightGray"/>
        </w:rPr>
      </w:r>
    </w:p>
    <w:p>
      <w:pPr>
        <w:pStyle w:val="F21"/>
        <w:rPr>
          <w:szCs w:val="27"/>
        </w:rPr>
      </w:pPr>
      <w:r>
        <w:rPr>
          <w:rFonts w:ascii="華康中黑體" w:hAnsi="華康中黑體" w:eastAsia="華康中黑體"/>
          <w:b/>
          <w:szCs w:val="27"/>
        </w:rPr>
        <w:t>代理主席</w:t>
      </w:r>
      <w:r>
        <w:rPr>
          <w:szCs w:val="27"/>
        </w:rPr>
        <w:t>：局長，請稍停。郭榮鏗議員，你有甚麼規程問題？</w:t>
      </w:r>
    </w:p>
    <w:p>
      <w:pPr>
        <w:pStyle w:val="F21"/>
        <w:rPr>
          <w:szCs w:val="27"/>
        </w:rPr>
      </w:pPr>
      <w:r>
        <w:rPr>
          <w:szCs w:val="27"/>
        </w:rPr>
      </w:r>
    </w:p>
    <w:p>
      <w:pPr>
        <w:pStyle w:val="F21"/>
        <w:rPr>
          <w:szCs w:val="27"/>
        </w:rPr>
      </w:pPr>
      <w:r>
        <w:rPr>
          <w:szCs w:val="27"/>
        </w:rPr>
      </w:r>
    </w:p>
    <w:p>
      <w:pPr>
        <w:pStyle w:val="F21"/>
        <w:rPr>
          <w:szCs w:val="27"/>
        </w:rPr>
      </w:pPr>
      <w:r>
        <w:rPr>
          <w:rFonts w:ascii="華康中黑體" w:hAnsi="華康中黑體" w:eastAsia="華康中黑體"/>
          <w:b/>
          <w:szCs w:val="27"/>
        </w:rPr>
        <w:t>郭榮鏗議員</w:t>
      </w:r>
      <w:r>
        <w:rPr>
          <w:szCs w:val="27"/>
        </w:rPr>
        <w:t>：我要求點算法定人數。</w:t>
      </w:r>
    </w:p>
    <w:p>
      <w:pPr>
        <w:pStyle w:val="F21"/>
        <w:rPr>
          <w:szCs w:val="27"/>
        </w:rPr>
      </w:pPr>
      <w:r>
        <w:rPr>
          <w:szCs w:val="27"/>
        </w:rPr>
      </w:r>
    </w:p>
    <w:p>
      <w:pPr>
        <w:pStyle w:val="F21"/>
        <w:rPr>
          <w:szCs w:val="27"/>
        </w:rPr>
      </w:pPr>
      <w:r>
        <w:rPr>
          <w:szCs w:val="27"/>
        </w:rPr>
      </w:r>
    </w:p>
    <w:p>
      <w:pPr>
        <w:pStyle w:val="F21"/>
        <w:rPr>
          <w:szCs w:val="27"/>
        </w:rPr>
      </w:pPr>
      <w:r>
        <w:rPr>
          <w:rFonts w:ascii="華康中黑體" w:hAnsi="華康中黑體" w:eastAsia="華康中黑體"/>
          <w:b/>
          <w:szCs w:val="27"/>
        </w:rPr>
        <w:t>代理主席</w:t>
      </w:r>
      <w:r>
        <w:rPr>
          <w:szCs w:val="27"/>
        </w:rPr>
        <w:t>：郭榮鏗議員要求點算法定人數。</w:t>
      </w:r>
    </w:p>
    <w:p>
      <w:pPr>
        <w:pStyle w:val="F21"/>
        <w:rPr>
          <w:szCs w:val="27"/>
        </w:rPr>
      </w:pPr>
      <w:r>
        <w:rPr>
          <w:szCs w:val="27"/>
        </w:rPr>
      </w:r>
    </w:p>
    <w:p>
      <w:pPr>
        <w:pStyle w:val="F21"/>
        <w:rPr>
          <w:szCs w:val="27"/>
        </w:rPr>
      </w:pPr>
      <w:r>
        <w:rPr>
          <w:szCs w:val="27"/>
        </w:rPr>
        <w:tab/>
      </w:r>
      <w:r>
        <w:rPr>
          <w:szCs w:val="27"/>
        </w:rPr>
        <w:t>秘書，請響鐘傳召議員返回會議廳。</w:t>
      </w:r>
    </w:p>
    <w:p>
      <w:pPr>
        <w:pStyle w:val="F21"/>
        <w:rPr>
          <w:szCs w:val="27"/>
        </w:rPr>
      </w:pPr>
      <w:r>
        <w:rPr>
          <w:szCs w:val="27"/>
        </w:rPr>
      </w:r>
    </w:p>
    <w:p>
      <w:pPr>
        <w:pStyle w:val="F21"/>
        <w:rPr>
          <w:szCs w:val="27"/>
        </w:rPr>
      </w:pPr>
      <w:r>
        <w:rPr>
          <w:szCs w:val="27"/>
        </w:rPr>
        <w:t>(</w:t>
      </w:r>
      <w:r>
        <w:rPr>
          <w:szCs w:val="27"/>
        </w:rPr>
        <w:t>在傳召鐘響後，多位議員返回會議廳，但有議員仍未返回座位</w:t>
      </w:r>
      <w:r>
        <w:rPr>
          <w:szCs w:val="27"/>
        </w:rPr>
        <w:t>)</w:t>
      </w:r>
    </w:p>
    <w:p>
      <w:pPr>
        <w:pStyle w:val="F21"/>
        <w:rPr>
          <w:szCs w:val="27"/>
        </w:rPr>
      </w:pPr>
      <w:r>
        <w:rPr>
          <w:szCs w:val="27"/>
        </w:rPr>
      </w:r>
    </w:p>
    <w:p>
      <w:pPr>
        <w:pStyle w:val="F21"/>
        <w:rPr>
          <w:szCs w:val="27"/>
        </w:rPr>
      </w:pPr>
      <w:r>
        <w:rPr>
          <w:szCs w:val="27"/>
        </w:rPr>
      </w:r>
    </w:p>
    <w:p>
      <w:pPr>
        <w:pStyle w:val="F21"/>
        <w:rPr>
          <w:szCs w:val="27"/>
        </w:rPr>
      </w:pPr>
      <w:r>
        <w:rPr>
          <w:rFonts w:ascii="華康中黑體" w:hAnsi="華康中黑體" w:eastAsia="華康中黑體"/>
          <w:b/>
          <w:szCs w:val="27"/>
        </w:rPr>
        <w:t>代理主席</w:t>
      </w:r>
      <w:r>
        <w:rPr>
          <w:szCs w:val="27"/>
        </w:rPr>
        <w:t>：請各位議員返回座位，以便點算法定人數。</w:t>
      </w:r>
    </w:p>
    <w:p>
      <w:pPr>
        <w:pStyle w:val="F21"/>
        <w:rPr>
          <w:szCs w:val="27"/>
        </w:rPr>
      </w:pPr>
      <w:r>
        <w:rPr>
          <w:szCs w:val="27"/>
        </w:rPr>
      </w:r>
    </w:p>
    <w:p>
      <w:pPr>
        <w:pStyle w:val="F21"/>
        <w:rPr>
          <w:szCs w:val="27"/>
        </w:rPr>
      </w:pPr>
      <w:r>
        <w:rPr>
          <w:szCs w:val="27"/>
        </w:rPr>
        <w:t>(</w:t>
      </w:r>
      <w:r>
        <w:rPr>
          <w:szCs w:val="27"/>
        </w:rPr>
        <w:t>多位議員返回座位</w:t>
      </w:r>
      <w:r>
        <w:rPr>
          <w:szCs w:val="27"/>
        </w:rPr>
        <w:t>)</w:t>
      </w:r>
    </w:p>
    <w:p>
      <w:pPr>
        <w:pStyle w:val="F21"/>
        <w:rPr>
          <w:szCs w:val="27"/>
        </w:rPr>
      </w:pPr>
      <w:r>
        <w:rPr>
          <w:szCs w:val="27"/>
        </w:rPr>
      </w:r>
    </w:p>
    <w:p>
      <w:pPr>
        <w:pStyle w:val="F21"/>
        <w:rPr>
          <w:szCs w:val="27"/>
        </w:rPr>
      </w:pPr>
      <w:r>
        <w:rPr>
          <w:szCs w:val="27"/>
        </w:rPr>
      </w:r>
    </w:p>
    <w:p>
      <w:pPr>
        <w:pStyle w:val="F21"/>
        <w:rPr>
          <w:szCs w:val="27"/>
        </w:rPr>
      </w:pPr>
      <w:r>
        <w:rPr>
          <w:rFonts w:ascii="華康中黑體" w:hAnsi="華康中黑體" w:eastAsia="華康中黑體"/>
          <w:b/>
          <w:szCs w:val="27"/>
        </w:rPr>
        <w:t>代理主席</w:t>
      </w:r>
      <w:r>
        <w:rPr>
          <w:szCs w:val="27"/>
        </w:rPr>
        <w:t>：會議廳內已有足夠法定人數，現在會議繼續。局長，請繼續發言。</w:t>
      </w:r>
    </w:p>
    <w:p>
      <w:pPr>
        <w:pStyle w:val="F21"/>
        <w:rPr>
          <w:szCs w:val="27"/>
          <w:highlight w:val="lightGray"/>
        </w:rPr>
      </w:pPr>
      <w:r>
        <w:rPr>
          <w:szCs w:val="27"/>
          <w:highlight w:val="lightGray"/>
        </w:rPr>
      </w:r>
    </w:p>
    <w:p>
      <w:pPr>
        <w:pStyle w:val="F21"/>
        <w:rPr>
          <w:szCs w:val="27"/>
        </w:rPr>
      </w:pPr>
      <w:r>
        <w:rPr>
          <w:szCs w:val="27"/>
        </w:rPr>
      </w:r>
    </w:p>
    <w:p>
      <w:pPr>
        <w:pStyle w:val="F21"/>
        <w:rPr>
          <w:szCs w:val="27"/>
        </w:rPr>
      </w:pPr>
      <w:r>
        <w:rPr>
          <w:rFonts w:ascii="華康中黑體" w:hAnsi="華康中黑體" w:cs="華康中黑體" w:eastAsia="華康中黑體"/>
          <w:b/>
          <w:szCs w:val="27"/>
        </w:rPr>
        <w:t>勞工及福利局局長</w:t>
      </w:r>
      <w:r>
        <w:rPr>
          <w:szCs w:val="27"/>
        </w:rPr>
        <w:t>：我們建議參照在</w:t>
      </w:r>
      <w:r>
        <w:rPr>
          <w:szCs w:val="27"/>
        </w:rPr>
        <w:t>2018</w:t>
      </w:r>
      <w:r>
        <w:rPr>
          <w:szCs w:val="27"/>
        </w:rPr>
        <w:t>年</w:t>
      </w:r>
      <w:r>
        <w:rPr>
          <w:szCs w:val="27"/>
        </w:rPr>
        <w:t>9</w:t>
      </w:r>
      <w:r>
        <w:rPr>
          <w:szCs w:val="27"/>
        </w:rPr>
        <w:t>月最新的在港工作的外籍家庭傭工的最低每月工資及膳食津貼金額，將《肺塵病條例》下護理及照顧方面的每月補償款額，由</w:t>
      </w:r>
      <w:r>
        <w:rPr>
          <w:szCs w:val="27"/>
        </w:rPr>
        <w:t>5,210</w:t>
      </w:r>
      <w:r>
        <w:rPr>
          <w:szCs w:val="27"/>
        </w:rPr>
        <w:t>元增至</w:t>
      </w:r>
      <w:r>
        <w:rPr>
          <w:szCs w:val="27"/>
        </w:rPr>
        <w:t>5,600</w:t>
      </w:r>
      <w:r>
        <w:rPr>
          <w:szCs w:val="27"/>
        </w:rPr>
        <w:t>元。</w:t>
      </w:r>
    </w:p>
    <w:p>
      <w:pPr>
        <w:pStyle w:val="Normal"/>
        <w:widowControl/>
        <w:tabs>
          <w:tab w:val="clear" w:pos="720"/>
        </w:tabs>
        <w:snapToGrid w:val="true"/>
        <w:spacing w:lineRule="exact" w:line="20"/>
        <w:jc w:val="left"/>
        <w:rPr>
          <w:rFonts w:cs="" w:cstheme="minorBidi"/>
          <w:spacing w:val="20"/>
          <w:sz w:val="27"/>
          <w:szCs w:val="27"/>
          <w:lang w:val="en-US"/>
        </w:rPr>
      </w:pPr>
      <w:r>
        <w:rPr>
          <w:rFonts w:cs="" w:cstheme="minorBidi"/>
          <w:spacing w:val="20"/>
          <w:sz w:val="27"/>
          <w:szCs w:val="27"/>
          <w:lang w:val="en-US"/>
        </w:rPr>
      </w:r>
      <w:r>
        <w:br w:type="page"/>
      </w:r>
    </w:p>
    <w:p>
      <w:pPr>
        <w:pStyle w:val="F21"/>
        <w:rPr>
          <w:szCs w:val="27"/>
        </w:rPr>
      </w:pPr>
      <w:r>
        <w:rPr>
          <w:szCs w:val="27"/>
        </w:rPr>
        <w:tab/>
      </w:r>
      <w:r>
        <w:rPr>
          <w:szCs w:val="27"/>
        </w:rPr>
        <w:t>此外，根據《肺塵病條例》，患有肺塵病或間皮瘤的合資格人士在使用或獲供應該條例附表</w:t>
      </w:r>
      <w:r>
        <w:rPr>
          <w:szCs w:val="27"/>
        </w:rPr>
        <w:t>2</w:t>
      </w:r>
      <w:r>
        <w:rPr>
          <w:szCs w:val="27"/>
        </w:rPr>
        <w:t>第</w:t>
      </w:r>
      <w:r>
        <w:rPr>
          <w:szCs w:val="27"/>
        </w:rPr>
        <w:t>II</w:t>
      </w:r>
      <w:r>
        <w:rPr>
          <w:szCs w:val="27"/>
        </w:rPr>
        <w:t>部指明種類的醫療裝置，可獲支付所需的合理費用。因應病人組織及相關團體就擴大《肺塵病條例》下的醫療裝置以涵蓋呼吸機及抽痰機的意見，勞工處曾聯同肺塵埃沉着病補償基金委員會</w:t>
      </w:r>
      <w:r>
        <w:rPr>
          <w:szCs w:val="27"/>
        </w:rPr>
        <w:t>("</w:t>
      </w:r>
      <w:r>
        <w:rPr>
          <w:szCs w:val="27"/>
        </w:rPr>
        <w:t>基金委員會</w:t>
      </w:r>
      <w:r>
        <w:rPr>
          <w:szCs w:val="27"/>
        </w:rPr>
        <w:t>")</w:t>
      </w:r>
      <w:r>
        <w:rPr>
          <w:szCs w:val="27"/>
        </w:rPr>
        <w:t>進行研究，包括向病人及相關組織以及職工會收集資料、諮詢衞生署及醫院管理局的專業意見。經研究後，我們建議擴大《肺塵病條例》附表</w:t>
      </w:r>
      <w:r>
        <w:rPr>
          <w:szCs w:val="27"/>
        </w:rPr>
        <w:t>2</w:t>
      </w:r>
      <w:r>
        <w:rPr>
          <w:szCs w:val="27"/>
        </w:rPr>
        <w:t>第</w:t>
      </w:r>
      <w:r>
        <w:rPr>
          <w:szCs w:val="27"/>
        </w:rPr>
        <w:t>II</w:t>
      </w:r>
      <w:r>
        <w:rPr>
          <w:szCs w:val="27"/>
        </w:rPr>
        <w:t>部有關醫療裝置的範圍，增加兩個項目，包括</w:t>
      </w:r>
      <w:r>
        <w:rPr>
          <w:szCs w:val="27"/>
        </w:rPr>
        <w:t>(1)</w:t>
      </w:r>
      <w:r>
        <w:rPr>
          <w:szCs w:val="27"/>
        </w:rPr>
        <w:t>高低正氣壓呼吸機及與呼吸機一併使用的放濕機與配件；及</w:t>
      </w:r>
      <w:r>
        <w:rPr>
          <w:szCs w:val="27"/>
        </w:rPr>
        <w:t>(2)</w:t>
      </w:r>
      <w:r>
        <w:rPr>
          <w:szCs w:val="27"/>
        </w:rPr>
        <w:t>抽痰機與配件。</w:t>
      </w:r>
    </w:p>
    <w:p>
      <w:pPr>
        <w:pStyle w:val="F21"/>
        <w:rPr>
          <w:szCs w:val="27"/>
        </w:rPr>
      </w:pPr>
      <w:r>
        <w:rPr>
          <w:szCs w:val="27"/>
        </w:rPr>
      </w:r>
    </w:p>
    <w:p>
      <w:pPr>
        <w:pStyle w:val="F21"/>
        <w:rPr>
          <w:i/>
          <w:i/>
          <w:szCs w:val="27"/>
        </w:rPr>
      </w:pPr>
      <w:r>
        <w:rPr>
          <w:i/>
          <w:szCs w:val="27"/>
        </w:rPr>
        <w:t>(</w:t>
      </w:r>
      <w:r>
        <w:rPr>
          <w:i/>
          <w:szCs w:val="27"/>
        </w:rPr>
        <w:t>三</w:t>
      </w:r>
      <w:r>
        <w:rPr>
          <w:i/>
          <w:szCs w:val="27"/>
        </w:rPr>
        <w:t>)</w:t>
        <w:tab/>
      </w:r>
      <w:r>
        <w:rPr>
          <w:i/>
          <w:szCs w:val="27"/>
        </w:rPr>
        <w:t>根據《失聰補償條例》第</w:t>
      </w:r>
      <w:r>
        <w:rPr>
          <w:i/>
          <w:szCs w:val="27"/>
        </w:rPr>
        <w:t>39(2)</w:t>
      </w:r>
      <w:r>
        <w:rPr>
          <w:i/>
          <w:szCs w:val="27"/>
        </w:rPr>
        <w:t>條動議的決議</w:t>
      </w:r>
    </w:p>
    <w:p>
      <w:pPr>
        <w:pStyle w:val="F21"/>
        <w:rPr>
          <w:szCs w:val="27"/>
        </w:rPr>
      </w:pPr>
      <w:r>
        <w:rPr>
          <w:szCs w:val="27"/>
        </w:rPr>
      </w:r>
    </w:p>
    <w:p>
      <w:pPr>
        <w:pStyle w:val="F21"/>
        <w:rPr>
          <w:szCs w:val="27"/>
        </w:rPr>
      </w:pPr>
      <w:r>
        <w:rPr>
          <w:szCs w:val="27"/>
        </w:rPr>
        <w:tab/>
      </w:r>
      <w:r>
        <w:rPr>
          <w:szCs w:val="27"/>
        </w:rPr>
        <w:t>代理主席，最後我會就建議增加《失聰補償條例》下</w:t>
      </w:r>
      <w:r>
        <w:rPr>
          <w:szCs w:val="27"/>
        </w:rPr>
        <w:t>4</w:t>
      </w:r>
      <w:r>
        <w:rPr>
          <w:szCs w:val="27"/>
        </w:rPr>
        <w:t>個補償項目的金額發言。《失聰補償條例》就受僱從事該條例指定的高噪音工作而罹患噪音所致的失聰的人士</w:t>
      </w:r>
      <w:r>
        <w:rPr>
          <w:szCs w:val="27"/>
        </w:rPr>
        <w:t>("</w:t>
      </w:r>
      <w:r>
        <w:rPr>
          <w:szCs w:val="27"/>
        </w:rPr>
        <w:t>職聰人士</w:t>
      </w:r>
      <w:r>
        <w:rPr>
          <w:szCs w:val="27"/>
        </w:rPr>
        <w:t>")</w:t>
      </w:r>
      <w:r>
        <w:rPr>
          <w:szCs w:val="27"/>
        </w:rPr>
        <w:t>，訂定補償的支付。</w:t>
      </w:r>
    </w:p>
    <w:p>
      <w:pPr>
        <w:pStyle w:val="F21"/>
        <w:rPr>
          <w:szCs w:val="27"/>
        </w:rPr>
      </w:pPr>
      <w:r>
        <w:rPr>
          <w:szCs w:val="27"/>
        </w:rPr>
      </w:r>
    </w:p>
    <w:p>
      <w:pPr>
        <w:pStyle w:val="F21"/>
        <w:rPr>
          <w:szCs w:val="27"/>
        </w:rPr>
      </w:pPr>
      <w:r>
        <w:rPr>
          <w:szCs w:val="27"/>
        </w:rPr>
        <w:tab/>
      </w:r>
      <w:r>
        <w:rPr>
          <w:szCs w:val="27"/>
        </w:rPr>
        <w:t>按既定機制，我們建議根據名義工資指數在</w:t>
      </w:r>
      <w:r>
        <w:rPr>
          <w:szCs w:val="27"/>
        </w:rPr>
        <w:t>2016</w:t>
      </w:r>
      <w:r>
        <w:rPr>
          <w:szCs w:val="27"/>
        </w:rPr>
        <w:t>年及</w:t>
      </w:r>
      <w:r>
        <w:rPr>
          <w:szCs w:val="27"/>
        </w:rPr>
        <w:t>2017</w:t>
      </w:r>
      <w:r>
        <w:rPr>
          <w:szCs w:val="27"/>
        </w:rPr>
        <w:t>年的累積升幅，將《失聰補償條例》下用以計算永久喪失工作能力補償的最高及最低金額上調</w:t>
      </w:r>
      <w:r>
        <w:rPr>
          <w:szCs w:val="27"/>
        </w:rPr>
        <w:t>7.64%</w:t>
      </w:r>
      <w:r>
        <w:rPr>
          <w:szCs w:val="27"/>
        </w:rPr>
        <w:t>。具體而言，建議的修訂包括將用以計算</w:t>
      </w:r>
      <w:r>
        <w:rPr>
          <w:szCs w:val="27"/>
        </w:rPr>
        <w:t>40</w:t>
      </w:r>
      <w:r>
        <w:rPr>
          <w:szCs w:val="27"/>
        </w:rPr>
        <w:t>歲以下僱員的永久喪失工作能力補償的最高金額由</w:t>
      </w:r>
      <w:r>
        <w:rPr>
          <w:szCs w:val="27"/>
        </w:rPr>
        <w:t>2,722,560</w:t>
      </w:r>
      <w:r>
        <w:rPr>
          <w:szCs w:val="27"/>
        </w:rPr>
        <w:t>元上調至</w:t>
      </w:r>
      <w:r>
        <w:rPr>
          <w:szCs w:val="27"/>
        </w:rPr>
        <w:t>2,930,880</w:t>
      </w:r>
      <w:r>
        <w:rPr>
          <w:szCs w:val="27"/>
        </w:rPr>
        <w:t>元；計算</w:t>
      </w:r>
      <w:r>
        <w:rPr>
          <w:szCs w:val="27"/>
        </w:rPr>
        <w:t>40</w:t>
      </w:r>
      <w:r>
        <w:rPr>
          <w:szCs w:val="27"/>
        </w:rPr>
        <w:t>歲至</w:t>
      </w:r>
      <w:r>
        <w:rPr>
          <w:szCs w:val="27"/>
        </w:rPr>
        <w:t>56</w:t>
      </w:r>
      <w:r>
        <w:rPr>
          <w:szCs w:val="27"/>
        </w:rPr>
        <w:t>歲以下僱員的永久喪失工作能力補償的最高金額由</w:t>
      </w:r>
      <w:r>
        <w:rPr>
          <w:szCs w:val="27"/>
        </w:rPr>
        <w:t>2,041,920</w:t>
      </w:r>
      <w:r>
        <w:rPr>
          <w:szCs w:val="27"/>
        </w:rPr>
        <w:t>元上調至</w:t>
      </w:r>
      <w:r>
        <w:rPr>
          <w:szCs w:val="27"/>
        </w:rPr>
        <w:t>2,198,160</w:t>
      </w:r>
      <w:r>
        <w:rPr>
          <w:szCs w:val="27"/>
        </w:rPr>
        <w:t>元；而計算</w:t>
      </w:r>
      <w:r>
        <w:rPr>
          <w:szCs w:val="27"/>
        </w:rPr>
        <w:t>56</w:t>
      </w:r>
      <w:r>
        <w:rPr>
          <w:szCs w:val="27"/>
        </w:rPr>
        <w:t>歲或以上僱員的永久喪失工作能力補償的最高金額，則由</w:t>
      </w:r>
      <w:r>
        <w:rPr>
          <w:szCs w:val="27"/>
        </w:rPr>
        <w:t>1,361,280</w:t>
      </w:r>
      <w:r>
        <w:rPr>
          <w:szCs w:val="27"/>
        </w:rPr>
        <w:t>元上調至</w:t>
      </w:r>
      <w:r>
        <w:rPr>
          <w:szCs w:val="27"/>
        </w:rPr>
        <w:t>1,465,440</w:t>
      </w:r>
      <w:r>
        <w:rPr>
          <w:szCs w:val="27"/>
        </w:rPr>
        <w:t>元。至於用以計算永久喪失工作能力補償的最低金額，我們建議由</w:t>
      </w:r>
      <w:r>
        <w:rPr>
          <w:szCs w:val="27"/>
        </w:rPr>
        <w:t>464,360</w:t>
      </w:r>
      <w:r>
        <w:rPr>
          <w:szCs w:val="27"/>
        </w:rPr>
        <w:t>元上調至</w:t>
      </w:r>
      <w:r>
        <w:rPr>
          <w:szCs w:val="27"/>
        </w:rPr>
        <w:t>499,840</w:t>
      </w:r>
      <w:r>
        <w:rPr>
          <w:szCs w:val="27"/>
        </w:rPr>
        <w:t>元。</w:t>
      </w:r>
    </w:p>
    <w:p>
      <w:pPr>
        <w:pStyle w:val="F21"/>
        <w:rPr>
          <w:szCs w:val="27"/>
        </w:rPr>
      </w:pPr>
      <w:r>
        <w:rPr>
          <w:szCs w:val="27"/>
        </w:rPr>
      </w:r>
    </w:p>
    <w:p>
      <w:pPr>
        <w:pStyle w:val="F21"/>
        <w:rPr>
          <w:szCs w:val="27"/>
        </w:rPr>
      </w:pPr>
      <w:r>
        <w:rPr>
          <w:szCs w:val="27"/>
        </w:rPr>
        <w:tab/>
      </w:r>
      <w:r>
        <w:rPr>
          <w:szCs w:val="27"/>
        </w:rPr>
        <w:t>此外，《失聰補償條例》規定，任何人士如曾在任何時間根據該條例有權獲得永久喪失工作能力的補償，可向職業性失聰補償管理局</w:t>
      </w:r>
      <w:r>
        <w:rPr>
          <w:szCs w:val="27"/>
        </w:rPr>
        <w:t>("</w:t>
      </w:r>
      <w:r>
        <w:rPr>
          <w:szCs w:val="27"/>
        </w:rPr>
        <w:t>失聰補償管理局</w:t>
      </w:r>
      <w:r>
        <w:rPr>
          <w:szCs w:val="27"/>
        </w:rPr>
        <w:t>")</w:t>
      </w:r>
      <w:r>
        <w:rPr>
          <w:szCs w:val="27"/>
        </w:rPr>
        <w:t>申請直接支付或付還有關取得、裝配、維修與保養聽力輔助器具的合理開支。就是次調整，為了加強聽力輔助器具資助計劃對職聰人士的保障，我們建議參考失聰補償管理局執行該資助計劃的經驗，調整有關資助限額。</w:t>
      </w:r>
    </w:p>
    <w:p>
      <w:pPr>
        <w:pStyle w:val="F21"/>
        <w:rPr>
          <w:szCs w:val="27"/>
        </w:rPr>
      </w:pPr>
      <w:r>
        <w:rPr>
          <w:szCs w:val="27"/>
        </w:rPr>
      </w:r>
    </w:p>
    <w:p>
      <w:pPr>
        <w:pStyle w:val="F21"/>
        <w:rPr>
          <w:szCs w:val="27"/>
        </w:rPr>
      </w:pPr>
      <w:r>
        <w:rPr>
          <w:szCs w:val="27"/>
        </w:rPr>
        <w:tab/>
      </w:r>
      <w:r>
        <w:rPr>
          <w:szCs w:val="27"/>
        </w:rPr>
        <w:t>我們建議將首次聽力輔助器具申請的資助限額由</w:t>
      </w:r>
      <w:r>
        <w:rPr>
          <w:szCs w:val="27"/>
        </w:rPr>
        <w:t>16,470</w:t>
      </w:r>
      <w:r>
        <w:rPr>
          <w:szCs w:val="27"/>
        </w:rPr>
        <w:t>元上調</w:t>
      </w:r>
      <w:r>
        <w:rPr>
          <w:szCs w:val="27"/>
        </w:rPr>
        <w:t>15.36%</w:t>
      </w:r>
      <w:r>
        <w:rPr>
          <w:szCs w:val="27"/>
        </w:rPr>
        <w:t>至</w:t>
      </w:r>
      <w:r>
        <w:rPr>
          <w:szCs w:val="27"/>
        </w:rPr>
        <w:t>19,000</w:t>
      </w:r>
      <w:r>
        <w:rPr>
          <w:szCs w:val="27"/>
        </w:rPr>
        <w:t>元，以容許職聰人士在選取助聽器時可有較多的選擇，配合他們個別的需要。此外，經考慮每位職聰人士每年使用聽力輔助器具的平均估算支出和每兩年一次視乎情況的調整，我們建議將總資助限額由</w:t>
      </w:r>
      <w:r>
        <w:rPr>
          <w:szCs w:val="27"/>
        </w:rPr>
        <w:t>57,110</w:t>
      </w:r>
      <w:r>
        <w:rPr>
          <w:szCs w:val="27"/>
        </w:rPr>
        <w:t>元上調</w:t>
      </w:r>
      <w:r>
        <w:rPr>
          <w:szCs w:val="27"/>
        </w:rPr>
        <w:t>38.33%</w:t>
      </w:r>
      <w:r>
        <w:rPr>
          <w:szCs w:val="27"/>
        </w:rPr>
        <w:t>至</w:t>
      </w:r>
      <w:r>
        <w:rPr>
          <w:szCs w:val="27"/>
        </w:rPr>
        <w:t>79,000</w:t>
      </w:r>
      <w:r>
        <w:rPr>
          <w:szCs w:val="27"/>
        </w:rPr>
        <w:t>元，好讓那些已用罄總資助限額的職聰人士可重新在計劃下享有資助，而那些接近用畢總資助限額的職聰人士則可繼續享有資助。</w:t>
      </w:r>
    </w:p>
    <w:p>
      <w:pPr>
        <w:pStyle w:val="F21"/>
        <w:rPr>
          <w:szCs w:val="27"/>
        </w:rPr>
      </w:pPr>
      <w:r>
        <w:rPr>
          <w:szCs w:val="27"/>
        </w:rPr>
      </w:r>
    </w:p>
    <w:p>
      <w:pPr>
        <w:pStyle w:val="F21"/>
        <w:rPr>
          <w:szCs w:val="27"/>
        </w:rPr>
      </w:pPr>
      <w:r>
        <w:rPr>
          <w:szCs w:val="27"/>
        </w:rPr>
        <w:tab/>
      </w:r>
      <w:r>
        <w:rPr>
          <w:szCs w:val="27"/>
        </w:rPr>
        <w:t>基金委員會及失聰補償管理局已分別通過《肺塵病條例》及《失聰補償條例》的相關建議部分。有關</w:t>
      </w:r>
      <w:r>
        <w:rPr>
          <w:szCs w:val="27"/>
        </w:rPr>
        <w:t>3</w:t>
      </w:r>
      <w:r>
        <w:rPr>
          <w:szCs w:val="27"/>
        </w:rPr>
        <w:t>項條例的建議亦已獲勞工顧問委員會通過，而立法會人力事務委員會原則上支持建議，並促請早日落實建議。我們建議經修訂的補償金額及新的醫療裝置範圍由</w:t>
      </w:r>
      <w:r>
        <w:rPr>
          <w:szCs w:val="27"/>
        </w:rPr>
        <w:t>2019</w:t>
      </w:r>
      <w:r>
        <w:rPr>
          <w:szCs w:val="27"/>
        </w:rPr>
        <w:t>年</w:t>
      </w:r>
      <w:r>
        <w:rPr>
          <w:szCs w:val="27"/>
        </w:rPr>
        <w:t>4</w:t>
      </w:r>
      <w:r>
        <w:rPr>
          <w:szCs w:val="27"/>
        </w:rPr>
        <w:t>月</w:t>
      </w:r>
      <w:r>
        <w:rPr>
          <w:szCs w:val="27"/>
        </w:rPr>
        <w:t>26</w:t>
      </w:r>
      <w:r>
        <w:rPr>
          <w:szCs w:val="27"/>
        </w:rPr>
        <w:t>日起生效。</w:t>
      </w:r>
    </w:p>
    <w:p>
      <w:pPr>
        <w:pStyle w:val="F21"/>
        <w:rPr>
          <w:szCs w:val="27"/>
        </w:rPr>
      </w:pPr>
      <w:r>
        <w:rPr>
          <w:szCs w:val="27"/>
        </w:rPr>
      </w:r>
    </w:p>
    <w:p>
      <w:pPr>
        <w:pStyle w:val="F21"/>
        <w:rPr>
          <w:szCs w:val="27"/>
        </w:rPr>
      </w:pPr>
      <w:r>
        <w:rPr>
          <w:szCs w:val="27"/>
        </w:rPr>
        <w:tab/>
      </w:r>
      <w:r>
        <w:rPr>
          <w:szCs w:val="27"/>
        </w:rPr>
        <w:t>我希望議員支持並通過這</w:t>
      </w:r>
      <w:r>
        <w:rPr>
          <w:szCs w:val="27"/>
        </w:rPr>
        <w:t>3</w:t>
      </w:r>
      <w:r>
        <w:rPr>
          <w:szCs w:val="27"/>
        </w:rPr>
        <w:t>項決議案，讓工傷僱員、職業病患者，以及因工傷或職業病死亡的僱員或人士的家屬可盡早獲得更高的保障。</w:t>
      </w:r>
    </w:p>
    <w:p>
      <w:pPr>
        <w:pStyle w:val="F21"/>
        <w:rPr>
          <w:szCs w:val="27"/>
        </w:rPr>
      </w:pPr>
      <w:r>
        <w:rPr>
          <w:szCs w:val="27"/>
        </w:rPr>
      </w:r>
    </w:p>
    <w:p>
      <w:pPr>
        <w:pStyle w:val="F21"/>
        <w:rPr>
          <w:szCs w:val="27"/>
        </w:rPr>
      </w:pPr>
      <w:r>
        <w:rPr>
          <w:szCs w:val="27"/>
        </w:rPr>
        <w:tab/>
      </w:r>
      <w:r>
        <w:rPr>
          <w:szCs w:val="27"/>
        </w:rPr>
        <w:t>多謝代理主席。</w:t>
      </w:r>
    </w:p>
    <w:p>
      <w:pPr>
        <w:pStyle w:val="F21"/>
        <w:rPr>
          <w:szCs w:val="27"/>
        </w:rPr>
      </w:pPr>
      <w:r>
        <w:rPr>
          <w:szCs w:val="27"/>
        </w:rPr>
      </w:r>
    </w:p>
    <w:p>
      <w:pPr>
        <w:pStyle w:val="F21"/>
        <w:rPr>
          <w:szCs w:val="27"/>
        </w:rPr>
      </w:pPr>
      <w:r>
        <w:rPr>
          <w:rFonts w:ascii="華康中黑體" w:hAnsi="華康中黑體" w:eastAsia="華康中黑體"/>
          <w:b/>
          <w:szCs w:val="27"/>
        </w:rPr>
        <w:t>勞工及福利局局長動議的議案如下</w:t>
      </w:r>
      <w:r>
        <w:rPr>
          <w:szCs w:val="27"/>
        </w:rPr>
        <w:t>：</w:t>
      </w:r>
    </w:p>
    <w:p>
      <w:pPr>
        <w:pStyle w:val="F21"/>
        <w:rPr>
          <w:szCs w:val="27"/>
        </w:rPr>
      </w:pPr>
      <w:r>
        <w:rPr>
          <w:szCs w:val="27"/>
        </w:rPr>
      </w:r>
    </w:p>
    <w:p>
      <w:pPr>
        <w:pStyle w:val="F21"/>
        <w:ind w:left="1276" w:hanging="709"/>
        <w:rPr>
          <w:szCs w:val="27"/>
        </w:rPr>
      </w:pPr>
      <w:r>
        <w:rPr>
          <w:rFonts w:cs="Times New Roman"/>
          <w:szCs w:val="27"/>
        </w:rPr>
        <w:t>"</w:t>
      </w:r>
      <w:r>
        <w:rPr>
          <w:szCs w:val="27"/>
        </w:rPr>
        <w:t>議決自</w:t>
      </w:r>
      <w:r>
        <w:rPr>
          <w:szCs w:val="27"/>
        </w:rPr>
        <w:t>2019</w:t>
      </w:r>
      <w:r>
        <w:rPr>
          <w:szCs w:val="27"/>
        </w:rPr>
        <w:t>年</w:t>
      </w:r>
      <w:r>
        <w:rPr>
          <w:szCs w:val="27"/>
        </w:rPr>
        <w:t>4</w:t>
      </w:r>
      <w:r>
        <w:rPr>
          <w:szCs w:val="27"/>
        </w:rPr>
        <w:t>月</w:t>
      </w:r>
      <w:r>
        <w:rPr>
          <w:szCs w:val="27"/>
        </w:rPr>
        <w:t>26</w:t>
      </w:r>
      <w:r>
        <w:rPr>
          <w:szCs w:val="27"/>
        </w:rPr>
        <w:t>日起修訂《僱員補償條例》</w:t>
      </w:r>
      <w:r>
        <w:rPr>
          <w:szCs w:val="27"/>
        </w:rPr>
        <w:t>(</w:t>
      </w:r>
      <w:r>
        <w:rPr>
          <w:szCs w:val="27"/>
        </w:rPr>
        <w:t>第</w:t>
      </w:r>
      <w:r>
        <w:rPr>
          <w:szCs w:val="27"/>
        </w:rPr>
        <w:t>282</w:t>
      </w:r>
      <w:r>
        <w:rPr>
          <w:szCs w:val="27"/>
        </w:rPr>
        <w:t>章</w:t>
      </w:r>
      <w:r>
        <w:rPr>
          <w:szCs w:val="27"/>
        </w:rPr>
        <w:t>)</w:t>
      </w:r>
      <w:r>
        <w:rPr>
          <w:szCs w:val="27"/>
        </w:rPr>
        <w:t>，修訂方式列於附表。</w:t>
      </w:r>
    </w:p>
    <w:p>
      <w:pPr>
        <w:pStyle w:val="F21"/>
        <w:rPr>
          <w:szCs w:val="27"/>
        </w:rPr>
      </w:pPr>
      <w:r>
        <w:rPr>
          <w:szCs w:val="27"/>
        </w:rPr>
      </w:r>
    </w:p>
    <w:p>
      <w:pPr>
        <w:pStyle w:val="F21"/>
        <w:ind w:left="1276" w:hanging="0"/>
        <w:jc w:val="center"/>
        <w:rPr>
          <w:rFonts w:ascii="華康中黑體" w:hAnsi="華康中黑體" w:eastAsia="華康中黑體"/>
          <w:b/>
          <w:b/>
          <w:szCs w:val="27"/>
        </w:rPr>
      </w:pPr>
      <w:r>
        <w:rPr>
          <w:rFonts w:ascii="華康中黑體" w:hAnsi="華康中黑體" w:eastAsia="華康中黑體"/>
          <w:b/>
          <w:szCs w:val="27"/>
        </w:rPr>
        <w:t>附表</w:t>
      </w:r>
    </w:p>
    <w:p>
      <w:pPr>
        <w:pStyle w:val="F21"/>
        <w:rPr>
          <w:szCs w:val="27"/>
        </w:rPr>
      </w:pPr>
      <w:r>
        <w:rPr>
          <w:szCs w:val="27"/>
        </w:rPr>
      </w:r>
    </w:p>
    <w:p>
      <w:pPr>
        <w:pStyle w:val="F21"/>
        <w:ind w:left="1276" w:hanging="0"/>
        <w:jc w:val="center"/>
        <w:rPr>
          <w:rFonts w:eastAsia="華康中黑體" w:cs="Times New Roman"/>
          <w:b/>
          <w:b/>
          <w:szCs w:val="27"/>
        </w:rPr>
      </w:pPr>
      <w:r>
        <w:rPr>
          <w:rFonts w:cs="Times New Roman" w:eastAsia="華康中黑體"/>
          <w:b/>
          <w:szCs w:val="27"/>
        </w:rPr>
        <w:t>修訂《僱員補償條例》</w:t>
      </w:r>
    </w:p>
    <w:p>
      <w:pPr>
        <w:pStyle w:val="F21"/>
        <w:rPr>
          <w:szCs w:val="27"/>
        </w:rPr>
      </w:pPr>
      <w:r>
        <w:rPr>
          <w:szCs w:val="27"/>
        </w:rPr>
      </w:r>
    </w:p>
    <w:p>
      <w:pPr>
        <w:pStyle w:val="F21"/>
        <w:ind w:left="1843" w:hanging="567"/>
        <w:rPr>
          <w:szCs w:val="27"/>
        </w:rPr>
      </w:pPr>
      <w:r>
        <w:rPr>
          <w:b/>
          <w:szCs w:val="27"/>
        </w:rPr>
        <w:t>1.</w:t>
        <w:tab/>
      </w:r>
      <w:r>
        <w:rPr>
          <w:rFonts w:cs="Times New Roman" w:eastAsia="華康中黑體"/>
          <w:b/>
          <w:szCs w:val="27"/>
        </w:rPr>
        <w:t>修訂附表</w:t>
      </w:r>
      <w:r>
        <w:rPr>
          <w:rFonts w:eastAsia="華康中黑體" w:cs="Times New Roman"/>
          <w:b/>
          <w:szCs w:val="27"/>
        </w:rPr>
        <w:t>6(</w:t>
      </w:r>
      <w:r>
        <w:rPr>
          <w:rFonts w:cs="Times New Roman" w:eastAsia="華康中黑體"/>
          <w:b/>
          <w:szCs w:val="27"/>
        </w:rPr>
        <w:t>指明的補償額</w:t>
      </w:r>
      <w:r>
        <w:rPr>
          <w:rFonts w:eastAsia="華康中黑體" w:cs="Times New Roman"/>
          <w:b/>
          <w:szCs w:val="27"/>
        </w:rPr>
        <w:t>)</w:t>
      </w:r>
    </w:p>
    <w:p>
      <w:pPr>
        <w:pStyle w:val="F21"/>
        <w:ind w:left="2410" w:hanging="567"/>
        <w:rPr>
          <w:szCs w:val="27"/>
        </w:rPr>
      </w:pPr>
      <w:r>
        <w:rPr>
          <w:szCs w:val="27"/>
        </w:rPr>
        <w:t>(1)</w:t>
        <w:tab/>
      </w:r>
      <w:r>
        <w:rPr>
          <w:szCs w:val="27"/>
        </w:rPr>
        <w:t>附表</w:t>
      </w:r>
      <w:r>
        <w:rPr>
          <w:szCs w:val="27"/>
        </w:rPr>
        <w:t>6</w:t>
      </w:r>
      <w:r>
        <w:rPr>
          <w:szCs w:val="27"/>
        </w:rPr>
        <w:t>，關乎第</w:t>
      </w:r>
      <w:r>
        <w:rPr>
          <w:szCs w:val="27"/>
        </w:rPr>
        <w:t>6(1)(a)</w:t>
      </w:r>
      <w:r>
        <w:rPr>
          <w:szCs w:val="27"/>
        </w:rPr>
        <w:t>條的記項</w:t>
      </w:r>
      <w:r>
        <w:rPr>
          <w:rFonts w:ascii="Symbol" w:hAnsi="Symbol" w:cs="Symbol" w:eastAsia="Symbol"/>
        </w:rPr>
        <w:t></w:t>
      </w:r>
    </w:p>
    <w:p>
      <w:pPr>
        <w:pStyle w:val="F21"/>
        <w:ind w:left="2977" w:hanging="567"/>
        <w:rPr>
          <w:szCs w:val="27"/>
        </w:rPr>
      </w:pPr>
      <w:r>
        <w:rPr>
          <w:rFonts w:eastAsia="華康中黑體"/>
          <w:b/>
          <w:szCs w:val="27"/>
        </w:rPr>
        <w:t>廢除</w:t>
      </w:r>
    </w:p>
    <w:p>
      <w:pPr>
        <w:pStyle w:val="F21"/>
        <w:ind w:left="2977" w:hanging="567"/>
        <w:rPr>
          <w:szCs w:val="27"/>
        </w:rPr>
      </w:pPr>
      <w:r>
        <w:rPr>
          <w:rFonts w:cs="Times New Roman"/>
          <w:szCs w:val="27"/>
        </w:rPr>
        <w:t>"</w:t>
      </w:r>
      <w:r>
        <w:rPr>
          <w:szCs w:val="27"/>
        </w:rPr>
        <w:t>28,360</w:t>
      </w:r>
      <w:r>
        <w:rPr>
          <w:rFonts w:cs="Times New Roman"/>
          <w:szCs w:val="27"/>
        </w:rPr>
        <w:t>"</w:t>
      </w:r>
    </w:p>
    <w:p>
      <w:pPr>
        <w:pStyle w:val="F21"/>
        <w:ind w:left="2977" w:hanging="567"/>
        <w:rPr>
          <w:szCs w:val="27"/>
        </w:rPr>
      </w:pPr>
      <w:r>
        <w:rPr>
          <w:rFonts w:eastAsia="華康中黑體"/>
          <w:b/>
          <w:szCs w:val="27"/>
        </w:rPr>
        <w:t>代以</w:t>
      </w:r>
    </w:p>
    <w:p>
      <w:pPr>
        <w:pStyle w:val="F21"/>
        <w:ind w:left="2977" w:hanging="567"/>
        <w:rPr>
          <w:szCs w:val="27"/>
        </w:rPr>
      </w:pPr>
      <w:r>
        <w:rPr>
          <w:rFonts w:cs="Times New Roman"/>
          <w:szCs w:val="27"/>
        </w:rPr>
        <w:t>"</w:t>
      </w:r>
      <w:r>
        <w:rPr>
          <w:szCs w:val="27"/>
        </w:rPr>
        <w:t>30,530</w:t>
      </w:r>
      <w:r>
        <w:rPr>
          <w:rFonts w:cs="Times New Roman"/>
          <w:szCs w:val="27"/>
        </w:rPr>
        <w:t>"</w:t>
      </w:r>
      <w:r>
        <w:rPr>
          <w:szCs w:val="27"/>
        </w:rPr>
        <w:t>。</w:t>
      </w:r>
    </w:p>
    <w:p>
      <w:pPr>
        <w:pStyle w:val="F21"/>
        <w:ind w:left="2410" w:hanging="567"/>
        <w:rPr>
          <w:szCs w:val="27"/>
        </w:rPr>
      </w:pPr>
      <w:r>
        <w:rPr>
          <w:szCs w:val="27"/>
        </w:rPr>
        <w:t>(2)</w:t>
        <w:tab/>
      </w:r>
      <w:r>
        <w:rPr>
          <w:szCs w:val="27"/>
        </w:rPr>
        <w:t>附表</w:t>
      </w:r>
      <w:r>
        <w:rPr>
          <w:szCs w:val="27"/>
        </w:rPr>
        <w:t>6</w:t>
      </w:r>
      <w:r>
        <w:rPr>
          <w:szCs w:val="27"/>
        </w:rPr>
        <w:t>，關乎第</w:t>
      </w:r>
      <w:r>
        <w:rPr>
          <w:szCs w:val="27"/>
        </w:rPr>
        <w:t>6(1)(b)</w:t>
      </w:r>
      <w:r>
        <w:rPr>
          <w:szCs w:val="27"/>
        </w:rPr>
        <w:t>條的記項</w:t>
      </w:r>
      <w:r>
        <w:rPr>
          <w:rFonts w:ascii="Symbol" w:hAnsi="Symbol" w:cs="Symbol" w:eastAsia="Symbol"/>
        </w:rPr>
        <w:t></w:t>
      </w:r>
    </w:p>
    <w:p>
      <w:pPr>
        <w:pStyle w:val="F21"/>
        <w:ind w:left="2977" w:hanging="567"/>
        <w:rPr>
          <w:szCs w:val="27"/>
        </w:rPr>
      </w:pPr>
      <w:r>
        <w:rPr>
          <w:rFonts w:eastAsia="華康中黑體"/>
          <w:b/>
          <w:szCs w:val="27"/>
        </w:rPr>
        <w:t>廢除</w:t>
      </w:r>
    </w:p>
    <w:p>
      <w:pPr>
        <w:pStyle w:val="F21"/>
        <w:ind w:left="2977" w:hanging="567"/>
        <w:rPr>
          <w:szCs w:val="27"/>
        </w:rPr>
      </w:pPr>
      <w:r>
        <w:rPr>
          <w:rFonts w:cs="Times New Roman"/>
          <w:szCs w:val="27"/>
        </w:rPr>
        <w:t>"</w:t>
      </w:r>
      <w:r>
        <w:rPr>
          <w:szCs w:val="27"/>
        </w:rPr>
        <w:t>28,360</w:t>
      </w:r>
      <w:r>
        <w:rPr>
          <w:rFonts w:cs="Times New Roman"/>
          <w:szCs w:val="27"/>
        </w:rPr>
        <w:t>"</w:t>
      </w:r>
    </w:p>
    <w:p>
      <w:pPr>
        <w:pStyle w:val="F21"/>
        <w:ind w:left="2977" w:hanging="567"/>
        <w:rPr>
          <w:szCs w:val="27"/>
        </w:rPr>
      </w:pPr>
      <w:r>
        <w:rPr>
          <w:rFonts w:eastAsia="華康中黑體"/>
          <w:b/>
          <w:szCs w:val="27"/>
        </w:rPr>
        <w:t>代以</w:t>
      </w:r>
    </w:p>
    <w:p>
      <w:pPr>
        <w:pStyle w:val="F21"/>
        <w:ind w:left="2977" w:hanging="567"/>
        <w:rPr>
          <w:szCs w:val="27"/>
        </w:rPr>
      </w:pPr>
      <w:r>
        <w:rPr>
          <w:rFonts w:cs="Times New Roman"/>
          <w:szCs w:val="27"/>
        </w:rPr>
        <w:t>"</w:t>
      </w:r>
      <w:r>
        <w:rPr>
          <w:szCs w:val="27"/>
        </w:rPr>
        <w:t>30,530"</w:t>
      </w:r>
      <w:r>
        <w:rPr>
          <w:szCs w:val="27"/>
        </w:rPr>
        <w:t>。</w:t>
      </w:r>
    </w:p>
    <w:p>
      <w:pPr>
        <w:pStyle w:val="F21"/>
        <w:ind w:left="2410" w:hanging="567"/>
        <w:rPr>
          <w:szCs w:val="27"/>
        </w:rPr>
      </w:pPr>
      <w:r>
        <w:rPr>
          <w:szCs w:val="27"/>
        </w:rPr>
        <w:t>(3)</w:t>
        <w:tab/>
      </w:r>
      <w:r>
        <w:rPr>
          <w:szCs w:val="27"/>
        </w:rPr>
        <w:t>附表</w:t>
      </w:r>
      <w:r>
        <w:rPr>
          <w:szCs w:val="27"/>
        </w:rPr>
        <w:t>6</w:t>
      </w:r>
      <w:r>
        <w:rPr>
          <w:szCs w:val="27"/>
        </w:rPr>
        <w:t>，關乎第</w:t>
      </w:r>
      <w:r>
        <w:rPr>
          <w:szCs w:val="27"/>
        </w:rPr>
        <w:t>6(1)(c)</w:t>
      </w:r>
      <w:r>
        <w:rPr>
          <w:szCs w:val="27"/>
        </w:rPr>
        <w:t>條的記項</w:t>
      </w:r>
      <w:r>
        <w:rPr>
          <w:rFonts w:ascii="Symbol" w:hAnsi="Symbol" w:cs="Symbol" w:eastAsia="Symbol"/>
        </w:rPr>
        <w:t></w:t>
      </w:r>
    </w:p>
    <w:p>
      <w:pPr>
        <w:pStyle w:val="F21"/>
        <w:ind w:left="2977" w:hanging="567"/>
        <w:rPr>
          <w:szCs w:val="27"/>
        </w:rPr>
      </w:pPr>
      <w:r>
        <w:rPr>
          <w:rFonts w:eastAsia="華康中黑體"/>
          <w:b/>
          <w:szCs w:val="27"/>
        </w:rPr>
        <w:t>廢除</w:t>
      </w:r>
    </w:p>
    <w:p>
      <w:pPr>
        <w:pStyle w:val="F21"/>
        <w:ind w:left="2977" w:hanging="567"/>
        <w:rPr>
          <w:szCs w:val="27"/>
        </w:rPr>
      </w:pPr>
      <w:r>
        <w:rPr>
          <w:rFonts w:cs="Times New Roman"/>
          <w:szCs w:val="27"/>
        </w:rPr>
        <w:t>"</w:t>
      </w:r>
      <w:r>
        <w:rPr>
          <w:szCs w:val="27"/>
        </w:rPr>
        <w:t>28,360"</w:t>
      </w:r>
      <w:r>
        <w:br w:type="page"/>
      </w:r>
    </w:p>
    <w:p>
      <w:pPr>
        <w:pStyle w:val="F21"/>
        <w:spacing w:lineRule="exact" w:line="340"/>
        <w:ind w:left="2977" w:hanging="567"/>
        <w:rPr>
          <w:szCs w:val="27"/>
        </w:rPr>
      </w:pPr>
      <w:r>
        <w:rPr>
          <w:rFonts w:eastAsia="華康中黑體"/>
          <w:b/>
          <w:szCs w:val="27"/>
        </w:rPr>
        <w:t>代以</w:t>
      </w:r>
    </w:p>
    <w:p>
      <w:pPr>
        <w:pStyle w:val="F21"/>
        <w:spacing w:lineRule="exact" w:line="340"/>
        <w:ind w:left="2977" w:hanging="567"/>
        <w:rPr>
          <w:szCs w:val="27"/>
        </w:rPr>
      </w:pPr>
      <w:r>
        <w:rPr>
          <w:rFonts w:cs="Times New Roman"/>
          <w:szCs w:val="27"/>
        </w:rPr>
        <w:t>"</w:t>
      </w:r>
      <w:r>
        <w:rPr>
          <w:szCs w:val="27"/>
        </w:rPr>
        <w:t>30,530"</w:t>
      </w:r>
      <w:r>
        <w:rPr>
          <w:szCs w:val="27"/>
        </w:rPr>
        <w:t>。</w:t>
      </w:r>
    </w:p>
    <w:p>
      <w:pPr>
        <w:pStyle w:val="F21"/>
        <w:spacing w:lineRule="exact" w:line="340"/>
        <w:ind w:left="2410" w:hanging="567"/>
        <w:rPr>
          <w:szCs w:val="27"/>
        </w:rPr>
      </w:pPr>
      <w:r>
        <w:rPr>
          <w:szCs w:val="27"/>
        </w:rPr>
        <w:t>(4)</w:t>
        <w:tab/>
      </w:r>
      <w:r>
        <w:rPr>
          <w:szCs w:val="27"/>
        </w:rPr>
        <w:t>附表</w:t>
      </w:r>
      <w:r>
        <w:rPr>
          <w:szCs w:val="27"/>
        </w:rPr>
        <w:t>6</w:t>
      </w:r>
      <w:r>
        <w:rPr>
          <w:szCs w:val="27"/>
        </w:rPr>
        <w:t>，關乎第</w:t>
      </w:r>
      <w:r>
        <w:rPr>
          <w:szCs w:val="27"/>
        </w:rPr>
        <w:t>6(2)</w:t>
      </w:r>
      <w:r>
        <w:rPr>
          <w:szCs w:val="27"/>
        </w:rPr>
        <w:t>條的記項</w:t>
      </w:r>
      <w:r>
        <w:rPr>
          <w:rFonts w:ascii="Symbol" w:hAnsi="Symbol" w:cs="Symbol" w:eastAsia="Symbol"/>
        </w:rPr>
        <w:t></w:t>
      </w:r>
    </w:p>
    <w:p>
      <w:pPr>
        <w:pStyle w:val="F21"/>
        <w:spacing w:lineRule="exact" w:line="340"/>
        <w:ind w:left="2977" w:hanging="567"/>
        <w:rPr>
          <w:szCs w:val="27"/>
        </w:rPr>
      </w:pPr>
      <w:r>
        <w:rPr>
          <w:rFonts w:eastAsia="華康中黑體"/>
          <w:b/>
          <w:szCs w:val="27"/>
        </w:rPr>
        <w:t>廢除</w:t>
      </w:r>
    </w:p>
    <w:p>
      <w:pPr>
        <w:pStyle w:val="F21"/>
        <w:spacing w:lineRule="exact" w:line="340"/>
        <w:ind w:left="2977" w:hanging="567"/>
        <w:rPr>
          <w:szCs w:val="27"/>
        </w:rPr>
      </w:pPr>
      <w:r>
        <w:rPr>
          <w:rFonts w:cs="Times New Roman"/>
          <w:szCs w:val="27"/>
        </w:rPr>
        <w:t>"</w:t>
      </w:r>
      <w:r>
        <w:rPr>
          <w:szCs w:val="27"/>
        </w:rPr>
        <w:t>408,960</w:t>
      </w:r>
      <w:r>
        <w:rPr>
          <w:rFonts w:cs="Times New Roman"/>
          <w:szCs w:val="27"/>
        </w:rPr>
        <w:t>"</w:t>
      </w:r>
    </w:p>
    <w:p>
      <w:pPr>
        <w:pStyle w:val="F21"/>
        <w:spacing w:lineRule="exact" w:line="340"/>
        <w:ind w:left="2977" w:hanging="567"/>
        <w:rPr>
          <w:szCs w:val="27"/>
        </w:rPr>
      </w:pPr>
      <w:r>
        <w:rPr>
          <w:rFonts w:eastAsia="華康中黑體"/>
          <w:b/>
          <w:szCs w:val="27"/>
        </w:rPr>
        <w:t>代以</w:t>
      </w:r>
    </w:p>
    <w:p>
      <w:pPr>
        <w:pStyle w:val="F21"/>
        <w:spacing w:lineRule="exact" w:line="340"/>
        <w:ind w:left="2977" w:hanging="567"/>
        <w:rPr>
          <w:szCs w:val="27"/>
        </w:rPr>
      </w:pPr>
      <w:r>
        <w:rPr>
          <w:rFonts w:cs="Times New Roman"/>
          <w:szCs w:val="27"/>
        </w:rPr>
        <w:t>"</w:t>
      </w:r>
      <w:r>
        <w:rPr>
          <w:szCs w:val="27"/>
        </w:rPr>
        <w:t>440,200</w:t>
      </w:r>
      <w:r>
        <w:rPr>
          <w:rFonts w:cs="Times New Roman"/>
          <w:szCs w:val="27"/>
        </w:rPr>
        <w:t>"</w:t>
      </w:r>
      <w:r>
        <w:rPr>
          <w:rFonts w:cs="Times New Roman"/>
          <w:szCs w:val="27"/>
        </w:rPr>
        <w:t>。</w:t>
      </w:r>
    </w:p>
    <w:p>
      <w:pPr>
        <w:pStyle w:val="F21"/>
        <w:spacing w:lineRule="exact" w:line="340"/>
        <w:ind w:left="2410" w:hanging="567"/>
        <w:rPr>
          <w:szCs w:val="27"/>
        </w:rPr>
      </w:pPr>
      <w:r>
        <w:rPr>
          <w:szCs w:val="27"/>
        </w:rPr>
        <w:t>(5)</w:t>
        <w:tab/>
      </w:r>
      <w:r>
        <w:rPr>
          <w:szCs w:val="27"/>
        </w:rPr>
        <w:t>附表</w:t>
      </w:r>
      <w:r>
        <w:rPr>
          <w:szCs w:val="27"/>
        </w:rPr>
        <w:t>6</w:t>
      </w:r>
      <w:r>
        <w:rPr>
          <w:szCs w:val="27"/>
        </w:rPr>
        <w:t>，關乎第</w:t>
      </w:r>
      <w:r>
        <w:rPr>
          <w:szCs w:val="27"/>
        </w:rPr>
        <w:t>6(5)</w:t>
      </w:r>
      <w:r>
        <w:rPr>
          <w:szCs w:val="27"/>
        </w:rPr>
        <w:t>條的記項</w:t>
      </w:r>
      <w:r>
        <w:rPr>
          <w:rFonts w:ascii="Symbol" w:hAnsi="Symbol" w:cs="Symbol" w:eastAsia="Symbol"/>
        </w:rPr>
        <w:t></w:t>
      </w:r>
    </w:p>
    <w:p>
      <w:pPr>
        <w:pStyle w:val="F21"/>
        <w:spacing w:lineRule="exact" w:line="340"/>
        <w:ind w:left="2977" w:hanging="567"/>
        <w:rPr>
          <w:szCs w:val="27"/>
        </w:rPr>
      </w:pPr>
      <w:r>
        <w:rPr>
          <w:rFonts w:eastAsia="華康中黑體"/>
          <w:b/>
          <w:szCs w:val="27"/>
        </w:rPr>
        <w:t>廢除</w:t>
      </w:r>
    </w:p>
    <w:p>
      <w:pPr>
        <w:pStyle w:val="F21"/>
        <w:spacing w:lineRule="exact" w:line="340"/>
        <w:ind w:left="2977" w:hanging="567"/>
        <w:rPr>
          <w:rFonts w:cs="Times New Roman"/>
          <w:szCs w:val="27"/>
        </w:rPr>
      </w:pPr>
      <w:r>
        <w:rPr>
          <w:rFonts w:cs="Times New Roman"/>
          <w:szCs w:val="27"/>
        </w:rPr>
        <w:t>"</w:t>
      </w:r>
      <w:r>
        <w:rPr>
          <w:szCs w:val="27"/>
        </w:rPr>
        <w:t>83,700</w:t>
      </w:r>
      <w:r>
        <w:rPr>
          <w:rFonts w:cs="Times New Roman"/>
          <w:szCs w:val="27"/>
        </w:rPr>
        <w:t>"</w:t>
      </w:r>
    </w:p>
    <w:p>
      <w:pPr>
        <w:pStyle w:val="F21"/>
        <w:spacing w:lineRule="exact" w:line="340"/>
        <w:ind w:left="2977" w:hanging="567"/>
        <w:rPr>
          <w:szCs w:val="27"/>
        </w:rPr>
      </w:pPr>
      <w:r>
        <w:rPr>
          <w:rFonts w:eastAsia="華康中黑體"/>
          <w:b/>
          <w:szCs w:val="27"/>
        </w:rPr>
        <w:t>代以</w:t>
      </w:r>
    </w:p>
    <w:p>
      <w:pPr>
        <w:pStyle w:val="F21"/>
        <w:spacing w:lineRule="exact" w:line="340"/>
        <w:ind w:left="2977" w:hanging="567"/>
        <w:rPr>
          <w:szCs w:val="27"/>
        </w:rPr>
      </w:pPr>
      <w:r>
        <w:rPr>
          <w:rFonts w:cs="Times New Roman"/>
          <w:szCs w:val="27"/>
        </w:rPr>
        <w:t>"</w:t>
      </w:r>
      <w:r>
        <w:rPr>
          <w:szCs w:val="27"/>
        </w:rPr>
        <w:t>87,330"</w:t>
      </w:r>
      <w:r>
        <w:rPr>
          <w:szCs w:val="27"/>
        </w:rPr>
        <w:t>。</w:t>
      </w:r>
    </w:p>
    <w:p>
      <w:pPr>
        <w:pStyle w:val="F21"/>
        <w:spacing w:lineRule="exact" w:line="340"/>
        <w:ind w:left="2410" w:hanging="567"/>
        <w:rPr>
          <w:szCs w:val="27"/>
        </w:rPr>
      </w:pPr>
      <w:r>
        <w:rPr>
          <w:szCs w:val="27"/>
        </w:rPr>
        <w:t>(6)</w:t>
        <w:tab/>
      </w:r>
      <w:r>
        <w:rPr>
          <w:szCs w:val="27"/>
        </w:rPr>
        <w:t>附表</w:t>
      </w:r>
      <w:r>
        <w:rPr>
          <w:szCs w:val="27"/>
        </w:rPr>
        <w:t>6</w:t>
      </w:r>
      <w:r>
        <w:rPr>
          <w:szCs w:val="27"/>
        </w:rPr>
        <w:t>，關乎第</w:t>
      </w:r>
      <w:r>
        <w:rPr>
          <w:szCs w:val="27"/>
        </w:rPr>
        <w:t>6C(8)(a)</w:t>
      </w:r>
      <w:r>
        <w:rPr>
          <w:szCs w:val="27"/>
        </w:rPr>
        <w:t>條的記項</w:t>
      </w:r>
      <w:r>
        <w:rPr>
          <w:rFonts w:ascii="Symbol" w:hAnsi="Symbol" w:cs="Symbol" w:eastAsia="Symbol"/>
        </w:rPr>
        <w:t></w:t>
      </w:r>
    </w:p>
    <w:p>
      <w:pPr>
        <w:pStyle w:val="F21"/>
        <w:spacing w:lineRule="exact" w:line="340"/>
        <w:ind w:left="2977" w:hanging="567"/>
        <w:rPr>
          <w:szCs w:val="27"/>
        </w:rPr>
      </w:pPr>
      <w:r>
        <w:rPr>
          <w:rFonts w:eastAsia="華康中黑體"/>
          <w:b/>
          <w:szCs w:val="27"/>
        </w:rPr>
        <w:t>廢除</w:t>
      </w:r>
    </w:p>
    <w:p>
      <w:pPr>
        <w:pStyle w:val="F21"/>
        <w:spacing w:lineRule="exact" w:line="340"/>
        <w:ind w:left="2977" w:hanging="567"/>
        <w:rPr>
          <w:szCs w:val="27"/>
        </w:rPr>
      </w:pPr>
      <w:r>
        <w:rPr>
          <w:szCs w:val="27"/>
        </w:rPr>
        <w:t>"660"</w:t>
      </w:r>
    </w:p>
    <w:p>
      <w:pPr>
        <w:pStyle w:val="F21"/>
        <w:spacing w:lineRule="exact" w:line="340"/>
        <w:ind w:left="2977" w:hanging="567"/>
        <w:rPr>
          <w:szCs w:val="27"/>
        </w:rPr>
      </w:pPr>
      <w:r>
        <w:rPr>
          <w:rFonts w:eastAsia="華康中黑體"/>
          <w:b/>
          <w:szCs w:val="27"/>
        </w:rPr>
        <w:t>代以</w:t>
      </w:r>
    </w:p>
    <w:p>
      <w:pPr>
        <w:pStyle w:val="F21"/>
        <w:spacing w:lineRule="exact" w:line="340"/>
        <w:ind w:left="2977" w:hanging="567"/>
        <w:rPr>
          <w:szCs w:val="27"/>
        </w:rPr>
      </w:pPr>
      <w:r>
        <w:rPr>
          <w:rFonts w:cs="Times New Roman"/>
          <w:szCs w:val="27"/>
        </w:rPr>
        <w:t>"</w:t>
      </w:r>
      <w:r>
        <w:rPr>
          <w:szCs w:val="27"/>
        </w:rPr>
        <w:t>710"</w:t>
      </w:r>
      <w:r>
        <w:rPr>
          <w:szCs w:val="27"/>
        </w:rPr>
        <w:t>。</w:t>
      </w:r>
    </w:p>
    <w:p>
      <w:pPr>
        <w:pStyle w:val="F21"/>
        <w:spacing w:lineRule="exact" w:line="340"/>
        <w:ind w:left="2410" w:hanging="567"/>
        <w:rPr>
          <w:szCs w:val="27"/>
        </w:rPr>
      </w:pPr>
      <w:r>
        <w:rPr>
          <w:szCs w:val="27"/>
        </w:rPr>
        <w:t>(7)</w:t>
        <w:tab/>
      </w:r>
      <w:r>
        <w:rPr>
          <w:szCs w:val="27"/>
        </w:rPr>
        <w:t>附表</w:t>
      </w:r>
      <w:r>
        <w:rPr>
          <w:szCs w:val="27"/>
        </w:rPr>
        <w:t>6</w:t>
      </w:r>
      <w:r>
        <w:rPr>
          <w:szCs w:val="27"/>
        </w:rPr>
        <w:t>，關乎第</w:t>
      </w:r>
      <w:r>
        <w:rPr>
          <w:szCs w:val="27"/>
        </w:rPr>
        <w:t>6C(8)(b)</w:t>
      </w:r>
      <w:r>
        <w:rPr>
          <w:szCs w:val="27"/>
        </w:rPr>
        <w:t>條的記項</w:t>
      </w:r>
      <w:r>
        <w:rPr>
          <w:rFonts w:ascii="Symbol" w:hAnsi="Symbol" w:cs="Symbol" w:eastAsia="Symbol"/>
        </w:rPr>
        <w:t></w:t>
      </w:r>
    </w:p>
    <w:p>
      <w:pPr>
        <w:pStyle w:val="F21"/>
        <w:spacing w:lineRule="exact" w:line="340"/>
        <w:ind w:left="2977" w:hanging="567"/>
        <w:rPr>
          <w:szCs w:val="27"/>
        </w:rPr>
      </w:pPr>
      <w:r>
        <w:rPr>
          <w:rFonts w:eastAsia="華康中黑體"/>
          <w:b/>
          <w:szCs w:val="27"/>
        </w:rPr>
        <w:t>廢除</w:t>
      </w:r>
    </w:p>
    <w:p>
      <w:pPr>
        <w:pStyle w:val="F21"/>
        <w:spacing w:lineRule="exact" w:line="340"/>
        <w:ind w:left="2977" w:hanging="567"/>
        <w:rPr>
          <w:szCs w:val="27"/>
        </w:rPr>
      </w:pPr>
      <w:r>
        <w:rPr>
          <w:rFonts w:cs="Times New Roman"/>
          <w:szCs w:val="27"/>
        </w:rPr>
        <w:t>"</w:t>
      </w:r>
      <w:r>
        <w:rPr>
          <w:szCs w:val="27"/>
        </w:rPr>
        <w:t>1,330"</w:t>
      </w:r>
    </w:p>
    <w:p>
      <w:pPr>
        <w:pStyle w:val="F21"/>
        <w:spacing w:lineRule="exact" w:line="340"/>
        <w:ind w:left="2977" w:hanging="567"/>
        <w:rPr>
          <w:szCs w:val="27"/>
        </w:rPr>
      </w:pPr>
      <w:r>
        <w:rPr>
          <w:rFonts w:eastAsia="華康中黑體"/>
          <w:b/>
          <w:szCs w:val="27"/>
        </w:rPr>
        <w:t>代以</w:t>
      </w:r>
    </w:p>
    <w:p>
      <w:pPr>
        <w:pStyle w:val="F21"/>
        <w:spacing w:lineRule="exact" w:line="340"/>
        <w:ind w:left="2977" w:hanging="567"/>
        <w:rPr>
          <w:szCs w:val="27"/>
        </w:rPr>
      </w:pPr>
      <w:r>
        <w:rPr>
          <w:rFonts w:cs="Times New Roman"/>
          <w:szCs w:val="27"/>
        </w:rPr>
        <w:t>"</w:t>
      </w:r>
      <w:r>
        <w:rPr>
          <w:szCs w:val="27"/>
        </w:rPr>
        <w:t>1,430"</w:t>
      </w:r>
      <w:r>
        <w:rPr>
          <w:szCs w:val="27"/>
        </w:rPr>
        <w:t>。</w:t>
      </w:r>
    </w:p>
    <w:p>
      <w:pPr>
        <w:pStyle w:val="F21"/>
        <w:spacing w:lineRule="exact" w:line="340"/>
        <w:ind w:left="2410" w:hanging="567"/>
        <w:rPr>
          <w:szCs w:val="27"/>
        </w:rPr>
      </w:pPr>
      <w:r>
        <w:rPr>
          <w:szCs w:val="27"/>
        </w:rPr>
        <w:t>(8)</w:t>
        <w:tab/>
      </w:r>
      <w:r>
        <w:rPr>
          <w:szCs w:val="27"/>
        </w:rPr>
        <w:t>附表</w:t>
      </w:r>
      <w:r>
        <w:rPr>
          <w:szCs w:val="27"/>
        </w:rPr>
        <w:t>6</w:t>
      </w:r>
      <w:r>
        <w:rPr>
          <w:szCs w:val="27"/>
        </w:rPr>
        <w:t>，關乎第</w:t>
      </w:r>
      <w:r>
        <w:rPr>
          <w:szCs w:val="27"/>
        </w:rPr>
        <w:t>6D(3)(a)</w:t>
      </w:r>
      <w:r>
        <w:rPr>
          <w:szCs w:val="27"/>
        </w:rPr>
        <w:t>條的記項</w:t>
      </w:r>
      <w:r>
        <w:rPr>
          <w:rFonts w:ascii="Symbol" w:hAnsi="Symbol" w:cs="Symbol" w:eastAsia="Symbol"/>
        </w:rPr>
        <w:t></w:t>
      </w:r>
    </w:p>
    <w:p>
      <w:pPr>
        <w:pStyle w:val="F21"/>
        <w:spacing w:lineRule="exact" w:line="340"/>
        <w:ind w:left="2977" w:hanging="567"/>
        <w:rPr>
          <w:szCs w:val="27"/>
        </w:rPr>
      </w:pPr>
      <w:r>
        <w:rPr>
          <w:rFonts w:eastAsia="華康中黑體"/>
          <w:b/>
          <w:szCs w:val="27"/>
        </w:rPr>
        <w:t>廢除</w:t>
      </w:r>
    </w:p>
    <w:p>
      <w:pPr>
        <w:pStyle w:val="F21"/>
        <w:spacing w:lineRule="exact" w:line="340"/>
        <w:ind w:left="2977" w:hanging="567"/>
        <w:rPr>
          <w:rFonts w:cs="Times New Roman"/>
          <w:szCs w:val="27"/>
        </w:rPr>
      </w:pPr>
      <w:r>
        <w:rPr>
          <w:rFonts w:cs="Times New Roman"/>
          <w:szCs w:val="27"/>
        </w:rPr>
        <w:t>"</w:t>
      </w:r>
      <w:r>
        <w:rPr>
          <w:szCs w:val="27"/>
        </w:rPr>
        <w:t>660</w:t>
      </w:r>
      <w:r>
        <w:rPr>
          <w:rFonts w:cs="Times New Roman"/>
          <w:szCs w:val="27"/>
        </w:rPr>
        <w:t>"</w:t>
      </w:r>
    </w:p>
    <w:p>
      <w:pPr>
        <w:pStyle w:val="F21"/>
        <w:spacing w:lineRule="exact" w:line="340"/>
        <w:ind w:left="2977" w:hanging="567"/>
        <w:rPr>
          <w:szCs w:val="27"/>
        </w:rPr>
      </w:pPr>
      <w:r>
        <w:rPr>
          <w:rFonts w:eastAsia="華康中黑體"/>
          <w:b/>
          <w:szCs w:val="27"/>
        </w:rPr>
        <w:t>代以</w:t>
      </w:r>
    </w:p>
    <w:p>
      <w:pPr>
        <w:pStyle w:val="F21"/>
        <w:spacing w:lineRule="exact" w:line="340"/>
        <w:ind w:left="2977" w:hanging="567"/>
        <w:rPr>
          <w:szCs w:val="27"/>
        </w:rPr>
      </w:pPr>
      <w:r>
        <w:rPr>
          <w:rFonts w:cs="Times New Roman"/>
          <w:szCs w:val="27"/>
        </w:rPr>
        <w:t>"</w:t>
      </w:r>
      <w:r>
        <w:rPr>
          <w:szCs w:val="27"/>
        </w:rPr>
        <w:t>710"</w:t>
      </w:r>
      <w:r>
        <w:rPr>
          <w:szCs w:val="27"/>
        </w:rPr>
        <w:t>。</w:t>
      </w:r>
    </w:p>
    <w:p>
      <w:pPr>
        <w:pStyle w:val="F21"/>
        <w:spacing w:lineRule="exact" w:line="340"/>
        <w:ind w:left="2410" w:hanging="567"/>
        <w:rPr>
          <w:szCs w:val="27"/>
        </w:rPr>
      </w:pPr>
      <w:r>
        <w:rPr>
          <w:szCs w:val="27"/>
        </w:rPr>
        <w:t>(9)</w:t>
        <w:tab/>
      </w:r>
      <w:r>
        <w:rPr>
          <w:szCs w:val="27"/>
        </w:rPr>
        <w:t>附表</w:t>
      </w:r>
      <w:r>
        <w:rPr>
          <w:szCs w:val="27"/>
        </w:rPr>
        <w:t>6</w:t>
      </w:r>
      <w:r>
        <w:rPr>
          <w:szCs w:val="27"/>
        </w:rPr>
        <w:t>，關乎第</w:t>
      </w:r>
      <w:r>
        <w:rPr>
          <w:szCs w:val="27"/>
        </w:rPr>
        <w:t>6D(3)(b)</w:t>
      </w:r>
      <w:r>
        <w:rPr>
          <w:szCs w:val="27"/>
        </w:rPr>
        <w:t>條的記項</w:t>
      </w:r>
      <w:r>
        <w:rPr>
          <w:rFonts w:ascii="Symbol" w:hAnsi="Symbol" w:cs="Symbol" w:eastAsia="Symbol"/>
        </w:rPr>
        <w:t></w:t>
      </w:r>
    </w:p>
    <w:p>
      <w:pPr>
        <w:pStyle w:val="F21"/>
        <w:spacing w:lineRule="exact" w:line="340"/>
        <w:ind w:left="2977" w:hanging="567"/>
        <w:rPr>
          <w:szCs w:val="27"/>
        </w:rPr>
      </w:pPr>
      <w:r>
        <w:rPr>
          <w:rFonts w:eastAsia="華康中黑體"/>
          <w:b/>
          <w:szCs w:val="27"/>
        </w:rPr>
        <w:t>廢除</w:t>
      </w:r>
    </w:p>
    <w:p>
      <w:pPr>
        <w:pStyle w:val="F21"/>
        <w:spacing w:lineRule="exact" w:line="340"/>
        <w:ind w:left="2977" w:hanging="567"/>
        <w:rPr>
          <w:rFonts w:cs="Times New Roman"/>
          <w:szCs w:val="27"/>
        </w:rPr>
      </w:pPr>
      <w:r>
        <w:rPr>
          <w:rFonts w:cs="Times New Roman"/>
          <w:szCs w:val="27"/>
        </w:rPr>
        <w:t>"1,33</w:t>
      </w:r>
      <w:r>
        <w:rPr>
          <w:szCs w:val="27"/>
        </w:rPr>
        <w:t>0</w:t>
      </w:r>
      <w:r>
        <w:rPr>
          <w:rFonts w:cs="Times New Roman"/>
          <w:szCs w:val="27"/>
        </w:rPr>
        <w:t>"</w:t>
      </w:r>
    </w:p>
    <w:p>
      <w:pPr>
        <w:pStyle w:val="F21"/>
        <w:spacing w:lineRule="exact" w:line="340"/>
        <w:ind w:left="2977" w:hanging="567"/>
        <w:rPr>
          <w:szCs w:val="27"/>
        </w:rPr>
      </w:pPr>
      <w:r>
        <w:rPr>
          <w:rFonts w:eastAsia="華康中黑體"/>
          <w:b/>
          <w:szCs w:val="27"/>
        </w:rPr>
        <w:t>代以</w:t>
      </w:r>
    </w:p>
    <w:p>
      <w:pPr>
        <w:pStyle w:val="F21"/>
        <w:spacing w:lineRule="exact" w:line="340"/>
        <w:ind w:left="2977" w:hanging="567"/>
        <w:rPr>
          <w:szCs w:val="27"/>
        </w:rPr>
      </w:pPr>
      <w:r>
        <w:rPr>
          <w:rFonts w:cs="Times New Roman"/>
          <w:szCs w:val="27"/>
        </w:rPr>
        <w:t>"1,430</w:t>
      </w:r>
      <w:r>
        <w:rPr>
          <w:szCs w:val="27"/>
        </w:rPr>
        <w:t>"</w:t>
      </w:r>
      <w:r>
        <w:rPr>
          <w:szCs w:val="27"/>
        </w:rPr>
        <w:t>。</w:t>
      </w:r>
    </w:p>
    <w:p>
      <w:pPr>
        <w:pStyle w:val="F21"/>
        <w:spacing w:lineRule="exact" w:line="340"/>
        <w:ind w:left="2410" w:hanging="567"/>
        <w:rPr/>
      </w:pPr>
      <w:r>
        <w:rPr>
          <w:szCs w:val="27"/>
        </w:rPr>
        <w:t>(10)</w:t>
        <w:tab/>
      </w:r>
      <w:r>
        <w:rPr>
          <w:szCs w:val="27"/>
        </w:rPr>
        <w:t>附表</w:t>
      </w:r>
      <w:r>
        <w:rPr>
          <w:szCs w:val="27"/>
        </w:rPr>
        <w:t>6</w:t>
      </w:r>
      <w:r>
        <w:rPr>
          <w:szCs w:val="27"/>
        </w:rPr>
        <w:t>，關乎第</w:t>
      </w:r>
      <w:r>
        <w:rPr>
          <w:szCs w:val="27"/>
        </w:rPr>
        <w:t>6E(9)(a)</w:t>
      </w:r>
      <w:r>
        <w:rPr>
          <w:szCs w:val="27"/>
        </w:rPr>
        <w:t>條的記項</w:t>
      </w:r>
      <w:r>
        <w:rPr>
          <w:rFonts w:ascii="Symbol" w:hAnsi="Symbol" w:cs="Symbol" w:eastAsia="Symbol"/>
        </w:rPr>
        <w:t></w:t>
      </w:r>
    </w:p>
    <w:p>
      <w:pPr>
        <w:pStyle w:val="F21"/>
        <w:spacing w:lineRule="exact" w:line="340"/>
        <w:ind w:left="2977" w:hanging="567"/>
        <w:rPr>
          <w:szCs w:val="27"/>
        </w:rPr>
      </w:pPr>
      <w:r>
        <w:rPr>
          <w:rFonts w:eastAsia="華康中黑體"/>
          <w:b/>
          <w:szCs w:val="27"/>
        </w:rPr>
        <w:t>廢除</w:t>
      </w:r>
    </w:p>
    <w:p>
      <w:pPr>
        <w:pStyle w:val="F21"/>
        <w:spacing w:lineRule="exact" w:line="340"/>
        <w:ind w:left="2977" w:hanging="567"/>
        <w:rPr>
          <w:szCs w:val="27"/>
        </w:rPr>
      </w:pPr>
      <w:r>
        <w:rPr>
          <w:rFonts w:cs="Times New Roman"/>
          <w:szCs w:val="27"/>
        </w:rPr>
        <w:t>"</w:t>
      </w:r>
      <w:r>
        <w:rPr>
          <w:szCs w:val="27"/>
        </w:rPr>
        <w:t>660"</w:t>
      </w:r>
    </w:p>
    <w:p>
      <w:pPr>
        <w:pStyle w:val="F21"/>
        <w:spacing w:lineRule="exact" w:line="340"/>
        <w:ind w:left="2977" w:hanging="567"/>
        <w:rPr>
          <w:szCs w:val="27"/>
        </w:rPr>
      </w:pPr>
      <w:r>
        <w:rPr>
          <w:rFonts w:eastAsia="華康中黑體"/>
          <w:b/>
          <w:szCs w:val="27"/>
        </w:rPr>
        <w:t>代以</w:t>
      </w:r>
    </w:p>
    <w:p>
      <w:pPr>
        <w:pStyle w:val="F21"/>
        <w:spacing w:lineRule="exact" w:line="340"/>
        <w:ind w:left="2977" w:hanging="567"/>
        <w:rPr>
          <w:szCs w:val="27"/>
        </w:rPr>
      </w:pPr>
      <w:r>
        <w:rPr>
          <w:rFonts w:cs="Times New Roman"/>
          <w:szCs w:val="27"/>
        </w:rPr>
        <w:t>"</w:t>
      </w:r>
      <w:r>
        <w:rPr>
          <w:szCs w:val="27"/>
        </w:rPr>
        <w:t>710</w:t>
      </w:r>
      <w:r>
        <w:rPr>
          <w:rFonts w:cs="Times New Roman"/>
          <w:szCs w:val="27"/>
        </w:rPr>
        <w:t>"</w:t>
      </w:r>
      <w:r>
        <w:rPr>
          <w:rFonts w:cs="Times New Roman"/>
          <w:szCs w:val="27"/>
        </w:rPr>
        <w:t>。</w:t>
      </w:r>
    </w:p>
    <w:p>
      <w:pPr>
        <w:pStyle w:val="F21"/>
        <w:spacing w:lineRule="exact" w:line="340"/>
        <w:ind w:left="2410" w:hanging="567"/>
        <w:rPr>
          <w:szCs w:val="27"/>
        </w:rPr>
      </w:pPr>
      <w:r>
        <w:rPr>
          <w:szCs w:val="27"/>
        </w:rPr>
        <w:t>(11)</w:t>
        <w:tab/>
      </w:r>
      <w:r>
        <w:rPr>
          <w:szCs w:val="27"/>
        </w:rPr>
        <w:t>附表</w:t>
      </w:r>
      <w:r>
        <w:rPr>
          <w:szCs w:val="27"/>
        </w:rPr>
        <w:t>6</w:t>
      </w:r>
      <w:r>
        <w:rPr>
          <w:szCs w:val="27"/>
        </w:rPr>
        <w:t>，關乎第</w:t>
      </w:r>
      <w:r>
        <w:rPr>
          <w:szCs w:val="27"/>
        </w:rPr>
        <w:t>6E(9)(b)</w:t>
      </w:r>
      <w:r>
        <w:rPr>
          <w:szCs w:val="27"/>
        </w:rPr>
        <w:t>條的記項</w:t>
      </w:r>
      <w:r>
        <w:rPr>
          <w:rFonts w:ascii="Symbol" w:hAnsi="Symbol" w:cs="Symbol" w:eastAsia="Symbol"/>
        </w:rPr>
        <w:t></w:t>
      </w:r>
    </w:p>
    <w:p>
      <w:pPr>
        <w:pStyle w:val="F21"/>
        <w:spacing w:lineRule="exact" w:line="340"/>
        <w:ind w:left="2977" w:hanging="567"/>
        <w:rPr>
          <w:szCs w:val="27"/>
        </w:rPr>
      </w:pPr>
      <w:r>
        <w:rPr>
          <w:rFonts w:eastAsia="華康中黑體"/>
          <w:b/>
          <w:szCs w:val="27"/>
        </w:rPr>
        <w:t>廢除</w:t>
      </w:r>
    </w:p>
    <w:p>
      <w:pPr>
        <w:pStyle w:val="F21"/>
        <w:spacing w:lineRule="exact" w:line="340"/>
        <w:ind w:left="2977" w:hanging="567"/>
        <w:rPr>
          <w:szCs w:val="27"/>
        </w:rPr>
      </w:pPr>
      <w:r>
        <w:rPr>
          <w:rFonts w:cs="Times New Roman"/>
          <w:szCs w:val="27"/>
        </w:rPr>
        <w:t>"</w:t>
      </w:r>
      <w:r>
        <w:rPr>
          <w:szCs w:val="27"/>
        </w:rPr>
        <w:t>1,330"</w:t>
      </w:r>
      <w:r>
        <w:br w:type="page"/>
      </w:r>
    </w:p>
    <w:p>
      <w:pPr>
        <w:pStyle w:val="F21"/>
        <w:spacing w:lineRule="atLeast" w:line="370"/>
        <w:ind w:left="2977" w:hanging="567"/>
        <w:rPr>
          <w:szCs w:val="27"/>
        </w:rPr>
      </w:pPr>
      <w:r>
        <w:rPr>
          <w:rFonts w:eastAsia="華康中黑體"/>
          <w:b/>
          <w:szCs w:val="27"/>
        </w:rPr>
        <w:t>代以</w:t>
      </w:r>
    </w:p>
    <w:p>
      <w:pPr>
        <w:pStyle w:val="F21"/>
        <w:spacing w:lineRule="atLeast" w:line="370"/>
        <w:ind w:left="2977" w:hanging="567"/>
        <w:rPr>
          <w:szCs w:val="27"/>
        </w:rPr>
      </w:pPr>
      <w:r>
        <w:rPr>
          <w:rFonts w:cs="Times New Roman"/>
          <w:szCs w:val="27"/>
        </w:rPr>
        <w:t>"</w:t>
      </w:r>
      <w:r>
        <w:rPr>
          <w:szCs w:val="27"/>
        </w:rPr>
        <w:t>1,430"</w:t>
      </w:r>
      <w:r>
        <w:rPr>
          <w:szCs w:val="27"/>
        </w:rPr>
        <w:t>。</w:t>
      </w:r>
    </w:p>
    <w:p>
      <w:pPr>
        <w:pStyle w:val="F21"/>
        <w:spacing w:lineRule="atLeast" w:line="370"/>
        <w:ind w:left="2410" w:hanging="567"/>
        <w:rPr>
          <w:szCs w:val="27"/>
        </w:rPr>
      </w:pPr>
      <w:r>
        <w:rPr>
          <w:szCs w:val="27"/>
        </w:rPr>
        <w:t>(12)</w:t>
        <w:tab/>
      </w:r>
      <w:r>
        <w:rPr>
          <w:szCs w:val="27"/>
        </w:rPr>
        <w:t>附表</w:t>
      </w:r>
      <w:r>
        <w:rPr>
          <w:szCs w:val="27"/>
        </w:rPr>
        <w:t>6</w:t>
      </w:r>
      <w:r>
        <w:rPr>
          <w:szCs w:val="27"/>
        </w:rPr>
        <w:t>，關乎第</w:t>
      </w:r>
      <w:r>
        <w:rPr>
          <w:szCs w:val="27"/>
        </w:rPr>
        <w:t>7(1)(a)</w:t>
      </w:r>
      <w:r>
        <w:rPr>
          <w:szCs w:val="27"/>
        </w:rPr>
        <w:t>條的記項</w:t>
      </w:r>
      <w:r>
        <w:rPr>
          <w:rFonts w:ascii="Symbol" w:hAnsi="Symbol" w:cs="Symbol" w:eastAsia="Symbol"/>
        </w:rPr>
        <w:t></w:t>
      </w:r>
    </w:p>
    <w:p>
      <w:pPr>
        <w:pStyle w:val="F21"/>
        <w:spacing w:lineRule="atLeast" w:line="370"/>
        <w:ind w:left="2977" w:hanging="567"/>
        <w:rPr>
          <w:szCs w:val="27"/>
        </w:rPr>
      </w:pPr>
      <w:r>
        <w:rPr>
          <w:rFonts w:eastAsia="華康中黑體"/>
          <w:b/>
          <w:szCs w:val="27"/>
        </w:rPr>
        <w:t>廢除</w:t>
      </w:r>
    </w:p>
    <w:p>
      <w:pPr>
        <w:pStyle w:val="F21"/>
        <w:spacing w:lineRule="atLeast" w:line="370"/>
        <w:ind w:left="2977" w:hanging="567"/>
        <w:rPr>
          <w:szCs w:val="27"/>
        </w:rPr>
      </w:pPr>
      <w:r>
        <w:rPr>
          <w:rFonts w:cs="Times New Roman"/>
          <w:szCs w:val="27"/>
        </w:rPr>
        <w:t>"</w:t>
      </w:r>
      <w:r>
        <w:rPr>
          <w:szCs w:val="27"/>
        </w:rPr>
        <w:t>28,360"</w:t>
      </w:r>
    </w:p>
    <w:p>
      <w:pPr>
        <w:pStyle w:val="F21"/>
        <w:spacing w:lineRule="atLeast" w:line="370"/>
        <w:ind w:left="2977" w:hanging="567"/>
        <w:rPr>
          <w:szCs w:val="27"/>
        </w:rPr>
      </w:pPr>
      <w:r>
        <w:rPr>
          <w:rFonts w:eastAsia="華康中黑體"/>
          <w:b/>
          <w:szCs w:val="27"/>
        </w:rPr>
        <w:t>代以</w:t>
      </w:r>
    </w:p>
    <w:p>
      <w:pPr>
        <w:pStyle w:val="F21"/>
        <w:spacing w:lineRule="atLeast" w:line="370"/>
        <w:ind w:left="2977" w:hanging="567"/>
        <w:rPr>
          <w:szCs w:val="27"/>
        </w:rPr>
      </w:pPr>
      <w:r>
        <w:rPr>
          <w:rFonts w:cs="Times New Roman"/>
          <w:szCs w:val="27"/>
        </w:rPr>
        <w:t>"</w:t>
      </w:r>
      <w:r>
        <w:rPr>
          <w:szCs w:val="27"/>
        </w:rPr>
        <w:t>30,530"</w:t>
      </w:r>
      <w:r>
        <w:rPr>
          <w:szCs w:val="27"/>
        </w:rPr>
        <w:t>。</w:t>
      </w:r>
    </w:p>
    <w:p>
      <w:pPr>
        <w:pStyle w:val="F21"/>
        <w:spacing w:lineRule="atLeast" w:line="370"/>
        <w:ind w:left="2410" w:hanging="567"/>
        <w:rPr>
          <w:szCs w:val="27"/>
        </w:rPr>
      </w:pPr>
      <w:r>
        <w:rPr>
          <w:szCs w:val="27"/>
        </w:rPr>
        <w:t>(13)</w:t>
        <w:tab/>
      </w:r>
      <w:r>
        <w:rPr>
          <w:szCs w:val="27"/>
        </w:rPr>
        <w:t>附表</w:t>
      </w:r>
      <w:r>
        <w:rPr>
          <w:szCs w:val="27"/>
        </w:rPr>
        <w:t>6</w:t>
      </w:r>
      <w:r>
        <w:rPr>
          <w:szCs w:val="27"/>
        </w:rPr>
        <w:t>，關乎第</w:t>
      </w:r>
      <w:r>
        <w:rPr>
          <w:szCs w:val="27"/>
        </w:rPr>
        <w:t>7(1)(b)</w:t>
      </w:r>
      <w:r>
        <w:rPr>
          <w:szCs w:val="27"/>
        </w:rPr>
        <w:t>條的記項</w:t>
      </w:r>
      <w:r>
        <w:rPr>
          <w:rFonts w:ascii="Symbol" w:hAnsi="Symbol" w:cs="Symbol" w:eastAsia="Symbol"/>
        </w:rPr>
        <w:t></w:t>
      </w:r>
    </w:p>
    <w:p>
      <w:pPr>
        <w:pStyle w:val="F21"/>
        <w:spacing w:lineRule="atLeast" w:line="370"/>
        <w:ind w:left="2977" w:hanging="567"/>
        <w:rPr>
          <w:szCs w:val="27"/>
        </w:rPr>
      </w:pPr>
      <w:r>
        <w:rPr>
          <w:rFonts w:eastAsia="華康中黑體"/>
          <w:b/>
          <w:szCs w:val="27"/>
        </w:rPr>
        <w:t>廢除</w:t>
      </w:r>
    </w:p>
    <w:p>
      <w:pPr>
        <w:pStyle w:val="F21"/>
        <w:spacing w:lineRule="atLeast" w:line="370"/>
        <w:ind w:left="2977" w:hanging="567"/>
        <w:rPr>
          <w:szCs w:val="27"/>
        </w:rPr>
      </w:pPr>
      <w:r>
        <w:rPr>
          <w:rFonts w:cs="Times New Roman"/>
          <w:szCs w:val="27"/>
        </w:rPr>
        <w:t>"</w:t>
      </w:r>
      <w:r>
        <w:rPr>
          <w:szCs w:val="27"/>
        </w:rPr>
        <w:t>28,360"</w:t>
      </w:r>
    </w:p>
    <w:p>
      <w:pPr>
        <w:pStyle w:val="F21"/>
        <w:spacing w:lineRule="atLeast" w:line="370"/>
        <w:ind w:left="2977" w:hanging="567"/>
        <w:rPr>
          <w:szCs w:val="27"/>
        </w:rPr>
      </w:pPr>
      <w:r>
        <w:rPr>
          <w:rFonts w:eastAsia="華康中黑體"/>
          <w:b/>
          <w:szCs w:val="27"/>
        </w:rPr>
        <w:t>代以</w:t>
      </w:r>
    </w:p>
    <w:p>
      <w:pPr>
        <w:pStyle w:val="F21"/>
        <w:spacing w:lineRule="atLeast" w:line="370"/>
        <w:ind w:left="2977" w:hanging="567"/>
        <w:rPr>
          <w:szCs w:val="27"/>
        </w:rPr>
      </w:pPr>
      <w:r>
        <w:rPr>
          <w:rFonts w:cs="Times New Roman"/>
          <w:szCs w:val="27"/>
        </w:rPr>
        <w:t>"</w:t>
      </w:r>
      <w:r>
        <w:rPr>
          <w:szCs w:val="27"/>
        </w:rPr>
        <w:t>30,530"</w:t>
      </w:r>
      <w:r>
        <w:rPr>
          <w:szCs w:val="27"/>
        </w:rPr>
        <w:t>。</w:t>
      </w:r>
    </w:p>
    <w:p>
      <w:pPr>
        <w:pStyle w:val="F21"/>
        <w:spacing w:lineRule="atLeast" w:line="370"/>
        <w:ind w:left="2410" w:hanging="567"/>
        <w:rPr>
          <w:szCs w:val="27"/>
        </w:rPr>
      </w:pPr>
      <w:r>
        <w:rPr>
          <w:szCs w:val="27"/>
        </w:rPr>
        <w:t>(14)</w:t>
        <w:tab/>
      </w:r>
      <w:r>
        <w:rPr>
          <w:szCs w:val="27"/>
        </w:rPr>
        <w:t>附表</w:t>
      </w:r>
      <w:r>
        <w:rPr>
          <w:szCs w:val="27"/>
        </w:rPr>
        <w:t>6</w:t>
      </w:r>
      <w:r>
        <w:rPr>
          <w:szCs w:val="27"/>
        </w:rPr>
        <w:t>，關乎第</w:t>
      </w:r>
      <w:r>
        <w:rPr>
          <w:szCs w:val="27"/>
        </w:rPr>
        <w:t>7(1)(c)</w:t>
      </w:r>
      <w:r>
        <w:rPr>
          <w:szCs w:val="27"/>
        </w:rPr>
        <w:t>條的記項</w:t>
      </w:r>
      <w:r>
        <w:rPr>
          <w:rFonts w:ascii="Symbol" w:hAnsi="Symbol" w:cs="Symbol" w:eastAsia="Symbol"/>
        </w:rPr>
        <w:t></w:t>
      </w:r>
    </w:p>
    <w:p>
      <w:pPr>
        <w:pStyle w:val="F21"/>
        <w:spacing w:lineRule="atLeast" w:line="370"/>
        <w:ind w:left="2977" w:hanging="567"/>
        <w:rPr>
          <w:szCs w:val="27"/>
        </w:rPr>
      </w:pPr>
      <w:r>
        <w:rPr>
          <w:rFonts w:eastAsia="華康中黑體"/>
          <w:b/>
          <w:szCs w:val="27"/>
        </w:rPr>
        <w:t>廢除</w:t>
      </w:r>
    </w:p>
    <w:p>
      <w:pPr>
        <w:pStyle w:val="F21"/>
        <w:spacing w:lineRule="atLeast" w:line="370"/>
        <w:ind w:left="2977" w:hanging="567"/>
        <w:rPr>
          <w:szCs w:val="27"/>
        </w:rPr>
      </w:pPr>
      <w:r>
        <w:rPr>
          <w:rFonts w:cs="Times New Roman"/>
          <w:szCs w:val="27"/>
        </w:rPr>
        <w:t>"</w:t>
      </w:r>
      <w:r>
        <w:rPr>
          <w:szCs w:val="27"/>
        </w:rPr>
        <w:t>28,360</w:t>
      </w:r>
      <w:r>
        <w:rPr>
          <w:rFonts w:cs="Times New Roman"/>
          <w:szCs w:val="27"/>
        </w:rPr>
        <w:t>"</w:t>
      </w:r>
    </w:p>
    <w:p>
      <w:pPr>
        <w:pStyle w:val="F21"/>
        <w:spacing w:lineRule="atLeast" w:line="370"/>
        <w:ind w:left="2977" w:hanging="567"/>
        <w:rPr>
          <w:szCs w:val="27"/>
        </w:rPr>
      </w:pPr>
      <w:r>
        <w:rPr>
          <w:rFonts w:eastAsia="華康中黑體"/>
          <w:b/>
          <w:szCs w:val="27"/>
        </w:rPr>
        <w:t>代以</w:t>
      </w:r>
    </w:p>
    <w:p>
      <w:pPr>
        <w:pStyle w:val="F21"/>
        <w:spacing w:lineRule="atLeast" w:line="370"/>
        <w:ind w:left="2977" w:hanging="567"/>
        <w:rPr>
          <w:szCs w:val="27"/>
        </w:rPr>
      </w:pPr>
      <w:r>
        <w:rPr>
          <w:rFonts w:cs="Times New Roman"/>
          <w:szCs w:val="27"/>
        </w:rPr>
        <w:t>"</w:t>
      </w:r>
      <w:r>
        <w:rPr>
          <w:szCs w:val="27"/>
        </w:rPr>
        <w:t>30,530"</w:t>
      </w:r>
      <w:r>
        <w:rPr>
          <w:szCs w:val="27"/>
        </w:rPr>
        <w:t>。</w:t>
      </w:r>
    </w:p>
    <w:p>
      <w:pPr>
        <w:pStyle w:val="F21"/>
        <w:spacing w:lineRule="atLeast" w:line="370"/>
        <w:ind w:left="2410" w:hanging="567"/>
        <w:rPr>
          <w:szCs w:val="27"/>
        </w:rPr>
      </w:pPr>
      <w:r>
        <w:rPr>
          <w:szCs w:val="27"/>
        </w:rPr>
        <w:t>(15)</w:t>
        <w:tab/>
      </w:r>
      <w:r>
        <w:rPr>
          <w:szCs w:val="27"/>
        </w:rPr>
        <w:t>附表</w:t>
      </w:r>
      <w:r>
        <w:rPr>
          <w:szCs w:val="27"/>
        </w:rPr>
        <w:t>6</w:t>
      </w:r>
      <w:r>
        <w:rPr>
          <w:szCs w:val="27"/>
        </w:rPr>
        <w:t>，關乎第</w:t>
      </w:r>
      <w:r>
        <w:rPr>
          <w:szCs w:val="27"/>
        </w:rPr>
        <w:t>7(2)</w:t>
      </w:r>
      <w:r>
        <w:rPr>
          <w:szCs w:val="27"/>
        </w:rPr>
        <w:t>條的記項</w:t>
      </w:r>
      <w:r>
        <w:rPr>
          <w:rFonts w:ascii="Symbol" w:hAnsi="Symbol" w:cs="Symbol" w:eastAsia="Symbol"/>
        </w:rPr>
        <w:t></w:t>
      </w:r>
    </w:p>
    <w:p>
      <w:pPr>
        <w:pStyle w:val="F21"/>
        <w:spacing w:lineRule="atLeast" w:line="370"/>
        <w:ind w:left="2977" w:hanging="567"/>
        <w:rPr>
          <w:szCs w:val="27"/>
        </w:rPr>
      </w:pPr>
      <w:r>
        <w:rPr>
          <w:rFonts w:eastAsia="華康中黑體"/>
          <w:b/>
          <w:szCs w:val="27"/>
        </w:rPr>
        <w:t>廢除</w:t>
      </w:r>
    </w:p>
    <w:p>
      <w:pPr>
        <w:pStyle w:val="F21"/>
        <w:spacing w:lineRule="atLeast" w:line="370"/>
        <w:ind w:left="2977" w:hanging="567"/>
        <w:rPr>
          <w:szCs w:val="27"/>
        </w:rPr>
      </w:pPr>
      <w:r>
        <w:rPr>
          <w:rFonts w:cs="Times New Roman"/>
          <w:szCs w:val="27"/>
        </w:rPr>
        <w:t>"464</w:t>
      </w:r>
      <w:r>
        <w:rPr>
          <w:szCs w:val="27"/>
        </w:rPr>
        <w:t>,360</w:t>
      </w:r>
      <w:r>
        <w:rPr>
          <w:rFonts w:cs="Times New Roman"/>
          <w:szCs w:val="27"/>
        </w:rPr>
        <w:t>"</w:t>
      </w:r>
    </w:p>
    <w:p>
      <w:pPr>
        <w:pStyle w:val="F21"/>
        <w:spacing w:lineRule="atLeast" w:line="370"/>
        <w:ind w:left="2977" w:hanging="567"/>
        <w:rPr>
          <w:szCs w:val="27"/>
        </w:rPr>
      </w:pPr>
      <w:r>
        <w:rPr>
          <w:rFonts w:eastAsia="華康中黑體"/>
          <w:b/>
          <w:szCs w:val="27"/>
        </w:rPr>
        <w:t>代以</w:t>
      </w:r>
    </w:p>
    <w:p>
      <w:pPr>
        <w:pStyle w:val="F21"/>
        <w:spacing w:lineRule="atLeast" w:line="370"/>
        <w:ind w:left="2977" w:hanging="567"/>
        <w:rPr>
          <w:szCs w:val="27"/>
        </w:rPr>
      </w:pPr>
      <w:r>
        <w:rPr>
          <w:rFonts w:cs="Times New Roman"/>
          <w:szCs w:val="27"/>
        </w:rPr>
        <w:t>"499</w:t>
      </w:r>
      <w:r>
        <w:rPr>
          <w:szCs w:val="27"/>
        </w:rPr>
        <w:t>,840"</w:t>
      </w:r>
      <w:r>
        <w:rPr>
          <w:szCs w:val="27"/>
        </w:rPr>
        <w:t>。</w:t>
      </w:r>
    </w:p>
    <w:p>
      <w:pPr>
        <w:pStyle w:val="F21"/>
        <w:spacing w:lineRule="atLeast" w:line="370"/>
        <w:ind w:left="2410" w:hanging="567"/>
        <w:rPr>
          <w:szCs w:val="27"/>
        </w:rPr>
      </w:pPr>
      <w:r>
        <w:rPr>
          <w:szCs w:val="27"/>
        </w:rPr>
        <w:t>(16)</w:t>
        <w:tab/>
      </w:r>
      <w:r>
        <w:rPr>
          <w:szCs w:val="27"/>
        </w:rPr>
        <w:t>附表</w:t>
      </w:r>
      <w:r>
        <w:rPr>
          <w:szCs w:val="27"/>
        </w:rPr>
        <w:t>6</w:t>
      </w:r>
      <w:r>
        <w:rPr>
          <w:szCs w:val="27"/>
        </w:rPr>
        <w:t>，關乎第</w:t>
      </w:r>
      <w:r>
        <w:rPr>
          <w:szCs w:val="27"/>
        </w:rPr>
        <w:t>8(1)(a)</w:t>
      </w:r>
      <w:r>
        <w:rPr>
          <w:szCs w:val="27"/>
        </w:rPr>
        <w:t>條的記項</w:t>
      </w:r>
      <w:r>
        <w:rPr>
          <w:rFonts w:ascii="Symbol" w:hAnsi="Symbol" w:cs="Symbol" w:eastAsia="Symbol"/>
        </w:rPr>
        <w:t></w:t>
      </w:r>
    </w:p>
    <w:p>
      <w:pPr>
        <w:pStyle w:val="F21"/>
        <w:spacing w:lineRule="atLeast" w:line="370"/>
        <w:ind w:left="2977" w:hanging="567"/>
        <w:rPr>
          <w:szCs w:val="27"/>
        </w:rPr>
      </w:pPr>
      <w:r>
        <w:rPr>
          <w:rFonts w:eastAsia="華康中黑體"/>
          <w:b/>
          <w:szCs w:val="27"/>
        </w:rPr>
        <w:t>廢除</w:t>
      </w:r>
    </w:p>
    <w:p>
      <w:pPr>
        <w:pStyle w:val="F21"/>
        <w:spacing w:lineRule="atLeast" w:line="370"/>
        <w:ind w:left="2977" w:hanging="567"/>
        <w:rPr>
          <w:szCs w:val="27"/>
        </w:rPr>
      </w:pPr>
      <w:r>
        <w:rPr>
          <w:rFonts w:cs="Times New Roman"/>
          <w:szCs w:val="27"/>
        </w:rPr>
        <w:t>"</w:t>
      </w:r>
      <w:r>
        <w:rPr>
          <w:szCs w:val="27"/>
        </w:rPr>
        <w:t>556,700"</w:t>
      </w:r>
    </w:p>
    <w:p>
      <w:pPr>
        <w:pStyle w:val="F21"/>
        <w:spacing w:lineRule="atLeast" w:line="370"/>
        <w:ind w:left="2977" w:hanging="567"/>
        <w:rPr>
          <w:szCs w:val="27"/>
        </w:rPr>
      </w:pPr>
      <w:r>
        <w:rPr>
          <w:rFonts w:eastAsia="華康中黑體"/>
          <w:b/>
          <w:szCs w:val="27"/>
        </w:rPr>
        <w:t>代以</w:t>
      </w:r>
    </w:p>
    <w:p>
      <w:pPr>
        <w:pStyle w:val="F21"/>
        <w:spacing w:lineRule="atLeast" w:line="370"/>
        <w:ind w:left="2977" w:hanging="567"/>
        <w:rPr>
          <w:szCs w:val="27"/>
        </w:rPr>
      </w:pPr>
      <w:r>
        <w:rPr>
          <w:rFonts w:cs="Times New Roman"/>
          <w:szCs w:val="27"/>
        </w:rPr>
        <w:t>"</w:t>
      </w:r>
      <w:r>
        <w:rPr>
          <w:szCs w:val="27"/>
        </w:rPr>
        <w:t>599,230"</w:t>
      </w:r>
      <w:r>
        <w:rPr>
          <w:szCs w:val="27"/>
        </w:rPr>
        <w:t>。</w:t>
      </w:r>
    </w:p>
    <w:p>
      <w:pPr>
        <w:pStyle w:val="F21"/>
        <w:spacing w:lineRule="atLeast" w:line="370"/>
        <w:ind w:left="2410" w:hanging="567"/>
        <w:rPr/>
      </w:pPr>
      <w:r>
        <w:rPr>
          <w:szCs w:val="27"/>
        </w:rPr>
        <w:t>(17)</w:t>
        <w:tab/>
      </w:r>
      <w:r>
        <w:rPr>
          <w:szCs w:val="27"/>
        </w:rPr>
        <w:t>附表</w:t>
      </w:r>
      <w:r>
        <w:rPr>
          <w:szCs w:val="27"/>
        </w:rPr>
        <w:t>6</w:t>
      </w:r>
      <w:r>
        <w:rPr>
          <w:szCs w:val="27"/>
        </w:rPr>
        <w:t>，關乎第</w:t>
      </w:r>
      <w:r>
        <w:rPr>
          <w:szCs w:val="27"/>
        </w:rPr>
        <w:t>8(1)(b)</w:t>
      </w:r>
      <w:r>
        <w:rPr>
          <w:szCs w:val="27"/>
        </w:rPr>
        <w:t>條的記項</w:t>
      </w:r>
      <w:r>
        <w:rPr>
          <w:rFonts w:ascii="Symbol" w:hAnsi="Symbol" w:cs="Symbol" w:eastAsia="Symbol"/>
        </w:rPr>
        <w:t></w:t>
      </w:r>
    </w:p>
    <w:p>
      <w:pPr>
        <w:pStyle w:val="F21"/>
        <w:spacing w:lineRule="atLeast" w:line="370"/>
        <w:ind w:left="2977" w:hanging="567"/>
        <w:rPr>
          <w:szCs w:val="27"/>
        </w:rPr>
      </w:pPr>
      <w:r>
        <w:rPr>
          <w:rFonts w:eastAsia="華康中黑體"/>
          <w:b/>
          <w:szCs w:val="27"/>
        </w:rPr>
        <w:t>廢除</w:t>
      </w:r>
    </w:p>
    <w:p>
      <w:pPr>
        <w:pStyle w:val="F21"/>
        <w:spacing w:lineRule="atLeast" w:line="370"/>
        <w:ind w:left="2977" w:hanging="567"/>
        <w:rPr>
          <w:szCs w:val="27"/>
        </w:rPr>
      </w:pPr>
      <w:r>
        <w:rPr>
          <w:rFonts w:cs="Times New Roman"/>
          <w:szCs w:val="27"/>
        </w:rPr>
        <w:t>"</w:t>
      </w:r>
      <w:r>
        <w:rPr>
          <w:szCs w:val="27"/>
        </w:rPr>
        <w:t>556,700"</w:t>
      </w:r>
    </w:p>
    <w:p>
      <w:pPr>
        <w:pStyle w:val="F21"/>
        <w:spacing w:lineRule="atLeast" w:line="370"/>
        <w:ind w:left="2977" w:hanging="567"/>
        <w:rPr>
          <w:szCs w:val="27"/>
        </w:rPr>
      </w:pPr>
      <w:r>
        <w:rPr>
          <w:rFonts w:eastAsia="華康中黑體"/>
          <w:b/>
          <w:szCs w:val="27"/>
        </w:rPr>
        <w:t>代以</w:t>
      </w:r>
    </w:p>
    <w:p>
      <w:pPr>
        <w:pStyle w:val="F21"/>
        <w:spacing w:lineRule="atLeast" w:line="370"/>
        <w:ind w:left="2977" w:hanging="567"/>
        <w:rPr>
          <w:szCs w:val="27"/>
        </w:rPr>
      </w:pPr>
      <w:r>
        <w:rPr>
          <w:rFonts w:cs="Times New Roman"/>
          <w:szCs w:val="27"/>
        </w:rPr>
        <w:t>"</w:t>
      </w:r>
      <w:r>
        <w:rPr>
          <w:szCs w:val="27"/>
        </w:rPr>
        <w:t>599,230"</w:t>
      </w:r>
      <w:r>
        <w:rPr>
          <w:szCs w:val="27"/>
        </w:rPr>
        <w:t>。</w:t>
      </w:r>
    </w:p>
    <w:p>
      <w:pPr>
        <w:pStyle w:val="F21"/>
        <w:spacing w:lineRule="atLeast" w:line="370"/>
        <w:ind w:left="2410" w:hanging="567"/>
        <w:rPr>
          <w:szCs w:val="27"/>
        </w:rPr>
      </w:pPr>
      <w:r>
        <w:rPr>
          <w:szCs w:val="27"/>
        </w:rPr>
        <w:t>(18)</w:t>
        <w:tab/>
      </w:r>
      <w:r>
        <w:rPr>
          <w:szCs w:val="27"/>
        </w:rPr>
        <w:t>附表</w:t>
      </w:r>
      <w:r>
        <w:rPr>
          <w:szCs w:val="27"/>
        </w:rPr>
        <w:t>6</w:t>
      </w:r>
      <w:r>
        <w:rPr>
          <w:szCs w:val="27"/>
        </w:rPr>
        <w:t>，關乎第</w:t>
      </w:r>
      <w:r>
        <w:rPr>
          <w:szCs w:val="27"/>
        </w:rPr>
        <w:t>11(5)</w:t>
      </w:r>
      <w:r>
        <w:rPr>
          <w:szCs w:val="27"/>
        </w:rPr>
        <w:t>條的記項</w:t>
      </w:r>
      <w:r>
        <w:rPr>
          <w:rFonts w:ascii="Symbol" w:hAnsi="Symbol" w:cs="Symbol" w:eastAsia="Symbol"/>
        </w:rPr>
        <w:t></w:t>
      </w:r>
    </w:p>
    <w:p>
      <w:pPr>
        <w:pStyle w:val="F21"/>
        <w:spacing w:lineRule="atLeast" w:line="370"/>
        <w:ind w:left="2977" w:hanging="567"/>
        <w:rPr>
          <w:szCs w:val="27"/>
        </w:rPr>
      </w:pPr>
      <w:r>
        <w:rPr>
          <w:rFonts w:eastAsia="華康中黑體"/>
          <w:b/>
          <w:szCs w:val="27"/>
        </w:rPr>
        <w:t>廢除</w:t>
      </w:r>
    </w:p>
    <w:p>
      <w:pPr>
        <w:pStyle w:val="F21"/>
        <w:spacing w:lineRule="atLeast" w:line="370"/>
        <w:ind w:left="2977" w:hanging="567"/>
        <w:rPr>
          <w:szCs w:val="27"/>
        </w:rPr>
      </w:pPr>
      <w:r>
        <w:rPr>
          <w:rFonts w:cs="Times New Roman"/>
          <w:szCs w:val="27"/>
        </w:rPr>
        <w:t>"</w:t>
      </w:r>
      <w:r>
        <w:rPr>
          <w:szCs w:val="27"/>
        </w:rPr>
        <w:t>4,090"</w:t>
      </w:r>
    </w:p>
    <w:p>
      <w:pPr>
        <w:pStyle w:val="F21"/>
        <w:spacing w:lineRule="atLeast" w:line="370"/>
        <w:ind w:left="2977" w:hanging="567"/>
        <w:rPr>
          <w:szCs w:val="27"/>
        </w:rPr>
      </w:pPr>
      <w:r>
        <w:rPr>
          <w:rFonts w:eastAsia="華康中黑體"/>
          <w:b/>
          <w:szCs w:val="27"/>
        </w:rPr>
        <w:t>代以</w:t>
      </w:r>
    </w:p>
    <w:p>
      <w:pPr>
        <w:pStyle w:val="F21"/>
        <w:spacing w:lineRule="atLeast" w:line="370"/>
        <w:ind w:left="2977" w:hanging="567"/>
        <w:rPr>
          <w:szCs w:val="27"/>
        </w:rPr>
      </w:pPr>
      <w:r>
        <w:rPr>
          <w:rFonts w:cs="Times New Roman"/>
          <w:szCs w:val="27"/>
        </w:rPr>
        <w:t>"</w:t>
      </w:r>
      <w:r>
        <w:rPr>
          <w:szCs w:val="27"/>
        </w:rPr>
        <w:t>4,500</w:t>
      </w:r>
      <w:r>
        <w:rPr>
          <w:rFonts w:cs="Times New Roman"/>
          <w:szCs w:val="27"/>
        </w:rPr>
        <w:t>"</w:t>
      </w:r>
      <w:r>
        <w:rPr>
          <w:szCs w:val="27"/>
        </w:rPr>
        <w:t>。</w:t>
      </w:r>
      <w:r>
        <w:br w:type="page"/>
      </w:r>
    </w:p>
    <w:p>
      <w:pPr>
        <w:pStyle w:val="F21"/>
        <w:ind w:left="2410" w:hanging="567"/>
        <w:rPr>
          <w:szCs w:val="27"/>
        </w:rPr>
      </w:pPr>
      <w:r>
        <w:rPr>
          <w:szCs w:val="27"/>
        </w:rPr>
        <w:t>(19)</w:t>
        <w:tab/>
      </w:r>
      <w:r>
        <w:rPr>
          <w:szCs w:val="27"/>
        </w:rPr>
        <w:t>附表</w:t>
      </w:r>
      <w:r>
        <w:rPr>
          <w:szCs w:val="27"/>
        </w:rPr>
        <w:t>6</w:t>
      </w:r>
      <w:r>
        <w:rPr>
          <w:szCs w:val="27"/>
        </w:rPr>
        <w:t>，關乎第</w:t>
      </w:r>
      <w:r>
        <w:rPr>
          <w:szCs w:val="27"/>
        </w:rPr>
        <w:t>16A(10)(a)</w:t>
      </w:r>
      <w:r>
        <w:rPr>
          <w:szCs w:val="27"/>
        </w:rPr>
        <w:t>條的記項</w:t>
      </w:r>
      <w:r>
        <w:rPr>
          <w:rFonts w:ascii="Symbol" w:hAnsi="Symbol" w:cs="Symbol" w:eastAsia="Symbol"/>
        </w:rPr>
        <w:t></w:t>
      </w:r>
    </w:p>
    <w:p>
      <w:pPr>
        <w:pStyle w:val="F21"/>
        <w:ind w:left="2977" w:hanging="567"/>
        <w:rPr>
          <w:szCs w:val="27"/>
        </w:rPr>
      </w:pPr>
      <w:r>
        <w:rPr>
          <w:rFonts w:eastAsia="華康中黑體"/>
          <w:b/>
          <w:szCs w:val="27"/>
        </w:rPr>
        <w:t>廢除</w:t>
      </w:r>
    </w:p>
    <w:p>
      <w:pPr>
        <w:pStyle w:val="F21"/>
        <w:ind w:left="2977" w:hanging="567"/>
        <w:rPr>
          <w:szCs w:val="27"/>
        </w:rPr>
      </w:pPr>
      <w:r>
        <w:rPr>
          <w:rFonts w:cs="Times New Roman"/>
          <w:szCs w:val="27"/>
        </w:rPr>
        <w:t>"</w:t>
      </w:r>
      <w:r>
        <w:rPr>
          <w:szCs w:val="27"/>
        </w:rPr>
        <w:t>660</w:t>
      </w:r>
      <w:r>
        <w:rPr>
          <w:rFonts w:cs="Times New Roman"/>
          <w:szCs w:val="27"/>
        </w:rPr>
        <w:t>"</w:t>
      </w:r>
    </w:p>
    <w:p>
      <w:pPr>
        <w:pStyle w:val="F21"/>
        <w:ind w:left="2977" w:hanging="567"/>
        <w:rPr>
          <w:szCs w:val="27"/>
        </w:rPr>
      </w:pPr>
      <w:r>
        <w:rPr>
          <w:rFonts w:eastAsia="華康中黑體"/>
          <w:b/>
          <w:szCs w:val="27"/>
        </w:rPr>
        <w:t>代以</w:t>
      </w:r>
    </w:p>
    <w:p>
      <w:pPr>
        <w:pStyle w:val="F21"/>
        <w:ind w:left="2977" w:hanging="567"/>
        <w:rPr>
          <w:szCs w:val="27"/>
        </w:rPr>
      </w:pPr>
      <w:r>
        <w:rPr>
          <w:rFonts w:cs="Times New Roman"/>
          <w:szCs w:val="27"/>
        </w:rPr>
        <w:t>"</w:t>
      </w:r>
      <w:r>
        <w:rPr>
          <w:szCs w:val="27"/>
        </w:rPr>
        <w:t>710"</w:t>
      </w:r>
      <w:r>
        <w:rPr>
          <w:szCs w:val="27"/>
        </w:rPr>
        <w:t>。</w:t>
      </w:r>
    </w:p>
    <w:p>
      <w:pPr>
        <w:pStyle w:val="F21"/>
        <w:ind w:left="2410" w:hanging="567"/>
        <w:rPr>
          <w:szCs w:val="27"/>
        </w:rPr>
      </w:pPr>
      <w:r>
        <w:rPr>
          <w:szCs w:val="27"/>
        </w:rPr>
        <w:t>(20)</w:t>
        <w:tab/>
      </w:r>
      <w:r>
        <w:rPr>
          <w:szCs w:val="27"/>
        </w:rPr>
        <w:t>附表</w:t>
      </w:r>
      <w:r>
        <w:rPr>
          <w:szCs w:val="27"/>
        </w:rPr>
        <w:t>6</w:t>
      </w:r>
      <w:r>
        <w:rPr>
          <w:szCs w:val="27"/>
        </w:rPr>
        <w:t>，關乎第</w:t>
      </w:r>
      <w:r>
        <w:rPr>
          <w:szCs w:val="27"/>
        </w:rPr>
        <w:t>16A(10)(b)</w:t>
      </w:r>
      <w:r>
        <w:rPr>
          <w:szCs w:val="27"/>
        </w:rPr>
        <w:t>條的記項</w:t>
      </w:r>
      <w:r>
        <w:rPr>
          <w:rFonts w:ascii="Symbol" w:hAnsi="Symbol" w:cs="Symbol" w:eastAsia="Symbol"/>
        </w:rPr>
        <w:t></w:t>
      </w:r>
    </w:p>
    <w:p>
      <w:pPr>
        <w:pStyle w:val="F21"/>
        <w:ind w:left="2977" w:hanging="567"/>
        <w:rPr>
          <w:szCs w:val="27"/>
        </w:rPr>
      </w:pPr>
      <w:r>
        <w:rPr>
          <w:rFonts w:eastAsia="華康中黑體"/>
          <w:b/>
          <w:szCs w:val="27"/>
        </w:rPr>
        <w:t>廢除</w:t>
      </w:r>
    </w:p>
    <w:p>
      <w:pPr>
        <w:pStyle w:val="F21"/>
        <w:ind w:left="2977" w:hanging="567"/>
        <w:rPr>
          <w:szCs w:val="27"/>
        </w:rPr>
      </w:pPr>
      <w:r>
        <w:rPr>
          <w:rFonts w:cs="Times New Roman"/>
          <w:szCs w:val="27"/>
        </w:rPr>
        <w:t>"</w:t>
      </w:r>
      <w:r>
        <w:rPr>
          <w:szCs w:val="27"/>
        </w:rPr>
        <w:t>1,330</w:t>
      </w:r>
      <w:r>
        <w:rPr>
          <w:rFonts w:cs="Times New Roman"/>
          <w:szCs w:val="27"/>
        </w:rPr>
        <w:t>"</w:t>
      </w:r>
    </w:p>
    <w:p>
      <w:pPr>
        <w:pStyle w:val="F21"/>
        <w:ind w:left="2977" w:hanging="567"/>
        <w:rPr>
          <w:szCs w:val="27"/>
        </w:rPr>
      </w:pPr>
      <w:r>
        <w:rPr>
          <w:rFonts w:eastAsia="華康中黑體"/>
          <w:b/>
          <w:szCs w:val="27"/>
        </w:rPr>
        <w:t>代以</w:t>
      </w:r>
    </w:p>
    <w:p>
      <w:pPr>
        <w:pStyle w:val="F21"/>
        <w:ind w:left="2977" w:hanging="567"/>
        <w:rPr>
          <w:szCs w:val="27"/>
        </w:rPr>
      </w:pPr>
      <w:r>
        <w:rPr>
          <w:rFonts w:cs="Times New Roman"/>
          <w:szCs w:val="27"/>
        </w:rPr>
        <w:t>"</w:t>
      </w:r>
      <w:r>
        <w:rPr>
          <w:szCs w:val="27"/>
        </w:rPr>
        <w:t>1,430</w:t>
      </w:r>
      <w:r>
        <w:rPr>
          <w:rFonts w:cs="Times New Roman"/>
          <w:szCs w:val="27"/>
        </w:rPr>
        <w:t>"</w:t>
      </w:r>
      <w:r>
        <w:rPr>
          <w:szCs w:val="27"/>
        </w:rPr>
        <w:t>。</w:t>
      </w:r>
    </w:p>
    <w:p>
      <w:pPr>
        <w:pStyle w:val="F21"/>
        <w:ind w:left="2410" w:hanging="567"/>
        <w:rPr>
          <w:szCs w:val="27"/>
        </w:rPr>
      </w:pPr>
      <w:r>
        <w:rPr>
          <w:szCs w:val="27"/>
        </w:rPr>
        <w:t>(21)</w:t>
        <w:tab/>
      </w:r>
      <w:r>
        <w:rPr>
          <w:szCs w:val="27"/>
        </w:rPr>
        <w:t>附表</w:t>
      </w:r>
      <w:r>
        <w:rPr>
          <w:szCs w:val="27"/>
        </w:rPr>
        <w:t>6</w:t>
      </w:r>
      <w:r>
        <w:rPr>
          <w:szCs w:val="27"/>
        </w:rPr>
        <w:t>，關乎第</w:t>
      </w:r>
      <w:r>
        <w:rPr>
          <w:szCs w:val="27"/>
        </w:rPr>
        <w:t>36C</w:t>
      </w:r>
      <w:r>
        <w:rPr>
          <w:szCs w:val="27"/>
        </w:rPr>
        <w:t>條的記項</w:t>
      </w:r>
      <w:r>
        <w:rPr>
          <w:rFonts w:ascii="Symbol" w:hAnsi="Symbol" w:cs="Symbol" w:eastAsia="Symbol"/>
        </w:rPr>
        <w:t></w:t>
      </w:r>
    </w:p>
    <w:p>
      <w:pPr>
        <w:pStyle w:val="F21"/>
        <w:ind w:left="2977" w:hanging="567"/>
        <w:rPr>
          <w:szCs w:val="27"/>
        </w:rPr>
      </w:pPr>
      <w:r>
        <w:rPr>
          <w:rFonts w:eastAsia="華康中黑體"/>
          <w:b/>
          <w:szCs w:val="27"/>
        </w:rPr>
        <w:t>廢除</w:t>
      </w:r>
    </w:p>
    <w:p>
      <w:pPr>
        <w:pStyle w:val="F21"/>
        <w:ind w:left="2977" w:hanging="567"/>
        <w:rPr>
          <w:szCs w:val="27"/>
        </w:rPr>
      </w:pPr>
      <w:r>
        <w:rPr>
          <w:rFonts w:cs="Times New Roman"/>
          <w:szCs w:val="27"/>
        </w:rPr>
        <w:t>"40,010</w:t>
      </w:r>
      <w:r>
        <w:rPr>
          <w:szCs w:val="27"/>
        </w:rPr>
        <w:t>"</w:t>
      </w:r>
    </w:p>
    <w:p>
      <w:pPr>
        <w:pStyle w:val="F21"/>
        <w:ind w:left="2977" w:hanging="567"/>
        <w:rPr>
          <w:szCs w:val="27"/>
        </w:rPr>
      </w:pPr>
      <w:r>
        <w:rPr>
          <w:rFonts w:eastAsia="華康中黑體"/>
          <w:b/>
          <w:szCs w:val="27"/>
        </w:rPr>
        <w:t>代以</w:t>
      </w:r>
    </w:p>
    <w:p>
      <w:pPr>
        <w:pStyle w:val="F21"/>
        <w:ind w:left="2977" w:hanging="567"/>
        <w:rPr>
          <w:szCs w:val="27"/>
        </w:rPr>
      </w:pPr>
      <w:r>
        <w:rPr>
          <w:rFonts w:cs="Times New Roman"/>
          <w:szCs w:val="27"/>
        </w:rPr>
        <w:t>"</w:t>
      </w:r>
      <w:r>
        <w:rPr>
          <w:szCs w:val="27"/>
        </w:rPr>
        <w:t>41,750</w:t>
      </w:r>
      <w:r>
        <w:rPr>
          <w:rFonts w:cs="Times New Roman"/>
          <w:szCs w:val="27"/>
        </w:rPr>
        <w:t>"</w:t>
      </w:r>
      <w:r>
        <w:rPr>
          <w:rFonts w:cs="Times New Roman"/>
          <w:szCs w:val="27"/>
        </w:rPr>
        <w:t>。</w:t>
      </w:r>
    </w:p>
    <w:p>
      <w:pPr>
        <w:pStyle w:val="F21"/>
        <w:ind w:left="2410" w:hanging="567"/>
        <w:rPr>
          <w:szCs w:val="27"/>
        </w:rPr>
      </w:pPr>
      <w:r>
        <w:rPr>
          <w:szCs w:val="27"/>
        </w:rPr>
        <w:t>(22)</w:t>
        <w:tab/>
      </w:r>
      <w:r>
        <w:rPr>
          <w:szCs w:val="27"/>
        </w:rPr>
        <w:t>附表</w:t>
      </w:r>
      <w:r>
        <w:rPr>
          <w:szCs w:val="27"/>
        </w:rPr>
        <w:t>6</w:t>
      </w:r>
      <w:r>
        <w:rPr>
          <w:szCs w:val="27"/>
        </w:rPr>
        <w:t>，關乎第</w:t>
      </w:r>
      <w:r>
        <w:rPr>
          <w:szCs w:val="27"/>
        </w:rPr>
        <w:t>36J</w:t>
      </w:r>
      <w:r>
        <w:rPr>
          <w:szCs w:val="27"/>
        </w:rPr>
        <w:t>條的記項</w:t>
      </w:r>
      <w:r>
        <w:rPr>
          <w:rFonts w:ascii="Symbol" w:hAnsi="Symbol" w:cs="Symbol" w:eastAsia="Symbol"/>
        </w:rPr>
        <w:t></w:t>
      </w:r>
    </w:p>
    <w:p>
      <w:pPr>
        <w:pStyle w:val="F21"/>
        <w:ind w:left="2977" w:hanging="567"/>
        <w:rPr>
          <w:szCs w:val="27"/>
        </w:rPr>
      </w:pPr>
      <w:r>
        <w:rPr>
          <w:rFonts w:eastAsia="華康中黑體"/>
          <w:b/>
          <w:szCs w:val="27"/>
        </w:rPr>
        <w:t>廢除</w:t>
      </w:r>
    </w:p>
    <w:p>
      <w:pPr>
        <w:pStyle w:val="F21"/>
        <w:ind w:left="2977" w:hanging="567"/>
        <w:rPr>
          <w:szCs w:val="27"/>
        </w:rPr>
      </w:pPr>
      <w:r>
        <w:rPr>
          <w:rFonts w:cs="Times New Roman"/>
          <w:szCs w:val="27"/>
        </w:rPr>
        <w:t>"</w:t>
      </w:r>
      <w:r>
        <w:rPr>
          <w:szCs w:val="27"/>
        </w:rPr>
        <w:t>121,230</w:t>
      </w:r>
      <w:r>
        <w:rPr>
          <w:rFonts w:cs="Times New Roman"/>
          <w:szCs w:val="27"/>
        </w:rPr>
        <w:t>"</w:t>
      </w:r>
    </w:p>
    <w:p>
      <w:pPr>
        <w:pStyle w:val="F21"/>
        <w:ind w:left="2977" w:hanging="567"/>
        <w:rPr>
          <w:szCs w:val="27"/>
        </w:rPr>
      </w:pPr>
      <w:r>
        <w:rPr>
          <w:rFonts w:eastAsia="華康中黑體"/>
          <w:b/>
          <w:szCs w:val="27"/>
        </w:rPr>
        <w:t>代以</w:t>
      </w:r>
    </w:p>
    <w:p>
      <w:pPr>
        <w:pStyle w:val="F21"/>
        <w:ind w:left="2977" w:hanging="567"/>
        <w:rPr>
          <w:szCs w:val="27"/>
        </w:rPr>
      </w:pPr>
      <w:r>
        <w:rPr>
          <w:rFonts w:cs="Times New Roman"/>
          <w:szCs w:val="27"/>
        </w:rPr>
        <w:t>"126,490"</w:t>
      </w:r>
      <w:r>
        <w:rPr>
          <w:rFonts w:cs="Times New Roman"/>
          <w:szCs w:val="27"/>
        </w:rPr>
        <w:t>。</w:t>
      </w:r>
      <w:r>
        <w:rPr>
          <w:rFonts w:cs="Times New Roman"/>
          <w:szCs w:val="27"/>
        </w:rPr>
        <w:t>"</w:t>
      </w:r>
    </w:p>
    <w:p>
      <w:pPr>
        <w:pStyle w:val="F21"/>
        <w:rPr>
          <w:szCs w:val="27"/>
        </w:rPr>
      </w:pPr>
      <w:r>
        <w:rPr>
          <w:szCs w:val="27"/>
        </w:rPr>
      </w:r>
    </w:p>
    <w:p>
      <w:pPr>
        <w:pStyle w:val="F21"/>
        <w:rPr>
          <w:szCs w:val="27"/>
        </w:rPr>
      </w:pPr>
      <w:r>
        <w:rPr>
          <w:szCs w:val="27"/>
        </w:rPr>
      </w:r>
    </w:p>
    <w:p>
      <w:pPr>
        <w:pStyle w:val="F21"/>
        <w:rPr>
          <w:szCs w:val="27"/>
        </w:rPr>
      </w:pPr>
      <w:r>
        <w:rPr>
          <w:rFonts w:ascii="華康中黑體" w:hAnsi="華康中黑體" w:eastAsia="華康中黑體"/>
          <w:b/>
          <w:szCs w:val="27"/>
        </w:rPr>
        <w:t>代理主席</w:t>
      </w:r>
      <w:r>
        <w:rPr>
          <w:szCs w:val="27"/>
        </w:rPr>
        <w:t>：我現在向各位提出的待議議題是：勞工及福利局局長動議的第一項議案，予以通過。</w:t>
      </w:r>
    </w:p>
    <w:p>
      <w:pPr>
        <w:pStyle w:val="F21"/>
        <w:rPr>
          <w:szCs w:val="27"/>
        </w:rPr>
      </w:pPr>
      <w:r>
        <w:rPr>
          <w:szCs w:val="27"/>
        </w:rPr>
      </w:r>
    </w:p>
    <w:p>
      <w:pPr>
        <w:pStyle w:val="F21"/>
        <w:rPr>
          <w:szCs w:val="27"/>
        </w:rPr>
      </w:pPr>
      <w:r>
        <w:rPr>
          <w:szCs w:val="27"/>
        </w:rPr>
      </w:r>
    </w:p>
    <w:p>
      <w:pPr>
        <w:pStyle w:val="F21"/>
        <w:overflowPunct w:val="true"/>
        <w:rPr/>
      </w:pPr>
      <w:r>
        <w:rPr>
          <w:rFonts w:eastAsia="華康中黑體"/>
          <w:b/>
          <w:szCs w:val="27"/>
        </w:rPr>
        <w:t>郭家麒議員</w:t>
      </w:r>
      <w:r>
        <w:rPr/>
        <w:t>：代理主席，我發言支持這些決議案。不過，在表示支持之餘，我想告訴大家，這</w:t>
      </w:r>
      <w:r>
        <w:rPr/>
        <w:t>3</w:t>
      </w:r>
      <w:r>
        <w:rPr/>
        <w:t>項決議案是遲來的修訂，遲來的春天。如果單單聆聽局長剛才的發言，大家會以為政府相當仁慈，將《僱員補償條例》、《肺塵埃沉着病及間皮瘤</w:t>
      </w:r>
      <w:r>
        <w:rPr/>
        <w:t>(</w:t>
      </w:r>
      <w:r>
        <w:rPr/>
        <w:t>補償</w:t>
      </w:r>
      <w:r>
        <w:rPr/>
        <w:t>)</w:t>
      </w:r>
      <w:r>
        <w:rPr/>
        <w:t>條例》及《職業性失聰</w:t>
      </w:r>
      <w:r>
        <w:rPr/>
        <w:t>(</w:t>
      </w:r>
      <w:r>
        <w:rPr/>
        <w:t>補償</w:t>
      </w:r>
      <w:r>
        <w:rPr/>
        <w:t>)</w:t>
      </w:r>
      <w:r>
        <w:rPr/>
        <w:t>條例》中相關的補償項目金額上調。這看似是政府主動提出的動作，但代理主席，事實正好相反，這是等了很長時間才有的動作。</w:t>
      </w:r>
    </w:p>
    <w:p>
      <w:pPr>
        <w:pStyle w:val="F21"/>
        <w:overflowPunct w:val="true"/>
        <w:rPr/>
      </w:pPr>
      <w:r>
        <w:rPr/>
      </w:r>
    </w:p>
    <w:p>
      <w:pPr>
        <w:pStyle w:val="F21"/>
        <w:overflowPunct w:val="true"/>
        <w:rPr/>
      </w:pPr>
      <w:r>
        <w:rPr/>
        <w:tab/>
      </w:r>
      <w:r>
        <w:rPr/>
        <w:t>我現在想集中討論有關醫療器材方面。在今次的第二項決議案，即有關《肺塵埃沉着病及間皮瘤</w:t>
      </w:r>
      <w:r>
        <w:rPr/>
        <w:t>(</w:t>
      </w:r>
      <w:r>
        <w:rPr/>
        <w:t>補償</w:t>
      </w:r>
      <w:r>
        <w:rPr/>
        <w:t>)</w:t>
      </w:r>
      <w:r>
        <w:rPr/>
        <w:t>條例》中，在醫療設備方面，由以往只包括輪椅、氧氣壓縮機配件、氧氣樽，擴大至涵蓋呼吸機、抽痰機及放濕機。首先，大家要明白，為何這些工友會患上肺塵埃沉着病及間皮瘤？在肺塵埃沉着病方面，我們走在街道上，常看到很多工友在地盤或馬路上進行修理和清拆工程。大家也知道，香港的路面是不斷出現挖掘和重鋪的情況。可是，大家有否想到，每次進行這些工序時，散出的粉塵便積聚在這些工友的肺部內，經年累月也是如此，經過一段長時間，這些積聚在肺部內的粉塵基本上永遠無法排出，他們的肺部原本像海綿，但最後變為石頭。大家可以想象，當肺部變得如石頭般硬時，他們便無法呼氣，而當他們的肺塵埃沉着病病發時，他們通常已過了辛勤勞動的時間，即差不多是</w:t>
      </w:r>
      <w:r>
        <w:rPr/>
        <w:t>40</w:t>
      </w:r>
      <w:r>
        <w:rPr/>
        <w:t>歲、</w:t>
      </w:r>
      <w:r>
        <w:rPr/>
        <w:t>50</w:t>
      </w:r>
      <w:r>
        <w:rPr/>
        <w:t>歲。這時候，這些工友的家庭仍十分需要他們繼續工作，但他們卻因患上肺塵埃沉着病而喪失工作能力。</w:t>
      </w:r>
    </w:p>
    <w:p>
      <w:pPr>
        <w:pStyle w:val="F21"/>
        <w:overflowPunct w:val="true"/>
        <w:rPr/>
      </w:pPr>
      <w:r>
        <w:rPr/>
      </w:r>
    </w:p>
    <w:p>
      <w:pPr>
        <w:pStyle w:val="F21"/>
        <w:overflowPunct w:val="true"/>
        <w:rPr/>
      </w:pPr>
      <w:r>
        <w:rPr/>
        <w:tab/>
      </w:r>
      <w:r>
        <w:rPr/>
        <w:t>不僅如此，由於他們身體的含氧量持續下降，莫說上班，連走路也有困難，所以以往的做法是涵蓋輪椅、氧氣、氧氣樽等設備，但這只是對這些為貢獻社會而喪失健康的工友的微小補償。可惜，在法例尚未修訂以前，呼吸機、抽痰機及放濕機也不包括在補償項目內。對很多工友來說，在病發初期，他們尚可依靠氧氣機和氧氣樽來呼吸，可以外出。然而，過了沒多久，當他們的肺功能繼續受損時，他們很多人在沒有選擇下，只可依靠呼吸機。由於失去肺功能和氣管的功能，他們需要使用抽痰機和放濕機，讓他們肺內的分泌物可以釋出。其實，每次抽痰他們也相當痛苦，大家可能未必能夠想象，每小時數次，將一條膠管插入他們的氣管來抽痰。這動作並非由他們自己做，很多人要依靠家人長期照顧，所以並非一人受罪，而是整個家庭也受罪。很多時候，他們的妻子或子女要在他們的床邊不斷照顧。</w:t>
      </w:r>
    </w:p>
    <w:p>
      <w:pPr>
        <w:pStyle w:val="F21"/>
        <w:overflowPunct w:val="true"/>
        <w:rPr/>
      </w:pPr>
      <w:r>
        <w:rPr/>
      </w:r>
    </w:p>
    <w:p>
      <w:pPr>
        <w:pStyle w:val="F21"/>
        <w:overflowPunct w:val="true"/>
        <w:rPr/>
      </w:pPr>
      <w:r>
        <w:rPr/>
        <w:tab/>
      </w:r>
      <w:r>
        <w:rPr/>
        <w:t>政府經過多年與這些病友組織及他們的家屬溝通，在他們不停的爭取下，今天當局才增加這數項設備。可惜的是，當這項修訂生效時，已經有數以百計，甚至千計的工友因肺塵埃沉着病而離開人世。他們永遠無法追溯這段時期的補償。他們在極度困難和辛苦的情況下，仍要以僅餘的積蓄來購買這些必須用以維持生命的呼吸機、抽痰機及放濕機，這是相當荒謬、相當不近人情，更是與香港這個富裕社會不對稱的做法。</w:t>
      </w:r>
    </w:p>
    <w:p>
      <w:pPr>
        <w:pStyle w:val="F21"/>
        <w:overflowPunct w:val="true"/>
        <w:rPr/>
      </w:pPr>
      <w:r>
        <w:rPr/>
      </w:r>
    </w:p>
    <w:p>
      <w:pPr>
        <w:pStyle w:val="F21"/>
        <w:overflowPunct w:val="true"/>
        <w:rPr/>
      </w:pPr>
      <w:r>
        <w:rPr/>
        <w:tab/>
      </w:r>
      <w:r>
        <w:rPr/>
        <w:t>第二方面，是有關間皮瘤部分的修訂。因為最近威爾斯親王醫院重建中發生的事件，大家可能才驚覺香港原來仍受石棉影響，這是真的。其實，數十年前，石棉是既便宜又好用的隔熱物料，在香港相當普遍，甚至當外國發現石棉是一種致癌物質時，建築界或很多僱主初期仍沒有理會，而政府亦沒有相應地盡速立法。及後，經勞工團體長時間爭取，當局才訂立有關間皮瘤的補償條例，並</w:t>
      </w:r>
      <w:r>
        <w:rPr>
          <w:szCs w:val="27"/>
        </w:rPr>
        <w:t>逐步立法</w:t>
      </w:r>
      <w:r>
        <w:rPr/>
        <w:t>禁止建築物料使用石棉，而隨後就間皮瘤訂立的補償條例就是希望保障他們。</w:t>
      </w:r>
    </w:p>
    <w:p>
      <w:pPr>
        <w:pStyle w:val="Normal"/>
        <w:widowControl/>
        <w:tabs>
          <w:tab w:val="clear" w:pos="720"/>
        </w:tabs>
        <w:snapToGrid w:val="true"/>
        <w:spacing w:lineRule="exact" w:line="20"/>
        <w:jc w:val="left"/>
        <w:rPr>
          <w:rFonts w:cs="" w:cstheme="minorBidi"/>
          <w:spacing w:val="20"/>
          <w:sz w:val="27"/>
          <w:szCs w:val="22"/>
          <w:lang w:val="en-US"/>
        </w:rPr>
      </w:pPr>
      <w:r>
        <w:rPr>
          <w:rFonts w:cs="" w:cstheme="minorBidi"/>
          <w:spacing w:val="20"/>
          <w:sz w:val="27"/>
          <w:szCs w:val="22"/>
          <w:lang w:val="en-US"/>
        </w:rPr>
      </w:r>
      <w:r>
        <w:br w:type="page"/>
      </w:r>
    </w:p>
    <w:p>
      <w:pPr>
        <w:pStyle w:val="F21"/>
        <w:overflowPunct w:val="true"/>
        <w:rPr/>
      </w:pPr>
      <w:r>
        <w:rPr/>
        <w:tab/>
      </w:r>
      <w:r>
        <w:rPr/>
        <w:t>不過，大家可能不知道，或許我可以告訴大家，間皮瘤是極之惡毒的癌症，大部分間皮瘤病人發病後基本上只有一條道路，便是靜待死亡。因此，這些病人並沒有多長壽命享受這些所謂的賠償，反之，在醫生判定他們患上間皮瘤後，這些工友沒多</w:t>
      </w:r>
      <w:r>
        <w:rPr>
          <w:rStyle w:val="Emphasis"/>
          <w:rFonts w:ascii="Arial" w:hAnsi="Arial" w:cs="Arial"/>
          <w:i w:val="false"/>
          <w:lang w:eastAsia="zh-HK"/>
        </w:rPr>
        <w:t>久</w:t>
      </w:r>
      <w:r>
        <w:rPr/>
        <w:t>便在極為痛苦的情況下離開人世。他們很多人遺下年幼子女和妻子，只可依靠微薄的津貼渡過艱難的日子。</w:t>
      </w:r>
    </w:p>
    <w:p>
      <w:pPr>
        <w:pStyle w:val="F21"/>
        <w:overflowPunct w:val="true"/>
        <w:rPr/>
      </w:pPr>
      <w:r>
        <w:rPr/>
      </w:r>
    </w:p>
    <w:p>
      <w:pPr>
        <w:pStyle w:val="F21"/>
        <w:overflowPunct w:val="true"/>
        <w:rPr/>
      </w:pPr>
      <w:r>
        <w:rPr/>
        <w:tab/>
      </w:r>
      <w:r>
        <w:rPr/>
        <w:t>另一方面，政府在根據《僱員補償條例》提出的決議案中，建議提高兩項附加費，</w:t>
      </w:r>
      <w:r>
        <w:rPr>
          <w:szCs w:val="27"/>
        </w:rPr>
        <w:t>將過期支付補償的附加費由</w:t>
      </w:r>
      <w:r>
        <w:rPr>
          <w:szCs w:val="27"/>
        </w:rPr>
        <w:t>660</w:t>
      </w:r>
      <w:r>
        <w:rPr>
          <w:szCs w:val="27"/>
        </w:rPr>
        <w:t>元增加至</w:t>
      </w:r>
      <w:r>
        <w:rPr>
          <w:szCs w:val="27"/>
        </w:rPr>
        <w:t>710</w:t>
      </w:r>
      <w:r>
        <w:rPr>
          <w:szCs w:val="27"/>
        </w:rPr>
        <w:t>元，在付款期屆滿</w:t>
      </w:r>
      <w:r>
        <w:rPr>
          <w:szCs w:val="27"/>
        </w:rPr>
        <w:t>3</w:t>
      </w:r>
      <w:r>
        <w:rPr>
          <w:szCs w:val="27"/>
        </w:rPr>
        <w:t>個月後須繳付的進一步附加費由</w:t>
      </w:r>
      <w:r>
        <w:rPr>
          <w:szCs w:val="27"/>
        </w:rPr>
        <w:t>1,330</w:t>
      </w:r>
      <w:r>
        <w:rPr>
          <w:szCs w:val="27"/>
        </w:rPr>
        <w:t>元提高至</w:t>
      </w:r>
      <w:r>
        <w:rPr>
          <w:szCs w:val="27"/>
        </w:rPr>
        <w:t>1,430</w:t>
      </w:r>
      <w:r>
        <w:rPr>
          <w:szCs w:val="27"/>
        </w:rPr>
        <w:t>元。第一項附加費只增加</w:t>
      </w:r>
      <w:r>
        <w:rPr>
          <w:szCs w:val="27"/>
        </w:rPr>
        <w:t>50</w:t>
      </w:r>
      <w:r>
        <w:rPr>
          <w:szCs w:val="27"/>
        </w:rPr>
        <w:t>元。</w:t>
      </w:r>
      <w:r>
        <w:rPr/>
        <w:t>我只能說，沒有最涼薄，只有更涼薄。很多人並不知道，這數十元的增幅，原來是一些團體經年累月地爭取才得到的。至於這</w:t>
      </w:r>
      <w:r>
        <w:rPr/>
        <w:t>50</w:t>
      </w:r>
      <w:r>
        <w:rPr/>
        <w:t>元，只夠他們補回快餐店增加的飯盒錢，一家四口的飯盒錢增幅剛好</w:t>
      </w:r>
      <w:r>
        <w:rPr/>
        <w:t>50</w:t>
      </w:r>
      <w:r>
        <w:rPr/>
        <w:t>元。相比於他們為建設社會而把性命獻上，這些增幅只是小修小補，說得難聽點，這根本是微不足道的補償。</w:t>
      </w:r>
    </w:p>
    <w:p>
      <w:pPr>
        <w:pStyle w:val="F21"/>
        <w:overflowPunct w:val="true"/>
        <w:rPr/>
      </w:pPr>
      <w:r>
        <w:rPr/>
      </w:r>
    </w:p>
    <w:p>
      <w:pPr>
        <w:pStyle w:val="F21"/>
        <w:overflowPunct w:val="true"/>
        <w:rPr/>
      </w:pPr>
      <w:r>
        <w:rPr/>
        <w:tab/>
      </w:r>
      <w:r>
        <w:rPr/>
        <w:t>有人會說政府當然要量入為出，政府沒有足夠款額。可是，肺塵埃沉着病補償基金現時已滾存至超過</w:t>
      </w:r>
      <w:r>
        <w:rPr/>
        <w:t>23</w:t>
      </w:r>
      <w:r>
        <w:rPr/>
        <w:t>億元，甚至多得令政府早前在立法會提出修例，把徵款額由</w:t>
      </w:r>
      <w:r>
        <w:rPr/>
        <w:t>100</w:t>
      </w:r>
      <w:r>
        <w:rPr/>
        <w:t>萬元的工程提高至</w:t>
      </w:r>
      <w:r>
        <w:rPr/>
        <w:t>300</w:t>
      </w:r>
      <w:r>
        <w:rPr/>
        <w:t>萬元的工程。換言之，政府不是沒有錢，亦不是沒有能力增加賠償，只是政府和負責勞工政策的官員，包括勞工處的高官或政策局的高官，首要考慮是確保僱主開心，確保不會令僱主感到徵款會對他造成大影響，令其生意受損，或令他們少賺了。</w:t>
      </w:r>
    </w:p>
    <w:p>
      <w:pPr>
        <w:pStyle w:val="F21"/>
        <w:overflowPunct w:val="true"/>
        <w:rPr/>
      </w:pPr>
      <w:r>
        <w:rPr/>
      </w:r>
    </w:p>
    <w:p>
      <w:pPr>
        <w:pStyle w:val="F21"/>
        <w:overflowPunct w:val="true"/>
        <w:rPr/>
      </w:pPr>
      <w:r>
        <w:rPr/>
        <w:tab/>
      </w:r>
      <w:r>
        <w:rPr/>
        <w:t>令我們感到很羞愧的是，當社會富裕到很多人連</w:t>
      </w:r>
      <w:r>
        <w:rPr/>
        <w:t>"</w:t>
      </w:r>
      <w:r>
        <w:rPr/>
        <w:t>襪子也無法穿上</w:t>
      </w:r>
      <w:r>
        <w:rPr/>
        <w:t>"</w:t>
      </w:r>
      <w:r>
        <w:rPr/>
        <w:t>的時候，當庫房有過萬億元，當金管局有接近</w:t>
      </w:r>
      <w:r>
        <w:rPr/>
        <w:t>4</w:t>
      </w:r>
      <w:r>
        <w:rPr/>
        <w:t>萬億元的外匯儲備下，這些因為工作環境得了頑疾的人</w:t>
      </w:r>
      <w:r>
        <w:rPr>
          <w:rFonts w:ascii="Symbol" w:hAnsi="Symbol" w:cs="Symbol" w:eastAsia="Symbol"/>
        </w:rPr>
        <w:t></w:t>
      </w:r>
      <w:r>
        <w:rPr/>
        <w:t>很多疾病都是無法復原的，無論是肺塵埃沉着病、職業性失聰或間皮瘤，一旦證實發病便永遠不能復原，對身體的影響是永久的。患上其他疾病，醫生還可以配藥或做手術令他們重拾健康，但間皮瘤、職業性失聰或肺塵埃沉着病患者喪失的工作能力和健康，是一輩子也不能復原的。因此，我一直認為政府已虧欠這些工友很長時間。</w:t>
      </w:r>
    </w:p>
    <w:p>
      <w:pPr>
        <w:pStyle w:val="F21"/>
        <w:overflowPunct w:val="true"/>
        <w:rPr/>
      </w:pPr>
      <w:r>
        <w:rPr/>
      </w:r>
    </w:p>
    <w:p>
      <w:pPr>
        <w:pStyle w:val="F21"/>
        <w:overflowPunct w:val="true"/>
        <w:rPr/>
      </w:pPr>
      <w:r>
        <w:rPr/>
        <w:tab/>
      </w:r>
      <w:r>
        <w:rPr/>
        <w:t>第二方面，有關喪失工作能力的補償，大家別太高興。在</w:t>
      </w:r>
      <w:r>
        <w:rPr/>
        <w:t>2017</w:t>
      </w:r>
      <w:r>
        <w:rPr/>
        <w:t>年，由於建造業的工資中位數向下調，所以在</w:t>
      </w:r>
      <w:r>
        <w:rPr/>
        <w:t>2018</w:t>
      </w:r>
      <w:r>
        <w:rPr/>
        <w:t>年，向肺塵埃沉着病病人發放的每月喪失工作能力的賠償金額減少了</w:t>
      </w:r>
      <w:r>
        <w:rPr/>
        <w:t>10</w:t>
      </w:r>
      <w:r>
        <w:rPr/>
        <w:t>元至</w:t>
      </w:r>
      <w:r>
        <w:rPr/>
        <w:t>240</w:t>
      </w:r>
      <w:r>
        <w:rPr/>
        <w:t>元。這次提升了</w:t>
      </w:r>
      <w:r>
        <w:rPr/>
        <w:t>220</w:t>
      </w:r>
      <w:r>
        <w:rPr/>
        <w:t>元的痛苦補償金，其實只抵銷了</w:t>
      </w:r>
      <w:r>
        <w:rPr/>
        <w:t>2018</w:t>
      </w:r>
      <w:r>
        <w:rPr/>
        <w:t>年年初的削減。大家且莫高興，如果今年，即</w:t>
      </w:r>
      <w:r>
        <w:rPr/>
        <w:t>2019</w:t>
      </w:r>
      <w:r>
        <w:rPr/>
        <w:t>年建造業的工資中位數向下調，政府這次提升了的痛苦補償金又會向下調</w:t>
      </w:r>
      <w:r>
        <w:rPr>
          <w:rFonts w:ascii="Symbol" w:hAnsi="Symbol" w:cs="Symbol" w:eastAsia="Symbol"/>
        </w:rPr>
        <w:t></w:t>
      </w:r>
      <w:r>
        <w:rPr/>
        <w:t>我不知會否發生。我們要明白，這些補償金永遠不能補償他們，只因為苦無對策，亦無法追討過往的失誤，他們唯有向政府乞求增加這些補償金，令他們可以過一些不是最悲慘的日子和生活而已。</w:t>
      </w:r>
    </w:p>
    <w:p>
      <w:pPr>
        <w:pStyle w:val="F21"/>
        <w:overflowPunct w:val="true"/>
        <w:rPr/>
      </w:pPr>
      <w:r>
        <w:rPr/>
      </w:r>
    </w:p>
    <w:p>
      <w:pPr>
        <w:pStyle w:val="F21"/>
        <w:overflowPunct w:val="true"/>
        <w:rPr/>
      </w:pPr>
      <w:r>
        <w:rPr/>
        <w:tab/>
      </w:r>
      <w:r>
        <w:rPr/>
        <w:t>大家不要以為增加了有關金額，便會對基金或建造業造成很大影響。在</w:t>
      </w:r>
      <w:r>
        <w:rPr/>
        <w:t>2018</w:t>
      </w:r>
      <w:r>
        <w:rPr/>
        <w:t>年</w:t>
      </w:r>
      <w:r>
        <w:rPr/>
        <w:t>1</w:t>
      </w:r>
      <w:r>
        <w:rPr/>
        <w:t>月，全香港只有</w:t>
      </w:r>
      <w:r>
        <w:rPr/>
        <w:t>1 400</w:t>
      </w:r>
      <w:r>
        <w:rPr/>
        <w:t>個肺塵埃沉着病患者，真的是死的死，病的病，這個數字每年正在減少。我不明白為何政府與商界一樣為富不仁，在政府有能力、有條件時不做，只待病友逐漸死亡，人數越來越少時才作出修訂。此外，每年申請獲批的個案亦不斷下降，</w:t>
      </w:r>
      <w:r>
        <w:rPr/>
        <w:t>2013</w:t>
      </w:r>
      <w:r>
        <w:rPr/>
        <w:t>年只有</w:t>
      </w:r>
      <w:r>
        <w:rPr/>
        <w:t>10</w:t>
      </w:r>
      <w:r>
        <w:rPr/>
        <w:t>宗，在</w:t>
      </w:r>
      <w:r>
        <w:rPr/>
        <w:t>2015</w:t>
      </w:r>
      <w:r>
        <w:rPr/>
        <w:t>年只餘下</w:t>
      </w:r>
      <w:r>
        <w:rPr/>
        <w:t>3</w:t>
      </w:r>
      <w:r>
        <w:rPr/>
        <w:t>宗。</w:t>
      </w:r>
    </w:p>
    <w:p>
      <w:pPr>
        <w:pStyle w:val="F21"/>
        <w:overflowPunct w:val="true"/>
        <w:rPr/>
      </w:pPr>
      <w:r>
        <w:rPr/>
      </w:r>
    </w:p>
    <w:p>
      <w:pPr>
        <w:pStyle w:val="F21"/>
        <w:overflowPunct w:val="true"/>
        <w:rPr/>
      </w:pPr>
      <w:r>
        <w:rPr/>
        <w:tab/>
      </w:r>
      <w:r>
        <w:rPr/>
        <w:t>或許這一代已經喪失工作能力的工友，並不是政府認為最值得照顧的，政府並不需要爭取他們的民心，因為他們只有</w:t>
      </w:r>
      <w:r>
        <w:rPr/>
        <w:t>1 000</w:t>
      </w:r>
      <w:r>
        <w:rPr/>
        <w:t>多人，但他們每個故事也有血有淚。如果大家有機會與病友聊天，他們會道盡生活的辛酸。很多人在發病時剛過壯年，所以他們的家庭也受影響。由於很多工友是家中唯一賺取工資的人，他們喪失工作能力後，只能依靠家人照顧，更失去所有金錢，而當前增加補償的比例，絕未能對應他們的損失。因此，工友組織亦希望政府可以更新補償額，提供較為理想的補償，即有關照顧費的補償應按患者肺功能受損的程度來計算。可惜，在是次建議中，當局仍未採納有關安排，所以他們爭取公平待遇的道路仍然很漫長。我期望政府在當前的修訂通過後，盡快檢討現行的補償基準，回應他們的困難。</w:t>
      </w:r>
    </w:p>
    <w:p>
      <w:pPr>
        <w:pStyle w:val="F21"/>
        <w:overflowPunct w:val="true"/>
        <w:rPr/>
      </w:pPr>
      <w:r>
        <w:rPr/>
      </w:r>
    </w:p>
    <w:p>
      <w:pPr>
        <w:pStyle w:val="F21"/>
        <w:overflowPunct w:val="true"/>
        <w:rPr>
          <w:szCs w:val="27"/>
        </w:rPr>
      </w:pPr>
      <w:r>
        <w:rPr/>
        <w:tab/>
      </w:r>
      <w:r>
        <w:rPr/>
        <w:t>我謹此陳辭，支持通過擬議決議案。</w:t>
      </w:r>
    </w:p>
    <w:p>
      <w:pPr>
        <w:pStyle w:val="F21"/>
        <w:overflowPunct w:val="true"/>
        <w:rPr>
          <w:szCs w:val="27"/>
        </w:rPr>
      </w:pPr>
      <w:r>
        <w:rPr>
          <w:szCs w:val="27"/>
        </w:rPr>
      </w:r>
    </w:p>
    <w:p>
      <w:pPr>
        <w:pStyle w:val="F21"/>
        <w:overflowPunct w:val="true"/>
        <w:rPr>
          <w:szCs w:val="27"/>
        </w:rPr>
      </w:pPr>
      <w:r>
        <w:rPr>
          <w:szCs w:val="27"/>
        </w:rPr>
      </w:r>
    </w:p>
    <w:p>
      <w:pPr>
        <w:pStyle w:val="F21"/>
        <w:overflowPunct w:val="true"/>
        <w:rPr>
          <w:szCs w:val="26"/>
        </w:rPr>
      </w:pPr>
      <w:r>
        <w:rPr>
          <w:rFonts w:ascii="華康中黑體" w:hAnsi="華康中黑體" w:eastAsia="華康中黑體"/>
          <w:b/>
          <w:szCs w:val="26"/>
        </w:rPr>
        <w:t>郭榮鏗議員</w:t>
      </w:r>
      <w:r>
        <w:rPr>
          <w:szCs w:val="26"/>
        </w:rPr>
        <w:t>：代理主席，我要求點算法定人數。</w:t>
      </w:r>
    </w:p>
    <w:p>
      <w:pPr>
        <w:pStyle w:val="F21"/>
        <w:overflowPunct w:val="true"/>
        <w:rPr>
          <w:szCs w:val="26"/>
        </w:rPr>
      </w:pPr>
      <w:r>
        <w:rPr>
          <w:szCs w:val="26"/>
        </w:rPr>
      </w:r>
    </w:p>
    <w:p>
      <w:pPr>
        <w:pStyle w:val="F21"/>
        <w:overflowPunct w:val="true"/>
        <w:rPr>
          <w:szCs w:val="26"/>
        </w:rPr>
      </w:pPr>
      <w:r>
        <w:rPr>
          <w:szCs w:val="26"/>
        </w:rPr>
      </w:r>
    </w:p>
    <w:p>
      <w:pPr>
        <w:pStyle w:val="F21"/>
        <w:overflowPunct w:val="true"/>
        <w:rPr>
          <w:szCs w:val="26"/>
        </w:rPr>
      </w:pPr>
      <w:r>
        <w:rPr>
          <w:rFonts w:ascii="華康中黑體" w:hAnsi="華康中黑體" w:eastAsia="華康中黑體"/>
          <w:b/>
          <w:szCs w:val="26"/>
        </w:rPr>
        <w:t>代理主席</w:t>
      </w:r>
      <w:r>
        <w:rPr>
          <w:szCs w:val="26"/>
        </w:rPr>
        <w:t>：郭榮鏗議員要求點算法定人數。</w:t>
      </w:r>
    </w:p>
    <w:p>
      <w:pPr>
        <w:pStyle w:val="F21"/>
        <w:overflowPunct w:val="true"/>
        <w:rPr>
          <w:szCs w:val="26"/>
        </w:rPr>
      </w:pPr>
      <w:r>
        <w:rPr>
          <w:szCs w:val="26"/>
        </w:rPr>
      </w:r>
    </w:p>
    <w:p>
      <w:pPr>
        <w:pStyle w:val="F21"/>
        <w:overflowPunct w:val="true"/>
        <w:rPr>
          <w:szCs w:val="26"/>
        </w:rPr>
      </w:pPr>
      <w:r>
        <w:rPr>
          <w:szCs w:val="26"/>
        </w:rPr>
        <w:tab/>
      </w:r>
      <w:r>
        <w:rPr>
          <w:szCs w:val="26"/>
        </w:rPr>
        <w:t>秘書，請響鐘傳召議員返回會議廳。</w:t>
      </w:r>
    </w:p>
    <w:p>
      <w:pPr>
        <w:pStyle w:val="F21"/>
        <w:overflowPunct w:val="true"/>
        <w:rPr>
          <w:szCs w:val="26"/>
        </w:rPr>
      </w:pPr>
      <w:r>
        <w:rPr>
          <w:szCs w:val="26"/>
        </w:rPr>
      </w:r>
    </w:p>
    <w:p>
      <w:pPr>
        <w:pStyle w:val="F21"/>
        <w:overflowPunct w:val="true"/>
        <w:rPr>
          <w:szCs w:val="26"/>
        </w:rPr>
      </w:pPr>
      <w:r>
        <w:rPr>
          <w:szCs w:val="26"/>
        </w:rPr>
        <w:t>(</w:t>
      </w:r>
      <w:r>
        <w:rPr>
          <w:szCs w:val="26"/>
        </w:rPr>
        <w:t>在傳召鐘響後，多位議員返回會議廳</w:t>
      </w:r>
      <w:r>
        <w:rPr>
          <w:szCs w:val="26"/>
        </w:rPr>
        <w:t>)</w:t>
      </w:r>
    </w:p>
    <w:p>
      <w:pPr>
        <w:pStyle w:val="Normal"/>
        <w:widowControl/>
        <w:tabs>
          <w:tab w:val="clear" w:pos="720"/>
        </w:tabs>
        <w:snapToGrid w:val="true"/>
        <w:spacing w:lineRule="auto" w:line="276" w:before="0" w:after="200"/>
        <w:jc w:val="left"/>
        <w:rPr/>
      </w:pPr>
      <w:r>
        <w:rPr/>
      </w:r>
      <w:r>
        <w:br w:type="page"/>
      </w:r>
    </w:p>
    <w:p>
      <w:pPr>
        <w:pStyle w:val="F21"/>
        <w:overflowPunct w:val="true"/>
        <w:spacing w:lineRule="atLeast" w:line="310"/>
        <w:rPr>
          <w:szCs w:val="26"/>
        </w:rPr>
      </w:pPr>
      <w:r>
        <w:rPr>
          <w:rFonts w:ascii="華康中黑體" w:hAnsi="華康中黑體" w:eastAsia="華康中黑體"/>
          <w:b/>
          <w:szCs w:val="26"/>
        </w:rPr>
        <w:t>代理主席</w:t>
      </w:r>
      <w:r>
        <w:rPr>
          <w:szCs w:val="26"/>
        </w:rPr>
        <w:t>：現在會議繼續。郭榮鏗議員，請發言。</w:t>
      </w:r>
    </w:p>
    <w:p>
      <w:pPr>
        <w:pStyle w:val="F21"/>
        <w:overflowPunct w:val="true"/>
        <w:spacing w:lineRule="atLeast" w:line="310"/>
        <w:rPr/>
      </w:pPr>
      <w:r>
        <w:rPr/>
      </w:r>
    </w:p>
    <w:p>
      <w:pPr>
        <w:pStyle w:val="F21"/>
        <w:overflowPunct w:val="true"/>
        <w:spacing w:lineRule="atLeast" w:line="310"/>
        <w:rPr>
          <w:rFonts w:eastAsia="華康中黑體"/>
          <w:szCs w:val="27"/>
        </w:rPr>
      </w:pPr>
      <w:r>
        <w:rPr>
          <w:rFonts w:eastAsia="華康中黑體"/>
          <w:szCs w:val="27"/>
        </w:rPr>
      </w:r>
    </w:p>
    <w:p>
      <w:pPr>
        <w:pStyle w:val="F21"/>
        <w:overflowPunct w:val="true"/>
        <w:spacing w:lineRule="atLeast" w:line="310"/>
        <w:rPr/>
      </w:pPr>
      <w:r>
        <w:rPr>
          <w:rFonts w:eastAsia="華康中黑體"/>
          <w:b/>
          <w:szCs w:val="27"/>
        </w:rPr>
        <w:t>郭榮鏗議員</w:t>
      </w:r>
      <w:r>
        <w:rPr/>
        <w:t>：代理主席，我贊成現時審議的</w:t>
      </w:r>
      <w:r>
        <w:rPr/>
        <w:t>3</w:t>
      </w:r>
      <w:r>
        <w:rPr/>
        <w:t>項擬議決議案，即根據《僱員補償條例》</w:t>
      </w:r>
      <w:r>
        <w:rPr/>
        <w:t>(</w:t>
      </w:r>
      <w:r>
        <w:rPr/>
        <w:t>第</w:t>
      </w:r>
      <w:r>
        <w:rPr/>
        <w:t>282</w:t>
      </w:r>
      <w:r>
        <w:rPr/>
        <w:t>章</w:t>
      </w:r>
      <w:r>
        <w:rPr/>
        <w:t>)</w:t>
      </w:r>
      <w:r>
        <w:rPr/>
        <w:t>第</w:t>
      </w:r>
      <w:r>
        <w:rPr/>
        <w:t>48A</w:t>
      </w:r>
      <w:r>
        <w:rPr/>
        <w:t>條動議的擬議決議案、根據《肺塵埃沉着病及間皮瘤</w:t>
      </w:r>
      <w:r>
        <w:rPr/>
        <w:t>(</w:t>
      </w:r>
      <w:r>
        <w:rPr/>
        <w:t>補償</w:t>
      </w:r>
      <w:r>
        <w:rPr/>
        <w:t>)</w:t>
      </w:r>
      <w:r>
        <w:rPr/>
        <w:t>條例》</w:t>
      </w:r>
      <w:r>
        <w:rPr/>
        <w:t>(</w:t>
      </w:r>
      <w:r>
        <w:rPr/>
        <w:t>第</w:t>
      </w:r>
      <w:r>
        <w:rPr/>
        <w:t>360</w:t>
      </w:r>
      <w:r>
        <w:rPr/>
        <w:t>章</w:t>
      </w:r>
      <w:r>
        <w:rPr/>
        <w:t>)</w:t>
      </w:r>
      <w:r>
        <w:rPr/>
        <w:t>第</w:t>
      </w:r>
      <w:r>
        <w:rPr/>
        <w:t>40</w:t>
      </w:r>
      <w:r>
        <w:rPr/>
        <w:t>條動議的擬議決議案，以及根據《職業性失聰</w:t>
      </w:r>
      <w:r>
        <w:rPr/>
        <w:t>(</w:t>
      </w:r>
      <w:r>
        <w:rPr/>
        <w:t>補償</w:t>
      </w:r>
      <w:r>
        <w:rPr/>
        <w:t>)</w:t>
      </w:r>
      <w:r>
        <w:rPr/>
        <w:t>條例》</w:t>
      </w:r>
      <w:r>
        <w:rPr/>
        <w:t>(</w:t>
      </w:r>
      <w:r>
        <w:rPr/>
        <w:t>第</w:t>
      </w:r>
      <w:r>
        <w:rPr/>
        <w:t>469</w:t>
      </w:r>
      <w:r>
        <w:rPr/>
        <w:t>章</w:t>
      </w:r>
      <w:r>
        <w:rPr/>
        <w:t>)</w:t>
      </w:r>
      <w:r>
        <w:rPr/>
        <w:t>第</w:t>
      </w:r>
      <w:r>
        <w:rPr/>
        <w:t>39(2)</w:t>
      </w:r>
      <w:r>
        <w:rPr/>
        <w:t>條動議的擬議決議案。</w:t>
      </w:r>
    </w:p>
    <w:p>
      <w:pPr>
        <w:pStyle w:val="F21"/>
        <w:overflowPunct w:val="true"/>
        <w:spacing w:lineRule="atLeast" w:line="310"/>
        <w:rPr/>
      </w:pPr>
      <w:r>
        <w:rPr/>
      </w:r>
    </w:p>
    <w:p>
      <w:pPr>
        <w:pStyle w:val="F21"/>
        <w:overflowPunct w:val="true"/>
        <w:spacing w:lineRule="atLeast" w:line="310"/>
        <w:rPr/>
      </w:pPr>
      <w:r>
        <w:rPr/>
      </w:r>
    </w:p>
    <w:p>
      <w:pPr>
        <w:pStyle w:val="F21"/>
        <w:overflowPunct w:val="true"/>
        <w:spacing w:lineRule="atLeast" w:line="310"/>
        <w:rPr>
          <w:szCs w:val="27"/>
        </w:rPr>
      </w:pPr>
      <w:r>
        <w:rPr>
          <w:szCs w:val="27"/>
        </w:rPr>
        <w:t>(</w:t>
      </w:r>
      <w:r>
        <w:rPr>
          <w:szCs w:val="27"/>
        </w:rPr>
        <w:t>主席恢復主持會議</w:t>
      </w:r>
      <w:r>
        <w:rPr>
          <w:szCs w:val="27"/>
        </w:rPr>
        <w:t>)</w:t>
      </w:r>
    </w:p>
    <w:p>
      <w:pPr>
        <w:pStyle w:val="F21"/>
        <w:overflowPunct w:val="true"/>
        <w:spacing w:lineRule="atLeast" w:line="310"/>
        <w:rPr/>
      </w:pPr>
      <w:r>
        <w:rPr/>
      </w:r>
    </w:p>
    <w:p>
      <w:pPr>
        <w:pStyle w:val="F21"/>
        <w:overflowPunct w:val="true"/>
        <w:spacing w:lineRule="atLeast" w:line="310"/>
        <w:rPr/>
      </w:pPr>
      <w:r>
        <w:rPr/>
      </w:r>
    </w:p>
    <w:p>
      <w:pPr>
        <w:pStyle w:val="F21"/>
        <w:overflowPunct w:val="true"/>
        <w:spacing w:lineRule="atLeast" w:line="310"/>
        <w:rPr/>
      </w:pPr>
      <w:r>
        <w:rPr/>
        <w:tab/>
      </w:r>
      <w:r>
        <w:rPr/>
        <w:t>然而，在贊成的同時，我留意到肺積塵互助會</w:t>
      </w:r>
      <w:r>
        <w:rPr/>
        <w:t>(Pneumoconiosis Mutual Aid Association)("</w:t>
      </w:r>
      <w:r>
        <w:rPr/>
        <w:t>互助會</w:t>
      </w:r>
      <w:r>
        <w:rPr/>
        <w:t>")</w:t>
      </w:r>
      <w:r>
        <w:rPr/>
        <w:t>曾經透過一封信件，就《肺塵埃沉着病及間皮瘤</w:t>
      </w:r>
      <w:r>
        <w:rPr/>
        <w:t>(</w:t>
      </w:r>
      <w:r>
        <w:rPr/>
        <w:t>補償</w:t>
      </w:r>
      <w:r>
        <w:rPr/>
        <w:t>)</w:t>
      </w:r>
      <w:r>
        <w:rPr/>
        <w:t>條例》的修訂，表達了以下意見。</w:t>
      </w:r>
    </w:p>
    <w:p>
      <w:pPr>
        <w:pStyle w:val="F21"/>
        <w:overflowPunct w:val="true"/>
        <w:spacing w:lineRule="atLeast" w:line="310"/>
        <w:rPr/>
      </w:pPr>
      <w:r>
        <w:rPr/>
      </w:r>
    </w:p>
    <w:p>
      <w:pPr>
        <w:pStyle w:val="F21"/>
        <w:overflowPunct w:val="true"/>
        <w:spacing w:lineRule="atLeast" w:line="310"/>
        <w:rPr/>
      </w:pPr>
      <w:r>
        <w:rPr/>
        <w:tab/>
      </w:r>
      <w:r>
        <w:rPr/>
        <w:t>首先，對於補償金額，尤其是就擴大肺塵埃沉着病的醫療裝置的範圍作出相關修訂，他們表示感激及支持。對於一律調高有關補償金額，並把醫療裝置的範圍擴大至涵蓋呼吸機、抽痰機及加濕器等，該會表示歡迎有關修訂，亦同意有關金額的調整幅度。</w:t>
      </w:r>
    </w:p>
    <w:p>
      <w:pPr>
        <w:pStyle w:val="F21"/>
        <w:overflowPunct w:val="true"/>
        <w:spacing w:lineRule="atLeast" w:line="310"/>
        <w:rPr/>
      </w:pPr>
      <w:r>
        <w:rPr/>
      </w:r>
    </w:p>
    <w:p>
      <w:pPr>
        <w:pStyle w:val="F21"/>
        <w:overflowPunct w:val="true"/>
        <w:spacing w:lineRule="atLeast" w:line="310"/>
        <w:rPr/>
      </w:pPr>
      <w:r>
        <w:rPr/>
        <w:tab/>
      </w:r>
      <w:r>
        <w:rPr/>
        <w:t>然而，他們留意到，關於喪失工作能力的補償金額方面，由於建造業工資中位數在</w:t>
      </w:r>
      <w:r>
        <w:rPr/>
        <w:t>2017</w:t>
      </w:r>
      <w:r>
        <w:rPr/>
        <w:t>年出現下調，以致</w:t>
      </w:r>
      <w:r>
        <w:rPr/>
        <w:t>2018</w:t>
      </w:r>
      <w:r>
        <w:rPr/>
        <w:t>年全年向肺塵埃沉着病患者發放的喪失工作能力補償金額，每月減少了</w:t>
      </w:r>
      <w:r>
        <w:rPr/>
        <w:t>10</w:t>
      </w:r>
      <w:r>
        <w:rPr/>
        <w:t>元至</w:t>
      </w:r>
      <w:r>
        <w:rPr/>
        <w:t>240</w:t>
      </w:r>
      <w:r>
        <w:rPr/>
        <w:t>元不等。有鑒於此，他們認為這次將痛苦補償金調高</w:t>
      </w:r>
      <w:r>
        <w:rPr/>
        <w:t>220</w:t>
      </w:r>
      <w:r>
        <w:rPr/>
        <w:t>元只是抵銷了</w:t>
      </w:r>
      <w:r>
        <w:rPr/>
        <w:t>2018</w:t>
      </w:r>
      <w:r>
        <w:rPr/>
        <w:t>年削減的金額。他們非常憂慮</w:t>
      </w:r>
      <w:r>
        <w:rPr/>
        <w:t>2019</w:t>
      </w:r>
      <w:r>
        <w:rPr/>
        <w:t>年有關喪失工作能力的補償金額，將會再次削減。因此，我們呼籲及希望署方在建造業工資中位數再度下調的時候，能夠考慮凍結機制下的有關減幅，待將來金額增加的時候再作抵銷，以免進一步影響肺塵埃沉着病患者的生活質素。希望局長留意及關心這一點意見。</w:t>
      </w:r>
    </w:p>
    <w:p>
      <w:pPr>
        <w:pStyle w:val="F21"/>
        <w:overflowPunct w:val="true"/>
        <w:spacing w:lineRule="atLeast" w:line="310"/>
        <w:rPr/>
      </w:pPr>
      <w:r>
        <w:rPr/>
      </w:r>
    </w:p>
    <w:p>
      <w:pPr>
        <w:pStyle w:val="F21"/>
        <w:overflowPunct w:val="true"/>
        <w:spacing w:lineRule="atLeast" w:line="310"/>
        <w:rPr/>
      </w:pPr>
      <w:r>
        <w:rPr/>
        <w:tab/>
      </w:r>
      <w:r>
        <w:rPr/>
        <w:t>另一方面，互助會亦在其意見書中，就死亡及親屬賠償和殮葬費的事宜，提及一宗非常不幸的個案。現時每年約有</w:t>
      </w:r>
      <w:r>
        <w:rPr/>
        <w:t>30%</w:t>
      </w:r>
      <w:r>
        <w:rPr/>
        <w:t>肺塵埃沉着病患者的死亡個案未能獲得賠償。他們在信中提及一宗發生在</w:t>
      </w:r>
      <w:r>
        <w:rPr/>
        <w:t>2018</w:t>
      </w:r>
      <w:r>
        <w:rPr/>
        <w:t>年</w:t>
      </w:r>
      <w:r>
        <w:rPr/>
        <w:t>5</w:t>
      </w:r>
      <w:r>
        <w:rPr/>
        <w:t>月的悲慘個案，一位被判定肺功能缺損達</w:t>
      </w:r>
      <w:r>
        <w:rPr/>
        <w:t>100%</w:t>
      </w:r>
      <w:r>
        <w:rPr/>
        <w:t>的病人選擇了結生命，遺下患有嚴重抑鬱症的妻子，以及一名嚴重智障的小朋友。因應這位病人的情況，大家希望署方能夠考慮修訂有關獲得死亡賠償及殮葬費的法例，強調所有肺塵埃沉着病患者不論死亡原因為何，當局均會一律發放殮葬費及死亡賠償。</w:t>
      </w:r>
      <w:r>
        <w:br w:type="page"/>
      </w:r>
    </w:p>
    <w:p>
      <w:pPr>
        <w:pStyle w:val="F21"/>
        <w:overflowPunct w:val="true"/>
        <w:rPr/>
      </w:pPr>
      <w:r>
        <w:rPr/>
        <w:tab/>
      </w:r>
      <w:r>
        <w:rPr/>
        <w:t>剛才提及那位去世的病人，他長期受到肺塵埃沉着病困擾，選擇自行了結生命，但肺塵埃沉着病補償基金委員會</w:t>
      </w:r>
      <w:r>
        <w:rPr/>
        <w:t>("</w:t>
      </w:r>
      <w:r>
        <w:rPr/>
        <w:t>基金委員會</w:t>
      </w:r>
      <w:r>
        <w:rPr/>
        <w:t>")</w:t>
      </w:r>
      <w:r>
        <w:rPr/>
        <w:t>未能因為他被判斷死於肺塵埃沉着病而向其家屬發放死亡賠償，令人感到非常惋惜。肺塵埃沉着病患者生前面對種種困難和痛苦，他選擇了結生命，但這不應代表他的家人因而不能獲得死亡賠償及殮葬費。其實當中涉及的金額不多，局方是否應該因應某些情況，向親屬發放賠償及殮葬費？不論死因為何，當局亦應按照實際情況及病人所面對的困境，發放有關的賠償及殮葬費。我希望局長能夠察悉這一點，並作出有關的安排。</w:t>
      </w:r>
    </w:p>
    <w:p>
      <w:pPr>
        <w:pStyle w:val="F21"/>
        <w:overflowPunct w:val="true"/>
        <w:rPr/>
      </w:pPr>
      <w:r>
        <w:rPr/>
      </w:r>
    </w:p>
    <w:p>
      <w:pPr>
        <w:pStyle w:val="F21"/>
        <w:overflowPunct w:val="true"/>
        <w:rPr/>
      </w:pPr>
      <w:r>
        <w:rPr/>
        <w:tab/>
      </w:r>
      <w:r>
        <w:rPr/>
        <w:t>此外，就現時《肺塵埃沉着病及間皮瘤</w:t>
      </w:r>
      <w:r>
        <w:rPr/>
        <w:t>(</w:t>
      </w:r>
      <w:r>
        <w:rPr/>
        <w:t>補償</w:t>
      </w:r>
      <w:r>
        <w:rPr/>
        <w:t>)</w:t>
      </w:r>
      <w:r>
        <w:rPr/>
        <w:t>條例》下的經常照顧費，在過去</w:t>
      </w:r>
      <w:r>
        <w:rPr/>
        <w:t>5</w:t>
      </w:r>
      <w:r>
        <w:rPr/>
        <w:t>年，每年只有不多於</w:t>
      </w:r>
      <w:r>
        <w:rPr/>
        <w:t>10</w:t>
      </w:r>
      <w:r>
        <w:rPr/>
        <w:t>位病人能夠成功申請到有關補償，數目非常少，甚至有不少病人在領取補償數月後便不幸離世，因而亦未能發揮</w:t>
      </w:r>
      <w:r>
        <w:rPr/>
        <w:t>"</w:t>
      </w:r>
      <w:r>
        <w:rPr/>
        <w:t>經常照顧方面的補償</w:t>
      </w:r>
      <w:r>
        <w:rPr/>
        <w:t>"</w:t>
      </w:r>
      <w:r>
        <w:rPr/>
        <w:t>的原意及效果。按照上述例子計算，每月新增的開支最多只是</w:t>
      </w:r>
      <w:r>
        <w:rPr/>
        <w:t>220</w:t>
      </w:r>
      <w:r>
        <w:rPr/>
        <w:t>萬元。按此基礎推算，在未來</w:t>
      </w:r>
      <w:r>
        <w:rPr/>
        <w:t>10</w:t>
      </w:r>
      <w:r>
        <w:rPr/>
        <w:t>年新增的補償開支，只會對基金委員會的財政狀況造成非常輕微的影響，而坊間亦有很多人士建議提高此項開支，原因是此舉對基金委員會的開支及財政狀況影響極微。</w:t>
      </w:r>
    </w:p>
    <w:p>
      <w:pPr>
        <w:pStyle w:val="F21"/>
        <w:overflowPunct w:val="true"/>
        <w:rPr/>
      </w:pPr>
      <w:r>
        <w:rPr/>
      </w:r>
    </w:p>
    <w:p>
      <w:pPr>
        <w:pStyle w:val="F21"/>
        <w:overflowPunct w:val="true"/>
        <w:rPr/>
      </w:pPr>
      <w:r>
        <w:rPr/>
        <w:tab/>
      </w:r>
      <w:r>
        <w:rPr/>
        <w:t>主席，說到僱員補償援助基金，必定要略為談談其歷史。其實基金成立於</w:t>
      </w:r>
      <w:r>
        <w:rPr/>
        <w:t>1991</w:t>
      </w:r>
      <w:r>
        <w:rPr/>
        <w:t>年，與法律界有關的原因，是如果僱員受傷後用盡一切方法和可行辦法，均未能向僱主和保險人追討應有賠償或損害賠償，便可向基金申請援助。</w:t>
      </w:r>
    </w:p>
    <w:p>
      <w:pPr>
        <w:pStyle w:val="F21"/>
        <w:overflowPunct w:val="true"/>
        <w:rPr/>
      </w:pPr>
      <w:r>
        <w:rPr/>
      </w:r>
    </w:p>
    <w:p>
      <w:pPr>
        <w:pStyle w:val="F21"/>
        <w:overflowPunct w:val="true"/>
        <w:rPr>
          <w:szCs w:val="27"/>
        </w:rPr>
      </w:pPr>
      <w:r>
        <w:rPr/>
        <w:tab/>
      </w:r>
      <w:r>
        <w:rPr/>
        <w:t>主席，其實局長應該記得，我和一群法律界人士曾就</w:t>
      </w:r>
      <w:r>
        <w:rPr>
          <w:szCs w:val="27"/>
        </w:rPr>
        <w:t>《僱員補償援助條例》向局長提交意見，為甚麼呢？因為當年基金曾一度陷入財政困難，而當時推行改革是為了保持財政穩健。改革的方案包括以發放特惠援助基金，代替普通法的損害賠償，以及基金不會用作支付普通法損害賠償的訟費所引起的任何費用等，這些均包括在內。不過，其實基金自</w:t>
      </w:r>
      <w:r>
        <w:rPr>
          <w:szCs w:val="27"/>
        </w:rPr>
        <w:t>2007</w:t>
      </w:r>
      <w:r>
        <w:rPr>
          <w:szCs w:val="27"/>
        </w:rPr>
        <w:t>年起已不再虧蝕。我剛才提到，因為曾經發生一宗很大的事故而令基金陷入財困，故此在</w:t>
      </w:r>
      <w:r>
        <w:rPr>
          <w:szCs w:val="27"/>
        </w:rPr>
        <w:t>2002</w:t>
      </w:r>
      <w:r>
        <w:rPr>
          <w:szCs w:val="27"/>
        </w:rPr>
        <w:t>年時曾進行改革，其實由</w:t>
      </w:r>
      <w:r>
        <w:rPr>
          <w:szCs w:val="27"/>
        </w:rPr>
        <w:t>2007</w:t>
      </w:r>
      <w:r>
        <w:rPr>
          <w:szCs w:val="27"/>
        </w:rPr>
        <w:t>年至今，基金已錄得</w:t>
      </w:r>
      <w:r>
        <w:rPr>
          <w:szCs w:val="27"/>
        </w:rPr>
        <w:t>8,000</w:t>
      </w:r>
      <w:r>
        <w:rPr>
          <w:szCs w:val="27"/>
        </w:rPr>
        <w:t>萬元盈餘。</w:t>
      </w:r>
    </w:p>
    <w:p>
      <w:pPr>
        <w:pStyle w:val="F21"/>
        <w:overflowPunct w:val="true"/>
        <w:rPr>
          <w:szCs w:val="27"/>
        </w:rPr>
      </w:pPr>
      <w:r>
        <w:rPr>
          <w:szCs w:val="27"/>
        </w:rPr>
      </w:r>
    </w:p>
    <w:p>
      <w:pPr>
        <w:pStyle w:val="F21"/>
        <w:overflowPunct w:val="true"/>
        <w:rPr>
          <w:szCs w:val="27"/>
        </w:rPr>
      </w:pPr>
      <w:r>
        <w:rPr>
          <w:szCs w:val="27"/>
        </w:rPr>
        <w:tab/>
      </w:r>
      <w:r>
        <w:rPr>
          <w:szCs w:val="27"/>
        </w:rPr>
        <w:t>局長，因應《僱員補償援助條例》下的基金有</w:t>
      </w:r>
      <w:r>
        <w:rPr>
          <w:szCs w:val="27"/>
        </w:rPr>
        <w:t>8,000</w:t>
      </w:r>
      <w:r>
        <w:rPr>
          <w:szCs w:val="27"/>
        </w:rPr>
        <w:t>萬元盈餘，我們亦說過，現時有一個十分不公義之處，就是基金現時不會支付普通法賠償訴訟所引起的法律費用。高等法院曾有一宗案例</w:t>
      </w:r>
      <w:r>
        <w:rPr>
          <w:szCs w:val="27"/>
        </w:rPr>
        <w:t>(Kong Hoi Lam (2016)3 HKC 38)</w:t>
      </w:r>
      <w:r>
        <w:rPr>
          <w:szCs w:val="27"/>
        </w:rPr>
        <w:t>，當時一名工友獲得勝訴，但由於基金現時不涵蓋律師費，導致這名接受援助者即使勝訴，亦不能從賠償中取回已招致的法律費用，而所招致的法律費用，往往要從賠償金中扣減，導致這名工友雖然打贏官司，被證實應該獲得援助金資助，但最後卻要從賠償金中扣起一大筆錢，用以支付法律費用，這對工傷僱員而言極不公平。此外，高等法院的法官亦在案例中表明，這是一個不公義的情況，呼籲政府馬上改革，研究如何處理。</w:t>
      </w:r>
    </w:p>
    <w:p>
      <w:pPr>
        <w:pStyle w:val="F21"/>
        <w:overflowPunct w:val="true"/>
        <w:rPr>
          <w:szCs w:val="27"/>
        </w:rPr>
      </w:pPr>
      <w:r>
        <w:rPr>
          <w:szCs w:val="27"/>
        </w:rPr>
      </w:r>
    </w:p>
    <w:p>
      <w:pPr>
        <w:pStyle w:val="F21"/>
        <w:overflowPunct w:val="true"/>
        <w:rPr>
          <w:szCs w:val="27"/>
        </w:rPr>
      </w:pPr>
      <w:r>
        <w:rPr>
          <w:szCs w:val="27"/>
        </w:rPr>
        <w:tab/>
      </w:r>
      <w:r>
        <w:rPr>
          <w:szCs w:val="27"/>
        </w:rPr>
        <w:t>我記得去年曾聯同法律界人士與局長見面，討論</w:t>
      </w:r>
      <w:r>
        <w:rPr>
          <w:szCs w:val="27"/>
        </w:rPr>
        <w:t>ECA(</w:t>
      </w:r>
      <w:r>
        <w:rPr>
          <w:szCs w:val="27"/>
        </w:rPr>
        <w:t>僱員補償援助</w:t>
      </w:r>
      <w:r>
        <w:rPr>
          <w:szCs w:val="27"/>
        </w:rPr>
        <w:t>)</w:t>
      </w:r>
      <w:r>
        <w:rPr>
          <w:szCs w:val="27"/>
        </w:rPr>
        <w:t>的問題，局長承諾會積極處理，但我至今仍然聽不到局長或局方就改革基金一事提出任何反建議。我希望局長稍後回應時，談談他是否認同現時工傷僱員即使勝訴，仍要從獲得的賠償金中扣減律師費？僱員明明是向別人追討賠償，為何最終要從自己的賠償金中扣減這些律師費呢？這是極度不公義的，而且法庭已經在</w:t>
      </w:r>
      <w:r>
        <w:rPr>
          <w:szCs w:val="27"/>
        </w:rPr>
        <w:t>2016</w:t>
      </w:r>
      <w:r>
        <w:rPr>
          <w:szCs w:val="27"/>
        </w:rPr>
        <w:t>年的案例中指出這個問題。</w:t>
      </w:r>
    </w:p>
    <w:p>
      <w:pPr>
        <w:pStyle w:val="F21"/>
        <w:overflowPunct w:val="true"/>
        <w:rPr>
          <w:szCs w:val="27"/>
        </w:rPr>
      </w:pPr>
      <w:r>
        <w:rPr>
          <w:szCs w:val="27"/>
        </w:rPr>
      </w:r>
    </w:p>
    <w:p>
      <w:pPr>
        <w:pStyle w:val="F21"/>
        <w:overflowPunct w:val="true"/>
        <w:rPr>
          <w:szCs w:val="27"/>
        </w:rPr>
      </w:pPr>
      <w:r>
        <w:rPr>
          <w:szCs w:val="27"/>
        </w:rPr>
        <w:tab/>
      </w:r>
      <w:r>
        <w:rPr>
          <w:szCs w:val="27"/>
        </w:rPr>
        <w:t>主席，現時基金有超過</w:t>
      </w:r>
      <w:r>
        <w:rPr>
          <w:szCs w:val="27"/>
        </w:rPr>
        <w:t>8,000</w:t>
      </w:r>
      <w:r>
        <w:rPr>
          <w:szCs w:val="27"/>
        </w:rPr>
        <w:t>萬元盈餘，說明財政狀況非常穩健，絕對無須繼續實行在</w:t>
      </w:r>
      <w:r>
        <w:rPr>
          <w:szCs w:val="27"/>
        </w:rPr>
        <w:t>2002</w:t>
      </w:r>
      <w:r>
        <w:rPr>
          <w:szCs w:val="27"/>
        </w:rPr>
        <w:t>年修訂《僱員補償援助條例》時的所謂財政問題方案，因為當時的財政問題，其實現時已不復存在，當局必須因應基金現時的狀況，適時作出改革，令基金不再形同虛設，而是能夠真正幫助一些應該獲得補償的僱員，保障他們的權利，令他們獲得根據法例應得的援助金。</w:t>
      </w:r>
    </w:p>
    <w:p>
      <w:pPr>
        <w:pStyle w:val="F21"/>
        <w:overflowPunct w:val="true"/>
        <w:rPr>
          <w:szCs w:val="27"/>
        </w:rPr>
      </w:pPr>
      <w:r>
        <w:rPr>
          <w:szCs w:val="27"/>
        </w:rPr>
      </w:r>
    </w:p>
    <w:p>
      <w:pPr>
        <w:pStyle w:val="F21"/>
        <w:overflowPunct w:val="true"/>
        <w:rPr>
          <w:szCs w:val="27"/>
        </w:rPr>
      </w:pPr>
      <w:r>
        <w:rPr>
          <w:szCs w:val="27"/>
        </w:rPr>
        <w:tab/>
      </w:r>
      <w:r>
        <w:rPr>
          <w:szCs w:val="27"/>
        </w:rPr>
        <w:t>主席，最後，我想談談在僱傭雙方同意和解的情況下，基金是如何發放援助金呢？僱員必須取得判詞和法庭命令，基金才可發放援助金，這樣變相強迫僱員必須興訟、必須打官司才可獲得援助，對於僱傭雙方而言，這無疑會增添多餘的代價。其實，法律界人士不會每次均建議當事人打官司，很多時會建議當事人以和解方式，盡快達成協議。然而，由於基金硬性規定必須有判詞和法庭命令，這是一個相當硬性的規定，而且費時失事，令很多本來無須打官司的個案亦要訴諸法庭，同時令法庭浪費很多時間和資源，處理有關案件。</w:t>
      </w:r>
    </w:p>
    <w:p>
      <w:pPr>
        <w:pStyle w:val="F21"/>
        <w:overflowPunct w:val="true"/>
        <w:rPr>
          <w:szCs w:val="27"/>
        </w:rPr>
      </w:pPr>
      <w:r>
        <w:rPr>
          <w:szCs w:val="27"/>
        </w:rPr>
      </w:r>
    </w:p>
    <w:p>
      <w:pPr>
        <w:pStyle w:val="F21"/>
        <w:overflowPunct w:val="true"/>
        <w:rPr>
          <w:szCs w:val="27"/>
        </w:rPr>
      </w:pPr>
      <w:r>
        <w:rPr>
          <w:szCs w:val="27"/>
        </w:rPr>
        <w:tab/>
      </w:r>
      <w:r>
        <w:rPr>
          <w:szCs w:val="27"/>
        </w:rPr>
        <w:t>因此，我建議修訂條例，容許基金在僱傭雙方達成和解，即無須取得判詞和法庭命令的情況下，亦能發放援助金，這項改革固然可減少僱傭雙方的時間和代價，亦可鼓勵他們日後處理同類型案件時，採用和解的方式解決爭議，從而減少所有的社會成本</w:t>
      </w:r>
      <w:r>
        <w:rPr>
          <w:i/>
          <w:szCs w:val="27"/>
        </w:rPr>
        <w:t>(</w:t>
      </w:r>
      <w:r>
        <w:rPr>
          <w:i/>
          <w:szCs w:val="27"/>
        </w:rPr>
        <w:t>計時器響起</w:t>
      </w:r>
      <w:r>
        <w:rPr>
          <w:i/>
          <w:szCs w:val="27"/>
        </w:rPr>
        <w:t>)</w:t>
      </w:r>
      <w:r>
        <w:rPr>
          <w:szCs w:val="27"/>
        </w:rPr>
        <w:t>......</w:t>
      </w:r>
    </w:p>
    <w:p>
      <w:pPr>
        <w:pStyle w:val="F21"/>
        <w:overflowPunct w:val="true"/>
        <w:rPr>
          <w:szCs w:val="27"/>
        </w:rPr>
      </w:pPr>
      <w:r>
        <w:rPr>
          <w:szCs w:val="27"/>
        </w:rPr>
      </w:r>
    </w:p>
    <w:p>
      <w:pPr>
        <w:pStyle w:val="F21"/>
        <w:overflowPunct w:val="true"/>
        <w:rPr>
          <w:szCs w:val="27"/>
        </w:rPr>
      </w:pPr>
      <w:r>
        <w:rPr>
          <w:szCs w:val="27"/>
        </w:rPr>
      </w:r>
    </w:p>
    <w:p>
      <w:pPr>
        <w:pStyle w:val="F21"/>
        <w:overflowPunct w:val="true"/>
        <w:rPr>
          <w:szCs w:val="27"/>
        </w:rPr>
      </w:pPr>
      <w:r>
        <w:rPr>
          <w:rFonts w:eastAsia="華康中黑體"/>
          <w:b/>
          <w:szCs w:val="27"/>
        </w:rPr>
        <w:t>主席</w:t>
      </w:r>
      <w:r>
        <w:rPr>
          <w:szCs w:val="27"/>
        </w:rPr>
        <w:t>：郭議員，請停止發言。</w:t>
      </w:r>
    </w:p>
    <w:p>
      <w:pPr>
        <w:pStyle w:val="Normal"/>
        <w:widowControl/>
        <w:tabs>
          <w:tab w:val="clear" w:pos="720"/>
        </w:tabs>
        <w:snapToGrid w:val="true"/>
        <w:spacing w:lineRule="auto" w:line="276" w:before="0" w:after="200"/>
        <w:jc w:val="left"/>
        <w:rPr>
          <w:rFonts w:cs="" w:cstheme="minorBidi"/>
          <w:spacing w:val="20"/>
          <w:sz w:val="27"/>
          <w:szCs w:val="27"/>
          <w:lang w:val="en-US"/>
        </w:rPr>
      </w:pPr>
      <w:r>
        <w:rPr>
          <w:rFonts w:cs="" w:cstheme="minorBidi"/>
          <w:spacing w:val="20"/>
          <w:sz w:val="27"/>
          <w:szCs w:val="27"/>
          <w:lang w:val="en-US"/>
        </w:rPr>
      </w:r>
      <w:r>
        <w:br w:type="page"/>
      </w:r>
    </w:p>
    <w:p>
      <w:pPr>
        <w:pStyle w:val="F21"/>
        <w:overflowPunct w:val="true"/>
        <w:spacing w:lineRule="atLeast" w:line="370"/>
        <w:rPr/>
      </w:pPr>
      <w:r>
        <w:rPr>
          <w:rFonts w:eastAsia="華康中黑體"/>
          <w:b/>
        </w:rPr>
        <w:t>梁耀忠議員</w:t>
      </w:r>
      <w:r>
        <w:rPr/>
        <w:t>：主席，現時香港對受工傷影響工友的補償政策，不論是在補償範圍或金額方面，也有很多不足之處，對保障工友健康和讓他們得到合適治療的幫助相當有限，這一點實在令人失望。</w:t>
      </w:r>
    </w:p>
    <w:p>
      <w:pPr>
        <w:pStyle w:val="F21"/>
        <w:overflowPunct w:val="true"/>
        <w:spacing w:lineRule="atLeast" w:line="370"/>
        <w:rPr/>
      </w:pPr>
      <w:r>
        <w:rPr/>
      </w:r>
    </w:p>
    <w:p>
      <w:pPr>
        <w:pStyle w:val="F21"/>
        <w:overflowPunct w:val="true"/>
        <w:spacing w:lineRule="atLeast" w:line="370"/>
        <w:rPr/>
      </w:pPr>
      <w:r>
        <w:rPr/>
        <w:tab/>
      </w:r>
      <w:r>
        <w:rPr/>
        <w:t>政府今次提出的</w:t>
      </w:r>
      <w:r>
        <w:rPr/>
        <w:t>3</w:t>
      </w:r>
      <w:r>
        <w:rPr/>
        <w:t>項決議案涵蓋了不同情況的工友，但他們有一‍個共通點，就是大多數人也花了大半生為香港的繁榮作出貢獻，但很可惜，由於他們以往在工作時的職安健保護措施相當落後，令他們在工作過程中罹患職業病，導致晚年病痛纏身。很可惜，在他們晚年這個最需要社會支援的時間，政府卻只是象徵式地每兩年來到立法會調整各項補償金額，而非全盤地考慮他們的處境和需要，令這群曾經辛勞大半生的工友及其家人，無法在他們的晚年得到生活保障。究竟社會和政府是否對他們失卻了關愛呢？</w:t>
      </w:r>
    </w:p>
    <w:p>
      <w:pPr>
        <w:pStyle w:val="F21"/>
        <w:overflowPunct w:val="true"/>
        <w:spacing w:lineRule="atLeast" w:line="370"/>
        <w:rPr/>
      </w:pPr>
      <w:r>
        <w:rPr/>
      </w:r>
    </w:p>
    <w:p>
      <w:pPr>
        <w:pStyle w:val="F21"/>
        <w:overflowPunct w:val="true"/>
        <w:spacing w:lineRule="atLeast" w:line="370"/>
        <w:rPr/>
      </w:pPr>
      <w:r>
        <w:rPr/>
        <w:tab/>
      </w:r>
      <w:r>
        <w:rPr/>
        <w:t>主席，我本來希望在內務委員會內提出成立小組委員會的建議，以便就着今天的</w:t>
      </w:r>
      <w:r>
        <w:rPr/>
        <w:t>3</w:t>
      </w:r>
      <w:r>
        <w:rPr/>
        <w:t>項決議案向政府提出工友和團體的意見。我們不希望政府每次只是簡單地調整金額便算，而是希望它考慮將更多項目納入保障範圍，例如調低肺塵埃沉着病工友領取護理和照顧津貼的門檻；調低肺塵埃沉着病工友家屬領取殯殮費的門檻；以及為職業性失聰工友新增護理和照顧津貼等。很可惜，由於有關注團體表示不想法例審議過程拖延太久，希望盡快通過修訂，因此最後也無法成功地成立小組委員會。</w:t>
      </w:r>
    </w:p>
    <w:p>
      <w:pPr>
        <w:pStyle w:val="F21"/>
        <w:overflowPunct w:val="true"/>
        <w:spacing w:lineRule="atLeast" w:line="370"/>
        <w:rPr/>
      </w:pPr>
      <w:r>
        <w:rPr/>
      </w:r>
    </w:p>
    <w:p>
      <w:pPr>
        <w:pStyle w:val="F21"/>
        <w:overflowPunct w:val="true"/>
        <w:spacing w:lineRule="atLeast" w:line="370"/>
        <w:rPr>
          <w:szCs w:val="27"/>
        </w:rPr>
      </w:pPr>
      <w:r>
        <w:rPr/>
        <w:tab/>
      </w:r>
      <w:r>
        <w:rPr/>
        <w:t>主席，其實我很理解團體和工友們的訴求和意見。</w:t>
      </w:r>
      <w:r>
        <w:rPr>
          <w:szCs w:val="27"/>
        </w:rPr>
        <w:t>他們認為即使只是在金額上作了輕微調整，對他們而言也是一種改善，即有總較沒有好，因此希望修訂可盡快獲得通過。主席，可是，對我而言，我是很不滿意的。我很不滿意政府每兩年也只是循例把補償和津貼金額作輕微調整，而且通常也只是按照通脹和工資變動等客觀因素輕微調升金額，而非根據受影響工友的實際需要作根本性的調整，以致很多時候這些修訂根本無法符合工友多年來提出的訴求。</w:t>
      </w:r>
    </w:p>
    <w:p>
      <w:pPr>
        <w:pStyle w:val="F21"/>
        <w:overflowPunct w:val="true"/>
        <w:spacing w:lineRule="atLeast" w:line="370"/>
        <w:rPr>
          <w:szCs w:val="27"/>
        </w:rPr>
      </w:pPr>
      <w:r>
        <w:rPr>
          <w:szCs w:val="27"/>
        </w:rPr>
      </w:r>
    </w:p>
    <w:p>
      <w:pPr>
        <w:pStyle w:val="F21"/>
        <w:overflowPunct w:val="true"/>
        <w:spacing w:lineRule="atLeast" w:line="370"/>
        <w:rPr>
          <w:szCs w:val="27"/>
        </w:rPr>
      </w:pPr>
      <w:r>
        <w:rPr>
          <w:szCs w:val="27"/>
        </w:rPr>
        <w:tab/>
      </w:r>
      <w:r>
        <w:rPr>
          <w:szCs w:val="27"/>
        </w:rPr>
        <w:t>政府對於工友一直以來提出的大幅度改善建議，過去多年以來也是充耳不聞。由於它認為議會一定會通過相關修訂，故此便不理會那麼多，兩年後再見吧。另一方面，對工友也沒有其他辦法，有增加總好過沒有。在這種情況下，他們總是希望議會能夠盡快通過決議案，但政府可否看得長遠一些，不要把</w:t>
      </w:r>
      <w:r>
        <w:rPr>
          <w:szCs w:val="27"/>
        </w:rPr>
        <w:t>"</w:t>
      </w:r>
      <w:r>
        <w:rPr>
          <w:szCs w:val="27"/>
        </w:rPr>
        <w:t>兩年一檢</w:t>
      </w:r>
      <w:r>
        <w:rPr>
          <w:szCs w:val="27"/>
        </w:rPr>
        <w:t>"</w:t>
      </w:r>
      <w:r>
        <w:rPr>
          <w:szCs w:val="27"/>
        </w:rPr>
        <w:t>視作例行公事，可否再行前幾步呢？</w:t>
      </w:r>
    </w:p>
    <w:p>
      <w:pPr>
        <w:pStyle w:val="Normal"/>
        <w:widowControl/>
        <w:tabs>
          <w:tab w:val="clear" w:pos="720"/>
        </w:tabs>
        <w:snapToGrid w:val="true"/>
        <w:spacing w:lineRule="auto" w:line="276" w:before="0" w:after="200"/>
        <w:jc w:val="left"/>
        <w:rPr>
          <w:rFonts w:cs="" w:cstheme="minorBidi"/>
          <w:spacing w:val="20"/>
          <w:sz w:val="27"/>
          <w:szCs w:val="27"/>
          <w:lang w:val="en-US"/>
        </w:rPr>
      </w:pPr>
      <w:r>
        <w:rPr>
          <w:rFonts w:cs="" w:cstheme="minorBidi"/>
          <w:spacing w:val="20"/>
          <w:sz w:val="27"/>
          <w:szCs w:val="27"/>
          <w:lang w:val="en-US"/>
        </w:rPr>
      </w:r>
      <w:r>
        <w:br w:type="page"/>
      </w:r>
    </w:p>
    <w:p>
      <w:pPr>
        <w:pStyle w:val="F21"/>
        <w:overflowPunct w:val="true"/>
        <w:spacing w:lineRule="atLeast" w:line="370"/>
        <w:rPr>
          <w:szCs w:val="27"/>
        </w:rPr>
      </w:pPr>
      <w:r>
        <w:rPr>
          <w:szCs w:val="27"/>
        </w:rPr>
        <w:tab/>
      </w:r>
      <w:r>
        <w:rPr>
          <w:szCs w:val="27"/>
        </w:rPr>
        <w:t>同時，我們看到現時這</w:t>
      </w:r>
      <w:r>
        <w:rPr>
          <w:szCs w:val="27"/>
        </w:rPr>
        <w:t>3</w:t>
      </w:r>
      <w:r>
        <w:rPr>
          <w:szCs w:val="27"/>
        </w:rPr>
        <w:t>項決議案涉及的基金的積存每年也有增加，而並非減少。舉例而言，肺塵埃沉着病補償基金現時有</w:t>
      </w:r>
      <w:r>
        <w:rPr>
          <w:szCs w:val="27"/>
        </w:rPr>
        <w:t>20</w:t>
      </w:r>
      <w:r>
        <w:rPr>
          <w:szCs w:val="27"/>
        </w:rPr>
        <w:t>多億元，職業性失聰補償基金也由前年的</w:t>
      </w:r>
      <w:r>
        <w:rPr>
          <w:szCs w:val="27"/>
        </w:rPr>
        <w:t>6</w:t>
      </w:r>
      <w:r>
        <w:rPr>
          <w:szCs w:val="27"/>
        </w:rPr>
        <w:t>億多元增至去年的</w:t>
      </w:r>
      <w:r>
        <w:rPr>
          <w:szCs w:val="27"/>
        </w:rPr>
        <w:t>8</w:t>
      </w:r>
      <w:r>
        <w:rPr>
          <w:szCs w:val="27"/>
        </w:rPr>
        <w:t>億多元，即每年也是有增加的。同時，受影響工友人數的增加比率卻不高，在過去</w:t>
      </w:r>
      <w:r>
        <w:rPr>
          <w:szCs w:val="27"/>
        </w:rPr>
        <w:t>5</w:t>
      </w:r>
      <w:r>
        <w:rPr>
          <w:szCs w:val="27"/>
        </w:rPr>
        <w:t>年，患上肺塵埃沉着病的工友每年只增加約</w:t>
      </w:r>
      <w:r>
        <w:rPr>
          <w:szCs w:val="27"/>
        </w:rPr>
        <w:t>50</w:t>
      </w:r>
      <w:r>
        <w:rPr>
          <w:szCs w:val="27"/>
        </w:rPr>
        <w:t>宗至</w:t>
      </w:r>
      <w:r>
        <w:rPr>
          <w:szCs w:val="27"/>
        </w:rPr>
        <w:t>80</w:t>
      </w:r>
      <w:r>
        <w:rPr>
          <w:szCs w:val="27"/>
        </w:rPr>
        <w:t>宗新個案。因此，這些基金是儲備了很多資金的，但為何卻那麼吝嗇，要把錢留起來呢？究竟想留這些錢來做甚麼呢？這是我想不通的事情。我認為應該好好利用這些基金，以減少現時受影響的工友及其家屬在生活上的痛苦，紓緩他們的困難，讓他們的晚年生活無須那麼艱難。</w:t>
      </w:r>
    </w:p>
    <w:p>
      <w:pPr>
        <w:pStyle w:val="F21"/>
        <w:overflowPunct w:val="true"/>
        <w:spacing w:lineRule="atLeast" w:line="370"/>
        <w:rPr>
          <w:szCs w:val="27"/>
        </w:rPr>
      </w:pPr>
      <w:r>
        <w:rPr>
          <w:szCs w:val="27"/>
        </w:rPr>
      </w:r>
    </w:p>
    <w:p>
      <w:pPr>
        <w:pStyle w:val="F21"/>
        <w:overflowPunct w:val="true"/>
        <w:spacing w:lineRule="atLeast" w:line="370"/>
        <w:rPr>
          <w:szCs w:val="27"/>
        </w:rPr>
      </w:pPr>
      <w:r>
        <w:rPr>
          <w:szCs w:val="27"/>
        </w:rPr>
        <w:tab/>
      </w:r>
      <w:r>
        <w:rPr>
          <w:szCs w:val="27"/>
        </w:rPr>
        <w:t>無疑，我們看到在今天涉及的</w:t>
      </w:r>
      <w:r>
        <w:rPr>
          <w:szCs w:val="27"/>
        </w:rPr>
        <w:t>3</w:t>
      </w:r>
      <w:r>
        <w:rPr>
          <w:szCs w:val="27"/>
        </w:rPr>
        <w:t>項補償條例當中也有不同程度的補償金額調升，而《肺塵埃沉着病及間皮瘤</w:t>
      </w:r>
      <w:r>
        <w:rPr>
          <w:szCs w:val="27"/>
        </w:rPr>
        <w:t>(</w:t>
      </w:r>
      <w:r>
        <w:rPr>
          <w:szCs w:val="27"/>
        </w:rPr>
        <w:t>補償</w:t>
      </w:r>
      <w:r>
        <w:rPr>
          <w:szCs w:val="27"/>
        </w:rPr>
        <w:t>)</w:t>
      </w:r>
      <w:r>
        <w:rPr>
          <w:szCs w:val="27"/>
        </w:rPr>
        <w:t>條例》也增加了兩個資助項目，包括在醫療裝置範圍新增了呼吸機和抽痰機。我們當然歡迎增加這兩項裝置，但我亦不得不在此多說兩句：其實，這也是工友們過去多年不斷向政府提出的訴求，只是政府多年來拖拖拉拉，不理會他們，直到今時今日才願意增加。對於某些工友而言，他們過往很希望政府提供更多協助，讓他們能夠清楚自己的病況或紓減痛苦，但很可惜，在今天成功爭取到的時候，他們已經不在生、離開人世了，這是否一件很悲涼的事情呢？所以，不論如何，政府應該要在基金充裕的情況下作出反思，例如可否增設多一些補償項目，讓工友和家屬在面對困難的時候可以得到紓緩呢？</w:t>
      </w:r>
    </w:p>
    <w:p>
      <w:pPr>
        <w:pStyle w:val="F21"/>
        <w:overflowPunct w:val="true"/>
        <w:spacing w:lineRule="atLeast" w:line="370"/>
        <w:rPr>
          <w:szCs w:val="27"/>
        </w:rPr>
      </w:pPr>
      <w:r>
        <w:rPr>
          <w:szCs w:val="27"/>
        </w:rPr>
      </w:r>
    </w:p>
    <w:p>
      <w:pPr>
        <w:pStyle w:val="F21"/>
        <w:overflowPunct w:val="true"/>
        <w:spacing w:lineRule="atLeast" w:line="370"/>
        <w:rPr>
          <w:szCs w:val="27"/>
        </w:rPr>
      </w:pPr>
      <w:r>
        <w:rPr>
          <w:szCs w:val="27"/>
        </w:rPr>
        <w:tab/>
      </w:r>
      <w:r>
        <w:rPr>
          <w:szCs w:val="27"/>
        </w:rPr>
        <w:t>此外，政府的另一項建議是提升</w:t>
      </w:r>
      <w:r>
        <w:rPr>
          <w:szCs w:val="27"/>
        </w:rPr>
        <w:t>"</w:t>
      </w:r>
      <w:r>
        <w:rPr>
          <w:szCs w:val="27"/>
        </w:rPr>
        <w:t>親屬喪亡之痛</w:t>
      </w:r>
      <w:r>
        <w:rPr>
          <w:szCs w:val="27"/>
        </w:rPr>
        <w:t>"</w:t>
      </w:r>
      <w:r>
        <w:rPr>
          <w:szCs w:val="27"/>
        </w:rPr>
        <w:t>和</w:t>
      </w:r>
      <w:r>
        <w:rPr>
          <w:szCs w:val="27"/>
        </w:rPr>
        <w:t>"</w:t>
      </w:r>
      <w:r>
        <w:rPr>
          <w:szCs w:val="27"/>
        </w:rPr>
        <w:t>死亡補償</w:t>
      </w:r>
      <w:r>
        <w:rPr>
          <w:szCs w:val="27"/>
        </w:rPr>
        <w:t>"</w:t>
      </w:r>
      <w:r>
        <w:rPr>
          <w:szCs w:val="27"/>
        </w:rPr>
        <w:t>的最低金額。提升補償金額固然是好事，但事實上，香港每年有約三成患上肺塵埃沉着病的病人死亡，但他們也是無法獲得賠償的。這是由於獲得賠償的門檻非常高，這些工友很多時候也無法符合要求而獲得賠償，因此他們仍然只能夠望門輕嘆，對他們幫助不大。</w:t>
      </w:r>
    </w:p>
    <w:p>
      <w:pPr>
        <w:pStyle w:val="F21"/>
        <w:overflowPunct w:val="true"/>
        <w:spacing w:lineRule="atLeast" w:line="370"/>
        <w:rPr>
          <w:szCs w:val="27"/>
        </w:rPr>
      </w:pPr>
      <w:r>
        <w:rPr>
          <w:szCs w:val="27"/>
        </w:rPr>
      </w:r>
    </w:p>
    <w:p>
      <w:pPr>
        <w:pStyle w:val="F21"/>
        <w:overflowPunct w:val="true"/>
        <w:spacing w:lineRule="atLeast" w:line="370"/>
        <w:rPr>
          <w:szCs w:val="26"/>
        </w:rPr>
      </w:pPr>
      <w:r>
        <w:rPr>
          <w:szCs w:val="27"/>
        </w:rPr>
        <w:tab/>
      </w:r>
      <w:r>
        <w:rPr>
          <w:szCs w:val="27"/>
        </w:rPr>
        <w:t>郭榮鏗議員剛才舉出了一個例子，說有一名工友患上肺塵埃沉着病，其肺功能缺失已達到</w:t>
      </w:r>
      <w:r>
        <w:rPr>
          <w:szCs w:val="27"/>
        </w:rPr>
        <w:t>100%</w:t>
      </w:r>
      <w:r>
        <w:rPr>
          <w:szCs w:val="27"/>
        </w:rPr>
        <w:t>。他不單要受病痛折磨，生活境況更相當困苦。在捱了一段長時間後，他終於捱不下去，自行了結生命。這位工友的太太患了嚴重抑鬱症，兒子也有嚴重智障，但在這個可憐的家庭中，由於病人是自殺身亡的，</w:t>
      </w:r>
      <w:r>
        <w:rPr/>
        <w:t>因此不能通過門檻，得不到賠償。政府可否想多一步？他是一名患上肺塵埃沉着病的工友，他的肺功能受損是因為工作而受損。政府可否考慮，凡是那些已確認患上此病的工友死亡，也能夠得到殮葬費和死亡賠償，而無須證實他們是因為這個病離世才獲得賠償？否則，對很多工友來說，設有這個殮葬費的幫助其實不大，因為很多時候也不能夠直接地確定他們是因為患肺塵埃沉着病以致死亡的。</w:t>
      </w:r>
    </w:p>
    <w:p>
      <w:pPr>
        <w:pStyle w:val="F21"/>
        <w:overflowPunct w:val="true"/>
        <w:rPr/>
      </w:pPr>
      <w:r>
        <w:rPr/>
      </w:r>
    </w:p>
    <w:p>
      <w:pPr>
        <w:pStyle w:val="F21"/>
        <w:overflowPunct w:val="true"/>
        <w:rPr/>
      </w:pPr>
      <w:r>
        <w:rPr/>
        <w:tab/>
      </w:r>
      <w:r>
        <w:rPr/>
        <w:t>另外，政府建議提升護理及照顧的補償額。主席，我先不討論金額是否足夠，但我想提出一點，就是這個照顧者補償根本是形同虛設的，因為申領資格極之嚴苛。過去</w:t>
      </w:r>
      <w:r>
        <w:rPr/>
        <w:t>5</w:t>
      </w:r>
      <w:r>
        <w:rPr/>
        <w:t>年，每年只有不多於</w:t>
      </w:r>
      <w:r>
        <w:rPr/>
        <w:t>10</w:t>
      </w:r>
      <w:r>
        <w:rPr/>
        <w:t>宗個案的病人能夠成功申領有關補償，比例低得驚人，很多有需要的工友只好對着這筆錢望門輕嘆。為甚麼會出現這種情況呢？因為如要領取這筆補償，不單要喪失工作能力，還要證明沒有其他人能夠照顧他們或為他們提供護理，而他們又不能夠自己進行日常生活所需的活動，這樣才合乎資格。</w:t>
      </w:r>
    </w:p>
    <w:p>
      <w:pPr>
        <w:pStyle w:val="F21"/>
        <w:overflowPunct w:val="true"/>
        <w:rPr/>
      </w:pPr>
      <w:r>
        <w:rPr/>
      </w:r>
    </w:p>
    <w:p>
      <w:pPr>
        <w:pStyle w:val="F21"/>
        <w:overflowPunct w:val="true"/>
        <w:rPr/>
      </w:pPr>
      <w:r>
        <w:rPr/>
        <w:tab/>
      </w:r>
      <w:r>
        <w:rPr/>
        <w:t>主席，當然這是為肺塵埃沉着病病人而設的，但他們已證明患上肺塵埃沉着病，並喪失工作能力，理應得到這筆補償。可是，這樣仍然不可以，而是必須確認自己不能夠照顧自己，也不能夠進行日常所需的活動才可以。試問在這種情況下，這些工友的情況是怎樣的呢？情況就是，他們已差不多接近死亡邊緣。事實上，過去看到的情況就是，成功領取到這項補償的工友在數個月後便離世，因為他們的病況實在已經非常嚴重。所以，大家試想一下：這樣的補償，到差不多離世的時候才發給他們</w:t>
      </w:r>
      <w:r>
        <w:rPr>
          <w:rFonts w:ascii="Symbol" w:hAnsi="Symbol" w:cs="Symbol" w:eastAsia="Symbol"/>
          <w:szCs w:val="27"/>
        </w:rPr>
        <w:t></w:t>
      </w:r>
      <w:r>
        <w:rPr/>
        <w:t>當然，有總比沒有好</w:t>
      </w:r>
      <w:r>
        <w:rPr>
          <w:rFonts w:ascii="Symbol" w:hAnsi="Symbol" w:cs="Symbol" w:eastAsia="Symbol"/>
          <w:szCs w:val="27"/>
        </w:rPr>
        <w:t></w:t>
      </w:r>
      <w:r>
        <w:rPr/>
        <w:t>不過，如果這樣，他們可以得到多少溫暖呢？這讓人覺得在這方面，在基金這麼充裕的情況下，政府也不肯增加一點支出來協助他們，為他們提供支援或援助，這個政府是否很涼薄呢？</w:t>
      </w:r>
    </w:p>
    <w:p>
      <w:pPr>
        <w:pStyle w:val="F21"/>
        <w:overflowPunct w:val="true"/>
        <w:rPr/>
      </w:pPr>
      <w:r>
        <w:rPr/>
      </w:r>
    </w:p>
    <w:p>
      <w:pPr>
        <w:pStyle w:val="F21"/>
        <w:overflowPunct w:val="true"/>
        <w:rPr/>
      </w:pPr>
      <w:r>
        <w:rPr/>
        <w:tab/>
      </w:r>
      <w:r>
        <w:rPr/>
        <w:t>事實上，有關注團體計算過，如果按每位病人肺功能的缺損程度發放照顧補償，預計每月總開支很可能只是大約</w:t>
      </w:r>
      <w:r>
        <w:rPr/>
        <w:t>220</w:t>
      </w:r>
      <w:r>
        <w:rPr/>
        <w:t>萬元左右，但已經可以令很多工友受惠，為甚麼不考慮呢？</w:t>
      </w:r>
    </w:p>
    <w:p>
      <w:pPr>
        <w:pStyle w:val="F21"/>
        <w:overflowPunct w:val="true"/>
        <w:rPr/>
      </w:pPr>
      <w:r>
        <w:rPr/>
      </w:r>
    </w:p>
    <w:p>
      <w:pPr>
        <w:pStyle w:val="F21"/>
        <w:overflowPunct w:val="true"/>
        <w:rPr/>
      </w:pPr>
      <w:r>
        <w:rPr/>
        <w:tab/>
      </w:r>
      <w:r>
        <w:rPr/>
        <w:t>另外，有關職業性失聰的工友，他們同樣為本港過去的紡織業和建築業作出過極大貢獻。但是，同樣地，他們因為當年的聽力保護措施不足，令他們的聽力受損，出現失聰現象。由於聽力受損，以及年紀漸長，以致聽力退化，兩者加起來他們的聽力便會變得很差。在這種很差的情況下，通常會產生耳鳴。耳鳴的問題對失聰的人來說，是很痛苦的，因為腦袋裏常常好像有聲音在騷擾着你，難以入睡，也為生活帶來不便。</w:t>
      </w:r>
    </w:p>
    <w:p>
      <w:pPr>
        <w:pStyle w:val="F21"/>
        <w:overflowPunct w:val="true"/>
        <w:rPr/>
      </w:pPr>
      <w:r>
        <w:rPr/>
      </w:r>
    </w:p>
    <w:p>
      <w:pPr>
        <w:pStyle w:val="F21"/>
        <w:overflowPunct w:val="true"/>
        <w:rPr/>
      </w:pPr>
      <w:r>
        <w:rPr/>
        <w:tab/>
      </w:r>
      <w:r>
        <w:rPr/>
        <w:t>除了這方面，失聰人士的社交也一定有點困難。但是，他們很希望好像肺塵埃沉着病的工友般，可以有一些生活補貼。很可惜，雖然他們爭取多年，多次向政府提出要求，但政府依然故我，不理會、不關注這方面。政府表示，肺塵埃沉着病工友跟失聰工友完全不同，所以不會有這項補貼。為甚麼政府要這樣做呢？在基金財政充裕的情況下，為甚麼不可以這樣做呢？他們這麼辛苦、這麼痛苦，為甚麼不可以給他們一些支援呢？</w:t>
      </w:r>
    </w:p>
    <w:p>
      <w:pPr>
        <w:pStyle w:val="F21"/>
        <w:overflowPunct w:val="true"/>
        <w:rPr/>
      </w:pPr>
      <w:r>
        <w:rPr/>
      </w:r>
    </w:p>
    <w:p>
      <w:pPr>
        <w:pStyle w:val="F21"/>
        <w:overflowPunct w:val="true"/>
        <w:rPr/>
      </w:pPr>
      <w:r>
        <w:rPr/>
        <w:tab/>
      </w:r>
      <w:r>
        <w:rPr/>
        <w:t>主席，還有另一個問題就是，即使現在調高了補償金額，我覺得仍然是偏低的。簡單來說，以一位年齡</w:t>
      </w:r>
      <w:r>
        <w:rPr/>
        <w:t>56</w:t>
      </w:r>
      <w:r>
        <w:rPr/>
        <w:t>歲以上的僱員為例，如果他是永久性喪失工作能力，補償上限也只有</w:t>
      </w:r>
      <w:r>
        <w:rPr/>
        <w:t>1,465,000</w:t>
      </w:r>
      <w:r>
        <w:rPr/>
        <w:t>元。現時香港人的平均壽命是</w:t>
      </w:r>
      <w:r>
        <w:rPr/>
        <w:t>84</w:t>
      </w:r>
      <w:r>
        <w:rPr/>
        <w:t>歲，如果他可以活到這個年紀，每年的補償金額便只有</w:t>
      </w:r>
      <w:r>
        <w:rPr/>
        <w:t>5</w:t>
      </w:r>
      <w:r>
        <w:rPr/>
        <w:t>萬多元，即每月只有</w:t>
      </w:r>
      <w:r>
        <w:rPr/>
        <w:t>4,000</w:t>
      </w:r>
      <w:r>
        <w:rPr/>
        <w:t>多元。如果每個月只有這筆金額，對於</w:t>
      </w:r>
      <w:r>
        <w:rPr/>
        <w:t>40</w:t>
      </w:r>
      <w:r>
        <w:rPr/>
        <w:t>歲至</w:t>
      </w:r>
      <w:r>
        <w:rPr/>
        <w:t>56</w:t>
      </w:r>
      <w:r>
        <w:rPr/>
        <w:t>歲的工友來說，他們的生活會很困難、很艱苦。以</w:t>
      </w:r>
      <w:r>
        <w:rPr/>
        <w:t>4,000</w:t>
      </w:r>
      <w:r>
        <w:rPr/>
        <w:t>元，他們又可如何照顧家庭、如何維持個人生活呢？</w:t>
      </w:r>
    </w:p>
    <w:p>
      <w:pPr>
        <w:pStyle w:val="F21"/>
        <w:overflowPunct w:val="true"/>
        <w:rPr/>
      </w:pPr>
      <w:r>
        <w:rPr/>
      </w:r>
    </w:p>
    <w:p>
      <w:pPr>
        <w:pStyle w:val="F21"/>
        <w:overflowPunct w:val="true"/>
        <w:rPr/>
      </w:pPr>
      <w:r>
        <w:rPr/>
        <w:tab/>
      </w:r>
      <w:r>
        <w:rPr/>
        <w:t>所以，就這方面，我希望政府不要再每兩年一次，好像進行例行公事般，作一些簡單調整便算，而是可否真的調查一下他們的實際需要，看看如何能夠提高他們的生活素質，發放更高的補貼，讓他們生活得好一點？</w:t>
      </w:r>
    </w:p>
    <w:p>
      <w:pPr>
        <w:pStyle w:val="F21"/>
        <w:overflowPunct w:val="true"/>
        <w:rPr/>
      </w:pPr>
      <w:r>
        <w:rPr/>
      </w:r>
    </w:p>
    <w:p>
      <w:pPr>
        <w:pStyle w:val="F21"/>
        <w:overflowPunct w:val="true"/>
        <w:rPr/>
      </w:pPr>
      <w:r>
        <w:rPr/>
        <w:tab/>
      </w:r>
      <w:r>
        <w:rPr/>
        <w:t>主席，總括而言，與過往一樣，這次的各項補償修訂主要是關於調升金額。考慮到工友的利益，我只能夠接受，否則他們不能得到即時的改善。但是，這個決定實在非常無奈，因為這些修訂對於改善他們的生活，幫助實在非常有限。雖然今次我無奈接受，但我必須強調，政府不能每次修訂都當作例行公事，着眼於枝節，而忽視工友真正的需要，以及他們多年來對社會的貢獻。今時今日，這些工友不少人已經年紀老邁，如果他們在離開前也不能得到應有的回饋，實在很悲涼。我希望特區政府不是一個製造悲涼境況的政府，而是會體恤一下這些工友，認真思考一下我們提出的建議，讓他們可以在晚年得到一些安慰和溫暖。</w:t>
      </w:r>
    </w:p>
    <w:p>
      <w:pPr>
        <w:pStyle w:val="F21"/>
        <w:overflowPunct w:val="true"/>
        <w:rPr/>
      </w:pPr>
      <w:r>
        <w:rPr/>
      </w:r>
    </w:p>
    <w:p>
      <w:pPr>
        <w:pStyle w:val="F21"/>
        <w:overflowPunct w:val="true"/>
        <w:rPr/>
      </w:pPr>
      <w:r>
        <w:rPr/>
        <w:tab/>
      </w:r>
      <w:r>
        <w:rPr/>
        <w:t>主席，我謹此陳辭。</w:t>
      </w:r>
    </w:p>
    <w:p>
      <w:pPr>
        <w:pStyle w:val="F21"/>
        <w:overflowPunct w:val="true"/>
        <w:rPr>
          <w:szCs w:val="27"/>
        </w:rPr>
      </w:pPr>
      <w:r>
        <w:rPr>
          <w:szCs w:val="27"/>
        </w:rPr>
      </w:r>
    </w:p>
    <w:p>
      <w:pPr>
        <w:pStyle w:val="F21"/>
        <w:overflowPunct w:val="true"/>
        <w:rPr>
          <w:szCs w:val="27"/>
        </w:rPr>
      </w:pPr>
      <w:r>
        <w:rPr>
          <w:szCs w:val="27"/>
        </w:rPr>
      </w:r>
    </w:p>
    <w:p>
      <w:pPr>
        <w:pStyle w:val="F21"/>
        <w:overflowPunct w:val="true"/>
        <w:rPr/>
      </w:pPr>
      <w:r>
        <w:rPr>
          <w:rFonts w:ascii="華康中黑體" w:hAnsi="華康中黑體" w:eastAsia="華康中黑體"/>
          <w:b/>
        </w:rPr>
        <w:t>何啟明</w:t>
      </w:r>
      <w:r>
        <w:rPr>
          <w:rFonts w:eastAsia="華康中黑體"/>
          <w:b/>
        </w:rPr>
        <w:t>議員</w:t>
      </w:r>
      <w:r>
        <w:rPr/>
        <w:t>：主席，我們贊同</w:t>
      </w:r>
      <w:r>
        <w:rPr/>
        <w:t>3</w:t>
      </w:r>
      <w:r>
        <w:rPr/>
        <w:t>項決議案，其實這次的修訂並不複雜，純粹是按通脹調整補償金額，以及擴大《肺塵埃沉着病及間皮瘤</w:t>
      </w:r>
      <w:r>
        <w:rPr/>
        <w:t>(</w:t>
      </w:r>
      <w:r>
        <w:rPr/>
        <w:t>補償</w:t>
      </w:r>
      <w:r>
        <w:rPr/>
        <w:t>)</w:t>
      </w:r>
      <w:r>
        <w:rPr/>
        <w:t>條例》的醫療裝置範圍。</w:t>
      </w:r>
    </w:p>
    <w:p>
      <w:pPr>
        <w:pStyle w:val="Normal"/>
        <w:widowControl/>
        <w:tabs>
          <w:tab w:val="clear" w:pos="720"/>
        </w:tabs>
        <w:snapToGrid w:val="true"/>
        <w:spacing w:lineRule="auto" w:line="276" w:before="0" w:after="200"/>
        <w:jc w:val="left"/>
        <w:rPr>
          <w:rFonts w:cs="" w:cstheme="minorBidi"/>
          <w:spacing w:val="20"/>
          <w:sz w:val="27"/>
          <w:szCs w:val="22"/>
          <w:lang w:val="en-US"/>
        </w:rPr>
      </w:pPr>
      <w:r>
        <w:rPr>
          <w:rFonts w:cs="" w:cstheme="minorBidi"/>
          <w:spacing w:val="20"/>
          <w:sz w:val="27"/>
          <w:szCs w:val="22"/>
          <w:lang w:val="en-US"/>
        </w:rPr>
      </w:r>
      <w:r>
        <w:br w:type="page"/>
      </w:r>
    </w:p>
    <w:p>
      <w:pPr>
        <w:pStyle w:val="F21"/>
        <w:overflowPunct w:val="true"/>
        <w:spacing w:lineRule="atLeast" w:line="370"/>
        <w:rPr/>
      </w:pPr>
      <w:r>
        <w:rPr/>
        <w:tab/>
      </w:r>
      <w:r>
        <w:rPr/>
        <w:t>主席，我們認同政府每年調整補償金額。但是，局長亦應考慮是否需要進行大規模的修訂，或重新檢視當中一些存在已久的問題。</w:t>
      </w:r>
    </w:p>
    <w:p>
      <w:pPr>
        <w:pStyle w:val="F21"/>
        <w:overflowPunct w:val="true"/>
        <w:spacing w:lineRule="atLeast" w:line="370"/>
        <w:rPr/>
      </w:pPr>
      <w:r>
        <w:rPr/>
      </w:r>
    </w:p>
    <w:p>
      <w:pPr>
        <w:pStyle w:val="F21"/>
        <w:overflowPunct w:val="true"/>
        <w:spacing w:lineRule="atLeast" w:line="370"/>
        <w:rPr/>
      </w:pPr>
      <w:r>
        <w:rPr/>
        <w:tab/>
      </w:r>
      <w:r>
        <w:rPr/>
        <w:t>雖然這</w:t>
      </w:r>
      <w:r>
        <w:rPr/>
        <w:t>3</w:t>
      </w:r>
      <w:r>
        <w:rPr/>
        <w:t>項決議案相對簡單，我們沒有成立小組委員會商議，但去年討論徵款時得悉，肺塵埃沉着病補償基金委員會</w:t>
      </w:r>
      <w:r>
        <w:rPr/>
        <w:t>("</w:t>
      </w:r>
      <w:r>
        <w:rPr/>
        <w:t>基金委員會</w:t>
      </w:r>
      <w:r>
        <w:rPr/>
        <w:t>")</w:t>
      </w:r>
      <w:r>
        <w:rPr/>
        <w:t>現滾存約</w:t>
      </w:r>
      <w:r>
        <w:rPr/>
        <w:t>20</w:t>
      </w:r>
      <w:r>
        <w:rPr/>
        <w:t>億元基金，加上每年</w:t>
      </w:r>
      <w:r>
        <w:rPr/>
        <w:t>8</w:t>
      </w:r>
      <w:r>
        <w:rPr/>
        <w:t>億元的收入，是個很龐大的數字。然而，法例訂得太嚴苛，竟然只有列明的儀器才可獲批資助，這確實令人感到十分無奈。政府與基金委員會、勞工顧問委員會及多個相關組織商討後，決定新增兩種儀器，我們當然十分贊成。不過，儀器日新月異，當局是否可以取消這個限制，或者規定只需醫生建議便可納入有關範圍？其實是否可以做到？我們希望政府朝着這方向考慮。</w:t>
      </w:r>
    </w:p>
    <w:p>
      <w:pPr>
        <w:pStyle w:val="F21"/>
        <w:overflowPunct w:val="true"/>
        <w:spacing w:lineRule="atLeast" w:line="370"/>
        <w:rPr/>
      </w:pPr>
      <w:r>
        <w:rPr/>
      </w:r>
    </w:p>
    <w:p>
      <w:pPr>
        <w:pStyle w:val="F21"/>
        <w:overflowPunct w:val="true"/>
        <w:spacing w:lineRule="atLeast" w:line="370"/>
        <w:rPr/>
      </w:pPr>
      <w:r>
        <w:rPr/>
        <w:tab/>
      </w:r>
      <w:r>
        <w:rPr/>
        <w:t>至於藥物方面，有些間皮瘤病人需要使用較昂貴的藥物，但病人必須透過撒瑪利亞基金才能得到資助，而撒瑪利亞基金對病人的資產有一定限制。雖然間皮瘤的病人未必太貧窮，但如需自費購買藥物，很快會花光資產。所以，基金委員會的徵款收入是否可用以幫助這群特殊的工友？我想政府考慮一下。</w:t>
      </w:r>
    </w:p>
    <w:p>
      <w:pPr>
        <w:pStyle w:val="F21"/>
        <w:overflowPunct w:val="true"/>
        <w:spacing w:lineRule="atLeast" w:line="370"/>
        <w:rPr/>
      </w:pPr>
      <w:r>
        <w:rPr/>
      </w:r>
    </w:p>
    <w:p>
      <w:pPr>
        <w:pStyle w:val="F21"/>
        <w:overflowPunct w:val="true"/>
        <w:spacing w:lineRule="atLeast" w:line="370"/>
        <w:rPr/>
      </w:pPr>
      <w:r>
        <w:rPr/>
        <w:tab/>
      </w:r>
      <w:r>
        <w:rPr/>
        <w:t>此外，《僱員補償條例》列明可索還醫療費最高每天限額為</w:t>
      </w:r>
      <w:r>
        <w:rPr/>
        <w:t>300</w:t>
      </w:r>
      <w:r>
        <w:rPr>
          <w:rFonts w:eastAsia="MS Mincho" w:cs="MS Mincho" w:ascii="MS Mincho" w:hAnsi="MS Mincho"/>
        </w:rPr>
        <w:t>‍</w:t>
      </w:r>
      <w:r>
        <w:rPr/>
        <w:t>元，這個規定比較嚴苛，如果可以將</w:t>
      </w:r>
      <w:r>
        <w:rPr/>
        <w:t>300</w:t>
      </w:r>
      <w:r>
        <w:rPr/>
        <w:t>元限額累積一個月使用，以便病人接受較高層次的治療，例如進行電腦掃描或磁力共振等，反而更能幫助工友得到應有的支援。所以，我們支持這</w:t>
      </w:r>
      <w:r>
        <w:rPr/>
        <w:t>3</w:t>
      </w:r>
      <w:r>
        <w:rPr/>
        <w:t>項決議案，同時希望局方日後能主動進行全面而較大規模的修訂。</w:t>
      </w:r>
    </w:p>
    <w:p>
      <w:pPr>
        <w:pStyle w:val="F21"/>
        <w:overflowPunct w:val="true"/>
        <w:spacing w:lineRule="atLeast" w:line="370"/>
        <w:rPr/>
      </w:pPr>
      <w:r>
        <w:rPr/>
      </w:r>
    </w:p>
    <w:p>
      <w:pPr>
        <w:pStyle w:val="F21"/>
        <w:overflowPunct w:val="true"/>
        <w:spacing w:lineRule="atLeast" w:line="370"/>
        <w:rPr/>
      </w:pPr>
      <w:r>
        <w:rPr/>
        <w:tab/>
      </w:r>
      <w:r>
        <w:rPr/>
        <w:t>我謹此發言，多謝主席。</w:t>
      </w:r>
    </w:p>
    <w:p>
      <w:pPr>
        <w:pStyle w:val="F21"/>
        <w:overflowPunct w:val="true"/>
        <w:spacing w:lineRule="atLeast" w:line="370"/>
        <w:rPr>
          <w:szCs w:val="27"/>
        </w:rPr>
      </w:pPr>
      <w:r>
        <w:rPr>
          <w:szCs w:val="27"/>
        </w:rPr>
      </w:r>
    </w:p>
    <w:p>
      <w:pPr>
        <w:pStyle w:val="F21"/>
        <w:overflowPunct w:val="true"/>
        <w:spacing w:lineRule="atLeast" w:line="370"/>
        <w:rPr>
          <w:szCs w:val="27"/>
        </w:rPr>
      </w:pPr>
      <w:r>
        <w:rPr>
          <w:szCs w:val="27"/>
        </w:rPr>
      </w:r>
    </w:p>
    <w:p>
      <w:pPr>
        <w:pStyle w:val="F21"/>
        <w:overflowPunct w:val="true"/>
        <w:spacing w:lineRule="atLeast" w:line="370"/>
        <w:rPr/>
      </w:pPr>
      <w:r>
        <w:rPr>
          <w:rFonts w:eastAsia="華康中黑體"/>
          <w:b/>
          <w:szCs w:val="27"/>
        </w:rPr>
        <w:t>胡志偉議員</w:t>
      </w:r>
      <w:r>
        <w:rPr/>
        <w:t>：主席，我純粹想請局長留意《僱員補償條例》</w:t>
      </w:r>
      <w:r>
        <w:rPr/>
        <w:t>("</w:t>
      </w:r>
      <w:r>
        <w:rPr/>
        <w:t>《條例》</w:t>
      </w:r>
      <w:r>
        <w:rPr/>
        <w:t>")</w:t>
      </w:r>
      <w:r>
        <w:rPr/>
        <w:t>中一些關乎操作上的問題。當然，《條例》本身只是針對僱員在工傷時可獲得的賠償作出調整，我認為大規模地重新檢討當然是好事，但根據我日常遇到的個案，更多的情況是除了商討補償金額外，其實也牽涉到工傷事故中因疏忽而出現的賠償訴訟官司。在現行普通法的機制下，當進行這些訴訟時，被控的一方</w:t>
      </w:r>
      <w:r>
        <w:rPr>
          <w:rFonts w:ascii="Symbol" w:hAnsi="Symbol" w:cs="Symbol" w:eastAsia="Symbol"/>
        </w:rPr>
        <w:t></w:t>
      </w:r>
      <w:r>
        <w:rPr/>
        <w:t>通常也是保險公司</w:t>
      </w:r>
      <w:r>
        <w:rPr>
          <w:rFonts w:ascii="Symbol" w:hAnsi="Symbol" w:cs="Symbol" w:eastAsia="Symbol"/>
        </w:rPr>
        <w:t></w:t>
      </w:r>
      <w:r>
        <w:rPr/>
        <w:t>可能會很機靈地向法院提出某個賠償數額，如果僱員接受便按這數額收取賠償，否則便要面對另一個風險，便是萬一法院的判決對他不利，即使贏了官司，也會輸掉訟費。</w:t>
      </w:r>
    </w:p>
    <w:p>
      <w:pPr>
        <w:pStyle w:val="Normal"/>
        <w:widowControl/>
        <w:tabs>
          <w:tab w:val="clear" w:pos="720"/>
        </w:tabs>
        <w:snapToGrid w:val="true"/>
        <w:spacing w:lineRule="auto" w:line="276" w:before="0" w:after="200"/>
        <w:jc w:val="left"/>
        <w:rPr>
          <w:rFonts w:cs="" w:cstheme="minorBidi"/>
          <w:spacing w:val="20"/>
          <w:sz w:val="27"/>
          <w:szCs w:val="22"/>
          <w:lang w:val="en-US"/>
        </w:rPr>
      </w:pPr>
      <w:r>
        <w:rPr>
          <w:rFonts w:cs="" w:cstheme="minorBidi"/>
          <w:spacing w:val="20"/>
          <w:sz w:val="27"/>
          <w:szCs w:val="22"/>
          <w:lang w:val="en-US"/>
        </w:rPr>
      </w:r>
      <w:r>
        <w:br w:type="page"/>
      </w:r>
    </w:p>
    <w:p>
      <w:pPr>
        <w:pStyle w:val="F21"/>
        <w:overflowPunct w:val="true"/>
        <w:spacing w:lineRule="atLeast" w:line="350"/>
        <w:rPr/>
      </w:pPr>
      <w:r>
        <w:rPr/>
        <w:tab/>
      </w:r>
      <w:r>
        <w:rPr/>
        <w:t>因此，在《條例》中，我希望局長考慮如何能夠制訂一套有效的方法，當發生的工傷事故涉及是否因疏忽所致而須作出補償的官司時，我們可以有一個有效的制度，協助</w:t>
      </w:r>
      <w:r>
        <w:rPr/>
        <w:t>"</w:t>
      </w:r>
      <w:r>
        <w:rPr/>
        <w:t>打工仔</w:t>
      </w:r>
      <w:r>
        <w:rPr/>
        <w:t>"</w:t>
      </w:r>
      <w:r>
        <w:rPr/>
        <w:t>在申索賠償的過程中不會因為對自己的健康狀態或工傷狀態與保險公司的資訊不對稱而影響他應有的法律權益。</w:t>
      </w:r>
    </w:p>
    <w:p>
      <w:pPr>
        <w:pStyle w:val="F21"/>
        <w:overflowPunct w:val="true"/>
        <w:spacing w:lineRule="atLeast" w:line="350"/>
        <w:rPr/>
      </w:pPr>
      <w:r>
        <w:rPr/>
      </w:r>
    </w:p>
    <w:p>
      <w:pPr>
        <w:pStyle w:val="F21"/>
        <w:overflowPunct w:val="true"/>
        <w:spacing w:lineRule="atLeast" w:line="350"/>
        <w:rPr/>
      </w:pPr>
      <w:r>
        <w:rPr/>
        <w:tab/>
      </w:r>
      <w:r>
        <w:rPr/>
        <w:t>因此，對於這種在普通法下進行訴訟的方式，例如其中一方可以把他預備支付的賠償存入法院，令其在訴訟上處於優勢的做法，特別是針對</w:t>
      </w:r>
      <w:r>
        <w:rPr/>
        <w:t>"</w:t>
      </w:r>
      <w:r>
        <w:rPr/>
        <w:t>打工仔</w:t>
      </w:r>
      <w:r>
        <w:rPr/>
        <w:t>"</w:t>
      </w:r>
      <w:r>
        <w:rPr/>
        <w:t>或受傷工友面對資訊不對稱的情況，我覺得這方面亦是勞工及福利局應予考慮的因素，特別是如果局長日後會在僱員補償方面開展工作，希望能更有效地維護</w:t>
      </w:r>
      <w:r>
        <w:rPr/>
        <w:t>"</w:t>
      </w:r>
      <w:r>
        <w:rPr/>
        <w:t>打工仔</w:t>
      </w:r>
      <w:r>
        <w:rPr/>
        <w:t>"</w:t>
      </w:r>
      <w:r>
        <w:rPr/>
        <w:t>的權益時，我希望能夠加入這個環節，因為這個環節其實也是我們日常在區內處理個案時經常遇到及面對的，即一些</w:t>
      </w:r>
      <w:r>
        <w:rPr/>
        <w:t>"</w:t>
      </w:r>
      <w:r>
        <w:rPr/>
        <w:t>打工仔</w:t>
      </w:r>
      <w:r>
        <w:rPr/>
        <w:t>"</w:t>
      </w:r>
      <w:r>
        <w:rPr/>
        <w:t>贏了官司，最終卻輸掉訟費，結果是他們可能在做了很多工夫後得到的補償金額因輸掉訟費而令他們實質上不能獲得相應的賠償，以應付他們應有的生活水平。</w:t>
      </w:r>
    </w:p>
    <w:p>
      <w:pPr>
        <w:pStyle w:val="F21"/>
        <w:overflowPunct w:val="true"/>
        <w:spacing w:lineRule="atLeast" w:line="350"/>
        <w:rPr/>
      </w:pPr>
      <w:r>
        <w:rPr/>
      </w:r>
    </w:p>
    <w:p>
      <w:pPr>
        <w:pStyle w:val="F21"/>
        <w:overflowPunct w:val="true"/>
        <w:spacing w:lineRule="atLeast" w:line="350"/>
        <w:rPr/>
      </w:pPr>
      <w:r>
        <w:rPr/>
        <w:tab/>
      </w:r>
      <w:r>
        <w:rPr/>
        <w:t>所以，我在此補充這一點，希望局長檢視整項《條例》中對僱員的補償，特別是涉及人身意外的訴訟的安排時，必須考慮到現時社會上這種相當常見的現象。</w:t>
      </w:r>
    </w:p>
    <w:p>
      <w:pPr>
        <w:pStyle w:val="F21"/>
        <w:overflowPunct w:val="true"/>
        <w:spacing w:lineRule="atLeast" w:line="350"/>
        <w:rPr/>
      </w:pPr>
      <w:r>
        <w:rPr/>
      </w:r>
    </w:p>
    <w:p>
      <w:pPr>
        <w:pStyle w:val="F21"/>
        <w:overflowPunct w:val="true"/>
        <w:spacing w:lineRule="atLeast" w:line="350"/>
        <w:rPr>
          <w:szCs w:val="27"/>
        </w:rPr>
      </w:pPr>
      <w:r>
        <w:rPr/>
        <w:tab/>
      </w:r>
      <w:r>
        <w:rPr>
          <w:szCs w:val="27"/>
        </w:rPr>
        <w:t>多謝主席，謹此陳辭。</w:t>
      </w:r>
    </w:p>
    <w:p>
      <w:pPr>
        <w:pStyle w:val="F21"/>
        <w:overflowPunct w:val="true"/>
        <w:spacing w:lineRule="atLeast" w:line="350"/>
        <w:rPr>
          <w:szCs w:val="27"/>
        </w:rPr>
      </w:pPr>
      <w:r>
        <w:rPr>
          <w:szCs w:val="27"/>
        </w:rPr>
      </w:r>
    </w:p>
    <w:p>
      <w:pPr>
        <w:pStyle w:val="F21"/>
        <w:overflowPunct w:val="true"/>
        <w:spacing w:lineRule="atLeast" w:line="350"/>
        <w:rPr>
          <w:szCs w:val="27"/>
        </w:rPr>
      </w:pPr>
      <w:r>
        <w:rPr>
          <w:szCs w:val="27"/>
        </w:rPr>
        <w:t>(</w:t>
      </w:r>
      <w:r>
        <w:rPr>
          <w:szCs w:val="27"/>
        </w:rPr>
        <w:t>陳志全議員站起來</w:t>
      </w:r>
      <w:r>
        <w:rPr>
          <w:szCs w:val="27"/>
        </w:rPr>
        <w:t>)</w:t>
      </w:r>
    </w:p>
    <w:p>
      <w:pPr>
        <w:pStyle w:val="F21"/>
        <w:overflowPunct w:val="true"/>
        <w:spacing w:lineRule="atLeast" w:line="350"/>
        <w:rPr>
          <w:szCs w:val="27"/>
        </w:rPr>
      </w:pPr>
      <w:r>
        <w:rPr>
          <w:szCs w:val="27"/>
        </w:rPr>
      </w:r>
    </w:p>
    <w:p>
      <w:pPr>
        <w:pStyle w:val="F21"/>
        <w:overflowPunct w:val="true"/>
        <w:spacing w:lineRule="atLeast" w:line="350"/>
        <w:rPr>
          <w:szCs w:val="27"/>
        </w:rPr>
      </w:pPr>
      <w:r>
        <w:rPr>
          <w:szCs w:val="27"/>
        </w:rPr>
      </w:r>
    </w:p>
    <w:p>
      <w:pPr>
        <w:pStyle w:val="F21"/>
        <w:overflowPunct w:val="true"/>
        <w:spacing w:lineRule="atLeast" w:line="350"/>
        <w:rPr>
          <w:szCs w:val="27"/>
        </w:rPr>
      </w:pPr>
      <w:r>
        <w:rPr>
          <w:rFonts w:ascii="華康中黑體" w:hAnsi="華康中黑體" w:eastAsia="華康中黑體"/>
          <w:b/>
          <w:szCs w:val="27"/>
        </w:rPr>
        <w:t>主席</w:t>
      </w:r>
      <w:r>
        <w:rPr>
          <w:szCs w:val="27"/>
        </w:rPr>
        <w:t>：陳志全議員，你有甚麼規程問題？</w:t>
      </w:r>
    </w:p>
    <w:p>
      <w:pPr>
        <w:pStyle w:val="F21"/>
        <w:overflowPunct w:val="true"/>
        <w:spacing w:lineRule="atLeast" w:line="350"/>
        <w:rPr>
          <w:szCs w:val="27"/>
        </w:rPr>
      </w:pPr>
      <w:r>
        <w:rPr>
          <w:szCs w:val="27"/>
        </w:rPr>
      </w:r>
    </w:p>
    <w:p>
      <w:pPr>
        <w:pStyle w:val="F21"/>
        <w:overflowPunct w:val="true"/>
        <w:spacing w:lineRule="atLeast" w:line="350"/>
        <w:rPr>
          <w:szCs w:val="27"/>
        </w:rPr>
      </w:pPr>
      <w:r>
        <w:rPr>
          <w:szCs w:val="27"/>
        </w:rPr>
      </w:r>
    </w:p>
    <w:p>
      <w:pPr>
        <w:pStyle w:val="F21"/>
        <w:overflowPunct w:val="true"/>
        <w:spacing w:lineRule="atLeast" w:line="350"/>
        <w:rPr>
          <w:szCs w:val="27"/>
        </w:rPr>
      </w:pPr>
      <w:r>
        <w:rPr>
          <w:rFonts w:ascii="華康中黑體" w:hAnsi="華康中黑體" w:eastAsia="華康中黑體"/>
          <w:b/>
          <w:szCs w:val="27"/>
        </w:rPr>
        <w:t>陳志全議員</w:t>
      </w:r>
      <w:r>
        <w:rPr>
          <w:szCs w:val="27"/>
        </w:rPr>
        <w:t>：主席，我要求點算法定人數。</w:t>
      </w:r>
    </w:p>
    <w:p>
      <w:pPr>
        <w:pStyle w:val="F21"/>
        <w:overflowPunct w:val="true"/>
        <w:spacing w:lineRule="atLeast" w:line="350"/>
        <w:rPr>
          <w:szCs w:val="27"/>
        </w:rPr>
      </w:pPr>
      <w:r>
        <w:rPr>
          <w:szCs w:val="27"/>
        </w:rPr>
      </w:r>
    </w:p>
    <w:p>
      <w:pPr>
        <w:pStyle w:val="F21"/>
        <w:overflowPunct w:val="true"/>
        <w:spacing w:lineRule="atLeast" w:line="350"/>
        <w:rPr>
          <w:szCs w:val="27"/>
        </w:rPr>
      </w:pPr>
      <w:r>
        <w:rPr>
          <w:szCs w:val="27"/>
        </w:rPr>
      </w:r>
    </w:p>
    <w:p>
      <w:pPr>
        <w:pStyle w:val="F21"/>
        <w:overflowPunct w:val="true"/>
        <w:spacing w:lineRule="atLeast" w:line="350"/>
        <w:rPr>
          <w:szCs w:val="27"/>
        </w:rPr>
      </w:pPr>
      <w:r>
        <w:rPr>
          <w:rFonts w:ascii="華康中黑體" w:hAnsi="華康中黑體" w:eastAsia="華康中黑體"/>
          <w:b/>
          <w:szCs w:val="27"/>
        </w:rPr>
        <w:t>主席</w:t>
      </w:r>
      <w:r>
        <w:rPr>
          <w:szCs w:val="27"/>
        </w:rPr>
        <w:t>：秘書，請響鐘傳召議員返回會議廳。</w:t>
      </w:r>
    </w:p>
    <w:p>
      <w:pPr>
        <w:pStyle w:val="F21"/>
        <w:overflowPunct w:val="true"/>
        <w:spacing w:lineRule="atLeast" w:line="350"/>
        <w:rPr>
          <w:szCs w:val="27"/>
        </w:rPr>
      </w:pPr>
      <w:r>
        <w:rPr>
          <w:szCs w:val="27"/>
        </w:rPr>
      </w:r>
    </w:p>
    <w:p>
      <w:pPr>
        <w:pStyle w:val="F21"/>
        <w:overflowPunct w:val="true"/>
        <w:spacing w:lineRule="atLeast" w:line="350"/>
        <w:rPr>
          <w:szCs w:val="27"/>
        </w:rPr>
      </w:pPr>
      <w:r>
        <w:rPr>
          <w:szCs w:val="27"/>
        </w:rPr>
        <w:t>(</w:t>
      </w:r>
      <w:r>
        <w:rPr>
          <w:szCs w:val="27"/>
        </w:rPr>
        <w:t>在傳召鐘響後，多位議員返回會議廳</w:t>
      </w:r>
      <w:r>
        <w:rPr>
          <w:szCs w:val="27"/>
        </w:rPr>
        <w:t>)</w:t>
      </w:r>
    </w:p>
    <w:p>
      <w:pPr>
        <w:pStyle w:val="F21"/>
        <w:overflowPunct w:val="true"/>
        <w:spacing w:lineRule="atLeast" w:line="350"/>
        <w:rPr>
          <w:szCs w:val="27"/>
        </w:rPr>
      </w:pPr>
      <w:r>
        <w:rPr>
          <w:szCs w:val="27"/>
        </w:rPr>
      </w:r>
    </w:p>
    <w:p>
      <w:pPr>
        <w:pStyle w:val="F21"/>
        <w:overflowPunct w:val="true"/>
        <w:spacing w:lineRule="atLeast" w:line="350"/>
        <w:rPr>
          <w:szCs w:val="27"/>
        </w:rPr>
      </w:pPr>
      <w:r>
        <w:rPr>
          <w:szCs w:val="27"/>
        </w:rPr>
      </w:r>
    </w:p>
    <w:p>
      <w:pPr>
        <w:pStyle w:val="F21"/>
        <w:overflowPunct w:val="true"/>
        <w:spacing w:lineRule="atLeast" w:line="350"/>
        <w:rPr>
          <w:szCs w:val="27"/>
        </w:rPr>
      </w:pPr>
      <w:r>
        <w:rPr>
          <w:rFonts w:ascii="華康中黑體" w:hAnsi="華康中黑體" w:eastAsia="華康中黑體"/>
          <w:b/>
          <w:szCs w:val="27"/>
        </w:rPr>
        <w:t>主席</w:t>
      </w:r>
      <w:r>
        <w:rPr>
          <w:szCs w:val="27"/>
        </w:rPr>
        <w:t>：是否有其他議員想發言？</w:t>
      </w:r>
    </w:p>
    <w:p>
      <w:pPr>
        <w:pStyle w:val="F21"/>
        <w:overflowPunct w:val="true"/>
        <w:spacing w:lineRule="atLeast" w:line="350"/>
        <w:rPr>
          <w:szCs w:val="27"/>
        </w:rPr>
      </w:pPr>
      <w:r>
        <w:rPr>
          <w:szCs w:val="27"/>
        </w:rPr>
      </w:r>
    </w:p>
    <w:p>
      <w:pPr>
        <w:pStyle w:val="F21"/>
        <w:overflowPunct w:val="true"/>
        <w:spacing w:lineRule="atLeast" w:line="350"/>
        <w:rPr>
          <w:szCs w:val="27"/>
        </w:rPr>
      </w:pPr>
      <w:r>
        <w:rPr>
          <w:szCs w:val="27"/>
        </w:rPr>
        <w:t>(</w:t>
      </w:r>
      <w:r>
        <w:rPr>
          <w:szCs w:val="27"/>
        </w:rPr>
        <w:t>沒有其他議員表示想發言</w:t>
      </w:r>
      <w:r>
        <w:rPr>
          <w:szCs w:val="27"/>
        </w:rPr>
        <w:t>)</w:t>
      </w:r>
      <w:r>
        <w:br w:type="page"/>
      </w:r>
    </w:p>
    <w:p>
      <w:pPr>
        <w:pStyle w:val="F21"/>
        <w:overflowPunct w:val="true"/>
        <w:spacing w:lineRule="atLeast" w:line="370"/>
        <w:rPr>
          <w:szCs w:val="27"/>
        </w:rPr>
      </w:pPr>
      <w:r>
        <w:rPr>
          <w:rFonts w:ascii="華康中黑體" w:hAnsi="華康中黑體" w:eastAsia="華康中黑體"/>
          <w:b/>
          <w:szCs w:val="27"/>
        </w:rPr>
        <w:t>主席</w:t>
      </w:r>
      <w:r>
        <w:rPr>
          <w:szCs w:val="27"/>
        </w:rPr>
        <w:t>：如果沒有，我現在請局長答辯。之後辯論即告結束。</w:t>
      </w:r>
    </w:p>
    <w:p>
      <w:pPr>
        <w:pStyle w:val="F21"/>
        <w:overflowPunct w:val="true"/>
        <w:spacing w:lineRule="atLeast" w:line="370"/>
        <w:rPr>
          <w:szCs w:val="27"/>
        </w:rPr>
      </w:pPr>
      <w:r>
        <w:rPr>
          <w:szCs w:val="27"/>
        </w:rPr>
      </w:r>
    </w:p>
    <w:p>
      <w:pPr>
        <w:pStyle w:val="F21"/>
        <w:overflowPunct w:val="true"/>
        <w:spacing w:lineRule="atLeast" w:line="370"/>
        <w:rPr/>
      </w:pPr>
      <w:r>
        <w:rPr/>
      </w:r>
    </w:p>
    <w:p>
      <w:pPr>
        <w:pStyle w:val="F21"/>
        <w:overflowPunct w:val="true"/>
        <w:spacing w:lineRule="atLeast" w:line="370"/>
        <w:rPr/>
      </w:pPr>
      <w:r>
        <w:rPr>
          <w:rFonts w:ascii="華康中黑體" w:hAnsi="華康中黑體" w:cs="華康中黑體" w:eastAsia="華康中黑體"/>
          <w:b/>
        </w:rPr>
        <w:t>勞工及福利局局長</w:t>
      </w:r>
      <w:r>
        <w:rPr/>
        <w:t>：主席，我多謝</w:t>
      </w:r>
      <w:r>
        <w:rPr/>
        <w:t>4</w:t>
      </w:r>
      <w:r>
        <w:rPr/>
        <w:t>位議員就決議案表達意見。過往在人力事務委員會或其他場合，我們對有關意見已作初步探討和討論，我相信日後人力事務委員會會繼續討論有關問題，所以，我今天不會逐一詳細回應。</w:t>
      </w:r>
    </w:p>
    <w:p>
      <w:pPr>
        <w:pStyle w:val="F21"/>
        <w:overflowPunct w:val="true"/>
        <w:spacing w:lineRule="atLeast" w:line="370"/>
        <w:rPr/>
      </w:pPr>
      <w:r>
        <w:rPr/>
      </w:r>
    </w:p>
    <w:p>
      <w:pPr>
        <w:pStyle w:val="F21"/>
        <w:overflowPunct w:val="true"/>
        <w:spacing w:lineRule="atLeast" w:line="370"/>
        <w:rPr/>
      </w:pPr>
      <w:r>
        <w:rPr/>
        <w:tab/>
      </w:r>
      <w:r>
        <w:rPr/>
        <w:t>我唯一希望簡短回應關於死亡和肺塵病關係的判斷問題。客觀資料顯示，相關門檻其實並不高，因為超過</w:t>
      </w:r>
      <w:r>
        <w:rPr/>
        <w:t>80%</w:t>
      </w:r>
      <w:r>
        <w:rPr/>
        <w:t>的個案，委員會都判斷死亡與肺塵病有關，特別涉及肺癌的個案。</w:t>
      </w:r>
    </w:p>
    <w:p>
      <w:pPr>
        <w:pStyle w:val="F21"/>
        <w:overflowPunct w:val="true"/>
        <w:spacing w:lineRule="atLeast" w:line="370"/>
        <w:rPr/>
      </w:pPr>
      <w:r>
        <w:rPr/>
      </w:r>
    </w:p>
    <w:p>
      <w:pPr>
        <w:pStyle w:val="F21"/>
        <w:overflowPunct w:val="true"/>
        <w:spacing w:lineRule="atLeast" w:line="370"/>
        <w:rPr/>
      </w:pPr>
      <w:r>
        <w:rPr/>
        <w:tab/>
      </w:r>
      <w:r>
        <w:rPr/>
        <w:t>主席，我出任局長之前沒有研究這幾項條例。出任局長後，我聽到很多議員對有關問題的意見，特別是肺癌與肺塵病的關係。在</w:t>
      </w:r>
      <w:r>
        <w:rPr/>
        <w:t>2017</w:t>
      </w:r>
      <w:r>
        <w:rPr/>
        <w:t>年時有一宗個案初時被判斷死亡與肺塵病無關，但</w:t>
      </w:r>
      <w:r>
        <w:rPr/>
        <w:t>2018</w:t>
      </w:r>
      <w:r>
        <w:rPr/>
        <w:t>年經檢討後，這宗個案被判斷與肺塵病有關。其他的個案我不想在會議上討論，特別是自殺的個案。</w:t>
      </w:r>
    </w:p>
    <w:p>
      <w:pPr>
        <w:pStyle w:val="F21"/>
        <w:overflowPunct w:val="true"/>
        <w:spacing w:lineRule="atLeast" w:line="370"/>
        <w:rPr/>
      </w:pPr>
      <w:r>
        <w:rPr/>
      </w:r>
    </w:p>
    <w:p>
      <w:pPr>
        <w:pStyle w:val="F21"/>
        <w:overflowPunct w:val="true"/>
        <w:spacing w:lineRule="atLeast" w:line="370"/>
        <w:rPr/>
      </w:pPr>
      <w:r>
        <w:rPr/>
        <w:tab/>
      </w:r>
      <w:r>
        <w:rPr/>
        <w:t>我懇請議員支持通過這</w:t>
      </w:r>
      <w:r>
        <w:rPr/>
        <w:t>3</w:t>
      </w:r>
      <w:r>
        <w:rPr/>
        <w:t>項決議案，讓工傷僱員、職業病患者，以及因工傷或職業病死亡的僱員及其家屬能夠盡早得到更好的保障。多謝主席。</w:t>
      </w:r>
    </w:p>
    <w:p>
      <w:pPr>
        <w:pStyle w:val="F21"/>
        <w:overflowPunct w:val="true"/>
        <w:spacing w:lineRule="atLeast" w:line="370"/>
        <w:rPr/>
      </w:pPr>
      <w:r>
        <w:rPr/>
      </w:r>
    </w:p>
    <w:p>
      <w:pPr>
        <w:pStyle w:val="F21"/>
        <w:overflowPunct w:val="true"/>
        <w:spacing w:lineRule="atLeast" w:line="370"/>
        <w:rPr/>
      </w:pPr>
      <w:r>
        <w:rPr/>
      </w:r>
    </w:p>
    <w:p>
      <w:pPr>
        <w:pStyle w:val="F21"/>
        <w:overflowPunct w:val="true"/>
        <w:spacing w:lineRule="atLeast" w:line="370"/>
        <w:rPr/>
      </w:pPr>
      <w:r>
        <w:rPr>
          <w:rFonts w:ascii="華康中黑體" w:hAnsi="華康中黑體" w:eastAsia="華康中黑體"/>
          <w:b/>
        </w:rPr>
        <w:t>主席</w:t>
      </w:r>
      <w:r>
        <w:rPr/>
        <w:t>：我現在向各位提出的待決議題是：勞工及福利局局長動議的第一項議案，予以通過。贊成的請舉手。</w:t>
      </w:r>
    </w:p>
    <w:p>
      <w:pPr>
        <w:pStyle w:val="F21"/>
        <w:overflowPunct w:val="true"/>
        <w:spacing w:lineRule="atLeast" w:line="370"/>
        <w:rPr/>
      </w:pPr>
      <w:r>
        <w:rPr/>
      </w:r>
    </w:p>
    <w:p>
      <w:pPr>
        <w:pStyle w:val="F21"/>
        <w:overflowPunct w:val="true"/>
        <w:spacing w:lineRule="atLeast" w:line="370"/>
        <w:rPr/>
      </w:pPr>
      <w:r>
        <w:rPr/>
        <w:t>(</w:t>
      </w:r>
      <w:r>
        <w:rPr/>
        <w:t>議員舉手</w:t>
      </w:r>
      <w:r>
        <w:rPr/>
        <w:t>)</w:t>
      </w:r>
    </w:p>
    <w:p>
      <w:pPr>
        <w:pStyle w:val="F21"/>
        <w:overflowPunct w:val="true"/>
        <w:spacing w:lineRule="atLeast" w:line="370"/>
        <w:rPr/>
      </w:pPr>
      <w:r>
        <w:rPr/>
      </w:r>
    </w:p>
    <w:p>
      <w:pPr>
        <w:pStyle w:val="F21"/>
        <w:overflowPunct w:val="true"/>
        <w:spacing w:lineRule="atLeast" w:line="370"/>
        <w:rPr/>
      </w:pPr>
      <w:r>
        <w:rPr/>
      </w:r>
    </w:p>
    <w:p>
      <w:pPr>
        <w:pStyle w:val="F21"/>
        <w:overflowPunct w:val="true"/>
        <w:spacing w:lineRule="atLeast" w:line="370"/>
        <w:rPr/>
      </w:pPr>
      <w:r>
        <w:rPr>
          <w:rFonts w:ascii="華康中黑體" w:hAnsi="華康中黑體" w:eastAsia="華康中黑體"/>
          <w:b/>
        </w:rPr>
        <w:t>主席</w:t>
      </w:r>
      <w:r>
        <w:rPr/>
        <w:t>：反對的請舉手。</w:t>
      </w:r>
    </w:p>
    <w:p>
      <w:pPr>
        <w:pStyle w:val="F21"/>
        <w:overflowPunct w:val="true"/>
        <w:spacing w:lineRule="atLeast" w:line="370"/>
        <w:rPr/>
      </w:pPr>
      <w:r>
        <w:rPr/>
      </w:r>
    </w:p>
    <w:p>
      <w:pPr>
        <w:pStyle w:val="F21"/>
        <w:overflowPunct w:val="true"/>
        <w:spacing w:lineRule="atLeast" w:line="370"/>
        <w:rPr/>
      </w:pPr>
      <w:r>
        <w:rPr/>
        <w:t>(</w:t>
      </w:r>
      <w:r>
        <w:rPr/>
        <w:t>沒有議員舉手</w:t>
      </w:r>
      <w:r>
        <w:rPr/>
        <w:t>)</w:t>
      </w:r>
    </w:p>
    <w:p>
      <w:pPr>
        <w:pStyle w:val="F21"/>
        <w:overflowPunct w:val="true"/>
        <w:spacing w:lineRule="atLeast" w:line="370"/>
        <w:rPr/>
      </w:pPr>
      <w:r>
        <w:rPr/>
      </w:r>
    </w:p>
    <w:p>
      <w:pPr>
        <w:pStyle w:val="F21"/>
        <w:overflowPunct w:val="true"/>
        <w:spacing w:lineRule="atLeast" w:line="370"/>
        <w:rPr/>
      </w:pPr>
      <w:r>
        <w:rPr/>
      </w:r>
    </w:p>
    <w:p>
      <w:pPr>
        <w:pStyle w:val="F21"/>
        <w:overflowPunct w:val="true"/>
        <w:spacing w:lineRule="atLeast" w:line="370"/>
        <w:rPr/>
      </w:pPr>
      <w:r>
        <w:rPr>
          <w:rFonts w:ascii="華康中黑體" w:hAnsi="華康中黑體" w:eastAsia="華康中黑體"/>
          <w:b/>
        </w:rPr>
        <w:t>主席</w:t>
      </w:r>
      <w:r>
        <w:rPr/>
        <w:t>：我認為議題獲得在席議員以過半數贊成。我宣布議案獲得通過。</w:t>
      </w:r>
    </w:p>
    <w:p>
      <w:pPr>
        <w:pStyle w:val="Normal"/>
        <w:widowControl/>
        <w:tabs>
          <w:tab w:val="clear" w:pos="720"/>
        </w:tabs>
        <w:snapToGrid w:val="true"/>
        <w:spacing w:lineRule="auto" w:line="276" w:before="0" w:after="200"/>
        <w:jc w:val="left"/>
        <w:rPr>
          <w:szCs w:val="27"/>
        </w:rPr>
      </w:pPr>
      <w:r>
        <w:rPr>
          <w:szCs w:val="27"/>
        </w:rPr>
      </w:r>
      <w:r>
        <w:br w:type="page"/>
      </w:r>
    </w:p>
    <w:p>
      <w:pPr>
        <w:pStyle w:val="F21"/>
        <w:overflowPunct w:val="true"/>
        <w:spacing w:lineRule="atLeast" w:line="370"/>
        <w:rPr>
          <w:szCs w:val="27"/>
        </w:rPr>
      </w:pPr>
      <w:r>
        <w:rPr>
          <w:rFonts w:ascii="華康中黑體" w:hAnsi="華康中黑體" w:eastAsia="華康中黑體"/>
          <w:b/>
        </w:rPr>
        <w:t>主席</w:t>
      </w:r>
      <w:r>
        <w:rPr>
          <w:szCs w:val="27"/>
        </w:rPr>
        <w:t>：局長，請動議你的第二項議案。</w:t>
      </w:r>
    </w:p>
    <w:p>
      <w:pPr>
        <w:pStyle w:val="F21"/>
        <w:overflowPunct w:val="true"/>
        <w:spacing w:lineRule="atLeast" w:line="370"/>
        <w:rPr>
          <w:szCs w:val="27"/>
        </w:rPr>
      </w:pPr>
      <w:r>
        <w:rPr>
          <w:szCs w:val="27"/>
        </w:rPr>
      </w:r>
    </w:p>
    <w:p>
      <w:pPr>
        <w:pStyle w:val="F21"/>
        <w:overflowPunct w:val="true"/>
        <w:spacing w:lineRule="atLeast" w:line="370"/>
        <w:rPr>
          <w:szCs w:val="27"/>
        </w:rPr>
      </w:pPr>
      <w:r>
        <w:rPr>
          <w:szCs w:val="27"/>
        </w:rPr>
      </w:r>
    </w:p>
    <w:p>
      <w:pPr>
        <w:pStyle w:val="F21"/>
        <w:overflowPunct w:val="true"/>
        <w:rPr>
          <w:rFonts w:eastAsia="華康中黑體" w:cs="Times New Roman"/>
          <w:b/>
          <w:b/>
        </w:rPr>
      </w:pPr>
      <w:bookmarkStart w:id="71" w:name="mot02"/>
      <w:r>
        <w:rPr>
          <w:rFonts w:cs="Times New Roman" w:eastAsia="華康中黑體"/>
          <w:b/>
        </w:rPr>
        <w:t>根據《肺塵埃沉着病及間皮瘤</w:t>
      </w:r>
      <w:r>
        <w:rPr>
          <w:rFonts w:eastAsia="華康中黑體" w:cs="Times New Roman"/>
          <w:b/>
        </w:rPr>
        <w:t>(</w:t>
      </w:r>
      <w:r>
        <w:rPr>
          <w:rFonts w:cs="Times New Roman" w:eastAsia="華康中黑體"/>
          <w:b/>
        </w:rPr>
        <w:t>補償</w:t>
      </w:r>
      <w:r>
        <w:rPr>
          <w:rFonts w:eastAsia="華康中黑體" w:cs="Times New Roman"/>
          <w:b/>
        </w:rPr>
        <w:t>)</w:t>
      </w:r>
      <w:r>
        <w:rPr>
          <w:rFonts w:cs="Times New Roman" w:eastAsia="華康中黑體"/>
          <w:b/>
        </w:rPr>
        <w:t>條例》動議的擬議決議案</w:t>
      </w:r>
    </w:p>
    <w:p>
      <w:pPr>
        <w:pStyle w:val="Normal"/>
        <w:overflowPunct w:val="true"/>
        <w:rPr>
          <w:b/>
          <w:b/>
        </w:rPr>
      </w:pPr>
      <w:bookmarkStart w:id="72" w:name="mot02"/>
      <w:r>
        <w:rPr>
          <w:b/>
          <w:caps/>
        </w:rPr>
        <w:t>Proposed resolution under the Pneumoconiosis and Mesothelioma (Compensation) Ordinance</w:t>
      </w:r>
      <w:bookmarkEnd w:id="72"/>
    </w:p>
    <w:p>
      <w:pPr>
        <w:pStyle w:val="F21"/>
        <w:overflowPunct w:val="true"/>
        <w:spacing w:lineRule="atLeast" w:line="370"/>
        <w:rPr>
          <w:szCs w:val="27"/>
          <w:lang w:val="en-GB"/>
        </w:rPr>
      </w:pPr>
      <w:r>
        <w:rPr>
          <w:szCs w:val="27"/>
          <w:lang w:val="en-GB"/>
        </w:rPr>
      </w:r>
    </w:p>
    <w:p>
      <w:pPr>
        <w:pStyle w:val="F21"/>
        <w:overflowPunct w:val="true"/>
        <w:spacing w:lineRule="atLeast" w:line="370"/>
        <w:rPr>
          <w:szCs w:val="27"/>
        </w:rPr>
      </w:pPr>
      <w:r>
        <w:rPr>
          <w:rFonts w:ascii="華康中黑體" w:hAnsi="華康中黑體" w:eastAsia="華康中黑體"/>
          <w:b/>
          <w:szCs w:val="27"/>
        </w:rPr>
        <w:t>勞工及福利局局長</w:t>
      </w:r>
      <w:r>
        <w:rPr>
          <w:szCs w:val="27"/>
        </w:rPr>
        <w:t>：主席，我動議通過印載於議程內我的第二項議案。</w:t>
      </w:r>
    </w:p>
    <w:p>
      <w:pPr>
        <w:pStyle w:val="F21"/>
        <w:overflowPunct w:val="true"/>
        <w:spacing w:lineRule="atLeast" w:line="370"/>
        <w:rPr>
          <w:szCs w:val="27"/>
        </w:rPr>
      </w:pPr>
      <w:r>
        <w:rPr>
          <w:szCs w:val="27"/>
        </w:rPr>
      </w:r>
    </w:p>
    <w:p>
      <w:pPr>
        <w:pStyle w:val="F21"/>
        <w:spacing w:lineRule="atLeast" w:line="370"/>
        <w:rPr>
          <w:szCs w:val="27"/>
        </w:rPr>
      </w:pPr>
      <w:r>
        <w:rPr>
          <w:rFonts w:ascii="華康中黑體" w:hAnsi="華康中黑體" w:eastAsia="華康中黑體"/>
          <w:b/>
          <w:szCs w:val="27"/>
        </w:rPr>
        <w:t>勞工及福利局局長動議的議案如下</w:t>
      </w:r>
      <w:r>
        <w:rPr>
          <w:rFonts w:ascii="華康細明體" w:hAnsi="華康細明體"/>
          <w:szCs w:val="27"/>
        </w:rPr>
        <w:t>：</w:t>
      </w:r>
    </w:p>
    <w:p>
      <w:pPr>
        <w:pStyle w:val="F21"/>
        <w:spacing w:lineRule="atLeast" w:line="370"/>
        <w:rPr>
          <w:szCs w:val="27"/>
        </w:rPr>
      </w:pPr>
      <w:r>
        <w:rPr>
          <w:szCs w:val="27"/>
        </w:rPr>
      </w:r>
    </w:p>
    <w:p>
      <w:pPr>
        <w:pStyle w:val="F21"/>
        <w:spacing w:lineRule="atLeast" w:line="370"/>
        <w:ind w:left="1276" w:hanging="709"/>
        <w:rPr>
          <w:szCs w:val="27"/>
        </w:rPr>
      </w:pPr>
      <w:r>
        <w:rPr>
          <w:rFonts w:cs="Times New Roman"/>
          <w:szCs w:val="27"/>
        </w:rPr>
        <w:t>"</w:t>
      </w:r>
      <w:r>
        <w:rPr>
          <w:szCs w:val="27"/>
        </w:rPr>
        <w:t>議決自</w:t>
      </w:r>
      <w:r>
        <w:rPr>
          <w:szCs w:val="27"/>
        </w:rPr>
        <w:t>2019</w:t>
      </w:r>
      <w:r>
        <w:rPr>
          <w:szCs w:val="27"/>
        </w:rPr>
        <w:t>年</w:t>
      </w:r>
      <w:r>
        <w:rPr>
          <w:szCs w:val="27"/>
        </w:rPr>
        <w:t>4</w:t>
      </w:r>
      <w:r>
        <w:rPr>
          <w:szCs w:val="27"/>
        </w:rPr>
        <w:t>月</w:t>
      </w:r>
      <w:r>
        <w:rPr>
          <w:szCs w:val="27"/>
        </w:rPr>
        <w:t>26</w:t>
      </w:r>
      <w:r>
        <w:rPr>
          <w:szCs w:val="27"/>
        </w:rPr>
        <w:t>日起修訂《肺塵埃沉着病及間皮瘤</w:t>
      </w:r>
      <w:r>
        <w:rPr>
          <w:szCs w:val="27"/>
        </w:rPr>
        <w:t>(</w:t>
      </w:r>
      <w:r>
        <w:rPr>
          <w:szCs w:val="27"/>
        </w:rPr>
        <w:t>補償</w:t>
      </w:r>
      <w:r>
        <w:rPr>
          <w:szCs w:val="27"/>
        </w:rPr>
        <w:t>)</w:t>
      </w:r>
      <w:r>
        <w:rPr>
          <w:szCs w:val="27"/>
        </w:rPr>
        <w:t>條例》</w:t>
      </w:r>
      <w:r>
        <w:rPr>
          <w:szCs w:val="27"/>
        </w:rPr>
        <w:t>(</w:t>
      </w:r>
      <w:r>
        <w:rPr>
          <w:szCs w:val="27"/>
        </w:rPr>
        <w:t>第</w:t>
      </w:r>
      <w:r>
        <w:rPr>
          <w:szCs w:val="27"/>
        </w:rPr>
        <w:t>360</w:t>
      </w:r>
      <w:r>
        <w:rPr>
          <w:szCs w:val="27"/>
        </w:rPr>
        <w:t>章</w:t>
      </w:r>
      <w:r>
        <w:rPr>
          <w:szCs w:val="27"/>
        </w:rPr>
        <w:t>)</w:t>
      </w:r>
      <w:r>
        <w:rPr>
          <w:szCs w:val="27"/>
        </w:rPr>
        <w:t>，修訂方式列於附表。</w:t>
      </w:r>
    </w:p>
    <w:p>
      <w:pPr>
        <w:pStyle w:val="F21"/>
        <w:spacing w:lineRule="atLeast" w:line="370"/>
        <w:rPr>
          <w:szCs w:val="27"/>
        </w:rPr>
      </w:pPr>
      <w:r>
        <w:rPr>
          <w:szCs w:val="27"/>
        </w:rPr>
      </w:r>
    </w:p>
    <w:p>
      <w:pPr>
        <w:pStyle w:val="F21"/>
        <w:spacing w:lineRule="atLeast" w:line="370"/>
        <w:ind w:left="1276" w:hanging="0"/>
        <w:jc w:val="center"/>
        <w:rPr>
          <w:rFonts w:eastAsia="華康中黑體" w:cs="Times New Roman"/>
          <w:b/>
          <w:b/>
          <w:szCs w:val="27"/>
        </w:rPr>
      </w:pPr>
      <w:r>
        <w:rPr>
          <w:rFonts w:cs="Times New Roman" w:eastAsia="華康中黑體"/>
          <w:b/>
          <w:szCs w:val="27"/>
        </w:rPr>
        <w:t>附表</w:t>
      </w:r>
    </w:p>
    <w:p>
      <w:pPr>
        <w:pStyle w:val="F21"/>
        <w:spacing w:lineRule="atLeast" w:line="370"/>
        <w:ind w:left="1276" w:hanging="0"/>
        <w:jc w:val="center"/>
        <w:rPr>
          <w:rFonts w:eastAsia="華康中黑體" w:cs="Times New Roman"/>
          <w:b/>
          <w:b/>
          <w:szCs w:val="27"/>
        </w:rPr>
      </w:pPr>
      <w:r>
        <w:rPr>
          <w:rFonts w:eastAsia="華康中黑體" w:cs="Times New Roman"/>
          <w:b/>
          <w:szCs w:val="27"/>
        </w:rPr>
      </w:r>
    </w:p>
    <w:p>
      <w:pPr>
        <w:pStyle w:val="F21"/>
        <w:spacing w:lineRule="atLeast" w:line="370"/>
        <w:ind w:left="1276" w:hanging="0"/>
        <w:jc w:val="center"/>
        <w:rPr>
          <w:rFonts w:eastAsia="華康中黑體" w:cs="Times New Roman"/>
          <w:b/>
          <w:b/>
          <w:szCs w:val="27"/>
        </w:rPr>
      </w:pPr>
      <w:r>
        <w:rPr>
          <w:rFonts w:cs="Times New Roman" w:eastAsia="華康中黑體"/>
          <w:b/>
          <w:szCs w:val="27"/>
        </w:rPr>
        <w:t>修訂《肺塵埃沉着病及間皮瘤</w:t>
      </w:r>
      <w:r>
        <w:rPr>
          <w:rFonts w:eastAsia="華康中黑體" w:cs="Times New Roman"/>
          <w:b/>
          <w:szCs w:val="27"/>
        </w:rPr>
        <w:t>(</w:t>
      </w:r>
      <w:r>
        <w:rPr>
          <w:rFonts w:cs="Times New Roman" w:eastAsia="華康中黑體"/>
          <w:b/>
          <w:szCs w:val="27"/>
        </w:rPr>
        <w:t>補償</w:t>
      </w:r>
      <w:r>
        <w:rPr>
          <w:rFonts w:eastAsia="華康中黑體" w:cs="Times New Roman"/>
          <w:b/>
          <w:szCs w:val="27"/>
        </w:rPr>
        <w:t>)</w:t>
      </w:r>
      <w:r>
        <w:rPr>
          <w:rFonts w:cs="Times New Roman" w:eastAsia="華康中黑體"/>
          <w:b/>
          <w:szCs w:val="27"/>
        </w:rPr>
        <w:t>條例》</w:t>
      </w:r>
    </w:p>
    <w:p>
      <w:pPr>
        <w:pStyle w:val="F21"/>
        <w:spacing w:lineRule="atLeast" w:line="370"/>
        <w:rPr>
          <w:szCs w:val="27"/>
        </w:rPr>
      </w:pPr>
      <w:r>
        <w:rPr>
          <w:szCs w:val="27"/>
        </w:rPr>
      </w:r>
    </w:p>
    <w:p>
      <w:pPr>
        <w:pStyle w:val="F21"/>
        <w:spacing w:lineRule="atLeast" w:line="370"/>
        <w:ind w:left="1843" w:hanging="567"/>
        <w:rPr>
          <w:rFonts w:eastAsia="華康中黑體" w:cs="Times New Roman"/>
          <w:b/>
          <w:b/>
          <w:szCs w:val="27"/>
        </w:rPr>
      </w:pPr>
      <w:r>
        <w:rPr>
          <w:rFonts w:eastAsia="華康中黑體" w:cs="Times New Roman"/>
          <w:b/>
          <w:szCs w:val="27"/>
        </w:rPr>
        <w:t>1.</w:t>
        <w:tab/>
      </w:r>
      <w:r>
        <w:rPr>
          <w:rFonts w:cs="Times New Roman" w:eastAsia="華康中黑體"/>
          <w:b/>
          <w:szCs w:val="27"/>
        </w:rPr>
        <w:t>修訂附表</w:t>
      </w:r>
      <w:r>
        <w:rPr>
          <w:rFonts w:eastAsia="華康中黑體" w:cs="Times New Roman"/>
          <w:b/>
          <w:szCs w:val="27"/>
        </w:rPr>
        <w:t>1(</w:t>
      </w:r>
      <w:r>
        <w:rPr>
          <w:rFonts w:cs="Times New Roman" w:eastAsia="華康中黑體"/>
          <w:b/>
          <w:szCs w:val="27"/>
        </w:rPr>
        <w:t>補償款額</w:t>
      </w:r>
      <w:r>
        <w:rPr>
          <w:rFonts w:eastAsia="華康中黑體" w:cs="Times New Roman"/>
          <w:b/>
          <w:szCs w:val="27"/>
        </w:rPr>
        <w:t>)</w:t>
      </w:r>
    </w:p>
    <w:p>
      <w:pPr>
        <w:pStyle w:val="F21"/>
        <w:spacing w:lineRule="atLeast" w:line="370"/>
        <w:ind w:left="2410" w:hanging="567"/>
        <w:rPr>
          <w:szCs w:val="27"/>
        </w:rPr>
      </w:pPr>
      <w:r>
        <w:rPr>
          <w:szCs w:val="27"/>
        </w:rPr>
        <w:t>(1)</w:t>
        <w:tab/>
      </w:r>
      <w:r>
        <w:rPr>
          <w:szCs w:val="27"/>
        </w:rPr>
        <w:t>附表</w:t>
      </w:r>
      <w:r>
        <w:rPr>
          <w:szCs w:val="27"/>
        </w:rPr>
        <w:t>1</w:t>
      </w:r>
      <w:r>
        <w:rPr>
          <w:szCs w:val="27"/>
        </w:rPr>
        <w:t>，第</w:t>
      </w:r>
      <w:r>
        <w:rPr>
          <w:szCs w:val="27"/>
        </w:rPr>
        <w:t>IIA</w:t>
      </w:r>
      <w:r>
        <w:rPr>
          <w:szCs w:val="27"/>
        </w:rPr>
        <w:t>部</w:t>
      </w:r>
      <w:r>
        <w:rPr>
          <w:rFonts w:ascii="Symbol" w:hAnsi="Symbol" w:cs="Symbol" w:eastAsia="Symbol"/>
        </w:rPr>
        <w:t></w:t>
      </w:r>
    </w:p>
    <w:p>
      <w:pPr>
        <w:pStyle w:val="F21"/>
        <w:spacing w:lineRule="atLeast" w:line="370"/>
        <w:ind w:left="2977" w:hanging="567"/>
        <w:rPr>
          <w:szCs w:val="27"/>
        </w:rPr>
      </w:pPr>
      <w:r>
        <w:rPr>
          <w:rFonts w:eastAsia="華康中黑體"/>
          <w:b/>
          <w:szCs w:val="27"/>
        </w:rPr>
        <w:t>廢除</w:t>
      </w:r>
    </w:p>
    <w:p>
      <w:pPr>
        <w:pStyle w:val="F21"/>
        <w:spacing w:lineRule="atLeast" w:line="370"/>
        <w:ind w:left="2977" w:hanging="567"/>
        <w:rPr>
          <w:szCs w:val="27"/>
        </w:rPr>
      </w:pPr>
      <w:r>
        <w:rPr>
          <w:rFonts w:cs="Times New Roman"/>
          <w:szCs w:val="27"/>
        </w:rPr>
        <w:t>"</w:t>
      </w:r>
      <w:r>
        <w:rPr>
          <w:szCs w:val="27"/>
        </w:rPr>
        <w:t>$5,110"</w:t>
      </w:r>
    </w:p>
    <w:p>
      <w:pPr>
        <w:pStyle w:val="F21"/>
        <w:spacing w:lineRule="atLeast" w:line="370"/>
        <w:ind w:left="2977" w:hanging="567"/>
        <w:rPr>
          <w:szCs w:val="27"/>
        </w:rPr>
      </w:pPr>
      <w:r>
        <w:rPr>
          <w:rFonts w:eastAsia="華康中黑體"/>
          <w:b/>
          <w:szCs w:val="27"/>
        </w:rPr>
        <w:t>代以</w:t>
      </w:r>
    </w:p>
    <w:p>
      <w:pPr>
        <w:pStyle w:val="F21"/>
        <w:spacing w:lineRule="atLeast" w:line="370"/>
        <w:ind w:left="2977" w:hanging="567"/>
        <w:rPr>
          <w:szCs w:val="27"/>
        </w:rPr>
      </w:pPr>
      <w:r>
        <w:rPr>
          <w:rFonts w:cs="Times New Roman"/>
          <w:szCs w:val="27"/>
        </w:rPr>
        <w:t>"</w:t>
      </w:r>
      <w:r>
        <w:rPr>
          <w:szCs w:val="27"/>
        </w:rPr>
        <w:t>$5,330"</w:t>
      </w:r>
      <w:r>
        <w:rPr>
          <w:szCs w:val="27"/>
        </w:rPr>
        <w:t>。</w:t>
      </w:r>
    </w:p>
    <w:p>
      <w:pPr>
        <w:pStyle w:val="F21"/>
        <w:spacing w:lineRule="atLeast" w:line="370"/>
        <w:ind w:left="2410" w:hanging="567"/>
        <w:rPr>
          <w:szCs w:val="27"/>
        </w:rPr>
      </w:pPr>
      <w:r>
        <w:rPr>
          <w:szCs w:val="27"/>
        </w:rPr>
        <w:t>(2)</w:t>
        <w:tab/>
      </w:r>
      <w:r>
        <w:rPr>
          <w:szCs w:val="27"/>
        </w:rPr>
        <w:t>附表</w:t>
      </w:r>
      <w:r>
        <w:rPr>
          <w:szCs w:val="27"/>
        </w:rPr>
        <w:t>1</w:t>
      </w:r>
      <w:r>
        <w:rPr>
          <w:szCs w:val="27"/>
        </w:rPr>
        <w:t>，第</w:t>
      </w:r>
      <w:r>
        <w:rPr>
          <w:szCs w:val="27"/>
        </w:rPr>
        <w:t>IV</w:t>
      </w:r>
      <w:r>
        <w:rPr>
          <w:szCs w:val="27"/>
        </w:rPr>
        <w:t>部</w:t>
      </w:r>
      <w:r>
        <w:rPr>
          <w:rFonts w:ascii="Symbol" w:hAnsi="Symbol" w:cs="Symbol" w:eastAsia="Symbol"/>
        </w:rPr>
        <w:t></w:t>
      </w:r>
    </w:p>
    <w:p>
      <w:pPr>
        <w:pStyle w:val="F21"/>
        <w:spacing w:lineRule="atLeast" w:line="370"/>
        <w:ind w:left="2977" w:hanging="567"/>
        <w:rPr>
          <w:szCs w:val="27"/>
        </w:rPr>
      </w:pPr>
      <w:r>
        <w:rPr>
          <w:rFonts w:eastAsia="華康中黑體"/>
          <w:b/>
          <w:szCs w:val="27"/>
        </w:rPr>
        <w:t>廢除</w:t>
      </w:r>
    </w:p>
    <w:p>
      <w:pPr>
        <w:pStyle w:val="F21"/>
        <w:spacing w:lineRule="atLeast" w:line="370"/>
        <w:ind w:left="2977" w:hanging="567"/>
        <w:rPr>
          <w:szCs w:val="27"/>
        </w:rPr>
      </w:pPr>
      <w:r>
        <w:rPr>
          <w:rFonts w:cs="Times New Roman"/>
          <w:szCs w:val="27"/>
        </w:rPr>
        <w:t>"</w:t>
      </w:r>
      <w:r>
        <w:rPr>
          <w:szCs w:val="27"/>
        </w:rPr>
        <w:t>$5,210"</w:t>
      </w:r>
    </w:p>
    <w:p>
      <w:pPr>
        <w:pStyle w:val="F21"/>
        <w:spacing w:lineRule="atLeast" w:line="370"/>
        <w:ind w:left="2977" w:hanging="567"/>
        <w:rPr>
          <w:szCs w:val="27"/>
        </w:rPr>
      </w:pPr>
      <w:r>
        <w:rPr>
          <w:rFonts w:eastAsia="華康中黑體"/>
          <w:b/>
          <w:szCs w:val="27"/>
        </w:rPr>
        <w:t>代以</w:t>
      </w:r>
    </w:p>
    <w:p>
      <w:pPr>
        <w:pStyle w:val="F21"/>
        <w:spacing w:lineRule="atLeast" w:line="370"/>
        <w:ind w:left="2977" w:hanging="567"/>
        <w:rPr>
          <w:szCs w:val="27"/>
        </w:rPr>
      </w:pPr>
      <w:r>
        <w:rPr>
          <w:rFonts w:cs="Times New Roman"/>
          <w:szCs w:val="27"/>
        </w:rPr>
        <w:t>"</w:t>
      </w:r>
      <w:r>
        <w:rPr>
          <w:szCs w:val="27"/>
        </w:rPr>
        <w:t>$5,600"</w:t>
      </w:r>
      <w:r>
        <w:rPr>
          <w:szCs w:val="27"/>
        </w:rPr>
        <w:t>。</w:t>
      </w:r>
    </w:p>
    <w:p>
      <w:pPr>
        <w:pStyle w:val="F21"/>
        <w:spacing w:lineRule="atLeast" w:line="370"/>
        <w:ind w:left="2410" w:hanging="567"/>
        <w:rPr>
          <w:szCs w:val="27"/>
        </w:rPr>
      </w:pPr>
      <w:r>
        <w:rPr>
          <w:szCs w:val="27"/>
        </w:rPr>
        <w:t>(3)</w:t>
        <w:tab/>
      </w:r>
      <w:r>
        <w:rPr>
          <w:szCs w:val="27"/>
        </w:rPr>
        <w:t>附表</w:t>
      </w:r>
      <w:r>
        <w:rPr>
          <w:szCs w:val="27"/>
        </w:rPr>
        <w:t>1</w:t>
      </w:r>
      <w:r>
        <w:rPr>
          <w:szCs w:val="27"/>
        </w:rPr>
        <w:t>，第</w:t>
      </w:r>
      <w:r>
        <w:rPr>
          <w:szCs w:val="27"/>
        </w:rPr>
        <w:t>V</w:t>
      </w:r>
      <w:r>
        <w:rPr>
          <w:szCs w:val="27"/>
        </w:rPr>
        <w:t>部</w:t>
      </w:r>
      <w:r>
        <w:rPr>
          <w:rFonts w:ascii="Symbol" w:hAnsi="Symbol" w:cs="Symbol" w:eastAsia="Symbol"/>
        </w:rPr>
        <w:t></w:t>
      </w:r>
    </w:p>
    <w:p>
      <w:pPr>
        <w:pStyle w:val="F21"/>
        <w:spacing w:lineRule="atLeast" w:line="370"/>
        <w:ind w:left="2977" w:hanging="567"/>
        <w:rPr>
          <w:szCs w:val="27"/>
        </w:rPr>
      </w:pPr>
      <w:r>
        <w:rPr>
          <w:rFonts w:eastAsia="華康中黑體"/>
          <w:b/>
          <w:szCs w:val="27"/>
        </w:rPr>
        <w:t>廢除</w:t>
      </w:r>
    </w:p>
    <w:p>
      <w:pPr>
        <w:pStyle w:val="F21"/>
        <w:spacing w:lineRule="atLeast" w:line="370"/>
        <w:ind w:left="2977" w:hanging="567"/>
        <w:rPr>
          <w:szCs w:val="27"/>
        </w:rPr>
      </w:pPr>
      <w:r>
        <w:rPr>
          <w:rFonts w:cs="Times New Roman"/>
          <w:szCs w:val="27"/>
        </w:rPr>
        <w:t>"</w:t>
      </w:r>
      <w:r>
        <w:rPr>
          <w:szCs w:val="27"/>
        </w:rPr>
        <w:t>$121,230"</w:t>
      </w:r>
    </w:p>
    <w:p>
      <w:pPr>
        <w:pStyle w:val="F21"/>
        <w:spacing w:lineRule="atLeast" w:line="370"/>
        <w:ind w:left="2977" w:hanging="567"/>
        <w:rPr>
          <w:szCs w:val="27"/>
        </w:rPr>
      </w:pPr>
      <w:r>
        <w:rPr>
          <w:rFonts w:eastAsia="華康中黑體"/>
          <w:b/>
          <w:szCs w:val="27"/>
        </w:rPr>
        <w:t>代以</w:t>
      </w:r>
    </w:p>
    <w:p>
      <w:pPr>
        <w:pStyle w:val="F21"/>
        <w:spacing w:lineRule="atLeast" w:line="370"/>
        <w:ind w:left="2977" w:hanging="567"/>
        <w:rPr>
          <w:szCs w:val="27"/>
        </w:rPr>
      </w:pPr>
      <w:r>
        <w:rPr>
          <w:rFonts w:cs="Times New Roman"/>
          <w:szCs w:val="27"/>
        </w:rPr>
        <w:t>"</w:t>
      </w:r>
      <w:r>
        <w:rPr>
          <w:szCs w:val="27"/>
        </w:rPr>
        <w:t>$220,000"</w:t>
      </w:r>
      <w:r>
        <w:rPr>
          <w:szCs w:val="27"/>
        </w:rPr>
        <w:t>。</w:t>
      </w:r>
    </w:p>
    <w:p>
      <w:pPr>
        <w:pStyle w:val="F21"/>
        <w:spacing w:lineRule="atLeast" w:line="370"/>
        <w:ind w:left="2410" w:hanging="567"/>
        <w:rPr>
          <w:szCs w:val="27"/>
        </w:rPr>
      </w:pPr>
      <w:r>
        <w:rPr>
          <w:szCs w:val="27"/>
        </w:rPr>
        <w:t>(4)</w:t>
        <w:tab/>
      </w:r>
      <w:r>
        <w:rPr>
          <w:szCs w:val="27"/>
        </w:rPr>
        <w:t>附表</w:t>
      </w:r>
      <w:r>
        <w:rPr>
          <w:szCs w:val="27"/>
        </w:rPr>
        <w:t>1</w:t>
      </w:r>
      <w:r>
        <w:rPr>
          <w:szCs w:val="27"/>
        </w:rPr>
        <w:t>，第</w:t>
      </w:r>
      <w:r>
        <w:rPr>
          <w:szCs w:val="27"/>
        </w:rPr>
        <w:t>VI</w:t>
      </w:r>
      <w:r>
        <w:rPr>
          <w:szCs w:val="27"/>
        </w:rPr>
        <w:t>部</w:t>
      </w:r>
      <w:r>
        <w:rPr>
          <w:rFonts w:ascii="Symbol" w:hAnsi="Symbol" w:cs="Symbol" w:eastAsia="Symbol"/>
        </w:rPr>
        <w:t></w:t>
      </w:r>
    </w:p>
    <w:p>
      <w:pPr>
        <w:pStyle w:val="F21"/>
        <w:spacing w:lineRule="atLeast" w:line="370"/>
        <w:ind w:left="2977" w:hanging="567"/>
        <w:rPr>
          <w:szCs w:val="27"/>
        </w:rPr>
      </w:pPr>
      <w:r>
        <w:rPr>
          <w:rFonts w:eastAsia="華康中黑體"/>
          <w:b/>
          <w:szCs w:val="27"/>
        </w:rPr>
        <w:t>廢除</w:t>
      </w:r>
    </w:p>
    <w:p>
      <w:pPr>
        <w:pStyle w:val="F21"/>
        <w:spacing w:lineRule="atLeast" w:line="370"/>
        <w:ind w:left="2977" w:hanging="567"/>
        <w:rPr>
          <w:rFonts w:cs="Times New Roman"/>
          <w:szCs w:val="27"/>
        </w:rPr>
      </w:pPr>
      <w:r>
        <w:rPr>
          <w:rFonts w:cs="Times New Roman"/>
          <w:szCs w:val="27"/>
        </w:rPr>
        <w:t>"</w:t>
      </w:r>
      <w:r>
        <w:rPr>
          <w:szCs w:val="27"/>
        </w:rPr>
        <w:t>$83,700</w:t>
      </w:r>
      <w:r>
        <w:rPr>
          <w:rFonts w:cs="Times New Roman"/>
          <w:szCs w:val="27"/>
        </w:rPr>
        <w:t>"</w:t>
      </w:r>
      <w:r>
        <w:br w:type="page"/>
      </w:r>
    </w:p>
    <w:p>
      <w:pPr>
        <w:pStyle w:val="F21"/>
        <w:spacing w:lineRule="atLeast" w:line="370"/>
        <w:ind w:left="2977" w:hanging="567"/>
        <w:rPr>
          <w:szCs w:val="27"/>
        </w:rPr>
      </w:pPr>
      <w:r>
        <w:rPr>
          <w:rFonts w:eastAsia="華康中黑體"/>
          <w:b/>
          <w:szCs w:val="27"/>
        </w:rPr>
        <w:t>代以</w:t>
      </w:r>
    </w:p>
    <w:p>
      <w:pPr>
        <w:pStyle w:val="F21"/>
        <w:spacing w:lineRule="atLeast" w:line="370"/>
        <w:ind w:left="2977" w:hanging="567"/>
        <w:rPr>
          <w:szCs w:val="27"/>
        </w:rPr>
      </w:pPr>
      <w:r>
        <w:rPr>
          <w:rFonts w:cs="Times New Roman"/>
          <w:szCs w:val="27"/>
        </w:rPr>
        <w:t>"</w:t>
      </w:r>
      <w:r>
        <w:rPr>
          <w:szCs w:val="27"/>
        </w:rPr>
        <w:t>$87,330"</w:t>
      </w:r>
      <w:r>
        <w:rPr>
          <w:szCs w:val="27"/>
        </w:rPr>
        <w:t>。</w:t>
      </w:r>
    </w:p>
    <w:p>
      <w:pPr>
        <w:pStyle w:val="F21"/>
        <w:spacing w:lineRule="atLeast" w:line="370"/>
        <w:rPr>
          <w:szCs w:val="27"/>
        </w:rPr>
      </w:pPr>
      <w:r>
        <w:rPr>
          <w:szCs w:val="27"/>
        </w:rPr>
      </w:r>
    </w:p>
    <w:p>
      <w:pPr>
        <w:pStyle w:val="F21"/>
        <w:spacing w:lineRule="atLeast" w:line="370"/>
        <w:ind w:left="1843" w:hanging="567"/>
        <w:rPr>
          <w:rFonts w:eastAsia="華康中黑體" w:cs="Times New Roman"/>
          <w:b/>
          <w:b/>
          <w:szCs w:val="27"/>
        </w:rPr>
      </w:pPr>
      <w:r>
        <w:rPr>
          <w:rFonts w:eastAsia="華康中黑體" w:cs="Times New Roman"/>
          <w:b/>
          <w:szCs w:val="27"/>
        </w:rPr>
        <w:t>2.</w:t>
        <w:tab/>
      </w:r>
      <w:r>
        <w:rPr>
          <w:rFonts w:cs="Times New Roman" w:eastAsia="華康中黑體"/>
          <w:b/>
          <w:szCs w:val="27"/>
        </w:rPr>
        <w:t>修訂附表</w:t>
      </w:r>
      <w:r>
        <w:rPr>
          <w:rFonts w:eastAsia="華康中黑體" w:cs="Times New Roman"/>
          <w:b/>
          <w:szCs w:val="27"/>
        </w:rPr>
        <w:t>2(</w:t>
      </w:r>
      <w:r>
        <w:rPr>
          <w:rFonts w:cs="Times New Roman" w:eastAsia="華康中黑體"/>
          <w:b/>
          <w:szCs w:val="27"/>
        </w:rPr>
        <w:t>醫療費及醫療裝置費用</w:t>
      </w:r>
      <w:r>
        <w:rPr>
          <w:rFonts w:eastAsia="華康中黑體" w:cs="Times New Roman"/>
          <w:b/>
          <w:szCs w:val="27"/>
        </w:rPr>
        <w:t>)</w:t>
      </w:r>
    </w:p>
    <w:p>
      <w:pPr>
        <w:pStyle w:val="F21"/>
        <w:spacing w:lineRule="atLeast" w:line="370"/>
        <w:ind w:left="2410" w:hanging="567"/>
        <w:rPr/>
      </w:pPr>
      <w:r>
        <w:rPr>
          <w:szCs w:val="27"/>
        </w:rPr>
        <w:t>附表</w:t>
      </w:r>
      <w:r>
        <w:rPr>
          <w:szCs w:val="27"/>
        </w:rPr>
        <w:t>2</w:t>
      </w:r>
      <w:r>
        <w:rPr>
          <w:szCs w:val="27"/>
        </w:rPr>
        <w:t>，第</w:t>
      </w:r>
      <w:r>
        <w:rPr>
          <w:szCs w:val="27"/>
        </w:rPr>
        <w:t>II</w:t>
      </w:r>
      <w:r>
        <w:rPr>
          <w:szCs w:val="27"/>
        </w:rPr>
        <w:t>部，在第</w:t>
      </w:r>
      <w:r>
        <w:rPr>
          <w:szCs w:val="27"/>
        </w:rPr>
        <w:t>3</w:t>
      </w:r>
      <w:r>
        <w:rPr>
          <w:szCs w:val="27"/>
        </w:rPr>
        <w:t>項之後</w:t>
      </w:r>
      <w:r>
        <w:rPr>
          <w:rFonts w:ascii="Symbol" w:hAnsi="Symbol" w:cs="Symbol" w:eastAsia="Symbol"/>
        </w:rPr>
        <w:t></w:t>
      </w:r>
    </w:p>
    <w:p>
      <w:pPr>
        <w:pStyle w:val="F21"/>
        <w:ind w:left="2977" w:hanging="567"/>
        <w:rPr>
          <w:szCs w:val="27"/>
        </w:rPr>
      </w:pPr>
      <w:r>
        <w:rPr>
          <w:rFonts w:eastAsia="華康中黑體"/>
          <w:b/>
          <w:szCs w:val="27"/>
        </w:rPr>
        <w:t>加入</w:t>
      </w:r>
    </w:p>
    <w:p>
      <w:pPr>
        <w:pStyle w:val="F21"/>
        <w:ind w:left="2977" w:hanging="567"/>
        <w:rPr>
          <w:szCs w:val="27"/>
        </w:rPr>
      </w:pPr>
      <w:r>
        <w:rPr>
          <w:rFonts w:cs="Times New Roman"/>
          <w:szCs w:val="27"/>
        </w:rPr>
        <w:t>"</w:t>
      </w:r>
      <w:r>
        <w:rPr>
          <w:szCs w:val="27"/>
        </w:rPr>
        <w:t>4.</w:t>
        <w:tab/>
      </w:r>
      <w:r>
        <w:rPr>
          <w:szCs w:val="27"/>
        </w:rPr>
        <w:t>高低正氣壓呼吸機</w:t>
      </w:r>
      <w:r>
        <w:rPr>
          <w:szCs w:val="27"/>
        </w:rPr>
        <w:t>(</w:t>
      </w:r>
      <w:r>
        <w:rPr>
          <w:szCs w:val="27"/>
        </w:rPr>
        <w:t>及與呼吸機一併使用的放濕機</w:t>
      </w:r>
      <w:r>
        <w:rPr>
          <w:szCs w:val="27"/>
        </w:rPr>
        <w:t>)</w:t>
      </w:r>
      <w:r>
        <w:rPr>
          <w:szCs w:val="27"/>
        </w:rPr>
        <w:t>與配件。</w:t>
      </w:r>
    </w:p>
    <w:p>
      <w:pPr>
        <w:pStyle w:val="F21"/>
        <w:ind w:left="2977" w:hanging="425"/>
        <w:rPr>
          <w:szCs w:val="27"/>
        </w:rPr>
      </w:pPr>
      <w:r>
        <w:rPr>
          <w:szCs w:val="27"/>
        </w:rPr>
        <w:t>5.</w:t>
        <w:tab/>
      </w:r>
      <w:r>
        <w:rPr>
          <w:szCs w:val="27"/>
        </w:rPr>
        <w:t>抽痰機與配件。</w:t>
      </w:r>
      <w:r>
        <w:rPr>
          <w:rFonts w:cs="Times New Roman"/>
          <w:szCs w:val="27"/>
        </w:rPr>
        <w:t>"</w:t>
      </w:r>
      <w:r>
        <w:rPr>
          <w:szCs w:val="27"/>
        </w:rPr>
        <w:t>。</w:t>
      </w:r>
      <w:r>
        <w:rPr>
          <w:rFonts w:cs="Times New Roman"/>
          <w:szCs w:val="27"/>
        </w:rPr>
        <w:t>"</w:t>
      </w:r>
    </w:p>
    <w:p>
      <w:pPr>
        <w:pStyle w:val="F21"/>
        <w:overflowPunct w:val="true"/>
        <w:rPr>
          <w:szCs w:val="27"/>
        </w:rPr>
      </w:pPr>
      <w:r>
        <w:rPr>
          <w:szCs w:val="27"/>
        </w:rPr>
      </w:r>
    </w:p>
    <w:p>
      <w:pPr>
        <w:pStyle w:val="F21"/>
        <w:overflowPunct w:val="true"/>
        <w:rPr>
          <w:rFonts w:cs="Times New Roman"/>
        </w:rPr>
      </w:pPr>
      <w:r>
        <w:rPr>
          <w:rFonts w:cs="Times New Roman"/>
        </w:rPr>
      </w:r>
    </w:p>
    <w:p>
      <w:pPr>
        <w:pStyle w:val="F21"/>
        <w:overflowPunct w:val="true"/>
        <w:rPr>
          <w:rFonts w:cs="Times New Roman"/>
        </w:rPr>
      </w:pPr>
      <w:r>
        <w:rPr>
          <w:rFonts w:ascii="華康中黑體" w:hAnsi="華康中黑體" w:cs="Times New Roman" w:eastAsia="華康中黑體"/>
          <w:b/>
        </w:rPr>
        <w:t>主席</w:t>
      </w:r>
      <w:r>
        <w:rPr>
          <w:rFonts w:cs="Times New Roman"/>
        </w:rPr>
        <w:t>：我現在向各位提出的待議議題是：勞工及福利局局長動議的第二項議案，予以通過。</w:t>
      </w:r>
    </w:p>
    <w:p>
      <w:pPr>
        <w:pStyle w:val="F21"/>
        <w:overflowPunct w:val="true"/>
        <w:rPr>
          <w:rFonts w:cs="Times New Roman"/>
        </w:rPr>
      </w:pPr>
      <w:r>
        <w:rPr>
          <w:rFonts w:cs="Times New Roman"/>
        </w:rPr>
      </w:r>
    </w:p>
    <w:p>
      <w:pPr>
        <w:pStyle w:val="F21"/>
        <w:overflowPunct w:val="true"/>
        <w:rPr>
          <w:rFonts w:cs="Times New Roman"/>
        </w:rPr>
      </w:pPr>
      <w:r>
        <w:rPr>
          <w:rFonts w:cs="Times New Roman"/>
        </w:rPr>
      </w:r>
    </w:p>
    <w:p>
      <w:pPr>
        <w:pStyle w:val="F21"/>
        <w:overflowPunct w:val="true"/>
        <w:rPr>
          <w:rFonts w:cs="Times New Roman"/>
        </w:rPr>
      </w:pPr>
      <w:r>
        <w:rPr>
          <w:rFonts w:ascii="華康中黑體" w:hAnsi="華康中黑體" w:cs="Times New Roman" w:eastAsia="華康中黑體"/>
          <w:b/>
        </w:rPr>
        <w:t>主席</w:t>
      </w:r>
      <w:r>
        <w:rPr>
          <w:rFonts w:cs="Times New Roman"/>
        </w:rPr>
        <w:t>：我現在向各位提出上述待決議題。贊成的請舉手。</w:t>
      </w:r>
    </w:p>
    <w:p>
      <w:pPr>
        <w:pStyle w:val="F21"/>
        <w:overflowPunct w:val="true"/>
        <w:rPr>
          <w:rFonts w:cs="Times New Roman"/>
        </w:rPr>
      </w:pPr>
      <w:r>
        <w:rPr>
          <w:rFonts w:cs="Times New Roman"/>
        </w:rPr>
      </w:r>
    </w:p>
    <w:p>
      <w:pPr>
        <w:pStyle w:val="F21"/>
        <w:overflowPunct w:val="true"/>
        <w:rPr>
          <w:rFonts w:cs="Times New Roman"/>
        </w:rPr>
      </w:pPr>
      <w:r>
        <w:rPr>
          <w:rFonts w:cs="Times New Roman"/>
        </w:rPr>
        <w:t>(</w:t>
      </w:r>
      <w:r>
        <w:rPr>
          <w:rFonts w:cs="Times New Roman"/>
        </w:rPr>
        <w:t>議員舉手</w:t>
      </w:r>
      <w:r>
        <w:rPr>
          <w:rFonts w:cs="Times New Roman"/>
        </w:rPr>
        <w:t>)</w:t>
      </w:r>
    </w:p>
    <w:p>
      <w:pPr>
        <w:pStyle w:val="F21"/>
        <w:overflowPunct w:val="true"/>
        <w:rPr>
          <w:rFonts w:cs="Times New Roman"/>
        </w:rPr>
      </w:pPr>
      <w:r>
        <w:rPr>
          <w:rFonts w:cs="Times New Roman"/>
        </w:rPr>
      </w:r>
    </w:p>
    <w:p>
      <w:pPr>
        <w:pStyle w:val="F21"/>
        <w:overflowPunct w:val="true"/>
        <w:rPr>
          <w:rFonts w:cs="Times New Roman"/>
        </w:rPr>
      </w:pPr>
      <w:r>
        <w:rPr>
          <w:rFonts w:cs="Times New Roman"/>
        </w:rPr>
      </w:r>
    </w:p>
    <w:p>
      <w:pPr>
        <w:pStyle w:val="F21"/>
        <w:overflowPunct w:val="true"/>
        <w:rPr>
          <w:rFonts w:cs="Times New Roman"/>
        </w:rPr>
      </w:pPr>
      <w:r>
        <w:rPr>
          <w:rFonts w:ascii="華康中黑體" w:hAnsi="華康中黑體" w:cs="Times New Roman" w:eastAsia="華康中黑體"/>
          <w:b/>
        </w:rPr>
        <w:t>主席</w:t>
      </w:r>
      <w:r>
        <w:rPr>
          <w:rFonts w:cs="Times New Roman"/>
        </w:rPr>
        <w:t>：反對的請舉手。</w:t>
      </w:r>
    </w:p>
    <w:p>
      <w:pPr>
        <w:pStyle w:val="F21"/>
        <w:overflowPunct w:val="true"/>
        <w:rPr>
          <w:rFonts w:cs="Times New Roman"/>
        </w:rPr>
      </w:pPr>
      <w:r>
        <w:rPr>
          <w:rFonts w:cs="Times New Roman"/>
        </w:rPr>
      </w:r>
    </w:p>
    <w:p>
      <w:pPr>
        <w:pStyle w:val="F21"/>
        <w:overflowPunct w:val="true"/>
        <w:rPr>
          <w:rFonts w:cs="Times New Roman"/>
        </w:rPr>
      </w:pPr>
      <w:r>
        <w:rPr>
          <w:rFonts w:cs="Times New Roman"/>
        </w:rPr>
        <w:t>(</w:t>
      </w:r>
      <w:r>
        <w:rPr>
          <w:rFonts w:cs="Times New Roman"/>
        </w:rPr>
        <w:t>沒有議員舉手</w:t>
      </w:r>
      <w:r>
        <w:rPr>
          <w:rFonts w:cs="Times New Roman"/>
        </w:rPr>
        <w:t>)</w:t>
      </w:r>
    </w:p>
    <w:p>
      <w:pPr>
        <w:pStyle w:val="F21"/>
        <w:overflowPunct w:val="true"/>
        <w:rPr>
          <w:rFonts w:cs="Times New Roman"/>
        </w:rPr>
      </w:pPr>
      <w:r>
        <w:rPr>
          <w:rFonts w:cs="Times New Roman"/>
        </w:rPr>
      </w:r>
    </w:p>
    <w:p>
      <w:pPr>
        <w:pStyle w:val="F21"/>
        <w:overflowPunct w:val="true"/>
        <w:rPr>
          <w:rFonts w:cs="Times New Roman"/>
        </w:rPr>
      </w:pPr>
      <w:r>
        <w:rPr>
          <w:rFonts w:cs="Times New Roman"/>
        </w:rPr>
      </w:r>
    </w:p>
    <w:p>
      <w:pPr>
        <w:pStyle w:val="F21"/>
        <w:overflowPunct w:val="true"/>
        <w:rPr>
          <w:rFonts w:cs="Times New Roman"/>
        </w:rPr>
      </w:pPr>
      <w:r>
        <w:rPr>
          <w:rFonts w:ascii="華康中黑體" w:hAnsi="華康中黑體" w:cs="Times New Roman" w:eastAsia="華康中黑體"/>
          <w:b/>
        </w:rPr>
        <w:t>主席</w:t>
      </w:r>
      <w:r>
        <w:rPr>
          <w:rFonts w:cs="Times New Roman"/>
        </w:rPr>
        <w:t>：我認為議題獲得在席議員以過半數贊成。我宣布議案獲得通過。</w:t>
      </w:r>
    </w:p>
    <w:p>
      <w:pPr>
        <w:pStyle w:val="F21"/>
        <w:overflowPunct w:val="true"/>
        <w:rPr>
          <w:rFonts w:cs="Times New Roman"/>
        </w:rPr>
      </w:pPr>
      <w:r>
        <w:rPr>
          <w:rFonts w:cs="Times New Roman"/>
        </w:rPr>
      </w:r>
    </w:p>
    <w:p>
      <w:pPr>
        <w:pStyle w:val="F21"/>
        <w:overflowPunct w:val="true"/>
        <w:rPr>
          <w:rFonts w:cs="Times New Roman"/>
          <w:lang w:val="en-GB"/>
        </w:rPr>
      </w:pPr>
      <w:r>
        <w:rPr>
          <w:rFonts w:cs="Times New Roman"/>
          <w:lang w:val="en-GB"/>
        </w:rPr>
      </w:r>
    </w:p>
    <w:p>
      <w:pPr>
        <w:pStyle w:val="F21"/>
        <w:overflowPunct w:val="true"/>
        <w:rPr>
          <w:rFonts w:cs="Times New Roman"/>
        </w:rPr>
      </w:pPr>
      <w:r>
        <w:rPr>
          <w:rFonts w:ascii="華康中黑體" w:hAnsi="華康中黑體" w:cs="Times New Roman" w:eastAsia="華康中黑體"/>
          <w:b/>
        </w:rPr>
        <w:t>主席</w:t>
      </w:r>
      <w:r>
        <w:rPr>
          <w:rFonts w:cs="Times New Roman"/>
        </w:rPr>
        <w:t>：局長，請動議你的第三項議案。</w:t>
      </w:r>
    </w:p>
    <w:p>
      <w:pPr>
        <w:pStyle w:val="F21"/>
        <w:overflowPunct w:val="true"/>
        <w:rPr>
          <w:rFonts w:cs="Times New Roman"/>
        </w:rPr>
      </w:pPr>
      <w:r>
        <w:rPr>
          <w:rFonts w:cs="Times New Roman"/>
        </w:rPr>
      </w:r>
    </w:p>
    <w:p>
      <w:pPr>
        <w:pStyle w:val="F21"/>
        <w:overflowPunct w:val="true"/>
        <w:rPr>
          <w:rFonts w:cs="Times New Roman"/>
        </w:rPr>
      </w:pPr>
      <w:r>
        <w:rPr>
          <w:rFonts w:cs="Times New Roman"/>
        </w:rPr>
      </w:r>
    </w:p>
    <w:p>
      <w:pPr>
        <w:pStyle w:val="F21"/>
        <w:overflowPunct w:val="true"/>
        <w:rPr>
          <w:rFonts w:eastAsia="華康中黑體" w:cs="Times New Roman"/>
          <w:b/>
          <w:b/>
        </w:rPr>
      </w:pPr>
      <w:bookmarkStart w:id="73" w:name="mot03"/>
      <w:r>
        <w:rPr>
          <w:rFonts w:cs="Times New Roman" w:eastAsia="華康中黑體"/>
          <w:b/>
        </w:rPr>
        <w:t>根據《職業性失聰</w:t>
      </w:r>
      <w:r>
        <w:rPr>
          <w:rFonts w:eastAsia="華康中黑體" w:cs="Times New Roman"/>
          <w:b/>
        </w:rPr>
        <w:t>(</w:t>
      </w:r>
      <w:r>
        <w:rPr>
          <w:rFonts w:cs="Times New Roman" w:eastAsia="華康中黑體"/>
          <w:b/>
        </w:rPr>
        <w:t>補償</w:t>
      </w:r>
      <w:r>
        <w:rPr>
          <w:rFonts w:eastAsia="華康中黑體" w:cs="Times New Roman"/>
          <w:b/>
        </w:rPr>
        <w:t>)</w:t>
      </w:r>
      <w:r>
        <w:rPr>
          <w:rFonts w:cs="Times New Roman" w:eastAsia="華康中黑體"/>
          <w:b/>
        </w:rPr>
        <w:t>條例》動議的擬議決議案</w:t>
      </w:r>
    </w:p>
    <w:p>
      <w:pPr>
        <w:pStyle w:val="Normal"/>
        <w:overflowPunct w:val="true"/>
        <w:rPr>
          <w:b/>
          <w:b/>
        </w:rPr>
      </w:pPr>
      <w:bookmarkStart w:id="74" w:name="mot03"/>
      <w:r>
        <w:rPr>
          <w:b/>
          <w:caps/>
        </w:rPr>
        <w:t>Proposed resolution under the Occupational Deafness (Compensation) Ordinance</w:t>
      </w:r>
      <w:bookmarkEnd w:id="74"/>
    </w:p>
    <w:p>
      <w:pPr>
        <w:pStyle w:val="F21"/>
        <w:overflowPunct w:val="true"/>
        <w:rPr>
          <w:rFonts w:cs="Times New Roman"/>
        </w:rPr>
      </w:pPr>
      <w:r>
        <w:rPr>
          <w:rFonts w:cs="Times New Roman"/>
        </w:rPr>
      </w:r>
    </w:p>
    <w:p>
      <w:pPr>
        <w:pStyle w:val="F21"/>
        <w:overflowPunct w:val="true"/>
        <w:rPr>
          <w:rFonts w:cs="Times New Roman"/>
        </w:rPr>
      </w:pPr>
      <w:r>
        <w:rPr>
          <w:rFonts w:ascii="華康中黑體" w:hAnsi="華康中黑體" w:cs="Times New Roman" w:eastAsia="華康中黑體"/>
          <w:b/>
        </w:rPr>
        <w:t>勞工及福利局局長</w:t>
      </w:r>
      <w:r>
        <w:rPr>
          <w:rFonts w:cs="Times New Roman"/>
        </w:rPr>
        <w:t>：主席，我動議通過印載於議程內我的第三項議案。</w:t>
      </w:r>
    </w:p>
    <w:p>
      <w:pPr>
        <w:pStyle w:val="Normal"/>
        <w:widowControl/>
        <w:tabs>
          <w:tab w:val="clear" w:pos="720"/>
        </w:tabs>
        <w:snapToGrid w:val="true"/>
        <w:spacing w:lineRule="auto" w:line="276" w:before="0" w:after="200"/>
        <w:jc w:val="left"/>
        <w:rPr/>
      </w:pPr>
      <w:r>
        <w:rPr/>
      </w:r>
      <w:r>
        <w:br w:type="page"/>
      </w:r>
    </w:p>
    <w:p>
      <w:pPr>
        <w:pStyle w:val="F21"/>
        <w:spacing w:lineRule="atLeast" w:line="370"/>
        <w:rPr>
          <w:szCs w:val="27"/>
        </w:rPr>
      </w:pPr>
      <w:r>
        <w:rPr>
          <w:rFonts w:ascii="華康中黑體" w:hAnsi="華康中黑體" w:eastAsia="華康中黑體"/>
          <w:b/>
          <w:szCs w:val="27"/>
        </w:rPr>
        <w:t>勞工及福利局局長動議的議案如下</w:t>
      </w:r>
      <w:r>
        <w:rPr>
          <w:rFonts w:ascii="華康細明體" w:hAnsi="華康細明體"/>
          <w:szCs w:val="27"/>
        </w:rPr>
        <w:t>：</w:t>
      </w:r>
    </w:p>
    <w:p>
      <w:pPr>
        <w:pStyle w:val="F21"/>
        <w:spacing w:lineRule="atLeast" w:line="370"/>
        <w:rPr>
          <w:szCs w:val="27"/>
        </w:rPr>
      </w:pPr>
      <w:r>
        <w:rPr>
          <w:szCs w:val="27"/>
        </w:rPr>
      </w:r>
    </w:p>
    <w:p>
      <w:pPr>
        <w:pStyle w:val="F21"/>
        <w:spacing w:lineRule="atLeast" w:line="370"/>
        <w:ind w:left="1276" w:hanging="709"/>
        <w:rPr>
          <w:szCs w:val="27"/>
        </w:rPr>
      </w:pPr>
      <w:r>
        <w:rPr>
          <w:rFonts w:cs="Times New Roman"/>
          <w:szCs w:val="27"/>
        </w:rPr>
        <w:t>"</w:t>
      </w:r>
      <w:r>
        <w:rPr>
          <w:szCs w:val="27"/>
        </w:rPr>
        <w:t>議決自</w:t>
      </w:r>
      <w:r>
        <w:rPr>
          <w:szCs w:val="27"/>
        </w:rPr>
        <w:t>2019</w:t>
      </w:r>
      <w:r>
        <w:rPr>
          <w:szCs w:val="27"/>
        </w:rPr>
        <w:t>年</w:t>
      </w:r>
      <w:r>
        <w:rPr>
          <w:szCs w:val="27"/>
        </w:rPr>
        <w:t>4</w:t>
      </w:r>
      <w:r>
        <w:rPr>
          <w:szCs w:val="27"/>
        </w:rPr>
        <w:t>月</w:t>
      </w:r>
      <w:r>
        <w:rPr>
          <w:szCs w:val="27"/>
        </w:rPr>
        <w:t>26</w:t>
      </w:r>
      <w:r>
        <w:rPr>
          <w:szCs w:val="27"/>
        </w:rPr>
        <w:t>日起修訂《職業性失聰</w:t>
      </w:r>
      <w:r>
        <w:rPr>
          <w:szCs w:val="27"/>
        </w:rPr>
        <w:t>(</w:t>
      </w:r>
      <w:r>
        <w:rPr>
          <w:szCs w:val="27"/>
        </w:rPr>
        <w:t>補償</w:t>
      </w:r>
      <w:r>
        <w:rPr>
          <w:szCs w:val="27"/>
        </w:rPr>
        <w:t>)</w:t>
      </w:r>
      <w:r>
        <w:rPr>
          <w:szCs w:val="27"/>
        </w:rPr>
        <w:t>條例》</w:t>
      </w:r>
      <w:r>
        <w:rPr>
          <w:szCs w:val="27"/>
        </w:rPr>
        <w:t>(</w:t>
      </w:r>
      <w:r>
        <w:rPr>
          <w:szCs w:val="27"/>
        </w:rPr>
        <w:t>第</w:t>
      </w:r>
      <w:r>
        <w:rPr>
          <w:szCs w:val="27"/>
        </w:rPr>
        <w:t>469</w:t>
      </w:r>
      <w:r>
        <w:rPr>
          <w:szCs w:val="27"/>
        </w:rPr>
        <w:t>章</w:t>
      </w:r>
      <w:r>
        <w:rPr>
          <w:szCs w:val="27"/>
        </w:rPr>
        <w:t>)</w:t>
      </w:r>
      <w:r>
        <w:rPr>
          <w:szCs w:val="27"/>
        </w:rPr>
        <w:t>，修訂方式列於附表。</w:t>
      </w:r>
    </w:p>
    <w:p>
      <w:pPr>
        <w:pStyle w:val="F21"/>
        <w:spacing w:lineRule="atLeast" w:line="370"/>
        <w:rPr>
          <w:szCs w:val="27"/>
        </w:rPr>
      </w:pPr>
      <w:r>
        <w:rPr>
          <w:szCs w:val="27"/>
        </w:rPr>
      </w:r>
    </w:p>
    <w:p>
      <w:pPr>
        <w:pStyle w:val="F21"/>
        <w:spacing w:lineRule="atLeast" w:line="370"/>
        <w:ind w:left="1276" w:hanging="0"/>
        <w:jc w:val="center"/>
        <w:rPr>
          <w:rFonts w:eastAsia="華康中黑體" w:cs="Times New Roman"/>
          <w:b/>
          <w:b/>
          <w:szCs w:val="27"/>
        </w:rPr>
      </w:pPr>
      <w:r>
        <w:rPr>
          <w:rFonts w:cs="Times New Roman" w:eastAsia="華康中黑體"/>
          <w:b/>
          <w:szCs w:val="27"/>
        </w:rPr>
        <w:t>附表</w:t>
      </w:r>
    </w:p>
    <w:p>
      <w:pPr>
        <w:pStyle w:val="F21"/>
        <w:spacing w:lineRule="atLeast" w:line="370"/>
        <w:ind w:left="1276" w:hanging="0"/>
        <w:jc w:val="center"/>
        <w:rPr>
          <w:rFonts w:eastAsia="華康中黑體" w:cs="Times New Roman"/>
          <w:b/>
          <w:b/>
          <w:szCs w:val="27"/>
        </w:rPr>
      </w:pPr>
      <w:r>
        <w:rPr>
          <w:rFonts w:eastAsia="華康中黑體" w:cs="Times New Roman"/>
          <w:b/>
          <w:szCs w:val="27"/>
        </w:rPr>
      </w:r>
    </w:p>
    <w:p>
      <w:pPr>
        <w:pStyle w:val="F21"/>
        <w:spacing w:lineRule="atLeast" w:line="370"/>
        <w:ind w:left="1276" w:hanging="0"/>
        <w:jc w:val="center"/>
        <w:rPr>
          <w:rFonts w:eastAsia="華康中黑體" w:cs="Times New Roman"/>
          <w:b/>
          <w:b/>
          <w:szCs w:val="27"/>
        </w:rPr>
      </w:pPr>
      <w:r>
        <w:rPr>
          <w:rFonts w:cs="Times New Roman" w:eastAsia="華康中黑體"/>
          <w:b/>
          <w:szCs w:val="27"/>
        </w:rPr>
        <w:t>修訂《職業性失聰</w:t>
      </w:r>
      <w:r>
        <w:rPr>
          <w:rFonts w:eastAsia="華康中黑體" w:cs="Times New Roman"/>
          <w:b/>
          <w:szCs w:val="27"/>
        </w:rPr>
        <w:t>(</w:t>
      </w:r>
      <w:r>
        <w:rPr>
          <w:rFonts w:cs="Times New Roman" w:eastAsia="華康中黑體"/>
          <w:b/>
          <w:szCs w:val="27"/>
        </w:rPr>
        <w:t>補償</w:t>
      </w:r>
      <w:r>
        <w:rPr>
          <w:rFonts w:eastAsia="華康中黑體" w:cs="Times New Roman"/>
          <w:b/>
          <w:szCs w:val="27"/>
        </w:rPr>
        <w:t>)</w:t>
      </w:r>
      <w:r>
        <w:rPr>
          <w:rFonts w:cs="Times New Roman" w:eastAsia="華康中黑體"/>
          <w:b/>
          <w:szCs w:val="27"/>
        </w:rPr>
        <w:t>條例》</w:t>
      </w:r>
    </w:p>
    <w:p>
      <w:pPr>
        <w:pStyle w:val="F21"/>
        <w:spacing w:lineRule="atLeast" w:line="370"/>
        <w:rPr>
          <w:szCs w:val="27"/>
        </w:rPr>
      </w:pPr>
      <w:r>
        <w:rPr>
          <w:szCs w:val="27"/>
        </w:rPr>
      </w:r>
    </w:p>
    <w:p>
      <w:pPr>
        <w:pStyle w:val="F21"/>
        <w:spacing w:lineRule="atLeast" w:line="370"/>
        <w:ind w:left="1843" w:hanging="567"/>
        <w:rPr>
          <w:rFonts w:eastAsia="華康中黑體" w:cs="Times New Roman"/>
          <w:b/>
          <w:b/>
          <w:szCs w:val="27"/>
        </w:rPr>
      </w:pPr>
      <w:r>
        <w:rPr>
          <w:rFonts w:eastAsia="華康中黑體" w:cs="Times New Roman"/>
          <w:b/>
          <w:szCs w:val="27"/>
        </w:rPr>
        <w:t>1.</w:t>
        <w:tab/>
      </w:r>
      <w:r>
        <w:rPr>
          <w:rFonts w:cs="Times New Roman" w:eastAsia="華康中黑體"/>
          <w:b/>
          <w:szCs w:val="27"/>
        </w:rPr>
        <w:t>修訂附表</w:t>
      </w:r>
      <w:r>
        <w:rPr>
          <w:rFonts w:eastAsia="華康中黑體" w:cs="Times New Roman"/>
          <w:b/>
          <w:szCs w:val="27"/>
        </w:rPr>
        <w:t>5(</w:t>
      </w:r>
      <w:r>
        <w:rPr>
          <w:rFonts w:cs="Times New Roman" w:eastAsia="華康中黑體"/>
          <w:b/>
          <w:szCs w:val="27"/>
        </w:rPr>
        <w:t>補償款額</w:t>
      </w:r>
      <w:r>
        <w:rPr>
          <w:rFonts w:eastAsia="華康中黑體" w:cs="Times New Roman"/>
          <w:b/>
          <w:szCs w:val="27"/>
        </w:rPr>
        <w:t>)</w:t>
      </w:r>
    </w:p>
    <w:p>
      <w:pPr>
        <w:pStyle w:val="F21"/>
        <w:spacing w:lineRule="atLeast" w:line="370"/>
        <w:ind w:left="2410" w:hanging="567"/>
        <w:rPr>
          <w:szCs w:val="27"/>
        </w:rPr>
      </w:pPr>
      <w:r>
        <w:rPr>
          <w:szCs w:val="27"/>
        </w:rPr>
        <w:t>(1)</w:t>
        <w:tab/>
      </w:r>
      <w:r>
        <w:rPr>
          <w:szCs w:val="27"/>
        </w:rPr>
        <w:t>附表</w:t>
      </w:r>
      <w:r>
        <w:rPr>
          <w:szCs w:val="27"/>
        </w:rPr>
        <w:t>5</w:t>
      </w:r>
      <w:r>
        <w:rPr>
          <w:szCs w:val="27"/>
        </w:rPr>
        <w:t>，第</w:t>
      </w:r>
      <w:r>
        <w:rPr>
          <w:szCs w:val="27"/>
        </w:rPr>
        <w:t>1(a)(ii)</w:t>
      </w:r>
      <w:r>
        <w:rPr>
          <w:szCs w:val="27"/>
        </w:rPr>
        <w:t>條</w:t>
      </w:r>
      <w:r>
        <w:rPr>
          <w:rFonts w:ascii="Symbol" w:hAnsi="Symbol" w:cs="Symbol" w:eastAsia="Symbol"/>
        </w:rPr>
        <w:t></w:t>
      </w:r>
    </w:p>
    <w:p>
      <w:pPr>
        <w:pStyle w:val="F21"/>
        <w:spacing w:lineRule="atLeast" w:line="370"/>
        <w:ind w:left="2977" w:hanging="567"/>
        <w:rPr>
          <w:szCs w:val="27"/>
        </w:rPr>
      </w:pPr>
      <w:r>
        <w:rPr>
          <w:rFonts w:eastAsia="華康中黑體"/>
          <w:b/>
          <w:szCs w:val="27"/>
        </w:rPr>
        <w:t>廢除</w:t>
      </w:r>
    </w:p>
    <w:p>
      <w:pPr>
        <w:pStyle w:val="F21"/>
        <w:spacing w:lineRule="atLeast" w:line="370"/>
        <w:ind w:left="2977" w:hanging="567"/>
        <w:rPr>
          <w:szCs w:val="27"/>
        </w:rPr>
      </w:pPr>
      <w:r>
        <w:rPr>
          <w:rFonts w:cs="Times New Roman"/>
          <w:szCs w:val="27"/>
        </w:rPr>
        <w:t>"</w:t>
      </w:r>
      <w:r>
        <w:rPr>
          <w:szCs w:val="27"/>
        </w:rPr>
        <w:t>$464,360"</w:t>
      </w:r>
    </w:p>
    <w:p>
      <w:pPr>
        <w:pStyle w:val="F21"/>
        <w:spacing w:lineRule="atLeast" w:line="370"/>
        <w:ind w:left="2977" w:hanging="567"/>
        <w:rPr>
          <w:szCs w:val="27"/>
        </w:rPr>
      </w:pPr>
      <w:r>
        <w:rPr>
          <w:rFonts w:eastAsia="華康中黑體"/>
          <w:b/>
          <w:szCs w:val="27"/>
        </w:rPr>
        <w:t>代以</w:t>
      </w:r>
    </w:p>
    <w:p>
      <w:pPr>
        <w:pStyle w:val="F21"/>
        <w:spacing w:lineRule="atLeast" w:line="370"/>
        <w:ind w:left="2977" w:hanging="567"/>
        <w:rPr>
          <w:szCs w:val="27"/>
        </w:rPr>
      </w:pPr>
      <w:r>
        <w:rPr>
          <w:rFonts w:cs="Times New Roman"/>
          <w:szCs w:val="27"/>
        </w:rPr>
        <w:t>"</w:t>
      </w:r>
      <w:r>
        <w:rPr>
          <w:szCs w:val="27"/>
        </w:rPr>
        <w:t>$499,840</w:t>
      </w:r>
      <w:r>
        <w:rPr>
          <w:rFonts w:cs="Times New Roman"/>
          <w:szCs w:val="27"/>
        </w:rPr>
        <w:t>"</w:t>
      </w:r>
      <w:r>
        <w:rPr>
          <w:szCs w:val="27"/>
        </w:rPr>
        <w:t>。</w:t>
      </w:r>
    </w:p>
    <w:p>
      <w:pPr>
        <w:pStyle w:val="F21"/>
        <w:spacing w:lineRule="atLeast" w:line="370"/>
        <w:ind w:left="2410" w:hanging="567"/>
        <w:rPr>
          <w:szCs w:val="27"/>
        </w:rPr>
      </w:pPr>
      <w:r>
        <w:rPr>
          <w:szCs w:val="27"/>
        </w:rPr>
        <w:t>(2)</w:t>
        <w:tab/>
      </w:r>
      <w:r>
        <w:rPr>
          <w:szCs w:val="27"/>
        </w:rPr>
        <w:t>附表</w:t>
      </w:r>
      <w:r>
        <w:rPr>
          <w:szCs w:val="27"/>
        </w:rPr>
        <w:t>5</w:t>
      </w:r>
      <w:r>
        <w:rPr>
          <w:szCs w:val="27"/>
        </w:rPr>
        <w:t>，第</w:t>
      </w:r>
      <w:r>
        <w:rPr>
          <w:szCs w:val="27"/>
        </w:rPr>
        <w:t>l(b)</w:t>
      </w:r>
      <w:r>
        <w:rPr>
          <w:szCs w:val="27"/>
        </w:rPr>
        <w:t>條</w:t>
      </w:r>
      <w:r>
        <w:rPr>
          <w:rFonts w:ascii="Symbol" w:hAnsi="Symbol" w:cs="Symbol" w:eastAsia="Symbol"/>
        </w:rPr>
        <w:t></w:t>
      </w:r>
    </w:p>
    <w:p>
      <w:pPr>
        <w:pStyle w:val="F21"/>
        <w:spacing w:lineRule="atLeast" w:line="370"/>
        <w:ind w:left="2977" w:hanging="567"/>
        <w:rPr>
          <w:szCs w:val="27"/>
        </w:rPr>
      </w:pPr>
      <w:r>
        <w:rPr>
          <w:rFonts w:eastAsia="華康中黑體"/>
          <w:b/>
          <w:szCs w:val="27"/>
        </w:rPr>
        <w:t>廢除</w:t>
      </w:r>
    </w:p>
    <w:p>
      <w:pPr>
        <w:pStyle w:val="F21"/>
        <w:spacing w:lineRule="atLeast" w:line="370"/>
        <w:ind w:left="2977" w:hanging="567"/>
        <w:rPr>
          <w:szCs w:val="27"/>
        </w:rPr>
      </w:pPr>
      <w:r>
        <w:rPr>
          <w:rFonts w:cs="Times New Roman"/>
          <w:szCs w:val="27"/>
        </w:rPr>
        <w:t>"</w:t>
      </w:r>
      <w:r>
        <w:rPr>
          <w:szCs w:val="27"/>
        </w:rPr>
        <w:t>$2,722,560"</w:t>
      </w:r>
    </w:p>
    <w:p>
      <w:pPr>
        <w:pStyle w:val="F21"/>
        <w:spacing w:lineRule="atLeast" w:line="370"/>
        <w:ind w:left="2977" w:hanging="567"/>
        <w:rPr>
          <w:szCs w:val="27"/>
        </w:rPr>
      </w:pPr>
      <w:r>
        <w:rPr>
          <w:rFonts w:eastAsia="華康中黑體"/>
          <w:b/>
          <w:szCs w:val="27"/>
        </w:rPr>
        <w:t>代以</w:t>
      </w:r>
    </w:p>
    <w:p>
      <w:pPr>
        <w:pStyle w:val="F21"/>
        <w:spacing w:lineRule="atLeast" w:line="370"/>
        <w:ind w:left="2977" w:hanging="567"/>
        <w:rPr>
          <w:szCs w:val="27"/>
        </w:rPr>
      </w:pPr>
      <w:r>
        <w:rPr>
          <w:rFonts w:cs="Times New Roman"/>
          <w:szCs w:val="27"/>
        </w:rPr>
        <w:t>"$2,930,880"</w:t>
      </w:r>
      <w:r>
        <w:rPr>
          <w:szCs w:val="27"/>
        </w:rPr>
        <w:t>。</w:t>
      </w:r>
    </w:p>
    <w:p>
      <w:pPr>
        <w:pStyle w:val="F21"/>
        <w:spacing w:lineRule="atLeast" w:line="370"/>
        <w:ind w:left="2410" w:hanging="567"/>
        <w:rPr>
          <w:szCs w:val="27"/>
        </w:rPr>
      </w:pPr>
      <w:r>
        <w:rPr>
          <w:szCs w:val="27"/>
        </w:rPr>
        <w:t>(3)</w:t>
        <w:tab/>
      </w:r>
      <w:r>
        <w:rPr>
          <w:szCs w:val="27"/>
        </w:rPr>
        <w:t>附表</w:t>
      </w:r>
      <w:r>
        <w:rPr>
          <w:szCs w:val="27"/>
        </w:rPr>
        <w:t>5</w:t>
      </w:r>
      <w:r>
        <w:rPr>
          <w:szCs w:val="27"/>
        </w:rPr>
        <w:t>，第</w:t>
      </w:r>
      <w:r>
        <w:rPr>
          <w:szCs w:val="27"/>
        </w:rPr>
        <w:t>l(b)</w:t>
      </w:r>
      <w:r>
        <w:rPr>
          <w:szCs w:val="27"/>
        </w:rPr>
        <w:t>條</w:t>
      </w:r>
      <w:r>
        <w:rPr>
          <w:rFonts w:ascii="Symbol" w:hAnsi="Symbol" w:cs="Symbol" w:eastAsia="Symbol"/>
        </w:rPr>
        <w:t></w:t>
      </w:r>
    </w:p>
    <w:p>
      <w:pPr>
        <w:pStyle w:val="F21"/>
        <w:spacing w:lineRule="atLeast" w:line="370"/>
        <w:ind w:left="2977" w:hanging="567"/>
        <w:rPr>
          <w:szCs w:val="27"/>
        </w:rPr>
      </w:pPr>
      <w:r>
        <w:rPr>
          <w:rFonts w:eastAsia="華康中黑體"/>
          <w:b/>
          <w:szCs w:val="27"/>
        </w:rPr>
        <w:t>廢除</w:t>
      </w:r>
    </w:p>
    <w:p>
      <w:pPr>
        <w:pStyle w:val="F21"/>
        <w:spacing w:lineRule="atLeast" w:line="370"/>
        <w:ind w:left="2977" w:hanging="567"/>
        <w:rPr>
          <w:szCs w:val="27"/>
        </w:rPr>
      </w:pPr>
      <w:r>
        <w:rPr>
          <w:rFonts w:cs="Times New Roman"/>
          <w:szCs w:val="27"/>
        </w:rPr>
        <w:t>"</w:t>
      </w:r>
      <w:r>
        <w:rPr>
          <w:szCs w:val="27"/>
        </w:rPr>
        <w:t>$2,041,920"</w:t>
      </w:r>
    </w:p>
    <w:p>
      <w:pPr>
        <w:pStyle w:val="F21"/>
        <w:spacing w:lineRule="atLeast" w:line="370"/>
        <w:ind w:left="2977" w:hanging="567"/>
        <w:rPr>
          <w:szCs w:val="27"/>
        </w:rPr>
      </w:pPr>
      <w:r>
        <w:rPr>
          <w:rFonts w:eastAsia="華康中黑體"/>
          <w:b/>
          <w:szCs w:val="27"/>
        </w:rPr>
        <w:t>代以</w:t>
      </w:r>
    </w:p>
    <w:p>
      <w:pPr>
        <w:pStyle w:val="F21"/>
        <w:spacing w:lineRule="atLeast" w:line="370"/>
        <w:ind w:left="2977" w:hanging="567"/>
        <w:rPr>
          <w:szCs w:val="27"/>
        </w:rPr>
      </w:pPr>
      <w:r>
        <w:rPr>
          <w:rFonts w:cs="Times New Roman"/>
          <w:szCs w:val="27"/>
        </w:rPr>
        <w:t>"$2,198,160</w:t>
      </w:r>
      <w:r>
        <w:rPr>
          <w:szCs w:val="27"/>
        </w:rPr>
        <w:t>"</w:t>
      </w:r>
      <w:r>
        <w:rPr>
          <w:szCs w:val="27"/>
        </w:rPr>
        <w:t>。</w:t>
      </w:r>
    </w:p>
    <w:p>
      <w:pPr>
        <w:pStyle w:val="F21"/>
        <w:spacing w:lineRule="atLeast" w:line="370"/>
        <w:ind w:left="2410" w:hanging="567"/>
        <w:rPr>
          <w:szCs w:val="27"/>
        </w:rPr>
      </w:pPr>
      <w:r>
        <w:rPr>
          <w:szCs w:val="27"/>
        </w:rPr>
        <w:t>(4)</w:t>
        <w:tab/>
      </w:r>
      <w:r>
        <w:rPr>
          <w:szCs w:val="27"/>
        </w:rPr>
        <w:t>附表</w:t>
      </w:r>
      <w:r>
        <w:rPr>
          <w:szCs w:val="27"/>
        </w:rPr>
        <w:t>5</w:t>
      </w:r>
      <w:r>
        <w:rPr>
          <w:szCs w:val="27"/>
        </w:rPr>
        <w:t>，第</w:t>
      </w:r>
      <w:r>
        <w:rPr>
          <w:szCs w:val="27"/>
        </w:rPr>
        <w:t>l(b)</w:t>
      </w:r>
      <w:r>
        <w:rPr>
          <w:szCs w:val="27"/>
        </w:rPr>
        <w:t>條</w:t>
      </w:r>
      <w:r>
        <w:rPr>
          <w:rFonts w:ascii="Symbol" w:hAnsi="Symbol" w:cs="Symbol" w:eastAsia="Symbol"/>
        </w:rPr>
        <w:t></w:t>
      </w:r>
    </w:p>
    <w:p>
      <w:pPr>
        <w:pStyle w:val="F21"/>
        <w:spacing w:lineRule="atLeast" w:line="370"/>
        <w:ind w:left="2977" w:hanging="567"/>
        <w:rPr>
          <w:szCs w:val="27"/>
        </w:rPr>
      </w:pPr>
      <w:r>
        <w:rPr>
          <w:rFonts w:eastAsia="華康中黑體"/>
          <w:b/>
          <w:szCs w:val="27"/>
        </w:rPr>
        <w:t>廢除</w:t>
      </w:r>
    </w:p>
    <w:p>
      <w:pPr>
        <w:pStyle w:val="F21"/>
        <w:spacing w:lineRule="atLeast" w:line="370"/>
        <w:ind w:left="2977" w:hanging="567"/>
        <w:rPr>
          <w:szCs w:val="27"/>
        </w:rPr>
      </w:pPr>
      <w:r>
        <w:rPr>
          <w:rFonts w:cs="Times New Roman"/>
          <w:szCs w:val="27"/>
        </w:rPr>
        <w:t>"</w:t>
      </w:r>
      <w:r>
        <w:rPr>
          <w:szCs w:val="27"/>
        </w:rPr>
        <w:t>$1,361,280"</w:t>
      </w:r>
    </w:p>
    <w:p>
      <w:pPr>
        <w:pStyle w:val="F21"/>
        <w:spacing w:lineRule="atLeast" w:line="370"/>
        <w:ind w:left="2977" w:hanging="567"/>
        <w:rPr>
          <w:szCs w:val="27"/>
        </w:rPr>
      </w:pPr>
      <w:r>
        <w:rPr>
          <w:rFonts w:eastAsia="華康中黑體"/>
          <w:b/>
          <w:szCs w:val="27"/>
        </w:rPr>
        <w:t>代以</w:t>
      </w:r>
    </w:p>
    <w:p>
      <w:pPr>
        <w:pStyle w:val="F21"/>
        <w:spacing w:lineRule="atLeast" w:line="370"/>
        <w:ind w:left="2977" w:hanging="567"/>
        <w:rPr>
          <w:szCs w:val="27"/>
        </w:rPr>
      </w:pPr>
      <w:r>
        <w:rPr>
          <w:rFonts w:cs="Times New Roman"/>
          <w:szCs w:val="27"/>
        </w:rPr>
        <w:t>"</w:t>
      </w:r>
      <w:r>
        <w:rPr>
          <w:szCs w:val="27"/>
        </w:rPr>
        <w:t>$1,465,440</w:t>
      </w:r>
      <w:r>
        <w:rPr>
          <w:rFonts w:cs="Times New Roman"/>
          <w:szCs w:val="27"/>
        </w:rPr>
        <w:t>"</w:t>
      </w:r>
      <w:r>
        <w:rPr>
          <w:szCs w:val="27"/>
        </w:rPr>
        <w:t>。</w:t>
      </w:r>
    </w:p>
    <w:p>
      <w:pPr>
        <w:pStyle w:val="F21"/>
        <w:spacing w:lineRule="atLeast" w:line="370"/>
        <w:rPr>
          <w:szCs w:val="27"/>
        </w:rPr>
      </w:pPr>
      <w:r>
        <w:rPr>
          <w:szCs w:val="27"/>
        </w:rPr>
      </w:r>
    </w:p>
    <w:p>
      <w:pPr>
        <w:pStyle w:val="F21"/>
        <w:spacing w:lineRule="atLeast" w:line="370"/>
        <w:ind w:left="1843" w:hanging="567"/>
        <w:rPr>
          <w:rFonts w:eastAsia="華康中黑體" w:cs="Times New Roman"/>
          <w:b/>
          <w:b/>
          <w:szCs w:val="27"/>
        </w:rPr>
      </w:pPr>
      <w:r>
        <w:rPr>
          <w:rFonts w:eastAsia="華康中黑體" w:cs="Times New Roman"/>
          <w:b/>
          <w:szCs w:val="27"/>
        </w:rPr>
        <w:t>2.</w:t>
        <w:tab/>
      </w:r>
      <w:r>
        <w:rPr>
          <w:rFonts w:cs="Times New Roman" w:eastAsia="華康中黑體"/>
          <w:b/>
          <w:szCs w:val="27"/>
        </w:rPr>
        <w:t>修訂附表</w:t>
      </w:r>
      <w:r>
        <w:rPr>
          <w:rFonts w:eastAsia="華康中黑體" w:cs="Times New Roman"/>
          <w:b/>
          <w:szCs w:val="27"/>
        </w:rPr>
        <w:t>7(</w:t>
      </w:r>
      <w:r>
        <w:rPr>
          <w:rFonts w:cs="Times New Roman" w:eastAsia="華康中黑體"/>
          <w:b/>
          <w:szCs w:val="27"/>
        </w:rPr>
        <w:t>直接支付開支及付還開支的限額</w:t>
      </w:r>
      <w:r>
        <w:rPr>
          <w:rFonts w:eastAsia="華康中黑體" w:cs="Times New Roman"/>
          <w:b/>
          <w:szCs w:val="27"/>
        </w:rPr>
        <w:t>)</w:t>
      </w:r>
    </w:p>
    <w:p>
      <w:pPr>
        <w:pStyle w:val="F21"/>
        <w:spacing w:lineRule="atLeast" w:line="370"/>
        <w:ind w:left="2410" w:hanging="567"/>
        <w:rPr>
          <w:szCs w:val="27"/>
        </w:rPr>
      </w:pPr>
      <w:r>
        <w:rPr>
          <w:szCs w:val="27"/>
        </w:rPr>
        <w:t>(1)</w:t>
        <w:tab/>
      </w:r>
      <w:r>
        <w:rPr>
          <w:szCs w:val="27"/>
        </w:rPr>
        <w:t>附表</w:t>
      </w:r>
      <w:r>
        <w:rPr>
          <w:szCs w:val="27"/>
        </w:rPr>
        <w:t>7</w:t>
      </w:r>
      <w:r>
        <w:rPr>
          <w:szCs w:val="27"/>
        </w:rPr>
        <w:t>，第</w:t>
      </w:r>
      <w:r>
        <w:rPr>
          <w:szCs w:val="27"/>
        </w:rPr>
        <w:t>1</w:t>
      </w:r>
      <w:r>
        <w:rPr>
          <w:szCs w:val="27"/>
        </w:rPr>
        <w:t>條</w:t>
      </w:r>
      <w:r>
        <w:rPr>
          <w:rFonts w:ascii="Symbol" w:hAnsi="Symbol" w:cs="Symbol" w:eastAsia="Symbol"/>
        </w:rPr>
        <w:t></w:t>
      </w:r>
    </w:p>
    <w:p>
      <w:pPr>
        <w:pStyle w:val="F21"/>
        <w:spacing w:lineRule="atLeast" w:line="370"/>
        <w:ind w:left="2977" w:hanging="567"/>
        <w:rPr>
          <w:szCs w:val="27"/>
        </w:rPr>
      </w:pPr>
      <w:r>
        <w:rPr>
          <w:rFonts w:eastAsia="華康中黑體"/>
          <w:b/>
          <w:szCs w:val="27"/>
        </w:rPr>
        <w:t>廢除</w:t>
      </w:r>
    </w:p>
    <w:p>
      <w:pPr>
        <w:pStyle w:val="F21"/>
        <w:spacing w:lineRule="atLeast" w:line="370"/>
        <w:ind w:left="2977" w:hanging="567"/>
        <w:rPr>
          <w:szCs w:val="27"/>
        </w:rPr>
      </w:pPr>
      <w:r>
        <w:rPr>
          <w:rFonts w:cs="Times New Roman"/>
          <w:szCs w:val="27"/>
        </w:rPr>
        <w:t>"</w:t>
      </w:r>
      <w:r>
        <w:rPr>
          <w:szCs w:val="27"/>
        </w:rPr>
        <w:t>$16,470"</w:t>
      </w:r>
    </w:p>
    <w:p>
      <w:pPr>
        <w:pStyle w:val="F21"/>
        <w:spacing w:lineRule="atLeast" w:line="370"/>
        <w:ind w:left="2977" w:hanging="567"/>
        <w:rPr>
          <w:szCs w:val="27"/>
        </w:rPr>
      </w:pPr>
      <w:r>
        <w:rPr>
          <w:rFonts w:eastAsia="華康中黑體"/>
          <w:b/>
          <w:szCs w:val="27"/>
        </w:rPr>
        <w:t>代以</w:t>
      </w:r>
    </w:p>
    <w:p>
      <w:pPr>
        <w:pStyle w:val="F21"/>
        <w:spacing w:lineRule="atLeast" w:line="370"/>
        <w:ind w:left="2977" w:hanging="567"/>
        <w:rPr>
          <w:szCs w:val="27"/>
        </w:rPr>
      </w:pPr>
      <w:r>
        <w:rPr>
          <w:rFonts w:cs="Times New Roman"/>
          <w:szCs w:val="27"/>
        </w:rPr>
        <w:t>"</w:t>
      </w:r>
      <w:r>
        <w:rPr>
          <w:szCs w:val="27"/>
        </w:rPr>
        <w:t>$19,000"</w:t>
      </w:r>
      <w:r>
        <w:rPr>
          <w:szCs w:val="27"/>
        </w:rPr>
        <w:t>。</w:t>
      </w:r>
      <w:r>
        <w:br w:type="page"/>
      </w:r>
    </w:p>
    <w:p>
      <w:pPr>
        <w:pStyle w:val="F21"/>
        <w:ind w:left="2410" w:hanging="567"/>
        <w:rPr>
          <w:szCs w:val="27"/>
        </w:rPr>
      </w:pPr>
      <w:r>
        <w:rPr>
          <w:szCs w:val="27"/>
        </w:rPr>
        <w:t>(2)</w:t>
        <w:tab/>
      </w:r>
      <w:r>
        <w:rPr>
          <w:szCs w:val="27"/>
        </w:rPr>
        <w:t>附表</w:t>
      </w:r>
      <w:r>
        <w:rPr>
          <w:szCs w:val="27"/>
        </w:rPr>
        <w:t>7</w:t>
      </w:r>
      <w:r>
        <w:rPr>
          <w:szCs w:val="27"/>
        </w:rPr>
        <w:t>，第</w:t>
      </w:r>
      <w:r>
        <w:rPr>
          <w:szCs w:val="27"/>
        </w:rPr>
        <w:t>2</w:t>
      </w:r>
      <w:r>
        <w:rPr>
          <w:szCs w:val="27"/>
        </w:rPr>
        <w:t>條</w:t>
      </w:r>
      <w:r>
        <w:rPr>
          <w:rFonts w:ascii="Symbol" w:hAnsi="Symbol" w:cs="Symbol" w:eastAsia="Symbol"/>
        </w:rPr>
        <w:t></w:t>
      </w:r>
    </w:p>
    <w:p>
      <w:pPr>
        <w:pStyle w:val="F21"/>
        <w:ind w:left="2977" w:hanging="567"/>
        <w:rPr>
          <w:szCs w:val="27"/>
        </w:rPr>
      </w:pPr>
      <w:r>
        <w:rPr>
          <w:rFonts w:eastAsia="華康中黑體"/>
          <w:b/>
          <w:szCs w:val="27"/>
        </w:rPr>
        <w:t>廢除</w:t>
      </w:r>
    </w:p>
    <w:p>
      <w:pPr>
        <w:pStyle w:val="F21"/>
        <w:ind w:left="2977" w:hanging="567"/>
        <w:rPr>
          <w:szCs w:val="27"/>
        </w:rPr>
      </w:pPr>
      <w:r>
        <w:rPr>
          <w:rFonts w:cs="Times New Roman"/>
          <w:szCs w:val="27"/>
        </w:rPr>
        <w:t>"</w:t>
      </w:r>
      <w:r>
        <w:rPr>
          <w:szCs w:val="27"/>
        </w:rPr>
        <w:t>$57,110"</w:t>
      </w:r>
    </w:p>
    <w:p>
      <w:pPr>
        <w:pStyle w:val="F21"/>
        <w:ind w:left="2977" w:hanging="567"/>
        <w:rPr>
          <w:szCs w:val="27"/>
        </w:rPr>
      </w:pPr>
      <w:r>
        <w:rPr>
          <w:rFonts w:eastAsia="華康中黑體"/>
          <w:b/>
          <w:szCs w:val="27"/>
        </w:rPr>
        <w:t>代以</w:t>
      </w:r>
    </w:p>
    <w:p>
      <w:pPr>
        <w:pStyle w:val="F21"/>
        <w:ind w:left="2977" w:hanging="567"/>
        <w:rPr>
          <w:szCs w:val="27"/>
        </w:rPr>
      </w:pPr>
      <w:r>
        <w:rPr>
          <w:rFonts w:cs="Times New Roman"/>
          <w:szCs w:val="27"/>
        </w:rPr>
        <w:t>"</w:t>
      </w:r>
      <w:r>
        <w:rPr>
          <w:szCs w:val="27"/>
        </w:rPr>
        <w:t>$79,000"</w:t>
      </w:r>
      <w:r>
        <w:rPr>
          <w:szCs w:val="27"/>
        </w:rPr>
        <w:t>。</w:t>
      </w:r>
      <w:r>
        <w:rPr>
          <w:rFonts w:cs="Times New Roman"/>
          <w:szCs w:val="27"/>
        </w:rPr>
        <w:t>"</w:t>
      </w:r>
    </w:p>
    <w:p>
      <w:pPr>
        <w:pStyle w:val="F21"/>
        <w:overflowPunct w:val="true"/>
        <w:rPr>
          <w:rFonts w:cs="Times New Roman"/>
        </w:rPr>
      </w:pPr>
      <w:r>
        <w:rPr>
          <w:rFonts w:cs="Times New Roman"/>
        </w:rPr>
      </w:r>
    </w:p>
    <w:p>
      <w:pPr>
        <w:pStyle w:val="F21"/>
        <w:overflowPunct w:val="true"/>
        <w:rPr>
          <w:rFonts w:cs="Times New Roman"/>
          <w:lang w:val="en-GB"/>
        </w:rPr>
      </w:pPr>
      <w:r>
        <w:rPr>
          <w:rFonts w:cs="Times New Roman"/>
          <w:lang w:val="en-GB"/>
        </w:rPr>
      </w:r>
    </w:p>
    <w:p>
      <w:pPr>
        <w:pStyle w:val="F21"/>
        <w:overflowPunct w:val="true"/>
        <w:rPr>
          <w:rFonts w:cs="Times New Roman"/>
        </w:rPr>
      </w:pPr>
      <w:r>
        <w:rPr>
          <w:rFonts w:ascii="華康中黑體" w:hAnsi="華康中黑體" w:cs="Times New Roman" w:eastAsia="華康中黑體"/>
          <w:b/>
        </w:rPr>
        <w:t>主席</w:t>
      </w:r>
      <w:r>
        <w:rPr>
          <w:rFonts w:cs="Times New Roman"/>
        </w:rPr>
        <w:t>：我現在向各位提出的待議議題是：勞工及福利局局長動議的第三項議案，予以通過。</w:t>
      </w:r>
    </w:p>
    <w:p>
      <w:pPr>
        <w:pStyle w:val="F21"/>
        <w:overflowPunct w:val="true"/>
        <w:rPr>
          <w:rFonts w:cs="Times New Roman"/>
        </w:rPr>
      </w:pPr>
      <w:r>
        <w:rPr>
          <w:rFonts w:cs="Times New Roman"/>
        </w:rPr>
      </w:r>
    </w:p>
    <w:p>
      <w:pPr>
        <w:pStyle w:val="F21"/>
        <w:overflowPunct w:val="true"/>
        <w:rPr>
          <w:rFonts w:cs="Times New Roman"/>
        </w:rPr>
      </w:pPr>
      <w:r>
        <w:rPr>
          <w:rFonts w:cs="Times New Roman"/>
        </w:rPr>
      </w:r>
    </w:p>
    <w:p>
      <w:pPr>
        <w:pStyle w:val="F21"/>
        <w:overflowPunct w:val="true"/>
        <w:rPr>
          <w:rFonts w:cs="Times New Roman"/>
        </w:rPr>
      </w:pPr>
      <w:r>
        <w:rPr>
          <w:rFonts w:ascii="華康中黑體" w:hAnsi="華康中黑體" w:cs="Times New Roman" w:eastAsia="華康中黑體"/>
          <w:b/>
        </w:rPr>
        <w:t>主席</w:t>
      </w:r>
      <w:r>
        <w:rPr>
          <w:rFonts w:cs="Times New Roman"/>
        </w:rPr>
        <w:t>：我現在向各位提出上述待決議題。贊成的請舉手。</w:t>
      </w:r>
    </w:p>
    <w:p>
      <w:pPr>
        <w:pStyle w:val="F21"/>
        <w:overflowPunct w:val="true"/>
        <w:rPr>
          <w:rFonts w:cs="Times New Roman"/>
        </w:rPr>
      </w:pPr>
      <w:r>
        <w:rPr>
          <w:rFonts w:cs="Times New Roman"/>
        </w:rPr>
      </w:r>
    </w:p>
    <w:p>
      <w:pPr>
        <w:pStyle w:val="F21"/>
        <w:overflowPunct w:val="true"/>
        <w:rPr>
          <w:rFonts w:cs="Times New Roman"/>
        </w:rPr>
      </w:pPr>
      <w:r>
        <w:rPr>
          <w:rFonts w:cs="Times New Roman"/>
        </w:rPr>
        <w:t>(</w:t>
      </w:r>
      <w:r>
        <w:rPr>
          <w:rFonts w:cs="Times New Roman"/>
        </w:rPr>
        <w:t>議員舉手</w:t>
      </w:r>
      <w:r>
        <w:rPr>
          <w:rFonts w:cs="Times New Roman"/>
        </w:rPr>
        <w:t>)</w:t>
      </w:r>
    </w:p>
    <w:p>
      <w:pPr>
        <w:pStyle w:val="F21"/>
        <w:overflowPunct w:val="true"/>
        <w:rPr>
          <w:rFonts w:cs="Times New Roman"/>
        </w:rPr>
      </w:pPr>
      <w:r>
        <w:rPr>
          <w:rFonts w:cs="Times New Roman"/>
        </w:rPr>
      </w:r>
    </w:p>
    <w:p>
      <w:pPr>
        <w:pStyle w:val="F21"/>
        <w:overflowPunct w:val="true"/>
        <w:rPr>
          <w:rFonts w:cs="Times New Roman"/>
        </w:rPr>
      </w:pPr>
      <w:r>
        <w:rPr>
          <w:rFonts w:cs="Times New Roman"/>
        </w:rPr>
      </w:r>
    </w:p>
    <w:p>
      <w:pPr>
        <w:pStyle w:val="F21"/>
        <w:overflowPunct w:val="true"/>
        <w:rPr>
          <w:rFonts w:cs="Times New Roman"/>
        </w:rPr>
      </w:pPr>
      <w:r>
        <w:rPr>
          <w:rFonts w:ascii="華康中黑體" w:hAnsi="華康中黑體" w:cs="Times New Roman" w:eastAsia="華康中黑體"/>
          <w:b/>
        </w:rPr>
        <w:t>主席</w:t>
      </w:r>
      <w:r>
        <w:rPr>
          <w:rFonts w:cs="Times New Roman"/>
        </w:rPr>
        <w:t>：反對的請舉手。</w:t>
      </w:r>
    </w:p>
    <w:p>
      <w:pPr>
        <w:pStyle w:val="F21"/>
        <w:overflowPunct w:val="true"/>
        <w:rPr>
          <w:rFonts w:cs="Times New Roman"/>
        </w:rPr>
      </w:pPr>
      <w:r>
        <w:rPr>
          <w:rFonts w:cs="Times New Roman"/>
        </w:rPr>
      </w:r>
    </w:p>
    <w:p>
      <w:pPr>
        <w:pStyle w:val="F21"/>
        <w:overflowPunct w:val="true"/>
        <w:rPr>
          <w:rFonts w:cs="Times New Roman"/>
        </w:rPr>
      </w:pPr>
      <w:r>
        <w:rPr>
          <w:rFonts w:cs="Times New Roman"/>
        </w:rPr>
        <w:t>(</w:t>
      </w:r>
      <w:r>
        <w:rPr>
          <w:rFonts w:cs="Times New Roman"/>
        </w:rPr>
        <w:t>沒有議員舉手</w:t>
      </w:r>
      <w:r>
        <w:rPr>
          <w:rFonts w:cs="Times New Roman"/>
        </w:rPr>
        <w:t>)</w:t>
      </w:r>
    </w:p>
    <w:p>
      <w:pPr>
        <w:pStyle w:val="F21"/>
        <w:overflowPunct w:val="true"/>
        <w:rPr>
          <w:rFonts w:cs="Times New Roman"/>
        </w:rPr>
      </w:pPr>
      <w:r>
        <w:rPr>
          <w:rFonts w:cs="Times New Roman"/>
        </w:rPr>
      </w:r>
    </w:p>
    <w:p>
      <w:pPr>
        <w:pStyle w:val="F21"/>
        <w:overflowPunct w:val="true"/>
        <w:rPr>
          <w:rFonts w:cs="Times New Roman"/>
        </w:rPr>
      </w:pPr>
      <w:r>
        <w:rPr>
          <w:rFonts w:cs="Times New Roman"/>
        </w:rPr>
      </w:r>
    </w:p>
    <w:p>
      <w:pPr>
        <w:pStyle w:val="F21"/>
        <w:overflowPunct w:val="true"/>
        <w:rPr>
          <w:rFonts w:cs="Times New Roman"/>
        </w:rPr>
      </w:pPr>
      <w:r>
        <w:rPr>
          <w:rFonts w:ascii="華康中黑體" w:hAnsi="華康中黑體" w:cs="Times New Roman" w:eastAsia="華康中黑體"/>
          <w:b/>
        </w:rPr>
        <w:t>主席</w:t>
      </w:r>
      <w:r>
        <w:rPr>
          <w:rFonts w:cs="Times New Roman"/>
        </w:rPr>
        <w:t>：我認為議題獲得在席議員以過半數贊成。我宣布議案獲得通過。</w:t>
      </w:r>
    </w:p>
    <w:p>
      <w:pPr>
        <w:pStyle w:val="F21"/>
        <w:overflowPunct w:val="true"/>
        <w:rPr>
          <w:rFonts w:cs="Times New Roman"/>
        </w:rPr>
      </w:pPr>
      <w:r>
        <w:rPr>
          <w:rFonts w:cs="Times New Roman"/>
        </w:rPr>
      </w:r>
    </w:p>
    <w:p>
      <w:pPr>
        <w:pStyle w:val="F21"/>
        <w:overflowPunct w:val="true"/>
        <w:rPr>
          <w:rFonts w:cs="Times New Roman"/>
        </w:rPr>
      </w:pPr>
      <w:r>
        <w:rPr>
          <w:rFonts w:cs="Times New Roman"/>
        </w:rPr>
      </w:r>
    </w:p>
    <w:p>
      <w:pPr>
        <w:pStyle w:val="F21"/>
        <w:overflowPunct w:val="true"/>
        <w:rPr>
          <w:rFonts w:eastAsia="華康中黑體" w:cs="Times New Roman"/>
          <w:b/>
          <w:b/>
          <w:sz w:val="28"/>
          <w:szCs w:val="28"/>
        </w:rPr>
      </w:pPr>
      <w:bookmarkStart w:id="75" w:name="mbb"/>
      <w:r>
        <w:rPr>
          <w:rFonts w:cs="Times New Roman" w:eastAsia="華康中黑體"/>
          <w:b/>
          <w:sz w:val="28"/>
          <w:szCs w:val="28"/>
        </w:rPr>
        <w:t>議員法案</w:t>
      </w:r>
    </w:p>
    <w:p>
      <w:pPr>
        <w:pStyle w:val="Normal"/>
        <w:overflowPunct w:val="true"/>
        <w:rPr>
          <w:rFonts w:eastAsia="華康中黑體"/>
          <w:b/>
          <w:b/>
          <w:spacing w:val="20"/>
          <w:sz w:val="27"/>
          <w:szCs w:val="22"/>
          <w:lang w:val="en-US"/>
        </w:rPr>
      </w:pPr>
      <w:bookmarkStart w:id="76" w:name="mbb"/>
      <w:r>
        <w:rPr>
          <w:b/>
        </w:rPr>
        <w:t>MEMBER'S BILL</w:t>
      </w:r>
      <w:bookmarkEnd w:id="76"/>
    </w:p>
    <w:p>
      <w:pPr>
        <w:pStyle w:val="F21"/>
        <w:overflowPunct w:val="true"/>
        <w:rPr>
          <w:rFonts w:cs="Times New Roman"/>
        </w:rPr>
      </w:pPr>
      <w:r>
        <w:rPr>
          <w:rFonts w:cs="Times New Roman"/>
        </w:rPr>
      </w:r>
    </w:p>
    <w:p>
      <w:pPr>
        <w:pStyle w:val="F21"/>
        <w:overflowPunct w:val="true"/>
        <w:rPr>
          <w:rFonts w:eastAsia="華康中黑體" w:cs="Times New Roman"/>
          <w:b/>
          <w:b/>
        </w:rPr>
      </w:pPr>
      <w:bookmarkStart w:id="77" w:name="mbs"/>
      <w:r>
        <w:rPr>
          <w:rFonts w:cs="Times New Roman" w:eastAsia="華康中黑體"/>
          <w:b/>
        </w:rPr>
        <w:t>議員法案二讀</w:t>
      </w:r>
    </w:p>
    <w:p>
      <w:pPr>
        <w:pStyle w:val="Normal"/>
        <w:overflowPunct w:val="true"/>
        <w:rPr>
          <w:b/>
          <w:b/>
        </w:rPr>
      </w:pPr>
      <w:bookmarkStart w:id="78" w:name="mbs"/>
      <w:r>
        <w:rPr>
          <w:b/>
        </w:rPr>
        <w:t>Second Reading of Member's Bill</w:t>
      </w:r>
      <w:bookmarkEnd w:id="78"/>
    </w:p>
    <w:p>
      <w:pPr>
        <w:pStyle w:val="F21"/>
        <w:overflowPunct w:val="true"/>
        <w:rPr>
          <w:rFonts w:cs="Times New Roman"/>
        </w:rPr>
      </w:pPr>
      <w:r>
        <w:rPr>
          <w:rFonts w:cs="Times New Roman"/>
        </w:rPr>
      </w:r>
    </w:p>
    <w:p>
      <w:pPr>
        <w:pStyle w:val="F21"/>
        <w:overflowPunct w:val="true"/>
        <w:rPr>
          <w:rFonts w:eastAsia="華康中黑體" w:cs="Times New Roman"/>
          <w:b/>
          <w:b/>
        </w:rPr>
      </w:pPr>
      <w:bookmarkStart w:id="79" w:name="mbd01"/>
      <w:r>
        <w:rPr>
          <w:rFonts w:cs="Times New Roman" w:eastAsia="華康中黑體"/>
          <w:b/>
        </w:rPr>
        <w:t>恢復議員法案二讀辯論</w:t>
      </w:r>
    </w:p>
    <w:p>
      <w:pPr>
        <w:pStyle w:val="Normal"/>
        <w:overflowPunct w:val="true"/>
        <w:rPr>
          <w:rFonts w:eastAsia="華康中黑體"/>
          <w:b/>
          <w:b/>
          <w:spacing w:val="20"/>
          <w:sz w:val="27"/>
          <w:szCs w:val="22"/>
          <w:lang w:val="en-US"/>
        </w:rPr>
      </w:pPr>
      <w:bookmarkStart w:id="80" w:name="mbd01"/>
      <w:r>
        <w:rPr>
          <w:b/>
        </w:rPr>
        <w:t>Resumption of Second Reading Debate on Member's Bill</w:t>
      </w:r>
      <w:bookmarkEnd w:id="80"/>
    </w:p>
    <w:p>
      <w:pPr>
        <w:pStyle w:val="F21"/>
        <w:overflowPunct w:val="true"/>
        <w:rPr>
          <w:rFonts w:cs="Times New Roman"/>
        </w:rPr>
      </w:pPr>
      <w:r>
        <w:rPr>
          <w:rFonts w:cs="Times New Roman"/>
        </w:rPr>
      </w:r>
    </w:p>
    <w:p>
      <w:pPr>
        <w:pStyle w:val="F21"/>
        <w:overflowPunct w:val="true"/>
        <w:rPr>
          <w:rFonts w:cs="Times New Roman"/>
        </w:rPr>
      </w:pPr>
      <w:r>
        <w:rPr>
          <w:rFonts w:cs="Times New Roman" w:eastAsia="華康中黑體"/>
          <w:b/>
        </w:rPr>
        <w:t>主席</w:t>
      </w:r>
      <w:r>
        <w:rPr>
          <w:rFonts w:cs="Times New Roman"/>
        </w:rPr>
        <w:t>：議員法案。本會恢復《</w:t>
      </w:r>
      <w:r>
        <w:rPr>
          <w:rFonts w:cs="Times New Roman"/>
        </w:rPr>
        <w:t>2018</w:t>
      </w:r>
      <w:r>
        <w:rPr>
          <w:rFonts w:cs="Times New Roman"/>
        </w:rPr>
        <w:t>年專業會計師</w:t>
      </w:r>
      <w:r>
        <w:rPr>
          <w:rFonts w:cs="Times New Roman"/>
        </w:rPr>
        <w:t>(</w:t>
      </w:r>
      <w:r>
        <w:rPr>
          <w:rFonts w:cs="Times New Roman"/>
        </w:rPr>
        <w:t>修訂</w:t>
      </w:r>
      <w:r>
        <w:rPr>
          <w:rFonts w:cs="Times New Roman"/>
        </w:rPr>
        <w:t>)</w:t>
      </w:r>
      <w:r>
        <w:rPr>
          <w:rFonts w:cs="Times New Roman"/>
        </w:rPr>
        <w:t>條例草案》的二讀辯論。</w:t>
      </w:r>
    </w:p>
    <w:p>
      <w:pPr>
        <w:pStyle w:val="F21"/>
        <w:overflowPunct w:val="true"/>
        <w:rPr>
          <w:rFonts w:cs="Times New Roman"/>
        </w:rPr>
      </w:pPr>
      <w:r>
        <w:rPr>
          <w:rFonts w:cs="Times New Roman"/>
        </w:rPr>
      </w:r>
    </w:p>
    <w:p>
      <w:pPr>
        <w:pStyle w:val="F21"/>
        <w:overflowPunct w:val="true"/>
        <w:rPr>
          <w:rFonts w:cs="Times New Roman"/>
        </w:rPr>
      </w:pPr>
      <w:r>
        <w:rPr>
          <w:rFonts w:cs="Times New Roman"/>
        </w:rPr>
        <w:tab/>
      </w:r>
      <w:r>
        <w:rPr>
          <w:rFonts w:cs="Times New Roman"/>
        </w:rPr>
        <w:t>由於梁繼昌議員不在席，本會不會處理他提出的此項法案。</w:t>
      </w:r>
    </w:p>
    <w:p>
      <w:pPr>
        <w:pStyle w:val="Normal"/>
        <w:widowControl/>
        <w:tabs>
          <w:tab w:val="clear" w:pos="720"/>
        </w:tabs>
        <w:snapToGrid w:val="true"/>
        <w:spacing w:lineRule="auto" w:line="276" w:before="0" w:after="200"/>
        <w:jc w:val="left"/>
        <w:rPr>
          <w:spacing w:val="20"/>
          <w:sz w:val="27"/>
          <w:szCs w:val="22"/>
          <w:lang w:val="en-US"/>
        </w:rPr>
      </w:pPr>
      <w:r>
        <w:rPr>
          <w:spacing w:val="20"/>
          <w:sz w:val="27"/>
          <w:szCs w:val="22"/>
          <w:lang w:val="en-US"/>
        </w:rPr>
      </w:r>
      <w:r>
        <w:br w:type="page"/>
      </w:r>
    </w:p>
    <w:p>
      <w:pPr>
        <w:pStyle w:val="F21"/>
        <w:overflowPunct w:val="true"/>
        <w:spacing w:lineRule="atLeast" w:line="370"/>
        <w:rPr>
          <w:rFonts w:eastAsia="華康中黑體" w:cs="Times New Roman"/>
          <w:b/>
          <w:b/>
          <w:sz w:val="28"/>
          <w:szCs w:val="28"/>
        </w:rPr>
      </w:pPr>
      <w:bookmarkStart w:id="81" w:name="mbm"/>
      <w:r>
        <w:rPr>
          <w:rFonts w:cs="Times New Roman" w:eastAsia="華康中黑體"/>
          <w:b/>
          <w:sz w:val="28"/>
          <w:szCs w:val="28"/>
        </w:rPr>
        <w:t>議員議案</w:t>
      </w:r>
    </w:p>
    <w:p>
      <w:pPr>
        <w:pStyle w:val="Normal"/>
        <w:overflowPunct w:val="true"/>
        <w:spacing w:lineRule="atLeast" w:line="370"/>
        <w:rPr>
          <w:rFonts w:eastAsia="華康中黑體"/>
          <w:b/>
          <w:b/>
          <w:spacing w:val="20"/>
          <w:sz w:val="27"/>
          <w:szCs w:val="22"/>
          <w:lang w:val="en-US"/>
        </w:rPr>
      </w:pPr>
      <w:bookmarkStart w:id="82" w:name="mbm"/>
      <w:r>
        <w:rPr>
          <w:b/>
        </w:rPr>
        <w:t>MEMBERS' MOTIONS</w:t>
      </w:r>
      <w:bookmarkEnd w:id="82"/>
    </w:p>
    <w:p>
      <w:pPr>
        <w:pStyle w:val="F21"/>
        <w:overflowPunct w:val="true"/>
        <w:spacing w:lineRule="atLeast" w:line="370"/>
        <w:rPr>
          <w:rFonts w:cs="Times New Roman"/>
        </w:rPr>
      </w:pPr>
      <w:r>
        <w:rPr>
          <w:rFonts w:cs="Times New Roman"/>
        </w:rPr>
      </w:r>
    </w:p>
    <w:p>
      <w:pPr>
        <w:pStyle w:val="F21"/>
        <w:overflowPunct w:val="true"/>
        <w:spacing w:lineRule="atLeast" w:line="370"/>
        <w:rPr>
          <w:szCs w:val="27"/>
        </w:rPr>
      </w:pPr>
      <w:r>
        <w:rPr>
          <w:rFonts w:eastAsia="華康中黑體"/>
          <w:b/>
          <w:szCs w:val="27"/>
        </w:rPr>
        <w:t>主席</w:t>
      </w:r>
      <w:r>
        <w:rPr>
          <w:szCs w:val="27"/>
        </w:rPr>
        <w:t>：議員議案。</w:t>
      </w:r>
    </w:p>
    <w:p>
      <w:pPr>
        <w:pStyle w:val="F21"/>
        <w:overflowPunct w:val="true"/>
        <w:spacing w:lineRule="atLeast" w:line="370"/>
        <w:rPr>
          <w:szCs w:val="27"/>
        </w:rPr>
      </w:pPr>
      <w:r>
        <w:rPr>
          <w:szCs w:val="27"/>
        </w:rPr>
      </w:r>
    </w:p>
    <w:p>
      <w:pPr>
        <w:pStyle w:val="F21"/>
        <w:overflowPunct w:val="true"/>
        <w:spacing w:lineRule="atLeast" w:line="370"/>
        <w:rPr>
          <w:szCs w:val="27"/>
        </w:rPr>
      </w:pPr>
      <w:r>
        <w:rPr>
          <w:szCs w:val="27"/>
        </w:rPr>
        <w:tab/>
      </w:r>
      <w:r>
        <w:rPr>
          <w:szCs w:val="27"/>
        </w:rPr>
        <w:t>無立法效力的議案辯論。</w:t>
      </w:r>
    </w:p>
    <w:p>
      <w:pPr>
        <w:pStyle w:val="F21"/>
        <w:overflowPunct w:val="true"/>
        <w:spacing w:lineRule="atLeast" w:line="370"/>
        <w:rPr>
          <w:szCs w:val="27"/>
        </w:rPr>
      </w:pPr>
      <w:r>
        <w:rPr>
          <w:szCs w:val="27"/>
        </w:rPr>
      </w:r>
    </w:p>
    <w:p>
      <w:pPr>
        <w:pStyle w:val="F21"/>
        <w:overflowPunct w:val="true"/>
        <w:spacing w:lineRule="atLeast" w:line="370"/>
        <w:rPr>
          <w:szCs w:val="27"/>
        </w:rPr>
      </w:pPr>
      <w:r>
        <w:rPr>
          <w:rFonts w:cs="Times New Roman"/>
          <w:szCs w:val="27"/>
        </w:rPr>
        <w:tab/>
        <w:t>"</w:t>
      </w:r>
      <w:r>
        <w:rPr>
          <w:szCs w:val="27"/>
        </w:rPr>
        <w:t>毋忘六四</w:t>
      </w:r>
      <w:r>
        <w:rPr>
          <w:rFonts w:cs="Times New Roman"/>
          <w:szCs w:val="27"/>
        </w:rPr>
        <w:t>"</w:t>
      </w:r>
      <w:r>
        <w:rPr>
          <w:szCs w:val="27"/>
        </w:rPr>
        <w:t>議案。</w:t>
      </w:r>
    </w:p>
    <w:p>
      <w:pPr>
        <w:pStyle w:val="F21"/>
        <w:overflowPunct w:val="true"/>
        <w:spacing w:lineRule="atLeast" w:line="370"/>
        <w:rPr>
          <w:szCs w:val="27"/>
        </w:rPr>
      </w:pPr>
      <w:r>
        <w:rPr>
          <w:szCs w:val="27"/>
        </w:rPr>
      </w:r>
    </w:p>
    <w:p>
      <w:pPr>
        <w:pStyle w:val="F21"/>
        <w:overflowPunct w:val="true"/>
        <w:spacing w:lineRule="atLeast" w:line="370"/>
        <w:rPr>
          <w:szCs w:val="27"/>
        </w:rPr>
      </w:pPr>
      <w:r>
        <w:rPr>
          <w:szCs w:val="27"/>
        </w:rPr>
        <w:tab/>
      </w:r>
      <w:r>
        <w:rPr>
          <w:szCs w:val="27"/>
        </w:rPr>
        <w:t>有意發言的議員請按</w:t>
      </w:r>
      <w:r>
        <w:rPr>
          <w:rFonts w:cs="Times New Roman"/>
          <w:szCs w:val="27"/>
        </w:rPr>
        <w:t>"</w:t>
      </w:r>
      <w:r>
        <w:rPr>
          <w:szCs w:val="27"/>
        </w:rPr>
        <w:t>要求發言</w:t>
      </w:r>
      <w:r>
        <w:rPr>
          <w:rFonts w:cs="Times New Roman"/>
          <w:szCs w:val="27"/>
        </w:rPr>
        <w:t>"</w:t>
      </w:r>
      <w:r>
        <w:rPr>
          <w:szCs w:val="27"/>
        </w:rPr>
        <w:t>按鈕。</w:t>
      </w:r>
    </w:p>
    <w:p>
      <w:pPr>
        <w:pStyle w:val="F21"/>
        <w:overflowPunct w:val="true"/>
        <w:spacing w:lineRule="atLeast" w:line="370"/>
        <w:rPr>
          <w:szCs w:val="27"/>
        </w:rPr>
      </w:pPr>
      <w:r>
        <w:rPr>
          <w:szCs w:val="27"/>
        </w:rPr>
      </w:r>
    </w:p>
    <w:p>
      <w:pPr>
        <w:pStyle w:val="F21"/>
        <w:overflowPunct w:val="true"/>
        <w:spacing w:lineRule="atLeast" w:line="370"/>
        <w:rPr>
          <w:szCs w:val="27"/>
        </w:rPr>
      </w:pPr>
      <w:r>
        <w:rPr>
          <w:szCs w:val="27"/>
        </w:rPr>
        <w:tab/>
      </w:r>
      <w:r>
        <w:rPr>
          <w:szCs w:val="27"/>
        </w:rPr>
        <w:t>我請胡志偉議員發言及動議議案。</w:t>
      </w:r>
    </w:p>
    <w:p>
      <w:pPr>
        <w:pStyle w:val="F21"/>
        <w:overflowPunct w:val="true"/>
        <w:spacing w:lineRule="atLeast" w:line="370"/>
        <w:rPr>
          <w:rFonts w:cs="Times New Roman"/>
        </w:rPr>
      </w:pPr>
      <w:r>
        <w:rPr>
          <w:rFonts w:cs="Times New Roman"/>
        </w:rPr>
      </w:r>
    </w:p>
    <w:p>
      <w:pPr>
        <w:pStyle w:val="F21"/>
        <w:overflowPunct w:val="true"/>
        <w:spacing w:lineRule="atLeast" w:line="370"/>
        <w:rPr>
          <w:rFonts w:cs="Times New Roman"/>
        </w:rPr>
      </w:pPr>
      <w:r>
        <w:rPr>
          <w:rFonts w:cs="Times New Roman"/>
        </w:rPr>
      </w:r>
    </w:p>
    <w:p>
      <w:pPr>
        <w:pStyle w:val="F21"/>
        <w:overflowPunct w:val="true"/>
        <w:spacing w:lineRule="atLeast" w:line="370"/>
        <w:rPr>
          <w:rFonts w:eastAsia="華康中黑體" w:cs="Times New Roman"/>
          <w:b/>
          <w:b/>
        </w:rPr>
      </w:pPr>
      <w:bookmarkStart w:id="83" w:name="mbm01"/>
      <w:r>
        <w:rPr>
          <w:rFonts w:eastAsia="華康中黑體" w:cs="Times New Roman"/>
          <w:b/>
        </w:rPr>
        <w:t>"</w:t>
      </w:r>
      <w:r>
        <w:rPr>
          <w:rFonts w:cs="Times New Roman" w:eastAsia="華康中黑體"/>
          <w:b/>
        </w:rPr>
        <w:t>毋忘六四</w:t>
      </w:r>
      <w:r>
        <w:rPr>
          <w:rFonts w:eastAsia="華康中黑體" w:cs="Times New Roman"/>
          <w:b/>
        </w:rPr>
        <w:t>"</w:t>
      </w:r>
      <w:r>
        <w:rPr>
          <w:rFonts w:cs="Times New Roman" w:eastAsia="華康中黑體"/>
          <w:b/>
        </w:rPr>
        <w:t>議案</w:t>
      </w:r>
    </w:p>
    <w:p>
      <w:pPr>
        <w:pStyle w:val="Normal"/>
        <w:overflowPunct w:val="true"/>
        <w:spacing w:lineRule="atLeast" w:line="370"/>
        <w:rPr>
          <w:b/>
          <w:b/>
        </w:rPr>
      </w:pPr>
      <w:bookmarkStart w:id="84" w:name="mbm01"/>
      <w:r>
        <w:rPr>
          <w:b/>
          <w:caps/>
        </w:rPr>
        <w:t>Motion on "Not forgetting the 4 June incident"</w:t>
      </w:r>
      <w:bookmarkEnd w:id="84"/>
    </w:p>
    <w:p>
      <w:pPr>
        <w:pStyle w:val="F21"/>
        <w:overflowPunct w:val="true"/>
        <w:spacing w:lineRule="atLeast" w:line="370"/>
        <w:rPr>
          <w:rFonts w:cs="Times New Roman"/>
        </w:rPr>
      </w:pPr>
      <w:r>
        <w:rPr>
          <w:rFonts w:cs="Times New Roman"/>
        </w:rPr>
      </w:r>
    </w:p>
    <w:p>
      <w:pPr>
        <w:pStyle w:val="F21"/>
        <w:overflowPunct w:val="true"/>
        <w:spacing w:lineRule="atLeast" w:line="370"/>
        <w:rPr/>
      </w:pPr>
      <w:r>
        <w:rPr>
          <w:rFonts w:eastAsia="華康中黑體"/>
          <w:b/>
        </w:rPr>
        <w:t>胡志偉議員</w:t>
      </w:r>
      <w:r>
        <w:rPr/>
        <w:t>：主席，我動議我的議案。在</w:t>
      </w:r>
      <w:r>
        <w:rPr/>
        <w:t>30</w:t>
      </w:r>
      <w:r>
        <w:rPr/>
        <w:t>年前的</w:t>
      </w:r>
      <w:r>
        <w:rPr/>
        <w:t>4</w:t>
      </w:r>
      <w:r>
        <w:rPr/>
        <w:t>月</w:t>
      </w:r>
      <w:r>
        <w:rPr/>
        <w:t>3</w:t>
      </w:r>
      <w:r>
        <w:rPr/>
        <w:t>日，很多中國人原本以為當時只是一個普通的</w:t>
      </w:r>
      <w:r>
        <w:rPr/>
        <w:t>4</w:t>
      </w:r>
      <w:r>
        <w:rPr/>
        <w:t>月，在改革開放的大潮流下，</w:t>
      </w:r>
      <w:r>
        <w:rPr/>
        <w:t>"</w:t>
      </w:r>
      <w:r>
        <w:rPr/>
        <w:t>搵錢</w:t>
      </w:r>
      <w:r>
        <w:rPr/>
        <w:t>"</w:t>
      </w:r>
      <w:r>
        <w:rPr/>
        <w:t>的繼續</w:t>
      </w:r>
      <w:r>
        <w:rPr/>
        <w:t>"</w:t>
      </w:r>
      <w:r>
        <w:rPr/>
        <w:t>搵錢</w:t>
      </w:r>
      <w:r>
        <w:rPr/>
        <w:t>"</w:t>
      </w:r>
      <w:r>
        <w:rPr/>
        <w:t>，</w:t>
      </w:r>
      <w:r>
        <w:rPr/>
        <w:t>"</w:t>
      </w:r>
      <w:r>
        <w:rPr/>
        <w:t>下海</w:t>
      </w:r>
      <w:r>
        <w:rPr/>
        <w:t>"</w:t>
      </w:r>
      <w:r>
        <w:rPr/>
        <w:t>的繼續</w:t>
      </w:r>
      <w:r>
        <w:rPr/>
        <w:t>"</w:t>
      </w:r>
      <w:r>
        <w:rPr/>
        <w:t>下海</w:t>
      </w:r>
      <w:r>
        <w:rPr/>
        <w:t>"</w:t>
      </w:r>
      <w:r>
        <w:rPr/>
        <w:t>，誰也沒想過當月會開啟一場影響後世至今的民主運動。</w:t>
      </w:r>
    </w:p>
    <w:p>
      <w:pPr>
        <w:pStyle w:val="F21"/>
        <w:overflowPunct w:val="true"/>
        <w:spacing w:lineRule="atLeast" w:line="370"/>
        <w:rPr/>
      </w:pPr>
      <w:r>
        <w:rPr/>
      </w:r>
    </w:p>
    <w:p>
      <w:pPr>
        <w:pStyle w:val="F21"/>
        <w:overflowPunct w:val="true"/>
        <w:spacing w:lineRule="atLeast" w:line="370"/>
        <w:rPr/>
      </w:pPr>
      <w:r>
        <w:rPr/>
        <w:tab/>
      </w:r>
      <w:r>
        <w:rPr/>
        <w:t>周恩來的去世引發了</w:t>
      </w:r>
      <w:r>
        <w:rPr/>
        <w:t>1976</w:t>
      </w:r>
      <w:r>
        <w:rPr/>
        <w:t>年的四五運動，是</w:t>
      </w:r>
      <w:r>
        <w:rPr/>
        <w:t>1949</w:t>
      </w:r>
      <w:r>
        <w:rPr/>
        <w:t>年後中國人民自發的反對政權運動。當時北京市上百萬群眾，從早到晚自發地聚集在天安門廣場，舉行宣誓、默哀、演講、朗誦、抄詩等活動。在人民英雄紀念碑前獻花圈、貼傳單、作詩詞，悼念周恩來，聲討</w:t>
      </w:r>
      <w:r>
        <w:rPr/>
        <w:t>"</w:t>
      </w:r>
      <w:r>
        <w:rPr/>
        <w:t>四人幫</w:t>
      </w:r>
      <w:r>
        <w:rPr/>
        <w:t>"</w:t>
      </w:r>
      <w:r>
        <w:rPr/>
        <w:t>。雖然當時中央政治局將事件定性為反革命政治事件，但毛澤東死後，加上</w:t>
      </w:r>
      <w:r>
        <w:rPr/>
        <w:t>"</w:t>
      </w:r>
      <w:r>
        <w:rPr/>
        <w:t>四人幫</w:t>
      </w:r>
      <w:r>
        <w:rPr/>
        <w:t>"</w:t>
      </w:r>
      <w:r>
        <w:rPr/>
        <w:t>倒台，不足兩年，四五運動便獲得平反，鄧小平復出，亦開啟了中國經濟改革的道路。</w:t>
      </w:r>
    </w:p>
    <w:p>
      <w:pPr>
        <w:pStyle w:val="F21"/>
        <w:overflowPunct w:val="true"/>
        <w:spacing w:lineRule="atLeast" w:line="370"/>
        <w:rPr/>
      </w:pPr>
      <w:r>
        <w:rPr/>
      </w:r>
    </w:p>
    <w:p>
      <w:pPr>
        <w:pStyle w:val="F21"/>
        <w:overflowPunct w:val="true"/>
        <w:spacing w:lineRule="atLeast" w:line="370"/>
        <w:rPr/>
      </w:pPr>
      <w:r>
        <w:rPr/>
        <w:tab/>
      </w:r>
      <w:r>
        <w:rPr/>
        <w:t>胡耀邦的逝世引發了六四運動，這是一場影響更為深遠而席捲全國、影響世界的民主運動。不過，這場民主運動換來的是《人民日報》在</w:t>
      </w:r>
      <w:r>
        <w:rPr/>
        <w:t>4</w:t>
      </w:r>
      <w:r>
        <w:rPr/>
        <w:t>月</w:t>
      </w:r>
      <w:r>
        <w:rPr/>
        <w:t>26</w:t>
      </w:r>
      <w:r>
        <w:rPr/>
        <w:t>日社論中將這場運動定性為一場叛亂，其後在</w:t>
      </w:r>
      <w:r>
        <w:rPr/>
        <w:t>5</w:t>
      </w:r>
      <w:r>
        <w:rPr/>
        <w:t>月</w:t>
      </w:r>
      <w:r>
        <w:rPr/>
        <w:t>20</w:t>
      </w:r>
      <w:r>
        <w:rPr/>
        <w:t>日北京戒嚴，繼而在</w:t>
      </w:r>
      <w:r>
        <w:rPr/>
        <w:t>6</w:t>
      </w:r>
      <w:r>
        <w:rPr/>
        <w:t>月</w:t>
      </w:r>
      <w:r>
        <w:rPr/>
        <w:t>4</w:t>
      </w:r>
      <w:r>
        <w:rPr/>
        <w:t>日的鎮壓行動，令無數學生和平民死傷。與四五運動不同的，是六四運動過了</w:t>
      </w:r>
      <w:r>
        <w:rPr/>
        <w:t>30</w:t>
      </w:r>
      <w:r>
        <w:rPr/>
        <w:t>年仍未獲得平反。鄧小平之後，一代一代的領導人繼續接任，但共產黨仍然一黨專政。</w:t>
      </w:r>
    </w:p>
    <w:p>
      <w:pPr>
        <w:pStyle w:val="Normal"/>
        <w:widowControl/>
        <w:tabs>
          <w:tab w:val="clear" w:pos="720"/>
        </w:tabs>
        <w:snapToGrid w:val="true"/>
        <w:spacing w:lineRule="auto" w:line="276" w:before="0" w:after="200"/>
        <w:jc w:val="left"/>
        <w:rPr/>
      </w:pPr>
      <w:r>
        <w:rPr/>
      </w:r>
      <w:r>
        <w:br w:type="page"/>
      </w:r>
    </w:p>
    <w:p>
      <w:pPr>
        <w:pStyle w:val="F21"/>
        <w:overflowPunct w:val="true"/>
        <w:rPr/>
      </w:pPr>
      <w:r>
        <w:rPr/>
        <w:tab/>
      </w:r>
      <w:r>
        <w:rPr/>
        <w:t>過去</w:t>
      </w:r>
      <w:r>
        <w:rPr/>
        <w:t>30</w:t>
      </w:r>
      <w:r>
        <w:rPr/>
        <w:t>年，中國財大氣粗，共產黨的專政集權從無一絲放鬆的趨向。習近平更推翻了國家主席只能連任兩屆的規定，開展了</w:t>
      </w:r>
      <w:r>
        <w:rPr/>
        <w:t>"</w:t>
      </w:r>
      <w:r>
        <w:rPr/>
        <w:t>習家天下</w:t>
      </w:r>
      <w:r>
        <w:rPr/>
        <w:t>"</w:t>
      </w:r>
      <w:r>
        <w:rPr/>
        <w:t>的封建王朝。平反六四血案，追究屠城責任，結束一黨專政的道路越走越遠，要為死難者討回公義更是遙遙無期。家屬連拜祭和悼念死難者也受到監視。所以，每年的燭光晚會其實是香港人利用我們僅有的自由空間來為死難者申張公義，亦是為死難者家屬</w:t>
      </w:r>
      <w:r>
        <w:rPr/>
        <w:t>"</w:t>
      </w:r>
      <w:r>
        <w:rPr/>
        <w:t>打氣</w:t>
      </w:r>
      <w:r>
        <w:rPr/>
        <w:t>"</w:t>
      </w:r>
      <w:r>
        <w:rPr/>
        <w:t>的活動，因為人民沒有忘記六四血案，中共屠夫政權亦必定有一天被追究責任。</w:t>
      </w:r>
    </w:p>
    <w:p>
      <w:pPr>
        <w:pStyle w:val="F21"/>
        <w:overflowPunct w:val="true"/>
        <w:rPr/>
      </w:pPr>
      <w:r>
        <w:rPr/>
      </w:r>
    </w:p>
    <w:p>
      <w:pPr>
        <w:pStyle w:val="F21"/>
        <w:overflowPunct w:val="true"/>
        <w:rPr/>
      </w:pPr>
      <w:r>
        <w:rPr/>
        <w:tab/>
      </w:r>
      <w:r>
        <w:rPr/>
        <w:t>六四事件已經過了</w:t>
      </w:r>
      <w:r>
        <w:rPr/>
        <w:t>30</w:t>
      </w:r>
      <w:r>
        <w:rPr/>
        <w:t>年，一直都是一場記憶、淡化與遺忘的鬥爭。很多人以為歷史已經存在，便不會被忘記，但內地政府通過各種宣傳和教育，把六四血案淡化為春夏之交的風波。內地互聯網屏蔽了所有與六四血案相關的關鍵詞，今天絕大部分內地的年青一代根本不知道</w:t>
      </w:r>
      <w:r>
        <w:rPr/>
        <w:t>30</w:t>
      </w:r>
      <w:r>
        <w:rPr/>
        <w:t>年前有一場影響深遠、波瀾壯闊的社會運動。</w:t>
      </w:r>
    </w:p>
    <w:p>
      <w:pPr>
        <w:pStyle w:val="F21"/>
        <w:overflowPunct w:val="true"/>
        <w:rPr/>
      </w:pPr>
      <w:r>
        <w:rPr/>
      </w:r>
    </w:p>
    <w:p>
      <w:pPr>
        <w:pStyle w:val="F21"/>
        <w:overflowPunct w:val="true"/>
        <w:rPr/>
      </w:pPr>
      <w:r>
        <w:rPr/>
        <w:tab/>
      </w:r>
      <w:r>
        <w:rPr/>
        <w:t>兩年前，教育局展開修訂初中中史課程的第二階段諮詢，公布了課程大綱，但大綱並不包括六七暴動、六四等事件。負責修訂課程的專責委員會主席梁元生指六七暴動、六四事件在中國發展中並不重要。在當權者眼中，重塑歷史一直都是重要的課題，所以六七暴動不重要，甚至開始有左派為六七暴動隱惡揚善。官方想漂白六七暴動對當時社會和市民的傷害，所以，民間紀錄片</w:t>
      </w:r>
      <w:r>
        <w:rPr/>
        <w:t>"</w:t>
      </w:r>
      <w:r>
        <w:rPr/>
        <w:t>消失的檔案</w:t>
      </w:r>
      <w:r>
        <w:rPr/>
        <w:t>"</w:t>
      </w:r>
      <w:r>
        <w:rPr/>
        <w:t>不能在戲院正式播放，官方不想市民可以從官方角度以外還原當時的歷史。如果六七暴動不重要，英國政府其後便不會開始推行不少改革措施，嘗試解決當時社會的深層次矛盾。六四事件比六七暴動的影響更深更遠，即使從中國歷史的本位來看，說六四不重要，明顯是缺乏歷史視野。</w:t>
      </w:r>
    </w:p>
    <w:p>
      <w:pPr>
        <w:pStyle w:val="F21"/>
        <w:overflowPunct w:val="true"/>
        <w:rPr/>
      </w:pPr>
      <w:r>
        <w:rPr/>
      </w:r>
    </w:p>
    <w:p>
      <w:pPr>
        <w:pStyle w:val="F21"/>
        <w:overflowPunct w:val="true"/>
        <w:rPr/>
      </w:pPr>
      <w:r>
        <w:rPr/>
        <w:tab/>
      </w:r>
      <w:r>
        <w:rPr/>
        <w:t>三十年前的事猶如昨天在我眼前發生，至今仍然歷歷在目，</w:t>
      </w:r>
      <w:r>
        <w:rPr/>
        <w:t>30</w:t>
      </w:r>
      <w:r>
        <w:rPr/>
        <w:t>年前後的人，有些離開了，有些至今仍然在世；有些變了臉，有些仍然堅持；有些選擇面對，有些選擇遺忘或逃避。</w:t>
      </w:r>
    </w:p>
    <w:p>
      <w:pPr>
        <w:pStyle w:val="F21"/>
        <w:overflowPunct w:val="true"/>
        <w:rPr>
          <w:szCs w:val="27"/>
        </w:rPr>
      </w:pPr>
      <w:r>
        <w:rPr>
          <w:szCs w:val="27"/>
        </w:rPr>
      </w:r>
    </w:p>
    <w:p>
      <w:pPr>
        <w:pStyle w:val="F21"/>
        <w:overflowPunct w:val="true"/>
        <w:rPr>
          <w:szCs w:val="27"/>
        </w:rPr>
      </w:pPr>
      <w:r>
        <w:rPr>
          <w:szCs w:val="27"/>
        </w:rPr>
        <w:tab/>
      </w:r>
      <w:r>
        <w:rPr>
          <w:szCs w:val="27"/>
        </w:rPr>
        <w:t>我手上有一本</w:t>
      </w:r>
      <w:r>
        <w:rPr/>
        <w:t>《</w:t>
      </w:r>
      <w:r>
        <w:rPr>
          <w:szCs w:val="27"/>
        </w:rPr>
        <w:t>八九中國民運報章廣告專輯</w:t>
      </w:r>
      <w:r>
        <w:rPr/>
        <w:t>》</w:t>
      </w:r>
      <w:r>
        <w:rPr>
          <w:szCs w:val="27"/>
        </w:rPr>
        <w:t>，我想藉此機會讀出當時一些十分重要的廣告，當中包括了新華社，新華社在其題為</w:t>
      </w:r>
      <w:r>
        <w:rPr/>
        <w:t>"</w:t>
      </w:r>
      <w:r>
        <w:rPr>
          <w:szCs w:val="27"/>
        </w:rPr>
        <w:t>沉痛的呼籲</w:t>
      </w:r>
      <w:r>
        <w:rPr/>
        <w:t>"</w:t>
      </w:r>
      <w:r>
        <w:rPr/>
        <w:t>的聲明中說</w:t>
      </w:r>
      <w:r>
        <w:rPr>
          <w:szCs w:val="27"/>
        </w:rPr>
        <w:t>：我們對在首都發生的血腥鎮壓、殺害愛國學生和人民群眾的暴行極度憤慨！我們呼籲：全港中資機構員工於</w:t>
      </w:r>
      <w:r>
        <w:rPr>
          <w:szCs w:val="27"/>
        </w:rPr>
        <w:t>6</w:t>
      </w:r>
      <w:r>
        <w:rPr>
          <w:szCs w:val="27"/>
        </w:rPr>
        <w:t>月</w:t>
      </w:r>
      <w:r>
        <w:rPr>
          <w:szCs w:val="27"/>
        </w:rPr>
        <w:t>5</w:t>
      </w:r>
      <w:r>
        <w:rPr>
          <w:szCs w:val="27"/>
        </w:rPr>
        <w:t>日以各種形式為死難愛國同胞沉痛致哀。</w:t>
      </w:r>
    </w:p>
    <w:p>
      <w:pPr>
        <w:pStyle w:val="F21"/>
        <w:overflowPunct w:val="true"/>
        <w:rPr>
          <w:szCs w:val="27"/>
        </w:rPr>
      </w:pPr>
      <w:r>
        <w:rPr>
          <w:szCs w:val="27"/>
        </w:rPr>
      </w:r>
    </w:p>
    <w:p>
      <w:pPr>
        <w:pStyle w:val="F21"/>
        <w:overflowPunct w:val="true"/>
        <w:rPr>
          <w:szCs w:val="27"/>
        </w:rPr>
      </w:pPr>
      <w:r>
        <w:rPr>
          <w:szCs w:val="27"/>
        </w:rPr>
        <w:tab/>
      </w:r>
      <w:r>
        <w:rPr>
          <w:szCs w:val="27"/>
        </w:rPr>
        <w:t>接着是香港工會聯合會的聲明，當中有六點：一，強烈譴責北京當權者</w:t>
      </w:r>
      <w:r>
        <w:rPr>
          <w:szCs w:val="27"/>
        </w:rPr>
        <w:t>6</w:t>
      </w:r>
      <w:r>
        <w:rPr>
          <w:szCs w:val="27"/>
        </w:rPr>
        <w:t>月</w:t>
      </w:r>
      <w:r>
        <w:rPr>
          <w:szCs w:val="27"/>
        </w:rPr>
        <w:t>4</w:t>
      </w:r>
      <w:r>
        <w:rPr>
          <w:szCs w:val="27"/>
        </w:rPr>
        <w:t>日對學生、群眾的血腥鎮壓暴行；二，北京當權者必須立刻停止一切鎮壓和搜捕行動；三，對六四事件中的死難學生、群眾表示沉痛哀悼；四，全港工人立刻行動起來，通過各種形式和渠道，把六四事件的真相告知內地親友；五，呼籲全港工人根據本行業的實際，以各種形式參加六七哀悼日的活動；六，全港各階層市民保持冷靜，同心同德，以實際行動穩定香港，並繼續以積極、理智及和平的態度支持國內的愛國民主運動。</w:t>
      </w:r>
    </w:p>
    <w:p>
      <w:pPr>
        <w:pStyle w:val="F21"/>
        <w:overflowPunct w:val="true"/>
        <w:rPr>
          <w:szCs w:val="27"/>
        </w:rPr>
      </w:pPr>
      <w:r>
        <w:rPr>
          <w:szCs w:val="27"/>
        </w:rPr>
      </w:r>
    </w:p>
    <w:p>
      <w:pPr>
        <w:pStyle w:val="F21"/>
        <w:overflowPunct w:val="true"/>
        <w:rPr>
          <w:szCs w:val="27"/>
        </w:rPr>
      </w:pPr>
      <w:r>
        <w:rPr>
          <w:szCs w:val="27"/>
        </w:rPr>
        <w:tab/>
      </w:r>
      <w:r>
        <w:rPr>
          <w:szCs w:val="27"/>
        </w:rPr>
        <w:t>梁振英深切哀悼所有壯烈成仁的北京愛國同胞，強烈譴責中共當權者血腥屠殺中國人民，向《文匯報》全體員工致崇高敬意。還有梁錦松、鍾瑞明、梁振英、羅嘉瑞、陸文強、譚兆璋、馮可強、費大雄、周安橋及陳新燊刊登的廣告：我們強烈譴責北京當局濫殺市民的冷血暴行，並沉痛哀悼為民主進步的中國而犧牲的愛國同胞，我們呼籲全港財經工作者保持冷靜、理智，緊守崗位，保持香港的繁榮及國際金融中心的地位，以爭取九七年後香港的高度自治與自由。</w:t>
      </w:r>
    </w:p>
    <w:p>
      <w:pPr>
        <w:pStyle w:val="F21"/>
        <w:overflowPunct w:val="true"/>
        <w:rPr>
          <w:szCs w:val="27"/>
        </w:rPr>
      </w:pPr>
      <w:r>
        <w:rPr>
          <w:szCs w:val="27"/>
        </w:rPr>
      </w:r>
    </w:p>
    <w:p>
      <w:pPr>
        <w:pStyle w:val="F21"/>
        <w:overflowPunct w:val="true"/>
        <w:rPr>
          <w:szCs w:val="27"/>
        </w:rPr>
      </w:pPr>
      <w:r>
        <w:rPr>
          <w:szCs w:val="27"/>
        </w:rPr>
        <w:tab/>
      </w:r>
      <w:r>
        <w:rPr>
          <w:szCs w:val="27"/>
        </w:rPr>
        <w:t>我剛才朗讀的都是親中或親建制的人和組織當天登報譴責中共血腥屠城的廣告，難道他們當天所見所聞是被誤導，還是他們當天的記憶已被抹去？</w:t>
      </w:r>
    </w:p>
    <w:p>
      <w:pPr>
        <w:pStyle w:val="F21"/>
        <w:overflowPunct w:val="true"/>
        <w:rPr>
          <w:szCs w:val="27"/>
        </w:rPr>
      </w:pPr>
      <w:r>
        <w:rPr>
          <w:szCs w:val="27"/>
        </w:rPr>
      </w:r>
    </w:p>
    <w:p>
      <w:pPr>
        <w:pStyle w:val="F21"/>
        <w:overflowPunct w:val="true"/>
        <w:rPr>
          <w:szCs w:val="27"/>
        </w:rPr>
      </w:pPr>
      <w:r>
        <w:rPr>
          <w:szCs w:val="27"/>
        </w:rPr>
        <w:tab/>
      </w:r>
      <w:r>
        <w:rPr>
          <w:szCs w:val="27"/>
        </w:rPr>
        <w:t>九七回歸，</w:t>
      </w:r>
      <w:r>
        <w:rPr>
          <w:szCs w:val="27"/>
        </w:rPr>
        <w:t>1997</w:t>
      </w:r>
      <w:r>
        <w:rPr>
          <w:szCs w:val="27"/>
        </w:rPr>
        <w:t>年</w:t>
      </w:r>
      <w:r>
        <w:rPr>
          <w:szCs w:val="27"/>
        </w:rPr>
        <w:t>5</w:t>
      </w:r>
      <w:r>
        <w:rPr>
          <w:szCs w:val="27"/>
        </w:rPr>
        <w:t>月</w:t>
      </w:r>
      <w:r>
        <w:rPr>
          <w:szCs w:val="27"/>
        </w:rPr>
        <w:t>21</w:t>
      </w:r>
      <w:r>
        <w:rPr>
          <w:szCs w:val="27"/>
        </w:rPr>
        <w:t>日，司徒華先生</w:t>
      </w:r>
      <w:r>
        <w:rPr>
          <w:szCs w:val="27"/>
        </w:rPr>
        <w:t>("</w:t>
      </w:r>
      <w:r>
        <w:rPr>
          <w:szCs w:val="27"/>
        </w:rPr>
        <w:t>華叔</w:t>
      </w:r>
      <w:r>
        <w:rPr>
          <w:szCs w:val="27"/>
        </w:rPr>
        <w:t>")</w:t>
      </w:r>
      <w:r>
        <w:rPr>
          <w:szCs w:val="27"/>
        </w:rPr>
        <w:t>在回歸前的立法局會議上第一次提出六四議案，亦是香港立法機關歷史上唯一一次獲得通過的六四議案。</w:t>
      </w:r>
      <w:r>
        <w:rPr>
          <w:szCs w:val="27"/>
        </w:rPr>
        <w:t>"</w:t>
      </w:r>
      <w:r>
        <w:rPr>
          <w:szCs w:val="27"/>
        </w:rPr>
        <w:t>華叔</w:t>
      </w:r>
      <w:r>
        <w:rPr>
          <w:szCs w:val="27"/>
        </w:rPr>
        <w:t>"</w:t>
      </w:r>
      <w:r>
        <w:rPr>
          <w:szCs w:val="27"/>
        </w:rPr>
        <w:t>說：在中國近代史上，從</w:t>
      </w:r>
      <w:r>
        <w:rPr>
          <w:szCs w:val="27"/>
        </w:rPr>
        <w:t>"</w:t>
      </w:r>
      <w:r>
        <w:rPr>
          <w:szCs w:val="27"/>
        </w:rPr>
        <w:t>五四</w:t>
      </w:r>
      <w:r>
        <w:rPr>
          <w:szCs w:val="27"/>
        </w:rPr>
        <w:t>"</w:t>
      </w:r>
      <w:r>
        <w:rPr>
          <w:szCs w:val="27"/>
        </w:rPr>
        <w:t>到</w:t>
      </w:r>
      <w:r>
        <w:rPr>
          <w:szCs w:val="27"/>
        </w:rPr>
        <w:t>"</w:t>
      </w:r>
      <w:r>
        <w:rPr>
          <w:szCs w:val="27"/>
        </w:rPr>
        <w:t>一二九</w:t>
      </w:r>
      <w:r>
        <w:rPr>
          <w:szCs w:val="27"/>
        </w:rPr>
        <w:t>"</w:t>
      </w:r>
      <w:r>
        <w:rPr>
          <w:szCs w:val="27"/>
        </w:rPr>
        <w:t>，從</w:t>
      </w:r>
      <w:r>
        <w:rPr>
          <w:szCs w:val="27"/>
        </w:rPr>
        <w:t>"</w:t>
      </w:r>
      <w:r>
        <w:rPr>
          <w:szCs w:val="27"/>
        </w:rPr>
        <w:t>一二九</w:t>
      </w:r>
      <w:r>
        <w:rPr>
          <w:szCs w:val="27"/>
        </w:rPr>
        <w:t>"</w:t>
      </w:r>
      <w:r>
        <w:rPr>
          <w:szCs w:val="27"/>
        </w:rPr>
        <w:t>到</w:t>
      </w:r>
      <w:r>
        <w:rPr>
          <w:szCs w:val="27"/>
        </w:rPr>
        <w:t>"</w:t>
      </w:r>
      <w:r>
        <w:rPr>
          <w:szCs w:val="27"/>
        </w:rPr>
        <w:t>反饑餓，反內戰</w:t>
      </w:r>
      <w:r>
        <w:rPr>
          <w:szCs w:val="27"/>
        </w:rPr>
        <w:t>"</w:t>
      </w:r>
      <w:r>
        <w:rPr>
          <w:szCs w:val="27"/>
        </w:rPr>
        <w:t>，每一次的學生運動，都成為了時代的先鋒，反映了社會的良知，推動了歷史的進步。鎮壓學生運動，就是時代、社會和歷史的反動和渣滓。</w:t>
      </w:r>
    </w:p>
    <w:p>
      <w:pPr>
        <w:pStyle w:val="F21"/>
        <w:overflowPunct w:val="true"/>
        <w:rPr>
          <w:szCs w:val="27"/>
        </w:rPr>
      </w:pPr>
      <w:r>
        <w:rPr>
          <w:szCs w:val="27"/>
        </w:rPr>
      </w:r>
    </w:p>
    <w:p>
      <w:pPr>
        <w:pStyle w:val="F21"/>
        <w:overflowPunct w:val="true"/>
        <w:rPr>
          <w:szCs w:val="27"/>
        </w:rPr>
      </w:pPr>
      <w:r>
        <w:rPr>
          <w:szCs w:val="27"/>
        </w:rPr>
        <w:tab/>
      </w:r>
      <w:r>
        <w:rPr>
          <w:szCs w:val="27"/>
        </w:rPr>
        <w:t>今天，我們再看看六四之後的香港，大型的運動發生過兩次，一‍次是</w:t>
      </w:r>
      <w:r>
        <w:rPr>
          <w:szCs w:val="27"/>
        </w:rPr>
        <w:t>2003</w:t>
      </w:r>
      <w:r>
        <w:rPr>
          <w:szCs w:val="27"/>
        </w:rPr>
        <w:t>年的</w:t>
      </w:r>
      <w:r>
        <w:rPr>
          <w:szCs w:val="27"/>
        </w:rPr>
        <w:t>50</w:t>
      </w:r>
      <w:r>
        <w:rPr>
          <w:szCs w:val="27"/>
        </w:rPr>
        <w:t>萬人</w:t>
      </w:r>
      <w:r>
        <w:rPr>
          <w:szCs w:val="27"/>
        </w:rPr>
        <w:t>"</w:t>
      </w:r>
      <w:r>
        <w:rPr>
          <w:szCs w:val="27"/>
        </w:rPr>
        <w:t>反二十三條</w:t>
      </w:r>
      <w:r>
        <w:rPr>
          <w:szCs w:val="27"/>
        </w:rPr>
        <w:t>"</w:t>
      </w:r>
      <w:r>
        <w:rPr>
          <w:szCs w:val="27"/>
        </w:rPr>
        <w:t>遊行，另一次是</w:t>
      </w:r>
      <w:r>
        <w:rPr>
          <w:szCs w:val="27"/>
        </w:rPr>
        <w:t>5</w:t>
      </w:r>
      <w:r>
        <w:rPr>
          <w:szCs w:val="27"/>
        </w:rPr>
        <w:t>年前的雨傘運動，兩次都是連結着很深刻的民主訴求，兩次也有學生參與，尤其是後者，更是雨傘運動的先驅。</w:t>
      </w:r>
    </w:p>
    <w:p>
      <w:pPr>
        <w:pStyle w:val="F21"/>
        <w:overflowPunct w:val="true"/>
        <w:rPr>
          <w:szCs w:val="27"/>
        </w:rPr>
      </w:pPr>
      <w:r>
        <w:rPr>
          <w:szCs w:val="27"/>
        </w:rPr>
      </w:r>
    </w:p>
    <w:p>
      <w:pPr>
        <w:pStyle w:val="F21"/>
        <w:overflowPunct w:val="true"/>
        <w:rPr>
          <w:szCs w:val="27"/>
        </w:rPr>
      </w:pPr>
      <w:r>
        <w:rPr>
          <w:szCs w:val="27"/>
        </w:rPr>
        <w:tab/>
      </w:r>
      <w:r>
        <w:rPr>
          <w:szCs w:val="27"/>
        </w:rPr>
        <w:t>悼念六四是整個學生運動承先啟後的里程碑，每年的六四燭光就是呼籲所有為民主自由奮鬥的義士，革命尚未成功，同志仍須努力。堅持</w:t>
      </w:r>
      <w:r>
        <w:rPr>
          <w:szCs w:val="27"/>
        </w:rPr>
        <w:t>"</w:t>
      </w:r>
      <w:r>
        <w:rPr>
          <w:szCs w:val="27"/>
        </w:rPr>
        <w:t>平反六四，結束一黨專政</w:t>
      </w:r>
      <w:r>
        <w:rPr>
          <w:szCs w:val="27"/>
        </w:rPr>
        <w:t>"</w:t>
      </w:r>
      <w:r>
        <w:rPr>
          <w:szCs w:val="27"/>
        </w:rPr>
        <w:t>的口號可以非常容易喊出來，但要堅持</w:t>
      </w:r>
      <w:r>
        <w:rPr>
          <w:szCs w:val="27"/>
        </w:rPr>
        <w:t>30</w:t>
      </w:r>
      <w:r>
        <w:rPr>
          <w:szCs w:val="27"/>
        </w:rPr>
        <w:t>年，甚至堅持至不知何年何月才能兌現的口號，就是對專制政權最強的武器，因為通過我們的堅持，我們才能確保歷史的真相不會湮沒；通過堅持，我們才能確保薪火相傳。與專權的抗爭往往不能夠爭朝夕，我們要相信，只有堅持才能夠水滴石穿。</w:t>
      </w:r>
    </w:p>
    <w:p>
      <w:pPr>
        <w:pStyle w:val="Normal"/>
        <w:widowControl/>
        <w:tabs>
          <w:tab w:val="clear" w:pos="720"/>
        </w:tabs>
        <w:snapToGrid w:val="true"/>
        <w:spacing w:lineRule="exact" w:line="20"/>
        <w:jc w:val="left"/>
        <w:rPr>
          <w:rFonts w:cs="" w:cstheme="minorBidi"/>
          <w:spacing w:val="20"/>
          <w:sz w:val="27"/>
          <w:szCs w:val="27"/>
          <w:lang w:val="en-US"/>
        </w:rPr>
      </w:pPr>
      <w:r>
        <w:rPr>
          <w:rFonts w:cs="" w:cstheme="minorBidi"/>
          <w:spacing w:val="20"/>
          <w:sz w:val="27"/>
          <w:szCs w:val="27"/>
          <w:lang w:val="en-US"/>
        </w:rPr>
      </w:r>
      <w:r>
        <w:br w:type="page"/>
      </w:r>
    </w:p>
    <w:p>
      <w:pPr>
        <w:pStyle w:val="F21"/>
        <w:overflowPunct w:val="true"/>
        <w:rPr>
          <w:szCs w:val="27"/>
        </w:rPr>
      </w:pPr>
      <w:r>
        <w:rPr>
          <w:szCs w:val="27"/>
        </w:rPr>
        <w:tab/>
      </w:r>
      <w:r>
        <w:rPr>
          <w:szCs w:val="27"/>
        </w:rPr>
        <w:t>因此，有人說六四悼念是行禮如儀，但這亦是堅持抗爭的重要組成部分。悼念當然可以有各種形式，但肯定互不排斥，因為抗爭的路需要更多的朋友，不是更多的敵人。所以，我在這裏呼籲，今年是六‍四事件</w:t>
      </w:r>
      <w:r>
        <w:rPr>
          <w:szCs w:val="27"/>
        </w:rPr>
        <w:t>30</w:t>
      </w:r>
      <w:r>
        <w:rPr>
          <w:szCs w:val="27"/>
        </w:rPr>
        <w:t>周年的日子，我很希望所有香港市民能夠回憶、記憶、悼念六四當天的血腥鎮壓，在維園六四燭光晚會上，一齊以最大的聲量喊出</w:t>
      </w:r>
      <w:r>
        <w:rPr>
          <w:szCs w:val="27"/>
        </w:rPr>
        <w:t>"</w:t>
      </w:r>
      <w:r>
        <w:rPr>
          <w:szCs w:val="27"/>
        </w:rPr>
        <w:t>平反八九民運，結束一黨專政，追究屠城責任</w:t>
      </w:r>
      <w:r>
        <w:rPr>
          <w:szCs w:val="27"/>
        </w:rPr>
        <w:t>"</w:t>
      </w:r>
      <w:r>
        <w:rPr>
          <w:szCs w:val="27"/>
        </w:rPr>
        <w:t>。我希望大家能夠出席六四燭光晚會。謹此陳辭。</w:t>
      </w:r>
    </w:p>
    <w:p>
      <w:pPr>
        <w:pStyle w:val="F21"/>
        <w:overflowPunct w:val="true"/>
        <w:rPr>
          <w:rFonts w:cs="Times New Roman"/>
        </w:rPr>
      </w:pPr>
      <w:r>
        <w:rPr>
          <w:rFonts w:cs="Times New Roman"/>
        </w:rPr>
      </w:r>
    </w:p>
    <w:p>
      <w:pPr>
        <w:pStyle w:val="F21"/>
        <w:overflowPunct w:val="true"/>
        <w:rPr>
          <w:rFonts w:cs="Times New Roman"/>
        </w:rPr>
      </w:pPr>
      <w:r>
        <w:rPr>
          <w:rFonts w:eastAsia="華康中黑體"/>
          <w:b/>
        </w:rPr>
        <w:t>胡志偉議</w:t>
      </w:r>
      <w:r>
        <w:rPr>
          <w:rFonts w:cs="Times New Roman" w:eastAsia="華康中黑體"/>
          <w:b/>
        </w:rPr>
        <w:t>員動議的議案如下</w:t>
      </w:r>
      <w:r>
        <w:rPr>
          <w:rFonts w:cs="Times New Roman"/>
        </w:rPr>
        <w:t>：</w:t>
      </w:r>
    </w:p>
    <w:p>
      <w:pPr>
        <w:pStyle w:val="F21"/>
        <w:overflowPunct w:val="true"/>
        <w:rPr>
          <w:rFonts w:cs="Times New Roman"/>
        </w:rPr>
      </w:pPr>
      <w:r>
        <w:rPr>
          <w:rFonts w:cs="Times New Roman"/>
        </w:rPr>
      </w:r>
    </w:p>
    <w:p>
      <w:pPr>
        <w:pStyle w:val="F21"/>
        <w:overflowPunct w:val="true"/>
        <w:ind w:left="709" w:hanging="142"/>
        <w:rPr>
          <w:rFonts w:cs="Times New Roman"/>
        </w:rPr>
      </w:pPr>
      <w:r>
        <w:rPr>
          <w:rFonts w:cs="Times New Roman"/>
        </w:rPr>
        <w:t>"</w:t>
      </w:r>
      <w:r>
        <w:rPr>
          <w:rFonts w:cs="Times New Roman"/>
        </w:rPr>
        <w:t>本會呼籲：毋忘六四，平反八九民運。</w:t>
      </w:r>
      <w:r>
        <w:rPr>
          <w:rFonts w:cs="Times New Roman"/>
        </w:rPr>
        <w:t>"</w:t>
      </w:r>
    </w:p>
    <w:p>
      <w:pPr>
        <w:pStyle w:val="F21"/>
        <w:overflowPunct w:val="true"/>
        <w:rPr>
          <w:rFonts w:cs="Times New Roman"/>
        </w:rPr>
      </w:pPr>
      <w:r>
        <w:rPr>
          <w:rFonts w:cs="Times New Roman"/>
        </w:rPr>
      </w:r>
    </w:p>
    <w:p>
      <w:pPr>
        <w:pStyle w:val="F21"/>
        <w:overflowPunct w:val="true"/>
        <w:rPr>
          <w:rFonts w:cs="Times New Roman"/>
        </w:rPr>
      </w:pPr>
      <w:r>
        <w:rPr>
          <w:rFonts w:cs="Times New Roman"/>
        </w:rPr>
      </w:r>
    </w:p>
    <w:p>
      <w:pPr>
        <w:pStyle w:val="F21"/>
        <w:overflowPunct w:val="true"/>
        <w:rPr>
          <w:rFonts w:cs="Times New Roman"/>
        </w:rPr>
      </w:pPr>
      <w:r>
        <w:rPr>
          <w:rFonts w:ascii="華康中黑體" w:hAnsi="華康中黑體" w:cs="Times New Roman" w:eastAsia="華康中黑體"/>
          <w:b/>
        </w:rPr>
        <w:t>主席</w:t>
      </w:r>
      <w:r>
        <w:rPr>
          <w:rFonts w:cs="Times New Roman"/>
        </w:rPr>
        <w:t>：我現在向各位提出的待議議題是：胡志偉議員動議的議案，予以通過。</w:t>
      </w:r>
    </w:p>
    <w:p>
      <w:pPr>
        <w:pStyle w:val="F21"/>
        <w:overflowPunct w:val="true"/>
        <w:rPr>
          <w:rFonts w:cs="Times New Roman"/>
        </w:rPr>
      </w:pPr>
      <w:r>
        <w:rPr>
          <w:rFonts w:cs="Times New Roman"/>
        </w:rPr>
      </w:r>
    </w:p>
    <w:p>
      <w:pPr>
        <w:pStyle w:val="F21"/>
        <w:overflowPunct w:val="true"/>
        <w:rPr>
          <w:rFonts w:cs="Times New Roman"/>
        </w:rPr>
      </w:pPr>
      <w:r>
        <w:rPr>
          <w:rFonts w:cs="Times New Roman"/>
        </w:rPr>
      </w:r>
    </w:p>
    <w:p>
      <w:pPr>
        <w:pStyle w:val="F21"/>
        <w:overflowPunct w:val="true"/>
        <w:rPr/>
      </w:pPr>
      <w:r>
        <w:rPr>
          <w:rFonts w:eastAsia="華康中黑體"/>
          <w:b/>
          <w:szCs w:val="27"/>
        </w:rPr>
        <w:t>林卓廷議員</w:t>
      </w:r>
      <w:r>
        <w:rPr/>
        <w:t>：主席，我現年</w:t>
      </w:r>
      <w:r>
        <w:rPr/>
        <w:t>42</w:t>
      </w:r>
      <w:r>
        <w:rPr/>
        <w:t>歲，</w:t>
      </w:r>
      <w:r>
        <w:rPr/>
        <w:t>30</w:t>
      </w:r>
      <w:r>
        <w:rPr/>
        <w:t>年前，我就讀小六，我們在當年夏天看到很多香港人每天在家中收看電視，留意在北京、上海及國內很多大城市的民主運動的發展。最終，我們聽到槍聲，天安門附近的長安大街響起一連串槍聲，</w:t>
      </w:r>
      <w:r>
        <w:rPr/>
        <w:t>"</w:t>
      </w:r>
      <w:r>
        <w:rPr/>
        <w:t>嘭嘭嘭嘭</w:t>
      </w:r>
      <w:r>
        <w:rPr/>
        <w:t>"</w:t>
      </w:r>
      <w:r>
        <w:rPr/>
        <w:t>、</w:t>
      </w:r>
      <w:r>
        <w:rPr/>
        <w:t>"</w:t>
      </w:r>
      <w:r>
        <w:rPr/>
        <w:t>嘭嘭嘭嘭、</w:t>
      </w:r>
      <w:r>
        <w:rPr/>
        <w:t>"</w:t>
      </w:r>
      <w:r>
        <w:rPr/>
        <w:t>嘭嘭嘭嘭嘭</w:t>
      </w:r>
      <w:r>
        <w:rPr/>
        <w:t>"</w:t>
      </w:r>
      <w:r>
        <w:rPr/>
        <w:t>；我們看到一車車淌着血的年青人，很多市民被送到醫院，死傷無數。</w:t>
      </w:r>
    </w:p>
    <w:p>
      <w:pPr>
        <w:pStyle w:val="F21"/>
        <w:overflowPunct w:val="true"/>
        <w:rPr/>
      </w:pPr>
      <w:r>
        <w:rPr/>
      </w:r>
    </w:p>
    <w:p>
      <w:pPr>
        <w:pStyle w:val="F21"/>
        <w:overflowPunct w:val="true"/>
        <w:rPr/>
      </w:pPr>
      <w:r>
        <w:rPr/>
        <w:tab/>
      </w:r>
      <w:r>
        <w:rPr/>
        <w:t>三十年前的當天，讓我上了人生最重要的一課，這一課讓我知道，中國共產黨為了維護自己的政權，可以用盡最殘暴的方法對待人民，對待我們的年青人。由那一刻開始，我便知道，不要對這個政權有任何奢望。</w:t>
      </w:r>
    </w:p>
    <w:p>
      <w:pPr>
        <w:pStyle w:val="F21"/>
        <w:overflowPunct w:val="true"/>
        <w:rPr/>
      </w:pPr>
      <w:r>
        <w:rPr/>
      </w:r>
    </w:p>
    <w:p>
      <w:pPr>
        <w:pStyle w:val="F21"/>
        <w:overflowPunct w:val="true"/>
        <w:rPr/>
      </w:pPr>
      <w:r>
        <w:rPr/>
        <w:tab/>
      </w:r>
      <w:r>
        <w:rPr/>
        <w:t>六四鎮壓之後，很多中國人，在香港的同胞、海外同胞及全球社會，齊聲譴責，這是人類道德的基本標準。然而，多年以來，有些人因為種種原因，選擇遺忘，選擇埋沒良心。最令人氣憤的是，有些人不斷抹黑八九民運，指這個運動受到外國政府鼓勵、幕後受操縱，有些說法是：若非當日的鎮壓，便沒有今天的經濟成就；有些說法是：始終未有全面的調查，無法確知真相；有些說法是：我們應該向前看，歷史自有公論。</w:t>
      </w:r>
    </w:p>
    <w:p>
      <w:pPr>
        <w:pStyle w:val="F21"/>
        <w:overflowPunct w:val="true"/>
        <w:rPr/>
      </w:pPr>
      <w:r>
        <w:rPr/>
      </w:r>
    </w:p>
    <w:p>
      <w:pPr>
        <w:pStyle w:val="F21"/>
        <w:overflowPunct w:val="true"/>
        <w:rPr/>
      </w:pPr>
      <w:r>
        <w:rPr/>
        <w:tab/>
      </w:r>
      <w:r>
        <w:rPr/>
        <w:t>其實，這些全部都是埋沒良心、指鹿為馬的說法。難道如果當天民主運動成功，中國的經濟便一定會崩潰嗎？我們有一個更民主自由的法治社會，經濟狀況就一定會退倒嗎？大家看到許多西方民主國家的經濟全部都很敗壞嗎？有些人說要經過調查才可知道真相，那他們是否要求中國共產黨徹查六四事件？卻又不是，這即是怎樣呢？即是說不要調查，不要知道真相。</w:t>
      </w:r>
      <w:r>
        <w:rPr/>
        <w:t>"</w:t>
      </w:r>
      <w:r>
        <w:rPr/>
        <w:t>向前看，歷史自有公論</w:t>
      </w:r>
      <w:r>
        <w:rPr/>
        <w:t>"</w:t>
      </w:r>
      <w:r>
        <w:rPr/>
        <w:t>，那你的評論是甚麼？你是否有立場？</w:t>
      </w:r>
    </w:p>
    <w:p>
      <w:pPr>
        <w:pStyle w:val="F21"/>
        <w:overflowPunct w:val="true"/>
        <w:rPr/>
      </w:pPr>
      <w:r>
        <w:rPr/>
      </w:r>
    </w:p>
    <w:p>
      <w:pPr>
        <w:pStyle w:val="F21"/>
        <w:overflowPunct w:val="true"/>
        <w:rPr/>
      </w:pPr>
      <w:r>
        <w:rPr/>
        <w:tab/>
      </w:r>
      <w:r>
        <w:rPr/>
        <w:t>上星期討論校本管理的議題時，我曾引用意大利詩人但丁的名言，今天也可以再說一次：</w:t>
      </w:r>
      <w:r>
        <w:rPr/>
        <w:t>"</w:t>
      </w:r>
      <w:r>
        <w:rPr/>
        <w:t>地獄最熾熱的地方，是留給那些在面對重大道德危機的時候，保持中立的人。</w:t>
      </w:r>
      <w:r>
        <w:rPr/>
        <w:t>"</w:t>
      </w:r>
      <w:r>
        <w:rPr/>
        <w:t>如果你說沒有意見，我便會質疑，你究竟有甚麼是非、道德標準？</w:t>
      </w:r>
    </w:p>
    <w:p>
      <w:pPr>
        <w:pStyle w:val="F21"/>
        <w:overflowPunct w:val="true"/>
        <w:rPr/>
      </w:pPr>
      <w:r>
        <w:rPr/>
      </w:r>
    </w:p>
    <w:p>
      <w:pPr>
        <w:pStyle w:val="F21"/>
        <w:overflowPunct w:val="true"/>
        <w:rPr/>
      </w:pPr>
      <w:r>
        <w:rPr/>
        <w:tab/>
      </w:r>
      <w:r>
        <w:rPr/>
        <w:t>主席，我們是香港人，亦是中華民族的一員，我們的民族面對這種慘劇，我們有絕對的道德責任為死者發聲，趁我們尚有自由、尚有空間，去為死者發聲。有些人選擇埋沒良知，這是他們的選擇。我不打算，亦沒有能力，去喚醒他們的良知，因為我無法叫醒裝睡的人。但無論如何，經過</w:t>
      </w:r>
      <w:r>
        <w:rPr/>
        <w:t>30</w:t>
      </w:r>
      <w:r>
        <w:rPr/>
        <w:t>年的時間，我們與很多香港市民及全世界很多同胞一樣，我們不想回憶，未敢忘記。這一幕令我們香港人，令很多中國人，令很多死難同胞的家屬，改變一生。</w:t>
      </w:r>
    </w:p>
    <w:p>
      <w:pPr>
        <w:pStyle w:val="F21"/>
        <w:overflowPunct w:val="true"/>
        <w:rPr/>
      </w:pPr>
      <w:r>
        <w:rPr/>
      </w:r>
    </w:p>
    <w:p>
      <w:pPr>
        <w:pStyle w:val="F21"/>
        <w:overflowPunct w:val="true"/>
        <w:rPr/>
      </w:pPr>
      <w:r>
        <w:rPr/>
        <w:tab/>
      </w:r>
      <w:r>
        <w:rPr/>
        <w:t>我們會堅持平反八九民運、追究屠城責任、釋放民運人士、結束一黨專政、建設民主中國，直至我們的五大訴求獲得實現。我們亦希望我們的民主運動、對國內民運的支援，會繼續薪火相傳，直至最終取得成功。</w:t>
      </w:r>
    </w:p>
    <w:p>
      <w:pPr>
        <w:pStyle w:val="F21"/>
        <w:overflowPunct w:val="true"/>
        <w:rPr/>
      </w:pPr>
      <w:r>
        <w:rPr/>
      </w:r>
    </w:p>
    <w:p>
      <w:pPr>
        <w:pStyle w:val="F21"/>
        <w:overflowPunct w:val="true"/>
        <w:rPr/>
      </w:pPr>
      <w:r>
        <w:rPr/>
        <w:tab/>
      </w:r>
      <w:r>
        <w:rPr/>
        <w:t>我謹此陳辭。</w:t>
      </w:r>
    </w:p>
    <w:p>
      <w:pPr>
        <w:pStyle w:val="F21"/>
        <w:overflowPunct w:val="true"/>
        <w:rPr/>
      </w:pPr>
      <w:r>
        <w:rPr/>
      </w:r>
    </w:p>
    <w:p>
      <w:pPr>
        <w:pStyle w:val="F21"/>
        <w:overflowPunct w:val="true"/>
        <w:rPr>
          <w:rFonts w:cs="Times New Roman"/>
        </w:rPr>
      </w:pPr>
      <w:r>
        <w:rPr>
          <w:rFonts w:cs="Times New Roman"/>
        </w:rPr>
      </w:r>
    </w:p>
    <w:p>
      <w:pPr>
        <w:pStyle w:val="F21"/>
        <w:overflowPunct w:val="true"/>
        <w:rPr/>
      </w:pPr>
      <w:r>
        <w:rPr>
          <w:rFonts w:eastAsia="華康中黑體"/>
          <w:b/>
          <w:szCs w:val="27"/>
        </w:rPr>
        <w:t>范國威議員</w:t>
      </w:r>
      <w:r>
        <w:rPr/>
        <w:t>：我發言支持由</w:t>
      </w:r>
      <w:r>
        <w:rPr>
          <w:szCs w:val="27"/>
        </w:rPr>
        <w:t>胡志偉議員</w:t>
      </w:r>
      <w:r>
        <w:rPr/>
        <w:t>提出的</w:t>
      </w:r>
      <w:r>
        <w:rPr/>
        <w:t>"</w:t>
      </w:r>
      <w:r>
        <w:rPr/>
        <w:t>毋忘六四</w:t>
      </w:r>
      <w:r>
        <w:rPr/>
        <w:t>"</w:t>
      </w:r>
      <w:r>
        <w:rPr/>
        <w:t>議案。</w:t>
      </w:r>
    </w:p>
    <w:p>
      <w:pPr>
        <w:pStyle w:val="F21"/>
        <w:overflowPunct w:val="true"/>
        <w:rPr/>
      </w:pPr>
      <w:r>
        <w:rPr/>
      </w:r>
    </w:p>
    <w:p>
      <w:pPr>
        <w:pStyle w:val="F21"/>
        <w:overflowPunct w:val="true"/>
        <w:rPr/>
      </w:pPr>
      <w:r>
        <w:rPr/>
        <w:tab/>
      </w:r>
      <w:r>
        <w:rPr/>
        <w:t>三十年前，六四一夜，血染京城，震驚中外。解放軍發出的槍聲和炮聲，徹底打破了中國人對中國共產黨的任何幻想；死難者發出的慘叫與嚎哭，敲醒了世界各地人民對追求民主的決心。</w:t>
      </w:r>
    </w:p>
    <w:p>
      <w:pPr>
        <w:pStyle w:val="F21"/>
        <w:overflowPunct w:val="true"/>
        <w:rPr/>
      </w:pPr>
      <w:r>
        <w:rPr/>
      </w:r>
    </w:p>
    <w:p>
      <w:pPr>
        <w:pStyle w:val="F21"/>
        <w:overflowPunct w:val="true"/>
        <w:rPr/>
      </w:pPr>
      <w:r>
        <w:rPr/>
        <w:tab/>
      </w:r>
      <w:r>
        <w:rPr/>
        <w:t>今年是六四</w:t>
      </w:r>
      <w:r>
        <w:rPr/>
        <w:t>30</w:t>
      </w:r>
      <w:r>
        <w:rPr/>
        <w:t>周年。這</w:t>
      </w:r>
      <w:r>
        <w:rPr/>
        <w:t>30</w:t>
      </w:r>
      <w:r>
        <w:rPr/>
        <w:t>年以來，不同地方舉辦六四相關的悼念活動，多年來的堅持便是對中國當權者殘殺人民的控訴。無論香港出現多少變遷，我們仍然堅持要求平反、追悼八九民運，目的是要喚醒我們對中國共產黨殘暴不仁的記憶，也是要悼念死難者的貢獻，更要提醒我們民主的可貴。</w:t>
      </w:r>
      <w:r>
        <w:br w:type="page"/>
      </w:r>
    </w:p>
    <w:p>
      <w:pPr>
        <w:pStyle w:val="F21"/>
        <w:overflowPunct w:val="true"/>
        <w:spacing w:lineRule="atLeast" w:line="370"/>
        <w:rPr/>
      </w:pPr>
      <w:r>
        <w:rPr/>
        <w:tab/>
      </w:r>
      <w:r>
        <w:rPr/>
        <w:t>六四屠城源於</w:t>
      </w:r>
      <w:r>
        <w:rPr/>
        <w:t>1989</w:t>
      </w:r>
      <w:r>
        <w:rPr/>
        <w:t>年的一場學生運動，北京學生為了爭取民主，大陸群眾為了</w:t>
      </w:r>
      <w:r>
        <w:rPr/>
        <w:t>"</w:t>
      </w:r>
      <w:r>
        <w:rPr/>
        <w:t>反官僚、反貪腐</w:t>
      </w:r>
      <w:r>
        <w:rPr/>
        <w:t>"</w:t>
      </w:r>
      <w:r>
        <w:rPr/>
        <w:t>，在天安門廣場和平集會，最後中共出動解放軍，以坦克車輾碎手無寸鐵的市民和學生的身體，以實彈開槍鎮壓，學運最終流血收場。</w:t>
      </w:r>
    </w:p>
    <w:p>
      <w:pPr>
        <w:pStyle w:val="F21"/>
        <w:overflowPunct w:val="true"/>
        <w:spacing w:lineRule="atLeast" w:line="370"/>
        <w:rPr/>
      </w:pPr>
      <w:r>
        <w:rPr/>
      </w:r>
    </w:p>
    <w:p>
      <w:pPr>
        <w:pStyle w:val="F21"/>
        <w:overflowPunct w:val="true"/>
        <w:spacing w:lineRule="atLeast" w:line="370"/>
        <w:rPr/>
      </w:pPr>
      <w:r>
        <w:rPr/>
        <w:tab/>
      </w:r>
      <w:r>
        <w:rPr/>
        <w:t>香港人親身見證了過去每年</w:t>
      </w:r>
      <w:r>
        <w:rPr/>
        <w:t>6</w:t>
      </w:r>
      <w:r>
        <w:rPr/>
        <w:t>月</w:t>
      </w:r>
      <w:r>
        <w:rPr/>
        <w:t>4</w:t>
      </w:r>
      <w:r>
        <w:rPr/>
        <w:t>日在維多利亞公園舉行和參與集會，燃點燭光，表達我們從未忘記六四屠城，不必像大陸人民般在六四議題上被迫沉默。大陸政府自</w:t>
      </w:r>
      <w:r>
        <w:rPr/>
        <w:t>1989</w:t>
      </w:r>
      <w:r>
        <w:rPr/>
        <w:t>年以來一直嚴禁討論六四事件及與六四相關的電影和書籍。大陸的網絡平台亦禁止這類討論；教科書更沒有提供這類信息給群眾。民眾及媒體均對此事隻字不提，即使提及也只能旁敲側擊，即大陸所謂的</w:t>
      </w:r>
      <w:r>
        <w:rPr/>
        <w:t>"</w:t>
      </w:r>
      <w:r>
        <w:rPr/>
        <w:t>打擦邊球</w:t>
      </w:r>
      <w:r>
        <w:rPr/>
        <w:t>"</w:t>
      </w:r>
      <w:r>
        <w:rPr/>
        <w:t>。</w:t>
      </w:r>
    </w:p>
    <w:p>
      <w:pPr>
        <w:pStyle w:val="F21"/>
        <w:overflowPunct w:val="true"/>
        <w:spacing w:lineRule="atLeast" w:line="370"/>
        <w:rPr/>
      </w:pPr>
      <w:r>
        <w:rPr/>
      </w:r>
    </w:p>
    <w:p>
      <w:pPr>
        <w:pStyle w:val="F21"/>
        <w:overflowPunct w:val="true"/>
        <w:spacing w:lineRule="atLeast" w:line="370"/>
        <w:rPr/>
      </w:pPr>
      <w:r>
        <w:rPr/>
        <w:tab/>
      </w:r>
      <w:r>
        <w:rPr/>
        <w:t>諾貝爾和平獎得主劉曉波的遺孀劉霞被軟禁了</w:t>
      </w:r>
      <w:r>
        <w:rPr/>
        <w:t>8</w:t>
      </w:r>
      <w:r>
        <w:rPr/>
        <w:t>年。去年</w:t>
      </w:r>
      <w:r>
        <w:rPr/>
        <w:t>7</w:t>
      </w:r>
      <w:r>
        <w:rPr/>
        <w:t>月，她從北京飛抵德國柏林，終於重獲自由。一個沒有犯罪的人被禁止離開、禁止說話長達</w:t>
      </w:r>
      <w:r>
        <w:rPr/>
        <w:t>8</w:t>
      </w:r>
      <w:r>
        <w:rPr/>
        <w:t>年時間。當然，劉霞被釋放並不等於她可以完全暢所欲言。事實上，現時仍然有很多維權人士被大陸政府控告，被冠上各種罪名，不是企圖顛覆政府，便是聚眾施壓或尋釁滋事；亦有些人正如劉霞一樣，即使沒有罪名也處處受到監控，被迫與社會切斷關係，名義上是保護，實際卻身處活生生的監獄之中。</w:t>
      </w:r>
    </w:p>
    <w:p>
      <w:pPr>
        <w:pStyle w:val="F21"/>
        <w:overflowPunct w:val="true"/>
        <w:spacing w:lineRule="atLeast" w:line="370"/>
        <w:rPr/>
      </w:pPr>
      <w:r>
        <w:rPr/>
      </w:r>
    </w:p>
    <w:p>
      <w:pPr>
        <w:pStyle w:val="F21"/>
        <w:overflowPunct w:val="true"/>
        <w:spacing w:lineRule="atLeast" w:line="370"/>
        <w:rPr/>
      </w:pPr>
      <w:r>
        <w:rPr/>
        <w:tab/>
      </w:r>
      <w:r>
        <w:rPr/>
        <w:t>在香港，《</w:t>
      </w:r>
      <w:r>
        <w:rPr/>
        <w:t>2019</w:t>
      </w:r>
      <w:r>
        <w:rPr/>
        <w:t>年逃犯及刑事事宜相互法律協助法例</w:t>
      </w:r>
      <w:r>
        <w:rPr/>
        <w:t>(</w:t>
      </w:r>
      <w:r>
        <w:rPr/>
        <w:t>修訂</w:t>
      </w:r>
      <w:r>
        <w:rPr/>
        <w:t>)</w:t>
      </w:r>
      <w:r>
        <w:rPr/>
        <w:t>條例草案》</w:t>
      </w:r>
      <w:r>
        <w:rPr/>
        <w:t>("</w:t>
      </w:r>
      <w:r>
        <w:rPr/>
        <w:t>《條例草案》</w:t>
      </w:r>
      <w:r>
        <w:rPr/>
        <w:t>")</w:t>
      </w:r>
      <w:r>
        <w:rPr/>
        <w:t>剛剛進行了首讀。若《條例草案》獲得通過，大陸過去長時間打壓人權和異見人士的手法，便會直接套用於香港，</w:t>
      </w:r>
      <w:r>
        <w:rPr>
          <w:szCs w:val="27"/>
        </w:rPr>
        <w:t>"</w:t>
      </w:r>
      <w:r>
        <w:rPr>
          <w:color w:val="000000"/>
          <w:szCs w:val="27"/>
        </w:rPr>
        <w:t>一國兩制</w:t>
      </w:r>
      <w:r>
        <w:rPr>
          <w:color w:val="000000"/>
          <w:szCs w:val="27"/>
        </w:rPr>
        <w:t>"</w:t>
      </w:r>
      <w:r>
        <w:rPr>
          <w:color w:val="000000"/>
          <w:szCs w:val="27"/>
        </w:rPr>
        <w:t>便會</w:t>
      </w:r>
      <w:r>
        <w:rPr/>
        <w:t>名存實亡。</w:t>
      </w:r>
    </w:p>
    <w:p>
      <w:pPr>
        <w:pStyle w:val="F21"/>
        <w:overflowPunct w:val="true"/>
        <w:spacing w:lineRule="atLeast" w:line="370"/>
        <w:rPr/>
      </w:pPr>
      <w:r>
        <w:rPr/>
      </w:r>
    </w:p>
    <w:p>
      <w:pPr>
        <w:pStyle w:val="F21"/>
        <w:overflowPunct w:val="true"/>
        <w:spacing w:lineRule="atLeast" w:line="370"/>
        <w:rPr/>
      </w:pPr>
      <w:r>
        <w:rPr/>
        <w:tab/>
      </w:r>
      <w:r>
        <w:rPr/>
        <w:t>國際人權組織人權觀察於今年</w:t>
      </w:r>
      <w:r>
        <w:rPr/>
        <w:t>1</w:t>
      </w:r>
      <w:r>
        <w:rPr/>
        <w:t>月發布的《</w:t>
      </w:r>
      <w:r>
        <w:rPr/>
        <w:t>2019</w:t>
      </w:r>
      <w:r>
        <w:rPr/>
        <w:t>年世界人權報告》指出，中國大陸去年殘酷對待維權人士，包括拘捕維權律師王全璋、重判民運人士秦永敏。報告亦批評大陸當局限制言論及宗教自由，拘捕媒體記者及採訪對象，更要在新疆設立再教育營。試問我們怎能讓《條例草案》通過，把香港人或途經香港的其他人士移交中國大陸這個視人權及法治如無物的地方呢？我們不能接受。</w:t>
      </w:r>
    </w:p>
    <w:p>
      <w:pPr>
        <w:pStyle w:val="F21"/>
        <w:overflowPunct w:val="true"/>
        <w:spacing w:lineRule="atLeast" w:line="370"/>
        <w:rPr/>
      </w:pPr>
      <w:r>
        <w:rPr/>
      </w:r>
    </w:p>
    <w:p>
      <w:pPr>
        <w:pStyle w:val="F21"/>
        <w:overflowPunct w:val="true"/>
        <w:spacing w:lineRule="atLeast" w:line="370"/>
        <w:rPr/>
      </w:pPr>
      <w:r>
        <w:rPr/>
        <w:tab/>
      </w:r>
      <w:r>
        <w:rPr/>
        <w:t>近日，一宗名為</w:t>
      </w:r>
      <w:r>
        <w:rPr/>
        <w:t>"</w:t>
      </w:r>
      <w:r>
        <w:rPr/>
        <w:t>六四酒案</w:t>
      </w:r>
      <w:r>
        <w:rPr/>
        <w:t>"</w:t>
      </w:r>
      <w:r>
        <w:rPr/>
        <w:t>的案件一連</w:t>
      </w:r>
      <w:r>
        <w:rPr/>
        <w:t>4</w:t>
      </w:r>
      <w:r>
        <w:rPr/>
        <w:t>天在四川成都法院開審。案件是關於</w:t>
      </w:r>
      <w:r>
        <w:rPr/>
        <w:t>2016</w:t>
      </w:r>
      <w:r>
        <w:rPr/>
        <w:t>年六四前夕，有</w:t>
      </w:r>
      <w:r>
        <w:rPr/>
        <w:t>4</w:t>
      </w:r>
      <w:r>
        <w:rPr/>
        <w:t>名四川人製作了一款</w:t>
      </w:r>
      <w:r>
        <w:rPr/>
        <w:t>"</w:t>
      </w:r>
      <w:r>
        <w:rPr/>
        <w:t>銘記八酒六四</w:t>
      </w:r>
      <w:r>
        <w:rPr/>
        <w:t>"</w:t>
      </w:r>
      <w:r>
        <w:rPr/>
        <w:t>的白酒海報，並在網絡上宣傳，藉此悼念六四事件</w:t>
      </w:r>
      <w:r>
        <w:rPr/>
        <w:t>27</w:t>
      </w:r>
      <w:r>
        <w:rPr/>
        <w:t>周年。不久，他們於</w:t>
      </w:r>
      <w:r>
        <w:rPr/>
        <w:t>1</w:t>
      </w:r>
      <w:r>
        <w:rPr/>
        <w:t>個月內陸續失蹤，接着被控煽動顛覆國家政權，但案件一直拖延審理。四人被關押於成都看守所已有</w:t>
      </w:r>
      <w:r>
        <w:rPr/>
        <w:t>3</w:t>
      </w:r>
      <w:r>
        <w:rPr/>
        <w:t>年，其中一人符海陸被判囚</w:t>
      </w:r>
      <w:r>
        <w:rPr/>
        <w:t>3</w:t>
      </w:r>
      <w:r>
        <w:rPr/>
        <w:t>年，緩刑</w:t>
      </w:r>
      <w:r>
        <w:rPr/>
        <w:t>5</w:t>
      </w:r>
      <w:r>
        <w:rPr/>
        <w:t>年。我想引述符海陸的妻子在開庭前發表的聲明：</w:t>
      </w:r>
      <w:r>
        <w:rPr/>
        <w:t>"</w:t>
      </w:r>
      <w:r>
        <w:rPr/>
        <w:t>我們的親人因為一瓶酒，一聲道別也沒來得及和我們說，就不明不白地從我們的身邊消失了</w:t>
      </w:r>
      <w:r>
        <w:rPr/>
        <w:t>3</w:t>
      </w:r>
      <w:r>
        <w:rPr/>
        <w:t>年。</w:t>
      </w:r>
      <w:r>
        <w:rPr/>
        <w:t>"</w:t>
      </w:r>
    </w:p>
    <w:p>
      <w:pPr>
        <w:pStyle w:val="F21"/>
        <w:overflowPunct w:val="true"/>
        <w:spacing w:lineRule="atLeast" w:line="370"/>
        <w:rPr/>
      </w:pPr>
      <w:r>
        <w:rPr/>
      </w:r>
    </w:p>
    <w:p>
      <w:pPr>
        <w:pStyle w:val="F21"/>
        <w:overflowPunct w:val="true"/>
        <w:spacing w:lineRule="atLeast" w:line="370"/>
        <w:rPr/>
      </w:pPr>
      <w:r>
        <w:rPr/>
        <w:tab/>
      </w:r>
      <w:r>
        <w:rPr/>
        <w:t>去年我就</w:t>
      </w:r>
      <w:r>
        <w:rPr/>
        <w:t>"</w:t>
      </w:r>
      <w:r>
        <w:rPr/>
        <w:t>毋忘六四</w:t>
      </w:r>
      <w:r>
        <w:rPr/>
        <w:t>"</w:t>
      </w:r>
      <w:r>
        <w:rPr/>
        <w:t>議案發言時亦提到，正因為我們身處尚有言論自由、集會自由的香港，才能繼續在六四當日舉行集會。但是，隨着《國歌條例》、《條例草案》和</w:t>
      </w:r>
      <w:r>
        <w:rPr/>
        <w:t>"</w:t>
      </w:r>
      <w:r>
        <w:rPr/>
        <w:t>二十三條</w:t>
      </w:r>
      <w:r>
        <w:rPr/>
        <w:t>"</w:t>
      </w:r>
      <w:r>
        <w:rPr/>
        <w:t>立法，我不能再保證明年或數年後是否還能繼續在香港舉行集會悼念六四，表達香港人對中共屠城責任的控訴。</w:t>
      </w:r>
    </w:p>
    <w:p>
      <w:pPr>
        <w:pStyle w:val="F21"/>
        <w:overflowPunct w:val="true"/>
        <w:spacing w:lineRule="atLeast" w:line="370"/>
        <w:rPr/>
      </w:pPr>
      <w:r>
        <w:rPr/>
      </w:r>
    </w:p>
    <w:p>
      <w:pPr>
        <w:pStyle w:val="F21"/>
        <w:overflowPunct w:val="true"/>
        <w:spacing w:lineRule="atLeast" w:line="370"/>
        <w:rPr>
          <w:szCs w:val="27"/>
        </w:rPr>
      </w:pPr>
      <w:r>
        <w:rPr>
          <w:szCs w:val="27"/>
        </w:rPr>
      </w:r>
    </w:p>
    <w:p>
      <w:pPr>
        <w:pStyle w:val="F21"/>
        <w:overflowPunct w:val="true"/>
        <w:spacing w:lineRule="atLeast" w:line="370"/>
        <w:rPr/>
      </w:pPr>
      <w:r>
        <w:rPr>
          <w:rFonts w:eastAsia="華康中黑體"/>
          <w:b/>
        </w:rPr>
        <w:t>邵家臻議員</w:t>
      </w:r>
      <w:r>
        <w:rPr/>
        <w:t>：主席，我現在就</w:t>
      </w:r>
      <w:r>
        <w:rPr>
          <w:szCs w:val="27"/>
        </w:rPr>
        <w:t>胡志偉議員</w:t>
      </w:r>
      <w:r>
        <w:rPr/>
        <w:t>動議的</w:t>
      </w:r>
      <w:r>
        <w:rPr/>
        <w:t>"</w:t>
      </w:r>
      <w:r>
        <w:rPr/>
        <w:t>毋忘六四</w:t>
      </w:r>
      <w:r>
        <w:rPr/>
        <w:t>"</w:t>
      </w:r>
      <w:r>
        <w:rPr/>
        <w:t>議案發言。首先，我要多謝不同議員由</w:t>
      </w:r>
      <w:r>
        <w:rPr/>
        <w:t>1997</w:t>
      </w:r>
      <w:r>
        <w:rPr/>
        <w:t>年開始，一直鍥而不捨地就</w:t>
      </w:r>
      <w:r>
        <w:rPr/>
        <w:t>"</w:t>
      </w:r>
      <w:r>
        <w:rPr/>
        <w:t>毋忘六四</w:t>
      </w:r>
      <w:r>
        <w:rPr/>
        <w:t>"</w:t>
      </w:r>
      <w:r>
        <w:rPr/>
        <w:t>提出議案。但我同時要表示遺憾的是政府竟然不派任何官員出席，不但無視立法會和</w:t>
      </w:r>
      <w:r>
        <w:rPr/>
        <w:t>"</w:t>
      </w:r>
      <w:r>
        <w:rPr/>
        <w:t>毋忘六四</w:t>
      </w:r>
      <w:r>
        <w:rPr/>
        <w:t>"</w:t>
      </w:r>
      <w:r>
        <w:rPr/>
        <w:t>這個議題，更無視歷史。米蘭</w:t>
      </w:r>
      <w:r>
        <w:rPr>
          <w:kern w:val="2"/>
        </w:rPr>
        <w:t>․</w:t>
      </w:r>
      <w:r>
        <w:rPr/>
        <w:t>昆德拉曾說，人與政權的鬥爭是記憶與遺忘的鬥爭。六四是記憶與遺忘之戰，同時也是一面照妖鏡。</w:t>
      </w:r>
    </w:p>
    <w:p>
      <w:pPr>
        <w:pStyle w:val="F21"/>
        <w:overflowPunct w:val="true"/>
        <w:spacing w:lineRule="atLeast" w:line="370"/>
        <w:rPr/>
      </w:pPr>
      <w:r>
        <w:rPr/>
      </w:r>
    </w:p>
    <w:p>
      <w:pPr>
        <w:pStyle w:val="F21"/>
        <w:overflowPunct w:val="true"/>
        <w:spacing w:lineRule="atLeast" w:line="370"/>
        <w:rPr/>
      </w:pPr>
      <w:r>
        <w:rPr/>
        <w:tab/>
      </w:r>
      <w:r>
        <w:rPr/>
        <w:t>關於六四，我想提出數點：第一，</w:t>
      </w:r>
      <w:r>
        <w:rPr/>
        <w:t>1989</w:t>
      </w:r>
      <w:r>
        <w:rPr/>
        <w:t>年的中國民主運動改變了我們這一代人。我的意思是不止民主派，還包括在座的建制派和主席，以及刻意缺席的官員，你們和我都是被六四影響及改變的一代。沒有八九，我們的人生路大概不會這樣走。即使到了今天，這種烙印在很多人身上仍清晰可見。這是歷史加諸我們每個人身上的命運，很難擺脫亦不必擺脫，很難否認亦不必否認。</w:t>
      </w:r>
    </w:p>
    <w:p>
      <w:pPr>
        <w:pStyle w:val="F21"/>
        <w:overflowPunct w:val="true"/>
        <w:spacing w:lineRule="atLeast" w:line="370"/>
        <w:rPr/>
      </w:pPr>
      <w:r>
        <w:rPr/>
      </w:r>
    </w:p>
    <w:p>
      <w:pPr>
        <w:pStyle w:val="F21"/>
        <w:overflowPunct w:val="true"/>
        <w:spacing w:lineRule="atLeast" w:line="370"/>
        <w:rPr/>
      </w:pPr>
      <w:r>
        <w:rPr/>
        <w:tab/>
      </w:r>
      <w:r>
        <w:rPr/>
        <w:t>我今年</w:t>
      </w:r>
      <w:r>
        <w:rPr/>
        <w:t>49</w:t>
      </w:r>
      <w:r>
        <w:rPr/>
        <w:t>歲，我在</w:t>
      </w:r>
      <w:r>
        <w:rPr/>
        <w:t>2014</w:t>
      </w:r>
      <w:r>
        <w:rPr/>
        <w:t>年參與雨傘運動。下星期的這個時候，我可能已經入獄，我會說這些人生軌跡也是因為我是受八九六四啟蒙的一代。沒錯，很多人早已放下，而且多年來一直勸我放下、向前看。我的想法一直是，那是他們的事。如此容易便放下和否認歷史的人，真是</w:t>
      </w:r>
      <w:r>
        <w:rPr/>
        <w:t>"</w:t>
      </w:r>
      <w:r>
        <w:rPr/>
        <w:t>道不同不相為謀</w:t>
      </w:r>
      <w:r>
        <w:rPr/>
        <w:t>"</w:t>
      </w:r>
      <w:r>
        <w:rPr/>
        <w:t>，不如就此告別。</w:t>
      </w:r>
    </w:p>
    <w:p>
      <w:pPr>
        <w:pStyle w:val="F21"/>
        <w:overflowPunct w:val="true"/>
        <w:spacing w:lineRule="atLeast" w:line="370"/>
        <w:rPr/>
      </w:pPr>
      <w:r>
        <w:rPr/>
      </w:r>
    </w:p>
    <w:p>
      <w:pPr>
        <w:pStyle w:val="F21"/>
        <w:overflowPunct w:val="true"/>
        <w:spacing w:lineRule="atLeast" w:line="370"/>
        <w:rPr/>
      </w:pPr>
      <w:r>
        <w:rPr/>
        <w:tab/>
      </w:r>
      <w:r>
        <w:rPr/>
        <w:t>第二，有人說中國政府已改變和進步了很多，中國現已是世界強國，我們不應被六四拖着後腿。中國政府真的進步了很多嗎？只要看看</w:t>
      </w:r>
      <w:r>
        <w:rPr/>
        <w:t>2016</w:t>
      </w:r>
      <w:r>
        <w:rPr/>
        <w:t>年，四川有</w:t>
      </w:r>
      <w:r>
        <w:rPr/>
        <w:t>4</w:t>
      </w:r>
      <w:r>
        <w:rPr/>
        <w:t>位朋友便因為製作了一瓶酒而被控煽動顛覆國家罪。他們的罪名是甚麼？就是這瓶酒叫</w:t>
      </w:r>
      <w:r>
        <w:rPr/>
        <w:t>"</w:t>
      </w:r>
      <w:r>
        <w:rPr/>
        <w:t>銘記八酒六四</w:t>
      </w:r>
      <w:r>
        <w:rPr/>
        <w:t>"</w:t>
      </w:r>
      <w:r>
        <w:rPr/>
        <w:t>。主席，事有湊巧，今天經過</w:t>
      </w:r>
      <w:r>
        <w:rPr/>
        <w:t>1</w:t>
      </w:r>
      <w:r>
        <w:rPr/>
        <w:t>小時的快速</w:t>
      </w:r>
      <w:r>
        <w:rPr/>
        <w:t>"</w:t>
      </w:r>
      <w:r>
        <w:rPr/>
        <w:t>閃判</w:t>
      </w:r>
      <w:r>
        <w:rPr/>
        <w:t>"</w:t>
      </w:r>
      <w:r>
        <w:rPr/>
        <w:t>後，羅富譽被判囚</w:t>
      </w:r>
      <w:r>
        <w:rPr/>
        <w:t>3</w:t>
      </w:r>
      <w:r>
        <w:rPr/>
        <w:t>年。他的太太高燕寫了這番話：</w:t>
      </w:r>
      <w:r>
        <w:rPr/>
        <w:t>"</w:t>
      </w:r>
      <w:r>
        <w:rPr/>
        <w:t>掩蓋了那段歷史，我們的國就破了</w:t>
      </w:r>
      <w:r>
        <w:rPr/>
        <w:t>30</w:t>
      </w:r>
      <w:r>
        <w:rPr/>
        <w:t>年；為了紀念那份情結，我們的家就亡了</w:t>
      </w:r>
      <w:r>
        <w:rPr/>
        <w:t>3</w:t>
      </w:r>
      <w:r>
        <w:rPr/>
        <w:t>年。</w:t>
      </w:r>
      <w:r>
        <w:rPr/>
        <w:t>"</w:t>
      </w:r>
      <w:r>
        <w:rPr/>
        <w:t>其實在這個連北韓也談政治公關的年代，中國政府竟然可以黑暗到如此地步。四人因一瓶酒而得罪政權，結果被消失</w:t>
      </w:r>
      <w:r>
        <w:rPr/>
        <w:t>3</w:t>
      </w:r>
      <w:r>
        <w:rPr/>
        <w:t>年，而釋放更是遙遙無期，請問這與</w:t>
      </w:r>
      <w:r>
        <w:rPr/>
        <w:t>1989</w:t>
      </w:r>
      <w:r>
        <w:rPr/>
        <w:t>年的屠夫政權是否真的有很大分別呢？</w:t>
      </w:r>
    </w:p>
    <w:p>
      <w:pPr>
        <w:pStyle w:val="F21"/>
        <w:overflowPunct w:val="true"/>
        <w:rPr/>
      </w:pPr>
      <w:r>
        <w:rPr/>
      </w:r>
    </w:p>
    <w:p>
      <w:pPr>
        <w:pStyle w:val="F21"/>
        <w:overflowPunct w:val="true"/>
        <w:rPr/>
      </w:pPr>
      <w:r>
        <w:rPr/>
        <w:tab/>
      </w:r>
      <w:r>
        <w:rPr/>
        <w:t>第三，</w:t>
      </w:r>
      <w:r>
        <w:rPr/>
        <w:t>1989</w:t>
      </w:r>
      <w:r>
        <w:rPr/>
        <w:t>年的民主運動不是只有六四那一天，不是只有北京，不是只有最後血腥鎮壓的一幕。它是一場席捲中國、浩浩蕩蕩的民主運動，包括中國大大小小的城市，當然也包括香港。說得再闊一點，它甚至是當年反抗極權專制的全球民主運動的一部分。所有見證過</w:t>
      </w:r>
      <w:r>
        <w:rPr/>
        <w:t>1989</w:t>
      </w:r>
      <w:r>
        <w:rPr/>
        <w:t>年那兩個月抗爭的人都知道，</w:t>
      </w:r>
      <w:r>
        <w:rPr/>
        <w:t>1989</w:t>
      </w:r>
      <w:r>
        <w:rPr/>
        <w:t>年的民主運動也是香港的民主運動。香港人不止站在外面聲援，香港人同時也在抗爭。大家處於民主啟蒙和政治覺醒中，同時也為自己的命運吶喊。取走了</w:t>
      </w:r>
      <w:r>
        <w:rPr/>
        <w:t>1989</w:t>
      </w:r>
      <w:r>
        <w:rPr/>
        <w:t>年的這段歷史，我們根本不可能理解香港後來所有的政治和歷史。否定自己的歷史，會令自己以至香港日後的民主運動走得更難。</w:t>
      </w:r>
    </w:p>
    <w:p>
      <w:pPr>
        <w:pStyle w:val="F21"/>
        <w:overflowPunct w:val="true"/>
        <w:rPr/>
      </w:pPr>
      <w:r>
        <w:rPr/>
      </w:r>
    </w:p>
    <w:p>
      <w:pPr>
        <w:pStyle w:val="F21"/>
        <w:overflowPunct w:val="true"/>
        <w:rPr/>
      </w:pPr>
      <w:r>
        <w:rPr/>
        <w:tab/>
      </w:r>
      <w:r>
        <w:rPr/>
        <w:t>第四，立法會提出的</w:t>
      </w:r>
      <w:r>
        <w:rPr/>
        <w:t>"</w:t>
      </w:r>
      <w:r>
        <w:rPr/>
        <w:t>毋忘六四</w:t>
      </w:r>
      <w:r>
        <w:rPr/>
        <w:t>"</w:t>
      </w:r>
      <w:r>
        <w:rPr/>
        <w:t>議案和維園的燭光晚會不僅是悼念，同時也是抗爭。悼念本身就是一場公開的公共政治抗爭行動，議員在議會留下影像和文字紀錄，拖慢歷史被遺忘的步伐。在維園集會的數萬人甚至</w:t>
      </w:r>
      <w:r>
        <w:rPr/>
        <w:t>10</w:t>
      </w:r>
      <w:r>
        <w:rPr/>
        <w:t>多萬人一起喊：</w:t>
      </w:r>
      <w:r>
        <w:rPr/>
        <w:t>"</w:t>
      </w:r>
      <w:r>
        <w:rPr/>
        <w:t>結束一黨專政，建設民主中國</w:t>
      </w:r>
      <w:r>
        <w:rPr/>
        <w:t>"</w:t>
      </w:r>
      <w:r>
        <w:rPr/>
        <w:t>，並非行禮如儀地悼念死去的人，而是同時向全世界清楚表達我們的抗議：我們不認同這樣的政府和制度。</w:t>
      </w:r>
    </w:p>
    <w:p>
      <w:pPr>
        <w:pStyle w:val="F21"/>
        <w:overflowPunct w:val="true"/>
        <w:rPr/>
      </w:pPr>
      <w:r>
        <w:rPr/>
      </w:r>
    </w:p>
    <w:p>
      <w:pPr>
        <w:pStyle w:val="F21"/>
        <w:overflowPunct w:val="true"/>
        <w:rPr>
          <w:szCs w:val="27"/>
        </w:rPr>
      </w:pPr>
      <w:r>
        <w:rPr>
          <w:szCs w:val="27"/>
        </w:rPr>
        <w:tab/>
      </w:r>
      <w:r>
        <w:rPr>
          <w:szCs w:val="27"/>
        </w:rPr>
        <w:t>我們堅持認為值得堅持的價值，同時要求改變。我們要求中國改變，亦要求香港改變。由於價值是普遍的，我們同時也要求世界所有極權國家改變。我們追求民主、自由、平等、人權和正義。我們沒有天真地以為僅靠公共悼念，中國便會改變，同時也不會天真地以為只要每年就六四提出議案或到維園點起燭光後甚麼也不做，便算盡了自己的責任。關心六四、中國、香港和世界，不是非此即彼的事。</w:t>
      </w:r>
    </w:p>
    <w:p>
      <w:pPr>
        <w:pStyle w:val="F21"/>
        <w:overflowPunct w:val="true"/>
        <w:rPr>
          <w:szCs w:val="27"/>
        </w:rPr>
      </w:pPr>
      <w:r>
        <w:rPr>
          <w:szCs w:val="27"/>
        </w:rPr>
      </w:r>
    </w:p>
    <w:p>
      <w:pPr>
        <w:pStyle w:val="F21"/>
        <w:overflowPunct w:val="true"/>
        <w:rPr>
          <w:szCs w:val="27"/>
        </w:rPr>
      </w:pPr>
      <w:r>
        <w:rPr>
          <w:szCs w:val="27"/>
        </w:rPr>
        <w:tab/>
      </w:r>
      <w:r>
        <w:rPr>
          <w:szCs w:val="27"/>
        </w:rPr>
        <w:t>我過去多年也有參加六四維園集會，一直和我的學生一起參加。在出發前，我會向他們講解，而結束後，我會與他們一起進行事後討論。燭光晚會是悼念、公共抗爭，同時也是重要的民主教育和公民教育。要談理解，便不能忘記自己的歷史。我的原則是可以批判和反思，但不可輕言放下或忘記，因為這樣是對歷史的背叛，也是對自己的背叛。</w:t>
      </w:r>
    </w:p>
    <w:p>
      <w:pPr>
        <w:pStyle w:val="F21"/>
        <w:overflowPunct w:val="true"/>
        <w:rPr>
          <w:szCs w:val="27"/>
        </w:rPr>
      </w:pPr>
      <w:r>
        <w:rPr>
          <w:szCs w:val="27"/>
        </w:rPr>
      </w:r>
    </w:p>
    <w:p>
      <w:pPr>
        <w:pStyle w:val="F21"/>
        <w:overflowPunct w:val="true"/>
        <w:rPr>
          <w:szCs w:val="27"/>
        </w:rPr>
      </w:pPr>
      <w:r>
        <w:rPr>
          <w:szCs w:val="27"/>
        </w:rPr>
        <w:tab/>
      </w:r>
      <w:r>
        <w:rPr>
          <w:szCs w:val="27"/>
        </w:rPr>
        <w:t>堅持價值、擇善固執是一種美德，不但適用於六四，亦關乎香港人。主席，是非黑白被扭曲是最令人窒息的事，我想象到在這個議事廳內有一群人最希望時間可以沖淡一切。今天的議案即使被否決，但記憶最少是現階段對獨裁政權的最有效武器。</w:t>
      </w:r>
    </w:p>
    <w:p>
      <w:pPr>
        <w:pStyle w:val="F21"/>
        <w:overflowPunct w:val="true"/>
        <w:rPr>
          <w:szCs w:val="27"/>
        </w:rPr>
      </w:pPr>
      <w:r>
        <w:rPr>
          <w:szCs w:val="27"/>
        </w:rPr>
      </w:r>
    </w:p>
    <w:p>
      <w:pPr>
        <w:pStyle w:val="F21"/>
        <w:overflowPunct w:val="true"/>
        <w:rPr>
          <w:szCs w:val="27"/>
        </w:rPr>
      </w:pPr>
      <w:r>
        <w:rPr>
          <w:szCs w:val="27"/>
        </w:rPr>
        <w:tab/>
        <w:t>"</w:t>
      </w:r>
      <w:r>
        <w:rPr>
          <w:szCs w:val="27"/>
        </w:rPr>
        <w:t>平反八九民運，追究屠城責任，結束一黨專政，建立民主中國</w:t>
      </w:r>
      <w:r>
        <w:rPr>
          <w:szCs w:val="27"/>
        </w:rPr>
        <w:t>"</w:t>
      </w:r>
      <w:r>
        <w:rPr>
          <w:szCs w:val="27"/>
        </w:rPr>
        <w:t>，我謹此陳辭。</w:t>
      </w:r>
    </w:p>
    <w:p>
      <w:pPr>
        <w:pStyle w:val="F21"/>
        <w:overflowPunct w:val="true"/>
        <w:rPr>
          <w:szCs w:val="27"/>
        </w:rPr>
      </w:pPr>
      <w:r>
        <w:rPr>
          <w:szCs w:val="27"/>
        </w:rPr>
      </w:r>
    </w:p>
    <w:p>
      <w:pPr>
        <w:pStyle w:val="F21"/>
        <w:overflowPunct w:val="true"/>
        <w:rPr>
          <w:rFonts w:cs="Times New Roman"/>
        </w:rPr>
      </w:pPr>
      <w:r>
        <w:rPr>
          <w:rFonts w:cs="Times New Roman"/>
        </w:rPr>
      </w:r>
    </w:p>
    <w:p>
      <w:pPr>
        <w:pStyle w:val="F21"/>
        <w:overflowPunct w:val="true"/>
        <w:rPr/>
      </w:pPr>
      <w:r>
        <w:rPr>
          <w:rFonts w:eastAsia="華康中黑體"/>
          <w:b/>
          <w:szCs w:val="27"/>
        </w:rPr>
        <w:t>郭家麒議員</w:t>
      </w:r>
      <w:r>
        <w:rPr/>
        <w:t>：主席，我首先感謝</w:t>
      </w:r>
      <w:r>
        <w:rPr>
          <w:szCs w:val="27"/>
        </w:rPr>
        <w:t>胡志偉議員</w:t>
      </w:r>
      <w:r>
        <w:rPr/>
        <w:t>在六四</w:t>
      </w:r>
      <w:r>
        <w:rPr/>
        <w:t>30</w:t>
      </w:r>
      <w:r>
        <w:rPr/>
        <w:t>周年的前夕提出</w:t>
      </w:r>
      <w:r>
        <w:rPr/>
        <w:t>"</w:t>
      </w:r>
      <w:r>
        <w:rPr/>
        <w:t>毋忘六四</w:t>
      </w:r>
      <w:r>
        <w:rPr/>
        <w:t>"</w:t>
      </w:r>
      <w:r>
        <w:rPr/>
        <w:t>議案。</w:t>
      </w:r>
    </w:p>
    <w:p>
      <w:pPr>
        <w:pStyle w:val="F21"/>
        <w:overflowPunct w:val="true"/>
        <w:rPr/>
      </w:pPr>
      <w:r>
        <w:rPr/>
      </w:r>
    </w:p>
    <w:p>
      <w:pPr>
        <w:pStyle w:val="F21"/>
        <w:overflowPunct w:val="true"/>
        <w:rPr/>
      </w:pPr>
      <w:r>
        <w:rPr/>
        <w:tab/>
      </w:r>
      <w:r>
        <w:rPr/>
        <w:t>在</w:t>
      </w:r>
      <w:r>
        <w:rPr/>
        <w:t>2014</w:t>
      </w:r>
      <w:r>
        <w:rPr/>
        <w:t>年</w:t>
      </w:r>
      <w:r>
        <w:rPr/>
        <w:t>10</w:t>
      </w:r>
      <w:r>
        <w:rPr/>
        <w:t>月，國內有一位年青學者袁騰飛曾說過一句話，在網上瘋傳，他說：</w:t>
      </w:r>
      <w:r>
        <w:rPr/>
        <w:t>"</w:t>
      </w:r>
      <w:r>
        <w:rPr/>
        <w:t>一個沒有歷史的民族是沒有根的民族</w:t>
      </w:r>
      <w:r>
        <w:rPr/>
        <w:t>"</w:t>
      </w:r>
      <w:r>
        <w:rPr/>
        <w:t>。他這句說話在國內的互聯網不停傳播，而他是師範大學歷史系畢業生，是</w:t>
      </w:r>
      <w:r>
        <w:rPr/>
        <w:t>"70</w:t>
      </w:r>
      <w:r>
        <w:rPr/>
        <w:t>後</w:t>
      </w:r>
      <w:r>
        <w:rPr/>
        <w:t>"</w:t>
      </w:r>
      <w:r>
        <w:rPr/>
        <w:t>。他這話原是指着日本人說的，因為大陸政權，每次談論六四時，他便會將焦點轉移，他說當時的中國如果不是有六四的鎮壓，便不會有今天的繁榮。</w:t>
      </w:r>
    </w:p>
    <w:p>
      <w:pPr>
        <w:pStyle w:val="F21"/>
        <w:overflowPunct w:val="true"/>
        <w:rPr/>
      </w:pPr>
      <w:r>
        <w:rPr/>
      </w:r>
    </w:p>
    <w:p>
      <w:pPr>
        <w:pStyle w:val="F21"/>
        <w:overflowPunct w:val="true"/>
        <w:rPr/>
      </w:pPr>
      <w:r>
        <w:rPr/>
        <w:tab/>
      </w:r>
      <w:r>
        <w:rPr/>
        <w:t>大陸政府很棒，每次中國有甚麼狀況，便會做數場戲，找一些特別御准的反日人士，反對日本抹去侵華的史實。這些大陸領導人最擅長罵日本人忘記歷史，指他們在第二次世界大戰時屠殺中國人，在南京大屠殺有</w:t>
      </w:r>
      <w:r>
        <w:rPr/>
        <w:t>30</w:t>
      </w:r>
      <w:r>
        <w:rPr/>
        <w:t>萬人被殺；日本侵華導致數以千萬計人犧牲。可是，大陸當權的</w:t>
      </w:r>
      <w:r>
        <w:rPr/>
        <w:t>"</w:t>
      </w:r>
      <w:r>
        <w:rPr/>
        <w:t>殘暴屠夫政權</w:t>
      </w:r>
      <w:r>
        <w:rPr/>
        <w:t>"</w:t>
      </w:r>
      <w:r>
        <w:rPr/>
        <w:t>，同樣是靠忘記歷史來掩飾罪過。</w:t>
      </w:r>
    </w:p>
    <w:p>
      <w:pPr>
        <w:pStyle w:val="F21"/>
        <w:overflowPunct w:val="true"/>
        <w:rPr/>
      </w:pPr>
      <w:r>
        <w:rPr/>
      </w:r>
    </w:p>
    <w:p>
      <w:pPr>
        <w:pStyle w:val="F21"/>
        <w:overflowPunct w:val="true"/>
        <w:rPr/>
      </w:pPr>
      <w:r>
        <w:rPr/>
        <w:tab/>
      </w:r>
      <w:r>
        <w:rPr/>
        <w:t>中共政權最擅長的，就是以時間抹去這段令他們感到羞耻的歷史。不過，香港是唯一仍會大規模紀念六四屠城的華人社會，這個城市絕對不會忘記</w:t>
      </w:r>
      <w:r>
        <w:rPr/>
        <w:t>30</w:t>
      </w:r>
      <w:r>
        <w:rPr/>
        <w:t>年前在北京天安門發生的慘案。三十年前，北京的學生和青年人因為國家當時的亂象走出來。大家還記得，</w:t>
      </w:r>
      <w:r>
        <w:rPr/>
        <w:t>30</w:t>
      </w:r>
      <w:r>
        <w:rPr/>
        <w:t>年前的中國已出現官倒、腐敗等情況，所以他們走出來。他們以為中國在</w:t>
      </w:r>
      <w:r>
        <w:rPr/>
        <w:t>1978</w:t>
      </w:r>
      <w:r>
        <w:rPr/>
        <w:t>年改革開放後，當時掌權的國家領導人鄧小平真的會重視民意。可惜，鄧小平與中國其他專權領導人一樣，過橋抽板。他要走出來的時候，便借民主牆的聲音，令他可以掌權。大權在握後，</w:t>
      </w:r>
      <w:r>
        <w:rPr/>
        <w:t>"</w:t>
      </w:r>
      <w:r>
        <w:rPr/>
        <w:t>老鄧</w:t>
      </w:r>
      <w:r>
        <w:rPr/>
        <w:t>"</w:t>
      </w:r>
      <w:r>
        <w:rPr/>
        <w:t>即重演過橋抽板，並下令戒嚴部隊進駐北京，展開八九屠殺。</w:t>
      </w:r>
    </w:p>
    <w:p>
      <w:pPr>
        <w:pStyle w:val="F21"/>
        <w:overflowPunct w:val="true"/>
        <w:rPr/>
      </w:pPr>
      <w:r>
        <w:rPr/>
      </w:r>
    </w:p>
    <w:p>
      <w:pPr>
        <w:pStyle w:val="F21"/>
        <w:overflowPunct w:val="true"/>
        <w:rPr/>
      </w:pPr>
      <w:r>
        <w:rPr/>
        <w:tab/>
      </w:r>
      <w:r>
        <w:rPr/>
        <w:t>三十年後的今天，中國變成怎樣呢？現時的情況比</w:t>
      </w:r>
      <w:r>
        <w:rPr/>
        <w:t>1989</w:t>
      </w:r>
      <w:r>
        <w:rPr/>
        <w:t>年還要差。</w:t>
      </w:r>
      <w:r>
        <w:rPr/>
        <w:t>1989</w:t>
      </w:r>
      <w:r>
        <w:rPr/>
        <w:t>年時，人民尚可醞釀一個民間社會的抗議運動，但</w:t>
      </w:r>
      <w:r>
        <w:rPr/>
        <w:t>2019</w:t>
      </w:r>
      <w:r>
        <w:rPr/>
        <w:t>年的今天，中國大陸的維權人士即使發出卑微的聲音，也被當局盡力打壓。他們包括維權律師王全璋、秦永敏等，而</w:t>
      </w:r>
      <w:r>
        <w:rPr/>
        <w:t>"709</w:t>
      </w:r>
      <w:r>
        <w:rPr/>
        <w:t>大搜捕</w:t>
      </w:r>
      <w:r>
        <w:rPr/>
        <w:t>"</w:t>
      </w:r>
      <w:r>
        <w:rPr/>
        <w:t>的維權律師已經家破，儘管不至於人亡，而他們承受的壓力、不必要的牢獄之苦，比</w:t>
      </w:r>
      <w:r>
        <w:rPr/>
        <w:t>30</w:t>
      </w:r>
      <w:r>
        <w:rPr/>
        <w:t>年前的中國更差、更糟。中國現時科技進步，可以隨便使用人臉辨識技術、互聯網技術來監控所有中國人。因此，在中國發表任何聲音，只要有膽出來說兩句，便會被隨意拘禁，被控以</w:t>
      </w:r>
      <w:r>
        <w:rPr/>
        <w:t>"</w:t>
      </w:r>
      <w:r>
        <w:rPr/>
        <w:t>顛覆國家政權罪</w:t>
      </w:r>
      <w:r>
        <w:rPr/>
        <w:t>"</w:t>
      </w:r>
      <w:r>
        <w:rPr/>
        <w:t>、</w:t>
      </w:r>
      <w:r>
        <w:rPr/>
        <w:t>"</w:t>
      </w:r>
      <w:r>
        <w:rPr/>
        <w:t>尋釁滋事罪</w:t>
      </w:r>
      <w:r>
        <w:rPr/>
        <w:t>"</w:t>
      </w:r>
      <w:r>
        <w:rPr/>
        <w:t>等，判監往往數以年計。</w:t>
      </w:r>
    </w:p>
    <w:p>
      <w:pPr>
        <w:pStyle w:val="F21"/>
        <w:overflowPunct w:val="true"/>
        <w:rPr/>
      </w:pPr>
      <w:r>
        <w:rPr/>
      </w:r>
    </w:p>
    <w:p>
      <w:pPr>
        <w:pStyle w:val="F21"/>
        <w:overflowPunct w:val="true"/>
        <w:rPr/>
      </w:pPr>
      <w:r>
        <w:rPr/>
        <w:tab/>
      </w:r>
      <w:r>
        <w:rPr/>
        <w:t>今天，大家應還記得設計</w:t>
      </w:r>
      <w:r>
        <w:rPr/>
        <w:t>"</w:t>
      </w:r>
      <w:r>
        <w:rPr/>
        <w:t>銘記八酒六四</w:t>
      </w:r>
      <w:r>
        <w:rPr/>
        <w:t>"</w:t>
      </w:r>
      <w:r>
        <w:rPr/>
        <w:t>那</w:t>
      </w:r>
      <w:r>
        <w:rPr/>
        <w:t>4</w:t>
      </w:r>
      <w:r>
        <w:rPr/>
        <w:t>位維權人士，其實他們沒有做過甚麼特別的事，只是在酒瓶上寫上</w:t>
      </w:r>
      <w:r>
        <w:rPr/>
        <w:t>"</w:t>
      </w:r>
      <w:r>
        <w:rPr/>
        <w:t>銘記八酒六四</w:t>
      </w:r>
      <w:r>
        <w:rPr/>
        <w:t>"</w:t>
      </w:r>
      <w:r>
        <w:rPr/>
        <w:t>，在大陸這叫</w:t>
      </w:r>
      <w:r>
        <w:rPr/>
        <w:t>"</w:t>
      </w:r>
      <w:r>
        <w:rPr/>
        <w:t>擦邊球</w:t>
      </w:r>
      <w:r>
        <w:rPr/>
        <w:t>"</w:t>
      </w:r>
      <w:r>
        <w:rPr/>
        <w:t>。可是，這樣也不可以，當中包括羅富譽，被判監</w:t>
      </w:r>
      <w:r>
        <w:rPr/>
        <w:t>3</w:t>
      </w:r>
      <w:r>
        <w:rPr/>
        <w:t>年，緩刑</w:t>
      </w:r>
      <w:r>
        <w:rPr/>
        <w:t>4</w:t>
      </w:r>
      <w:r>
        <w:rPr/>
        <w:t>年，其實已經被囚禁了</w:t>
      </w:r>
      <w:r>
        <w:rPr/>
        <w:t>3</w:t>
      </w:r>
      <w:r>
        <w:rPr/>
        <w:t>年，他們最初被控尋釁滋事，後來被控顛覆國家政權罪，到最後還是尋釁滋事罪。</w:t>
      </w:r>
    </w:p>
    <w:p>
      <w:pPr>
        <w:pStyle w:val="F21"/>
        <w:overflowPunct w:val="true"/>
        <w:rPr/>
      </w:pPr>
      <w:r>
        <w:rPr/>
      </w:r>
    </w:p>
    <w:p>
      <w:pPr>
        <w:pStyle w:val="F21"/>
        <w:overflowPunct w:val="true"/>
        <w:rPr/>
      </w:pPr>
      <w:r>
        <w:rPr/>
        <w:tab/>
      </w:r>
      <w:r>
        <w:rPr/>
        <w:t>今天，最荒謬的事情發生了，就是《</w:t>
      </w:r>
      <w:r>
        <w:rPr/>
        <w:t>2019</w:t>
      </w:r>
      <w:r>
        <w:rPr/>
        <w:t>年逃犯及刑事事宜相互法律協助法例</w:t>
      </w:r>
      <w:r>
        <w:rPr/>
        <w:t>(</w:t>
      </w:r>
      <w:r>
        <w:rPr/>
        <w:t>修訂</w:t>
      </w:r>
      <w:r>
        <w:rPr/>
        <w:t>)</w:t>
      </w:r>
      <w:r>
        <w:rPr/>
        <w:t>條例草案》在立法會首讀。這個國家的法治可以朝令夕改，可以任何罪名控告人，只要符合當權者的目的便可以引用。</w:t>
      </w:r>
    </w:p>
    <w:p>
      <w:pPr>
        <w:pStyle w:val="F21"/>
        <w:overflowPunct w:val="true"/>
        <w:rPr/>
      </w:pPr>
      <w:r>
        <w:rPr/>
      </w:r>
    </w:p>
    <w:p>
      <w:pPr>
        <w:pStyle w:val="F21"/>
        <w:overflowPunct w:val="true"/>
        <w:rPr>
          <w:rFonts w:ascii="華康細明體" w:hAnsi="華康細明體"/>
        </w:rPr>
      </w:pPr>
      <w:r>
        <w:rPr/>
        <w:tab/>
      </w:r>
      <w:r>
        <w:rPr/>
        <w:t>這是沒有將來的民族，沒有將來的國家。很不幸，香港在命運上要與這個國家連結一起，而</w:t>
      </w:r>
      <w:r>
        <w:rPr/>
        <w:t>"</w:t>
      </w:r>
      <w:r>
        <w:rPr/>
        <w:t>林鄭</w:t>
      </w:r>
      <w:r>
        <w:rPr/>
        <w:t>"</w:t>
      </w:r>
      <w:r>
        <w:rPr/>
        <w:t>政府是一個出賣香港人的政府，將我們的法治毀於一旦。有些同事問：我們會否繼續談論六四？我們一定要繼續談論，無論有多惡毒的法例，我們一定要每年談論六四，每年也要高呼</w:t>
      </w:r>
      <w:r>
        <w:rPr/>
        <w:t>"</w:t>
      </w:r>
      <w:r>
        <w:rPr/>
        <w:t>平反六四</w:t>
      </w:r>
      <w:r>
        <w:rPr/>
        <w:t>"</w:t>
      </w:r>
      <w:r>
        <w:rPr/>
        <w:t>、</w:t>
      </w:r>
      <w:r>
        <w:rPr/>
        <w:t>"</w:t>
      </w:r>
      <w:r>
        <w:rPr/>
        <w:t>結束一黨專政</w:t>
      </w:r>
      <w:r>
        <w:rPr/>
        <w:t>"</w:t>
      </w:r>
      <w:r>
        <w:rPr/>
        <w:t>、</w:t>
      </w:r>
      <w:r>
        <w:rPr/>
        <w:t>"</w:t>
      </w:r>
      <w:r>
        <w:rPr/>
        <w:t>追究屠城責任</w:t>
      </w:r>
      <w:r>
        <w:rPr/>
        <w:t>"</w:t>
      </w:r>
      <w:r>
        <w:rPr/>
        <w:t>、</w:t>
      </w:r>
      <w:r>
        <w:rPr/>
        <w:t>"</w:t>
      </w:r>
      <w:r>
        <w:rPr/>
        <w:t>還我民主中華</w:t>
      </w:r>
      <w:r>
        <w:rPr/>
        <w:t>"</w:t>
      </w:r>
      <w:r>
        <w:rPr>
          <w:rFonts w:ascii="華康細明體" w:hAnsi="華康細明體"/>
        </w:rPr>
        <w:t>。</w:t>
      </w:r>
    </w:p>
    <w:p>
      <w:pPr>
        <w:pStyle w:val="F21"/>
        <w:overflowPunct w:val="true"/>
        <w:rPr>
          <w:rFonts w:ascii="華康細明體" w:hAnsi="華康細明體"/>
        </w:rPr>
      </w:pPr>
      <w:r>
        <w:rPr>
          <w:rFonts w:ascii="華康細明體" w:hAnsi="華康細明體"/>
        </w:rPr>
      </w:r>
    </w:p>
    <w:p>
      <w:pPr>
        <w:pStyle w:val="F21"/>
        <w:overflowPunct w:val="true"/>
        <w:rPr/>
      </w:pPr>
      <w:r>
        <w:rPr>
          <w:rFonts w:ascii="華康細明體" w:hAnsi="華康細明體"/>
        </w:rPr>
        <w:tab/>
      </w:r>
      <w:r>
        <w:rPr>
          <w:rFonts w:ascii="華康細明體" w:hAnsi="華康細明體"/>
        </w:rPr>
        <w:t>謹此陳辭。</w:t>
      </w:r>
    </w:p>
    <w:p>
      <w:pPr>
        <w:pStyle w:val="F21"/>
        <w:overflowPunct w:val="true"/>
        <w:rPr>
          <w:rFonts w:cs="Times New Roman"/>
        </w:rPr>
      </w:pPr>
      <w:r>
        <w:rPr>
          <w:rFonts w:cs="Times New Roman"/>
        </w:rPr>
      </w:r>
    </w:p>
    <w:p>
      <w:pPr>
        <w:pStyle w:val="F21"/>
        <w:overflowPunct w:val="true"/>
        <w:rPr>
          <w:rFonts w:cs="Times New Roman"/>
        </w:rPr>
      </w:pPr>
      <w:r>
        <w:rPr>
          <w:rFonts w:cs="Times New Roman"/>
        </w:rPr>
      </w:r>
    </w:p>
    <w:p>
      <w:pPr>
        <w:pStyle w:val="F21"/>
        <w:overflowPunct w:val="true"/>
        <w:rPr/>
      </w:pPr>
      <w:r>
        <w:rPr>
          <w:rFonts w:eastAsia="華康中黑體"/>
          <w:b/>
        </w:rPr>
        <w:t>梁耀忠議員</w:t>
      </w:r>
      <w:r>
        <w:rPr/>
        <w:t>：對於胡志偉議員提出的議案，我是絕對支持的。今年是</w:t>
      </w:r>
      <w:r>
        <w:rPr/>
        <w:t>2019</w:t>
      </w:r>
      <w:r>
        <w:rPr/>
        <w:t>年，換言之，今年是</w:t>
      </w:r>
      <w:r>
        <w:rPr/>
        <w:t>"</w:t>
      </w:r>
      <w:r>
        <w:rPr/>
        <w:t>八九民運、六四屠城</w:t>
      </w:r>
      <w:r>
        <w:rPr/>
        <w:t>"30</w:t>
      </w:r>
      <w:r>
        <w:rPr/>
        <w:t>周年。整整</w:t>
      </w:r>
      <w:r>
        <w:rPr/>
        <w:t>30</w:t>
      </w:r>
      <w:r>
        <w:rPr/>
        <w:t>年已過去，但中共政權仍然拒絕負上歷史責任，實在令人失望和憤怒。</w:t>
      </w:r>
    </w:p>
    <w:p>
      <w:pPr>
        <w:pStyle w:val="F21"/>
        <w:overflowPunct w:val="true"/>
        <w:rPr/>
      </w:pPr>
      <w:r>
        <w:rPr/>
      </w:r>
    </w:p>
    <w:p>
      <w:pPr>
        <w:pStyle w:val="F21"/>
        <w:overflowPunct w:val="true"/>
        <w:rPr/>
      </w:pPr>
      <w:r>
        <w:rPr/>
        <w:tab/>
      </w:r>
      <w:r>
        <w:rPr/>
        <w:t>近年，香港人的言論自由和政治權利被不斷收窄，包括選舉確認書和</w:t>
      </w:r>
      <w:r>
        <w:rPr/>
        <w:t>"DQ"</w:t>
      </w:r>
      <w:r>
        <w:rPr/>
        <w:t>議員事件等，反映出中共政權的</w:t>
      </w:r>
      <w:r>
        <w:rPr/>
        <w:t>"</w:t>
      </w:r>
      <w:r>
        <w:rPr/>
        <w:t>紅線</w:t>
      </w:r>
      <w:r>
        <w:rPr/>
        <w:t>"</w:t>
      </w:r>
      <w:r>
        <w:rPr/>
        <w:t>越推越前。同時，特區政府為了討好中共，一次又一次地犧牲香港人的利益。</w:t>
      </w:r>
      <w:r>
        <w:rPr/>
        <w:t>"</w:t>
      </w:r>
      <w:r>
        <w:rPr/>
        <w:t>林鄭</w:t>
      </w:r>
      <w:r>
        <w:rPr/>
        <w:t>"</w:t>
      </w:r>
      <w:r>
        <w:rPr/>
        <w:t>政府近日更出新招，企圖修訂《逃犯條例》</w:t>
      </w:r>
      <w:r>
        <w:rPr/>
        <w:t>("</w:t>
      </w:r>
      <w:r>
        <w:rPr/>
        <w:t>《條例》</w:t>
      </w:r>
      <w:r>
        <w:rPr/>
        <w:t>")</w:t>
      </w:r>
      <w:r>
        <w:rPr/>
        <w:t>，把移交逃犯安排擴大至包括中國內地和未與香港簽署司法互助協議的地區。上述修訂建議一出，人心惶惶，因為大家都心知肚明，一旦被移交至中共管治的中國，基本上便無法獲得公平審訊，而公平審訊正正就是聯合國對國際間移交逃犯協議的最重要規定。</w:t>
      </w:r>
    </w:p>
    <w:p>
      <w:pPr>
        <w:pStyle w:val="Normal"/>
        <w:widowControl/>
        <w:tabs>
          <w:tab w:val="clear" w:pos="720"/>
        </w:tabs>
        <w:snapToGrid w:val="true"/>
        <w:spacing w:lineRule="auto" w:line="276" w:before="0" w:after="200"/>
        <w:jc w:val="left"/>
        <w:rPr>
          <w:rFonts w:cs="" w:cstheme="minorBidi"/>
          <w:spacing w:val="20"/>
          <w:sz w:val="27"/>
          <w:szCs w:val="22"/>
          <w:lang w:val="en-US"/>
        </w:rPr>
      </w:pPr>
      <w:r>
        <w:rPr>
          <w:rFonts w:cs="" w:cstheme="minorBidi"/>
          <w:spacing w:val="20"/>
          <w:sz w:val="27"/>
          <w:szCs w:val="22"/>
          <w:lang w:val="en-US"/>
        </w:rPr>
      </w:r>
      <w:r>
        <w:br w:type="page"/>
      </w:r>
    </w:p>
    <w:p>
      <w:pPr>
        <w:pStyle w:val="F21"/>
        <w:overflowPunct w:val="true"/>
        <w:spacing w:lineRule="atLeast" w:line="370"/>
        <w:rPr/>
      </w:pPr>
      <w:r>
        <w:rPr/>
        <w:tab/>
      </w:r>
      <w:r>
        <w:rPr/>
        <w:t>不論回歸前、後，中國內地的司法制度和人權保障都顯然不完善。根據美國非政府組織</w:t>
      </w:r>
      <w:r>
        <w:rPr/>
        <w:t>"</w:t>
      </w:r>
      <w:r>
        <w:rPr/>
        <w:t>世界正義工程</w:t>
      </w:r>
      <w:r>
        <w:rPr/>
        <w:t>"</w:t>
      </w:r>
      <w:r>
        <w:rPr/>
        <w:t>去年發表的年度法治指數，在</w:t>
      </w:r>
      <w:r>
        <w:rPr/>
        <w:t>113</w:t>
      </w:r>
      <w:r>
        <w:rPr/>
        <w:t>個國家和地區中，香港排名第十六位，而中國內地則只排名第七十五位。不少當年曾參與八九民運的人士至今仍然流亡海外，加上近年有越來越多維權人士被帶走、被拘禁、被失蹤，反映出自八九民運後，在中共的專制極權統治下，中國的政制改革及人權狀況每況愈下，而這正正是當年我們把中國內地從《條例》的適用範圍剔除的原因，而非今天政府所說的</w:t>
      </w:r>
      <w:r>
        <w:rPr/>
        <w:t>"</w:t>
      </w:r>
      <w:r>
        <w:rPr/>
        <w:t>漏洞</w:t>
      </w:r>
      <w:r>
        <w:rPr/>
        <w:t>"</w:t>
      </w:r>
      <w:r>
        <w:rPr/>
        <w:t>，這完全是個謊言。</w:t>
      </w:r>
    </w:p>
    <w:p>
      <w:pPr>
        <w:pStyle w:val="F21"/>
        <w:overflowPunct w:val="true"/>
        <w:spacing w:lineRule="atLeast" w:line="370"/>
        <w:rPr/>
      </w:pPr>
      <w:r>
        <w:rPr/>
      </w:r>
    </w:p>
    <w:p>
      <w:pPr>
        <w:pStyle w:val="F21"/>
        <w:overflowPunct w:val="true"/>
        <w:spacing w:lineRule="atLeast" w:line="370"/>
        <w:rPr/>
      </w:pPr>
      <w:r>
        <w:rPr/>
        <w:tab/>
      </w:r>
      <w:r>
        <w:rPr/>
        <w:t>因此，異見人士一旦被移交國內，後果將不堪設想。即使現時《條例》訂明不會移交政治犯，但若中共視某人為眼中釘，大可用經濟罪犯的名義引渡相關人士到內地受審，令香港變得更加不安全，令商界也十分擔心和害怕。</w:t>
      </w:r>
    </w:p>
    <w:p>
      <w:pPr>
        <w:pStyle w:val="F21"/>
        <w:overflowPunct w:val="true"/>
        <w:spacing w:lineRule="atLeast" w:line="370"/>
        <w:rPr/>
      </w:pPr>
      <w:r>
        <w:rPr/>
      </w:r>
    </w:p>
    <w:p>
      <w:pPr>
        <w:pStyle w:val="F21"/>
        <w:overflowPunct w:val="true"/>
        <w:spacing w:lineRule="atLeast" w:line="370"/>
        <w:rPr/>
      </w:pPr>
      <w:r>
        <w:rPr/>
        <w:tab/>
      </w:r>
      <w:r>
        <w:rPr/>
        <w:t>主席，今天議案是</w:t>
      </w:r>
      <w:r>
        <w:rPr/>
        <w:t>"</w:t>
      </w:r>
      <w:r>
        <w:rPr/>
        <w:t>毋忘六四</w:t>
      </w:r>
      <w:r>
        <w:rPr/>
        <w:t>"</w:t>
      </w:r>
      <w:r>
        <w:rPr/>
        <w:t>，為何我卻就《條例》發言呢？因為，在香港回歸前、後，特別是近年發生的種種侵犯人權事件，其實也與八九民運被血腥鎮壓的下場有關。當年共產黨屠城，等於完全扼殺近代中國歷史上一場政治改革的民眾運動。自此，中共全面收緊政治、經濟、文化和人權等各方面的政策方針，不論在回歸前、後，這些改變也深深影響着香港，延續到今天。不平反六四、不結束一黨專政，這種狀態是無法改變的。所以，在支聯會的五大綱領中，除了</w:t>
      </w:r>
      <w:r>
        <w:rPr/>
        <w:t>"</w:t>
      </w:r>
      <w:r>
        <w:rPr/>
        <w:t>釋放民運人士、平反八九民運、追究屠城責任</w:t>
      </w:r>
      <w:r>
        <w:rPr/>
        <w:t>"</w:t>
      </w:r>
      <w:r>
        <w:rPr/>
        <w:t>外，更重要的就是</w:t>
      </w:r>
      <w:r>
        <w:rPr/>
        <w:t>"</w:t>
      </w:r>
      <w:r>
        <w:rPr/>
        <w:t>結束一黨專政，建設民主中國</w:t>
      </w:r>
      <w:r>
        <w:rPr/>
        <w:t>"</w:t>
      </w:r>
      <w:r>
        <w:rPr/>
        <w:t>。</w:t>
      </w:r>
    </w:p>
    <w:p>
      <w:pPr>
        <w:pStyle w:val="F21"/>
        <w:overflowPunct w:val="true"/>
        <w:spacing w:lineRule="atLeast" w:line="370"/>
        <w:rPr/>
      </w:pPr>
      <w:r>
        <w:rPr/>
      </w:r>
    </w:p>
    <w:p>
      <w:pPr>
        <w:pStyle w:val="F21"/>
        <w:overflowPunct w:val="true"/>
        <w:spacing w:lineRule="atLeast" w:line="370"/>
        <w:rPr/>
      </w:pPr>
      <w:r>
        <w:rPr/>
        <w:tab/>
      </w:r>
      <w:r>
        <w:rPr/>
        <w:t>我留意到，近年越來越多人說每年也高呼平反六四，只是行禮如儀，根本沒有意義。同時，各種言論和政治打壓令社會累積了很多對中共的不滿和抗拒。所以，很多人說八九民運是中國的事，與香港人無關。我明白這種說法反映出有些人士對中共政權的無力感或灰心，但我們不能否認中港命運緊密相連這個事實。再者，八九民運期間，香港人從來不是旁觀者，而是參與者。當年有</w:t>
      </w:r>
      <w:r>
        <w:rPr/>
        <w:t>100</w:t>
      </w:r>
      <w:r>
        <w:rPr/>
        <w:t>萬人上街聲援，亦有不少人親身上京支援，難道這不算參與嗎？</w:t>
      </w:r>
    </w:p>
    <w:p>
      <w:pPr>
        <w:pStyle w:val="F21"/>
        <w:overflowPunct w:val="true"/>
        <w:spacing w:lineRule="atLeast" w:line="370"/>
        <w:rPr/>
      </w:pPr>
      <w:r>
        <w:rPr/>
      </w:r>
    </w:p>
    <w:p>
      <w:pPr>
        <w:pStyle w:val="F21"/>
        <w:overflowPunct w:val="true"/>
        <w:spacing w:lineRule="atLeast" w:line="370"/>
        <w:rPr>
          <w:szCs w:val="27"/>
        </w:rPr>
      </w:pPr>
      <w:r>
        <w:rPr/>
        <w:tab/>
      </w:r>
      <w:r>
        <w:rPr/>
        <w:t>因此，一如既往，我呼籲所有曾支持平反八九民運，如今仍然不齒中共政權所作所為的香港市民，再次在今年的六四晚會中站出來，除了表達珍惜香港現時仍然擁有的言論和集會自由外，亦再次告訴這個</w:t>
      </w:r>
      <w:r>
        <w:rPr/>
        <w:t>"</w:t>
      </w:r>
      <w:r>
        <w:rPr/>
        <w:t>殺人政權</w:t>
      </w:r>
      <w:r>
        <w:rPr/>
        <w:t>"</w:t>
      </w:r>
      <w:r>
        <w:rPr/>
        <w:t>，香港人是不會輕易退縮的。同時，對於香港現正發生的每宗政治事件，也希望大家不要灰心、不要冷感、不要習慣，否則，特區政府這隻</w:t>
      </w:r>
      <w:r>
        <w:rPr/>
        <w:t>"</w:t>
      </w:r>
      <w:r>
        <w:rPr/>
        <w:t>中共應聲蟲</w:t>
      </w:r>
      <w:r>
        <w:rPr/>
        <w:t>"</w:t>
      </w:r>
      <w:r>
        <w:rPr/>
        <w:t>只會更加肆無忌憚地出賣香港人的利益。請大家要繼續站起來。</w:t>
      </w:r>
    </w:p>
    <w:p>
      <w:pPr>
        <w:pStyle w:val="F21"/>
        <w:overflowPunct w:val="true"/>
        <w:rPr>
          <w:rFonts w:cs="Times New Roman"/>
        </w:rPr>
      </w:pPr>
      <w:r>
        <w:rPr>
          <w:rFonts w:cs="Times New Roman"/>
        </w:rPr>
      </w:r>
    </w:p>
    <w:p>
      <w:pPr>
        <w:pStyle w:val="F21"/>
        <w:overflowPunct w:val="true"/>
        <w:rPr>
          <w:rFonts w:cs="Times New Roman"/>
        </w:rPr>
      </w:pPr>
      <w:r>
        <w:rPr>
          <w:rFonts w:cs="Times New Roman"/>
        </w:rPr>
      </w:r>
    </w:p>
    <w:p>
      <w:pPr>
        <w:pStyle w:val="F21"/>
        <w:rPr>
          <w:szCs w:val="27"/>
        </w:rPr>
      </w:pPr>
      <w:r>
        <w:rPr>
          <w:rFonts w:ascii="華康中黑體" w:hAnsi="華康中黑體" w:eastAsia="華康中黑體"/>
          <w:b/>
          <w:szCs w:val="27"/>
        </w:rPr>
        <w:t>謝偉銓議員</w:t>
      </w:r>
      <w:r>
        <w:rPr>
          <w:szCs w:val="27"/>
        </w:rPr>
        <w:t>：主席，自我當上立法會議員以來，對於每次</w:t>
      </w:r>
      <w:r>
        <w:rPr>
          <w:szCs w:val="27"/>
        </w:rPr>
        <w:t>"</w:t>
      </w:r>
      <w:r>
        <w:rPr>
          <w:szCs w:val="27"/>
        </w:rPr>
        <w:t>毋忘六四</w:t>
      </w:r>
      <w:r>
        <w:rPr>
          <w:szCs w:val="27"/>
        </w:rPr>
        <w:t>"</w:t>
      </w:r>
      <w:r>
        <w:rPr>
          <w:szCs w:val="27"/>
        </w:rPr>
        <w:t>的議案，我也有發言表達我的個人感受和看法，今年亦不例外。</w:t>
      </w:r>
    </w:p>
    <w:p>
      <w:pPr>
        <w:pStyle w:val="F21"/>
        <w:rPr>
          <w:szCs w:val="27"/>
        </w:rPr>
      </w:pPr>
      <w:r>
        <w:rPr>
          <w:szCs w:val="27"/>
        </w:rPr>
      </w:r>
    </w:p>
    <w:p>
      <w:pPr>
        <w:pStyle w:val="F21"/>
        <w:rPr>
          <w:szCs w:val="27"/>
        </w:rPr>
      </w:pPr>
      <w:r>
        <w:rPr>
          <w:szCs w:val="27"/>
        </w:rPr>
        <w:tab/>
      </w:r>
      <w:r>
        <w:rPr>
          <w:szCs w:val="27"/>
        </w:rPr>
        <w:t>不經不覺，六四事件發生至今快接近</w:t>
      </w:r>
      <w:r>
        <w:rPr>
          <w:szCs w:val="27"/>
        </w:rPr>
        <w:t>30</w:t>
      </w:r>
      <w:r>
        <w:rPr>
          <w:szCs w:val="27"/>
        </w:rPr>
        <w:t>年。在</w:t>
      </w:r>
      <w:r>
        <w:rPr>
          <w:szCs w:val="27"/>
        </w:rPr>
        <w:t>30</w:t>
      </w:r>
      <w:r>
        <w:rPr>
          <w:szCs w:val="27"/>
        </w:rPr>
        <w:t>年前於北京發生的事件，不少人也不會忘記，而我與部分香港市民一樣，直到今天仍有很深刻的感受。不論對有關事件有何看法或誰是誰非，我和不少人均認同六四事件是一件非常不幸的事，亦是值得大家反思並從中汲取經驗和教訓的事件。</w:t>
      </w:r>
    </w:p>
    <w:p>
      <w:pPr>
        <w:pStyle w:val="F21"/>
        <w:rPr>
          <w:szCs w:val="27"/>
        </w:rPr>
      </w:pPr>
      <w:r>
        <w:rPr>
          <w:szCs w:val="27"/>
        </w:rPr>
      </w:r>
    </w:p>
    <w:p>
      <w:pPr>
        <w:pStyle w:val="F21"/>
        <w:rPr>
          <w:szCs w:val="27"/>
        </w:rPr>
      </w:pPr>
      <w:r>
        <w:rPr>
          <w:szCs w:val="27"/>
        </w:rPr>
        <w:tab/>
      </w:r>
      <w:r>
        <w:rPr>
          <w:szCs w:val="27"/>
        </w:rPr>
        <w:t>六四事件是由八九學運引起，而八九學運其中一項主要訴求是</w:t>
      </w:r>
      <w:r>
        <w:rPr>
          <w:szCs w:val="27"/>
        </w:rPr>
        <w:t>"</w:t>
      </w:r>
      <w:r>
        <w:rPr>
          <w:szCs w:val="27"/>
        </w:rPr>
        <w:t>反貪污、反貪腐、反官倒</w:t>
      </w:r>
      <w:r>
        <w:rPr>
          <w:szCs w:val="27"/>
        </w:rPr>
        <w:t>"</w:t>
      </w:r>
      <w:r>
        <w:rPr>
          <w:szCs w:val="27"/>
        </w:rPr>
        <w:t>。當年國家推行改革開放的政策剛過了首個</w:t>
      </w:r>
      <w:r>
        <w:rPr>
          <w:szCs w:val="27"/>
        </w:rPr>
        <w:t>10</w:t>
      </w:r>
      <w:r>
        <w:rPr>
          <w:szCs w:val="27"/>
        </w:rPr>
        <w:t>年，經濟開始加速發展，部分人先富起來。但內地的法治制度、反貪腐制度，以及政府官員向人民問責的制度尚未健全，甚至根本未建立一套有效、一致的系統，導致社會出現了種種經濟分配、貧富懸殊，以至貪污腐敗的問題。</w:t>
      </w:r>
    </w:p>
    <w:p>
      <w:pPr>
        <w:pStyle w:val="F21"/>
        <w:rPr>
          <w:szCs w:val="27"/>
        </w:rPr>
      </w:pPr>
      <w:r>
        <w:rPr>
          <w:szCs w:val="27"/>
        </w:rPr>
      </w:r>
    </w:p>
    <w:p>
      <w:pPr>
        <w:pStyle w:val="F21"/>
        <w:rPr>
          <w:szCs w:val="27"/>
        </w:rPr>
      </w:pPr>
      <w:r>
        <w:rPr>
          <w:szCs w:val="27"/>
        </w:rPr>
        <w:tab/>
      </w:r>
      <w:r>
        <w:rPr>
          <w:szCs w:val="27"/>
        </w:rPr>
        <w:t>六四事件令中國一度被國際社會孤立，改革開放的步伐被迫放慢。內地出現經濟危機，香港亦出現信心危機，部分人選擇移民。幸好，國家最後並沒有選擇走閉關自守的回頭路，堅持改革開放，令內地經濟很快重拾升軌，香港市民對國家發展及回歸祖國的信心亦逐漸恢復。在</w:t>
      </w:r>
      <w:r>
        <w:rPr>
          <w:szCs w:val="27"/>
        </w:rPr>
        <w:t>1997</w:t>
      </w:r>
      <w:r>
        <w:rPr>
          <w:szCs w:val="27"/>
        </w:rPr>
        <w:t>年，香港順利由英國殖民地變身成為中國的特別行政區，中港經濟和社會民生均能雙雙向前發展。</w:t>
      </w:r>
    </w:p>
    <w:p>
      <w:pPr>
        <w:pStyle w:val="F21"/>
        <w:rPr>
          <w:szCs w:val="27"/>
        </w:rPr>
      </w:pPr>
      <w:r>
        <w:rPr>
          <w:szCs w:val="27"/>
        </w:rPr>
      </w:r>
    </w:p>
    <w:p>
      <w:pPr>
        <w:pStyle w:val="F21"/>
        <w:rPr>
          <w:szCs w:val="27"/>
        </w:rPr>
      </w:pPr>
      <w:r>
        <w:rPr>
          <w:szCs w:val="27"/>
        </w:rPr>
        <w:tab/>
      </w:r>
      <w:r>
        <w:rPr>
          <w:szCs w:val="27"/>
        </w:rPr>
        <w:t>六四事件令大家明白到，要進一步發展經濟、改善民生，便一定要做好法治和廉潔建設，提高政府的施政效率、透明度及問責性。近年，內地當局在政府和黨的層面均大力打貪，嚴懲腐敗分子，包括打破</w:t>
      </w:r>
      <w:r>
        <w:rPr>
          <w:szCs w:val="27"/>
        </w:rPr>
        <w:t>"</w:t>
      </w:r>
      <w:r>
        <w:rPr>
          <w:szCs w:val="27"/>
        </w:rPr>
        <w:t>刑不上常委</w:t>
      </w:r>
      <w:r>
        <w:rPr>
          <w:szCs w:val="27"/>
        </w:rPr>
        <w:t>"</w:t>
      </w:r>
      <w:r>
        <w:rPr>
          <w:szCs w:val="27"/>
        </w:rPr>
        <w:t>的慣例，堅持</w:t>
      </w:r>
      <w:r>
        <w:rPr>
          <w:szCs w:val="27"/>
        </w:rPr>
        <w:t>"</w:t>
      </w:r>
      <w:r>
        <w:rPr>
          <w:szCs w:val="27"/>
        </w:rPr>
        <w:t>反腐敗無禁區</w:t>
      </w:r>
      <w:r>
        <w:rPr>
          <w:szCs w:val="27"/>
        </w:rPr>
        <w:t>"</w:t>
      </w:r>
      <w:r>
        <w:rPr>
          <w:szCs w:val="27"/>
        </w:rPr>
        <w:t>，堅定不移</w:t>
      </w:r>
      <w:r>
        <w:rPr>
          <w:szCs w:val="27"/>
        </w:rPr>
        <w:t>"</w:t>
      </w:r>
      <w:r>
        <w:rPr>
          <w:szCs w:val="27"/>
        </w:rPr>
        <w:t>打虎</w:t>
      </w:r>
      <w:r>
        <w:rPr>
          <w:szCs w:val="27"/>
        </w:rPr>
        <w:t>"</w:t>
      </w:r>
      <w:r>
        <w:rPr>
          <w:szCs w:val="27"/>
        </w:rPr>
        <w:t>、</w:t>
      </w:r>
      <w:r>
        <w:rPr>
          <w:szCs w:val="27"/>
        </w:rPr>
        <w:t>"</w:t>
      </w:r>
      <w:r>
        <w:rPr>
          <w:szCs w:val="27"/>
        </w:rPr>
        <w:t>拍蠅</w:t>
      </w:r>
      <w:r>
        <w:rPr>
          <w:szCs w:val="27"/>
        </w:rPr>
        <w:t>"</w:t>
      </w:r>
      <w:r>
        <w:rPr>
          <w:szCs w:val="27"/>
        </w:rPr>
        <w:t>和</w:t>
      </w:r>
      <w:r>
        <w:rPr>
          <w:szCs w:val="27"/>
        </w:rPr>
        <w:t>"</w:t>
      </w:r>
      <w:r>
        <w:rPr>
          <w:szCs w:val="27"/>
        </w:rPr>
        <w:t>獵狐</w:t>
      </w:r>
      <w:r>
        <w:rPr>
          <w:szCs w:val="27"/>
        </w:rPr>
        <w:t>"</w:t>
      </w:r>
      <w:r>
        <w:rPr>
          <w:szCs w:val="27"/>
        </w:rPr>
        <w:t>。同時，內地亦加強廉潔政府的建設，強化審計監督，務求令各級、各地官員</w:t>
      </w:r>
      <w:r>
        <w:rPr>
          <w:szCs w:val="27"/>
        </w:rPr>
        <w:t>"</w:t>
      </w:r>
      <w:r>
        <w:rPr>
          <w:szCs w:val="27"/>
        </w:rPr>
        <w:t>不敢腐、不能腐、不想腐</w:t>
      </w:r>
      <w:r>
        <w:rPr>
          <w:szCs w:val="27"/>
        </w:rPr>
        <w:t>"</w:t>
      </w:r>
      <w:r>
        <w:rPr>
          <w:szCs w:val="27"/>
        </w:rPr>
        <w:t>。</w:t>
      </w:r>
    </w:p>
    <w:p>
      <w:pPr>
        <w:pStyle w:val="F21"/>
        <w:rPr>
          <w:szCs w:val="27"/>
        </w:rPr>
      </w:pPr>
      <w:r>
        <w:rPr>
          <w:szCs w:val="27"/>
        </w:rPr>
      </w:r>
    </w:p>
    <w:p>
      <w:pPr>
        <w:pStyle w:val="F21"/>
        <w:rPr>
          <w:szCs w:val="27"/>
        </w:rPr>
      </w:pPr>
      <w:r>
        <w:rPr>
          <w:szCs w:val="27"/>
        </w:rPr>
        <w:tab/>
      </w:r>
      <w:r>
        <w:rPr>
          <w:szCs w:val="27"/>
        </w:rPr>
        <w:t>去年</w:t>
      </w:r>
      <w:r>
        <w:rPr>
          <w:szCs w:val="27"/>
        </w:rPr>
        <w:t>3</w:t>
      </w:r>
      <w:r>
        <w:rPr>
          <w:szCs w:val="27"/>
        </w:rPr>
        <w:t>月，國家監察委員會在北京揭牌，全國人民代表大會先後通過《中華人民共和國憲法修正案》和《中華人民共和國監察法》，確立監察委員會作為國家機構的法律地位，意味着國家監察體制已經形成，反貪腐工作制度化向前邁進一步。</w:t>
      </w:r>
      <w:r>
        <w:br w:type="page"/>
      </w:r>
    </w:p>
    <w:p>
      <w:pPr>
        <w:pStyle w:val="F21"/>
        <w:rPr>
          <w:szCs w:val="27"/>
        </w:rPr>
      </w:pPr>
      <w:r>
        <w:rPr>
          <w:szCs w:val="27"/>
        </w:rPr>
        <w:tab/>
      </w:r>
      <w:r>
        <w:rPr>
          <w:szCs w:val="27"/>
        </w:rPr>
        <w:t>去年亦是改革開放</w:t>
      </w:r>
      <w:r>
        <w:rPr>
          <w:szCs w:val="27"/>
        </w:rPr>
        <w:t>40</w:t>
      </w:r>
      <w:r>
        <w:rPr>
          <w:szCs w:val="27"/>
        </w:rPr>
        <w:t>周年，國家在經濟、社會及民生方面的發展有目共睹，按</w:t>
      </w:r>
      <w:r>
        <w:rPr>
          <w:szCs w:val="27"/>
        </w:rPr>
        <w:t>GDP(</w:t>
      </w:r>
      <w:r>
        <w:rPr>
          <w:szCs w:val="27"/>
        </w:rPr>
        <w:t>國內生產總值</w:t>
      </w:r>
      <w:r>
        <w:rPr>
          <w:szCs w:val="27"/>
        </w:rPr>
        <w:t>)</w:t>
      </w:r>
      <w:r>
        <w:rPr>
          <w:szCs w:val="27"/>
        </w:rPr>
        <w:t>計成為全球僅次於美國的最大經濟體，</w:t>
      </w:r>
      <w:r>
        <w:rPr>
          <w:szCs w:val="27"/>
        </w:rPr>
        <w:t>13</w:t>
      </w:r>
      <w:r>
        <w:rPr>
          <w:szCs w:val="27"/>
        </w:rPr>
        <w:t>億人民的生活普遍得到大幅改善，法治、法制及廉潔水平亦顯著提升，與</w:t>
      </w:r>
      <w:r>
        <w:rPr>
          <w:szCs w:val="27"/>
        </w:rPr>
        <w:t>30</w:t>
      </w:r>
      <w:r>
        <w:rPr>
          <w:szCs w:val="27"/>
        </w:rPr>
        <w:t>年前的情況不可同日而語。國家近年提出的</w:t>
      </w:r>
      <w:r>
        <w:rPr>
          <w:szCs w:val="27"/>
        </w:rPr>
        <w:t>"</w:t>
      </w:r>
      <w:r>
        <w:rPr>
          <w:szCs w:val="27"/>
        </w:rPr>
        <w:t>一帶一路</w:t>
      </w:r>
      <w:r>
        <w:rPr>
          <w:szCs w:val="27"/>
        </w:rPr>
        <w:t>"</w:t>
      </w:r>
      <w:r>
        <w:rPr>
          <w:szCs w:val="27"/>
        </w:rPr>
        <w:t>倡議及粵港澳大灣區發展規劃，更為港澳特區及參與</w:t>
      </w:r>
      <w:r>
        <w:rPr>
          <w:szCs w:val="27"/>
        </w:rPr>
        <w:t>"</w:t>
      </w:r>
      <w:r>
        <w:rPr>
          <w:szCs w:val="27"/>
        </w:rPr>
        <w:t>一帶一路</w:t>
      </w:r>
      <w:r>
        <w:rPr>
          <w:szCs w:val="27"/>
        </w:rPr>
        <w:t>"</w:t>
      </w:r>
      <w:r>
        <w:rPr>
          <w:szCs w:val="27"/>
        </w:rPr>
        <w:t>的國家帶來龐大的新發展機遇，有待香港人尤其是年青人好好把握。</w:t>
      </w:r>
    </w:p>
    <w:p>
      <w:pPr>
        <w:pStyle w:val="F21"/>
        <w:rPr>
          <w:szCs w:val="27"/>
        </w:rPr>
      </w:pPr>
      <w:r>
        <w:rPr>
          <w:szCs w:val="27"/>
        </w:rPr>
      </w:r>
    </w:p>
    <w:p>
      <w:pPr>
        <w:pStyle w:val="F21"/>
        <w:rPr>
          <w:szCs w:val="27"/>
        </w:rPr>
      </w:pPr>
      <w:r>
        <w:rPr>
          <w:szCs w:val="27"/>
        </w:rPr>
        <w:tab/>
      </w:r>
      <w:r>
        <w:rPr>
          <w:szCs w:val="27"/>
        </w:rPr>
        <w:t>主席，六四事件的是非對錯，不同的人有不同的看法，大家亦可以有不同的紀念和表達方法，相信歷史自有公論。</w:t>
      </w:r>
    </w:p>
    <w:p>
      <w:pPr>
        <w:pStyle w:val="F21"/>
        <w:rPr>
          <w:szCs w:val="27"/>
        </w:rPr>
      </w:pPr>
      <w:r>
        <w:rPr>
          <w:szCs w:val="27"/>
        </w:rPr>
      </w:r>
    </w:p>
    <w:p>
      <w:pPr>
        <w:pStyle w:val="F21"/>
        <w:rPr>
          <w:szCs w:val="27"/>
        </w:rPr>
      </w:pPr>
      <w:r>
        <w:rPr>
          <w:szCs w:val="27"/>
        </w:rPr>
        <w:tab/>
      </w:r>
      <w:r>
        <w:rPr>
          <w:szCs w:val="27"/>
        </w:rPr>
        <w:t>主席，我謹此陳辭。</w:t>
      </w:r>
    </w:p>
    <w:p>
      <w:pPr>
        <w:pStyle w:val="F21"/>
        <w:rPr>
          <w:szCs w:val="27"/>
        </w:rPr>
      </w:pPr>
      <w:r>
        <w:rPr>
          <w:szCs w:val="27"/>
        </w:rPr>
      </w:r>
    </w:p>
    <w:p>
      <w:pPr>
        <w:pStyle w:val="F21"/>
        <w:rPr>
          <w:szCs w:val="27"/>
        </w:rPr>
      </w:pPr>
      <w:r>
        <w:rPr>
          <w:szCs w:val="27"/>
        </w:rPr>
      </w:r>
    </w:p>
    <w:p>
      <w:pPr>
        <w:pStyle w:val="F21"/>
        <w:overflowPunct w:val="true"/>
        <w:rPr/>
      </w:pPr>
      <w:r>
        <w:rPr>
          <w:rFonts w:eastAsia="華康中黑體"/>
          <w:b/>
          <w:szCs w:val="27"/>
        </w:rPr>
        <w:t>區諾軒議員</w:t>
      </w:r>
      <w:r>
        <w:rPr/>
        <w:t>：梁議員，大家也看到，每年討論</w:t>
      </w:r>
      <w:r>
        <w:rPr/>
        <w:t>"</w:t>
      </w:r>
      <w:r>
        <w:rPr/>
        <w:t>毋忘六四</w:t>
      </w:r>
      <w:r>
        <w:rPr/>
        <w:t>"</w:t>
      </w:r>
      <w:r>
        <w:rPr/>
        <w:t>議案時，官員那方的座位也是空空如也。然而，我清楚看到有官員正在會議廳前廳聆聽我們的辯論，是甚麼原因令他們不方便在會議廳席前聆聽議員的辯論，甚至是回應這項議案呢？我認為大家根本不需要迴避，亦不應該迴避。</w:t>
      </w:r>
    </w:p>
    <w:p>
      <w:pPr>
        <w:pStyle w:val="F21"/>
        <w:overflowPunct w:val="true"/>
        <w:rPr/>
      </w:pPr>
      <w:r>
        <w:rPr/>
      </w:r>
    </w:p>
    <w:p>
      <w:pPr>
        <w:pStyle w:val="F21"/>
        <w:overflowPunct w:val="true"/>
        <w:rPr/>
      </w:pPr>
      <w:r>
        <w:rPr/>
        <w:tab/>
      </w:r>
      <w:r>
        <w:rPr/>
        <w:t>討論</w:t>
      </w:r>
      <w:r>
        <w:rPr/>
        <w:t>"</w:t>
      </w:r>
      <w:r>
        <w:rPr/>
        <w:t>毋忘六四</w:t>
      </w:r>
      <w:r>
        <w:rPr/>
        <w:t>"</w:t>
      </w:r>
      <w:r>
        <w:rPr/>
        <w:t>議案，往往比較沉重，我不如說一些新近的話題。最近</w:t>
      </w:r>
      <w:r>
        <w:rPr/>
        <w:t>Facebook</w:t>
      </w:r>
      <w:r>
        <w:rPr/>
        <w:t>最熱烈討論的話題，莫過於前特首</w:t>
      </w:r>
      <w:r>
        <w:rPr/>
        <w:t>"689"</w:t>
      </w:r>
      <w:r>
        <w:rPr/>
        <w:t>先生每天在他個人的</w:t>
      </w:r>
      <w:r>
        <w:rPr/>
        <w:t>Facebook</w:t>
      </w:r>
      <w:r>
        <w:rPr/>
        <w:t>上統計《蘋果日報》全版廣告的數量。作為國家級領導人的梁振英，日以繼夜、夜以繼日地點算廣告，引起很多網民留意，亦有人發起眾籌，計劃集資購買《蘋果日報》的全版廣告，聲言要將</w:t>
      </w:r>
      <w:r>
        <w:rPr/>
        <w:t>"</w:t>
      </w:r>
      <w:r>
        <w:rPr/>
        <w:t>一人一句</w:t>
      </w:r>
      <w:r>
        <w:rPr/>
        <w:t>"</w:t>
      </w:r>
      <w:r>
        <w:rPr/>
        <w:t>留給梁振英的說話，以報章廣告方式讓</w:t>
      </w:r>
      <w:r>
        <w:rPr/>
        <w:t>"689"</w:t>
      </w:r>
      <w:r>
        <w:rPr/>
        <w:t>先生看到。其中最多人留言的一幅圖片，莫過於梁振英先生在</w:t>
      </w:r>
      <w:r>
        <w:rPr/>
        <w:t>1989</w:t>
      </w:r>
      <w:r>
        <w:rPr/>
        <w:t>年</w:t>
      </w:r>
      <w:r>
        <w:rPr/>
        <w:t>6</w:t>
      </w:r>
      <w:r>
        <w:rPr/>
        <w:t>月</w:t>
      </w:r>
      <w:r>
        <w:rPr/>
        <w:t>5</w:t>
      </w:r>
      <w:r>
        <w:rPr/>
        <w:t>日，於《文匯報》刊登的一份強烈譴責中共當權者血腥屠殺中國人民的聲明。大家也希望以這份</w:t>
      </w:r>
      <w:r>
        <w:rPr/>
        <w:t>30</w:t>
      </w:r>
      <w:r>
        <w:rPr/>
        <w:t>年前的聲明為全版廣告，在報章刊登，提醒</w:t>
      </w:r>
      <w:r>
        <w:rPr/>
        <w:t>"689"</w:t>
      </w:r>
      <w:r>
        <w:rPr/>
        <w:t>先生他</w:t>
      </w:r>
      <w:r>
        <w:rPr/>
        <w:t>30</w:t>
      </w:r>
      <w:r>
        <w:rPr/>
        <w:t>年前曾經說過甚麼話。這個例子證明六四屠城這議題，即使</w:t>
      </w:r>
      <w:r>
        <w:rPr/>
        <w:t>30</w:t>
      </w:r>
      <w:r>
        <w:rPr/>
        <w:t>年後，即使香港的政治越來越少人願意面對、願意提及六四屠城，甚或表達其立場，但仍然是香港政壇一面最大的照妖鏡。</w:t>
      </w:r>
    </w:p>
    <w:p>
      <w:pPr>
        <w:pStyle w:val="F21"/>
        <w:overflowPunct w:val="true"/>
        <w:rPr/>
      </w:pPr>
      <w:r>
        <w:rPr/>
      </w:r>
    </w:p>
    <w:p>
      <w:pPr>
        <w:pStyle w:val="F21"/>
        <w:overflowPunct w:val="true"/>
        <w:rPr/>
      </w:pPr>
      <w:r>
        <w:rPr/>
        <w:tab/>
        <w:t>1989</w:t>
      </w:r>
      <w:r>
        <w:rPr/>
        <w:t>年，中共在北京屠城，香港社會各界紛紛譴責，當中包括很多建制派人物，又何止梁振英一人。</w:t>
      </w:r>
      <w:r>
        <w:rPr/>
        <w:t>30</w:t>
      </w:r>
      <w:r>
        <w:rPr/>
        <w:t>年過去，有多少建制派的朋友已經不願意重提這段歷史？有多少當年曾經譴責中共的人，因為所謂的現實或向前看而遺忘過去，甚至嘗試為北京屠城的罪行開脫？這也是為何六四事件已經過去</w:t>
      </w:r>
      <w:r>
        <w:rPr/>
        <w:t>30</w:t>
      </w:r>
      <w:r>
        <w:rPr/>
        <w:t>年，我們仍要不斷重提。因為這是基於良心的拷問，基於對政治人物最基本</w:t>
      </w:r>
      <w:r>
        <w:rPr>
          <w:szCs w:val="27"/>
        </w:rPr>
        <w:t>的</w:t>
      </w:r>
      <w:r>
        <w:rPr/>
        <w:t>良知的追求，我們認為這也是一面照妖鏡，所以不應因為時間過去而磨滅。</w:t>
      </w:r>
    </w:p>
    <w:p>
      <w:pPr>
        <w:pStyle w:val="F21"/>
        <w:overflowPunct w:val="true"/>
        <w:spacing w:lineRule="atLeast" w:line="370"/>
        <w:rPr/>
      </w:pPr>
      <w:r>
        <w:rPr/>
      </w:r>
    </w:p>
    <w:p>
      <w:pPr>
        <w:pStyle w:val="F21"/>
        <w:overflowPunct w:val="true"/>
        <w:spacing w:lineRule="atLeast" w:line="370"/>
        <w:rPr/>
      </w:pPr>
      <w:r>
        <w:rPr/>
        <w:tab/>
      </w:r>
      <w:r>
        <w:rPr/>
        <w:t>當然，有人或會因為六四是一場愛國的民主運動，而對悼念六四有所保留，但六四事件又豈止從民族主義的角度理解呢？六四事件是香港本土民主運動及政治發展的轉捩點；六四改變了市民對主權移交的信心，令大量港人移居海外，移民的人數甚至較簽署《中英聯合聲明》時更多；六四改變了香港民主運動的發展，令大量香港市民關注香港代議政制發展；六四甚至改變了當時正在草擬的《基本法》條文；更甚的是，建制派及商界最近不斷討論的《美國—香港政策法》，也是在六四屠城的背景下出現。</w:t>
      </w:r>
    </w:p>
    <w:p>
      <w:pPr>
        <w:pStyle w:val="F21"/>
        <w:overflowPunct w:val="true"/>
        <w:spacing w:lineRule="atLeast" w:line="370"/>
        <w:rPr/>
      </w:pPr>
      <w:r>
        <w:rPr/>
      </w:r>
    </w:p>
    <w:p>
      <w:pPr>
        <w:pStyle w:val="F21"/>
        <w:overflowPunct w:val="true"/>
        <w:spacing w:lineRule="atLeast" w:line="370"/>
        <w:rPr>
          <w:szCs w:val="27"/>
        </w:rPr>
      </w:pPr>
      <w:r>
        <w:rPr>
          <w:szCs w:val="27"/>
        </w:rPr>
        <w:tab/>
      </w:r>
      <w:r>
        <w:rPr>
          <w:szCs w:val="27"/>
        </w:rPr>
        <w:t>因此，我們今天討論毋忘六四，固然要毋忘</w:t>
      </w:r>
      <w:r>
        <w:rPr>
          <w:szCs w:val="27"/>
        </w:rPr>
        <w:t>30</w:t>
      </w:r>
      <w:r>
        <w:rPr>
          <w:szCs w:val="27"/>
        </w:rPr>
        <w:t>年前在北京被屠殺的人民，但我們同時更要毋忘六四屠城對香港影響深遠的每一段歷史。香港過去一直在中國和西方的政治狹縫中游走，尋找屬於香港自己的道路，而不是單單依賴北方，因為六四這段歷史不單影響中國，更影響香港，這也是香港要將這段歷史傳承，每年紀念、每年提醒人民不要忘記的原因。</w:t>
      </w:r>
    </w:p>
    <w:p>
      <w:pPr>
        <w:pStyle w:val="F21"/>
        <w:overflowPunct w:val="true"/>
        <w:spacing w:lineRule="atLeast" w:line="370"/>
        <w:rPr>
          <w:szCs w:val="27"/>
        </w:rPr>
      </w:pPr>
      <w:r>
        <w:rPr>
          <w:szCs w:val="27"/>
        </w:rPr>
      </w:r>
    </w:p>
    <w:p>
      <w:pPr>
        <w:pStyle w:val="F21"/>
        <w:overflowPunct w:val="true"/>
        <w:spacing w:lineRule="atLeast" w:line="370"/>
        <w:rPr>
          <w:szCs w:val="27"/>
        </w:rPr>
      </w:pPr>
      <w:r>
        <w:rPr>
          <w:szCs w:val="27"/>
        </w:rPr>
        <w:tab/>
      </w:r>
      <w:r>
        <w:rPr>
          <w:szCs w:val="27"/>
        </w:rPr>
        <w:t>正因如此，香港依然是中國主權範圍內，唯一能夠舉行大型集會，以燭光公開悼念六四死者，公開指控屠夫政權的地方。今年是六四屠城的</w:t>
      </w:r>
      <w:r>
        <w:rPr>
          <w:szCs w:val="27"/>
        </w:rPr>
        <w:t>30</w:t>
      </w:r>
      <w:r>
        <w:rPr>
          <w:szCs w:val="27"/>
        </w:rPr>
        <w:t>周年，我在這裏呼籲各位市民出席</w:t>
      </w:r>
      <w:r>
        <w:rPr>
          <w:szCs w:val="27"/>
        </w:rPr>
        <w:t>6</w:t>
      </w:r>
      <w:r>
        <w:rPr>
          <w:szCs w:val="27"/>
        </w:rPr>
        <w:t>月</w:t>
      </w:r>
      <w:r>
        <w:rPr>
          <w:szCs w:val="27"/>
        </w:rPr>
        <w:t>4</w:t>
      </w:r>
      <w:r>
        <w:rPr>
          <w:szCs w:val="27"/>
        </w:rPr>
        <w:t>日晚上的燭光集會，要求釋放民運人士，平反八九民運，追究屠城責任，結束一黨專政，建設民主中國，並悼念民運每一位犧牲者。在紀念這群犧牲者，銘記他們的抗爭精神的同時</w:t>
      </w:r>
      <w:r>
        <w:rPr>
          <w:i/>
          <w:szCs w:val="27"/>
        </w:rPr>
        <w:t>(</w:t>
      </w:r>
      <w:r>
        <w:rPr>
          <w:rFonts w:ascii="華康細明體" w:hAnsi="華康細明體"/>
          <w:i/>
          <w:szCs w:val="27"/>
        </w:rPr>
        <w:t>計時器響起</w:t>
      </w:r>
      <w:r>
        <w:rPr>
          <w:i/>
          <w:szCs w:val="27"/>
        </w:rPr>
        <w:t>)</w:t>
      </w:r>
      <w:r>
        <w:rPr>
          <w:szCs w:val="27"/>
        </w:rPr>
        <w:t>......</w:t>
      </w:r>
    </w:p>
    <w:p>
      <w:pPr>
        <w:pStyle w:val="F21"/>
        <w:overflowPunct w:val="true"/>
        <w:spacing w:lineRule="atLeast" w:line="370"/>
        <w:rPr>
          <w:szCs w:val="27"/>
        </w:rPr>
      </w:pPr>
      <w:r>
        <w:rPr>
          <w:szCs w:val="27"/>
        </w:rPr>
      </w:r>
    </w:p>
    <w:p>
      <w:pPr>
        <w:pStyle w:val="F21"/>
        <w:overflowPunct w:val="true"/>
        <w:spacing w:lineRule="atLeast" w:line="370"/>
        <w:rPr>
          <w:szCs w:val="27"/>
        </w:rPr>
      </w:pPr>
      <w:r>
        <w:rPr>
          <w:szCs w:val="27"/>
        </w:rPr>
      </w:r>
    </w:p>
    <w:p>
      <w:pPr>
        <w:pStyle w:val="F21"/>
        <w:overflowPunct w:val="true"/>
        <w:spacing w:lineRule="atLeast" w:line="370"/>
        <w:rPr>
          <w:szCs w:val="27"/>
        </w:rPr>
      </w:pPr>
      <w:r>
        <w:rPr>
          <w:rFonts w:ascii="華康中黑體" w:hAnsi="華康中黑體" w:eastAsia="華康中黑體"/>
          <w:b/>
          <w:szCs w:val="27"/>
        </w:rPr>
        <w:t>主席</w:t>
      </w:r>
      <w:r>
        <w:rPr>
          <w:szCs w:val="27"/>
        </w:rPr>
        <w:t>：區議員，請停止發言。</w:t>
      </w:r>
    </w:p>
    <w:p>
      <w:pPr>
        <w:pStyle w:val="F21"/>
        <w:overflowPunct w:val="true"/>
        <w:spacing w:lineRule="atLeast" w:line="370"/>
        <w:rPr>
          <w:szCs w:val="27"/>
        </w:rPr>
      </w:pPr>
      <w:r>
        <w:rPr>
          <w:szCs w:val="27"/>
        </w:rPr>
      </w:r>
    </w:p>
    <w:p>
      <w:pPr>
        <w:pStyle w:val="F21"/>
        <w:overflowPunct w:val="true"/>
        <w:spacing w:lineRule="atLeast" w:line="370"/>
        <w:rPr>
          <w:szCs w:val="27"/>
        </w:rPr>
      </w:pPr>
      <w:r>
        <w:rPr>
          <w:szCs w:val="27"/>
        </w:rPr>
        <w:tab/>
      </w:r>
      <w:r>
        <w:rPr>
          <w:szCs w:val="27"/>
        </w:rPr>
        <w:t>陳志全議員，請發言。</w:t>
      </w:r>
    </w:p>
    <w:p>
      <w:pPr>
        <w:pStyle w:val="F21"/>
        <w:overflowPunct w:val="true"/>
        <w:spacing w:lineRule="atLeast" w:line="370"/>
        <w:rPr>
          <w:szCs w:val="27"/>
        </w:rPr>
      </w:pPr>
      <w:r>
        <w:rPr>
          <w:szCs w:val="27"/>
        </w:rPr>
      </w:r>
    </w:p>
    <w:p>
      <w:pPr>
        <w:pStyle w:val="F21"/>
        <w:overflowPunct w:val="true"/>
        <w:spacing w:lineRule="atLeast" w:line="370"/>
        <w:rPr>
          <w:szCs w:val="27"/>
        </w:rPr>
      </w:pPr>
      <w:r>
        <w:rPr>
          <w:szCs w:val="27"/>
        </w:rPr>
        <w:t>(</w:t>
      </w:r>
      <w:r>
        <w:rPr>
          <w:szCs w:val="27"/>
        </w:rPr>
        <w:t>有議員在席上指出區議員的發言時限尚未屆滿</w:t>
      </w:r>
      <w:r>
        <w:rPr>
          <w:szCs w:val="27"/>
        </w:rPr>
        <w:t>)</w:t>
      </w:r>
    </w:p>
    <w:p>
      <w:pPr>
        <w:pStyle w:val="F21"/>
        <w:overflowPunct w:val="true"/>
        <w:spacing w:lineRule="atLeast" w:line="370"/>
        <w:rPr>
          <w:szCs w:val="27"/>
        </w:rPr>
      </w:pPr>
      <w:r>
        <w:rPr>
          <w:szCs w:val="27"/>
        </w:rPr>
      </w:r>
    </w:p>
    <w:p>
      <w:pPr>
        <w:pStyle w:val="F21"/>
        <w:overflowPunct w:val="true"/>
        <w:spacing w:lineRule="atLeast" w:line="370"/>
        <w:rPr>
          <w:szCs w:val="27"/>
        </w:rPr>
      </w:pPr>
      <w:r>
        <w:rPr>
          <w:szCs w:val="27"/>
        </w:rPr>
      </w:r>
    </w:p>
    <w:p>
      <w:pPr>
        <w:pStyle w:val="F21"/>
        <w:overflowPunct w:val="true"/>
        <w:spacing w:lineRule="atLeast" w:line="370"/>
        <w:rPr>
          <w:szCs w:val="27"/>
        </w:rPr>
      </w:pPr>
      <w:r>
        <w:rPr>
          <w:rFonts w:ascii="華康中黑體" w:hAnsi="華康中黑體" w:eastAsia="華康中黑體"/>
          <w:b/>
          <w:szCs w:val="27"/>
        </w:rPr>
        <w:t>主席</w:t>
      </w:r>
      <w:r>
        <w:rPr>
          <w:szCs w:val="27"/>
        </w:rPr>
        <w:t>：區議員，對不起，請繼續發言。</w:t>
      </w:r>
    </w:p>
    <w:p>
      <w:pPr>
        <w:pStyle w:val="Normal"/>
        <w:widowControl/>
        <w:tabs>
          <w:tab w:val="clear" w:pos="720"/>
        </w:tabs>
        <w:snapToGrid w:val="true"/>
        <w:spacing w:lineRule="auto" w:line="276" w:before="0" w:after="200"/>
        <w:jc w:val="left"/>
        <w:rPr>
          <w:szCs w:val="27"/>
        </w:rPr>
      </w:pPr>
      <w:r>
        <w:rPr>
          <w:szCs w:val="27"/>
        </w:rPr>
      </w:r>
      <w:r>
        <w:br w:type="page"/>
      </w:r>
    </w:p>
    <w:p>
      <w:pPr>
        <w:pStyle w:val="F21"/>
        <w:overflowPunct w:val="true"/>
        <w:rPr/>
      </w:pPr>
      <w:r>
        <w:rPr>
          <w:rFonts w:eastAsia="華康中黑體"/>
          <w:b/>
          <w:szCs w:val="27"/>
        </w:rPr>
        <w:t>區諾軒議員</w:t>
      </w:r>
      <w:r>
        <w:rPr/>
        <w:t>：主席，無須向我道歉。我希望你能理解，人民不會忘記，我亦希望梁君彥也不要忘記。不單不要遺忘六四屠城，更不要遺忘自雨傘運動以來，香港多位因政治異見、與政府抗爭而被打壓、被剝奪政治權利，甚至被監禁的抗爭者。</w:t>
      </w:r>
    </w:p>
    <w:p>
      <w:pPr>
        <w:pStyle w:val="F21"/>
        <w:overflowPunct w:val="true"/>
        <w:rPr/>
      </w:pPr>
      <w:r>
        <w:rPr/>
      </w:r>
    </w:p>
    <w:p>
      <w:pPr>
        <w:pStyle w:val="F21"/>
        <w:overflowPunct w:val="true"/>
        <w:rPr/>
      </w:pPr>
      <w:r>
        <w:rPr/>
        <w:tab/>
      </w:r>
      <w:r>
        <w:rPr/>
        <w:t>我謹此陳辭。</w:t>
      </w:r>
    </w:p>
    <w:p>
      <w:pPr>
        <w:pStyle w:val="F21"/>
        <w:rPr>
          <w:szCs w:val="27"/>
        </w:rPr>
      </w:pPr>
      <w:r>
        <w:rPr>
          <w:szCs w:val="27"/>
        </w:rPr>
      </w:r>
    </w:p>
    <w:p>
      <w:pPr>
        <w:pStyle w:val="F21"/>
        <w:overflowPunct w:val="true"/>
        <w:rPr>
          <w:rFonts w:cs="Times New Roman"/>
        </w:rPr>
      </w:pPr>
      <w:r>
        <w:rPr>
          <w:rFonts w:cs="Times New Roman"/>
        </w:rPr>
      </w:r>
    </w:p>
    <w:p>
      <w:pPr>
        <w:pStyle w:val="F21"/>
        <w:overflowPunct w:val="true"/>
        <w:rPr/>
      </w:pPr>
      <w:r>
        <w:rPr>
          <w:rFonts w:eastAsia="華康中黑體"/>
          <w:b/>
          <w:szCs w:val="27"/>
        </w:rPr>
        <w:t>陳志全議員</w:t>
      </w:r>
      <w:r>
        <w:rPr/>
        <w:t>：今年是六四</w:t>
      </w:r>
      <w:r>
        <w:rPr/>
        <w:t>30</w:t>
      </w:r>
      <w:r>
        <w:rPr/>
        <w:t>周年。八九六四是中國人民公開站起來反抗貪腐政府，實踐憲法規定的言論自由、集會自由和結社自由的群眾運動，但卻被中共血腥鎮壓。三十年過去了，中共仍未回應學生當年要求的民主監察及廉潔政府的訴求，貪污腐敗更是變本加厲。大家如果有留意內地新聞也會看到，差不多每天都一定有涉及國家機關、內地高幹、國企的貪腐新聞，但中共提出的答案只是加強共產黨內的集權，拒絕讓人民及媒體監察。</w:t>
      </w:r>
    </w:p>
    <w:p>
      <w:pPr>
        <w:pStyle w:val="F21"/>
        <w:overflowPunct w:val="true"/>
        <w:rPr/>
      </w:pPr>
      <w:r>
        <w:rPr/>
      </w:r>
    </w:p>
    <w:p>
      <w:pPr>
        <w:pStyle w:val="F21"/>
        <w:overflowPunct w:val="true"/>
        <w:rPr/>
      </w:pPr>
      <w:r>
        <w:rPr/>
        <w:tab/>
      </w:r>
      <w:r>
        <w:rPr/>
        <w:t>去年</w:t>
      </w:r>
      <w:r>
        <w:rPr/>
        <w:t>3</w:t>
      </w:r>
      <w:r>
        <w:rPr/>
        <w:t>月，全國人大修憲，把習近平新時代中國特色社會主義思想寫進憲法，並取消國家主席任期不得超過兩屆的限制。同時，習近平在改革開放</w:t>
      </w:r>
      <w:r>
        <w:rPr/>
        <w:t>40</w:t>
      </w:r>
      <w:r>
        <w:rPr/>
        <w:t>周年紀念講話之中，已經不再提到他在擔任國家主席初期提出的</w:t>
      </w:r>
      <w:r>
        <w:rPr/>
        <w:t>"</w:t>
      </w:r>
      <w:r>
        <w:rPr/>
        <w:t>黨內民主</w:t>
      </w:r>
      <w:r>
        <w:rPr/>
        <w:t>"</w:t>
      </w:r>
      <w:r>
        <w:rPr/>
        <w:t>、</w:t>
      </w:r>
      <w:r>
        <w:rPr/>
        <w:t>"</w:t>
      </w:r>
      <w:r>
        <w:rPr/>
        <w:t>依憲治國</w:t>
      </w:r>
      <w:r>
        <w:rPr/>
        <w:t>"</w:t>
      </w:r>
      <w:r>
        <w:rPr/>
        <w:t>、</w:t>
      </w:r>
      <w:r>
        <w:rPr/>
        <w:t>"</w:t>
      </w:r>
      <w:r>
        <w:rPr/>
        <w:t>依憲執政</w:t>
      </w:r>
      <w:r>
        <w:rPr/>
        <w:t>"</w:t>
      </w:r>
      <w:r>
        <w:rPr/>
        <w:t>的口號。</w:t>
      </w:r>
    </w:p>
    <w:p>
      <w:pPr>
        <w:pStyle w:val="F21"/>
        <w:overflowPunct w:val="true"/>
        <w:rPr/>
      </w:pPr>
      <w:r>
        <w:rPr/>
      </w:r>
    </w:p>
    <w:p>
      <w:pPr>
        <w:pStyle w:val="F21"/>
        <w:overflowPunct w:val="true"/>
        <w:rPr/>
      </w:pPr>
      <w:r>
        <w:rPr/>
        <w:tab/>
      </w:r>
      <w:r>
        <w:rPr/>
        <w:t>對於六四的定性，去年是改革開放</w:t>
      </w:r>
      <w:r>
        <w:rPr/>
        <w:t>40</w:t>
      </w:r>
      <w:r>
        <w:rPr/>
        <w:t>周年，在官方欽定的《改革開放四十年大事記》裏，在提及六四事件的時候，我們可以看到重現動亂、反革命暴亂的定性，比較之下，在</w:t>
      </w:r>
      <w:r>
        <w:rPr/>
        <w:t>10</w:t>
      </w:r>
      <w:r>
        <w:rPr/>
        <w:t>年前《改革開放三十年大事記》的描述當中，在提及鄧小平接見戒嚴部隊的講話時，使用了</w:t>
      </w:r>
      <w:r>
        <w:rPr/>
        <w:t>1989</w:t>
      </w:r>
      <w:r>
        <w:rPr/>
        <w:t>年春夏之交在北京發生的政治風波的字眼，當時並沒有再出現</w:t>
      </w:r>
      <w:r>
        <w:rPr/>
        <w:t>"</w:t>
      </w:r>
      <w:r>
        <w:rPr/>
        <w:t>政治動亂</w:t>
      </w:r>
      <w:r>
        <w:rPr/>
        <w:t>"</w:t>
      </w:r>
      <w:r>
        <w:rPr/>
        <w:t>、</w:t>
      </w:r>
      <w:r>
        <w:rPr/>
        <w:t>"</w:t>
      </w:r>
      <w:r>
        <w:rPr/>
        <w:t>反革命暴亂</w:t>
      </w:r>
      <w:r>
        <w:rPr/>
        <w:t>"</w:t>
      </w:r>
      <w:r>
        <w:rPr/>
        <w:t>等字眼。</w:t>
      </w:r>
    </w:p>
    <w:p>
      <w:pPr>
        <w:pStyle w:val="F21"/>
        <w:overflowPunct w:val="true"/>
        <w:rPr/>
      </w:pPr>
      <w:r>
        <w:rPr/>
      </w:r>
    </w:p>
    <w:p>
      <w:pPr>
        <w:pStyle w:val="F21"/>
        <w:overflowPunct w:val="true"/>
        <w:rPr/>
      </w:pPr>
      <w:r>
        <w:rPr/>
        <w:tab/>
      </w:r>
      <w:r>
        <w:rPr/>
        <w:t>一葉知秋，中國內地對自由、民主、言論的收緊、對六四事件的態度相當明確。獨裁者都是心虛的，清華大學教授許章潤去年</w:t>
      </w:r>
      <w:r>
        <w:rPr/>
        <w:t>7</w:t>
      </w:r>
      <w:r>
        <w:rPr/>
        <w:t>月發表</w:t>
      </w:r>
      <w:r>
        <w:rPr/>
        <w:t>"</w:t>
      </w:r>
      <w:r>
        <w:rPr/>
        <w:t>我們當下的恐懼與期待</w:t>
      </w:r>
      <w:r>
        <w:rPr/>
        <w:t>"</w:t>
      </w:r>
      <w:r>
        <w:rPr/>
        <w:t>一文，提到時下中國人對極權政治全面回歸問題的恐懼，以及期待中國恢復國家主席任期制及平反六四，結果被清華大學校方下令停止教學工作，並成立小組進行調查，完全是以言入罪。</w:t>
      </w:r>
    </w:p>
    <w:p>
      <w:pPr>
        <w:pStyle w:val="F21"/>
        <w:overflowPunct w:val="true"/>
        <w:rPr/>
      </w:pPr>
      <w:r>
        <w:rPr/>
      </w:r>
    </w:p>
    <w:p>
      <w:pPr>
        <w:pStyle w:val="F21"/>
        <w:overflowPunct w:val="true"/>
        <w:rPr/>
      </w:pPr>
      <w:r>
        <w:rPr/>
        <w:tab/>
      </w:r>
      <w:r>
        <w:rPr/>
        <w:t>再者，有學者指出，許章潤因為寫文章批評中共總書記習近平的獨裁傾向而遭免去所有教學及研究工作一事，並非只是中共當權者打壓自由派思想學者如此簡單，而是有系統、有制度地整治中國的學術界，較毛澤東當年的手法有更深遠的負面影響。這些蔑視法治的黨國統治，我相信當年在六四事件中犧牲的學生如果看到今天的中國、今天的學者遭受的壓迫，都會死不瞑目。</w:t>
      </w:r>
    </w:p>
    <w:p>
      <w:pPr>
        <w:pStyle w:val="F21"/>
        <w:overflowPunct w:val="true"/>
        <w:rPr/>
      </w:pPr>
      <w:r>
        <w:rPr/>
      </w:r>
    </w:p>
    <w:p>
      <w:pPr>
        <w:pStyle w:val="F21"/>
        <w:overflowPunct w:val="true"/>
        <w:rPr/>
      </w:pPr>
      <w:r>
        <w:rPr/>
        <w:tab/>
      </w:r>
      <w:r>
        <w:rPr/>
        <w:t>六四事件不單是近代中國歷史上其中一件最重要的事件，更對香港近</w:t>
      </w:r>
      <w:r>
        <w:rPr/>
        <w:t>30</w:t>
      </w:r>
      <w:r>
        <w:rPr/>
        <w:t>年的政治及民主發展有非常重要的影響。懷着赤子之心的學生，為了中國的民主發展，不惜犧牲生命。多少當年決定殺人的高官仍然高床軟枕，而</w:t>
      </w:r>
      <w:r>
        <w:rPr/>
        <w:t>"</w:t>
      </w:r>
      <w:r>
        <w:rPr/>
        <w:t>天安門母親</w:t>
      </w:r>
      <w:r>
        <w:rPr/>
        <w:t>"</w:t>
      </w:r>
      <w:r>
        <w:rPr/>
        <w:t>至今仍然要求追究責任。無數的香港人當年有些人只是在電視機前看着新聞報道流淚，有些則身體力行，協助民運人士逃離中國內地，亦令不少香港人決定投身政界。</w:t>
      </w:r>
    </w:p>
    <w:p>
      <w:pPr>
        <w:pStyle w:val="F21"/>
        <w:overflowPunct w:val="true"/>
        <w:rPr/>
      </w:pPr>
      <w:r>
        <w:rPr/>
      </w:r>
    </w:p>
    <w:p>
      <w:pPr>
        <w:pStyle w:val="F21"/>
        <w:overflowPunct w:val="true"/>
        <w:rPr/>
      </w:pPr>
      <w:r>
        <w:rPr/>
        <w:tab/>
      </w:r>
      <w:r>
        <w:rPr/>
        <w:t>然而，隨着當年殺人政權一直沒有承擔責任，令到一些關心政治的香港年青一代，對中國政權極度失望及缺乏信心。加上中共近年越加插手香港的</w:t>
      </w:r>
      <w:r>
        <w:rPr/>
        <w:t>"</w:t>
      </w:r>
      <w:r>
        <w:rPr/>
        <w:t>高度自治</w:t>
      </w:r>
      <w:r>
        <w:rPr/>
        <w:t>"</w:t>
      </w:r>
      <w:r>
        <w:rPr/>
        <w:t>，中港社會的政治矛盾所產生的壓迫感持續。</w:t>
      </w:r>
    </w:p>
    <w:p>
      <w:pPr>
        <w:pStyle w:val="F21"/>
        <w:overflowPunct w:val="true"/>
        <w:rPr/>
      </w:pPr>
      <w:r>
        <w:rPr/>
      </w:r>
    </w:p>
    <w:p>
      <w:pPr>
        <w:pStyle w:val="F21"/>
        <w:overflowPunct w:val="true"/>
        <w:rPr/>
      </w:pPr>
      <w:r>
        <w:rPr/>
        <w:tab/>
      </w:r>
      <w:r>
        <w:rPr/>
        <w:t>隨意舉出數件事例，《國歌法》、我們現時要面對的《</w:t>
      </w:r>
      <w:r>
        <w:rPr/>
        <w:t>2019</w:t>
      </w:r>
      <w:r>
        <w:rPr/>
        <w:t>年逃犯及刑事事宜相互法律協助法例</w:t>
      </w:r>
      <w:r>
        <w:rPr/>
        <w:t>(</w:t>
      </w:r>
      <w:r>
        <w:rPr/>
        <w:t>修訂</w:t>
      </w:r>
      <w:r>
        <w:rPr/>
        <w:t>)</w:t>
      </w:r>
      <w:r>
        <w:rPr/>
        <w:t>條例草案》，甚至是</w:t>
      </w:r>
      <w:r>
        <w:rPr/>
        <w:t>"DQ"</w:t>
      </w:r>
      <w:r>
        <w:rPr/>
        <w:t>一些持不同政見的參選人，也令到很多年青人覺得香港在中共的統治之下，對香港人民主及</w:t>
      </w:r>
      <w:r>
        <w:rPr/>
        <w:t>"</w:t>
      </w:r>
      <w:r>
        <w:rPr/>
        <w:t>高度自治</w:t>
      </w:r>
      <w:r>
        <w:rPr/>
        <w:t>"</w:t>
      </w:r>
      <w:r>
        <w:rPr/>
        <w:t>的權利沒有一絲尊重，不會有好的未來，所以他們寧願兩地切割。這種分離割席的思想究竟是誰導致的呢？當今的領導人、當權者要負上很大的責任，不可以把所有問題歸咎於年青一代。即使年青一代現時為了這種分離的心態而連六四事件也不關心，我也理解，但我們希望他們明白，當年追求民主的學生與他們現時追求香港的民主及更好將來的心態其實十分接近。</w:t>
      </w:r>
    </w:p>
    <w:p>
      <w:pPr>
        <w:pStyle w:val="F21"/>
        <w:overflowPunct w:val="true"/>
        <w:rPr/>
      </w:pPr>
      <w:r>
        <w:rPr/>
      </w:r>
    </w:p>
    <w:p>
      <w:pPr>
        <w:pStyle w:val="F21"/>
        <w:overflowPunct w:val="true"/>
        <w:rPr/>
      </w:pPr>
      <w:r>
        <w:rPr/>
        <w:tab/>
      </w:r>
      <w:r>
        <w:rPr/>
        <w:t>中國內地有人期盼當權者會重新為六四事件下定義。</w:t>
      </w:r>
      <w:r>
        <w:rPr/>
        <w:t>"</w:t>
      </w:r>
      <w:r>
        <w:rPr/>
        <w:t>天安門母親</w:t>
      </w:r>
      <w:r>
        <w:rPr/>
        <w:t>"</w:t>
      </w:r>
      <w:r>
        <w:rPr/>
        <w:t>在上月發表了一封公開信，再次提出公布六四真相及死傷人數、賠償受害群體、問責及審判責任者的要求，但等待了</w:t>
      </w:r>
      <w:r>
        <w:rPr/>
        <w:t>30</w:t>
      </w:r>
      <w:r>
        <w:rPr/>
        <w:t>年，願望始終是毫無曙光。香港人近年亦越來越覺得《基本法》所承諾的民主、自由、人權、法治高速收窄甚至消失，沒有最差，只有更差。在香港悼念六四或在議會辯論平反六四的議案並不是必然的，希望大家在</w:t>
      </w:r>
      <w:r>
        <w:rPr/>
        <w:t>6</w:t>
      </w:r>
      <w:r>
        <w:rPr/>
        <w:t>月</w:t>
      </w:r>
      <w:r>
        <w:rPr/>
        <w:t>4</w:t>
      </w:r>
      <w:r>
        <w:rPr/>
        <w:t>日晚上在維園繼續高呼</w:t>
      </w:r>
      <w:r>
        <w:rPr/>
        <w:t>"</w:t>
      </w:r>
      <w:r>
        <w:rPr/>
        <w:t>平反六四</w:t>
      </w:r>
      <w:r>
        <w:rPr/>
        <w:t>"</w:t>
      </w:r>
      <w:r>
        <w:rPr/>
        <w:t>，追究屠城責任，結束一黨專政，堅持到最後。</w:t>
      </w:r>
    </w:p>
    <w:p>
      <w:pPr>
        <w:pStyle w:val="F21"/>
        <w:overflowPunct w:val="true"/>
        <w:rPr/>
      </w:pPr>
      <w:r>
        <w:rPr/>
      </w:r>
    </w:p>
    <w:p>
      <w:pPr>
        <w:pStyle w:val="F21"/>
        <w:overflowPunct w:val="true"/>
        <w:rPr/>
      </w:pPr>
      <w:r>
        <w:rPr/>
      </w:r>
    </w:p>
    <w:p>
      <w:pPr>
        <w:pStyle w:val="F21"/>
        <w:overflowPunct w:val="true"/>
        <w:rPr/>
      </w:pPr>
      <w:r>
        <w:rPr>
          <w:rFonts w:eastAsia="華康中黑體"/>
          <w:b/>
        </w:rPr>
        <w:t>毛孟靜議員</w:t>
      </w:r>
      <w:r>
        <w:rPr/>
        <w:t>：六四的時候，北京的大學生有很多口號，當中有兩個是喊得最多的，一個是</w:t>
      </w:r>
      <w:r>
        <w:rPr/>
        <w:t>"</w:t>
      </w:r>
      <w:r>
        <w:rPr/>
        <w:t>反官倒</w:t>
      </w:r>
      <w:r>
        <w:rPr/>
        <w:t>"</w:t>
      </w:r>
      <w:r>
        <w:rPr/>
        <w:t>，另一個是</w:t>
      </w:r>
      <w:r>
        <w:rPr/>
        <w:t>"</w:t>
      </w:r>
      <w:r>
        <w:rPr/>
        <w:t>講真話</w:t>
      </w:r>
      <w:r>
        <w:rPr/>
        <w:t>"</w:t>
      </w:r>
      <w:r>
        <w:rPr/>
        <w:t>。</w:t>
      </w:r>
      <w:r>
        <w:rPr/>
        <w:t>"</w:t>
      </w:r>
      <w:r>
        <w:rPr/>
        <w:t>反官倒</w:t>
      </w:r>
      <w:r>
        <w:rPr/>
        <w:t>"</w:t>
      </w:r>
      <w:r>
        <w:rPr/>
        <w:t>就是反貪，今時今日仍然是在反貪之中，而</w:t>
      </w:r>
      <w:r>
        <w:rPr/>
        <w:t>"</w:t>
      </w:r>
      <w:r>
        <w:rPr/>
        <w:t>講真話</w:t>
      </w:r>
      <w:r>
        <w:rPr/>
        <w:t>"</w:t>
      </w:r>
      <w:r>
        <w:rPr/>
        <w:t>，仍然是難於登天。不單是中國大陸的新聞界難說真話，連香港的也一樣，大家看看，我們的新聞自由也漸漸地被收緊。</w:t>
      </w:r>
    </w:p>
    <w:p>
      <w:pPr>
        <w:pStyle w:val="F21"/>
        <w:overflowPunct w:val="true"/>
        <w:spacing w:lineRule="atLeast" w:line="370"/>
        <w:rPr/>
      </w:pPr>
      <w:r>
        <w:rPr/>
      </w:r>
    </w:p>
    <w:p>
      <w:pPr>
        <w:pStyle w:val="F21"/>
        <w:overflowPunct w:val="true"/>
        <w:spacing w:lineRule="atLeast" w:line="370"/>
        <w:rPr/>
      </w:pPr>
      <w:r>
        <w:rPr/>
        <w:tab/>
      </w:r>
      <w:r>
        <w:rPr/>
        <w:t>六四的時候，我是全職記者，當時我到北京採訪，在北大的一個男生宿舍，</w:t>
      </w:r>
      <w:r>
        <w:rPr/>
        <w:t>6</w:t>
      </w:r>
      <w:r>
        <w:rPr/>
        <w:t>個學生同住一個房間，他們的</w:t>
      </w:r>
      <w:r>
        <w:rPr/>
        <w:t>"</w:t>
      </w:r>
      <w:r>
        <w:rPr/>
        <w:t>碌架床</w:t>
      </w:r>
      <w:r>
        <w:rPr/>
        <w:t>"(bunk bed)</w:t>
      </w:r>
      <w:r>
        <w:rPr/>
        <w:t>是</w:t>
      </w:r>
      <w:r>
        <w:rPr/>
        <w:t>3</w:t>
      </w:r>
      <w:r>
        <w:rPr/>
        <w:t>層的。他們開始跟我討論，他們問如果蘇聯人可以，為甚麼我們中國不可以？當時我們究竟在討論甚麼呢？可能很多人已經記不起，當天安門被</w:t>
      </w:r>
      <w:r>
        <w:rPr/>
        <w:t>100</w:t>
      </w:r>
      <w:r>
        <w:rPr/>
        <w:t>萬人佔領的時候，前蘇聯元首戈爾巴喬夫正在訪問北京，鄧小平震怒，這是所有記者都知道的，因為他覺得很失禮，中國人最顧面子，而戈爾巴喬夫直到今時今日令人印象最深的是兩個俄文字‍</w:t>
      </w:r>
      <w:r>
        <w:rPr>
          <w:rFonts w:ascii="Symbol" w:hAnsi="Symbol" w:cs="Symbol" w:eastAsia="Symbol"/>
          <w:color w:val="000000"/>
          <w:szCs w:val="27"/>
        </w:rPr>
        <w:t></w:t>
      </w:r>
      <w:r>
        <w:rPr/>
        <w:t>glasnost</w:t>
      </w:r>
      <w:r>
        <w:rPr/>
        <w:t>和</w:t>
      </w:r>
      <w:r>
        <w:rPr/>
        <w:t>perestroika</w:t>
      </w:r>
      <w:r>
        <w:rPr/>
        <w:t>。</w:t>
      </w:r>
    </w:p>
    <w:p>
      <w:pPr>
        <w:pStyle w:val="F21"/>
        <w:overflowPunct w:val="true"/>
        <w:spacing w:lineRule="atLeast" w:line="370"/>
        <w:rPr/>
      </w:pPr>
      <w:r>
        <w:rPr/>
      </w:r>
    </w:p>
    <w:p>
      <w:pPr>
        <w:pStyle w:val="F21"/>
        <w:overflowPunct w:val="true"/>
        <w:spacing w:lineRule="atLeast" w:line="370"/>
        <w:rPr/>
      </w:pPr>
      <w:r>
        <w:rPr/>
        <w:tab/>
      </w:r>
      <w:r>
        <w:rPr/>
        <w:t>在我一生人中，除了在課堂上，唯一跟我討論過這兩個字的，便是那數名在內地的北大學生。他們其中一位說</w:t>
      </w:r>
      <w:r>
        <w:rPr/>
        <w:t>glasnost</w:t>
      </w:r>
      <w:r>
        <w:rPr/>
        <w:t>的時候，由於發音受他本身的口音影響，所以我當時不知道他在說甚麼，後來才明白。</w:t>
      </w:r>
      <w:r>
        <w:rPr/>
        <w:t>Glasnost</w:t>
      </w:r>
      <w:r>
        <w:rPr/>
        <w:t>是代表開放，然後</w:t>
      </w:r>
      <w:r>
        <w:rPr/>
        <w:t>perestroika</w:t>
      </w:r>
      <w:r>
        <w:rPr/>
        <w:t>是代表改革。開放改革正正就是當年的</w:t>
      </w:r>
      <w:r>
        <w:rPr/>
        <w:t>10</w:t>
      </w:r>
      <w:r>
        <w:rPr/>
        <w:t>年前，即</w:t>
      </w:r>
      <w:r>
        <w:rPr/>
        <w:t>1989</w:t>
      </w:r>
      <w:r>
        <w:rPr/>
        <w:t>年的</w:t>
      </w:r>
      <w:r>
        <w:rPr/>
        <w:t>10</w:t>
      </w:r>
      <w:r>
        <w:rPr/>
        <w:t>年前，亦即</w:t>
      </w:r>
      <w:r>
        <w:rPr/>
        <w:t>1979</w:t>
      </w:r>
      <w:r>
        <w:rPr/>
        <w:t>年，鄧小平最先提出中國要開放改革。大學生是相信的，而在相信的同時，他們認為蘇聯真的做到，戈爾巴喬夫真的開放給蘇聯人民，為甚麼中國人不可以？</w:t>
      </w:r>
    </w:p>
    <w:p>
      <w:pPr>
        <w:pStyle w:val="F21"/>
        <w:overflowPunct w:val="true"/>
        <w:spacing w:lineRule="atLeast" w:line="370"/>
        <w:rPr/>
      </w:pPr>
      <w:r>
        <w:rPr/>
      </w:r>
    </w:p>
    <w:p>
      <w:pPr>
        <w:pStyle w:val="F21"/>
        <w:overflowPunct w:val="true"/>
        <w:spacing w:lineRule="atLeast" w:line="370"/>
        <w:rPr/>
      </w:pPr>
      <w:r>
        <w:rPr/>
        <w:tab/>
      </w:r>
      <w:r>
        <w:rPr/>
        <w:t>大家會即時想象到，當年內地的年青人要求的改革或開放，只是體制之內的改革。戈爾巴喬夫說的</w:t>
      </w:r>
      <w:r>
        <w:rPr/>
        <w:t>glasnost</w:t>
      </w:r>
      <w:r>
        <w:rPr/>
        <w:t>和</w:t>
      </w:r>
      <w:r>
        <w:rPr/>
        <w:t>perestroika</w:t>
      </w:r>
      <w:r>
        <w:rPr/>
        <w:t>，也是要在蘇聯共產黨體制內開放一點，要進行一些改革。今時今日的香港人，尤其是年青人，我們曾經有雨傘運動，我們說</w:t>
      </w:r>
      <w:r>
        <w:rPr/>
        <w:t>"</w:t>
      </w:r>
      <w:r>
        <w:rPr/>
        <w:t>我要真普選</w:t>
      </w:r>
      <w:r>
        <w:rPr/>
        <w:t>"</w:t>
      </w:r>
      <w:r>
        <w:rPr/>
        <w:t>，不是要經篩選後的</w:t>
      </w:r>
      <w:r>
        <w:rPr/>
        <w:t>A</w:t>
      </w:r>
      <w:r>
        <w:rPr/>
        <w:t>、</w:t>
      </w:r>
      <w:r>
        <w:rPr/>
        <w:t>B</w:t>
      </w:r>
      <w:r>
        <w:rPr/>
        <w:t>、</w:t>
      </w:r>
      <w:r>
        <w:rPr/>
        <w:t>C</w:t>
      </w:r>
      <w:r>
        <w:rPr/>
        <w:t>、</w:t>
      </w:r>
      <w:r>
        <w:rPr/>
        <w:t>D</w:t>
      </w:r>
      <w:r>
        <w:rPr/>
        <w:t>人選，然後叫我們</w:t>
      </w:r>
      <w:r>
        <w:rPr/>
        <w:t>"</w:t>
      </w:r>
      <w:r>
        <w:rPr/>
        <w:t>一人一票</w:t>
      </w:r>
      <w:r>
        <w:rPr/>
        <w:t>"</w:t>
      </w:r>
      <w:r>
        <w:rPr/>
        <w:t>選個</w:t>
      </w:r>
      <w:r>
        <w:rPr/>
        <w:t>"</w:t>
      </w:r>
      <w:r>
        <w:rPr/>
        <w:t>爛橙</w:t>
      </w:r>
      <w:r>
        <w:rPr/>
        <w:t>"</w:t>
      </w:r>
      <w:r>
        <w:rPr/>
        <w:t>出來。我們要的不是這樣的假普選。</w:t>
      </w:r>
    </w:p>
    <w:p>
      <w:pPr>
        <w:pStyle w:val="F21"/>
        <w:overflowPunct w:val="true"/>
        <w:spacing w:lineRule="atLeast" w:line="370"/>
        <w:rPr/>
      </w:pPr>
      <w:r>
        <w:rPr/>
      </w:r>
    </w:p>
    <w:p>
      <w:pPr>
        <w:pStyle w:val="F21"/>
        <w:overflowPunct w:val="true"/>
        <w:spacing w:lineRule="atLeast" w:line="370"/>
        <w:rPr/>
      </w:pPr>
      <w:r>
        <w:rPr/>
        <w:tab/>
      </w:r>
      <w:r>
        <w:rPr/>
        <w:t>很多人說最重要的是我們體制內現在即使沒有真普選，但毋忘六四，我們可以從中看看學到甚麼教訓。大家要想清楚，如果純粹說體制內的改革開放，我們的司法制度是唯一在《基本法》中訂明有獨立的司法制度。大家看看香港今時今日的司法如何被林鄭月娥玩弄，</w:t>
      </w:r>
      <w:r>
        <w:rPr/>
        <w:t>DQ</w:t>
      </w:r>
      <w:r>
        <w:rPr/>
        <w:t>議員，然後取締政治組織，當然毋忘驅逐外國記者，她完全連立法也省下，想做便做，真的挖空心思找一項法例出來，以煽惑他人去煽惑他人這樣的條文來作出檢控，大家完全心裏有數，說坦白一點吧。</w:t>
      </w:r>
    </w:p>
    <w:p>
      <w:pPr>
        <w:pStyle w:val="Normal"/>
        <w:widowControl/>
        <w:tabs>
          <w:tab w:val="clear" w:pos="720"/>
        </w:tabs>
        <w:snapToGrid w:val="true"/>
        <w:spacing w:lineRule="auto" w:line="276" w:before="0" w:after="200"/>
        <w:jc w:val="left"/>
        <w:rPr>
          <w:rFonts w:cs="" w:cstheme="minorBidi"/>
          <w:spacing w:val="20"/>
          <w:sz w:val="27"/>
          <w:szCs w:val="22"/>
          <w:lang w:val="en-US"/>
        </w:rPr>
      </w:pPr>
      <w:r>
        <w:rPr>
          <w:rFonts w:cs="" w:cstheme="minorBidi"/>
          <w:spacing w:val="20"/>
          <w:sz w:val="27"/>
          <w:szCs w:val="22"/>
          <w:lang w:val="en-US"/>
        </w:rPr>
      </w:r>
      <w:r>
        <w:br w:type="page"/>
      </w:r>
    </w:p>
    <w:p>
      <w:pPr>
        <w:pStyle w:val="F21"/>
        <w:overflowPunct w:val="true"/>
        <w:rPr/>
      </w:pPr>
      <w:r>
        <w:rPr/>
        <w:tab/>
      </w:r>
      <w:r>
        <w:rPr/>
        <w:t>有些人很喜歡說中國人</w:t>
      </w:r>
      <w:r>
        <w:rPr/>
        <w:t>"</w:t>
      </w:r>
      <w:r>
        <w:rPr/>
        <w:t>無得救</w:t>
      </w:r>
      <w:r>
        <w:rPr/>
        <w:t>"</w:t>
      </w:r>
      <w:r>
        <w:rPr/>
        <w:t>，是小農</w:t>
      </w:r>
      <w:r>
        <w:rPr/>
        <w:t>DNA</w:t>
      </w:r>
      <w:r>
        <w:rPr/>
        <w:t>在作怪，但這是要斟酌的，不可能百分之一百同意，因為小農</w:t>
      </w:r>
      <w:r>
        <w:rPr/>
        <w:t>DNA</w:t>
      </w:r>
      <w:r>
        <w:rPr/>
        <w:t>是天生的，是你的天性或一族人的天性。但試想想，如果將一個華人嬰孩放在美國社會或澳洲社會，由出生那天到長大至</w:t>
      </w:r>
      <w:r>
        <w:rPr/>
        <w:t>18</w:t>
      </w:r>
      <w:r>
        <w:rPr/>
        <w:t>歲的時候，他便活脫是一個不折不扣的澳洲人、美國人。甚麼小農</w:t>
      </w:r>
      <w:r>
        <w:rPr/>
        <w:t>DNA</w:t>
      </w:r>
      <w:r>
        <w:rPr/>
        <w:t>？這完全是我們後天的環境影響。中國人很喜歡被人管，可能或者是吧，所以在六四的時候，我們為甚麼在慘酷地、血腥地完了這一幕後，似乎沒有做到甚麼特別的事情來實施開放改革。所以，今時今日，我們要理解年青人為甚麼對權力、對這些所謂</w:t>
      </w:r>
      <w:r>
        <w:rPr/>
        <w:t>"</w:t>
      </w:r>
      <w:r>
        <w:rPr/>
        <w:t>結束一黨專政</w:t>
      </w:r>
      <w:r>
        <w:rPr/>
        <w:t>"</w:t>
      </w:r>
      <w:r>
        <w:rPr/>
        <w:t>的說話已經麻木，他們只會為自己的想法而爭取。</w:t>
      </w:r>
    </w:p>
    <w:p>
      <w:pPr>
        <w:pStyle w:val="F21"/>
        <w:overflowPunct w:val="true"/>
        <w:rPr/>
      </w:pPr>
      <w:r>
        <w:rPr/>
      </w:r>
    </w:p>
    <w:p>
      <w:pPr>
        <w:pStyle w:val="F21"/>
        <w:overflowPunct w:val="true"/>
        <w:rPr/>
      </w:pPr>
      <w:r>
        <w:rPr/>
        <w:tab/>
      </w:r>
      <w:r>
        <w:rPr/>
        <w:t>一個一生居住在鳥籠內的人、一個在鳥籠出生和長大的人，你跟他說自由飛翔，他會跟你說這是違反常態，這就是對有關引渡的條例所作修訂的精髓。</w:t>
      </w:r>
    </w:p>
    <w:p>
      <w:pPr>
        <w:pStyle w:val="F21"/>
        <w:overflowPunct w:val="true"/>
        <w:rPr>
          <w:szCs w:val="27"/>
        </w:rPr>
      </w:pPr>
      <w:r>
        <w:rPr>
          <w:szCs w:val="27"/>
        </w:rPr>
      </w:r>
    </w:p>
    <w:p>
      <w:pPr>
        <w:pStyle w:val="F21"/>
        <w:overflowPunct w:val="true"/>
        <w:rPr>
          <w:rFonts w:cs="Times New Roman"/>
        </w:rPr>
      </w:pPr>
      <w:r>
        <w:rPr>
          <w:rFonts w:cs="Times New Roman"/>
        </w:rPr>
      </w:r>
    </w:p>
    <w:p>
      <w:pPr>
        <w:pStyle w:val="F21"/>
        <w:rPr>
          <w:szCs w:val="27"/>
        </w:rPr>
      </w:pPr>
      <w:r>
        <w:rPr>
          <w:rFonts w:ascii="華康中黑體" w:hAnsi="華康中黑體" w:cs="華康中黑體" w:eastAsia="華康中黑體"/>
          <w:b/>
          <w:szCs w:val="27"/>
        </w:rPr>
        <w:t>楊岳橋議員</w:t>
      </w:r>
      <w:r>
        <w:rPr>
          <w:szCs w:val="27"/>
        </w:rPr>
        <w:t>：主席，</w:t>
      </w:r>
      <w:r>
        <w:rPr>
          <w:szCs w:val="27"/>
        </w:rPr>
        <w:t>30</w:t>
      </w:r>
      <w:r>
        <w:rPr>
          <w:szCs w:val="27"/>
        </w:rPr>
        <w:t>年了。如果如政府官員所說般人人也有</w:t>
      </w:r>
      <w:r>
        <w:rPr>
          <w:szCs w:val="27"/>
        </w:rPr>
        <w:t>120</w:t>
      </w:r>
      <w:r>
        <w:rPr>
          <w:szCs w:val="27"/>
        </w:rPr>
        <w:t>歲壽命，那麼大家的人生也會有</w:t>
      </w:r>
      <w:r>
        <w:rPr>
          <w:szCs w:val="27"/>
        </w:rPr>
        <w:t>4</w:t>
      </w:r>
      <w:r>
        <w:rPr>
          <w:szCs w:val="27"/>
        </w:rPr>
        <w:t>個</w:t>
      </w:r>
      <w:r>
        <w:rPr>
          <w:szCs w:val="27"/>
        </w:rPr>
        <w:t>30</w:t>
      </w:r>
      <w:r>
        <w:rPr>
          <w:szCs w:val="27"/>
        </w:rPr>
        <w:t>年，但對一般人而言，活到第三個</w:t>
      </w:r>
      <w:r>
        <w:rPr>
          <w:szCs w:val="27"/>
        </w:rPr>
        <w:t>30</w:t>
      </w:r>
      <w:r>
        <w:rPr>
          <w:szCs w:val="27"/>
        </w:rPr>
        <w:t>年已經是幾生修到的福氣了。</w:t>
      </w:r>
    </w:p>
    <w:p>
      <w:pPr>
        <w:pStyle w:val="F21"/>
        <w:rPr>
          <w:szCs w:val="27"/>
        </w:rPr>
      </w:pPr>
      <w:r>
        <w:rPr>
          <w:szCs w:val="27"/>
        </w:rPr>
      </w:r>
    </w:p>
    <w:p>
      <w:pPr>
        <w:pStyle w:val="F21"/>
        <w:rPr>
          <w:szCs w:val="27"/>
        </w:rPr>
      </w:pPr>
      <w:r>
        <w:rPr>
          <w:szCs w:val="27"/>
        </w:rPr>
        <w:tab/>
      </w:r>
      <w:r>
        <w:rPr>
          <w:szCs w:val="27"/>
        </w:rPr>
        <w:t>很可惜，對於蔣捷連、王楠、蕭傑、陳來順、謝京鎖、蕭波、孫輝、陸春林、張向紅、程仁興、張瑾、段昌隆、王衛萍、王建平、王培文、董曉軍、袁力、葉偉航、吳國鋒、嚴文、錢縉、劉弘、鍾慶、周得寶、呂鵬、莊捷生、杜燕英、王爭勝、奚桂茹、戴偉、吳向東、賴筆、董琳、虢安民、孫彥昌、錢輝、鄒冰、田道民、何潔、溫傑、賁雲海、劉洪濤、周欣明、王鋼、李德志、熊志明、張衛華、龔紀芳、劉春永、梁寶興、蘇金堅、王鴻啟、楊振江、韓秋、陶志敢、許建平、何國、齊文、石巖、孫鐵、任文聯、曹振平、楊子平、趙龍、鍾俊軍、高原、倪世聯、鄺敏、軋愛國、石海文、楊捍雷、蘇欣、趙德江、崔林峰，以及李春</w:t>
      </w:r>
      <w:r>
        <w:rPr>
          <w:rFonts w:ascii="Symbol" w:hAnsi="Symbol" w:cs="Symbol" w:eastAsia="Symbol"/>
          <w:szCs w:val="27"/>
        </w:rPr>
        <w:t></w:t>
      </w:r>
      <w:r>
        <w:rPr>
          <w:szCs w:val="27"/>
        </w:rPr>
        <w:t>這群在</w:t>
      </w:r>
      <w:r>
        <w:rPr>
          <w:szCs w:val="27"/>
        </w:rPr>
        <w:t>1989</w:t>
      </w:r>
      <w:r>
        <w:rPr>
          <w:szCs w:val="27"/>
        </w:rPr>
        <w:t>年只是十多二十歲的青年人而言，他們卻連一個</w:t>
      </w:r>
      <w:r>
        <w:rPr>
          <w:szCs w:val="27"/>
        </w:rPr>
        <w:t>30</w:t>
      </w:r>
      <w:r>
        <w:rPr>
          <w:szCs w:val="27"/>
        </w:rPr>
        <w:t>年也沒有，就被自己國家的人民子弟兵用子彈和坦克奪去了寶貴的生命。</w:t>
      </w:r>
    </w:p>
    <w:p>
      <w:pPr>
        <w:pStyle w:val="F21"/>
        <w:rPr>
          <w:szCs w:val="27"/>
        </w:rPr>
      </w:pPr>
      <w:r>
        <w:rPr>
          <w:szCs w:val="27"/>
        </w:rPr>
      </w:r>
    </w:p>
    <w:p>
      <w:pPr>
        <w:pStyle w:val="F21"/>
        <w:rPr>
          <w:szCs w:val="27"/>
        </w:rPr>
      </w:pPr>
      <w:r>
        <w:rPr>
          <w:szCs w:val="27"/>
        </w:rPr>
        <w:tab/>
      </w:r>
      <w:r>
        <w:rPr>
          <w:szCs w:val="27"/>
        </w:rPr>
        <w:t>退休軍醫蔣彥永在</w:t>
      </w:r>
      <w:r>
        <w:rPr>
          <w:szCs w:val="27"/>
        </w:rPr>
        <w:t>1989</w:t>
      </w:r>
      <w:r>
        <w:rPr>
          <w:szCs w:val="27"/>
        </w:rPr>
        <w:t>年</w:t>
      </w:r>
      <w:r>
        <w:rPr>
          <w:szCs w:val="27"/>
        </w:rPr>
        <w:t>6</w:t>
      </w:r>
      <w:r>
        <w:rPr>
          <w:szCs w:val="27"/>
        </w:rPr>
        <w:t>月</w:t>
      </w:r>
      <w:r>
        <w:rPr>
          <w:szCs w:val="27"/>
        </w:rPr>
        <w:t>3</w:t>
      </w:r>
      <w:r>
        <w:rPr>
          <w:szCs w:val="27"/>
        </w:rPr>
        <w:t>日晚上，於天安門廣場搶救受傷的學生和市民。蔣軍醫在退休後不斷去信歷代領導人，要求中央正視六四問題。他最近接受電視訪問時表示：</w:t>
      </w:r>
      <w:r>
        <w:rPr>
          <w:szCs w:val="27"/>
        </w:rPr>
        <w:t>"</w:t>
      </w:r>
      <w:r>
        <w:rPr>
          <w:szCs w:val="27"/>
        </w:rPr>
        <w:t>六四問題最大的誤區，就是不把人的生命看成是問題。</w:t>
      </w:r>
      <w:r>
        <w:rPr>
          <w:szCs w:val="27"/>
        </w:rPr>
        <w:t>"</w:t>
      </w:r>
    </w:p>
    <w:p>
      <w:pPr>
        <w:pStyle w:val="Normal"/>
        <w:widowControl/>
        <w:tabs>
          <w:tab w:val="clear" w:pos="720"/>
        </w:tabs>
        <w:snapToGrid w:val="true"/>
        <w:spacing w:lineRule="auto" w:line="276" w:before="0" w:after="200"/>
        <w:jc w:val="left"/>
        <w:rPr>
          <w:rFonts w:cs="" w:cstheme="minorBidi"/>
          <w:spacing w:val="20"/>
          <w:sz w:val="27"/>
          <w:szCs w:val="27"/>
          <w:lang w:val="en-US"/>
        </w:rPr>
      </w:pPr>
      <w:r>
        <w:rPr>
          <w:rFonts w:cs="" w:cstheme="minorBidi"/>
          <w:spacing w:val="20"/>
          <w:sz w:val="27"/>
          <w:szCs w:val="27"/>
          <w:lang w:val="en-US"/>
        </w:rPr>
      </w:r>
      <w:r>
        <w:br w:type="page"/>
      </w:r>
    </w:p>
    <w:p>
      <w:pPr>
        <w:pStyle w:val="F21"/>
        <w:rPr>
          <w:szCs w:val="27"/>
        </w:rPr>
      </w:pPr>
      <w:r>
        <w:rPr>
          <w:szCs w:val="27"/>
        </w:rPr>
        <w:tab/>
      </w:r>
      <w:r>
        <w:rPr>
          <w:szCs w:val="27"/>
        </w:rPr>
        <w:t>六四事件發生了</w:t>
      </w:r>
      <w:r>
        <w:rPr>
          <w:szCs w:val="27"/>
        </w:rPr>
        <w:t>30</w:t>
      </w:r>
      <w:r>
        <w:rPr>
          <w:szCs w:val="27"/>
        </w:rPr>
        <w:t>年，莫說中央是否願意平反，似乎就連我們的討論空間也遭到扼殺。最新鮮的例子，就是</w:t>
      </w:r>
      <w:r>
        <w:rPr>
          <w:szCs w:val="27"/>
        </w:rPr>
        <w:t>2016</w:t>
      </w:r>
      <w:r>
        <w:rPr>
          <w:szCs w:val="27"/>
        </w:rPr>
        <w:t>年在四川發生的</w:t>
      </w:r>
      <w:r>
        <w:rPr>
          <w:szCs w:val="27"/>
        </w:rPr>
        <w:t>"</w:t>
      </w:r>
      <w:r>
        <w:rPr>
          <w:szCs w:val="27"/>
        </w:rPr>
        <w:t>銘記八酒六四</w:t>
      </w:r>
      <w:r>
        <w:rPr>
          <w:szCs w:val="27"/>
        </w:rPr>
        <w:t>"</w:t>
      </w:r>
      <w:r>
        <w:rPr>
          <w:szCs w:val="27"/>
        </w:rPr>
        <w:t>事件。四位事主被非法關押兩年多後，最近相繼被判決尋釁滋事罪。主席，他們究竟做了些甚麼呢？就是以諷刺形式悼念六‍四。為何一個政權</w:t>
      </w:r>
      <w:r>
        <w:rPr>
          <w:rFonts w:ascii="Symbol" w:hAnsi="Symbol" w:cs="Symbol" w:eastAsia="Symbol"/>
          <w:szCs w:val="27"/>
        </w:rPr>
        <w:t></w:t>
      </w:r>
      <w:r>
        <w:rPr>
          <w:szCs w:val="27"/>
        </w:rPr>
        <w:t>堂堂一個翻手為雲、覆手為雨的大國政權‍</w:t>
      </w:r>
      <w:r>
        <w:rPr>
          <w:rFonts w:ascii="Symbol" w:hAnsi="Symbol" w:cs="Symbol" w:eastAsia="Symbol"/>
          <w:szCs w:val="27"/>
        </w:rPr>
        <w:t></w:t>
      </w:r>
      <w:r>
        <w:rPr>
          <w:szCs w:val="27"/>
        </w:rPr>
        <w:t>會對</w:t>
      </w:r>
      <w:r>
        <w:rPr>
          <w:szCs w:val="27"/>
        </w:rPr>
        <w:t>30</w:t>
      </w:r>
      <w:r>
        <w:rPr>
          <w:szCs w:val="27"/>
        </w:rPr>
        <w:t>年前某個晚上發生的事件如此神經敏感，隻字也不敢提呢？</w:t>
      </w:r>
    </w:p>
    <w:p>
      <w:pPr>
        <w:pStyle w:val="F21"/>
        <w:rPr>
          <w:szCs w:val="27"/>
        </w:rPr>
      </w:pPr>
      <w:r>
        <w:rPr>
          <w:szCs w:val="27"/>
        </w:rPr>
      </w:r>
    </w:p>
    <w:p>
      <w:pPr>
        <w:pStyle w:val="F21"/>
        <w:rPr>
          <w:szCs w:val="27"/>
        </w:rPr>
      </w:pPr>
      <w:r>
        <w:rPr>
          <w:szCs w:val="27"/>
        </w:rPr>
        <w:tab/>
      </w:r>
      <w:r>
        <w:rPr>
          <w:szCs w:val="27"/>
        </w:rPr>
        <w:t>中國改革開放</w:t>
      </w:r>
      <w:r>
        <w:rPr>
          <w:szCs w:val="27"/>
        </w:rPr>
        <w:t>40</w:t>
      </w:r>
      <w:r>
        <w:rPr>
          <w:szCs w:val="27"/>
        </w:rPr>
        <w:t>年，現時甚至要籌劃第二次改革開放。中國在國勢和財力方面，無疑已位於世界前列。但是，不論它的國力有多強，</w:t>
      </w:r>
      <w:r>
        <w:rPr>
          <w:szCs w:val="27"/>
        </w:rPr>
        <w:t>"</w:t>
      </w:r>
      <w:r>
        <w:rPr>
          <w:szCs w:val="27"/>
        </w:rPr>
        <w:t>中國夢</w:t>
      </w:r>
      <w:r>
        <w:rPr>
          <w:szCs w:val="27"/>
        </w:rPr>
        <w:t>"</w:t>
      </w:r>
      <w:r>
        <w:rPr>
          <w:szCs w:val="27"/>
        </w:rPr>
        <w:t>發得有多大，面對着六四這個傷口，仍然會選擇避而不談，高壓封殺。甚至，每逢六四臨近，剛才我讀出名字的那群青年人的父母也會</w:t>
      </w:r>
      <w:r>
        <w:rPr>
          <w:szCs w:val="27"/>
        </w:rPr>
        <w:t>"</w:t>
      </w:r>
      <w:r>
        <w:rPr>
          <w:szCs w:val="27"/>
        </w:rPr>
        <w:t>被旅遊</w:t>
      </w:r>
      <w:r>
        <w:rPr>
          <w:szCs w:val="27"/>
        </w:rPr>
        <w:t>"</w:t>
      </w:r>
      <w:r>
        <w:rPr>
          <w:szCs w:val="27"/>
        </w:rPr>
        <w:t>、被剝奪悼念子女的權利。一個強人、一個巨人，為何卻不敢面對自己的傷口，嘗試治療這個傷口呢？主席，我相信我剛才引述蔣彥永軍醫的說話便是答案</w:t>
      </w:r>
      <w:r>
        <w:rPr>
          <w:rFonts w:ascii="Symbol" w:hAnsi="Symbol" w:cs="Symbol" w:eastAsia="Symbol"/>
          <w:szCs w:val="27"/>
        </w:rPr>
        <w:t></w:t>
      </w:r>
      <w:r>
        <w:rPr>
          <w:szCs w:val="27"/>
        </w:rPr>
        <w:t>就是由於它</w:t>
      </w:r>
      <w:r>
        <w:rPr>
          <w:szCs w:val="27"/>
        </w:rPr>
        <w:t>"</w:t>
      </w:r>
      <w:r>
        <w:rPr>
          <w:szCs w:val="27"/>
        </w:rPr>
        <w:t>不把人的生命看成是問題</w:t>
      </w:r>
      <w:r>
        <w:rPr>
          <w:szCs w:val="27"/>
        </w:rPr>
        <w:t>"</w:t>
      </w:r>
      <w:r>
        <w:rPr>
          <w:szCs w:val="27"/>
        </w:rPr>
        <w:t>。</w:t>
      </w:r>
    </w:p>
    <w:p>
      <w:pPr>
        <w:pStyle w:val="F21"/>
        <w:rPr>
          <w:szCs w:val="27"/>
        </w:rPr>
      </w:pPr>
      <w:r>
        <w:rPr>
          <w:szCs w:val="27"/>
        </w:rPr>
      </w:r>
    </w:p>
    <w:p>
      <w:pPr>
        <w:pStyle w:val="F21"/>
        <w:rPr>
          <w:szCs w:val="27"/>
        </w:rPr>
      </w:pPr>
      <w:r>
        <w:rPr>
          <w:szCs w:val="27"/>
        </w:rPr>
        <w:tab/>
      </w:r>
      <w:r>
        <w:rPr>
          <w:szCs w:val="27"/>
        </w:rPr>
        <w:t>也許會有人問：事件已經過去</w:t>
      </w:r>
      <w:r>
        <w:rPr>
          <w:szCs w:val="27"/>
        </w:rPr>
        <w:t>30</w:t>
      </w:r>
      <w:r>
        <w:rPr>
          <w:szCs w:val="27"/>
        </w:rPr>
        <w:t>年了，為何你們仍然拒絕讓傷口復原？為何仍然每年在立法會提出</w:t>
      </w:r>
      <w:r>
        <w:rPr>
          <w:szCs w:val="27"/>
        </w:rPr>
        <w:t>"</w:t>
      </w:r>
      <w:r>
        <w:rPr>
          <w:szCs w:val="27"/>
        </w:rPr>
        <w:t>毋忘六四</w:t>
      </w:r>
      <w:r>
        <w:rPr>
          <w:szCs w:val="27"/>
        </w:rPr>
        <w:t>"</w:t>
      </w:r>
      <w:r>
        <w:rPr>
          <w:szCs w:val="27"/>
        </w:rPr>
        <w:t>議案？為何每年也要在維園進行燭光悼念呢？我想大家應該弄清楚一點，就是內地政府封殺悼念六四活動，而且每年辯論六四議案時，特區政府也不派官員出席，議會內幾乎每名保皇黨議員同事也選擇不在席、不聆聽、不發言。我相信，從此可見，拒絕讓傷口復原的人並非民主派，也不是願意悼念的人，而是上述這群不願正視事件的人。</w:t>
      </w:r>
    </w:p>
    <w:p>
      <w:pPr>
        <w:pStyle w:val="F21"/>
        <w:rPr>
          <w:szCs w:val="27"/>
        </w:rPr>
      </w:pPr>
      <w:r>
        <w:rPr>
          <w:szCs w:val="27"/>
        </w:rPr>
      </w:r>
    </w:p>
    <w:p>
      <w:pPr>
        <w:pStyle w:val="F21"/>
        <w:rPr>
          <w:szCs w:val="27"/>
        </w:rPr>
      </w:pPr>
      <w:r>
        <w:rPr>
          <w:szCs w:val="27"/>
        </w:rPr>
        <w:tab/>
      </w:r>
      <w:r>
        <w:rPr>
          <w:szCs w:val="27"/>
        </w:rPr>
        <w:t>主席，過往多年六四議案也無法在議會內獲得通過，我不期望今天議案的表決結果會有任何突破或</w:t>
      </w:r>
      <w:r>
        <w:rPr>
          <w:szCs w:val="27"/>
        </w:rPr>
        <w:t>180</w:t>
      </w:r>
      <w:r>
        <w:rPr>
          <w:szCs w:val="27"/>
        </w:rPr>
        <w:t>度的改變。我只希望藉此機會向當權者表達：越顧忌</w:t>
      </w:r>
      <w:r>
        <w:rPr>
          <w:szCs w:val="27"/>
        </w:rPr>
        <w:t>"</w:t>
      </w:r>
      <w:r>
        <w:rPr>
          <w:szCs w:val="27"/>
        </w:rPr>
        <w:t>崩口碗</w:t>
      </w:r>
      <w:r>
        <w:rPr>
          <w:szCs w:val="27"/>
        </w:rPr>
        <w:t>"</w:t>
      </w:r>
      <w:r>
        <w:rPr>
          <w:szCs w:val="27"/>
        </w:rPr>
        <w:t>，就越會凸顯自己是</w:t>
      </w:r>
      <w:r>
        <w:rPr>
          <w:szCs w:val="27"/>
        </w:rPr>
        <w:t>"</w:t>
      </w:r>
      <w:r>
        <w:rPr>
          <w:szCs w:val="27"/>
        </w:rPr>
        <w:t>崩口人</w:t>
      </w:r>
      <w:r>
        <w:rPr>
          <w:szCs w:val="27"/>
        </w:rPr>
        <w:t>"</w:t>
      </w:r>
      <w:r>
        <w:rPr>
          <w:szCs w:val="27"/>
        </w:rPr>
        <w:t>，越顯得自己</w:t>
      </w:r>
      <w:r>
        <w:rPr>
          <w:szCs w:val="27"/>
        </w:rPr>
        <w:t>"</w:t>
      </w:r>
      <w:r>
        <w:rPr>
          <w:szCs w:val="27"/>
        </w:rPr>
        <w:t>玻璃心</w:t>
      </w:r>
      <w:r>
        <w:rPr>
          <w:szCs w:val="27"/>
        </w:rPr>
        <w:t>"</w:t>
      </w:r>
      <w:r>
        <w:rPr>
          <w:szCs w:val="27"/>
        </w:rPr>
        <w:t>，越顯得自己不願意面對所犯下的一切錯誤。藉着六四事件</w:t>
      </w:r>
      <w:r>
        <w:rPr>
          <w:szCs w:val="27"/>
        </w:rPr>
        <w:t>30</w:t>
      </w:r>
      <w:r>
        <w:rPr>
          <w:szCs w:val="27"/>
        </w:rPr>
        <w:t>周年，最低限度，中國的領導階層也應該開始討論如何面對這個影響整整一代中國人的深層問題。一天不解決這個問題，改革開放永遠不會成為真正的改革開放，中國亦不能成為真正頂天立地的強國。</w:t>
      </w:r>
    </w:p>
    <w:p>
      <w:pPr>
        <w:pStyle w:val="F21"/>
        <w:rPr>
          <w:szCs w:val="27"/>
        </w:rPr>
      </w:pPr>
      <w:r>
        <w:rPr>
          <w:szCs w:val="27"/>
        </w:rPr>
      </w:r>
    </w:p>
    <w:p>
      <w:pPr>
        <w:pStyle w:val="F21"/>
        <w:rPr>
          <w:szCs w:val="27"/>
        </w:rPr>
      </w:pPr>
      <w:r>
        <w:rPr>
          <w:szCs w:val="27"/>
        </w:rPr>
        <w:tab/>
      </w:r>
      <w:r>
        <w:rPr>
          <w:szCs w:val="27"/>
        </w:rPr>
        <w:t>當然，我亦希望藉此提醒香港人，每年到了這時候，我們也需要繼續互相提醒、互相勉勵。今年，這項議案未必可以獲得通過，但我們下年必然會再嘗試。不論過了</w:t>
      </w:r>
      <w:r>
        <w:rPr>
          <w:szCs w:val="27"/>
        </w:rPr>
        <w:t>30</w:t>
      </w:r>
      <w:r>
        <w:rPr>
          <w:szCs w:val="27"/>
        </w:rPr>
        <w:t>年、</w:t>
      </w:r>
      <w:r>
        <w:rPr>
          <w:szCs w:val="27"/>
        </w:rPr>
        <w:t>60</w:t>
      </w:r>
      <w:r>
        <w:rPr>
          <w:szCs w:val="27"/>
        </w:rPr>
        <w:t>年或</w:t>
      </w:r>
      <w:r>
        <w:rPr>
          <w:szCs w:val="27"/>
        </w:rPr>
        <w:t>120</w:t>
      </w:r>
      <w:r>
        <w:rPr>
          <w:szCs w:val="27"/>
        </w:rPr>
        <w:t>年，香港人定當一同把這份記憶守護下去。主席，我相信六四將不會輕易被忘記，因為香港人願意繼續承擔這份責任、願意為廣大中國人保留這份記憶，直至有一天，相關的議題可以堂堂正正地在中國土地上公開、坦白地討論。</w:t>
      </w:r>
    </w:p>
    <w:p>
      <w:pPr>
        <w:pStyle w:val="F21"/>
        <w:spacing w:lineRule="atLeast" w:line="370"/>
        <w:rPr>
          <w:szCs w:val="27"/>
        </w:rPr>
      </w:pPr>
      <w:r>
        <w:rPr>
          <w:szCs w:val="27"/>
        </w:rPr>
      </w:r>
    </w:p>
    <w:p>
      <w:pPr>
        <w:pStyle w:val="F21"/>
        <w:spacing w:lineRule="atLeast" w:line="370"/>
        <w:rPr>
          <w:szCs w:val="27"/>
        </w:rPr>
      </w:pPr>
      <w:r>
        <w:rPr>
          <w:szCs w:val="27"/>
        </w:rPr>
        <w:tab/>
      </w:r>
      <w:r>
        <w:rPr>
          <w:szCs w:val="27"/>
        </w:rPr>
        <w:t>主席，我謹此陳辭，代表公民黨支持</w:t>
      </w:r>
      <w:r>
        <w:rPr>
          <w:szCs w:val="27"/>
        </w:rPr>
        <w:t>"</w:t>
      </w:r>
      <w:r>
        <w:rPr>
          <w:szCs w:val="27"/>
        </w:rPr>
        <w:t>毋忘六四</w:t>
      </w:r>
      <w:r>
        <w:rPr>
          <w:szCs w:val="27"/>
        </w:rPr>
        <w:t>"</w:t>
      </w:r>
      <w:r>
        <w:rPr>
          <w:szCs w:val="27"/>
        </w:rPr>
        <w:t>議案。</w:t>
      </w:r>
    </w:p>
    <w:p>
      <w:pPr>
        <w:pStyle w:val="F21"/>
        <w:spacing w:lineRule="atLeast" w:line="370"/>
        <w:rPr>
          <w:szCs w:val="27"/>
        </w:rPr>
      </w:pPr>
      <w:r>
        <w:rPr>
          <w:szCs w:val="27"/>
        </w:rPr>
      </w:r>
    </w:p>
    <w:p>
      <w:pPr>
        <w:pStyle w:val="F21"/>
        <w:spacing w:lineRule="atLeast" w:line="370"/>
        <w:rPr>
          <w:szCs w:val="27"/>
        </w:rPr>
      </w:pPr>
      <w:r>
        <w:rPr>
          <w:szCs w:val="27"/>
        </w:rPr>
      </w:r>
    </w:p>
    <w:p>
      <w:pPr>
        <w:pStyle w:val="F21"/>
        <w:overflowPunct w:val="true"/>
        <w:spacing w:lineRule="atLeast" w:line="370"/>
        <w:rPr/>
      </w:pPr>
      <w:r>
        <w:rPr>
          <w:rFonts w:eastAsia="華康中黑體"/>
          <w:b/>
        </w:rPr>
        <w:t>尹兆堅議員</w:t>
      </w:r>
      <w:r>
        <w:rPr/>
        <w:t>：主席，我首先說一個簡單的故事。如果大家有留意，英國有一個名為</w:t>
      </w:r>
      <w:r>
        <w:rPr/>
        <w:t>"</w:t>
      </w:r>
      <w:r>
        <w:rPr/>
        <w:t>黑鏡</w:t>
      </w:r>
      <w:r>
        <w:rPr/>
        <w:t>"</w:t>
      </w:r>
      <w:r>
        <w:rPr/>
        <w:t>的節目，這個電視節目是關於科技對人類社會的影響，我對其中一集的印象十分深刻，主席。那是講述一些極權國家利用科技來控制人民，把人民分為不同級別來進行評分，然後以不同的方法對待人民，達致對社會的控制。這套劇集在多年前拍攝，在網上被譽為</w:t>
      </w:r>
      <w:r>
        <w:rPr/>
        <w:t>"</w:t>
      </w:r>
      <w:r>
        <w:rPr/>
        <w:t>神劇</w:t>
      </w:r>
      <w:r>
        <w:rPr/>
        <w:t>"</w:t>
      </w:r>
      <w:r>
        <w:rPr/>
        <w:t>，原因是甚麼呢？因為在現實中很不幸地出現了這種情況，而且更在建制派口中的偉大中國內發生。</w:t>
      </w:r>
    </w:p>
    <w:p>
      <w:pPr>
        <w:pStyle w:val="F21"/>
        <w:overflowPunct w:val="true"/>
        <w:spacing w:lineRule="atLeast" w:line="370"/>
        <w:rPr/>
      </w:pPr>
      <w:r>
        <w:rPr/>
      </w:r>
    </w:p>
    <w:p>
      <w:pPr>
        <w:pStyle w:val="F21"/>
        <w:overflowPunct w:val="true"/>
        <w:spacing w:lineRule="atLeast" w:line="370"/>
        <w:rPr/>
      </w:pPr>
      <w:r>
        <w:rPr/>
        <w:tab/>
      </w:r>
      <w:r>
        <w:rPr/>
        <w:t>這其實是很可悲的，現況是怎樣的呢？現時居於內地的同胞面對的情況是，他們在國內做的每件事，每項交易，網上的每種活動也受到監控。極權者和一些機構，例如阿里巴巴透過支付寶等平台合作，監控人民的一舉一動，過程中並會作出記錄，使每人也有一個被特定監控的分數。</w:t>
      </w:r>
    </w:p>
    <w:p>
      <w:pPr>
        <w:pStyle w:val="F21"/>
        <w:overflowPunct w:val="true"/>
        <w:spacing w:lineRule="atLeast" w:line="370"/>
        <w:rPr/>
      </w:pPr>
      <w:r>
        <w:rPr/>
      </w:r>
    </w:p>
    <w:p>
      <w:pPr>
        <w:pStyle w:val="F21"/>
        <w:overflowPunct w:val="true"/>
        <w:spacing w:lineRule="atLeast" w:line="370"/>
        <w:rPr/>
      </w:pPr>
      <w:r>
        <w:rPr/>
        <w:tab/>
      </w:r>
      <w:r>
        <w:rPr/>
        <w:t>有一位中國記者劉虎，在</w:t>
      </w:r>
      <w:r>
        <w:rPr/>
        <w:t>2013</w:t>
      </w:r>
      <w:r>
        <w:rPr/>
        <w:t>年曾經舉報貪污官員，最後他因誹謗罪被拘捕，接近</w:t>
      </w:r>
      <w:r>
        <w:rPr/>
        <w:t>1</w:t>
      </w:r>
      <w:r>
        <w:rPr/>
        <w:t>年後才獲釋。在</w:t>
      </w:r>
      <w:r>
        <w:rPr/>
        <w:t>2015</w:t>
      </w:r>
      <w:r>
        <w:rPr/>
        <w:t>年，主席，他再因為在微博上發表言論批評政府而被控損害名譽罪，在庭上要提交道歉書，但法院以他不誠懇為由拒絕，最終怎樣呢？劉虎的結果是，他有一次想訂購機票到外國，職員竟然告訴他不能訂購機票，因為他在一份失信名單上，他甚至是被禁止購買機票。這故事告訴我們這種監控可以恐怖到甚麼狀態。最後，他的子女無法入讀學校，他也無法購買物業，這不是天方夜譚，也不是</w:t>
      </w:r>
      <w:r>
        <w:rPr/>
        <w:t>"</w:t>
      </w:r>
      <w:r>
        <w:rPr/>
        <w:t>黑鏡</w:t>
      </w:r>
      <w:r>
        <w:rPr/>
        <w:t>"</w:t>
      </w:r>
      <w:r>
        <w:rPr/>
        <w:t>的故事，我現在說的是在中國發生的活生生的故事。</w:t>
      </w:r>
    </w:p>
    <w:p>
      <w:pPr>
        <w:pStyle w:val="F21"/>
        <w:overflowPunct w:val="true"/>
        <w:spacing w:lineRule="atLeast" w:line="370"/>
        <w:rPr/>
      </w:pPr>
      <w:r>
        <w:rPr/>
      </w:r>
    </w:p>
    <w:p>
      <w:pPr>
        <w:pStyle w:val="F21"/>
        <w:overflowPunct w:val="true"/>
        <w:spacing w:lineRule="atLeast" w:line="370"/>
        <w:rPr/>
      </w:pPr>
      <w:r>
        <w:rPr/>
        <w:tab/>
      </w:r>
      <w:r>
        <w:rPr/>
        <w:t>為何我要說這個故事呢？主席，這是在六四事件發生後</w:t>
      </w:r>
      <w:r>
        <w:rPr/>
        <w:t>30</w:t>
      </w:r>
      <w:r>
        <w:rPr/>
        <w:t>年，在今天的中國仍然每天都活現我們眼前的事件，國內同胞每天也遭受這些壓迫。換言之，</w:t>
      </w:r>
      <w:r>
        <w:rPr/>
        <w:t>30</w:t>
      </w:r>
      <w:r>
        <w:rPr/>
        <w:t>年前的民主運動播下的種子，很不幸地，到今天仍未開花結果，而且形勢似乎進一步因為中國的權力坐大，以至透過科技等方式，令人民的言論空間、自由和人權進一步被剝削。</w:t>
      </w:r>
    </w:p>
    <w:p>
      <w:pPr>
        <w:pStyle w:val="Normal"/>
        <w:widowControl/>
        <w:tabs>
          <w:tab w:val="clear" w:pos="720"/>
        </w:tabs>
        <w:snapToGrid w:val="true"/>
        <w:spacing w:lineRule="auto" w:line="276" w:before="0" w:after="200"/>
        <w:jc w:val="left"/>
        <w:rPr>
          <w:rFonts w:cs="" w:cstheme="minorBidi"/>
          <w:spacing w:val="20"/>
          <w:sz w:val="27"/>
          <w:szCs w:val="22"/>
          <w:lang w:val="en-US"/>
        </w:rPr>
      </w:pPr>
      <w:r>
        <w:rPr>
          <w:rFonts w:cs="" w:cstheme="minorBidi"/>
          <w:spacing w:val="20"/>
          <w:sz w:val="27"/>
          <w:szCs w:val="22"/>
          <w:lang w:val="en-US"/>
        </w:rPr>
      </w:r>
      <w:r>
        <w:br w:type="page"/>
      </w:r>
    </w:p>
    <w:p>
      <w:pPr>
        <w:pStyle w:val="F21"/>
        <w:overflowPunct w:val="true"/>
        <w:rPr/>
      </w:pPr>
      <w:r>
        <w:rPr/>
        <w:tab/>
      </w:r>
      <w:r>
        <w:rPr/>
        <w:t>剛剛有同事提到</w:t>
      </w:r>
      <w:r>
        <w:rPr/>
        <w:t>"</w:t>
      </w:r>
      <w:r>
        <w:rPr/>
        <w:t>銘記八酒六四</w:t>
      </w:r>
      <w:r>
        <w:rPr/>
        <w:t>"</w:t>
      </w:r>
      <w:r>
        <w:rPr/>
        <w:t>的案件，我在這裏不再複述，但這些鮮活的例子其實多不勝數。大家諒必記得，劉曉波發表《零八憲章》，然後被監禁，最後鬱鬱而終，得了癌症，在臨終前的最後日子才獲得釋放，但所謂的釋放，仍然是受到監控。究竟他所犯何罪，所為何事？他只不過要求中國共產黨依法治國，依憲治國而已，希望建立一個問責的民主社會，希望建立一個共產黨自己答應的人民有權當家作主的社會，但最終卻落得如此下場。</w:t>
      </w:r>
    </w:p>
    <w:p>
      <w:pPr>
        <w:pStyle w:val="F21"/>
        <w:overflowPunct w:val="true"/>
        <w:rPr/>
      </w:pPr>
      <w:r>
        <w:rPr/>
      </w:r>
    </w:p>
    <w:p>
      <w:pPr>
        <w:pStyle w:val="F21"/>
        <w:overflowPunct w:val="true"/>
        <w:rPr/>
      </w:pPr>
      <w:r>
        <w:rPr/>
        <w:tab/>
      </w:r>
      <w:r>
        <w:rPr/>
        <w:t>主席，八九民運至今</w:t>
      </w:r>
      <w:r>
        <w:rPr/>
        <w:t>30</w:t>
      </w:r>
      <w:r>
        <w:rPr/>
        <w:t>周年，這場屠殺血案，對於全球人類，尤其是全球華人來說，仍然歷歷在目。很不幸，我們看到中國的政治改革前景仍然灰暗。當然，香港作為在中國土地上比較開放的社會，我們當然希望能夠發揮一些影響力，最少為在獄中或在國內被打壓的人民發聲。楊岳橋議員剛才提到一些名單，其實還有很多仍然在世或被壓迫的人，有些是我們耳熟能詳的，有些我們未必能夠說得出他們的名字；胡佳、曾金燕、蔣彥永、胡石根；有些已離世的，包括李旺陽；亦有些正在受壓的，例如王炳章、王全璋、江天勇、高智晟、李和平、黃琦、陳光誠、浦志強、譚作人、趙連海等，這些名字大家已經耳熟能詳，也經常在新聞中聽到，他們的境況如何？今天仍然受到中國的打壓。</w:t>
      </w:r>
    </w:p>
    <w:p>
      <w:pPr>
        <w:pStyle w:val="F21"/>
        <w:overflowPunct w:val="true"/>
        <w:rPr/>
      </w:pPr>
      <w:r>
        <w:rPr/>
      </w:r>
    </w:p>
    <w:p>
      <w:pPr>
        <w:pStyle w:val="F21"/>
        <w:rPr/>
      </w:pPr>
      <w:r>
        <w:rPr/>
      </w:r>
    </w:p>
    <w:p>
      <w:pPr>
        <w:pStyle w:val="F21"/>
        <w:rPr/>
      </w:pPr>
      <w:r>
        <w:rPr/>
        <w:t>(</w:t>
      </w:r>
      <w:r>
        <w:rPr/>
        <w:t>代理主席李慧琼議員代為主持會議</w:t>
      </w:r>
      <w:r>
        <w:rPr/>
        <w:t>)</w:t>
      </w:r>
    </w:p>
    <w:p>
      <w:pPr>
        <w:pStyle w:val="F21"/>
        <w:rPr/>
      </w:pPr>
      <w:r>
        <w:rPr/>
      </w:r>
    </w:p>
    <w:p>
      <w:pPr>
        <w:pStyle w:val="F21"/>
        <w:overflowPunct w:val="true"/>
        <w:rPr/>
      </w:pPr>
      <w:r>
        <w:rPr/>
      </w:r>
    </w:p>
    <w:p>
      <w:pPr>
        <w:pStyle w:val="F21"/>
        <w:overflowPunct w:val="true"/>
        <w:rPr/>
      </w:pPr>
      <w:r>
        <w:rPr/>
        <w:tab/>
      </w:r>
      <w:r>
        <w:rPr/>
        <w:t>時間所限，代理主席，最後我想表達一下心情。剛才也有同事提到，香港市民支援愛國民主運動聯合會在香港默默地做了支援民運工作多年，香港也是中國土地上唯一一個可以舉行公開的大型集會，悼念六四屠城事件和死難者的地方，每年透過數以十萬計的燭光向六四英魂致祭。我認為香港人有道德責任，為無論已離世或現正在國內受極權打壓或在獄中受苦的朋友發聲。</w:t>
      </w:r>
    </w:p>
    <w:p>
      <w:pPr>
        <w:pStyle w:val="F21"/>
        <w:overflowPunct w:val="true"/>
        <w:rPr/>
      </w:pPr>
      <w:r>
        <w:rPr/>
      </w:r>
    </w:p>
    <w:p>
      <w:pPr>
        <w:pStyle w:val="F21"/>
        <w:overflowPunct w:val="true"/>
        <w:rPr/>
      </w:pPr>
      <w:r>
        <w:rPr/>
        <w:tab/>
      </w:r>
      <w:r>
        <w:rPr/>
        <w:t>今年是六四</w:t>
      </w:r>
      <w:r>
        <w:rPr/>
        <w:t>30</w:t>
      </w:r>
      <w:r>
        <w:rPr/>
        <w:t>周年，我認為我們要繼續說，每年也繼續說，而不是像剛才一些同事所說般已經過了那麼多年，不要再說了。這些同胞在國內受苦的狀況每天都在發生，我們不能容許中共政權令中國繼續沉淪下去。在我們看見</w:t>
      </w:r>
      <w:r>
        <w:rPr/>
        <w:t>"</w:t>
      </w:r>
      <w:r>
        <w:rPr/>
        <w:t>平反八九民運，追究屠城責任，結束一黨專政，建設民主中國</w:t>
      </w:r>
      <w:r>
        <w:rPr/>
        <w:t>"</w:t>
      </w:r>
      <w:r>
        <w:rPr/>
        <w:t>的到來之前，我們仍須為廣大的人民發聲。</w:t>
      </w:r>
    </w:p>
    <w:p>
      <w:pPr>
        <w:pStyle w:val="F21"/>
        <w:overflowPunct w:val="true"/>
        <w:rPr/>
      </w:pPr>
      <w:r>
        <w:rPr/>
      </w:r>
    </w:p>
    <w:p>
      <w:pPr>
        <w:pStyle w:val="F21"/>
        <w:overflowPunct w:val="true"/>
        <w:rPr>
          <w:szCs w:val="27"/>
        </w:rPr>
      </w:pPr>
      <w:r>
        <w:rPr/>
        <w:tab/>
      </w:r>
      <w:r>
        <w:rPr/>
        <w:t>代理主席，我謹此陳辭。</w:t>
      </w:r>
      <w:r>
        <w:br w:type="page"/>
      </w:r>
    </w:p>
    <w:p>
      <w:pPr>
        <w:pStyle w:val="F21"/>
        <w:tabs>
          <w:tab w:val="clear" w:pos="567"/>
          <w:tab w:val="left" w:pos="720" w:leader="none"/>
        </w:tabs>
        <w:overflowPunct w:val="true"/>
        <w:spacing w:lineRule="atLeast" w:line="370"/>
        <w:rPr/>
      </w:pPr>
      <w:r>
        <w:rPr>
          <w:rFonts w:eastAsia="華康中黑體"/>
          <w:b/>
        </w:rPr>
        <w:t>葉建源議員</w:t>
      </w:r>
      <w:r>
        <w:rPr/>
        <w:t>：代理主席，今年是</w:t>
      </w:r>
      <w:r>
        <w:rPr/>
        <w:t>2019</w:t>
      </w:r>
      <w:r>
        <w:rPr/>
        <w:t>年，當我們看看今年的年曆表，便會發現今年是充滿歷史感的年份，適逢五四</w:t>
      </w:r>
      <w:r>
        <w:rPr/>
        <w:t>100</w:t>
      </w:r>
      <w:r>
        <w:rPr/>
        <w:t>周年、六四</w:t>
      </w:r>
      <w:r>
        <w:rPr/>
        <w:t>30</w:t>
      </w:r>
      <w:r>
        <w:rPr/>
        <w:t>周年和立國</w:t>
      </w:r>
      <w:r>
        <w:rPr/>
        <w:t>70</w:t>
      </w:r>
      <w:r>
        <w:rPr/>
        <w:t>周年。這些事情互相牽引，互相影響，濃烈的歷史感全在今年出現。有人認為中國歷史逢</w:t>
      </w:r>
      <w:r>
        <w:rPr/>
        <w:t>"</w:t>
      </w:r>
      <w:r>
        <w:rPr/>
        <w:t>九</w:t>
      </w:r>
      <w:r>
        <w:rPr/>
        <w:t>"</w:t>
      </w:r>
      <w:r>
        <w:rPr/>
        <w:t>必有大變，無論如何，今年與中國歷史尤其是近代歷史息息相關。</w:t>
      </w:r>
    </w:p>
    <w:p>
      <w:pPr>
        <w:pStyle w:val="F21"/>
        <w:overflowPunct w:val="true"/>
        <w:spacing w:lineRule="atLeast" w:line="370"/>
        <w:rPr/>
      </w:pPr>
      <w:r>
        <w:rPr/>
      </w:r>
    </w:p>
    <w:p>
      <w:pPr>
        <w:pStyle w:val="F21"/>
        <w:overflowPunct w:val="true"/>
        <w:spacing w:lineRule="atLeast" w:line="370"/>
        <w:rPr/>
      </w:pPr>
      <w:r>
        <w:rPr/>
        <w:tab/>
      </w:r>
      <w:r>
        <w:rPr/>
        <w:t>代理主席，今天是</w:t>
      </w:r>
      <w:r>
        <w:rPr/>
        <w:t>4</w:t>
      </w:r>
      <w:r>
        <w:rPr/>
        <w:t>月</w:t>
      </w:r>
      <w:r>
        <w:rPr/>
        <w:t>3</w:t>
      </w:r>
      <w:r>
        <w:rPr/>
        <w:t>日，剛好還有</w:t>
      </w:r>
      <w:r>
        <w:rPr/>
        <w:t>1</w:t>
      </w:r>
      <w:r>
        <w:rPr/>
        <w:t>個月零</w:t>
      </w:r>
      <w:r>
        <w:rPr/>
        <w:t>1</w:t>
      </w:r>
      <w:r>
        <w:rPr/>
        <w:t>天便是五四</w:t>
      </w:r>
      <w:r>
        <w:rPr/>
        <w:t>100</w:t>
      </w:r>
      <w:r>
        <w:rPr/>
        <w:t>周年。當年的巴黎和會及</w:t>
      </w:r>
      <w:r>
        <w:rPr/>
        <w:t>"</w:t>
      </w:r>
      <w:r>
        <w:rPr/>
        <w:t>二十一條條款</w:t>
      </w:r>
      <w:r>
        <w:rPr/>
        <w:t>"</w:t>
      </w:r>
      <w:r>
        <w:rPr/>
        <w:t>喪權辱國，令很多中國青年和大學生奮起。當時這場非常澎湃的五四運動成就了白話文、釋放了很多婦女，並開啟了現代思潮，令現代中國逐漸成型。民主和科學的理想鼓舞着一代又一代的青年人，包括在五四</w:t>
      </w:r>
      <w:r>
        <w:rPr/>
        <w:t>70</w:t>
      </w:r>
      <w:r>
        <w:rPr/>
        <w:t>周年的</w:t>
      </w:r>
      <w:r>
        <w:rPr/>
        <w:t>1989</w:t>
      </w:r>
      <w:r>
        <w:rPr/>
        <w:t>年導致六四的發生。</w:t>
      </w:r>
    </w:p>
    <w:p>
      <w:pPr>
        <w:pStyle w:val="F21"/>
        <w:overflowPunct w:val="true"/>
        <w:spacing w:lineRule="atLeast" w:line="370"/>
        <w:rPr/>
      </w:pPr>
      <w:r>
        <w:rPr/>
      </w:r>
    </w:p>
    <w:p>
      <w:pPr>
        <w:pStyle w:val="F21"/>
        <w:overflowPunct w:val="true"/>
        <w:spacing w:lineRule="atLeast" w:line="370"/>
        <w:rPr/>
      </w:pPr>
      <w:r>
        <w:rPr/>
        <w:tab/>
      </w:r>
      <w:r>
        <w:rPr/>
        <w:t>當我們在六四</w:t>
      </w:r>
      <w:r>
        <w:rPr/>
        <w:t>30</w:t>
      </w:r>
      <w:r>
        <w:rPr/>
        <w:t>周年回顧時，可以將視野擴展至更長的歷史。代理主席，</w:t>
      </w:r>
      <w:r>
        <w:rPr/>
        <w:t>30</w:t>
      </w:r>
      <w:r>
        <w:rPr/>
        <w:t>年前的六四令香港人心沸騰。當時我們雖然身處香港，但很多人也關心在北京發生的所有事情，包括反貪污、反官倒、求民主。我們看到北京當地的學生和市民集會、遊行，大家有顆如同手足的心，追求五四以來未能完成的夢想，而我們在香港也看到市民一次又一次參與百萬人大遊行或是在</w:t>
      </w:r>
      <w:r>
        <w:rPr/>
        <w:t>8</w:t>
      </w:r>
      <w:r>
        <w:rPr/>
        <w:t>號風球下的集會。香港人每晚追看長篇電視新聞，想了解在北京發生的事。在</w:t>
      </w:r>
      <w:r>
        <w:rPr/>
        <w:t>30</w:t>
      </w:r>
      <w:r>
        <w:rPr/>
        <w:t>年前的</w:t>
      </w:r>
      <w:r>
        <w:rPr/>
        <w:t>6</w:t>
      </w:r>
      <w:r>
        <w:rPr/>
        <w:t>月</w:t>
      </w:r>
      <w:r>
        <w:rPr/>
        <w:t>3</w:t>
      </w:r>
      <w:r>
        <w:rPr/>
        <w:t>日深夜至</w:t>
      </w:r>
      <w:r>
        <w:rPr/>
        <w:t>6</w:t>
      </w:r>
      <w:r>
        <w:rPr/>
        <w:t>月</w:t>
      </w:r>
      <w:r>
        <w:rPr/>
        <w:t>4</w:t>
      </w:r>
      <w:r>
        <w:rPr/>
        <w:t>日凌晨，很多香港人無法入睡，在黑夜中流下眼淚，因為北京發生了血腥鎮壓。</w:t>
      </w:r>
    </w:p>
    <w:p>
      <w:pPr>
        <w:pStyle w:val="F21"/>
        <w:overflowPunct w:val="true"/>
        <w:spacing w:lineRule="atLeast" w:line="370"/>
        <w:rPr/>
      </w:pPr>
      <w:r>
        <w:rPr/>
      </w:r>
    </w:p>
    <w:p>
      <w:pPr>
        <w:pStyle w:val="F21"/>
        <w:overflowPunct w:val="true"/>
        <w:spacing w:lineRule="atLeast" w:line="370"/>
        <w:rPr/>
      </w:pPr>
      <w:r>
        <w:rPr/>
        <w:tab/>
      </w:r>
      <w:r>
        <w:rPr/>
        <w:t>毫無疑問，六四是香港人最大規模亦最長久的集體記憶。在</w:t>
      </w:r>
      <w:r>
        <w:rPr/>
        <w:t>30</w:t>
      </w:r>
      <w:r>
        <w:rPr/>
        <w:t>年前，不分左、中、右，亦不分民主派或建制派，大家曾有過儘管十分短暫但卻是最大規模的共識，就是譴責北京當局血腥屠城，以及追求民主的理想。我們每個人的腦海也有一個烙印，令維園每年也有數以十萬計的市民參加歷久不衰的燭光集會。這個燭光集會是全世界華人社會當中唯一大規模紀念六四的自由集會，我們多次在狂風驟雨中捍衞着無數的點點燭光，既哀傷，又自豪。我們明明白白地向世界宣布，我們沒有忘記歷史，亦沒有拋棄良知和希望。</w:t>
      </w:r>
    </w:p>
    <w:p>
      <w:pPr>
        <w:pStyle w:val="F21"/>
        <w:overflowPunct w:val="true"/>
        <w:spacing w:lineRule="atLeast" w:line="370"/>
        <w:rPr/>
      </w:pPr>
      <w:r>
        <w:rPr/>
      </w:r>
    </w:p>
    <w:p>
      <w:pPr>
        <w:pStyle w:val="F21"/>
        <w:overflowPunct w:val="true"/>
        <w:spacing w:lineRule="atLeast" w:line="370"/>
        <w:rPr/>
      </w:pPr>
      <w:r>
        <w:rPr/>
        <w:tab/>
      </w:r>
      <w:r>
        <w:rPr/>
        <w:t>回顧歷史，六四的夢想其實即是五四的夢想，而且仍然是今天的夢想，我們均夢想民主和科學可以在中華大地上扎根。直到今天，民主的夢想在中華大地依然遙遠，近數年更有不斷收緊的跡象，種種冤案令大家非常焦灼。</w:t>
      </w:r>
    </w:p>
    <w:p>
      <w:pPr>
        <w:pStyle w:val="Normal"/>
        <w:widowControl/>
        <w:tabs>
          <w:tab w:val="clear" w:pos="720"/>
        </w:tabs>
        <w:snapToGrid w:val="true"/>
        <w:spacing w:lineRule="auto" w:line="276" w:before="0" w:after="200"/>
        <w:jc w:val="left"/>
        <w:rPr>
          <w:rFonts w:cs="" w:cstheme="minorBidi"/>
          <w:spacing w:val="20"/>
          <w:sz w:val="27"/>
          <w:szCs w:val="22"/>
          <w:lang w:val="en-US"/>
        </w:rPr>
      </w:pPr>
      <w:r>
        <w:rPr>
          <w:rFonts w:cs="" w:cstheme="minorBidi"/>
          <w:spacing w:val="20"/>
          <w:sz w:val="27"/>
          <w:szCs w:val="22"/>
          <w:lang w:val="en-US"/>
        </w:rPr>
      </w:r>
      <w:r>
        <w:br w:type="page"/>
      </w:r>
    </w:p>
    <w:p>
      <w:pPr>
        <w:pStyle w:val="F21"/>
        <w:overflowPunct w:val="true"/>
        <w:rPr/>
      </w:pPr>
      <w:r>
        <w:rPr/>
        <w:tab/>
      </w:r>
      <w:r>
        <w:rPr/>
        <w:t>毫無疑問，國力正在提升中，但我們也希望人民可以擁有民主和自由。作為香港市民，我們亦不應忘記。我們會繼續記着六四和歷史，並記着這不單是中國的歷史，實際上亦是香港的歷史。</w:t>
      </w:r>
    </w:p>
    <w:p>
      <w:pPr>
        <w:pStyle w:val="F21"/>
        <w:overflowPunct w:val="true"/>
        <w:rPr/>
      </w:pPr>
      <w:r>
        <w:rPr/>
      </w:r>
    </w:p>
    <w:p>
      <w:pPr>
        <w:pStyle w:val="F21"/>
        <w:overflowPunct w:val="true"/>
        <w:rPr>
          <w:szCs w:val="27"/>
        </w:rPr>
      </w:pPr>
      <w:r>
        <w:rPr/>
        <w:tab/>
      </w:r>
      <w:r>
        <w:rPr/>
        <w:t>我呼籲更多香港人特別是年青人到維園參加燭光晚會，它彰顯了我們對民主</w:t>
      </w:r>
      <w:r>
        <w:rPr>
          <w:szCs w:val="27"/>
        </w:rPr>
        <w:t>和</w:t>
      </w:r>
      <w:r>
        <w:rPr/>
        <w:t>自由的重視和堅持。我希望香港的年青人可以花更多時間了解歷史，了解六四和五四的漫長歷史。我亦呼籲香港市民繼續堅持對民主</w:t>
      </w:r>
      <w:r>
        <w:rPr>
          <w:szCs w:val="27"/>
        </w:rPr>
        <w:t>和</w:t>
      </w:r>
      <w:r>
        <w:rPr/>
        <w:t>自由的重視，而面對香港近年的各種困難，例如</w:t>
      </w:r>
      <w:r>
        <w:rPr>
          <w:szCs w:val="27"/>
        </w:rPr>
        <w:t>《逃犯條例》對自由帶來的威脅等，我認為我們必須以同樣精神捍衞，從而彰顯我們對這些自由的珍惜，這樣香港才會有希望。</w:t>
      </w:r>
    </w:p>
    <w:p>
      <w:pPr>
        <w:pStyle w:val="F21"/>
        <w:overflowPunct w:val="true"/>
        <w:rPr>
          <w:szCs w:val="27"/>
        </w:rPr>
      </w:pPr>
      <w:r>
        <w:rPr>
          <w:szCs w:val="27"/>
        </w:rPr>
      </w:r>
    </w:p>
    <w:p>
      <w:pPr>
        <w:pStyle w:val="F21"/>
        <w:overflowPunct w:val="true"/>
        <w:rPr>
          <w:szCs w:val="27"/>
        </w:rPr>
      </w:pPr>
      <w:r>
        <w:rPr>
          <w:szCs w:val="27"/>
        </w:rPr>
        <w:tab/>
      </w:r>
      <w:r>
        <w:rPr>
          <w:szCs w:val="27"/>
        </w:rPr>
        <w:t>我也很希望我們今天可以與</w:t>
      </w:r>
      <w:r>
        <w:rPr>
          <w:szCs w:val="27"/>
        </w:rPr>
        <w:t>30</w:t>
      </w:r>
      <w:r>
        <w:rPr>
          <w:szCs w:val="27"/>
        </w:rPr>
        <w:t>年前一樣，不分左、中、右，亦不分民主派或建制派，大家仍然對香港的民主和自由抱着一定的堅持，並繼續爭取下去。</w:t>
      </w:r>
    </w:p>
    <w:p>
      <w:pPr>
        <w:pStyle w:val="F21"/>
        <w:overflowPunct w:val="true"/>
        <w:rPr>
          <w:szCs w:val="27"/>
        </w:rPr>
      </w:pPr>
      <w:r>
        <w:rPr>
          <w:szCs w:val="27"/>
        </w:rPr>
      </w:r>
    </w:p>
    <w:p>
      <w:pPr>
        <w:pStyle w:val="F21"/>
        <w:overflowPunct w:val="true"/>
        <w:rPr>
          <w:szCs w:val="26"/>
        </w:rPr>
      </w:pPr>
      <w:r>
        <w:rPr>
          <w:szCs w:val="27"/>
        </w:rPr>
        <w:tab/>
      </w:r>
      <w:r>
        <w:rPr>
          <w:szCs w:val="27"/>
        </w:rPr>
        <w:t>我謹此陳辭，支持今天的</w:t>
      </w:r>
      <w:r>
        <w:rPr>
          <w:szCs w:val="27"/>
        </w:rPr>
        <w:t>"</w:t>
      </w:r>
      <w:r>
        <w:rPr>
          <w:szCs w:val="27"/>
        </w:rPr>
        <w:t>毋忘六四</w:t>
      </w:r>
      <w:r>
        <w:rPr>
          <w:szCs w:val="27"/>
        </w:rPr>
        <w:t>"</w:t>
      </w:r>
      <w:r>
        <w:rPr>
          <w:szCs w:val="27"/>
        </w:rPr>
        <w:t>議案。</w:t>
      </w:r>
    </w:p>
    <w:p>
      <w:pPr>
        <w:pStyle w:val="F21"/>
        <w:overflowPunct w:val="true"/>
        <w:rPr>
          <w:szCs w:val="27"/>
        </w:rPr>
      </w:pPr>
      <w:r>
        <w:rPr>
          <w:szCs w:val="27"/>
        </w:rPr>
      </w:r>
    </w:p>
    <w:p>
      <w:pPr>
        <w:pStyle w:val="F21"/>
        <w:overflowPunct w:val="true"/>
        <w:rPr>
          <w:rFonts w:cs="Times New Roman"/>
        </w:rPr>
      </w:pPr>
      <w:r>
        <w:rPr>
          <w:rFonts w:cs="Times New Roman"/>
        </w:rPr>
      </w:r>
    </w:p>
    <w:p>
      <w:pPr>
        <w:pStyle w:val="F21"/>
        <w:overflowPunct w:val="true"/>
        <w:rPr/>
      </w:pPr>
      <w:r>
        <w:rPr>
          <w:rFonts w:eastAsia="華康中黑體"/>
          <w:b/>
          <w:szCs w:val="27"/>
        </w:rPr>
        <w:t>譚文豪議員</w:t>
      </w:r>
      <w:r>
        <w:rPr/>
        <w:t>：代理主席，今年是八九民運、六四鎮壓</w:t>
      </w:r>
      <w:r>
        <w:rPr/>
        <w:t>30</w:t>
      </w:r>
      <w:r>
        <w:rPr/>
        <w:t>周年，中國人民多年來拒絕遺忘這段歷史。最令人肅然起敬的是在大陸高壓政治的環境下，仍然勇敢站出來說良心話的人，包括</w:t>
      </w:r>
      <w:r>
        <w:rPr/>
        <w:t>"</w:t>
      </w:r>
      <w:r>
        <w:rPr/>
        <w:t>六四酒案</w:t>
      </w:r>
      <w:r>
        <w:rPr/>
        <w:t>"</w:t>
      </w:r>
      <w:r>
        <w:rPr/>
        <w:t>中被拘押</w:t>
      </w:r>
      <w:r>
        <w:rPr/>
        <w:t>3</w:t>
      </w:r>
      <w:r>
        <w:rPr/>
        <w:t>年、現正面臨判刑的</w:t>
      </w:r>
      <w:r>
        <w:rPr/>
        <w:t>4</w:t>
      </w:r>
      <w:r>
        <w:rPr/>
        <w:t>個人。這</w:t>
      </w:r>
      <w:r>
        <w:rPr/>
        <w:t>4</w:t>
      </w:r>
      <w:r>
        <w:rPr/>
        <w:t>個人拒絕遺忘這段歷史，但中共卻要他們遺忘。我們要做的，便是守護這段記憶。</w:t>
      </w:r>
    </w:p>
    <w:p>
      <w:pPr>
        <w:pStyle w:val="F21"/>
        <w:overflowPunct w:val="true"/>
        <w:rPr/>
      </w:pPr>
      <w:r>
        <w:rPr/>
      </w:r>
    </w:p>
    <w:p>
      <w:pPr>
        <w:pStyle w:val="F21"/>
        <w:overflowPunct w:val="true"/>
        <w:rPr/>
      </w:pPr>
      <w:r>
        <w:rPr/>
        <w:tab/>
      </w:r>
      <w:r>
        <w:rPr/>
        <w:t>故事是這樣的：在四川成都有</w:t>
      </w:r>
      <w:r>
        <w:rPr/>
        <w:t>4</w:t>
      </w:r>
      <w:r>
        <w:rPr/>
        <w:t>位朋友因為釀造了一批白酒，而被控煽動顛覆國家政權罪，未經審訊便被刑事拘留了超過</w:t>
      </w:r>
      <w:r>
        <w:rPr/>
        <w:t>1 000</w:t>
      </w:r>
      <w:r>
        <w:rPr/>
        <w:t>天。在</w:t>
      </w:r>
      <w:r>
        <w:rPr/>
        <w:t>2016</w:t>
      </w:r>
      <w:r>
        <w:rPr/>
        <w:t>年</w:t>
      </w:r>
      <w:r>
        <w:rPr/>
        <w:t>5</w:t>
      </w:r>
      <w:r>
        <w:rPr/>
        <w:t>月，為了紀念六四事件</w:t>
      </w:r>
      <w:r>
        <w:rPr/>
        <w:t>27</w:t>
      </w:r>
      <w:r>
        <w:rPr/>
        <w:t>周年，符海陸、張雋勇、羅富譽及陳兵</w:t>
      </w:r>
      <w:r>
        <w:rPr/>
        <w:t>4</w:t>
      </w:r>
      <w:r>
        <w:rPr/>
        <w:t>人釀製白酒後起名為</w:t>
      </w:r>
      <w:r>
        <w:rPr/>
        <w:t>"</w:t>
      </w:r>
      <w:r>
        <w:rPr/>
        <w:t>銘記八酒六四</w:t>
      </w:r>
      <w:r>
        <w:rPr/>
        <w:t>"</w:t>
      </w:r>
      <w:r>
        <w:rPr/>
        <w:t>，取其諧音</w:t>
      </w:r>
      <w:r>
        <w:rPr/>
        <w:t>"</w:t>
      </w:r>
      <w:r>
        <w:rPr/>
        <w:t>銘記八九六四</w:t>
      </w:r>
      <w:r>
        <w:rPr/>
        <w:t>"</w:t>
      </w:r>
      <w:r>
        <w:rPr/>
        <w:t>。他們也設計了貼在酒瓶上的標籤，就是我手上的黃色的標籤上，除了酒名</w:t>
      </w:r>
      <w:r>
        <w:rPr/>
        <w:t>"</w:t>
      </w:r>
      <w:r>
        <w:rPr/>
        <w:t>銘記八酒六四</w:t>
      </w:r>
      <w:r>
        <w:rPr/>
        <w:t>"</w:t>
      </w:r>
      <w:r>
        <w:rPr/>
        <w:t>外，還有坦克車及</w:t>
      </w:r>
      <w:r>
        <w:rPr/>
        <w:t>"</w:t>
      </w:r>
      <w:r>
        <w:rPr/>
        <w:t>坦克人</w:t>
      </w:r>
      <w:r>
        <w:rPr/>
        <w:t>"</w:t>
      </w:r>
      <w:r>
        <w:rPr/>
        <w:t>王維林在長安街上阻止坦克車和軍隊前進的卡通圖片。他們在互聯網上發布宣傳這瓶紀念酒的信息，以每瓶</w:t>
      </w:r>
      <w:r>
        <w:rPr/>
        <w:t>89.64</w:t>
      </w:r>
      <w:r>
        <w:rPr/>
        <w:t>元人民幣在網上發售。他們因為這張標籤被捕，被捕時只售出了數十瓶酒。如果以香港的標準衡量，這張標籤只能說是諷刺時弊。在民主社會，我不明白為何會單單因為這張標籤被控顛覆國家政權罪。</w:t>
      </w:r>
    </w:p>
    <w:p>
      <w:pPr>
        <w:pStyle w:val="F21"/>
        <w:overflowPunct w:val="true"/>
        <w:rPr/>
      </w:pPr>
      <w:r>
        <w:rPr/>
      </w:r>
    </w:p>
    <w:p>
      <w:pPr>
        <w:pStyle w:val="F21"/>
        <w:overflowPunct w:val="true"/>
        <w:rPr/>
      </w:pPr>
      <w:r>
        <w:rPr/>
        <w:tab/>
      </w:r>
      <w:r>
        <w:rPr/>
        <w:t>符海陸等</w:t>
      </w:r>
      <w:r>
        <w:rPr/>
        <w:t>4</w:t>
      </w:r>
      <w:r>
        <w:rPr/>
        <w:t>人的案件拖延至</w:t>
      </w:r>
      <w:r>
        <w:rPr/>
        <w:t>4</w:t>
      </w:r>
      <w:r>
        <w:rPr/>
        <w:t>月</w:t>
      </w:r>
      <w:r>
        <w:rPr/>
        <w:t>1</w:t>
      </w:r>
      <w:r>
        <w:rPr/>
        <w:t>日才正式開審，雖然符海陸出庭前被改控較輕的尋釁滋事罪，但仍然被判處入獄</w:t>
      </w:r>
      <w:r>
        <w:rPr/>
        <w:t>3</w:t>
      </w:r>
      <w:r>
        <w:rPr/>
        <w:t>年，緩刑</w:t>
      </w:r>
      <w:r>
        <w:rPr/>
        <w:t>5</w:t>
      </w:r>
      <w:r>
        <w:rPr/>
        <w:t>年，另外</w:t>
      </w:r>
      <w:r>
        <w:rPr/>
        <w:t>3</w:t>
      </w:r>
      <w:r>
        <w:rPr/>
        <w:t>人則繼續等待受審。中共以這種手段來打壓這麼和平、卑微的行為，其實政權是否真的如此容易被動搖呢？如果數張標籤便可以動搖一個政權的話，那麼這個政權真的很脆弱。</w:t>
      </w:r>
    </w:p>
    <w:p>
      <w:pPr>
        <w:pStyle w:val="F21"/>
        <w:overflowPunct w:val="true"/>
        <w:rPr/>
      </w:pPr>
      <w:r>
        <w:rPr/>
      </w:r>
    </w:p>
    <w:p>
      <w:pPr>
        <w:pStyle w:val="F21"/>
        <w:overflowPunct w:val="true"/>
        <w:rPr/>
      </w:pPr>
      <w:r>
        <w:rPr/>
        <w:tab/>
      </w:r>
      <w:r>
        <w:rPr/>
        <w:t>如果我們認真觀察他們製作的這張標籤，其實可以看到他們的創意。不過，無論構圖或造工，這個標籤其實頗為粗製濫造。我這樣說絕不是取笑他們，反而，這種粗糙的造工反映出他們在力所能及的範圍內，選擇以最貼近內心的方式，而非以花巧的設計，來向六四死難者聊表心意。我們的腦海中甚至不期然浮現一個畫面：他們在成都某間網吧內使用座檯式電腦左併右砌，才製作出這張標籤。對這麼卑微的行為，中共的應對方法卻是刻意製造恐怖。</w:t>
      </w:r>
    </w:p>
    <w:p>
      <w:pPr>
        <w:pStyle w:val="F21"/>
        <w:overflowPunct w:val="true"/>
        <w:rPr/>
      </w:pPr>
      <w:r>
        <w:rPr/>
      </w:r>
    </w:p>
    <w:p>
      <w:pPr>
        <w:pStyle w:val="F21"/>
        <w:overflowPunct w:val="true"/>
        <w:rPr/>
      </w:pPr>
      <w:r>
        <w:rPr/>
        <w:tab/>
      </w:r>
      <w:r>
        <w:rPr/>
        <w:t>其實最恐怖之處是甚麼？並非判監</w:t>
      </w:r>
      <w:r>
        <w:rPr/>
        <w:t>3</w:t>
      </w:r>
      <w:r>
        <w:rPr/>
        <w:t>年，而是拘押他們</w:t>
      </w:r>
      <w:r>
        <w:rPr/>
        <w:t>1 000</w:t>
      </w:r>
      <w:r>
        <w:rPr/>
        <w:t>天卻不審訊。他們不知究竟會被拘押多久，會否被拘押一輩子，這種痛苦其實極度煎熬。煎熬亦包括時而燃起，時而熄滅的希望。符海陸的妻子劉天艷近日發表聲明，充分反映這種痛苦和絕望，她說：</w:t>
      </w:r>
      <w:r>
        <w:rPr/>
        <w:t>"</w:t>
      </w:r>
      <w:r>
        <w:rPr/>
        <w:t>這一‍千多天日日夜夜，妻子見不到丈夫，孩子見不到父親，母親見不到兒子。在這</w:t>
      </w:r>
      <w:r>
        <w:rPr/>
        <w:t>20</w:t>
      </w:r>
      <w:r>
        <w:rPr/>
        <w:t>多公里的距離裏，我們往返無期。飽受案子被無理延期的煎熬，每次抱着希望出門，帶着失望而歸，再次抱着希望出門，帶着失落而歸。希望從此伴着夢遊而出，在夢醒之後帶着淚水而歸。《刑事訴訟法》裏明明說的是法院受理案件後兩個月內就要宣判，卻因為案件牽涉</w:t>
      </w:r>
      <w:r>
        <w:rPr/>
        <w:t>'</w:t>
      </w:r>
      <w:r>
        <w:rPr/>
        <w:t>六四</w:t>
      </w:r>
      <w:r>
        <w:rPr/>
        <w:t>'</w:t>
      </w:r>
      <w:r>
        <w:rPr/>
        <w:t>這一敏感事件，就讓我們在一扇門的黑暗裏盼望而無希望的苟活着</w:t>
      </w:r>
      <w:r>
        <w:rPr/>
        <w:t>"</w:t>
      </w:r>
      <w:r>
        <w:rPr/>
        <w:t>。其實這</w:t>
      </w:r>
      <w:r>
        <w:rPr/>
        <w:t>4</w:t>
      </w:r>
      <w:r>
        <w:rPr/>
        <w:t>個人只是拒絕遺忘這段歷史，但中共卻要他們遺忘，就是這麼簡單的事。</w:t>
      </w:r>
    </w:p>
    <w:p>
      <w:pPr>
        <w:pStyle w:val="F21"/>
        <w:overflowPunct w:val="true"/>
        <w:rPr/>
      </w:pPr>
      <w:r>
        <w:rPr/>
      </w:r>
    </w:p>
    <w:p>
      <w:pPr>
        <w:pStyle w:val="F21"/>
        <w:overflowPunct w:val="true"/>
        <w:rPr/>
      </w:pPr>
      <w:r>
        <w:rPr/>
        <w:tab/>
        <w:t>"</w:t>
      </w:r>
      <w:r>
        <w:rPr/>
        <w:t>八九民運，六四鎮壓</w:t>
      </w:r>
      <w:r>
        <w:rPr/>
        <w:t>"</w:t>
      </w:r>
      <w:r>
        <w:rPr/>
        <w:t>至今已經</w:t>
      </w:r>
      <w:r>
        <w:rPr/>
        <w:t>30</w:t>
      </w:r>
      <w:r>
        <w:rPr/>
        <w:t>年，很多親歷其境的人今天可能已經不在人世，很多六四事件罹難者的家屬或許未能活着等到六四平反的一天，而很多沒有親歷其境的人也將不把六四當作一回事。但我們相信，無論活着或已經逝去的人，將會永遠拒絕遺忘六四，直至正義來臨的一天。</w:t>
      </w:r>
    </w:p>
    <w:p>
      <w:pPr>
        <w:pStyle w:val="F21"/>
        <w:overflowPunct w:val="true"/>
        <w:rPr/>
      </w:pPr>
      <w:r>
        <w:rPr/>
      </w:r>
    </w:p>
    <w:p>
      <w:pPr>
        <w:pStyle w:val="F21"/>
        <w:overflowPunct w:val="true"/>
        <w:rPr/>
      </w:pPr>
      <w:r>
        <w:rPr/>
        <w:tab/>
      </w:r>
      <w:r>
        <w:rPr/>
        <w:t>我謹此陳辭。</w:t>
      </w:r>
    </w:p>
    <w:p>
      <w:pPr>
        <w:pStyle w:val="F21"/>
        <w:overflowPunct w:val="true"/>
        <w:rPr>
          <w:rFonts w:cs="Times New Roman"/>
        </w:rPr>
      </w:pPr>
      <w:r>
        <w:rPr>
          <w:rFonts w:cs="Times New Roman"/>
        </w:rPr>
      </w:r>
    </w:p>
    <w:p>
      <w:pPr>
        <w:pStyle w:val="F21"/>
        <w:overflowPunct w:val="true"/>
        <w:rPr>
          <w:rFonts w:cs="Times New Roman"/>
        </w:rPr>
      </w:pPr>
      <w:r>
        <w:rPr>
          <w:rFonts w:cs="Times New Roman"/>
        </w:rPr>
      </w:r>
    </w:p>
    <w:p>
      <w:pPr>
        <w:pStyle w:val="F21"/>
        <w:overflowPunct w:val="true"/>
        <w:rPr/>
      </w:pPr>
      <w:r>
        <w:rPr>
          <w:rFonts w:eastAsia="華康中黑體"/>
          <w:b/>
          <w:szCs w:val="27"/>
        </w:rPr>
        <w:t>莫乃光議員</w:t>
      </w:r>
      <w:r>
        <w:rPr/>
        <w:t>：代理主席，我剛才向</w:t>
      </w:r>
      <w:r>
        <w:rPr>
          <w:szCs w:val="27"/>
        </w:rPr>
        <w:t>胡志偉議員借來</w:t>
      </w:r>
      <w:r>
        <w:rPr/>
        <w:t>這本名為《八九中國民運報章廣告專輯》的刊物，我翻看後，覺得當中有數則廣告值得在此與大家重溫。我想讀出的第一則廣告寫道：</w:t>
      </w:r>
      <w:r>
        <w:rPr/>
        <w:t>"</w:t>
      </w:r>
      <w:r>
        <w:rPr/>
        <w:t>悲憤填胸禱中華　我們篤信自由、平等、公義、和平，是神賦予人類每一位的基本人權，亦因這樣，人才能夠有尊嚴地生活。我們對於中國政府在</w:t>
      </w:r>
      <w:r>
        <w:rPr/>
        <w:t>1989</w:t>
      </w:r>
      <w:r>
        <w:rPr/>
        <w:t>年</w:t>
      </w:r>
      <w:r>
        <w:rPr/>
        <w:t>6</w:t>
      </w:r>
      <w:r>
        <w:rPr/>
        <w:t>月</w:t>
      </w:r>
      <w:r>
        <w:rPr/>
        <w:t>3</w:t>
      </w:r>
      <w:r>
        <w:rPr/>
        <w:t>日和</w:t>
      </w:r>
      <w:r>
        <w:rPr/>
        <w:t>4</w:t>
      </w:r>
      <w:r>
        <w:rPr/>
        <w:t>日，在北京天安門的殘酷、冷血、暴力屠殺手無寸鐵的和平示威學生、市民，感到強烈悲痛和憤慨。我們強烈要求中國政府和軍隊，立刻停止一切不合理的、不人道的、不合法的逮捕、打擊和殘殺行為。我們呼籲每一位基督徒勇敢的站起來，為爭取自由、平等、公義、和平而努力，與全港市民、全中國人民站在一起。我們呼籲不論形勢如何發展，仍必須堅守非暴力鬥爭的原則，因為我們的行動是本於愛，而不是基於恨。</w:t>
      </w:r>
      <w:r>
        <w:rPr/>
        <w:t>"</w:t>
      </w:r>
      <w:r>
        <w:rPr/>
        <w:t>這很明顯是一群基督徒的說法。我希望今時今日有多些基督徒繼續毋忘六四，不要忘記初衷。</w:t>
      </w:r>
    </w:p>
    <w:p>
      <w:pPr>
        <w:pStyle w:val="F21"/>
        <w:overflowPunct w:val="true"/>
        <w:rPr/>
      </w:pPr>
      <w:r>
        <w:rPr/>
      </w:r>
    </w:p>
    <w:p>
      <w:pPr>
        <w:pStyle w:val="F21"/>
        <w:overflowPunct w:val="true"/>
        <w:rPr/>
      </w:pPr>
      <w:r>
        <w:rPr/>
        <w:tab/>
      </w:r>
      <w:r>
        <w:rPr/>
        <w:t>我再翻閱這本刊物，看到另一則由一群會計師發出的聯合聲明，他們說：</w:t>
      </w:r>
      <w:r>
        <w:rPr/>
        <w:t>"</w:t>
      </w:r>
      <w:r>
        <w:rPr/>
        <w:t>我們對於中國最近發生之事件表示關注及感到不安。我們促請有關當局用和平及人道的方法解決現時之危機。</w:t>
      </w:r>
      <w:r>
        <w:rPr/>
        <w:t>"</w:t>
      </w:r>
      <w:r>
        <w:rPr/>
        <w:t>他們亦提到，</w:t>
      </w:r>
      <w:r>
        <w:rPr/>
        <w:t>"</w:t>
      </w:r>
      <w:r>
        <w:rPr/>
        <w:t>憂慮若現時所採取之行動於</w:t>
      </w:r>
      <w:r>
        <w:rPr/>
        <w:t>1997</w:t>
      </w:r>
      <w:r>
        <w:rPr/>
        <w:t>年後用於香港，將會損害香港市民之基本權利。</w:t>
      </w:r>
      <w:r>
        <w:rPr/>
        <w:t>"</w:t>
      </w:r>
      <w:r>
        <w:rPr/>
        <w:t>這則聲明的刊登日期是</w:t>
      </w:r>
      <w:r>
        <w:rPr/>
        <w:t>5</w:t>
      </w:r>
      <w:r>
        <w:rPr/>
        <w:t>月</w:t>
      </w:r>
      <w:r>
        <w:rPr/>
        <w:t>27</w:t>
      </w:r>
      <w:r>
        <w:rPr/>
        <w:t>日，尚未真正發生屠城，因此我相信，如果算上屠城，並且用於香港的話，莫說會影響我們的信心和基本權利，大家也知道情況會是多麼嚴重。這則聯合聲明的其中一個聯署人是我們現在的司長陳茂波。我亦記得當年他在立法會時曾就這項議案發言，在我的印象中，他的發言比較衷誠，時至今日，我不知道司長會否用自己的方法來紀念，我不知道，但我希望他會。</w:t>
      </w:r>
    </w:p>
    <w:p>
      <w:pPr>
        <w:pStyle w:val="F21"/>
        <w:overflowPunct w:val="true"/>
        <w:rPr/>
      </w:pPr>
      <w:r>
        <w:rPr/>
      </w:r>
    </w:p>
    <w:p>
      <w:pPr>
        <w:pStyle w:val="F21"/>
        <w:overflowPunct w:val="true"/>
        <w:rPr/>
      </w:pPr>
      <w:r>
        <w:rPr/>
        <w:tab/>
      </w:r>
      <w:r>
        <w:rPr/>
        <w:t>此外，我又看到一則由一群自稱是廣東省政協委員刊登的廣告寫道：</w:t>
      </w:r>
      <w:r>
        <w:rPr/>
        <w:t>"</w:t>
      </w:r>
      <w:r>
        <w:rPr/>
        <w:t>請全國及各省、市、縣政協委員起來主持公道；確定此次學運是愛國民主行動；支持新聞言論自由；支持民主自由；堅決反對武力鎮壓；緊急召開各級政協會議，共商解決當前國家危難。</w:t>
      </w:r>
      <w:r>
        <w:rPr/>
        <w:t>"</w:t>
      </w:r>
      <w:r>
        <w:rPr/>
        <w:t>我相信他們最終並沒有召開任何會議，但至少當時在</w:t>
      </w:r>
      <w:r>
        <w:rPr/>
        <w:t>5</w:t>
      </w:r>
      <w:r>
        <w:rPr/>
        <w:t>月</w:t>
      </w:r>
      <w:r>
        <w:rPr/>
        <w:t>23</w:t>
      </w:r>
      <w:r>
        <w:rPr/>
        <w:t>日他們曾經這樣說，今時今日，他們的立場究竟又如何呢？</w:t>
      </w:r>
    </w:p>
    <w:p>
      <w:pPr>
        <w:pStyle w:val="F21"/>
        <w:overflowPunct w:val="true"/>
        <w:rPr/>
      </w:pPr>
      <w:r>
        <w:rPr/>
      </w:r>
    </w:p>
    <w:p>
      <w:pPr>
        <w:pStyle w:val="F21"/>
        <w:overflowPunct w:val="true"/>
        <w:rPr/>
      </w:pPr>
      <w:r>
        <w:rPr/>
        <w:tab/>
      </w:r>
      <w:r>
        <w:rPr/>
        <w:t>事實上，六四事件後仍有一些廣告刊登，例如一群管理及專業人員表示：</w:t>
      </w:r>
      <w:r>
        <w:rPr/>
        <w:t>"</w:t>
      </w:r>
      <w:r>
        <w:rPr/>
        <w:t>看到這件事，如果繼續如此打壓香港的信心，會對香港非常不利</w:t>
      </w:r>
      <w:r>
        <w:rPr/>
        <w:t>"</w:t>
      </w:r>
      <w:r>
        <w:rPr/>
        <w:t>；又指</w:t>
      </w:r>
      <w:r>
        <w:rPr/>
        <w:t>"</w:t>
      </w:r>
      <w:r>
        <w:rPr/>
        <w:t>最近中國當權派的武力鎮壓事件後，令我們擔心能否於</w:t>
      </w:r>
      <w:r>
        <w:rPr/>
        <w:t>1997</w:t>
      </w:r>
      <w:r>
        <w:rPr/>
        <w:t>年後落實</w:t>
      </w:r>
      <w:r>
        <w:rPr>
          <w:szCs w:val="27"/>
        </w:rPr>
        <w:t>'</w:t>
      </w:r>
      <w:r>
        <w:rPr>
          <w:color w:val="000000"/>
          <w:szCs w:val="27"/>
        </w:rPr>
        <w:t>一國兩制</w:t>
      </w:r>
      <w:r>
        <w:rPr>
          <w:color w:val="000000"/>
          <w:szCs w:val="27"/>
        </w:rPr>
        <w:t>'</w:t>
      </w:r>
      <w:r>
        <w:rPr>
          <w:color w:val="000000"/>
          <w:szCs w:val="27"/>
        </w:rPr>
        <w:t>，我們對此感到十分憂慮</w:t>
      </w:r>
      <w:r>
        <w:rPr>
          <w:color w:val="000000"/>
          <w:szCs w:val="27"/>
        </w:rPr>
        <w:t>"</w:t>
      </w:r>
      <w:r>
        <w:rPr>
          <w:color w:val="000000"/>
          <w:szCs w:val="27"/>
        </w:rPr>
        <w:t>。現在看看香港近年的情況，實在令我非常感慨，正因為我們現在看到的是，</w:t>
      </w:r>
      <w:r>
        <w:rPr>
          <w:color w:val="000000"/>
          <w:szCs w:val="27"/>
        </w:rPr>
        <w:t>"</w:t>
      </w:r>
      <w:r>
        <w:rPr>
          <w:color w:val="000000"/>
          <w:szCs w:val="27"/>
        </w:rPr>
        <w:t>一‍國兩制</w:t>
      </w:r>
      <w:r>
        <w:rPr>
          <w:color w:val="000000"/>
          <w:szCs w:val="27"/>
        </w:rPr>
        <w:t>"</w:t>
      </w:r>
      <w:r>
        <w:rPr>
          <w:color w:val="000000"/>
          <w:szCs w:val="27"/>
        </w:rPr>
        <w:t>正不斷受到衝擊和蠶食。</w:t>
      </w:r>
    </w:p>
    <w:p>
      <w:pPr>
        <w:pStyle w:val="F21"/>
        <w:overflowPunct w:val="true"/>
        <w:rPr/>
      </w:pPr>
      <w:r>
        <w:rPr/>
      </w:r>
    </w:p>
    <w:p>
      <w:pPr>
        <w:pStyle w:val="F21"/>
        <w:overflowPunct w:val="true"/>
        <w:rPr>
          <w:szCs w:val="27"/>
        </w:rPr>
      </w:pPr>
      <w:r>
        <w:rPr/>
        <w:tab/>
      </w:r>
      <w:r>
        <w:rPr/>
        <w:t>說回六四事件，近年很多人都不太關心了。我在想，究竟是甚麼地方改變了呢？是否真的如一些</w:t>
      </w:r>
      <w:r>
        <w:rPr>
          <w:szCs w:val="27"/>
        </w:rPr>
        <w:t>議員</w:t>
      </w:r>
      <w:r>
        <w:rPr>
          <w:rFonts w:ascii="Symbol" w:hAnsi="Symbol" w:cs="Symbol" w:eastAsia="Symbol"/>
        </w:rPr>
        <w:t></w:t>
      </w:r>
      <w:r>
        <w:rPr/>
        <w:t>特別是建制派</w:t>
      </w:r>
      <w:r>
        <w:rPr>
          <w:szCs w:val="27"/>
        </w:rPr>
        <w:t>議員</w:t>
      </w:r>
      <w:r>
        <w:rPr>
          <w:rFonts w:ascii="Symbol" w:hAnsi="Symbol" w:cs="Symbol" w:eastAsia="Symbol"/>
        </w:rPr>
        <w:t></w:t>
      </w:r>
      <w:r>
        <w:rPr>
          <w:rFonts w:ascii="Symbol" w:hAnsi="Symbol" w:cs="Symbol" w:eastAsia="Symbol"/>
          <w:szCs w:val="27"/>
        </w:rPr>
        <w:t></w:t>
      </w:r>
      <w:r>
        <w:rPr/>
        <w:t>所說般</w:t>
      </w:r>
      <w:r>
        <w:rPr>
          <w:szCs w:val="27"/>
        </w:rPr>
        <w:t>，雖然今天他們較少發言，但我亦聽到謝偉銓議員發言指經濟轉好，又提到甚麼大灣區、</w:t>
      </w:r>
      <w:r>
        <w:rPr>
          <w:szCs w:val="27"/>
        </w:rPr>
        <w:t>"</w:t>
      </w:r>
      <w:r>
        <w:rPr>
          <w:szCs w:val="27"/>
        </w:rPr>
        <w:t>一帶一路</w:t>
      </w:r>
      <w:r>
        <w:rPr>
          <w:szCs w:val="27"/>
        </w:rPr>
        <w:t>"</w:t>
      </w:r>
      <w:r>
        <w:rPr>
          <w:szCs w:val="27"/>
        </w:rPr>
        <w:t>等，而我真的不知道六四事件與</w:t>
      </w:r>
      <w:r>
        <w:rPr>
          <w:szCs w:val="27"/>
        </w:rPr>
        <w:t>"</w:t>
      </w:r>
      <w:r>
        <w:rPr>
          <w:szCs w:val="27"/>
        </w:rPr>
        <w:t>一帶一路</w:t>
      </w:r>
      <w:r>
        <w:rPr>
          <w:szCs w:val="27"/>
        </w:rPr>
        <w:t>"</w:t>
      </w:r>
      <w:r>
        <w:rPr>
          <w:szCs w:val="27"/>
        </w:rPr>
        <w:t>有何關係；他可以支持中國的經濟發展，但他的說法好像指這些發展可以掩蓋六四事件，大家無須討論，則令我感到不對。究竟是因為我們自己改變了，還是內地變好了呢？我就看不到內地變好了。其實，在政治及監控上，中國的情況絕對是變壞了，民主改革？完全沒有，反而是越來越專制，箝制各種反對聲音。</w:t>
      </w:r>
    </w:p>
    <w:p>
      <w:pPr>
        <w:pStyle w:val="F21"/>
        <w:overflowPunct w:val="true"/>
        <w:spacing w:lineRule="atLeast" w:line="370"/>
        <w:rPr>
          <w:szCs w:val="27"/>
        </w:rPr>
      </w:pPr>
      <w:r>
        <w:rPr>
          <w:szCs w:val="27"/>
        </w:rPr>
      </w:r>
    </w:p>
    <w:p>
      <w:pPr>
        <w:pStyle w:val="F21"/>
        <w:overflowPunct w:val="true"/>
        <w:spacing w:lineRule="atLeast" w:line="370"/>
        <w:rPr>
          <w:szCs w:val="27"/>
        </w:rPr>
      </w:pPr>
      <w:r>
        <w:rPr>
          <w:szCs w:val="27"/>
        </w:rPr>
        <w:tab/>
      </w:r>
      <w:r>
        <w:rPr>
          <w:szCs w:val="27"/>
        </w:rPr>
        <w:t>我身上這件衣服寫着</w:t>
      </w:r>
      <w:r>
        <w:rPr>
          <w:szCs w:val="27"/>
        </w:rPr>
        <w:t>"</w:t>
      </w:r>
      <w:r>
        <w:rPr>
          <w:szCs w:val="27"/>
        </w:rPr>
        <w:t>人民不會忘記</w:t>
      </w:r>
      <w:r>
        <w:rPr>
          <w:szCs w:val="27"/>
        </w:rPr>
        <w:t>"</w:t>
      </w:r>
      <w:r>
        <w:rPr>
          <w:szCs w:val="27"/>
        </w:rPr>
        <w:t>，我相信很多人都好像我和民主派同事一樣，我們不敢亦不願意忘記。我相信很多香港人心中其實並沒有真正忘記，但為何他們不走出來呢？</w:t>
      </w:r>
    </w:p>
    <w:p>
      <w:pPr>
        <w:pStyle w:val="F21"/>
        <w:overflowPunct w:val="true"/>
        <w:spacing w:lineRule="atLeast" w:line="370"/>
        <w:rPr>
          <w:szCs w:val="27"/>
        </w:rPr>
      </w:pPr>
      <w:r>
        <w:rPr>
          <w:szCs w:val="27"/>
        </w:rPr>
      </w:r>
    </w:p>
    <w:p>
      <w:pPr>
        <w:pStyle w:val="F21"/>
        <w:overflowPunct w:val="true"/>
        <w:spacing w:lineRule="atLeast" w:line="370"/>
        <w:rPr>
          <w:szCs w:val="27"/>
        </w:rPr>
      </w:pPr>
      <w:r>
        <w:rPr>
          <w:szCs w:val="27"/>
        </w:rPr>
        <w:tab/>
      </w:r>
      <w:r>
        <w:rPr>
          <w:szCs w:val="27"/>
        </w:rPr>
        <w:t>近年亦有一些同事說，參與六四悼念活動的人數和年青人好像減少了。可是，大家真的不要忘記，香港是世界上每年最大型悼念六四事件的地方，更重要的是，香港是中國境內唯一可以合法進行悼念的地方。就</w:t>
      </w:r>
      <w:r>
        <w:rPr>
          <w:szCs w:val="27"/>
        </w:rPr>
        <w:t>"</w:t>
      </w:r>
      <w:r>
        <w:rPr>
          <w:szCs w:val="27"/>
        </w:rPr>
        <w:t>合法</w:t>
      </w:r>
      <w:r>
        <w:rPr>
          <w:szCs w:val="27"/>
        </w:rPr>
        <w:t>"</w:t>
      </w:r>
      <w:r>
        <w:rPr>
          <w:szCs w:val="27"/>
        </w:rPr>
        <w:t>兩字，我不知道政府稍後甚或今年會否採取措施或手段來阻止我們，現在尚有兩個月時間，我真的不知道。因此，悼念合法與否，我亦不夠膽說，將來是否合法，我也不夠膽說。儘管如此，我們現在是否仍然一定要繼續堅持下去呢？我要對大家說，人數其實是重要的，因為全世界都在看，這正正是香港人對國家及全世界歷史的責任；香港人對中共政權持怎樣的態度，全世界都在看。</w:t>
      </w:r>
    </w:p>
    <w:p>
      <w:pPr>
        <w:pStyle w:val="F21"/>
        <w:overflowPunct w:val="true"/>
        <w:spacing w:lineRule="atLeast" w:line="370"/>
        <w:rPr>
          <w:szCs w:val="27"/>
        </w:rPr>
      </w:pPr>
      <w:r>
        <w:rPr>
          <w:szCs w:val="27"/>
        </w:rPr>
      </w:r>
    </w:p>
    <w:p>
      <w:pPr>
        <w:pStyle w:val="F21"/>
        <w:overflowPunct w:val="true"/>
        <w:spacing w:lineRule="atLeast" w:line="370"/>
        <w:rPr>
          <w:szCs w:val="27"/>
        </w:rPr>
      </w:pPr>
      <w:r>
        <w:rPr>
          <w:szCs w:val="27"/>
        </w:rPr>
        <w:tab/>
      </w:r>
      <w:r>
        <w:rPr>
          <w:szCs w:val="27"/>
        </w:rPr>
        <w:t>有鑒於此，香港市民支援愛國民主運動聯合會的數句口號，即是</w:t>
      </w:r>
      <w:r>
        <w:rPr>
          <w:szCs w:val="27"/>
        </w:rPr>
        <w:t>"</w:t>
      </w:r>
      <w:r>
        <w:rPr>
          <w:szCs w:val="27"/>
        </w:rPr>
        <w:t>釋放民運人士</w:t>
      </w:r>
      <w:r>
        <w:rPr>
          <w:szCs w:val="27"/>
        </w:rPr>
        <w:t>"</w:t>
      </w:r>
      <w:r>
        <w:rPr>
          <w:szCs w:val="27"/>
        </w:rPr>
        <w:t>、</w:t>
      </w:r>
      <w:r>
        <w:rPr>
          <w:szCs w:val="27"/>
        </w:rPr>
        <w:t>"</w:t>
      </w:r>
      <w:r>
        <w:rPr>
          <w:szCs w:val="27"/>
        </w:rPr>
        <w:t>平反八九民運</w:t>
      </w:r>
      <w:r>
        <w:rPr>
          <w:szCs w:val="27"/>
        </w:rPr>
        <w:t>"</w:t>
      </w:r>
      <w:r>
        <w:rPr>
          <w:szCs w:val="27"/>
        </w:rPr>
        <w:t>、</w:t>
      </w:r>
      <w:r>
        <w:rPr>
          <w:szCs w:val="27"/>
        </w:rPr>
        <w:t>"</w:t>
      </w:r>
      <w:r>
        <w:rPr>
          <w:szCs w:val="27"/>
        </w:rPr>
        <w:t>追究屠城責任</w:t>
      </w:r>
      <w:r>
        <w:rPr>
          <w:szCs w:val="27"/>
        </w:rPr>
        <w:t>"</w:t>
      </w:r>
      <w:r>
        <w:rPr>
          <w:szCs w:val="27"/>
        </w:rPr>
        <w:t>、</w:t>
      </w:r>
      <w:r>
        <w:rPr>
          <w:szCs w:val="27"/>
        </w:rPr>
        <w:t>"</w:t>
      </w:r>
      <w:r>
        <w:rPr>
          <w:szCs w:val="27"/>
        </w:rPr>
        <w:t>結束一黨專政</w:t>
      </w:r>
      <w:r>
        <w:rPr>
          <w:szCs w:val="27"/>
        </w:rPr>
        <w:t>"</w:t>
      </w:r>
      <w:r>
        <w:rPr>
          <w:szCs w:val="27"/>
        </w:rPr>
        <w:t>及</w:t>
      </w:r>
      <w:r>
        <w:rPr>
          <w:szCs w:val="27"/>
        </w:rPr>
        <w:t>"</w:t>
      </w:r>
      <w:r>
        <w:rPr>
          <w:szCs w:val="27"/>
        </w:rPr>
        <w:t>建設民主中國</w:t>
      </w:r>
      <w:r>
        <w:rPr>
          <w:szCs w:val="27"/>
        </w:rPr>
        <w:t>"</w:t>
      </w:r>
      <w:r>
        <w:rPr>
          <w:szCs w:val="27"/>
        </w:rPr>
        <w:t>，這些要求並沒有改變。今年在維多利亞公園舉行的</w:t>
      </w:r>
      <w:r>
        <w:rPr>
          <w:szCs w:val="27"/>
        </w:rPr>
        <w:t>30</w:t>
      </w:r>
      <w:r>
        <w:rPr>
          <w:szCs w:val="27"/>
        </w:rPr>
        <w:t>周年悼念活動，希望大家一定要出席。全世界都在看，這是香港人真正可以為國家做到的最基本的事情。</w:t>
      </w:r>
    </w:p>
    <w:p>
      <w:pPr>
        <w:pStyle w:val="F21"/>
        <w:overflowPunct w:val="true"/>
        <w:spacing w:lineRule="atLeast" w:line="370"/>
        <w:rPr>
          <w:szCs w:val="27"/>
        </w:rPr>
      </w:pPr>
      <w:r>
        <w:rPr>
          <w:szCs w:val="27"/>
        </w:rPr>
      </w:r>
    </w:p>
    <w:p>
      <w:pPr>
        <w:pStyle w:val="F21"/>
        <w:overflowPunct w:val="true"/>
        <w:spacing w:lineRule="atLeast" w:line="370"/>
        <w:rPr>
          <w:szCs w:val="27"/>
        </w:rPr>
      </w:pPr>
      <w:r>
        <w:rPr>
          <w:szCs w:val="27"/>
        </w:rPr>
      </w:r>
    </w:p>
    <w:p>
      <w:pPr>
        <w:pStyle w:val="F21"/>
        <w:overflowPunct w:val="true"/>
        <w:spacing w:lineRule="atLeast" w:line="370"/>
        <w:rPr/>
      </w:pPr>
      <w:r>
        <w:rPr>
          <w:rFonts w:eastAsia="華康中黑體"/>
          <w:b/>
          <w:szCs w:val="27"/>
        </w:rPr>
        <w:t>張超雄議員</w:t>
      </w:r>
      <w:r>
        <w:rPr/>
        <w:t>：代理主席，今年是六四</w:t>
      </w:r>
      <w:r>
        <w:rPr/>
        <w:t>30</w:t>
      </w:r>
      <w:r>
        <w:rPr/>
        <w:t>周年，有</w:t>
      </w:r>
      <w:r>
        <w:rPr/>
        <w:t>56</w:t>
      </w:r>
      <w:r>
        <w:rPr/>
        <w:t>個當年曾參與六‍四的民運人士，包括王丹、吾爾開希，在元旦曾發表一份聯合聲明，</w:t>
      </w:r>
      <w:r>
        <w:rPr/>
        <w:t>"</w:t>
      </w:r>
      <w:r>
        <w:rPr/>
        <w:t>重建記憶　再次出發</w:t>
      </w:r>
      <w:r>
        <w:rPr/>
        <w:t>"</w:t>
      </w:r>
      <w:r>
        <w:rPr/>
        <w:t>。我希望在此讀出他們的聲明，因為我相信這樣的信息不會在國內流通，但我希望他們的聲明可以在中國的土地上發表。</w:t>
      </w:r>
    </w:p>
    <w:p>
      <w:pPr>
        <w:pStyle w:val="F21"/>
        <w:overflowPunct w:val="true"/>
        <w:spacing w:lineRule="atLeast" w:line="370"/>
        <w:rPr/>
      </w:pPr>
      <w:r>
        <w:rPr/>
      </w:r>
    </w:p>
    <w:p>
      <w:pPr>
        <w:pStyle w:val="F21"/>
        <w:overflowPunct w:val="true"/>
        <w:spacing w:lineRule="atLeast" w:line="370"/>
        <w:rPr/>
      </w:pPr>
      <w:r>
        <w:rPr/>
        <w:tab/>
      </w:r>
      <w:r>
        <w:rPr/>
        <w:t>聲明的內容是這樣的：</w:t>
      </w:r>
      <w:r>
        <w:rPr/>
        <w:t>"</w:t>
      </w:r>
      <w:r>
        <w:rPr/>
        <w:t>今年是八九民主運動和中共血腥的</w:t>
      </w:r>
      <w:r>
        <w:rPr/>
        <w:t>'</w:t>
      </w:r>
      <w:r>
        <w:rPr/>
        <w:t>六四</w:t>
      </w:r>
      <w:r>
        <w:rPr/>
        <w:t>'</w:t>
      </w:r>
      <w:r>
        <w:rPr/>
        <w:t>鎮壓的三十週年。我們這些當年那場運動的當事者，那場屠殺的見證人，在此對全球所有關心中國發展，所有期待中國能夠實現民主憲政的朋友發出公開呼籲如下：</w:t>
      </w:r>
    </w:p>
    <w:p>
      <w:pPr>
        <w:pStyle w:val="F21"/>
        <w:overflowPunct w:val="true"/>
        <w:spacing w:lineRule="atLeast" w:line="340"/>
        <w:rPr/>
      </w:pPr>
      <w:r>
        <w:rPr/>
      </w:r>
    </w:p>
    <w:p>
      <w:pPr>
        <w:pStyle w:val="F21"/>
        <w:overflowPunct w:val="true"/>
        <w:spacing w:lineRule="atLeast" w:line="340"/>
        <w:ind w:left="567" w:hanging="567"/>
        <w:rPr/>
      </w:pPr>
      <w:r>
        <w:rPr/>
        <w:tab/>
        <w:t>"</w:t>
      </w:r>
      <w:r>
        <w:rPr/>
        <w:t>第一，</w:t>
      </w:r>
      <w:r>
        <w:rPr/>
        <w:t>1989</w:t>
      </w:r>
      <w:r>
        <w:rPr/>
        <w:t>年的中國學生及民眾走上街頭，是為了反對腐敗，要求民主，他們的訴求被中共當局血腥鎮壓，大批民眾傷亡。這是一道歷史的傷口，這道傷口，三十年了，仍舊還在淌血。中華民族要走向文明，就不能迴避這個重大的歷史事件。鑒於中共當局的嚴密封閉，關於</w:t>
      </w:r>
      <w:r>
        <w:rPr/>
        <w:t>'</w:t>
      </w:r>
      <w:r>
        <w:rPr/>
        <w:t>六四</w:t>
      </w:r>
      <w:r>
        <w:rPr/>
        <w:t>'</w:t>
      </w:r>
      <w:r>
        <w:rPr/>
        <w:t>的記憶已經逐漸淡漠，因此，我們呼籲在</w:t>
      </w:r>
      <w:r>
        <w:rPr/>
        <w:t>'</w:t>
      </w:r>
      <w:r>
        <w:rPr/>
        <w:t>六四</w:t>
      </w:r>
      <w:r>
        <w:rPr/>
        <w:t>'</w:t>
      </w:r>
      <w:r>
        <w:rPr/>
        <w:t>紀念三‍十週年之際，全球一起努力，重建歷史記憶，作為抵抗極權，追求民主的一種手段。</w:t>
      </w:r>
    </w:p>
    <w:p>
      <w:pPr>
        <w:pStyle w:val="F21"/>
        <w:overflowPunct w:val="true"/>
        <w:spacing w:lineRule="atLeast" w:line="340"/>
        <w:rPr/>
      </w:pPr>
      <w:r>
        <w:rPr/>
      </w:r>
    </w:p>
    <w:p>
      <w:pPr>
        <w:pStyle w:val="F21"/>
        <w:overflowPunct w:val="true"/>
        <w:spacing w:lineRule="atLeast" w:line="340"/>
        <w:ind w:left="567" w:hanging="567"/>
        <w:rPr/>
      </w:pPr>
      <w:r>
        <w:rPr/>
        <w:tab/>
        <w:t>"</w:t>
      </w:r>
      <w:r>
        <w:rPr/>
        <w:t>第二，</w:t>
      </w:r>
      <w:r>
        <w:rPr/>
        <w:t>1989</w:t>
      </w:r>
      <w:r>
        <w:rPr/>
        <w:t>年的民主運動被鎮壓之後，中國走上了一條所謂的大國崛起之路。這條路，表面上看給中國帶來了經濟增長及人民生活水平的提高，但是三十年來的發展越來越證明，這樣的發展模式拒絕文明，拒絕民主，是一條錯誤的發展道路。而中國走上這樣的道路，正是因為中共悍然拒絕八九民運提出的反對腐敗，實現民主的要求。在中國局勢發展已經來到了一個轉型的關鍵時刻的今天，紀念八九民運，重新提出民主化的訴求，不僅是面向過去，更是面向未來。因此我們呼籲，通過</w:t>
      </w:r>
      <w:r>
        <w:rPr/>
        <w:t>'</w:t>
      </w:r>
      <w:r>
        <w:rPr/>
        <w:t>六四</w:t>
      </w:r>
      <w:r>
        <w:rPr/>
        <w:t>'</w:t>
      </w:r>
      <w:r>
        <w:rPr/>
        <w:t>三十週年紀念活動，凝聚全民共識，通過各種的手段，把推動中國民主憲政的運動帶向一個新的高潮。</w:t>
      </w:r>
    </w:p>
    <w:p>
      <w:pPr>
        <w:pStyle w:val="F21"/>
        <w:overflowPunct w:val="true"/>
        <w:spacing w:lineRule="atLeast" w:line="340"/>
        <w:ind w:left="567" w:hanging="567"/>
        <w:rPr/>
      </w:pPr>
      <w:r>
        <w:rPr/>
      </w:r>
    </w:p>
    <w:p>
      <w:pPr>
        <w:pStyle w:val="F21"/>
        <w:overflowPunct w:val="true"/>
        <w:spacing w:lineRule="atLeast" w:line="340"/>
        <w:ind w:left="567" w:hanging="567"/>
        <w:rPr/>
      </w:pPr>
      <w:r>
        <w:rPr/>
        <w:tab/>
        <w:t>"</w:t>
      </w:r>
      <w:r>
        <w:rPr/>
        <w:t>第三，我們這些人，都曾經為了中國實現民主的理想而進行了幾十年的不懈奮鬥，我們也相信，當年曾經在天安門廣場，在北京市街頭，在中國所有的其他城市，不同程度地參與了那場轟轟烈烈的民主運動的朋友們，你們中的很多人，內心仍然保存着當年八九精神的火種，你們仍然會記得那些曾經為我們共同的理想付出生命代價的同學和朋友。今天，是我們重新團聚，重整隊伍，重新出發的時候了。今天的中國，面臨在各個方面走上倒退道路的危機，最好的紀念，就是延續當年的理想。因此，我們呼籲全球各地的八九一代歸隊，我們呼籲當年的支持者歸隊，我們呼籲新的一代中國年輕人跟我們站在一起，我們呼籲海內外形成新的民主陣線，在求同存異的基礎上精誠團結，共同努力，在全世界各地隆重舉辦</w:t>
      </w:r>
      <w:r>
        <w:rPr/>
        <w:t>'</w:t>
      </w:r>
      <w:r>
        <w:rPr/>
        <w:t>六四</w:t>
      </w:r>
      <w:r>
        <w:rPr/>
        <w:t>'</w:t>
      </w:r>
      <w:r>
        <w:rPr/>
        <w:t>三十週年的紀念活動，以此告慰</w:t>
      </w:r>
      <w:r>
        <w:rPr/>
        <w:t>'</w:t>
      </w:r>
      <w:r>
        <w:rPr/>
        <w:t>六四</w:t>
      </w:r>
      <w:r>
        <w:rPr/>
        <w:t>'</w:t>
      </w:r>
      <w:r>
        <w:rPr/>
        <w:t>先烈。</w:t>
      </w:r>
    </w:p>
    <w:p>
      <w:pPr>
        <w:pStyle w:val="F21"/>
        <w:overflowPunct w:val="true"/>
        <w:spacing w:lineRule="atLeast" w:line="340"/>
        <w:ind w:left="567" w:hanging="567"/>
        <w:rPr/>
      </w:pPr>
      <w:r>
        <w:rPr/>
      </w:r>
    </w:p>
    <w:p>
      <w:pPr>
        <w:pStyle w:val="F21"/>
        <w:overflowPunct w:val="true"/>
        <w:spacing w:lineRule="atLeast" w:line="340"/>
        <w:ind w:left="567" w:hanging="567"/>
        <w:rPr/>
      </w:pPr>
      <w:r>
        <w:rPr/>
        <w:tab/>
        <w:t>"</w:t>
      </w:r>
      <w:r>
        <w:rPr/>
        <w:t>我們要讓中共和全世界看到，只要中國還沒有民主化，只要</w:t>
      </w:r>
      <w:r>
        <w:rPr/>
        <w:t>'‍</w:t>
      </w:r>
      <w:r>
        <w:rPr/>
        <w:t>六‍四‍</w:t>
      </w:r>
      <w:r>
        <w:rPr/>
        <w:t>'</w:t>
      </w:r>
      <w:r>
        <w:rPr/>
        <w:t>還沒有翻案，我們，和所有與我們有共同理念的朋友們，都將堅持做到八個字：永不忘記，永不放棄！</w:t>
      </w:r>
      <w:r>
        <w:rPr/>
        <w:t>"</w:t>
      </w:r>
    </w:p>
    <w:p>
      <w:pPr>
        <w:pStyle w:val="Normal"/>
        <w:widowControl/>
        <w:tabs>
          <w:tab w:val="clear" w:pos="720"/>
        </w:tabs>
        <w:snapToGrid w:val="true"/>
        <w:spacing w:lineRule="auto" w:line="276" w:before="0" w:after="200"/>
        <w:jc w:val="left"/>
        <w:rPr>
          <w:rFonts w:cs="" w:cstheme="minorBidi"/>
          <w:spacing w:val="20"/>
          <w:sz w:val="27"/>
          <w:szCs w:val="22"/>
          <w:lang w:val="en-US"/>
        </w:rPr>
      </w:pPr>
      <w:r>
        <w:rPr>
          <w:rFonts w:cs="" w:cstheme="minorBidi"/>
          <w:spacing w:val="20"/>
          <w:sz w:val="27"/>
          <w:szCs w:val="22"/>
          <w:lang w:val="en-US"/>
        </w:rPr>
      </w:r>
      <w:r>
        <w:br w:type="page"/>
      </w:r>
    </w:p>
    <w:p>
      <w:pPr>
        <w:pStyle w:val="F21"/>
        <w:overflowPunct w:val="true"/>
        <w:spacing w:lineRule="atLeast" w:line="370"/>
        <w:rPr>
          <w:szCs w:val="27"/>
        </w:rPr>
      </w:pPr>
      <w:r>
        <w:rPr/>
        <w:tab/>
      </w:r>
      <w:r>
        <w:rPr/>
        <w:t>代理主席，平反八九民運、釋放維權人士、追究屠城責任、結束一黨專政，這些是多年來民主運動的訴求。我想在此補充，在</w:t>
      </w:r>
      <w:r>
        <w:rPr/>
        <w:t>2014</w:t>
      </w:r>
      <w:r>
        <w:rPr/>
        <w:t>年，我與李卓人、</w:t>
      </w:r>
      <w:r>
        <w:rPr>
          <w:szCs w:val="27"/>
        </w:rPr>
        <w:t>梁耀忠議員曾到中央人民政府駐香港特別行政區聯絡辦公室</w:t>
      </w:r>
      <w:r>
        <w:rPr>
          <w:szCs w:val="27"/>
        </w:rPr>
        <w:t>("</w:t>
      </w:r>
      <w:r>
        <w:rPr>
          <w:szCs w:val="27"/>
        </w:rPr>
        <w:t>中聯辦</w:t>
      </w:r>
      <w:r>
        <w:rPr>
          <w:szCs w:val="27"/>
        </w:rPr>
        <w:t>")</w:t>
      </w:r>
      <w:r>
        <w:rPr>
          <w:szCs w:val="27"/>
        </w:rPr>
        <w:t>，與當時的中聯辦主任張曉明會面。我當時在場，他說了一句話</w:t>
      </w:r>
      <w:r>
        <w:rPr/>
        <w:t>：</w:t>
      </w:r>
      <w:r>
        <w:rPr>
          <w:szCs w:val="27"/>
        </w:rPr>
        <w:t>"</w:t>
      </w:r>
      <w:r>
        <w:rPr>
          <w:szCs w:val="27"/>
        </w:rPr>
        <w:t>你們今天還活着，已經相當了不起</w:t>
      </w:r>
      <w:r>
        <w:rPr>
          <w:szCs w:val="27"/>
        </w:rPr>
        <w:t>"</w:t>
      </w:r>
      <w:r>
        <w:rPr>
          <w:szCs w:val="27"/>
        </w:rPr>
        <w:t>。我們當時正在問中共的底線究竟是甚麼，香港市民支援愛國民主運動聯合會</w:t>
      </w:r>
      <w:r>
        <w:rPr>
          <w:szCs w:val="27"/>
        </w:rPr>
        <w:t>("</w:t>
      </w:r>
      <w:r>
        <w:rPr>
          <w:szCs w:val="27"/>
        </w:rPr>
        <w:t>支聯會</w:t>
      </w:r>
      <w:r>
        <w:rPr>
          <w:szCs w:val="27"/>
        </w:rPr>
        <w:t>")</w:t>
      </w:r>
      <w:r>
        <w:rPr>
          <w:szCs w:val="27"/>
        </w:rPr>
        <w:t>高呼的</w:t>
      </w:r>
      <w:r>
        <w:rPr>
          <w:szCs w:val="27"/>
        </w:rPr>
        <w:t>"</w:t>
      </w:r>
      <w:r>
        <w:rPr>
          <w:szCs w:val="27"/>
        </w:rPr>
        <w:t>結束</w:t>
      </w:r>
      <w:r>
        <w:rPr>
          <w:szCs w:val="27"/>
        </w:rPr>
        <w:t>'</w:t>
      </w:r>
      <w:r>
        <w:rPr>
          <w:szCs w:val="27"/>
        </w:rPr>
        <w:t>一黨專政</w:t>
      </w:r>
      <w:r>
        <w:rPr>
          <w:szCs w:val="27"/>
        </w:rPr>
        <w:t>'"</w:t>
      </w:r>
      <w:r>
        <w:rPr>
          <w:szCs w:val="27"/>
        </w:rPr>
        <w:t>是否踐踏了中共的底線，而張曉明當時的回應就是這樣。</w:t>
      </w:r>
    </w:p>
    <w:p>
      <w:pPr>
        <w:pStyle w:val="F21"/>
        <w:overflowPunct w:val="true"/>
        <w:spacing w:lineRule="atLeast" w:line="370"/>
        <w:rPr>
          <w:szCs w:val="27"/>
        </w:rPr>
      </w:pPr>
      <w:r>
        <w:rPr>
          <w:szCs w:val="27"/>
        </w:rPr>
      </w:r>
    </w:p>
    <w:p>
      <w:pPr>
        <w:pStyle w:val="F21"/>
        <w:overflowPunct w:val="true"/>
        <w:spacing w:lineRule="atLeast" w:line="370"/>
        <w:rPr/>
      </w:pPr>
      <w:r>
        <w:rPr>
          <w:szCs w:val="27"/>
        </w:rPr>
        <w:tab/>
      </w:r>
      <w:r>
        <w:rPr>
          <w:szCs w:val="27"/>
        </w:rPr>
        <w:t>代理主席，我不知我們這些懷着希望推動中國走向民主，繼續高喊</w:t>
      </w:r>
      <w:r>
        <w:rPr>
          <w:szCs w:val="27"/>
        </w:rPr>
        <w:t>"</w:t>
      </w:r>
      <w:r>
        <w:rPr>
          <w:szCs w:val="27"/>
        </w:rPr>
        <w:t>結束一黨專政</w:t>
      </w:r>
      <w:r>
        <w:rPr>
          <w:szCs w:val="27"/>
        </w:rPr>
        <w:t>"</w:t>
      </w:r>
      <w:r>
        <w:rPr>
          <w:szCs w:val="27"/>
        </w:rPr>
        <w:t>的人，今天或將來還可以活多久。或許稍後通過《</w:t>
      </w:r>
      <w:r>
        <w:rPr>
          <w:szCs w:val="27"/>
        </w:rPr>
        <w:t>2019</w:t>
      </w:r>
      <w:r>
        <w:rPr>
          <w:szCs w:val="27"/>
        </w:rPr>
        <w:t>年逃犯及刑事事宜相互法律協助法例</w:t>
      </w:r>
      <w:r>
        <w:rPr>
          <w:szCs w:val="27"/>
        </w:rPr>
        <w:t>(</w:t>
      </w:r>
      <w:r>
        <w:rPr>
          <w:szCs w:val="27"/>
        </w:rPr>
        <w:t>修訂</w:t>
      </w:r>
      <w:r>
        <w:rPr>
          <w:szCs w:val="27"/>
        </w:rPr>
        <w:t>)</w:t>
      </w:r>
      <w:r>
        <w:rPr>
          <w:szCs w:val="27"/>
        </w:rPr>
        <w:t>條例草案》後，接着制定《基本法》第二十三條後，我們的生存空間會越來越少。我可以再告訴大家，我當時聽到張曉明那番話所指的並不是支聯會，而是我們這群議員。代理主席，我希望全城警醒，全世界人都警醒，如果不能平反六四，大家都不會走運。</w:t>
      </w:r>
      <w:r>
        <w:rPr>
          <w:i/>
          <w:szCs w:val="27"/>
        </w:rPr>
        <w:t>(</w:t>
      </w:r>
      <w:r>
        <w:rPr>
          <w:i/>
          <w:szCs w:val="27"/>
        </w:rPr>
        <w:t>計時器響起</w:t>
      </w:r>
      <w:r>
        <w:rPr>
          <w:i/>
          <w:szCs w:val="27"/>
        </w:rPr>
        <w:t>)</w:t>
      </w:r>
    </w:p>
    <w:p>
      <w:pPr>
        <w:pStyle w:val="F21"/>
        <w:overflowPunct w:val="true"/>
        <w:spacing w:lineRule="atLeast" w:line="370"/>
        <w:rPr/>
      </w:pPr>
      <w:r>
        <w:rPr/>
      </w:r>
    </w:p>
    <w:p>
      <w:pPr>
        <w:pStyle w:val="F21"/>
        <w:overflowPunct w:val="true"/>
        <w:spacing w:lineRule="atLeast" w:line="370"/>
        <w:rPr/>
      </w:pPr>
      <w:r>
        <w:rPr/>
      </w:r>
    </w:p>
    <w:p>
      <w:pPr>
        <w:pStyle w:val="F21"/>
        <w:overflowPunct w:val="true"/>
        <w:spacing w:lineRule="atLeast" w:line="370"/>
        <w:rPr/>
      </w:pPr>
      <w:r>
        <w:rPr>
          <w:rFonts w:eastAsia="華康中黑體"/>
          <w:b/>
          <w:szCs w:val="27"/>
        </w:rPr>
        <w:t>代理主席</w:t>
      </w:r>
      <w:r>
        <w:rPr/>
        <w:t>：張議員，你的發言時限到了。</w:t>
      </w:r>
    </w:p>
    <w:p>
      <w:pPr>
        <w:pStyle w:val="F21"/>
        <w:overflowPunct w:val="true"/>
        <w:spacing w:lineRule="atLeast" w:line="370"/>
        <w:rPr/>
      </w:pPr>
      <w:r>
        <w:rPr/>
      </w:r>
    </w:p>
    <w:p>
      <w:pPr>
        <w:pStyle w:val="F21"/>
        <w:overflowPunct w:val="true"/>
        <w:spacing w:lineRule="atLeast" w:line="370"/>
        <w:rPr>
          <w:rFonts w:cs="Times New Roman"/>
        </w:rPr>
      </w:pPr>
      <w:r>
        <w:rPr>
          <w:rFonts w:cs="Times New Roman"/>
        </w:rPr>
      </w:r>
    </w:p>
    <w:p>
      <w:pPr>
        <w:pStyle w:val="F21"/>
        <w:overflowPunct w:val="true"/>
        <w:spacing w:lineRule="atLeast" w:line="370"/>
        <w:rPr/>
      </w:pPr>
      <w:r>
        <w:rPr>
          <w:rFonts w:eastAsia="華康中黑體"/>
          <w:b/>
        </w:rPr>
        <w:t>李國麟議員</w:t>
      </w:r>
      <w:r>
        <w:rPr/>
        <w:t>：代理主席，多謝</w:t>
      </w:r>
      <w:r>
        <w:rPr>
          <w:szCs w:val="27"/>
        </w:rPr>
        <w:t>胡志偉議員</w:t>
      </w:r>
      <w:r>
        <w:rPr/>
        <w:t>今天再提出有關六四事件的議案。如果我沒有記錯，我記得去年因為種種原因，關於六四事件的議案並未能在立法會進行辯論。</w:t>
      </w:r>
    </w:p>
    <w:p>
      <w:pPr>
        <w:pStyle w:val="F21"/>
        <w:overflowPunct w:val="true"/>
        <w:spacing w:lineRule="atLeast" w:line="370"/>
        <w:rPr/>
      </w:pPr>
      <w:r>
        <w:rPr/>
      </w:r>
    </w:p>
    <w:p>
      <w:pPr>
        <w:pStyle w:val="F21"/>
        <w:overflowPunct w:val="true"/>
        <w:spacing w:lineRule="atLeast" w:line="370"/>
        <w:rPr/>
      </w:pPr>
      <w:r>
        <w:rPr/>
        <w:tab/>
      </w:r>
      <w:r>
        <w:rPr/>
        <w:t>我在立法會</w:t>
      </w:r>
      <w:r>
        <w:rPr/>
        <w:t>10</w:t>
      </w:r>
      <w:r>
        <w:rPr/>
        <w:t>多年，今天又有機會見到李卓人前輩，他談及很多六四的事情，更裝扮成一瓶六四的酒來悼念這事件，令我想起其實在</w:t>
      </w:r>
      <w:r>
        <w:rPr/>
        <w:t>1989</w:t>
      </w:r>
      <w:r>
        <w:rPr/>
        <w:t>年之後，無論是立法局或立法會均有一個傳統，就是每逢臨近六四，我們便會把這事件再說一次，不是討論，亦不是辯論，但在香港，由立法局到立法會的年代，在我有機會加入立法會的年代，似乎每年都會再次提及這事件。</w:t>
      </w:r>
    </w:p>
    <w:p>
      <w:pPr>
        <w:pStyle w:val="F21"/>
        <w:overflowPunct w:val="true"/>
        <w:spacing w:lineRule="atLeast" w:line="370"/>
        <w:rPr/>
      </w:pPr>
      <w:r>
        <w:rPr/>
      </w:r>
    </w:p>
    <w:p>
      <w:pPr>
        <w:pStyle w:val="F21"/>
        <w:overflowPunct w:val="true"/>
        <w:spacing w:lineRule="atLeast" w:line="370"/>
        <w:rPr/>
      </w:pPr>
      <w:r>
        <w:rPr/>
        <w:tab/>
      </w:r>
      <w:r>
        <w:rPr/>
        <w:t>誠然，這事件對很多人而言是不想提起的事，或者有人會說是又在傷口上灑鹽。不過，我身為議員，而香港立法會仍是一個平台，有機會正正式式地讓大眾知悉六四事件曾經發生。我剛才上網瀏覽維基百科中文版，它如何描述六四事件呢？它很詳細地記載了許多事情，包括背景、這場運動如何逐步升級，到後來的戒嚴、清場後有何傷亡，以及最後引致中共政權的審查，很清晰地記載了這些資料，但我不希望我們日後只能夠在網上看到這些資料，我不知道香港會否這樣。</w:t>
      </w:r>
    </w:p>
    <w:p>
      <w:pPr>
        <w:pStyle w:val="F21"/>
        <w:overflowPunct w:val="true"/>
        <w:spacing w:lineRule="atLeast" w:line="330"/>
        <w:rPr/>
      </w:pPr>
      <w:r>
        <w:rPr/>
      </w:r>
    </w:p>
    <w:p>
      <w:pPr>
        <w:pStyle w:val="F21"/>
        <w:overflowPunct w:val="true"/>
        <w:spacing w:lineRule="atLeast" w:line="330"/>
        <w:rPr/>
      </w:pPr>
      <w:r>
        <w:rPr/>
        <w:tab/>
      </w:r>
      <w:r>
        <w:rPr/>
        <w:t>因此，今天</w:t>
      </w:r>
      <w:r>
        <w:rPr>
          <w:szCs w:val="27"/>
        </w:rPr>
        <w:t>胡志偉議員</w:t>
      </w:r>
      <w:r>
        <w:rPr/>
        <w:t>再次提出這項議案，雖然提早了差不多兩個月，但我認為是具有意義的，因為這提醒了香港市民，其實香港仍有福氣可以在這個平台上，正正式式地提出六四事件，而這個歷史事實，無論稱之為民運、屠城或顛覆政權，我們不要在此討論或爭論，但事實是這事件曾經發生，有人傷亡，讓我們在今天回顧他們為何會這樣做</w:t>
      </w:r>
      <w:r>
        <w:rPr>
          <w:rFonts w:ascii="Symbol" w:hAnsi="Symbol" w:cs="Symbol" w:eastAsia="Symbol"/>
        </w:rPr>
        <w:t></w:t>
      </w:r>
      <w:r>
        <w:rPr/>
        <w:t>當然有不同的說法。</w:t>
      </w:r>
    </w:p>
    <w:p>
      <w:pPr>
        <w:pStyle w:val="F21"/>
        <w:overflowPunct w:val="true"/>
        <w:spacing w:lineRule="atLeast" w:line="330"/>
        <w:rPr/>
      </w:pPr>
      <w:r>
        <w:rPr/>
      </w:r>
    </w:p>
    <w:p>
      <w:pPr>
        <w:pStyle w:val="F21"/>
        <w:overflowPunct w:val="true"/>
        <w:spacing w:lineRule="atLeast" w:line="330"/>
        <w:rPr/>
      </w:pPr>
      <w:r>
        <w:rPr/>
        <w:tab/>
      </w:r>
      <w:r>
        <w:rPr/>
        <w:t>我剛才提到，雖然去年沒有機會在立法會再次提出這事件，但香港大學民意研究計劃曾於去年</w:t>
      </w:r>
      <w:r>
        <w:rPr/>
        <w:t>5</w:t>
      </w:r>
      <w:r>
        <w:rPr/>
        <w:t>月進行民意調查，我想節錄其中幾條問題。其中一條問題是：</w:t>
      </w:r>
      <w:r>
        <w:rPr/>
        <w:t>"</w:t>
      </w:r>
      <w:r>
        <w:rPr/>
        <w:t>你覺得北京學生在六四事件中做得對不對？</w:t>
      </w:r>
      <w:r>
        <w:rPr/>
        <w:t>"</w:t>
      </w:r>
      <w:r>
        <w:rPr/>
        <w:t>這項調查有趣的地方是，他們就</w:t>
      </w:r>
      <w:r>
        <w:rPr/>
        <w:t>1993</w:t>
      </w:r>
      <w:r>
        <w:rPr/>
        <w:t>年至</w:t>
      </w:r>
      <w:r>
        <w:rPr/>
        <w:t>2018</w:t>
      </w:r>
      <w:r>
        <w:rPr/>
        <w:t>年的數據，製作了一個很清晰的累積性圖表。有關民意是怎樣呢？調查顯示，在</w:t>
      </w:r>
      <w:r>
        <w:rPr/>
        <w:t>1993</w:t>
      </w:r>
      <w:r>
        <w:rPr/>
        <w:t>年至</w:t>
      </w:r>
      <w:r>
        <w:rPr/>
        <w:t>2018</w:t>
      </w:r>
      <w:r>
        <w:rPr/>
        <w:t>年，均有差不多</w:t>
      </w:r>
      <w:r>
        <w:rPr/>
        <w:t>50%</w:t>
      </w:r>
      <w:r>
        <w:rPr/>
        <w:t>受訪者認為當日北京學生在六四民運事件中是正確的。第二條問題是：</w:t>
      </w:r>
      <w:r>
        <w:rPr/>
        <w:t>"</w:t>
      </w:r>
      <w:r>
        <w:rPr/>
        <w:t>你覺得北京當局當年處理六四事件做得對不對？</w:t>
      </w:r>
      <w:r>
        <w:rPr/>
        <w:t>"</w:t>
      </w:r>
      <w:r>
        <w:rPr/>
        <w:t>在</w:t>
      </w:r>
      <w:r>
        <w:rPr/>
        <w:t>1993</w:t>
      </w:r>
      <w:r>
        <w:rPr/>
        <w:t>年至</w:t>
      </w:r>
      <w:r>
        <w:rPr/>
        <w:t>2018</w:t>
      </w:r>
      <w:r>
        <w:rPr/>
        <w:t>年，大約有</w:t>
      </w:r>
      <w:r>
        <w:rPr/>
        <w:t>60%</w:t>
      </w:r>
      <w:r>
        <w:rPr/>
        <w:t>至</w:t>
      </w:r>
      <w:r>
        <w:rPr/>
        <w:t>70%</w:t>
      </w:r>
      <w:r>
        <w:rPr/>
        <w:t>受訪者認為不對。另一條問題是：</w:t>
      </w:r>
      <w:r>
        <w:rPr/>
        <w:t>"</w:t>
      </w:r>
      <w:r>
        <w:rPr/>
        <w:t>與</w:t>
      </w:r>
      <w:r>
        <w:rPr/>
        <w:t>1989</w:t>
      </w:r>
      <w:r>
        <w:rPr/>
        <w:t>年比較，你覺得中國現時的人權狀況變好了抑或變差了？</w:t>
      </w:r>
      <w:r>
        <w:rPr/>
        <w:t>"</w:t>
      </w:r>
      <w:r>
        <w:rPr/>
        <w:t>有趣地，我看到的結果是，在</w:t>
      </w:r>
      <w:r>
        <w:rPr/>
        <w:t>1993</w:t>
      </w:r>
      <w:r>
        <w:rPr/>
        <w:t>年只有</w:t>
      </w:r>
      <w:r>
        <w:rPr/>
        <w:t>2%</w:t>
      </w:r>
      <w:r>
        <w:rPr/>
        <w:t>左右的受訪者認為變差了，但在</w:t>
      </w:r>
      <w:r>
        <w:rPr/>
        <w:t>2018</w:t>
      </w:r>
      <w:r>
        <w:rPr/>
        <w:t>年竟然有差不多</w:t>
      </w:r>
      <w:r>
        <w:rPr/>
        <w:t>30%</w:t>
      </w:r>
      <w:r>
        <w:rPr/>
        <w:t>受訪者認為變差了。在人權方面，整個民運發生後的情況不就正正符合了維基百科所記載，之後推行的審查制度開始慢慢收緊人權，這便是其中一個問題。最後一條問題是：</w:t>
      </w:r>
      <w:r>
        <w:rPr/>
        <w:t>"</w:t>
      </w:r>
      <w:r>
        <w:rPr/>
        <w:t>你是否支持平反六四？</w:t>
      </w:r>
      <w:r>
        <w:rPr/>
        <w:t>"</w:t>
      </w:r>
      <w:r>
        <w:rPr/>
        <w:t>由</w:t>
      </w:r>
      <w:r>
        <w:rPr/>
        <w:t>1993</w:t>
      </w:r>
      <w:r>
        <w:rPr/>
        <w:t>年至今，均有</w:t>
      </w:r>
      <w:r>
        <w:rPr/>
        <w:t>50%</w:t>
      </w:r>
      <w:r>
        <w:rPr/>
        <w:t>左右的受訪者支持平反六四。</w:t>
      </w:r>
    </w:p>
    <w:p>
      <w:pPr>
        <w:pStyle w:val="F21"/>
        <w:overflowPunct w:val="true"/>
        <w:spacing w:lineRule="atLeast" w:line="330"/>
        <w:rPr/>
      </w:pPr>
      <w:r>
        <w:rPr/>
      </w:r>
    </w:p>
    <w:p>
      <w:pPr>
        <w:pStyle w:val="F21"/>
        <w:overflowPunct w:val="true"/>
        <w:spacing w:lineRule="atLeast" w:line="330"/>
        <w:rPr/>
      </w:pPr>
      <w:r>
        <w:rPr/>
        <w:tab/>
      </w:r>
      <w:r>
        <w:rPr/>
        <w:t>正正是由於這個原因，我們今天有一個平台，很清晰地讓香港人知道，如何看待六四是個人的看法，但事實是，</w:t>
      </w:r>
      <w:r>
        <w:rPr/>
        <w:t>30</w:t>
      </w:r>
      <w:r>
        <w:rPr/>
        <w:t>年前國內發生六四事件時，對我們而言是一個很大的衝擊。香港作為一個我們還有機會</w:t>
      </w:r>
      <w:r>
        <w:rPr>
          <w:rFonts w:ascii="Symbol" w:hAnsi="Symbol" w:cs="Symbol" w:eastAsia="Symbol"/>
        </w:rPr>
        <w:t></w:t>
      </w:r>
      <w:r>
        <w:rPr/>
        <w:t>希望日後仍有機會</w:t>
      </w:r>
      <w:r>
        <w:rPr>
          <w:rFonts w:ascii="Symbol" w:hAnsi="Symbol" w:cs="Symbol" w:eastAsia="Symbol"/>
        </w:rPr>
        <w:t></w:t>
      </w:r>
      <w:r>
        <w:rPr/>
        <w:t>每年在立法會提出這事件的地方，我們是否有責任提醒大家中國曾經發生這事件，以及這事件對大家有何影響？在香港，我們作為民主派必須繼續推動此事，希望無論在香港或國內，民主進程均會逐步推進。</w:t>
      </w:r>
    </w:p>
    <w:p>
      <w:pPr>
        <w:pStyle w:val="F21"/>
        <w:overflowPunct w:val="true"/>
        <w:spacing w:lineRule="atLeast" w:line="330"/>
        <w:rPr/>
      </w:pPr>
      <w:r>
        <w:rPr/>
      </w:r>
    </w:p>
    <w:p>
      <w:pPr>
        <w:pStyle w:val="F21"/>
        <w:overflowPunct w:val="true"/>
        <w:spacing w:lineRule="atLeast" w:line="330"/>
        <w:rPr/>
      </w:pPr>
      <w:r>
        <w:rPr/>
        <w:tab/>
      </w:r>
      <w:r>
        <w:rPr/>
        <w:t>有很多事件令我們感到失望，例如剛才有同事提到的《逃犯條例》或其他事情，香港會否跟隨國內的一套，慢慢箝制我們的自由呢？我們會否因為曾經出席六四悼念晚會，曾在立法會發表對六四議案的看法，一不小心便有機會被引用《逃犯條例》而引渡到內地</w:t>
      </w:r>
      <w:r>
        <w:rPr>
          <w:rFonts w:ascii="Symbol" w:hAnsi="Symbol" w:cs="Symbol" w:eastAsia="Symbol"/>
        </w:rPr>
        <w:t></w:t>
      </w:r>
      <w:r>
        <w:rPr/>
        <w:t>當然，大家當作我在開玩笑</w:t>
      </w:r>
      <w:r>
        <w:rPr>
          <w:rFonts w:ascii="Symbol" w:hAnsi="Symbol" w:cs="Symbol" w:eastAsia="Symbol"/>
        </w:rPr>
        <w:t></w:t>
      </w:r>
      <w:r>
        <w:rPr/>
        <w:t>但這是我們的恐懼，特區政府是否有責任，清晰地讓香港人知道其實香港仍有言論自由，香港不會有政治審查，如果我們批評不同的政權，亦應該以平常心對待，市民可以正式地發表這些想法呢？</w:t>
      </w:r>
    </w:p>
    <w:p>
      <w:pPr>
        <w:pStyle w:val="F21"/>
        <w:overflowPunct w:val="true"/>
        <w:rPr/>
      </w:pPr>
      <w:r>
        <w:rPr/>
      </w:r>
    </w:p>
    <w:p>
      <w:pPr>
        <w:pStyle w:val="F21"/>
        <w:overflowPunct w:val="true"/>
        <w:rPr/>
      </w:pPr>
      <w:r>
        <w:rPr/>
        <w:tab/>
      </w:r>
      <w:r>
        <w:rPr/>
        <w:t>我希望在未來</w:t>
      </w:r>
      <w:r>
        <w:rPr/>
        <w:t>10</w:t>
      </w:r>
      <w:r>
        <w:rPr/>
        <w:t>年或</w:t>
      </w:r>
      <w:r>
        <w:rPr/>
        <w:t>20</w:t>
      </w:r>
      <w:r>
        <w:rPr/>
        <w:t>年，仍可繼續在立法會這個平台，就六四議案發聲，令每一代香港人知道，可能年青人認為這是不應該做的事也不重要，但這個歷史事實在我們心中永遠存在。是否應該平反，不同政權當然有不同看法，但立法會是一個很好的平台，讓我們知道這件事曾經發生，大家可以發表不同看法，讓後輩或這一代的人可以清楚對待這事件，用正確的態度面對這事件。</w:t>
      </w:r>
    </w:p>
    <w:p>
      <w:pPr>
        <w:pStyle w:val="F21"/>
        <w:overflowPunct w:val="true"/>
        <w:rPr/>
      </w:pPr>
      <w:r>
        <w:rPr/>
      </w:r>
    </w:p>
    <w:p>
      <w:pPr>
        <w:pStyle w:val="F21"/>
        <w:overflowPunct w:val="true"/>
        <w:rPr/>
      </w:pPr>
      <w:r>
        <w:rPr/>
        <w:tab/>
      </w:r>
      <w:r>
        <w:rPr/>
        <w:t>多謝代理主席。</w:t>
      </w:r>
    </w:p>
    <w:p>
      <w:pPr>
        <w:pStyle w:val="F21"/>
        <w:overflowPunct w:val="true"/>
        <w:rPr/>
      </w:pPr>
      <w:r>
        <w:rPr/>
      </w:r>
    </w:p>
    <w:p>
      <w:pPr>
        <w:pStyle w:val="F21"/>
        <w:overflowPunct w:val="true"/>
        <w:rPr>
          <w:szCs w:val="27"/>
        </w:rPr>
      </w:pPr>
      <w:r>
        <w:rPr>
          <w:szCs w:val="27"/>
        </w:rPr>
      </w:r>
    </w:p>
    <w:p>
      <w:pPr>
        <w:pStyle w:val="F21"/>
        <w:overflowPunct w:val="true"/>
        <w:rPr/>
      </w:pPr>
      <w:r>
        <w:rPr>
          <w:rFonts w:eastAsia="華康中黑體"/>
          <w:b/>
        </w:rPr>
        <w:t>許智峯議員</w:t>
      </w:r>
      <w:r>
        <w:rPr/>
        <w:t>：代理主席，這</w:t>
      </w:r>
      <w:r>
        <w:rPr/>
        <w:t>30</w:t>
      </w:r>
      <w:r>
        <w:rPr/>
        <w:t>年來，堅持毋忘六四、平反八九民運是很多香港人的堅持。在八九民運中，學生向國家爭取民主、建立廉潔社會、反官倒、反腐敗，換來的卻是屠城和鎮壓，成千上萬手無寸鐵的學生因而慘死。如果我們連討論和承認這些歷史事實的勇氣也沒有，我們又怎可以說自己是有良知的人？八九民運對香港人有着深遠影響，喚醒了香港人要守住自由的意志，是一次很重要的醒覺。香港人承擔了向殺人政權爭取民主的重責，讓八九民運的未竟之志在香港延續。</w:t>
      </w:r>
    </w:p>
    <w:p>
      <w:pPr>
        <w:pStyle w:val="F21"/>
        <w:overflowPunct w:val="true"/>
        <w:rPr/>
      </w:pPr>
      <w:r>
        <w:rPr/>
      </w:r>
    </w:p>
    <w:p>
      <w:pPr>
        <w:pStyle w:val="F21"/>
        <w:overflowPunct w:val="true"/>
        <w:rPr/>
      </w:pPr>
      <w:r>
        <w:rPr/>
        <w:tab/>
      </w:r>
      <w:r>
        <w:rPr/>
        <w:t>八九民運令香港人發現自己由抱着</w:t>
      </w:r>
      <w:r>
        <w:rPr/>
        <w:t>"</w:t>
      </w:r>
      <w:r>
        <w:rPr/>
        <w:t>馬照跑，舞照跳</w:t>
      </w:r>
      <w:r>
        <w:rPr/>
        <w:t>"</w:t>
      </w:r>
      <w:r>
        <w:rPr/>
        <w:t>的心態，改為鼓起勇氣擔起爭取民主自由的責任。這份豪情壯志催生了香港的民主運動。我們明知道在一黨專政和</w:t>
      </w:r>
      <w:r>
        <w:rPr/>
        <w:t>"</w:t>
      </w:r>
      <w:r>
        <w:rPr/>
        <w:t>一國兩制</w:t>
      </w:r>
      <w:r>
        <w:rPr/>
        <w:t>"</w:t>
      </w:r>
      <w:r>
        <w:rPr/>
        <w:t>下，爭取民主是無比艱難的，但我們堅持下去，就是由於八九民運讓我們知道，每一個人也有他的角色。我們堅持平反六四，是因為我們是全國境內唯一的民主派，如果我們不去做，又有誰會去做呢？</w:t>
      </w:r>
    </w:p>
    <w:p>
      <w:pPr>
        <w:pStyle w:val="F21"/>
        <w:overflowPunct w:val="true"/>
        <w:rPr/>
      </w:pPr>
      <w:r>
        <w:rPr/>
      </w:r>
    </w:p>
    <w:p>
      <w:pPr>
        <w:pStyle w:val="F21"/>
        <w:overflowPunct w:val="true"/>
        <w:rPr/>
      </w:pPr>
      <w:r>
        <w:rPr/>
        <w:tab/>
      </w:r>
      <w:r>
        <w:rPr/>
        <w:t>我們當前的挑戰，不單是要承傳有關六四屠城的記憶，也不單是要平反八九民運那麼簡單，我們更需要做到的事情，就是努力守住香港僅有的自由，並勇於實踐香港制度民主化，讓香港成為國內仍然苦苦堅持的維權人士的最大後盾。</w:t>
      </w:r>
    </w:p>
    <w:p>
      <w:pPr>
        <w:pStyle w:val="F21"/>
        <w:overflowPunct w:val="true"/>
        <w:rPr/>
      </w:pPr>
      <w:r>
        <w:rPr/>
      </w:r>
    </w:p>
    <w:p>
      <w:pPr>
        <w:pStyle w:val="F21"/>
        <w:overflowPunct w:val="true"/>
        <w:rPr/>
      </w:pPr>
      <w:r>
        <w:rPr/>
        <w:tab/>
      </w:r>
      <w:r>
        <w:rPr/>
        <w:t>北京對香港的侵蝕是不會停止的。當中國政權不喜歡某人，可以隨時褫奪他的議席、禁止他參選、把他驅逐出境、取締他的政黨、判他入獄三五七年，而且在不久的將來更可以引渡他回大陸受審。甚至，隨着《基本法》第二十三條的來臨，它更加可以直接禁止某人發聲。</w:t>
      </w:r>
    </w:p>
    <w:p>
      <w:pPr>
        <w:pStyle w:val="F21"/>
        <w:overflowPunct w:val="true"/>
        <w:rPr/>
      </w:pPr>
      <w:r>
        <w:rPr/>
      </w:r>
    </w:p>
    <w:p>
      <w:pPr>
        <w:pStyle w:val="F21"/>
        <w:overflowPunct w:val="true"/>
        <w:rPr/>
      </w:pPr>
      <w:r>
        <w:rPr/>
        <w:tab/>
      </w:r>
      <w:r>
        <w:rPr/>
        <w:t>因此，各位市民，每當我們聽到平反六四的口號，每次大家仍有自由喊出</w:t>
      </w:r>
      <w:r>
        <w:rPr/>
        <w:t>"</w:t>
      </w:r>
      <w:r>
        <w:rPr/>
        <w:t>結束一黨專政</w:t>
      </w:r>
      <w:r>
        <w:rPr/>
        <w:t>"</w:t>
      </w:r>
      <w:r>
        <w:rPr/>
        <w:t>時，我請大家視之為最後一次，要好好珍惜這種自由。因為香港的民主、法治和言論自由正在直線倒退，民主派離被徹底噤聲的日子實在不遠矣。</w:t>
      </w:r>
    </w:p>
    <w:p>
      <w:pPr>
        <w:pStyle w:val="F21"/>
        <w:overflowPunct w:val="true"/>
        <w:rPr/>
      </w:pPr>
      <w:r>
        <w:rPr/>
      </w:r>
    </w:p>
    <w:p>
      <w:pPr>
        <w:pStyle w:val="F21"/>
        <w:overflowPunct w:val="true"/>
        <w:rPr/>
      </w:pPr>
      <w:r>
        <w:rPr/>
        <w:tab/>
      </w:r>
      <w:r>
        <w:rPr/>
        <w:t>所以，我們應珍惜僅有自由，並堅持平反六四、爭取香港民主。這將會是一場對決</w:t>
      </w:r>
      <w:r>
        <w:rPr>
          <w:rFonts w:ascii="Symbol" w:hAnsi="Symbol" w:cs="Symbol" w:eastAsia="Symbol"/>
          <w:kern w:val="2"/>
          <w:szCs w:val="27"/>
        </w:rPr>
        <w:t></w:t>
      </w:r>
      <w:r>
        <w:rPr/>
        <w:t>記憶與遺忘的對決，自由與恐懼的對決，也是民主與極權的對決。政治學者漢娜鄂蘭便曾經說過：即使是在最黑暗的時代，人們也總會有期望光明的權利。因此，在這個艱難時刻，我們可以依賴的防線絕對不單是</w:t>
      </w:r>
      <w:r>
        <w:rPr/>
        <w:t>"</w:t>
      </w:r>
      <w:r>
        <w:rPr/>
        <w:t>一國兩制</w:t>
      </w:r>
      <w:r>
        <w:rPr/>
        <w:t>"</w:t>
      </w:r>
      <w:r>
        <w:rPr/>
        <w:t>，而且更是重新認識當天香港人為民主運動接棒的決心</w:t>
      </w:r>
      <w:r>
        <w:rPr>
          <w:rFonts w:ascii="Symbol" w:hAnsi="Symbol" w:cs="Symbol" w:eastAsia="Symbol"/>
          <w:kern w:val="2"/>
          <w:szCs w:val="27"/>
        </w:rPr>
        <w:t></w:t>
      </w:r>
      <w:r>
        <w:rPr/>
        <w:t>以一城戰勝一國的決心。</w:t>
      </w:r>
    </w:p>
    <w:p>
      <w:pPr>
        <w:pStyle w:val="F21"/>
        <w:overflowPunct w:val="true"/>
        <w:rPr/>
      </w:pPr>
      <w:r>
        <w:rPr/>
      </w:r>
    </w:p>
    <w:p>
      <w:pPr>
        <w:pStyle w:val="F21"/>
        <w:overflowPunct w:val="true"/>
        <w:rPr/>
      </w:pPr>
      <w:r>
        <w:rPr/>
        <w:tab/>
      </w:r>
      <w:r>
        <w:rPr/>
        <w:t>故此，北京越要香港人屈服，香港人便要更為堅強。我們要有信心，民主必然會戰勝歸來。堅持毋忘六四、平反八九民運、命運自主、打敗</w:t>
      </w:r>
      <w:r>
        <w:rPr/>
        <w:t>"</w:t>
      </w:r>
      <w:r>
        <w:rPr/>
        <w:t>送中條例</w:t>
      </w:r>
      <w:r>
        <w:rPr/>
        <w:t>"</w:t>
      </w:r>
      <w:r>
        <w:rPr/>
        <w:t>。我邀請所有香港人緊記歷史給我們的教訓，緊記這段國殤和慘痛的歷史，讓它成為我們前進的力量。在六四</w:t>
      </w:r>
      <w:r>
        <w:rPr/>
        <w:t>30</w:t>
      </w:r>
      <w:r>
        <w:rPr/>
        <w:t>周年，我呼籲所有有良知的香港人到維園參加香港市民支援愛國民主運動聯合會舉辦的六四燭光晚會，一起繼續堅強地面對未來。我謹此發言。</w:t>
      </w:r>
    </w:p>
    <w:p>
      <w:pPr>
        <w:pStyle w:val="F21"/>
        <w:overflowPunct w:val="true"/>
        <w:rPr>
          <w:szCs w:val="27"/>
        </w:rPr>
      </w:pPr>
      <w:r>
        <w:rPr>
          <w:szCs w:val="27"/>
        </w:rPr>
      </w:r>
    </w:p>
    <w:p>
      <w:pPr>
        <w:pStyle w:val="F21"/>
        <w:overflowPunct w:val="true"/>
        <w:rPr>
          <w:szCs w:val="27"/>
        </w:rPr>
      </w:pPr>
      <w:r>
        <w:rPr>
          <w:szCs w:val="27"/>
        </w:rPr>
      </w:r>
    </w:p>
    <w:p>
      <w:pPr>
        <w:pStyle w:val="F21"/>
        <w:overflowPunct w:val="true"/>
        <w:rPr/>
      </w:pPr>
      <w:r>
        <w:rPr>
          <w:rFonts w:eastAsia="華康中黑體"/>
          <w:b/>
          <w:szCs w:val="27"/>
        </w:rPr>
        <w:t>鍾國斌議員</w:t>
      </w:r>
      <w:r>
        <w:rPr/>
        <w:t>：代理主席，六四事件事實上是很難忘的事件，尤其是今年剛好是</w:t>
      </w:r>
      <w:r>
        <w:rPr/>
        <w:t>30</w:t>
      </w:r>
      <w:r>
        <w:rPr/>
        <w:t>周年。每逢一些事件到</w:t>
      </w:r>
      <w:r>
        <w:rPr/>
        <w:t>5</w:t>
      </w:r>
      <w:r>
        <w:rPr/>
        <w:t>周年、</w:t>
      </w:r>
      <w:r>
        <w:rPr/>
        <w:t>10</w:t>
      </w:r>
      <w:r>
        <w:rPr/>
        <w:t>周年的時候，大家也會特別關注。大家一定不會忘記六四。</w:t>
      </w:r>
    </w:p>
    <w:p>
      <w:pPr>
        <w:pStyle w:val="F21"/>
        <w:overflowPunct w:val="true"/>
        <w:rPr/>
      </w:pPr>
      <w:r>
        <w:rPr/>
      </w:r>
    </w:p>
    <w:p>
      <w:pPr>
        <w:pStyle w:val="F21"/>
        <w:overflowPunct w:val="true"/>
        <w:rPr/>
      </w:pPr>
      <w:r>
        <w:rPr/>
        <w:tab/>
      </w:r>
      <w:r>
        <w:rPr/>
        <w:t>剛才發言的多位議員也談及六四對中國的影響，我認為六四事件對中國有實際上的影響。六四事件的出現，使中國的改革開放加快，變得更開放，也令中國的發展一日千里。如果大家把</w:t>
      </w:r>
      <w:r>
        <w:rPr/>
        <w:t>30</w:t>
      </w:r>
      <w:r>
        <w:rPr/>
        <w:t>年前的中國與今天的中國相比，自必發現事實上是有很大的改變。我們可看看</w:t>
      </w:r>
      <w:r>
        <w:rPr/>
        <w:t>1989</w:t>
      </w:r>
      <w:r>
        <w:rPr/>
        <w:t>年至</w:t>
      </w:r>
      <w:r>
        <w:rPr/>
        <w:t>1999</w:t>
      </w:r>
      <w:r>
        <w:rPr/>
        <w:t>年這</w:t>
      </w:r>
      <w:r>
        <w:rPr/>
        <w:t>10</w:t>
      </w:r>
      <w:r>
        <w:rPr/>
        <w:t>年，中國是積極地改革開放，積極地邀請外商投資，而我亦在</w:t>
      </w:r>
      <w:r>
        <w:rPr/>
        <w:t>1992</w:t>
      </w:r>
      <w:r>
        <w:rPr/>
        <w:t>年在中國開設第一間工廠。至於</w:t>
      </w:r>
      <w:r>
        <w:rPr/>
        <w:t>1999</w:t>
      </w:r>
      <w:r>
        <w:rPr/>
        <w:t>年至</w:t>
      </w:r>
      <w:r>
        <w:rPr/>
        <w:t>2009</w:t>
      </w:r>
      <w:r>
        <w:rPr/>
        <w:t>年，中國加入了世界貿易組織，融入世界的秩序中，更成為世界工廠。及至</w:t>
      </w:r>
      <w:r>
        <w:rPr/>
        <w:t>2009</w:t>
      </w:r>
      <w:r>
        <w:rPr/>
        <w:t>年至</w:t>
      </w:r>
      <w:r>
        <w:rPr/>
        <w:t>2019</w:t>
      </w:r>
      <w:r>
        <w:rPr/>
        <w:t>年，中國在科技發展方面更是一日千里，成為先進地區。大家可以看到過往</w:t>
      </w:r>
      <w:r>
        <w:rPr/>
        <w:t>30</w:t>
      </w:r>
      <w:r>
        <w:rPr/>
        <w:t>年，中國因應六四事件，催促改革開放，令今天的中國可以成功發展。</w:t>
      </w:r>
    </w:p>
    <w:p>
      <w:pPr>
        <w:pStyle w:val="Normal"/>
        <w:widowControl/>
        <w:tabs>
          <w:tab w:val="clear" w:pos="720"/>
        </w:tabs>
        <w:snapToGrid w:val="true"/>
        <w:spacing w:lineRule="auto" w:line="276" w:before="0" w:after="200"/>
        <w:jc w:val="left"/>
        <w:rPr>
          <w:rFonts w:cs="" w:cstheme="minorBidi"/>
          <w:spacing w:val="20"/>
          <w:sz w:val="27"/>
          <w:szCs w:val="22"/>
          <w:lang w:val="en-US"/>
        </w:rPr>
      </w:pPr>
      <w:r>
        <w:rPr>
          <w:rFonts w:cs="" w:cstheme="minorBidi"/>
          <w:spacing w:val="20"/>
          <w:sz w:val="27"/>
          <w:szCs w:val="22"/>
          <w:lang w:val="en-US"/>
        </w:rPr>
      </w:r>
      <w:r>
        <w:br w:type="page"/>
      </w:r>
    </w:p>
    <w:p>
      <w:pPr>
        <w:pStyle w:val="F21"/>
        <w:overflowPunct w:val="true"/>
        <w:rPr/>
      </w:pPr>
      <w:r>
        <w:rPr/>
        <w:tab/>
      </w:r>
      <w:r>
        <w:rPr/>
        <w:t>祖國有</w:t>
      </w:r>
      <w:r>
        <w:rPr/>
        <w:t>13</w:t>
      </w:r>
      <w:r>
        <w:rPr/>
        <w:t>億人，要能夠養活</w:t>
      </w:r>
      <w:r>
        <w:rPr/>
        <w:t>13</w:t>
      </w:r>
      <w:r>
        <w:rPr/>
        <w:t>億人民，令他們溫飽是絕不容易的，這是事實。事實上，大家也有目共睹，今天的中國在經濟發展、自由度、生活環境，甚至是科技先進度均較</w:t>
      </w:r>
      <w:r>
        <w:rPr/>
        <w:t>30</w:t>
      </w:r>
      <w:r>
        <w:rPr/>
        <w:t>年前好。在穩定的社會情況下，相信國家未來會繼續改革開放。當然，在改善不同制度上仍有一定的空間，但亦需要足夠的時間。</w:t>
      </w:r>
    </w:p>
    <w:p>
      <w:pPr>
        <w:pStyle w:val="F21"/>
        <w:overflowPunct w:val="true"/>
        <w:rPr/>
      </w:pPr>
      <w:r>
        <w:rPr/>
      </w:r>
    </w:p>
    <w:p>
      <w:pPr>
        <w:pStyle w:val="F21"/>
        <w:overflowPunct w:val="true"/>
        <w:rPr/>
      </w:pPr>
      <w:r>
        <w:rPr/>
        <w:tab/>
      </w:r>
      <w:r>
        <w:rPr/>
        <w:t>代理主席，六四事件當然是悲劇，任何人也不會希望有同類型的事件再次發生。我們這一代人對於六四事件的畫面記憶猶新，但我相信大部分人跟我一樣，認為隨着時間自有公論。六四事件作為重要的歷史事件，我深信這事件最終會得到公平的評價。自由黨亦一如既往，繼續就這項議案投棄權票。</w:t>
      </w:r>
    </w:p>
    <w:p>
      <w:pPr>
        <w:pStyle w:val="F21"/>
        <w:overflowPunct w:val="true"/>
        <w:rPr/>
      </w:pPr>
      <w:r>
        <w:rPr/>
      </w:r>
    </w:p>
    <w:p>
      <w:pPr>
        <w:pStyle w:val="F21"/>
        <w:overflowPunct w:val="true"/>
        <w:rPr/>
      </w:pPr>
      <w:r>
        <w:rPr/>
        <w:tab/>
      </w:r>
      <w:r>
        <w:rPr/>
        <w:t>多謝代理主席，我謹此陳辭。</w:t>
      </w:r>
    </w:p>
    <w:p>
      <w:pPr>
        <w:pStyle w:val="F21"/>
        <w:overflowPunct w:val="true"/>
        <w:rPr/>
      </w:pPr>
      <w:r>
        <w:rPr/>
      </w:r>
    </w:p>
    <w:p>
      <w:pPr>
        <w:pStyle w:val="F21"/>
        <w:overflowPunct w:val="true"/>
        <w:rPr>
          <w:szCs w:val="27"/>
        </w:rPr>
      </w:pPr>
      <w:r>
        <w:rPr>
          <w:szCs w:val="27"/>
        </w:rPr>
      </w:r>
    </w:p>
    <w:p>
      <w:pPr>
        <w:pStyle w:val="F21"/>
        <w:overflowPunct w:val="true"/>
        <w:rPr/>
      </w:pPr>
      <w:r>
        <w:rPr>
          <w:rFonts w:eastAsia="華康中黑體"/>
          <w:b/>
          <w:szCs w:val="27"/>
        </w:rPr>
        <w:t>梁繼昌議員</w:t>
      </w:r>
      <w:r>
        <w:rPr/>
        <w:t>：代理主席，清華大學法治與人權研究中心主任許章潤教授是國內一位十分傑出的法學家，於</w:t>
      </w:r>
      <w:r>
        <w:rPr/>
        <w:t>2005</w:t>
      </w:r>
      <w:r>
        <w:rPr/>
        <w:t>年曾獲官方機構中國法學會評為十大傑出青年法學家之一。</w:t>
      </w:r>
    </w:p>
    <w:p>
      <w:pPr>
        <w:pStyle w:val="F21"/>
        <w:overflowPunct w:val="true"/>
        <w:rPr/>
      </w:pPr>
      <w:r>
        <w:rPr/>
      </w:r>
    </w:p>
    <w:p>
      <w:pPr>
        <w:pStyle w:val="F21"/>
        <w:overflowPunct w:val="true"/>
        <w:rPr/>
      </w:pPr>
      <w:r>
        <w:rPr/>
        <w:tab/>
      </w:r>
      <w:r>
        <w:rPr/>
        <w:t>代理主席，去年</w:t>
      </w:r>
      <w:r>
        <w:rPr/>
        <w:t>7</w:t>
      </w:r>
      <w:r>
        <w:rPr/>
        <w:t>月，他發表了一篇題為</w:t>
      </w:r>
      <w:r>
        <w:rPr/>
        <w:t>"</w:t>
      </w:r>
      <w:r>
        <w:rPr/>
        <w:t>我們當下的恐懼與期待</w:t>
      </w:r>
      <w:r>
        <w:rPr/>
        <w:t>"</w:t>
      </w:r>
      <w:r>
        <w:rPr/>
        <w:t>的文章。該文章指出，現時的中國政府破壞了鄧小平確立的政治任期制、有限容忍市民生活自由及有限尊重私有產權等制度。他亦忠告當局恢復國家主席任期制、制止個人崇拜、平反六四、公布官員財產、反思對外大量援助的做法等。</w:t>
      </w:r>
    </w:p>
    <w:p>
      <w:pPr>
        <w:pStyle w:val="F21"/>
        <w:overflowPunct w:val="true"/>
        <w:rPr/>
      </w:pPr>
      <w:r>
        <w:rPr/>
      </w:r>
    </w:p>
    <w:p>
      <w:pPr>
        <w:pStyle w:val="F21"/>
        <w:overflowPunct w:val="true"/>
        <w:rPr/>
      </w:pPr>
      <w:r>
        <w:rPr/>
        <w:tab/>
      </w:r>
      <w:r>
        <w:rPr/>
        <w:t>去年</w:t>
      </w:r>
      <w:r>
        <w:rPr/>
        <w:t>11</w:t>
      </w:r>
      <w:r>
        <w:rPr/>
        <w:t>月和今年</w:t>
      </w:r>
      <w:r>
        <w:rPr/>
        <w:t>1</w:t>
      </w:r>
      <w:r>
        <w:rPr/>
        <w:t>月，許章潤教授再發表題為</w:t>
      </w:r>
      <w:r>
        <w:rPr/>
        <w:t>"</w:t>
      </w:r>
      <w:r>
        <w:rPr/>
        <w:t>低頭致意，天地無邊</w:t>
      </w:r>
      <w:r>
        <w:rPr/>
        <w:t>"</w:t>
      </w:r>
      <w:r>
        <w:rPr/>
        <w:t>及</w:t>
      </w:r>
      <w:r>
        <w:rPr/>
        <w:t>"</w:t>
      </w:r>
      <w:r>
        <w:rPr/>
        <w:t>中國不是一個紅色帝國</w:t>
      </w:r>
      <w:r>
        <w:rPr/>
        <w:t>"</w:t>
      </w:r>
      <w:r>
        <w:rPr/>
        <w:t>兩篇長文，指出中國是一個超大規模的極權國家，呼籲當局進行政治體制改革。</w:t>
      </w:r>
    </w:p>
    <w:p>
      <w:pPr>
        <w:pStyle w:val="F21"/>
        <w:overflowPunct w:val="true"/>
        <w:rPr/>
      </w:pPr>
      <w:r>
        <w:rPr/>
      </w:r>
    </w:p>
    <w:p>
      <w:pPr>
        <w:pStyle w:val="F21"/>
        <w:overflowPunct w:val="true"/>
        <w:rPr/>
      </w:pPr>
      <w:r>
        <w:rPr/>
        <w:tab/>
      </w:r>
      <w:r>
        <w:rPr/>
        <w:t>在一連串文章發表後，清華大學於上月命令許教授停止所有教學及科研活動，並將他的工資大幅度削減，更成立了一個工作組，對他進行調查。</w:t>
      </w:r>
    </w:p>
    <w:p>
      <w:pPr>
        <w:pStyle w:val="F21"/>
        <w:overflowPunct w:val="true"/>
        <w:rPr/>
      </w:pPr>
      <w:r>
        <w:rPr/>
      </w:r>
    </w:p>
    <w:p>
      <w:pPr>
        <w:pStyle w:val="F21"/>
        <w:overflowPunct w:val="true"/>
        <w:rPr/>
      </w:pPr>
      <w:r>
        <w:rPr/>
        <w:tab/>
      </w:r>
      <w:r>
        <w:rPr/>
        <w:t>代理主席，許教授的言論表面上對中國政府的治國方針作出了批評，但他並無要求中國落實民主制度和多黨制度</w:t>
      </w:r>
      <w:r>
        <w:rPr>
          <w:rFonts w:ascii="Symbol" w:hAnsi="Symbol" w:cs="Symbol" w:eastAsia="Symbol"/>
          <w:kern w:val="2"/>
          <w:szCs w:val="27"/>
        </w:rPr>
        <w:t></w:t>
      </w:r>
      <w:r>
        <w:rPr/>
        <w:t>這些在中國官方被認定為西方的制度。他提出的意見仍然是以現有的國家體制為基礎，亦不是甚麼偏激的理論，只是希望中國政府能夠自我完善，落實政治體制的改革。</w:t>
      </w:r>
      <w:r>
        <w:br w:type="page"/>
      </w:r>
    </w:p>
    <w:p>
      <w:pPr>
        <w:pStyle w:val="F21"/>
        <w:overflowPunct w:val="true"/>
        <w:rPr/>
      </w:pPr>
      <w:r>
        <w:rPr/>
        <w:tab/>
      </w:r>
      <w:r>
        <w:rPr/>
        <w:t>然而，從對待知識分子的態度，我們可看到這個政權如何對待異己，如何看待言論自由。國際人權組織自由之家</w:t>
      </w:r>
      <w:r>
        <w:rPr/>
        <w:t>(Freedom House)</w:t>
      </w:r>
      <w:r>
        <w:rPr/>
        <w:t>於今年</w:t>
      </w:r>
      <w:r>
        <w:rPr/>
        <w:t>2</w:t>
      </w:r>
      <w:r>
        <w:rPr/>
        <w:t>月</w:t>
      </w:r>
      <w:r>
        <w:rPr/>
        <w:t>4</w:t>
      </w:r>
      <w:r>
        <w:rPr/>
        <w:t>日發表年度報告，不幸地中國再被評為</w:t>
      </w:r>
      <w:r>
        <w:rPr/>
        <w:t>"</w:t>
      </w:r>
      <w:r>
        <w:rPr/>
        <w:t>不自由</w:t>
      </w:r>
      <w:r>
        <w:rPr/>
        <w:t>"</w:t>
      </w:r>
      <w:r>
        <w:rPr/>
        <w:t>的國家，在滿分</w:t>
      </w:r>
      <w:r>
        <w:rPr/>
        <w:t>100</w:t>
      </w:r>
      <w:r>
        <w:rPr/>
        <w:t>分中只得</w:t>
      </w:r>
      <w:r>
        <w:rPr/>
        <w:t>11</w:t>
      </w:r>
      <w:r>
        <w:rPr/>
        <w:t>分。</w:t>
      </w:r>
    </w:p>
    <w:p>
      <w:pPr>
        <w:pStyle w:val="F21"/>
        <w:overflowPunct w:val="true"/>
        <w:rPr/>
      </w:pPr>
      <w:r>
        <w:rPr/>
      </w:r>
    </w:p>
    <w:p>
      <w:pPr>
        <w:pStyle w:val="F21"/>
        <w:overflowPunct w:val="true"/>
        <w:rPr/>
      </w:pPr>
      <w:r>
        <w:rPr/>
        <w:tab/>
      </w:r>
      <w:r>
        <w:rPr/>
        <w:t>以上多宗事件反映出缺乏制衡的政府，往往可以將手中權力無限放大，以</w:t>
      </w:r>
      <w:r>
        <w:rPr/>
        <w:t>"</w:t>
      </w:r>
      <w:r>
        <w:rPr/>
        <w:t>維穩</w:t>
      </w:r>
      <w:r>
        <w:rPr/>
        <w:t>"</w:t>
      </w:r>
      <w:r>
        <w:rPr/>
        <w:t>、</w:t>
      </w:r>
      <w:r>
        <w:rPr/>
        <w:t>"</w:t>
      </w:r>
      <w:r>
        <w:rPr/>
        <w:t>穩定</w:t>
      </w:r>
      <w:r>
        <w:rPr/>
        <w:t>"</w:t>
      </w:r>
      <w:r>
        <w:rPr/>
        <w:t>或</w:t>
      </w:r>
      <w:r>
        <w:rPr/>
        <w:t>"</w:t>
      </w:r>
      <w:r>
        <w:rPr/>
        <w:t>國家安全</w:t>
      </w:r>
      <w:r>
        <w:rPr/>
        <w:t>"</w:t>
      </w:r>
      <w:r>
        <w:rPr/>
        <w:t>的名義，剝削個人的權利和自由。</w:t>
      </w:r>
    </w:p>
    <w:p>
      <w:pPr>
        <w:pStyle w:val="F21"/>
        <w:overflowPunct w:val="true"/>
        <w:rPr/>
      </w:pPr>
      <w:r>
        <w:rPr/>
      </w:r>
    </w:p>
    <w:p>
      <w:pPr>
        <w:pStyle w:val="F21"/>
        <w:overflowPunct w:val="true"/>
        <w:rPr/>
      </w:pPr>
      <w:r>
        <w:rPr/>
        <w:tab/>
      </w:r>
      <w:r>
        <w:rPr/>
        <w:t>香港有很多人可能認為，只談經濟發展，不談政治，不去觸碰敏感議題及官方所謂的</w:t>
      </w:r>
      <w:r>
        <w:rPr/>
        <w:t>"</w:t>
      </w:r>
      <w:r>
        <w:rPr/>
        <w:t>紅線</w:t>
      </w:r>
      <w:r>
        <w:rPr/>
        <w:t>"</w:t>
      </w:r>
      <w:r>
        <w:rPr/>
        <w:t>，中國政局如何發展對普通人不會有太大影響。</w:t>
      </w:r>
    </w:p>
    <w:p>
      <w:pPr>
        <w:pStyle w:val="F21"/>
        <w:overflowPunct w:val="true"/>
        <w:rPr/>
      </w:pPr>
      <w:r>
        <w:rPr/>
      </w:r>
    </w:p>
    <w:p>
      <w:pPr>
        <w:pStyle w:val="F21"/>
        <w:overflowPunct w:val="true"/>
        <w:rPr/>
      </w:pPr>
      <w:r>
        <w:rPr/>
        <w:tab/>
      </w:r>
      <w:r>
        <w:rPr/>
        <w:t>其實，這個觀點是錯誤的。港人在內地購買</w:t>
      </w:r>
      <w:r>
        <w:rPr/>
        <w:t>"</w:t>
      </w:r>
      <w:r>
        <w:rPr/>
        <w:t>爛尾樓</w:t>
      </w:r>
      <w:r>
        <w:rPr/>
        <w:t>"</w:t>
      </w:r>
      <w:r>
        <w:rPr/>
        <w:t>，市民在投資失利後追討無門，以及在國內從商的商人在遇到業務糾紛時，因內地缺乏合適的仲裁及調解機制或公平和透明的法律審訊制度而無法得到處理</w:t>
      </w:r>
      <w:r>
        <w:rPr>
          <w:rFonts w:ascii="Symbol" w:hAnsi="Symbol" w:cs="Symbol" w:eastAsia="Symbol"/>
          <w:kern w:val="2"/>
          <w:szCs w:val="27"/>
        </w:rPr>
        <w:t></w:t>
      </w:r>
      <w:r>
        <w:rPr/>
        <w:t>從這些例子可見，所謂</w:t>
      </w:r>
      <w:r>
        <w:rPr/>
        <w:t>"</w:t>
      </w:r>
      <w:r>
        <w:rPr/>
        <w:t>悶聲發大財</w:t>
      </w:r>
      <w:r>
        <w:rPr/>
        <w:t>"</w:t>
      </w:r>
      <w:r>
        <w:rPr/>
        <w:t>的態度並不一定是對的。缺乏法治及對私人產權保障的營商和投資環境永遠不會穩定，也不會令人產生信心。</w:t>
      </w:r>
    </w:p>
    <w:p>
      <w:pPr>
        <w:pStyle w:val="F21"/>
        <w:overflowPunct w:val="true"/>
        <w:rPr/>
      </w:pPr>
      <w:r>
        <w:rPr/>
      </w:r>
    </w:p>
    <w:p>
      <w:pPr>
        <w:pStyle w:val="F21"/>
        <w:overflowPunct w:val="true"/>
        <w:rPr/>
      </w:pPr>
      <w:r>
        <w:rPr/>
        <w:tab/>
      </w:r>
      <w:r>
        <w:rPr/>
        <w:t>我們在這</w:t>
      </w:r>
      <w:r>
        <w:rPr/>
        <w:t>30</w:t>
      </w:r>
      <w:r>
        <w:rPr/>
        <w:t>年以來也在追求一個</w:t>
      </w:r>
      <w:r>
        <w:rPr/>
        <w:t>"</w:t>
      </w:r>
      <w:r>
        <w:rPr/>
        <w:t>平反六四</w:t>
      </w:r>
      <w:r>
        <w:rPr/>
        <w:t>"</w:t>
      </w:r>
      <w:r>
        <w:rPr/>
        <w:t>的說法。六四的精神在於對中國落實民主、爭取社會公義及尊重公民權利的堅持。代理主席，如果中國要真正做世界上的</w:t>
      </w:r>
      <w:r>
        <w:rPr/>
        <w:t>"</w:t>
      </w:r>
      <w:r>
        <w:rPr/>
        <w:t>大國</w:t>
      </w:r>
      <w:r>
        <w:rPr/>
        <w:t>"</w:t>
      </w:r>
      <w:r>
        <w:rPr/>
        <w:t>或</w:t>
      </w:r>
      <w:r>
        <w:rPr/>
        <w:t>"</w:t>
      </w:r>
      <w:r>
        <w:rPr/>
        <w:t>超級大國</w:t>
      </w:r>
      <w:r>
        <w:rPr/>
        <w:t>"</w:t>
      </w:r>
      <w:r>
        <w:rPr/>
        <w:t>，中央政府在發展經濟的同時，應充分照顧每名國民，並透過建立民主制度，保障及捍衞每名國民的權利和尊嚴，同時保障言論、集會及結社的自由，令中國各地各個民族</w:t>
      </w:r>
      <w:r>
        <w:rPr>
          <w:rFonts w:ascii="Symbol" w:hAnsi="Symbol" w:cs="Symbol" w:eastAsia="Symbol"/>
          <w:kern w:val="2"/>
          <w:szCs w:val="27"/>
        </w:rPr>
        <w:t></w:t>
      </w:r>
      <w:r>
        <w:rPr/>
        <w:t>50</w:t>
      </w:r>
      <w:r>
        <w:rPr/>
        <w:t>多個民族</w:t>
      </w:r>
      <w:r>
        <w:rPr>
          <w:rFonts w:ascii="Symbol" w:hAnsi="Symbol" w:cs="Symbol" w:eastAsia="Symbol"/>
          <w:kern w:val="2"/>
          <w:szCs w:val="27"/>
        </w:rPr>
        <w:t></w:t>
      </w:r>
      <w:r>
        <w:rPr/>
        <w:t>的人民均不再活在恐懼中。此外，中國亦要勇於面對真相，堅持及表達自己的信念和價值，才能真正在國際之間建立自信，讓人民感受自豪。平反六四，是讓中國執政者和政府不再扭曲價值及承認自己的過失，並讓整個國家、整個民族以至全體人民走回正軌的轉捩點。</w:t>
      </w:r>
    </w:p>
    <w:p>
      <w:pPr>
        <w:pStyle w:val="F21"/>
        <w:overflowPunct w:val="true"/>
        <w:rPr/>
      </w:pPr>
      <w:r>
        <w:rPr/>
      </w:r>
    </w:p>
    <w:p>
      <w:pPr>
        <w:pStyle w:val="F21"/>
        <w:overflowPunct w:val="true"/>
        <w:rPr/>
      </w:pPr>
      <w:r>
        <w:rPr/>
        <w:tab/>
      </w:r>
      <w:r>
        <w:rPr/>
        <w:t>我希望在座各位議員均會支持</w:t>
      </w:r>
      <w:r>
        <w:rPr/>
        <w:t>"</w:t>
      </w:r>
      <w:r>
        <w:rPr/>
        <w:t>平反六四</w:t>
      </w:r>
      <w:r>
        <w:rPr/>
        <w:t>"</w:t>
      </w:r>
      <w:r>
        <w:rPr/>
        <w:t>議案。</w:t>
      </w:r>
    </w:p>
    <w:p>
      <w:pPr>
        <w:pStyle w:val="F21"/>
        <w:overflowPunct w:val="true"/>
        <w:rPr/>
      </w:pPr>
      <w:r>
        <w:rPr/>
      </w:r>
    </w:p>
    <w:p>
      <w:pPr>
        <w:pStyle w:val="F21"/>
        <w:overflowPunct w:val="true"/>
        <w:rPr/>
      </w:pPr>
      <w:r>
        <w:rPr/>
        <w:tab/>
      </w:r>
      <w:r>
        <w:rPr/>
        <w:t>代理主席，我謹此發言。</w:t>
      </w:r>
    </w:p>
    <w:p>
      <w:pPr>
        <w:pStyle w:val="F21"/>
        <w:overflowPunct w:val="true"/>
        <w:rPr/>
      </w:pPr>
      <w:r>
        <w:rPr/>
      </w:r>
    </w:p>
    <w:p>
      <w:pPr>
        <w:pStyle w:val="F21"/>
        <w:overflowPunct w:val="true"/>
        <w:rPr/>
      </w:pPr>
      <w:r>
        <w:rPr/>
      </w:r>
    </w:p>
    <w:p>
      <w:pPr>
        <w:pStyle w:val="F21"/>
        <w:overflowPunct w:val="true"/>
        <w:rPr/>
      </w:pPr>
      <w:r>
        <w:rPr>
          <w:rFonts w:eastAsia="華康中黑體"/>
          <w:b/>
        </w:rPr>
        <w:t>代理主席</w:t>
      </w:r>
      <w:r>
        <w:rPr/>
        <w:t>：是否有其他議員想發言？</w:t>
      </w:r>
    </w:p>
    <w:p>
      <w:pPr>
        <w:pStyle w:val="Normal"/>
        <w:widowControl/>
        <w:tabs>
          <w:tab w:val="clear" w:pos="720"/>
        </w:tabs>
        <w:snapToGrid w:val="true"/>
        <w:spacing w:lineRule="auto" w:line="276" w:before="0" w:after="200"/>
        <w:jc w:val="left"/>
        <w:rPr>
          <w:rFonts w:cs="" w:cstheme="minorBidi"/>
          <w:spacing w:val="20"/>
          <w:sz w:val="27"/>
          <w:szCs w:val="22"/>
          <w:lang w:val="en-US"/>
        </w:rPr>
      </w:pPr>
      <w:r>
        <w:rPr>
          <w:rFonts w:cs="" w:cstheme="minorBidi"/>
          <w:spacing w:val="20"/>
          <w:sz w:val="27"/>
          <w:szCs w:val="22"/>
          <w:lang w:val="en-US"/>
        </w:rPr>
      </w:r>
      <w:r>
        <w:br w:type="page"/>
      </w:r>
    </w:p>
    <w:p>
      <w:pPr>
        <w:pStyle w:val="F21"/>
        <w:overflowPunct w:val="true"/>
        <w:spacing w:lineRule="atLeast" w:line="380"/>
        <w:rPr>
          <w:szCs w:val="27"/>
        </w:rPr>
      </w:pPr>
      <w:r>
        <w:rPr>
          <w:rFonts w:eastAsia="華康中黑體"/>
          <w:b/>
          <w:kern w:val="2"/>
        </w:rPr>
        <w:t>何君堯議員</w:t>
      </w:r>
      <w:r>
        <w:rPr>
          <w:szCs w:val="27"/>
        </w:rPr>
        <w:t>：代理主席，對於這項</w:t>
      </w:r>
      <w:r>
        <w:rPr>
          <w:szCs w:val="27"/>
        </w:rPr>
        <w:t>"</w:t>
      </w:r>
      <w:r>
        <w:rPr>
          <w:szCs w:val="27"/>
        </w:rPr>
        <w:t>毋忘六四</w:t>
      </w:r>
      <w:r>
        <w:rPr>
          <w:szCs w:val="27"/>
        </w:rPr>
        <w:t>"</w:t>
      </w:r>
      <w:r>
        <w:rPr>
          <w:szCs w:val="27"/>
        </w:rPr>
        <w:t>的議題，我當然毋忘，因為這是發生於我們中國近代歷史一件十分重要的事情。</w:t>
      </w:r>
    </w:p>
    <w:p>
      <w:pPr>
        <w:pStyle w:val="F21"/>
        <w:overflowPunct w:val="true"/>
        <w:spacing w:lineRule="atLeast" w:line="380"/>
        <w:rPr>
          <w:szCs w:val="27"/>
        </w:rPr>
      </w:pPr>
      <w:r>
        <w:rPr>
          <w:szCs w:val="27"/>
        </w:rPr>
      </w:r>
    </w:p>
    <w:p>
      <w:pPr>
        <w:pStyle w:val="F21"/>
        <w:overflowPunct w:val="true"/>
        <w:spacing w:lineRule="atLeast" w:line="380"/>
        <w:rPr>
          <w:szCs w:val="27"/>
        </w:rPr>
      </w:pPr>
      <w:r>
        <w:rPr>
          <w:szCs w:val="27"/>
        </w:rPr>
        <w:tab/>
      </w:r>
      <w:r>
        <w:rPr>
          <w:szCs w:val="27"/>
        </w:rPr>
        <w:t>正如我去年就</w:t>
      </w:r>
      <w:r>
        <w:rPr>
          <w:szCs w:val="27"/>
        </w:rPr>
        <w:t>"</w:t>
      </w:r>
      <w:r>
        <w:rPr>
          <w:szCs w:val="27"/>
        </w:rPr>
        <w:t>毋忘六四</w:t>
      </w:r>
      <w:r>
        <w:rPr>
          <w:szCs w:val="27"/>
        </w:rPr>
        <w:t>"</w:t>
      </w:r>
      <w:r>
        <w:rPr>
          <w:szCs w:val="27"/>
        </w:rPr>
        <w:t>的議題發言時所說，</w:t>
      </w:r>
      <w:r>
        <w:rPr>
          <w:szCs w:val="27"/>
        </w:rPr>
        <w:t>"</w:t>
      </w:r>
      <w:r>
        <w:rPr>
          <w:szCs w:val="27"/>
        </w:rPr>
        <w:t>毋忘六四愛國學生之初心！悼念八九為國犧牲之英魂！</w:t>
      </w:r>
      <w:r>
        <w:rPr>
          <w:szCs w:val="27"/>
        </w:rPr>
        <w:t>"</w:t>
      </w:r>
      <w:r>
        <w:rPr>
          <w:szCs w:val="27"/>
        </w:rPr>
        <w:t>。在</w:t>
      </w:r>
      <w:r>
        <w:rPr>
          <w:szCs w:val="27"/>
        </w:rPr>
        <w:t>1989</w:t>
      </w:r>
      <w:r>
        <w:rPr>
          <w:szCs w:val="27"/>
        </w:rPr>
        <w:t>年，當時</w:t>
      </w:r>
      <w:r>
        <w:rPr>
          <w:szCs w:val="27"/>
        </w:rPr>
        <w:t>20</w:t>
      </w:r>
      <w:r>
        <w:rPr>
          <w:szCs w:val="27"/>
        </w:rPr>
        <w:t>多歲的我看到這篇新聞，得悉事態非常嚴重。我曾經澎湃過，不明白為何會發生這種事。但年紀漸長，視野應該更廣。當時或許會熱血澎湃或較單向地看事情，但經過一段時間後，現在會有多點理解。我仍然認為在六四事件中，死一個也嫌多。但當我們今天看得清楚點</w:t>
      </w:r>
      <w:r>
        <w:rPr>
          <w:rFonts w:ascii="Symbol" w:hAnsi="Symbol" w:cs="Symbol" w:eastAsia="Symbol"/>
          <w:szCs w:val="27"/>
        </w:rPr>
        <w:t></w:t>
      </w:r>
      <w:r>
        <w:rPr>
          <w:szCs w:val="27"/>
        </w:rPr>
        <w:t>並非完全清楚</w:t>
      </w:r>
      <w:r>
        <w:rPr>
          <w:rFonts w:ascii="Symbol" w:hAnsi="Symbol" w:cs="Symbol" w:eastAsia="Symbol"/>
          <w:szCs w:val="27"/>
        </w:rPr>
        <w:t></w:t>
      </w:r>
      <w:r>
        <w:rPr>
          <w:szCs w:val="27"/>
        </w:rPr>
        <w:t>以及能明白和洞悉世界整體的事態變化，便會知道一件事情的發生往往並非如此簡單。</w:t>
      </w:r>
    </w:p>
    <w:p>
      <w:pPr>
        <w:pStyle w:val="F21"/>
        <w:overflowPunct w:val="true"/>
        <w:spacing w:lineRule="atLeast" w:line="380"/>
        <w:rPr>
          <w:szCs w:val="27"/>
        </w:rPr>
      </w:pPr>
      <w:r>
        <w:rPr>
          <w:szCs w:val="27"/>
        </w:rPr>
      </w:r>
    </w:p>
    <w:p>
      <w:pPr>
        <w:pStyle w:val="F21"/>
        <w:overflowPunct w:val="true"/>
        <w:spacing w:lineRule="atLeast" w:line="380"/>
        <w:rPr>
          <w:szCs w:val="27"/>
        </w:rPr>
      </w:pPr>
      <w:r>
        <w:rPr>
          <w:szCs w:val="27"/>
        </w:rPr>
        <w:tab/>
      </w:r>
      <w:r>
        <w:rPr>
          <w:szCs w:val="27"/>
        </w:rPr>
        <w:t>因此，究竟是否純粹錯在當時開槍或鎮壓呢？我認為單單這樣看，便是太單純和簡單。有關六四事件的辯論，我們已聽了</w:t>
      </w:r>
      <w:r>
        <w:rPr>
          <w:szCs w:val="27"/>
        </w:rPr>
        <w:t>30</w:t>
      </w:r>
      <w:r>
        <w:rPr>
          <w:szCs w:val="27"/>
        </w:rPr>
        <w:t>年，亦聽過很多民主派同事指中國當時做得不對。但同時有另一種說法指，如果當時中國失去穩定的局面，我們今天便不會取得這麼好的成果。</w:t>
      </w:r>
    </w:p>
    <w:p>
      <w:pPr>
        <w:pStyle w:val="F21"/>
        <w:overflowPunct w:val="true"/>
        <w:spacing w:lineRule="atLeast" w:line="380"/>
        <w:rPr>
          <w:szCs w:val="27"/>
        </w:rPr>
      </w:pPr>
      <w:r>
        <w:rPr>
          <w:szCs w:val="27"/>
        </w:rPr>
      </w:r>
    </w:p>
    <w:p>
      <w:pPr>
        <w:pStyle w:val="F21"/>
        <w:overflowPunct w:val="true"/>
        <w:spacing w:lineRule="atLeast" w:line="380"/>
        <w:rPr>
          <w:szCs w:val="27"/>
        </w:rPr>
      </w:pPr>
      <w:r>
        <w:rPr>
          <w:szCs w:val="27"/>
        </w:rPr>
        <w:tab/>
      </w:r>
      <w:r>
        <w:rPr>
          <w:szCs w:val="27"/>
        </w:rPr>
        <w:t>世事循環不息，孰對孰錯，有時可能未必能完全掌握清楚。總有一天，歷史會揭示更多。在目前這一刻，我仍然堅持</w:t>
      </w:r>
      <w:r>
        <w:rPr>
          <w:szCs w:val="27"/>
        </w:rPr>
        <w:t>"</w:t>
      </w:r>
      <w:r>
        <w:rPr>
          <w:szCs w:val="27"/>
        </w:rPr>
        <w:t>毋忘六四愛國學生之初心</w:t>
      </w:r>
      <w:r>
        <w:rPr>
          <w:szCs w:val="27"/>
        </w:rPr>
        <w:t>"</w:t>
      </w:r>
      <w:r>
        <w:rPr>
          <w:szCs w:val="27"/>
        </w:rPr>
        <w:t>，相信當時大部分學生的心是純潔的。但其後維護國家安全的人民子弟兵同樣有所犧牲，他們也是愛國的英魂，我們亦要明白這一點。因此，在這種情況下，如果我們還堅稱中共是冷血無情的政權，我無法接受。雖然它並非完美的政權，但它能取得今天的成就，比任何一個人更有其能耐。</w:t>
      </w:r>
    </w:p>
    <w:p>
      <w:pPr>
        <w:pStyle w:val="F21"/>
        <w:overflowPunct w:val="true"/>
        <w:spacing w:lineRule="atLeast" w:line="380"/>
        <w:rPr>
          <w:szCs w:val="27"/>
        </w:rPr>
      </w:pPr>
      <w:r>
        <w:rPr>
          <w:szCs w:val="27"/>
        </w:rPr>
      </w:r>
    </w:p>
    <w:p>
      <w:pPr>
        <w:pStyle w:val="F21"/>
        <w:overflowPunct w:val="true"/>
        <w:spacing w:lineRule="atLeast" w:line="380"/>
        <w:rPr>
          <w:szCs w:val="27"/>
        </w:rPr>
      </w:pPr>
      <w:r>
        <w:rPr>
          <w:szCs w:val="27"/>
        </w:rPr>
        <w:tab/>
      </w:r>
      <w:r>
        <w:rPr>
          <w:szCs w:val="27"/>
        </w:rPr>
        <w:t>我們也看到大家曾幾何時崇拜的美國主義，以及美國隊長、超人等維護宇宙和平及世界安全的超級警察，今天又如何呢？我們看到局面已改變。因此，我認為如果糾纏於六四事件的錯誤，然後總是針對着這個錯誤，不讓傷口復原，便是過分執着於某環節而失卻對整體歷史的宏觀看法。我重複，歷史仍然可讓我們看得更清楚。從</w:t>
      </w:r>
      <w:r>
        <w:rPr>
          <w:szCs w:val="27"/>
        </w:rPr>
        <w:t>30</w:t>
      </w:r>
      <w:r>
        <w:rPr>
          <w:szCs w:val="27"/>
        </w:rPr>
        <w:t>年後的今天看</w:t>
      </w:r>
      <w:r>
        <w:rPr>
          <w:szCs w:val="27"/>
        </w:rPr>
        <w:t>30</w:t>
      </w:r>
      <w:r>
        <w:rPr>
          <w:szCs w:val="27"/>
        </w:rPr>
        <w:t>年前的歷史，我可以肯定的說一句，我比</w:t>
      </w:r>
      <w:r>
        <w:rPr>
          <w:szCs w:val="27"/>
        </w:rPr>
        <w:t>30</w:t>
      </w:r>
      <w:r>
        <w:rPr>
          <w:szCs w:val="27"/>
        </w:rPr>
        <w:t>年前看到的和理解的多了很多，事情的黑白並非如此清晰。因此，我反而慶幸活於當下這一刻的中國人能有機會見證我們過去數十年走過的路殊不簡單。目前能取得這種成就，我們更要把握機遇，化所有悲憤為正面能量，構建好自己的國度，把香港的環境打造得更好。此外，透過發展大灣區和</w:t>
      </w:r>
      <w:r>
        <w:rPr>
          <w:szCs w:val="27"/>
        </w:rPr>
        <w:t>"</w:t>
      </w:r>
      <w:r>
        <w:rPr>
          <w:szCs w:val="27"/>
        </w:rPr>
        <w:t>一帶一路</w:t>
      </w:r>
      <w:r>
        <w:rPr>
          <w:szCs w:val="27"/>
        </w:rPr>
        <w:t>"</w:t>
      </w:r>
      <w:r>
        <w:rPr>
          <w:szCs w:val="27"/>
        </w:rPr>
        <w:t>，讓仍然有這種熱血沸騰的情懷的年青人做更有意義的事，總好過繼續針對着這個傷口的瘡疤。</w:t>
      </w:r>
    </w:p>
    <w:p>
      <w:pPr>
        <w:pStyle w:val="F21"/>
        <w:overflowPunct w:val="true"/>
        <w:rPr>
          <w:szCs w:val="27"/>
        </w:rPr>
      </w:pPr>
      <w:r>
        <w:rPr>
          <w:szCs w:val="27"/>
        </w:rPr>
      </w:r>
    </w:p>
    <w:p>
      <w:pPr>
        <w:pStyle w:val="F21"/>
        <w:overflowPunct w:val="true"/>
        <w:rPr>
          <w:szCs w:val="27"/>
        </w:rPr>
      </w:pPr>
      <w:r>
        <w:rPr>
          <w:szCs w:val="27"/>
        </w:rPr>
      </w:r>
    </w:p>
    <w:p>
      <w:pPr>
        <w:pStyle w:val="F21"/>
        <w:overflowPunct w:val="true"/>
        <w:rPr>
          <w:szCs w:val="27"/>
        </w:rPr>
      </w:pPr>
      <w:r>
        <w:rPr>
          <w:szCs w:val="27"/>
        </w:rPr>
        <w:t>(</w:t>
      </w:r>
      <w:r>
        <w:rPr>
          <w:szCs w:val="27"/>
        </w:rPr>
        <w:t>主席恢復主持會議</w:t>
      </w:r>
      <w:r>
        <w:rPr>
          <w:szCs w:val="27"/>
        </w:rPr>
        <w:t>)</w:t>
      </w:r>
    </w:p>
    <w:p>
      <w:pPr>
        <w:pStyle w:val="F21"/>
        <w:overflowPunct w:val="true"/>
        <w:rPr>
          <w:szCs w:val="27"/>
        </w:rPr>
      </w:pPr>
      <w:r>
        <w:rPr>
          <w:szCs w:val="27"/>
        </w:rPr>
      </w:r>
    </w:p>
    <w:p>
      <w:pPr>
        <w:pStyle w:val="F21"/>
        <w:overflowPunct w:val="true"/>
        <w:rPr>
          <w:szCs w:val="27"/>
        </w:rPr>
      </w:pPr>
      <w:r>
        <w:rPr>
          <w:szCs w:val="27"/>
        </w:rPr>
      </w:r>
    </w:p>
    <w:p>
      <w:pPr>
        <w:pStyle w:val="F21"/>
        <w:overflowPunct w:val="true"/>
        <w:rPr>
          <w:szCs w:val="27"/>
        </w:rPr>
      </w:pPr>
      <w:r>
        <w:rPr>
          <w:szCs w:val="27"/>
        </w:rPr>
        <w:tab/>
      </w:r>
      <w:r>
        <w:rPr>
          <w:szCs w:val="27"/>
        </w:rPr>
        <w:t>如果有些事情自己無法解決，便留待將來慢慢處理。我們今天看到國家以人民安全為宗旨、以政治安全為根本、以經濟安全為基礎，打造出一條富有中國特色的國家安全道路。我們應嘗試在這條路上做得更輝煌，化悲憤為力量，方為更正面的做法。如果說要結束一黨專政，我認為在這一刻是不切實際的，或許會令國家承受比六四更慘痛的後果。多謝。</w:t>
      </w:r>
    </w:p>
    <w:p>
      <w:pPr>
        <w:pStyle w:val="F21"/>
        <w:overflowPunct w:val="true"/>
        <w:rPr>
          <w:szCs w:val="27"/>
        </w:rPr>
      </w:pPr>
      <w:r>
        <w:rPr>
          <w:szCs w:val="27"/>
        </w:rPr>
      </w:r>
    </w:p>
    <w:p>
      <w:pPr>
        <w:pStyle w:val="F21"/>
        <w:overflowPunct w:val="true"/>
        <w:rPr>
          <w:szCs w:val="27"/>
        </w:rPr>
      </w:pPr>
      <w:r>
        <w:rPr>
          <w:szCs w:val="27"/>
        </w:rPr>
      </w:r>
    </w:p>
    <w:p>
      <w:pPr>
        <w:pStyle w:val="F21"/>
        <w:overflowPunct w:val="true"/>
        <w:rPr/>
      </w:pPr>
      <w:r>
        <w:rPr>
          <w:rFonts w:eastAsia="華康中黑體"/>
          <w:b/>
        </w:rPr>
        <w:t>鄭松泰議員</w:t>
      </w:r>
      <w:r>
        <w:rPr/>
        <w:t>：各位議員和各位香港人，過去兩年，我沒有就民主派提出的</w:t>
      </w:r>
      <w:r>
        <w:rPr/>
        <w:t>"</w:t>
      </w:r>
      <w:r>
        <w:rPr/>
        <w:t>毋忘六四</w:t>
      </w:r>
      <w:r>
        <w:rPr/>
        <w:t>"</w:t>
      </w:r>
      <w:r>
        <w:rPr/>
        <w:t>議案發言，甚至避席投票。事因我不認為今年或今屆立法會的</w:t>
      </w:r>
      <w:r>
        <w:rPr/>
        <w:t>4</w:t>
      </w:r>
      <w:r>
        <w:rPr/>
        <w:t>年任期內，在所謂大中華或本土派的論述下，在會議廳裏爭辯是否毋忘六四還有非常具體的意義。</w:t>
      </w:r>
    </w:p>
    <w:p>
      <w:pPr>
        <w:pStyle w:val="F21"/>
        <w:overflowPunct w:val="true"/>
        <w:rPr/>
      </w:pPr>
      <w:r>
        <w:rPr/>
      </w:r>
    </w:p>
    <w:p>
      <w:pPr>
        <w:pStyle w:val="F21"/>
        <w:overflowPunct w:val="true"/>
        <w:rPr/>
      </w:pPr>
      <w:r>
        <w:rPr/>
        <w:tab/>
      </w:r>
      <w:r>
        <w:rPr/>
        <w:t>自從</w:t>
      </w:r>
      <w:r>
        <w:rPr/>
        <w:t>2013</w:t>
      </w:r>
      <w:r>
        <w:rPr/>
        <w:t>年香港市民支援愛國民主運動聯合會</w:t>
      </w:r>
      <w:r>
        <w:rPr/>
        <w:t>("</w:t>
      </w:r>
      <w:r>
        <w:rPr/>
        <w:t>支聯會</w:t>
      </w:r>
      <w:r>
        <w:rPr/>
        <w:t>")</w:t>
      </w:r>
      <w:r>
        <w:rPr/>
        <w:t>提出</w:t>
      </w:r>
      <w:r>
        <w:rPr/>
        <w:t>"</w:t>
      </w:r>
      <w:r>
        <w:rPr/>
        <w:t>愛國愛民，香港精神</w:t>
      </w:r>
      <w:r>
        <w:rPr/>
        <w:t>"</w:t>
      </w:r>
      <w:r>
        <w:rPr/>
        <w:t>的口號，展開本土與大中華的論戰，我們熱血公民便認為香港人必須有自己的六四集會，於是在</w:t>
      </w:r>
      <w:r>
        <w:rPr/>
        <w:t>2014</w:t>
      </w:r>
      <w:r>
        <w:rPr/>
        <w:t>年於尖沙咀舉辦香港人的六四集會。另外，我們認為香港人要悼念六四，就應該遍地開花，所以由</w:t>
      </w:r>
      <w:r>
        <w:rPr/>
        <w:t>2015</w:t>
      </w:r>
      <w:r>
        <w:rPr/>
        <w:t>年開始在各區進舉行悼念活動。</w:t>
      </w:r>
    </w:p>
    <w:p>
      <w:pPr>
        <w:pStyle w:val="F21"/>
        <w:overflowPunct w:val="true"/>
        <w:rPr/>
      </w:pPr>
      <w:r>
        <w:rPr/>
      </w:r>
    </w:p>
    <w:p>
      <w:pPr>
        <w:pStyle w:val="F21"/>
        <w:overflowPunct w:val="true"/>
        <w:rPr/>
      </w:pPr>
      <w:r>
        <w:rPr/>
        <w:tab/>
      </w:r>
      <w:r>
        <w:rPr/>
        <w:t>時至今天，我們一直認為香港人要毋忘六四，必由香港本位出發，以香港的長遠觀點詮釋六四對香港人的意義。所以，在今天的議案辯論中，無論泛民的觀點、本土的觀點，以至親共的觀點，我也認為在議會的代議士應該發言論述。雖然過去兩年我沒有發言，但為甚麼今天會就此發言呢？只因為一件事：《逃犯條例》修訂在即。藉着就這項</w:t>
      </w:r>
      <w:r>
        <w:rPr/>
        <w:t>"</w:t>
      </w:r>
      <w:r>
        <w:rPr/>
        <w:t>毋忘六四</w:t>
      </w:r>
      <w:r>
        <w:rPr/>
        <w:t>"</w:t>
      </w:r>
      <w:r>
        <w:rPr/>
        <w:t>的議案發言，我希望重申我方陣營對於此議案的看法，以及藉此重新思考如何以香港本位來就着</w:t>
      </w:r>
      <w:r>
        <w:rPr/>
        <w:t>"</w:t>
      </w:r>
      <w:r>
        <w:rPr/>
        <w:t>六四慘案</w:t>
      </w:r>
      <w:r>
        <w:rPr/>
        <w:t>"</w:t>
      </w:r>
      <w:r>
        <w:rPr/>
        <w:t>作出處理，或者長遠計劃香港的將來。</w:t>
      </w:r>
    </w:p>
    <w:p>
      <w:pPr>
        <w:pStyle w:val="F21"/>
        <w:overflowPunct w:val="true"/>
        <w:rPr/>
      </w:pPr>
      <w:r>
        <w:rPr/>
      </w:r>
    </w:p>
    <w:p>
      <w:pPr>
        <w:pStyle w:val="F21"/>
        <w:overflowPunct w:val="true"/>
        <w:rPr/>
      </w:pPr>
      <w:r>
        <w:rPr/>
        <w:tab/>
      </w:r>
      <w:r>
        <w:rPr/>
        <w:t>因此，在</w:t>
      </w:r>
      <w:r>
        <w:rPr/>
        <w:t>"</w:t>
      </w:r>
      <w:r>
        <w:rPr/>
        <w:t>六四慘案</w:t>
      </w:r>
      <w:r>
        <w:rPr/>
        <w:t>"30</w:t>
      </w:r>
      <w:r>
        <w:rPr/>
        <w:t>周年，我會以更宏觀的視野作出回顧。胡‍志‍偉議員在發言中提到</w:t>
      </w:r>
      <w:r>
        <w:rPr/>
        <w:t>"</w:t>
      </w:r>
      <w:r>
        <w:rPr/>
        <w:t>水滴石穿</w:t>
      </w:r>
      <w:r>
        <w:rPr/>
        <w:t>"</w:t>
      </w:r>
      <w:r>
        <w:rPr/>
        <w:t>這</w:t>
      </w:r>
      <w:r>
        <w:rPr/>
        <w:t>4</w:t>
      </w:r>
      <w:r>
        <w:rPr/>
        <w:t>個字。其實這</w:t>
      </w:r>
      <w:r>
        <w:rPr/>
        <w:t>4</w:t>
      </w:r>
      <w:r>
        <w:rPr/>
        <w:t>個字可圈可點，因為這是中共長期戰爭的指導。例如，毛澤東在抗日戰爭時期，早期著有《論持久戰》，指出悲觀的</w:t>
      </w:r>
      <w:r>
        <w:rPr/>
        <w:t>"</w:t>
      </w:r>
      <w:r>
        <w:rPr/>
        <w:t>亡國論</w:t>
      </w:r>
      <w:r>
        <w:rPr/>
        <w:t>"</w:t>
      </w:r>
      <w:r>
        <w:rPr/>
        <w:t>及過分的</w:t>
      </w:r>
      <w:r>
        <w:rPr/>
        <w:t>"</w:t>
      </w:r>
      <w:r>
        <w:rPr/>
        <w:t>速勝論</w:t>
      </w:r>
      <w:r>
        <w:rPr/>
        <w:t>"</w:t>
      </w:r>
      <w:r>
        <w:rPr/>
        <w:t>都不足取，應以遊擊戰術為本，打持久戰才會得到最後勝利。他以</w:t>
      </w:r>
      <w:r>
        <w:rPr/>
        <w:t>4</w:t>
      </w:r>
      <w:r>
        <w:rPr/>
        <w:t>個字來概括他的思想：</w:t>
      </w:r>
      <w:r>
        <w:rPr/>
        <w:t>"</w:t>
      </w:r>
      <w:r>
        <w:rPr/>
        <w:t>水滴石穿</w:t>
      </w:r>
      <w:r>
        <w:rPr/>
        <w:t>"</w:t>
      </w:r>
      <w:r>
        <w:rPr/>
        <w:t>。他在中日戰爭時期舉一反三，後來國共內戰再起，中共以同一套戰術取得中國大陸。</w:t>
      </w:r>
    </w:p>
    <w:p>
      <w:pPr>
        <w:pStyle w:val="F21"/>
        <w:overflowPunct w:val="true"/>
        <w:spacing w:lineRule="atLeast" w:line="370"/>
        <w:rPr/>
      </w:pPr>
      <w:r>
        <w:rPr/>
      </w:r>
    </w:p>
    <w:p>
      <w:pPr>
        <w:pStyle w:val="F21"/>
        <w:overflowPunct w:val="true"/>
        <w:spacing w:lineRule="atLeast" w:line="370"/>
        <w:rPr/>
      </w:pPr>
      <w:r>
        <w:rPr/>
        <w:tab/>
      </w:r>
      <w:r>
        <w:rPr/>
        <w:t>哈德遜研究所中國戰略中心主任白邦瑞本身是一位對華鴿派。但是，他在</w:t>
      </w:r>
      <w:r>
        <w:rPr/>
        <w:t>2015</w:t>
      </w:r>
      <w:r>
        <w:rPr/>
        <w:t>年出版《</w:t>
      </w:r>
      <w:r>
        <w:rPr/>
        <w:t>2049</w:t>
      </w:r>
      <w:r>
        <w:rPr/>
        <w:t>百年馬拉松：中國稱霸全球的祕密戰略》一書中提到，中國共產黨一直以來沒有改變毛澤東主導中國大陸的策略，即</w:t>
      </w:r>
      <w:r>
        <w:rPr/>
        <w:t>"</w:t>
      </w:r>
      <w:r>
        <w:rPr/>
        <w:t>水滴石穿</w:t>
      </w:r>
      <w:r>
        <w:rPr/>
        <w:t>"</w:t>
      </w:r>
      <w:r>
        <w:rPr/>
        <w:t>。他在書中指出，多年來，中共一直有意在美國和世界諸國，包括香港，慶祝建政</w:t>
      </w:r>
      <w:r>
        <w:rPr/>
        <w:t>100</w:t>
      </w:r>
      <w:r>
        <w:rPr/>
        <w:t>周年紀念，甚至有成為世界第一大強國的長遠目標。其主要手段是，先後對蘇聯及美國示好、示人以弱，以各種方式祈求援助，同時借對方的信任，或以正常或巧取豪奪的手段，吸收對方的核心技術，待時機成熟，才予以切割，再與另一超強修好，盡得兩邊的好處。</w:t>
      </w:r>
    </w:p>
    <w:p>
      <w:pPr>
        <w:pStyle w:val="F21"/>
        <w:overflowPunct w:val="true"/>
        <w:spacing w:lineRule="atLeast" w:line="370"/>
        <w:rPr/>
      </w:pPr>
      <w:r>
        <w:rPr/>
      </w:r>
    </w:p>
    <w:p>
      <w:pPr>
        <w:pStyle w:val="F21"/>
        <w:overflowPunct w:val="true"/>
        <w:spacing w:lineRule="atLeast" w:line="370"/>
        <w:rPr/>
      </w:pPr>
      <w:r>
        <w:rPr/>
        <w:tab/>
      </w:r>
      <w:r>
        <w:rPr/>
        <w:t>本來西方陣營對白邦瑞的論點有諸多質疑。但是，大家看到在這兩三年發生的事：中共提出</w:t>
      </w:r>
      <w:r>
        <w:rPr/>
        <w:t>"</w:t>
      </w:r>
      <w:r>
        <w:rPr/>
        <w:t>中國製造</w:t>
      </w:r>
      <w:r>
        <w:rPr/>
        <w:t>2025"</w:t>
      </w:r>
      <w:r>
        <w:rPr/>
        <w:t>，目標在</w:t>
      </w:r>
      <w:r>
        <w:rPr/>
        <w:t>2025</w:t>
      </w:r>
      <w:r>
        <w:rPr/>
        <w:t>年在技術上超越國際；香港現時面對在中美貿易戰中被</w:t>
      </w:r>
      <w:r>
        <w:rPr/>
        <w:t>"</w:t>
      </w:r>
      <w:r>
        <w:rPr/>
        <w:t>擺上檯</w:t>
      </w:r>
      <w:r>
        <w:rPr/>
        <w:t>"</w:t>
      </w:r>
      <w:r>
        <w:rPr/>
        <w:t>的困境；習近平有意廢除總書記任期限制</w:t>
      </w:r>
      <w:r>
        <w:rPr>
          <w:rFonts w:ascii="Symbol" w:hAnsi="Symbol" w:cs="Symbol" w:eastAsia="Symbol"/>
        </w:rPr>
        <w:t></w:t>
      </w:r>
      <w:r>
        <w:rPr/>
        <w:t>今天的新聞上他被特朗普揶揄，稱為</w:t>
      </w:r>
      <w:r>
        <w:rPr/>
        <w:t>"</w:t>
      </w:r>
      <w:r>
        <w:rPr/>
        <w:t>皇帝</w:t>
      </w:r>
      <w:r>
        <w:rPr/>
        <w:t>"</w:t>
      </w:r>
      <w:r>
        <w:rPr/>
        <w:t>；新疆的集中營，以及中共提出實行中國社會的全面監控系統等惡政。自此，美國為首的西方陣營對中共的態度大變，對中國的舉措不再是現任總統特朗普為了美國選情而作的獨斷，而是美國朝野的共識，要跟中共展開冷戰</w:t>
      </w:r>
      <w:r>
        <w:rPr/>
        <w:t>2.0</w:t>
      </w:r>
      <w:r>
        <w:rPr/>
        <w:t>。</w:t>
      </w:r>
    </w:p>
    <w:p>
      <w:pPr>
        <w:pStyle w:val="F21"/>
        <w:overflowPunct w:val="true"/>
        <w:spacing w:lineRule="atLeast" w:line="370"/>
        <w:rPr/>
      </w:pPr>
      <w:r>
        <w:rPr/>
      </w:r>
    </w:p>
    <w:p>
      <w:pPr>
        <w:pStyle w:val="F21"/>
        <w:overflowPunct w:val="true"/>
        <w:spacing w:lineRule="atLeast" w:line="370"/>
        <w:rPr/>
      </w:pPr>
      <w:r>
        <w:rPr/>
        <w:tab/>
      </w:r>
      <w:r>
        <w:rPr/>
        <w:t>說回香港，我們今天辯論的是</w:t>
      </w:r>
      <w:r>
        <w:rPr/>
        <w:t>"</w:t>
      </w:r>
      <w:r>
        <w:rPr/>
        <w:t>毋忘六四</w:t>
      </w:r>
      <w:r>
        <w:rPr/>
        <w:t>"30</w:t>
      </w:r>
      <w:r>
        <w:rPr/>
        <w:t>周年。香港一直處於中美的夾縫之中，憑藉《基本法》賦予的保障，我們享有言論自由、集會自由。於是，在過去數十年來，無論是支聯會或泛民主派悼念六四的維園燭光晚會，抑或我們認為悼念六四必須扎根社區，也是想令香港人明白六四的意義只有一個，就是中共是殺人政權。可惜，當下的香港面對中美貿易戰</w:t>
      </w:r>
      <w:r>
        <w:rPr/>
        <w:t>"</w:t>
      </w:r>
      <w:r>
        <w:rPr/>
        <w:t>攤牌</w:t>
      </w:r>
      <w:r>
        <w:rPr/>
        <w:t>"</w:t>
      </w:r>
      <w:r>
        <w:rPr/>
        <w:t>的邊緣，加上《逃犯條例》修訂在即，對各方陣營，以至工商界而言，也是處境險惡。</w:t>
      </w:r>
    </w:p>
    <w:p>
      <w:pPr>
        <w:pStyle w:val="F21"/>
        <w:overflowPunct w:val="true"/>
        <w:spacing w:lineRule="atLeast" w:line="370"/>
        <w:rPr/>
      </w:pPr>
      <w:r>
        <w:rPr/>
      </w:r>
    </w:p>
    <w:p>
      <w:pPr>
        <w:pStyle w:val="F21"/>
        <w:overflowPunct w:val="true"/>
        <w:spacing w:lineRule="atLeast" w:line="370"/>
        <w:rPr/>
      </w:pPr>
      <w:r>
        <w:rPr/>
        <w:tab/>
      </w:r>
      <w:r>
        <w:rPr/>
        <w:t>因此，過去這</w:t>
      </w:r>
      <w:r>
        <w:rPr/>
        <w:t>30</w:t>
      </w:r>
      <w:r>
        <w:rPr/>
        <w:t>年來</w:t>
      </w:r>
      <w:r>
        <w:rPr>
          <w:rFonts w:ascii="Symbol" w:hAnsi="Symbol" w:cs="Symbol" w:eastAsia="Symbol"/>
          <w:kern w:val="2"/>
          <w:szCs w:val="27"/>
        </w:rPr>
        <w:t></w:t>
      </w:r>
      <w:r>
        <w:rPr/>
        <w:t>從</w:t>
      </w:r>
      <w:r>
        <w:rPr/>
        <w:t>1989</w:t>
      </w:r>
      <w:r>
        <w:rPr/>
        <w:t>年的</w:t>
      </w:r>
      <w:r>
        <w:rPr/>
        <w:t>"</w:t>
      </w:r>
      <w:r>
        <w:rPr/>
        <w:t>六四慘案</w:t>
      </w:r>
      <w:r>
        <w:rPr/>
        <w:t>"</w:t>
      </w:r>
      <w:r>
        <w:rPr/>
        <w:t>，到了《華沙公約》廢除及蘇聯解體</w:t>
      </w:r>
      <w:r>
        <w:rPr>
          <w:rFonts w:ascii="Symbol" w:hAnsi="Symbol" w:cs="Symbol" w:eastAsia="Symbol"/>
          <w:kern w:val="2"/>
          <w:szCs w:val="27"/>
        </w:rPr>
        <w:t></w:t>
      </w:r>
      <w:r>
        <w:rPr/>
        <w:t>以美國為首的西方陣營錯判形勢，以為可透過經貿交往的和平演變改變中國。到了今天，香港人終於切身直接明白，當時的極權社會和極權國家至今完全沒有改變。</w:t>
      </w:r>
    </w:p>
    <w:p>
      <w:pPr>
        <w:pStyle w:val="Normal"/>
        <w:widowControl/>
        <w:tabs>
          <w:tab w:val="clear" w:pos="720"/>
        </w:tabs>
        <w:snapToGrid w:val="true"/>
        <w:spacing w:lineRule="auto" w:line="276" w:before="0" w:after="200"/>
        <w:jc w:val="left"/>
        <w:rPr>
          <w:rFonts w:cs="" w:cstheme="minorBidi"/>
          <w:spacing w:val="20"/>
          <w:sz w:val="27"/>
          <w:szCs w:val="22"/>
          <w:lang w:val="en-US"/>
        </w:rPr>
      </w:pPr>
      <w:r>
        <w:rPr>
          <w:rFonts w:cs="" w:cstheme="minorBidi"/>
          <w:spacing w:val="20"/>
          <w:sz w:val="27"/>
          <w:szCs w:val="22"/>
          <w:lang w:val="en-US"/>
        </w:rPr>
      </w:r>
      <w:r>
        <w:br w:type="page"/>
      </w:r>
    </w:p>
    <w:p>
      <w:pPr>
        <w:pStyle w:val="F21"/>
        <w:overflowPunct w:val="true"/>
        <w:rPr/>
      </w:pPr>
      <w:r>
        <w:rPr/>
        <w:tab/>
      </w:r>
      <w:r>
        <w:rPr/>
        <w:t>過去這</w:t>
      </w:r>
      <w:r>
        <w:rPr/>
        <w:t>20</w:t>
      </w:r>
      <w:r>
        <w:rPr/>
        <w:t>年來，泛民主派以至香港群眾均進退失據。我們爭取</w:t>
      </w:r>
      <w:r>
        <w:rPr/>
        <w:t>2007</w:t>
      </w:r>
      <w:r>
        <w:rPr/>
        <w:t>年及</w:t>
      </w:r>
      <w:r>
        <w:rPr/>
        <w:t>2008</w:t>
      </w:r>
      <w:r>
        <w:rPr/>
        <w:t>年雙普選失敗後，接受了偽政改方案。在</w:t>
      </w:r>
      <w:r>
        <w:rPr/>
        <w:t>2016</w:t>
      </w:r>
      <w:r>
        <w:rPr/>
        <w:t>年，我們的熱普城陣營希望透過確立永續《基本法》，由香港人重新制定《基本法》憲政，保障香港應該享有的主權。這項倡議也未能取得成功。此後，現在議會內外均明顯無力，這是所有民主派代議士無可推搪的政治責任。所以，今天說悼念六四，並不是說香港社會、市民大眾如何忘卻，或者所謂大中華與本土之間的討論，而要討論的是有些人認為香港不需要悼念六四，這是完全錯誤和扭曲了</w:t>
      </w:r>
      <w:r>
        <w:rPr>
          <w:i/>
        </w:rPr>
        <w:t>(</w:t>
      </w:r>
      <w:r>
        <w:rPr>
          <w:i/>
        </w:rPr>
        <w:t>計時器響起</w:t>
      </w:r>
      <w:r>
        <w:rPr>
          <w:i/>
        </w:rPr>
        <w:t>)</w:t>
      </w:r>
      <w:r>
        <w:rPr/>
        <w:t>......</w:t>
      </w:r>
      <w:r>
        <w:rPr/>
        <w:t>我們過去的</w:t>
      </w:r>
      <w:r>
        <w:rPr/>
        <w:t>......</w:t>
      </w:r>
    </w:p>
    <w:p>
      <w:pPr>
        <w:pStyle w:val="F21"/>
        <w:overflowPunct w:val="true"/>
        <w:rPr/>
      </w:pPr>
      <w:r>
        <w:rPr/>
      </w:r>
    </w:p>
    <w:p>
      <w:pPr>
        <w:pStyle w:val="F21"/>
        <w:overflowPunct w:val="true"/>
        <w:rPr/>
      </w:pPr>
      <w:r>
        <w:rPr/>
      </w:r>
    </w:p>
    <w:p>
      <w:pPr>
        <w:pStyle w:val="F21"/>
        <w:overflowPunct w:val="true"/>
        <w:rPr/>
      </w:pPr>
      <w:r>
        <w:rPr>
          <w:rFonts w:ascii="華康中黑體" w:hAnsi="華康中黑體" w:eastAsia="華康中黑體"/>
          <w:b/>
        </w:rPr>
        <w:t>主席</w:t>
      </w:r>
      <w:r>
        <w:rPr/>
        <w:t>：鄭議員，請停止發言。</w:t>
      </w:r>
    </w:p>
    <w:p>
      <w:pPr>
        <w:pStyle w:val="F21"/>
        <w:overflowPunct w:val="true"/>
        <w:rPr/>
      </w:pPr>
      <w:r>
        <w:rPr/>
      </w:r>
    </w:p>
    <w:p>
      <w:pPr>
        <w:pStyle w:val="F21"/>
        <w:overflowPunct w:val="true"/>
        <w:rPr/>
      </w:pPr>
      <w:r>
        <w:rPr/>
      </w:r>
    </w:p>
    <w:p>
      <w:pPr>
        <w:pStyle w:val="F21"/>
        <w:overflowPunct w:val="true"/>
        <w:rPr/>
      </w:pPr>
      <w:r>
        <w:rPr>
          <w:rFonts w:eastAsia="華康中黑體"/>
          <w:b/>
        </w:rPr>
        <w:t>鄭松泰議員</w:t>
      </w:r>
      <w:r>
        <w:rPr/>
        <w:t>：我謹此發言。</w:t>
      </w:r>
    </w:p>
    <w:p>
      <w:pPr>
        <w:pStyle w:val="F21"/>
        <w:overflowPunct w:val="true"/>
        <w:rPr>
          <w:szCs w:val="27"/>
        </w:rPr>
      </w:pPr>
      <w:r>
        <w:rPr>
          <w:szCs w:val="27"/>
        </w:rPr>
      </w:r>
    </w:p>
    <w:p>
      <w:pPr>
        <w:pStyle w:val="F21"/>
        <w:overflowPunct w:val="true"/>
        <w:rPr>
          <w:szCs w:val="27"/>
        </w:rPr>
      </w:pPr>
      <w:r>
        <w:rPr>
          <w:szCs w:val="27"/>
        </w:rPr>
      </w:r>
    </w:p>
    <w:p>
      <w:pPr>
        <w:pStyle w:val="F21"/>
        <w:overflowPunct w:val="true"/>
        <w:rPr/>
      </w:pPr>
      <w:r>
        <w:rPr>
          <w:rFonts w:eastAsia="華康中黑體"/>
          <w:b/>
          <w:szCs w:val="27"/>
        </w:rPr>
        <w:t>鄺俊宇議員</w:t>
      </w:r>
      <w:r>
        <w:rPr/>
        <w:t>：主席，關於</w:t>
      </w:r>
      <w:r>
        <w:rPr/>
        <w:t>"</w:t>
      </w:r>
      <w:r>
        <w:rPr/>
        <w:t>毋忘六四</w:t>
      </w:r>
      <w:r>
        <w:rPr/>
        <w:t>"</w:t>
      </w:r>
      <w:r>
        <w:rPr/>
        <w:t>的議案，香港不同年代的朋友的確未曾忘記六四事件。我想藉此機會與大家分享一下，我在</w:t>
      </w:r>
      <w:r>
        <w:rPr/>
        <w:t>1989</w:t>
      </w:r>
      <w:r>
        <w:rPr/>
        <w:t>年只有</w:t>
      </w:r>
      <w:r>
        <w:rPr/>
        <w:t>6</w:t>
      </w:r>
      <w:r>
        <w:rPr/>
        <w:t>歲，對六四事件未必有很深刻的印象，但為何會有頗多較年青的朋友對六四事件有感受呢？原來大部分人升讀初中的時候，可能有機會在學校的朋友或老師的啟蒙之下，對八九事件產生興趣，然後便會翻查一下當年究竟發生了甚麼事。</w:t>
      </w:r>
    </w:p>
    <w:p>
      <w:pPr>
        <w:pStyle w:val="F21"/>
        <w:overflowPunct w:val="true"/>
        <w:rPr/>
      </w:pPr>
      <w:r>
        <w:rPr/>
      </w:r>
    </w:p>
    <w:p>
      <w:pPr>
        <w:pStyle w:val="F21"/>
        <w:overflowPunct w:val="true"/>
        <w:rPr/>
      </w:pPr>
      <w:r>
        <w:rPr/>
        <w:tab/>
      </w:r>
      <w:r>
        <w:rPr/>
        <w:t>我就是其中之一。事實上，我當時只有</w:t>
      </w:r>
      <w:r>
        <w:rPr/>
        <w:t>6</w:t>
      </w:r>
      <w:r>
        <w:rPr/>
        <w:t>歲，而我的家人亦未必有太多的看法，雖然我的父親對此事有很大意見，但經過一段時間之後，當時的憤慨可能會沉澱下去。我們長大後，翻查這究竟是甚麼一回事時，發現了一件事，原來零零碎碎記錄着的不單是當日的新聞片段和歷史，而是香港人當時的心情。</w:t>
      </w:r>
    </w:p>
    <w:p>
      <w:pPr>
        <w:pStyle w:val="F21"/>
        <w:overflowPunct w:val="true"/>
        <w:rPr/>
      </w:pPr>
      <w:r>
        <w:rPr/>
      </w:r>
    </w:p>
    <w:p>
      <w:pPr>
        <w:pStyle w:val="F21"/>
        <w:overflowPunct w:val="true"/>
        <w:rPr/>
      </w:pPr>
      <w:r>
        <w:rPr/>
        <w:tab/>
      </w:r>
      <w:r>
        <w:rPr/>
        <w:t>很多前輩與我們分享，當時正在下大雨、懸掛</w:t>
      </w:r>
      <w:r>
        <w:rPr/>
        <w:t>8</w:t>
      </w:r>
      <w:r>
        <w:rPr/>
        <w:t>號風球，人們在街上集會，包圍當時的新華社。另一邊廂，亦有很多朋友走上街頭。他們有一個夢想及要求，夢想中國應該有民主，要求平反這件事，不要讓一些愛國的學生死得不明不白。</w:t>
      </w:r>
    </w:p>
    <w:p>
      <w:pPr>
        <w:pStyle w:val="F21"/>
        <w:overflowPunct w:val="true"/>
        <w:rPr/>
      </w:pPr>
      <w:r>
        <w:rPr/>
      </w:r>
    </w:p>
    <w:p>
      <w:pPr>
        <w:pStyle w:val="F21"/>
        <w:overflowPunct w:val="true"/>
        <w:rPr/>
      </w:pPr>
      <w:r>
        <w:rPr/>
        <w:tab/>
      </w:r>
      <w:r>
        <w:rPr/>
        <w:t>小時候不明白，長大後慢慢回顧當時的新聞片段，發現原來當時香港人的心很熾熱。我相信今天香港人的心仍然未死、仍未冷卻下來，只希望大家沒有忘記這件事，仍會想起每位願意走上街頭的香港市民當時曾經擁有的想法和堅持。如果中國有一天准許人民提及這件事，甚至平反這件事，才能夠談論中國進一步的民主。</w:t>
      </w:r>
    </w:p>
    <w:p>
      <w:pPr>
        <w:pStyle w:val="F21"/>
        <w:overflowPunct w:val="true"/>
        <w:rPr/>
      </w:pPr>
      <w:r>
        <w:rPr/>
      </w:r>
    </w:p>
    <w:p>
      <w:pPr>
        <w:pStyle w:val="F21"/>
        <w:overflowPunct w:val="true"/>
        <w:rPr/>
      </w:pPr>
      <w:r>
        <w:rPr/>
        <w:tab/>
      </w:r>
      <w:r>
        <w:rPr/>
        <w:t>現時卻不是這樣，很多同事剛才已經闡述，不少人在中國內地想談論這件事，但即使是</w:t>
      </w:r>
      <w:r>
        <w:rPr/>
        <w:t>"</w:t>
      </w:r>
      <w:r>
        <w:rPr/>
        <w:t>擦邊球</w:t>
      </w:r>
      <w:r>
        <w:rPr/>
        <w:t>"</w:t>
      </w:r>
      <w:r>
        <w:rPr/>
        <w:t>亦不可以，他們會被拘捕，香港可說是僅餘擁有言論自由的一片土地，我們十分珍惜。因此，每年如果此項議案成功提交立法會討論的時候，我們都會說服不同的朋友，包括建制派的同事、有良心的同事、當日有份投票、參與此事的朋友，就這項議案投票。</w:t>
      </w:r>
    </w:p>
    <w:p>
      <w:pPr>
        <w:pStyle w:val="F21"/>
        <w:overflowPunct w:val="true"/>
        <w:rPr/>
      </w:pPr>
      <w:r>
        <w:rPr/>
      </w:r>
    </w:p>
    <w:p>
      <w:pPr>
        <w:pStyle w:val="F21"/>
        <w:overflowPunct w:val="true"/>
        <w:rPr>
          <w:szCs w:val="27"/>
        </w:rPr>
      </w:pPr>
      <w:r>
        <w:rPr/>
        <w:tab/>
      </w:r>
      <w:r>
        <w:rPr/>
        <w:t>有趣的地方是，剛才發言的</w:t>
      </w:r>
      <w:r>
        <w:rPr>
          <w:szCs w:val="27"/>
        </w:rPr>
        <w:t>何君堯議員，他前年贊成這項議案，說是從良心出發，但去年卻棄權。我呼籲何君堯議員今年一定要投票，因為如果他偷偷離開會議廳、在表決時棄權是沒有意思的。當然，他剛才的發言相當精彩，我每次都會留意何君堯議員說甚麼。在討論</w:t>
      </w:r>
      <w:r>
        <w:rPr>
          <w:szCs w:val="27"/>
        </w:rPr>
        <w:t>"</w:t>
      </w:r>
      <w:r>
        <w:rPr>
          <w:szCs w:val="27"/>
        </w:rPr>
        <w:t>毋忘六四</w:t>
      </w:r>
      <w:r>
        <w:rPr>
          <w:szCs w:val="27"/>
        </w:rPr>
        <w:t>"</w:t>
      </w:r>
      <w:r>
        <w:rPr>
          <w:szCs w:val="27"/>
        </w:rPr>
        <w:t>議案的時候，我們期待他會說</w:t>
      </w:r>
      <w:r>
        <w:rPr>
          <w:szCs w:val="27"/>
        </w:rPr>
        <w:t>"</w:t>
      </w:r>
      <w:r>
        <w:rPr>
          <w:szCs w:val="27"/>
        </w:rPr>
        <w:t>這件事總有一天會平反</w:t>
      </w:r>
      <w:r>
        <w:rPr>
          <w:szCs w:val="27"/>
        </w:rPr>
        <w:t>"</w:t>
      </w:r>
      <w:r>
        <w:rPr>
          <w:szCs w:val="27"/>
        </w:rPr>
        <w:t>。然而，他說</w:t>
      </w:r>
      <w:r>
        <w:rPr>
          <w:szCs w:val="27"/>
        </w:rPr>
        <w:t>"</w:t>
      </w:r>
      <w:r>
        <w:rPr>
          <w:szCs w:val="27"/>
        </w:rPr>
        <w:t>總有一天</w:t>
      </w:r>
      <w:r>
        <w:rPr>
          <w:szCs w:val="27"/>
        </w:rPr>
        <w:t>"</w:t>
      </w:r>
      <w:r>
        <w:rPr>
          <w:szCs w:val="27"/>
        </w:rPr>
        <w:t>之後便靜默下來，然後對我們說︰美國隊長要維護宇宙、世界和平，他們今天正在做甚麼？我想對何議員說，美國隊長正因為現時</w:t>
      </w:r>
      <w:r>
        <w:rPr>
          <w:szCs w:val="27"/>
        </w:rPr>
        <w:t>"</w:t>
      </w:r>
      <w:r>
        <w:rPr>
          <w:szCs w:val="27"/>
        </w:rPr>
        <w:t>英雄</w:t>
      </w:r>
      <w:r>
        <w:rPr>
          <w:szCs w:val="27"/>
        </w:rPr>
        <w:t>"</w:t>
      </w:r>
      <w:r>
        <w:rPr>
          <w:szCs w:val="27"/>
        </w:rPr>
        <w:t>的註冊法案而被追殺，如果香港有《逃犯條例》，他來港後會被引渡回美國受審的。討論此項議案時可否嚴肅一點？</w:t>
      </w:r>
    </w:p>
    <w:p>
      <w:pPr>
        <w:pStyle w:val="F21"/>
        <w:overflowPunct w:val="true"/>
        <w:rPr>
          <w:szCs w:val="27"/>
        </w:rPr>
      </w:pPr>
      <w:r>
        <w:rPr>
          <w:szCs w:val="27"/>
        </w:rPr>
      </w:r>
    </w:p>
    <w:p>
      <w:pPr>
        <w:pStyle w:val="F21"/>
        <w:overflowPunct w:val="true"/>
        <w:rPr>
          <w:szCs w:val="27"/>
        </w:rPr>
      </w:pPr>
      <w:r>
        <w:rPr>
          <w:szCs w:val="27"/>
        </w:rPr>
        <w:tab/>
      </w:r>
      <w:r>
        <w:rPr>
          <w:szCs w:val="27"/>
        </w:rPr>
        <w:t>主席，有時候我們不禁發笑，但問題在於面對此項議案的時候，如果當天曾經歷此事的何君堯議員沒有準備，他可以不發言，但發言時可否圍繞主題，即是我們為何要</w:t>
      </w:r>
      <w:r>
        <w:rPr>
          <w:szCs w:val="27"/>
        </w:rPr>
        <w:t>"</w:t>
      </w:r>
      <w:r>
        <w:rPr>
          <w:szCs w:val="27"/>
        </w:rPr>
        <w:t>毋忘六四</w:t>
      </w:r>
      <w:r>
        <w:rPr>
          <w:szCs w:val="27"/>
        </w:rPr>
        <w:t>"</w:t>
      </w:r>
      <w:r>
        <w:rPr>
          <w:szCs w:val="27"/>
        </w:rPr>
        <w:t>？我們為何要把這個記憶薪火相傳下去？正如我開始時說，為何我們相對年青的一代，甚至未曾經歷此事的朋友，心中會有一種熾熱？因為這是不公道的事，那些學生是手無寸鐵的。何議員剛才說關鍵不在於有否開槍，而是這件事是否如此單純、簡單。主席，此事關乎一個政權向手無寸鐵的學生開槍，就是這麼簡單。</w:t>
      </w:r>
    </w:p>
    <w:p>
      <w:pPr>
        <w:pStyle w:val="F21"/>
        <w:overflowPunct w:val="true"/>
        <w:rPr>
          <w:szCs w:val="27"/>
        </w:rPr>
      </w:pPr>
      <w:r>
        <w:rPr>
          <w:szCs w:val="27"/>
        </w:rPr>
      </w:r>
    </w:p>
    <w:p>
      <w:pPr>
        <w:pStyle w:val="F21"/>
        <w:overflowPunct w:val="true"/>
        <w:rPr>
          <w:szCs w:val="27"/>
        </w:rPr>
      </w:pPr>
      <w:r>
        <w:rPr>
          <w:szCs w:val="27"/>
        </w:rPr>
        <w:tab/>
      </w:r>
      <w:r>
        <w:rPr>
          <w:szCs w:val="27"/>
        </w:rPr>
        <w:t>不知不覺</w:t>
      </w:r>
      <w:r>
        <w:rPr>
          <w:szCs w:val="27"/>
        </w:rPr>
        <w:t>30</w:t>
      </w:r>
      <w:r>
        <w:rPr>
          <w:szCs w:val="27"/>
        </w:rPr>
        <w:t>年過去了，很多朋友可能感到很氣餒，認為我們未必能夠把這種信念薪火相傳下去。各位，不是的，我剛才所分享的情況仍然發生在一些年青人身上。他們升讀中學的時候，總會因為現今科技發達，只要在</w:t>
      </w:r>
      <w:r>
        <w:rPr>
          <w:szCs w:val="27"/>
        </w:rPr>
        <w:t>YouTube</w:t>
      </w:r>
      <w:r>
        <w:rPr>
          <w:szCs w:val="27"/>
        </w:rPr>
        <w:t>輸入</w:t>
      </w:r>
      <w:r>
        <w:rPr>
          <w:szCs w:val="27"/>
        </w:rPr>
        <w:t>"</w:t>
      </w:r>
      <w:r>
        <w:rPr>
          <w:szCs w:val="27"/>
        </w:rPr>
        <w:t>六四事件</w:t>
      </w:r>
      <w:r>
        <w:rPr>
          <w:szCs w:val="27"/>
        </w:rPr>
        <w:t>"</w:t>
      </w:r>
      <w:r>
        <w:rPr>
          <w:szCs w:val="27"/>
        </w:rPr>
        <w:t>便可以看到當年的新聞報道。我們看到的時候便會詢問當年發生了甚麼事，亦會詢問家人有否參與其中，即使他們沒有參與遊行，他們當時有何想法呢？當時的香港十分團結，只有一個卑微的訴求，希望一群愛國的學生能夠達到崇高的目標。</w:t>
      </w:r>
      <w:r>
        <w:br w:type="page"/>
      </w:r>
    </w:p>
    <w:p>
      <w:pPr>
        <w:pStyle w:val="F21"/>
        <w:overflowPunct w:val="true"/>
        <w:spacing w:lineRule="atLeast" w:line="350"/>
        <w:rPr>
          <w:szCs w:val="27"/>
        </w:rPr>
      </w:pPr>
      <w:r>
        <w:rPr>
          <w:szCs w:val="27"/>
        </w:rPr>
        <w:tab/>
      </w:r>
      <w:r>
        <w:rPr>
          <w:szCs w:val="27"/>
        </w:rPr>
        <w:t>主席，今天討論此項議案，我們當然會投贊成票，但我們更希望不同光譜的同事，尤其是可能比我有更深刻感受的同事，他們當天是親身經歷的，清楚知道發生了甚麼事。如果他們說這是一道瘡疤，不要揭露它，但這道瘡疤其實從來未曾結痂，還要被何君堯議員這類人在傷口上灑鹽。</w:t>
      </w:r>
    </w:p>
    <w:p>
      <w:pPr>
        <w:pStyle w:val="F21"/>
        <w:overflowPunct w:val="true"/>
        <w:spacing w:lineRule="atLeast" w:line="350"/>
        <w:rPr>
          <w:szCs w:val="27"/>
        </w:rPr>
      </w:pPr>
      <w:r>
        <w:rPr>
          <w:szCs w:val="27"/>
        </w:rPr>
      </w:r>
    </w:p>
    <w:p>
      <w:pPr>
        <w:pStyle w:val="F21"/>
        <w:overflowPunct w:val="true"/>
        <w:spacing w:lineRule="atLeast" w:line="350"/>
        <w:rPr>
          <w:szCs w:val="27"/>
        </w:rPr>
      </w:pPr>
      <w:r>
        <w:rPr>
          <w:szCs w:val="27"/>
        </w:rPr>
        <w:tab/>
      </w:r>
      <w:r>
        <w:rPr>
          <w:szCs w:val="27"/>
        </w:rPr>
        <w:t>主席，無論今天的議案能否獲得通過，我們希望的是，如果每年有機會討論這項議案</w:t>
      </w:r>
      <w:r>
        <w:rPr>
          <w:rFonts w:ascii="Symbol" w:hAnsi="Symbol" w:cs="Symbol" w:eastAsia="Symbol"/>
          <w:szCs w:val="27"/>
        </w:rPr>
        <w:t></w:t>
      </w:r>
      <w:r>
        <w:rPr>
          <w:szCs w:val="27"/>
        </w:rPr>
        <w:t>我們很感激不同的同事一直提出這項議案‍</w:t>
      </w:r>
      <w:r>
        <w:rPr>
          <w:rFonts w:ascii="Symbol" w:hAnsi="Symbol" w:cs="Symbol" w:eastAsia="Symbol"/>
          <w:szCs w:val="27"/>
        </w:rPr>
        <w:t></w:t>
      </w:r>
      <w:r>
        <w:rPr>
          <w:szCs w:val="27"/>
        </w:rPr>
        <w:t>有一件很重要的事，就是記憶要薪火相傳，信念要永恆不息，因為我們希望學生當天的初心能夠達到目標，實現夢想。</w:t>
      </w:r>
    </w:p>
    <w:p>
      <w:pPr>
        <w:pStyle w:val="F21"/>
        <w:overflowPunct w:val="true"/>
        <w:spacing w:lineRule="atLeast" w:line="350"/>
        <w:rPr>
          <w:szCs w:val="27"/>
        </w:rPr>
      </w:pPr>
      <w:r>
        <w:rPr>
          <w:szCs w:val="27"/>
        </w:rPr>
      </w:r>
    </w:p>
    <w:p>
      <w:pPr>
        <w:pStyle w:val="F21"/>
        <w:overflowPunct w:val="true"/>
        <w:spacing w:lineRule="atLeast" w:line="350"/>
        <w:rPr>
          <w:szCs w:val="27"/>
        </w:rPr>
      </w:pPr>
      <w:r>
        <w:rPr>
          <w:szCs w:val="27"/>
        </w:rPr>
        <w:tab/>
      </w:r>
      <w:r>
        <w:rPr>
          <w:szCs w:val="27"/>
        </w:rPr>
        <w:t>我謹此陳辭。</w:t>
      </w:r>
    </w:p>
    <w:p>
      <w:pPr>
        <w:pStyle w:val="F21"/>
        <w:overflowPunct w:val="true"/>
        <w:spacing w:lineRule="atLeast" w:line="350"/>
        <w:rPr>
          <w:szCs w:val="27"/>
        </w:rPr>
      </w:pPr>
      <w:r>
        <w:rPr>
          <w:szCs w:val="27"/>
        </w:rPr>
      </w:r>
    </w:p>
    <w:p>
      <w:pPr>
        <w:pStyle w:val="F21"/>
        <w:overflowPunct w:val="true"/>
        <w:spacing w:lineRule="atLeast" w:line="350"/>
        <w:rPr>
          <w:szCs w:val="27"/>
        </w:rPr>
      </w:pPr>
      <w:r>
        <w:rPr>
          <w:szCs w:val="27"/>
        </w:rPr>
      </w:r>
    </w:p>
    <w:p>
      <w:pPr>
        <w:pStyle w:val="F21"/>
        <w:spacing w:lineRule="atLeast" w:line="350"/>
        <w:rPr>
          <w:szCs w:val="27"/>
        </w:rPr>
      </w:pPr>
      <w:r>
        <w:rPr>
          <w:rFonts w:ascii="華康中黑體" w:hAnsi="華康中黑體" w:cs="華康中黑體" w:eastAsia="華康中黑體"/>
          <w:b/>
          <w:szCs w:val="27"/>
        </w:rPr>
        <w:t>黃碧雲議員</w:t>
      </w:r>
      <w:r>
        <w:rPr>
          <w:szCs w:val="27"/>
        </w:rPr>
        <w:t>：主席，今年是</w:t>
      </w:r>
      <w:r>
        <w:rPr>
          <w:szCs w:val="27"/>
        </w:rPr>
        <w:t>2019</w:t>
      </w:r>
      <w:r>
        <w:rPr>
          <w:szCs w:val="27"/>
        </w:rPr>
        <w:t>年，是五四運動的</w:t>
      </w:r>
      <w:r>
        <w:rPr>
          <w:szCs w:val="27"/>
        </w:rPr>
        <w:t>100</w:t>
      </w:r>
      <w:r>
        <w:rPr>
          <w:szCs w:val="27"/>
        </w:rPr>
        <w:t>周年，也是</w:t>
      </w:r>
      <w:r>
        <w:rPr>
          <w:szCs w:val="27"/>
        </w:rPr>
        <w:t>1989</w:t>
      </w:r>
      <w:r>
        <w:rPr>
          <w:szCs w:val="27"/>
        </w:rPr>
        <w:t>年天安門民主運動的</w:t>
      </w:r>
      <w:r>
        <w:rPr>
          <w:szCs w:val="27"/>
        </w:rPr>
        <w:t>30</w:t>
      </w:r>
      <w:r>
        <w:rPr>
          <w:szCs w:val="27"/>
        </w:rPr>
        <w:t>周年，而</w:t>
      </w:r>
      <w:r>
        <w:rPr>
          <w:szCs w:val="27"/>
        </w:rPr>
        <w:t>2014</w:t>
      </w:r>
      <w:r>
        <w:rPr>
          <w:szCs w:val="27"/>
        </w:rPr>
        <w:t>年發生的香港雨傘運動於今年年底也踏入</w:t>
      </w:r>
      <w:r>
        <w:rPr>
          <w:szCs w:val="27"/>
        </w:rPr>
        <w:t>5</w:t>
      </w:r>
      <w:r>
        <w:rPr>
          <w:szCs w:val="27"/>
        </w:rPr>
        <w:t>周年，這令民主黨胡志偉議員提出的</w:t>
      </w:r>
      <w:r>
        <w:rPr>
          <w:szCs w:val="27"/>
        </w:rPr>
        <w:t>"</w:t>
      </w:r>
      <w:r>
        <w:rPr>
          <w:szCs w:val="27"/>
        </w:rPr>
        <w:t>毋忘六四</w:t>
      </w:r>
      <w:r>
        <w:rPr>
          <w:szCs w:val="27"/>
        </w:rPr>
        <w:t>"</w:t>
      </w:r>
      <w:r>
        <w:rPr>
          <w:szCs w:val="27"/>
        </w:rPr>
        <w:t>議案辯論顯得更有意義。</w:t>
      </w:r>
    </w:p>
    <w:p>
      <w:pPr>
        <w:pStyle w:val="F21"/>
        <w:spacing w:lineRule="atLeast" w:line="350"/>
        <w:rPr>
          <w:szCs w:val="27"/>
        </w:rPr>
      </w:pPr>
      <w:r>
        <w:rPr>
          <w:szCs w:val="27"/>
        </w:rPr>
      </w:r>
    </w:p>
    <w:p>
      <w:pPr>
        <w:pStyle w:val="F21"/>
        <w:spacing w:lineRule="atLeast" w:line="350"/>
        <w:rPr>
          <w:szCs w:val="27"/>
        </w:rPr>
      </w:pPr>
      <w:r>
        <w:rPr>
          <w:szCs w:val="27"/>
        </w:rPr>
        <w:tab/>
      </w:r>
      <w:r>
        <w:rPr>
          <w:szCs w:val="27"/>
        </w:rPr>
        <w:t>民主是貫穿中國和香港過去</w:t>
      </w:r>
      <w:r>
        <w:rPr>
          <w:szCs w:val="27"/>
        </w:rPr>
        <w:t>100</w:t>
      </w:r>
      <w:r>
        <w:rPr>
          <w:szCs w:val="27"/>
        </w:rPr>
        <w:t>年這</w:t>
      </w:r>
      <w:r>
        <w:rPr>
          <w:szCs w:val="27"/>
        </w:rPr>
        <w:t>3</w:t>
      </w:r>
      <w:r>
        <w:rPr>
          <w:szCs w:val="27"/>
        </w:rPr>
        <w:t>場轟轟烈烈的民主運動的主軸。中國人民爭取民主走過了</w:t>
      </w:r>
      <w:r>
        <w:rPr>
          <w:szCs w:val="27"/>
        </w:rPr>
        <w:t>100</w:t>
      </w:r>
      <w:r>
        <w:rPr>
          <w:szCs w:val="27"/>
        </w:rPr>
        <w:t>年，五四時高舉的</w:t>
      </w:r>
      <w:r>
        <w:rPr>
          <w:szCs w:val="27"/>
        </w:rPr>
        <w:t>"</w:t>
      </w:r>
      <w:r>
        <w:rPr>
          <w:szCs w:val="27"/>
        </w:rPr>
        <w:t>德先生</w:t>
      </w:r>
      <w:r>
        <w:rPr>
          <w:szCs w:val="27"/>
        </w:rPr>
        <w:t>"(Democracy)</w:t>
      </w:r>
      <w:r>
        <w:rPr>
          <w:szCs w:val="27"/>
        </w:rPr>
        <w:t>和</w:t>
      </w:r>
      <w:r>
        <w:rPr>
          <w:szCs w:val="27"/>
        </w:rPr>
        <w:t>"</w:t>
      </w:r>
      <w:r>
        <w:rPr>
          <w:szCs w:val="27"/>
        </w:rPr>
        <w:t>賽先生</w:t>
      </w:r>
      <w:r>
        <w:rPr>
          <w:szCs w:val="27"/>
        </w:rPr>
        <w:t>"(Science)</w:t>
      </w:r>
      <w:r>
        <w:rPr>
          <w:szCs w:val="27"/>
        </w:rPr>
        <w:t>，</w:t>
      </w:r>
      <w:r>
        <w:rPr>
          <w:szCs w:val="27"/>
        </w:rPr>
        <w:t>Science(</w:t>
      </w:r>
      <w:r>
        <w:rPr>
          <w:szCs w:val="27"/>
        </w:rPr>
        <w:t>賽先生</w:t>
      </w:r>
      <w:r>
        <w:rPr>
          <w:szCs w:val="27"/>
        </w:rPr>
        <w:t>)</w:t>
      </w:r>
      <w:r>
        <w:rPr>
          <w:szCs w:val="27"/>
        </w:rPr>
        <w:t>可能已在中國落地生根，因為中國已能走進太空，有很多科技的研發，但民主</w:t>
      </w:r>
      <w:r>
        <w:rPr>
          <w:szCs w:val="27"/>
        </w:rPr>
        <w:t>"</w:t>
      </w:r>
      <w:r>
        <w:rPr>
          <w:szCs w:val="27"/>
        </w:rPr>
        <w:t>德先生</w:t>
      </w:r>
      <w:r>
        <w:rPr>
          <w:szCs w:val="27"/>
        </w:rPr>
        <w:t>"</w:t>
      </w:r>
      <w:r>
        <w:rPr>
          <w:szCs w:val="27"/>
        </w:rPr>
        <w:t>在哪裏呢？他好像失蹤了。大家現時掛在嘴邊的是習主席，已經沒有人記得</w:t>
      </w:r>
      <w:r>
        <w:rPr>
          <w:szCs w:val="27"/>
        </w:rPr>
        <w:t>"</w:t>
      </w:r>
      <w:r>
        <w:rPr>
          <w:szCs w:val="27"/>
        </w:rPr>
        <w:t>德先生</w:t>
      </w:r>
      <w:r>
        <w:rPr>
          <w:szCs w:val="27"/>
        </w:rPr>
        <w:t>"</w:t>
      </w:r>
      <w:r>
        <w:rPr>
          <w:szCs w:val="27"/>
        </w:rPr>
        <w:t>了。</w:t>
      </w:r>
    </w:p>
    <w:p>
      <w:pPr>
        <w:pStyle w:val="F21"/>
        <w:spacing w:lineRule="atLeast" w:line="350"/>
        <w:rPr>
          <w:szCs w:val="27"/>
        </w:rPr>
      </w:pPr>
      <w:r>
        <w:rPr>
          <w:szCs w:val="27"/>
        </w:rPr>
      </w:r>
    </w:p>
    <w:p>
      <w:pPr>
        <w:pStyle w:val="F21"/>
        <w:spacing w:lineRule="atLeast" w:line="350"/>
        <w:rPr>
          <w:szCs w:val="27"/>
        </w:rPr>
      </w:pPr>
      <w:r>
        <w:rPr>
          <w:szCs w:val="27"/>
        </w:rPr>
        <w:tab/>
      </w:r>
      <w:r>
        <w:rPr>
          <w:szCs w:val="27"/>
        </w:rPr>
        <w:t>在</w:t>
      </w:r>
      <w:r>
        <w:rPr>
          <w:szCs w:val="27"/>
        </w:rPr>
        <w:t>1989</w:t>
      </w:r>
      <w:r>
        <w:rPr>
          <w:szCs w:val="27"/>
        </w:rPr>
        <w:t>年，有一群北京高等院校的學生，有大學生和研究生，當時高舉愛國旗幟，希望國家領導人和中共中央正視自改革開放以來，社會上出現的各種矛盾。他們要求反貪腐、改善教育制度、與官員對話，以及民主的憲政改革。他們發動的是一場和平的愛國民主運動。高等院校的學生是先鋒和領導者，及後我們看見有工人加入，甚至有共產黨不同機關的人加入，更多的是平民百姓，而且人民不止在北京聚集，在全國數百個城市，當中亦包括香港，也有很多人聲援這場運動。他們絕對是和平抗爭、非暴力和非常理性的大學生、知識分子和工人。可惜的是，</w:t>
      </w:r>
      <w:r>
        <w:rPr>
          <w:szCs w:val="27"/>
        </w:rPr>
        <w:t>1989</w:t>
      </w:r>
      <w:r>
        <w:rPr>
          <w:szCs w:val="27"/>
        </w:rPr>
        <w:t>年這場運動遭到軍隊暴力鎮壓清場，時至今天仍沒有人能說清楚有多少人死亡。</w:t>
      </w:r>
    </w:p>
    <w:p>
      <w:pPr>
        <w:pStyle w:val="F21"/>
        <w:spacing w:lineRule="atLeast" w:line="350"/>
        <w:rPr>
          <w:szCs w:val="27"/>
        </w:rPr>
      </w:pPr>
      <w:r>
        <w:rPr>
          <w:szCs w:val="27"/>
        </w:rPr>
      </w:r>
    </w:p>
    <w:p>
      <w:pPr>
        <w:pStyle w:val="F21"/>
        <w:spacing w:lineRule="atLeast" w:line="350"/>
        <w:rPr>
          <w:szCs w:val="27"/>
        </w:rPr>
      </w:pPr>
      <w:r>
        <w:rPr>
          <w:szCs w:val="27"/>
        </w:rPr>
        <w:tab/>
      </w:r>
      <w:r>
        <w:rPr>
          <w:szCs w:val="27"/>
        </w:rPr>
        <w:t>在</w:t>
      </w:r>
      <w:r>
        <w:rPr>
          <w:szCs w:val="27"/>
        </w:rPr>
        <w:t>2014</w:t>
      </w:r>
      <w:r>
        <w:rPr>
          <w:szCs w:val="27"/>
        </w:rPr>
        <w:t>年</w:t>
      </w:r>
      <w:r>
        <w:rPr>
          <w:szCs w:val="27"/>
        </w:rPr>
        <w:t>9</w:t>
      </w:r>
      <w:r>
        <w:rPr>
          <w:szCs w:val="27"/>
        </w:rPr>
        <w:t>月底，香港的學生包括中學生和大學生，很多人率先衝入公民廣場，接着引發了一場佔領運動，或是大家所稱的雨傘運動。有統計指出，當年有超過</w:t>
      </w:r>
      <w:r>
        <w:rPr>
          <w:szCs w:val="27"/>
        </w:rPr>
        <w:t>100</w:t>
      </w:r>
      <w:r>
        <w:rPr>
          <w:szCs w:val="27"/>
        </w:rPr>
        <w:t>萬人次參與這場雨傘運動，當時反對的是全國人民代表大會常務委員會</w:t>
      </w:r>
      <w:r>
        <w:rPr>
          <w:szCs w:val="27"/>
        </w:rPr>
        <w:t>("</w:t>
      </w:r>
      <w:r>
        <w:rPr>
          <w:szCs w:val="27"/>
        </w:rPr>
        <w:t>人大常委會</w:t>
      </w:r>
      <w:r>
        <w:rPr>
          <w:szCs w:val="27"/>
        </w:rPr>
        <w:t>")</w:t>
      </w:r>
      <w:r>
        <w:rPr>
          <w:szCs w:val="27"/>
        </w:rPr>
        <w:t>在</w:t>
      </w:r>
      <w:r>
        <w:rPr>
          <w:szCs w:val="27"/>
        </w:rPr>
        <w:t>2014</w:t>
      </w:r>
      <w:r>
        <w:rPr>
          <w:szCs w:val="27"/>
        </w:rPr>
        <w:t>年</w:t>
      </w:r>
      <w:r>
        <w:rPr>
          <w:szCs w:val="27"/>
        </w:rPr>
        <w:t>8</w:t>
      </w:r>
      <w:r>
        <w:rPr>
          <w:szCs w:val="27"/>
        </w:rPr>
        <w:t>月</w:t>
      </w:r>
      <w:r>
        <w:rPr>
          <w:szCs w:val="27"/>
        </w:rPr>
        <w:t>31</w:t>
      </w:r>
      <w:r>
        <w:rPr>
          <w:szCs w:val="27"/>
        </w:rPr>
        <w:t>日所作的決定，該決定徹底摧毀香港很多市民期望在香港落實的</w:t>
      </w:r>
      <w:r>
        <w:rPr>
          <w:szCs w:val="27"/>
        </w:rPr>
        <w:t>"</w:t>
      </w:r>
      <w:r>
        <w:rPr>
          <w:szCs w:val="27"/>
        </w:rPr>
        <w:t>真普選</w:t>
      </w:r>
      <w:r>
        <w:rPr>
          <w:szCs w:val="27"/>
        </w:rPr>
        <w:t>"</w:t>
      </w:r>
      <w:r>
        <w:rPr>
          <w:szCs w:val="27"/>
        </w:rPr>
        <w:t>，</w:t>
      </w:r>
      <w:r>
        <w:rPr>
          <w:szCs w:val="27"/>
        </w:rPr>
        <w:t>"</w:t>
      </w:r>
      <w:r>
        <w:rPr>
          <w:szCs w:val="27"/>
        </w:rPr>
        <w:t>一人一票</w:t>
      </w:r>
      <w:r>
        <w:rPr>
          <w:szCs w:val="27"/>
        </w:rPr>
        <w:t>"</w:t>
      </w:r>
      <w:r>
        <w:rPr>
          <w:szCs w:val="27"/>
        </w:rPr>
        <w:t>普選特首。</w:t>
      </w:r>
    </w:p>
    <w:p>
      <w:pPr>
        <w:pStyle w:val="F21"/>
        <w:rPr>
          <w:szCs w:val="27"/>
        </w:rPr>
      </w:pPr>
      <w:r>
        <w:rPr>
          <w:szCs w:val="27"/>
        </w:rPr>
      </w:r>
    </w:p>
    <w:p>
      <w:pPr>
        <w:pStyle w:val="F21"/>
        <w:rPr>
          <w:szCs w:val="27"/>
        </w:rPr>
      </w:pPr>
      <w:r>
        <w:rPr>
          <w:szCs w:val="27"/>
        </w:rPr>
        <w:tab/>
      </w:r>
      <w:r>
        <w:rPr>
          <w:szCs w:val="27"/>
        </w:rPr>
        <w:t>人大常委會的決定說明要進行高門檻的政治篩選，即表示政治上的反對派不能參選，因他們不可能通過須獲得提名委員會過半數成員支持的門檻。整件事顯示在中共專制政權的操控下，香港要爭取</w:t>
      </w:r>
      <w:r>
        <w:rPr>
          <w:szCs w:val="27"/>
        </w:rPr>
        <w:t>"</w:t>
      </w:r>
      <w:r>
        <w:rPr>
          <w:szCs w:val="27"/>
        </w:rPr>
        <w:t>真普選</w:t>
      </w:r>
      <w:r>
        <w:rPr>
          <w:szCs w:val="27"/>
        </w:rPr>
        <w:t>"</w:t>
      </w:r>
      <w:r>
        <w:rPr>
          <w:szCs w:val="27"/>
        </w:rPr>
        <w:t>變得難過登天。香港如要推行普選，必須在八三一的框架下，即我們只能有</w:t>
      </w:r>
      <w:r>
        <w:rPr>
          <w:szCs w:val="27"/>
        </w:rPr>
        <w:t>"</w:t>
      </w:r>
      <w:r>
        <w:rPr>
          <w:szCs w:val="27"/>
        </w:rPr>
        <w:t>假普選</w:t>
      </w:r>
      <w:r>
        <w:rPr>
          <w:szCs w:val="27"/>
        </w:rPr>
        <w:t>"</w:t>
      </w:r>
      <w:r>
        <w:rPr>
          <w:szCs w:val="27"/>
        </w:rPr>
        <w:t>，假的可以推行，真的便不可能。在這種情況下，香港市民清楚知道，香港在爭取民主上，仍然無法擺脫中共的專制政權，所以民主黨非常期望，我們不單要力爭在香港推行</w:t>
      </w:r>
      <w:r>
        <w:rPr>
          <w:szCs w:val="27"/>
        </w:rPr>
        <w:t>"</w:t>
      </w:r>
      <w:r>
        <w:rPr>
          <w:szCs w:val="27"/>
        </w:rPr>
        <w:t>真普選</w:t>
      </w:r>
      <w:r>
        <w:rPr>
          <w:szCs w:val="27"/>
        </w:rPr>
        <w:t>"</w:t>
      </w:r>
      <w:r>
        <w:rPr>
          <w:szCs w:val="27"/>
        </w:rPr>
        <w:t>，我們亦希望中國推行民主的憲政改革。</w:t>
      </w:r>
    </w:p>
    <w:p>
      <w:pPr>
        <w:pStyle w:val="F21"/>
        <w:rPr>
          <w:szCs w:val="27"/>
        </w:rPr>
      </w:pPr>
      <w:r>
        <w:rPr>
          <w:szCs w:val="27"/>
        </w:rPr>
      </w:r>
    </w:p>
    <w:p>
      <w:pPr>
        <w:pStyle w:val="F21"/>
        <w:rPr>
          <w:szCs w:val="27"/>
        </w:rPr>
      </w:pPr>
      <w:r>
        <w:rPr>
          <w:szCs w:val="27"/>
        </w:rPr>
        <w:tab/>
      </w:r>
      <w:r>
        <w:rPr>
          <w:szCs w:val="27"/>
        </w:rPr>
        <w:t>過去</w:t>
      </w:r>
      <w:r>
        <w:rPr>
          <w:szCs w:val="27"/>
        </w:rPr>
        <w:t>30</w:t>
      </w:r>
      <w:r>
        <w:rPr>
          <w:szCs w:val="27"/>
        </w:rPr>
        <w:t>年，中國在經濟改革上做出一些成績，亦提升了中國人民的生活水平，但</w:t>
      </w:r>
      <w:r>
        <w:rPr>
          <w:szCs w:val="27"/>
        </w:rPr>
        <w:t>"</w:t>
      </w:r>
      <w:r>
        <w:rPr>
          <w:szCs w:val="27"/>
        </w:rPr>
        <w:t>德先生</w:t>
      </w:r>
      <w:r>
        <w:rPr>
          <w:szCs w:val="27"/>
        </w:rPr>
        <w:t>"</w:t>
      </w:r>
      <w:r>
        <w:rPr>
          <w:szCs w:val="27"/>
        </w:rPr>
        <w:t>往哪裏去呢？</w:t>
      </w:r>
      <w:r>
        <w:rPr>
          <w:szCs w:val="27"/>
        </w:rPr>
        <w:t>"</w:t>
      </w:r>
      <w:r>
        <w:rPr>
          <w:szCs w:val="27"/>
        </w:rPr>
        <w:t>德先生</w:t>
      </w:r>
      <w:r>
        <w:rPr>
          <w:szCs w:val="27"/>
        </w:rPr>
        <w:t>"</w:t>
      </w:r>
      <w:r>
        <w:rPr>
          <w:szCs w:val="27"/>
        </w:rPr>
        <w:t>被埋藏了。基本上，在過去三四十年，整個中國的改革在政治上並無寸進，在法治上亦看不到有司法獨立。在這情況下，民主黨當然會繼續努力，香港人也會繼續努力，為爭取香港的民主普選制度奮鬥。我們當然亦鼓勵全中國不願做奴隸的人們，也要為中國的民主憲政改革繼續發聲和努力。</w:t>
      </w:r>
    </w:p>
    <w:p>
      <w:pPr>
        <w:pStyle w:val="F21"/>
        <w:rPr>
          <w:szCs w:val="27"/>
        </w:rPr>
      </w:pPr>
      <w:r>
        <w:rPr>
          <w:szCs w:val="27"/>
        </w:rPr>
      </w:r>
    </w:p>
    <w:p>
      <w:pPr>
        <w:pStyle w:val="F21"/>
        <w:rPr>
          <w:szCs w:val="27"/>
        </w:rPr>
      </w:pPr>
      <w:r>
        <w:rPr>
          <w:szCs w:val="27"/>
        </w:rPr>
        <w:tab/>
      </w:r>
      <w:r>
        <w:rPr>
          <w:szCs w:val="27"/>
        </w:rPr>
        <w:t>國內有很多人同樣勇敢地為民主付出性命，</w:t>
      </w:r>
      <w:r>
        <w:rPr>
          <w:szCs w:val="27"/>
        </w:rPr>
        <w:t>1989</w:t>
      </w:r>
      <w:r>
        <w:rPr>
          <w:szCs w:val="27"/>
        </w:rPr>
        <w:t>年便有很多人因此而犧牲。我們知道有數十位曾在</w:t>
      </w:r>
      <w:r>
        <w:rPr>
          <w:szCs w:val="27"/>
        </w:rPr>
        <w:t>1989</w:t>
      </w:r>
      <w:r>
        <w:rPr>
          <w:szCs w:val="27"/>
        </w:rPr>
        <w:t>年參與民主運動的朋友發表了公開聲明，呼籲全球人民一起努力，重建歷史的記憶，作為抵抗極權、追求民主的手段。過去</w:t>
      </w:r>
      <w:r>
        <w:rPr>
          <w:szCs w:val="27"/>
        </w:rPr>
        <w:t>30</w:t>
      </w:r>
      <w:r>
        <w:rPr>
          <w:szCs w:val="27"/>
        </w:rPr>
        <w:t>年，中國發展模式拒絕文明和民主，是一條錯誤的發展道路，我們希望習近平可以扭轉這情況，朝着民主目標向前邁進，亦要在適當時候平反六四，還死難者家屬一個公道和真相</w:t>
      </w:r>
      <w:r>
        <w:rPr>
          <w:i/>
          <w:szCs w:val="27"/>
        </w:rPr>
        <w:t>(</w:t>
      </w:r>
      <w:r>
        <w:rPr>
          <w:i/>
          <w:szCs w:val="27"/>
        </w:rPr>
        <w:t>計時器響起</w:t>
      </w:r>
      <w:r>
        <w:rPr>
          <w:i/>
          <w:szCs w:val="27"/>
        </w:rPr>
        <w:t>)</w:t>
      </w:r>
      <w:r>
        <w:rPr>
          <w:szCs w:val="27"/>
        </w:rPr>
        <w:t>......</w:t>
      </w:r>
    </w:p>
    <w:p>
      <w:pPr>
        <w:pStyle w:val="F21"/>
        <w:rPr>
          <w:szCs w:val="27"/>
        </w:rPr>
      </w:pPr>
      <w:r>
        <w:rPr>
          <w:szCs w:val="27"/>
        </w:rPr>
      </w:r>
    </w:p>
    <w:p>
      <w:pPr>
        <w:pStyle w:val="F21"/>
        <w:rPr>
          <w:szCs w:val="27"/>
        </w:rPr>
      </w:pPr>
      <w:r>
        <w:rPr>
          <w:szCs w:val="27"/>
        </w:rPr>
      </w:r>
    </w:p>
    <w:p>
      <w:pPr>
        <w:pStyle w:val="F21"/>
        <w:rPr>
          <w:szCs w:val="27"/>
        </w:rPr>
      </w:pPr>
      <w:r>
        <w:rPr>
          <w:rFonts w:ascii="華康中黑體" w:hAnsi="華康中黑體" w:cs="華康中黑體" w:eastAsia="華康中黑體"/>
          <w:b/>
          <w:szCs w:val="27"/>
        </w:rPr>
        <w:t>主席</w:t>
      </w:r>
      <w:r>
        <w:rPr>
          <w:szCs w:val="27"/>
        </w:rPr>
        <w:t>：黃議員，請停止發言。</w:t>
      </w:r>
    </w:p>
    <w:p>
      <w:pPr>
        <w:pStyle w:val="F21"/>
        <w:rPr>
          <w:szCs w:val="27"/>
        </w:rPr>
      </w:pPr>
      <w:r>
        <w:rPr>
          <w:szCs w:val="27"/>
        </w:rPr>
      </w:r>
    </w:p>
    <w:p>
      <w:pPr>
        <w:pStyle w:val="F21"/>
        <w:overflowPunct w:val="true"/>
        <w:rPr>
          <w:szCs w:val="27"/>
        </w:rPr>
      </w:pPr>
      <w:r>
        <w:rPr>
          <w:szCs w:val="27"/>
        </w:rPr>
      </w:r>
    </w:p>
    <w:p>
      <w:pPr>
        <w:pStyle w:val="F21"/>
        <w:overflowPunct w:val="true"/>
        <w:rPr/>
      </w:pPr>
      <w:r>
        <w:rPr>
          <w:rFonts w:eastAsia="華康中黑體"/>
          <w:b/>
        </w:rPr>
        <w:t>朱凱廸議員</w:t>
      </w:r>
      <w:r>
        <w:rPr/>
        <w:t>：主席，剛才聽到鍾國斌議員說六四令中國更開放，我已經覺得離譜，而尹兆堅議員引述清華大學許章潤教授的說話，正好摑了鍾國斌議員一記耳光。許教授說中國是一個超級大規模的極權國家。六四令中國更開放？</w:t>
      </w:r>
    </w:p>
    <w:p>
      <w:pPr>
        <w:pStyle w:val="Normal"/>
        <w:widowControl/>
        <w:tabs>
          <w:tab w:val="clear" w:pos="720"/>
        </w:tabs>
        <w:snapToGrid w:val="true"/>
        <w:spacing w:lineRule="auto" w:line="276" w:before="0" w:after="200"/>
        <w:jc w:val="left"/>
        <w:rPr>
          <w:rFonts w:cs="" w:cstheme="minorBidi"/>
          <w:spacing w:val="20"/>
          <w:sz w:val="27"/>
          <w:szCs w:val="22"/>
          <w:lang w:val="en-US"/>
        </w:rPr>
      </w:pPr>
      <w:r>
        <w:rPr>
          <w:rFonts w:cs="" w:cstheme="minorBidi"/>
          <w:spacing w:val="20"/>
          <w:sz w:val="27"/>
          <w:szCs w:val="22"/>
          <w:lang w:val="en-US"/>
        </w:rPr>
      </w:r>
      <w:r>
        <w:br w:type="page"/>
      </w:r>
    </w:p>
    <w:p>
      <w:pPr>
        <w:pStyle w:val="F21"/>
        <w:overflowPunct w:val="true"/>
        <w:spacing w:lineRule="atLeast" w:line="370"/>
        <w:rPr/>
      </w:pPr>
      <w:r>
        <w:rPr/>
        <w:tab/>
      </w:r>
      <w:r>
        <w:rPr/>
        <w:t>可是，想不到何君堯議員隨後還說了一句更駭人聽聞的說話，他說中共不是一個冷血無情的政權。我覺得這句話可媲美袁木說</w:t>
      </w:r>
      <w:r>
        <w:rPr/>
        <w:t>"</w:t>
      </w:r>
      <w:r>
        <w:rPr/>
        <w:t>天安門廣場沒有死一個人</w:t>
      </w:r>
      <w:r>
        <w:rPr/>
        <w:t>"</w:t>
      </w:r>
      <w:r>
        <w:rPr/>
        <w:t>。沒想到過了</w:t>
      </w:r>
      <w:r>
        <w:rPr/>
        <w:t>30</w:t>
      </w:r>
      <w:r>
        <w:rPr/>
        <w:t>年，在香港竟然可以找到一個說同樣級數荒謬說話的政治人物。</w:t>
      </w:r>
    </w:p>
    <w:p>
      <w:pPr>
        <w:pStyle w:val="F21"/>
        <w:overflowPunct w:val="true"/>
        <w:spacing w:lineRule="atLeast" w:line="370"/>
        <w:rPr/>
      </w:pPr>
      <w:r>
        <w:rPr/>
      </w:r>
    </w:p>
    <w:p>
      <w:pPr>
        <w:pStyle w:val="F21"/>
        <w:overflowPunct w:val="true"/>
        <w:spacing w:lineRule="atLeast" w:line="370"/>
        <w:rPr/>
      </w:pPr>
      <w:r>
        <w:rPr/>
        <w:tab/>
      </w:r>
      <w:r>
        <w:rPr/>
        <w:t>關於</w:t>
      </w:r>
      <w:r>
        <w:rPr/>
        <w:t>"</w:t>
      </w:r>
      <w:r>
        <w:rPr/>
        <w:t>毋忘六四</w:t>
      </w:r>
      <w:r>
        <w:rPr/>
        <w:t>"</w:t>
      </w:r>
      <w:r>
        <w:rPr/>
        <w:t>議案，我想提出的是，為甚麼我們要在香港不斷複述六四。我明白有很多站在不同政治立場的人會從個人感受的角度來回顧這件事，但我認為關鍵始終在於複述六四是如何與香港，或更廣闊一點，與中國的未來相關？我認為有</w:t>
      </w:r>
      <w:r>
        <w:rPr/>
        <w:t>3</w:t>
      </w:r>
      <w:r>
        <w:rPr/>
        <w:t>方面。</w:t>
      </w:r>
    </w:p>
    <w:p>
      <w:pPr>
        <w:pStyle w:val="F21"/>
        <w:overflowPunct w:val="true"/>
        <w:spacing w:lineRule="atLeast" w:line="370"/>
        <w:rPr/>
      </w:pPr>
      <w:r>
        <w:rPr/>
      </w:r>
    </w:p>
    <w:p>
      <w:pPr>
        <w:pStyle w:val="F21"/>
        <w:overflowPunct w:val="true"/>
        <w:spacing w:lineRule="atLeast" w:line="370"/>
        <w:rPr/>
      </w:pPr>
      <w:r>
        <w:rPr/>
        <w:tab/>
      </w:r>
      <w:r>
        <w:rPr/>
        <w:t>第一，我經常在自己的</w:t>
      </w:r>
      <w:r>
        <w:rPr/>
        <w:t>Facebook(</w:t>
      </w:r>
      <w:r>
        <w:rPr/>
        <w:t>面書</w:t>
      </w:r>
      <w:r>
        <w:rPr/>
        <w:t>)</w:t>
      </w:r>
      <w:r>
        <w:rPr/>
        <w:t>寫最新的政治議題，例如最近的《逃犯條例》、中環海濱改作解放軍碼頭等事情。在最近一兩年有一個趨勢，就是我在網上寫出這類言論後，很多網民的回應是：</w:t>
      </w:r>
      <w:r>
        <w:rPr/>
        <w:t>"</w:t>
      </w:r>
      <w:r>
        <w:rPr/>
        <w:t>唉，有甚麼辦法？我們阻止不了</w:t>
      </w:r>
      <w:r>
        <w:rPr/>
        <w:t>"</w:t>
      </w:r>
      <w:r>
        <w:rPr/>
        <w:t>，這種無力感顯而易見。這與六四有甚麼關係呢？我認為複述六四正正能夠令每個覺得沒有辦法阻止錯誤事情發生的人，或我們無法形成一股力量跟政權抵抗的任何人也記得，其實歷史的機會可能會突如其來。雖然我們沒有辦法準備，我們現時認為沒有甚麼可以做，但下一個月卻可能有翻天覆地的變化。所以，我們要知道歷史有突然變動的時候。</w:t>
      </w:r>
    </w:p>
    <w:p>
      <w:pPr>
        <w:pStyle w:val="F21"/>
        <w:overflowPunct w:val="true"/>
        <w:spacing w:lineRule="atLeast" w:line="370"/>
        <w:rPr/>
      </w:pPr>
      <w:r>
        <w:rPr/>
      </w:r>
    </w:p>
    <w:p>
      <w:pPr>
        <w:pStyle w:val="F21"/>
        <w:overflowPunct w:val="true"/>
        <w:spacing w:lineRule="atLeast" w:line="370"/>
        <w:rPr/>
      </w:pPr>
      <w:r>
        <w:rPr/>
        <w:tab/>
      </w:r>
      <w:r>
        <w:rPr/>
        <w:t>至於複述六四的另外兩重意義，我認為是可讓我們有更好的準備，當突然的機會出現時，我們知道如何應對。我記得最近有一齣紀錄片叫做</w:t>
      </w:r>
      <w:r>
        <w:rPr/>
        <w:t>"</w:t>
      </w:r>
      <w:r>
        <w:rPr/>
        <w:t>傘上</w:t>
      </w:r>
      <w:r>
        <w:rPr/>
        <w:t>"</w:t>
      </w:r>
      <w:r>
        <w:rPr/>
        <w:t>，片中提到在</w:t>
      </w:r>
      <w:r>
        <w:rPr/>
        <w:t>2014</w:t>
      </w:r>
      <w:r>
        <w:rPr/>
        <w:t>年</w:t>
      </w:r>
      <w:r>
        <w:rPr/>
        <w:t>9</w:t>
      </w:r>
      <w:r>
        <w:rPr/>
        <w:t>月</w:t>
      </w:r>
      <w:r>
        <w:rPr/>
        <w:t>27</w:t>
      </w:r>
      <w:r>
        <w:rPr/>
        <w:t>日晚上，前議員梁國雄跪在群眾面前，請求他們不要離開，要留在政府總部外面保護學生。他當時說了一個故事，說其實他們就好像八九民運的抗爭者一樣，當年有一群為數不多的學生在天安門廣場聚集，之後有軍隊入城，於是人民、工人、北京市民等全部湧出來反包圍武警和解放軍，</w:t>
      </w:r>
      <w:r>
        <w:rPr/>
        <w:t>"</w:t>
      </w:r>
      <w:r>
        <w:rPr/>
        <w:t>長毛</w:t>
      </w:r>
      <w:r>
        <w:rPr/>
        <w:t>"</w:t>
      </w:r>
      <w:r>
        <w:rPr/>
        <w:t>說我們要做的就是要反包圍香港警察。我認為當我們明白六四，我們對行動就有一種敏銳感。</w:t>
      </w:r>
    </w:p>
    <w:p>
      <w:pPr>
        <w:pStyle w:val="F21"/>
        <w:overflowPunct w:val="true"/>
        <w:spacing w:lineRule="atLeast" w:line="370"/>
        <w:rPr/>
      </w:pPr>
      <w:r>
        <w:rPr/>
      </w:r>
    </w:p>
    <w:p>
      <w:pPr>
        <w:pStyle w:val="F21"/>
        <w:overflowPunct w:val="true"/>
        <w:spacing w:lineRule="atLeast" w:line="370"/>
        <w:rPr/>
      </w:pPr>
      <w:r>
        <w:rPr/>
        <w:tab/>
      </w:r>
      <w:r>
        <w:rPr/>
        <w:t>此外，在思想上，我認為我們也要為突如其來的歷史機會作好準備。正如</w:t>
      </w:r>
      <w:r>
        <w:rPr/>
        <w:t>1989</w:t>
      </w:r>
      <w:r>
        <w:rPr/>
        <w:t>年的香港，我認為那個可能是我們一個千載難逢，能夠掌握自己政治命運的機會。試想想，簽訂了《中英聯合聲明》只是數年，就發生殺人事件，為甚麼香港人當時仍然接受英國政府將香港人送還一個殺人政權呢？可惜，當時的香港沒有這個思想準備，提出說香港不能接受這樣的《中英聯合聲明》、這樣的《基本法》。</w:t>
      </w:r>
    </w:p>
    <w:p>
      <w:pPr>
        <w:pStyle w:val="Normal"/>
        <w:widowControl/>
        <w:tabs>
          <w:tab w:val="clear" w:pos="720"/>
        </w:tabs>
        <w:snapToGrid w:val="true"/>
        <w:spacing w:lineRule="auto" w:line="276" w:before="0" w:after="200"/>
        <w:jc w:val="left"/>
        <w:rPr/>
      </w:pPr>
      <w:r>
        <w:rPr/>
      </w:r>
      <w:r>
        <w:br w:type="page"/>
      </w:r>
    </w:p>
    <w:p>
      <w:pPr>
        <w:pStyle w:val="F21"/>
        <w:overflowPunct w:val="true"/>
        <w:rPr/>
      </w:pPr>
      <w:r>
        <w:rPr/>
        <w:tab/>
      </w:r>
      <w:r>
        <w:rPr/>
        <w:t>香港的未來要由香港人自己寫，我們錯過了</w:t>
      </w:r>
      <w:r>
        <w:rPr/>
        <w:t>1989</w:t>
      </w:r>
      <w:r>
        <w:rPr/>
        <w:t>年的機會，當有機會再來臨的時候，我們就要問香港人在思想上做好準備了嗎？當有機會來臨的時候，我們會為香港的未來說些甚麼呢？謹此陳辭。</w:t>
      </w:r>
    </w:p>
    <w:p>
      <w:pPr>
        <w:pStyle w:val="F21"/>
        <w:overflowPunct w:val="true"/>
        <w:rPr>
          <w:rFonts w:eastAsia="華康中黑體"/>
          <w:b/>
          <w:b/>
          <w:szCs w:val="27"/>
        </w:rPr>
      </w:pPr>
      <w:r>
        <w:rPr>
          <w:rFonts w:eastAsia="華康中黑體"/>
          <w:b/>
          <w:szCs w:val="27"/>
        </w:rPr>
      </w:r>
    </w:p>
    <w:p>
      <w:pPr>
        <w:pStyle w:val="F21"/>
        <w:overflowPunct w:val="true"/>
        <w:rPr>
          <w:rFonts w:eastAsia="華康中黑體"/>
          <w:b/>
          <w:b/>
          <w:szCs w:val="27"/>
        </w:rPr>
      </w:pPr>
      <w:r>
        <w:rPr>
          <w:rFonts w:eastAsia="華康中黑體"/>
          <w:b/>
          <w:szCs w:val="27"/>
        </w:rPr>
      </w:r>
    </w:p>
    <w:p>
      <w:pPr>
        <w:pStyle w:val="F21"/>
        <w:overflowPunct w:val="true"/>
        <w:rPr>
          <w:szCs w:val="27"/>
        </w:rPr>
      </w:pPr>
      <w:r>
        <w:rPr>
          <w:rFonts w:ascii="華康中黑體" w:hAnsi="華康中黑體" w:eastAsia="華康中黑體"/>
          <w:b/>
        </w:rPr>
        <w:t>主席</w:t>
      </w:r>
      <w:r>
        <w:rPr>
          <w:szCs w:val="27"/>
        </w:rPr>
        <w:t>：是否有其他議員想發言？</w:t>
      </w:r>
    </w:p>
    <w:p>
      <w:pPr>
        <w:pStyle w:val="F21"/>
        <w:overflowPunct w:val="true"/>
        <w:rPr>
          <w:szCs w:val="27"/>
        </w:rPr>
      </w:pPr>
      <w:r>
        <w:rPr>
          <w:szCs w:val="27"/>
        </w:rPr>
      </w:r>
    </w:p>
    <w:p>
      <w:pPr>
        <w:pStyle w:val="F21"/>
        <w:overflowPunct w:val="true"/>
        <w:rPr>
          <w:szCs w:val="27"/>
        </w:rPr>
      </w:pPr>
      <w:r>
        <w:rPr>
          <w:szCs w:val="27"/>
        </w:rPr>
        <w:t>(</w:t>
      </w:r>
      <w:r>
        <w:rPr>
          <w:szCs w:val="27"/>
        </w:rPr>
        <w:t>沒有其他議員表示想發言</w:t>
      </w:r>
      <w:r>
        <w:rPr>
          <w:szCs w:val="27"/>
        </w:rPr>
        <w:t>)</w:t>
      </w:r>
    </w:p>
    <w:p>
      <w:pPr>
        <w:pStyle w:val="F21"/>
        <w:overflowPunct w:val="true"/>
        <w:rPr>
          <w:szCs w:val="27"/>
        </w:rPr>
      </w:pPr>
      <w:r>
        <w:rPr>
          <w:szCs w:val="27"/>
        </w:rPr>
      </w:r>
    </w:p>
    <w:p>
      <w:pPr>
        <w:pStyle w:val="F21"/>
        <w:overflowPunct w:val="true"/>
        <w:rPr>
          <w:szCs w:val="27"/>
        </w:rPr>
      </w:pPr>
      <w:r>
        <w:rPr>
          <w:szCs w:val="27"/>
        </w:rPr>
      </w:r>
    </w:p>
    <w:p>
      <w:pPr>
        <w:pStyle w:val="F21"/>
        <w:overflowPunct w:val="true"/>
        <w:rPr>
          <w:szCs w:val="27"/>
        </w:rPr>
      </w:pPr>
      <w:r>
        <w:rPr>
          <w:rFonts w:ascii="華康中黑體" w:hAnsi="華康中黑體" w:eastAsia="華康中黑體"/>
          <w:b/>
        </w:rPr>
        <w:t>主席</w:t>
      </w:r>
      <w:r>
        <w:rPr>
          <w:szCs w:val="27"/>
        </w:rPr>
        <w:t>：如果沒有，我現在請胡志偉議員答辯。胡議員，你還有</w:t>
      </w:r>
      <w:r>
        <w:rPr>
          <w:szCs w:val="27"/>
        </w:rPr>
        <w:t>2</w:t>
      </w:r>
      <w:r>
        <w:rPr>
          <w:szCs w:val="27"/>
        </w:rPr>
        <w:t>分‍</w:t>
      </w:r>
      <w:r>
        <w:rPr>
          <w:szCs w:val="27"/>
        </w:rPr>
        <w:t>17</w:t>
      </w:r>
      <w:r>
        <w:rPr>
          <w:szCs w:val="27"/>
        </w:rPr>
        <w:t>秒答辯。之後辯論即告結束。</w:t>
      </w:r>
    </w:p>
    <w:p>
      <w:pPr>
        <w:pStyle w:val="F21"/>
        <w:overflowPunct w:val="true"/>
        <w:rPr>
          <w:szCs w:val="27"/>
        </w:rPr>
      </w:pPr>
      <w:r>
        <w:rPr>
          <w:szCs w:val="27"/>
        </w:rPr>
      </w:r>
    </w:p>
    <w:p>
      <w:pPr>
        <w:pStyle w:val="F21"/>
        <w:overflowPunct w:val="true"/>
        <w:rPr>
          <w:szCs w:val="27"/>
        </w:rPr>
      </w:pPr>
      <w:r>
        <w:rPr>
          <w:szCs w:val="27"/>
        </w:rPr>
      </w:r>
    </w:p>
    <w:p>
      <w:pPr>
        <w:pStyle w:val="F21"/>
        <w:overflowPunct w:val="true"/>
        <w:rPr/>
      </w:pPr>
      <w:r>
        <w:rPr>
          <w:rFonts w:eastAsia="華康中黑體"/>
          <w:b/>
          <w:szCs w:val="27"/>
        </w:rPr>
        <w:t>胡志偉議員</w:t>
      </w:r>
      <w:r>
        <w:rPr/>
        <w:t>：主席，今天有</w:t>
      </w:r>
      <w:r>
        <w:rPr/>
        <w:t>22</w:t>
      </w:r>
      <w:r>
        <w:rPr/>
        <w:t>位同事就</w:t>
      </w:r>
      <w:r>
        <w:rPr/>
        <w:t>"</w:t>
      </w:r>
      <w:r>
        <w:rPr/>
        <w:t>毋忘六四</w:t>
      </w:r>
      <w:r>
        <w:rPr/>
        <w:t>"</w:t>
      </w:r>
      <w:r>
        <w:rPr/>
        <w:t>議案發言，我當然很感謝他們，當中有小部分的建制派的同事也有發言。我認為這也是在這麼長時間以來，在辯論</w:t>
      </w:r>
      <w:r>
        <w:rPr/>
        <w:t>"</w:t>
      </w:r>
      <w:r>
        <w:rPr/>
        <w:t>毋忘六四</w:t>
      </w:r>
      <w:r>
        <w:rPr/>
        <w:t>"</w:t>
      </w:r>
      <w:r>
        <w:rPr/>
        <w:t>議案時經常遇到的問題，即絕大部分建制派議員也不會從歷史真相的角度來表述他們的看法，亦不願意明白中共作為一個大國崛起，在這種窮兵黷武，以及本身已經是經濟強國的背景下，它如何能夠真正堂堂正正地站起來，成為獲得世界尊重的國家。</w:t>
      </w:r>
    </w:p>
    <w:p>
      <w:pPr>
        <w:pStyle w:val="F21"/>
        <w:overflowPunct w:val="true"/>
        <w:rPr/>
      </w:pPr>
      <w:r>
        <w:rPr/>
      </w:r>
    </w:p>
    <w:p>
      <w:pPr>
        <w:pStyle w:val="F21"/>
        <w:overflowPunct w:val="true"/>
        <w:rPr>
          <w:szCs w:val="27"/>
        </w:rPr>
      </w:pPr>
      <w:r>
        <w:rPr/>
        <w:tab/>
      </w:r>
      <w:r>
        <w:rPr/>
        <w:t>關於六四的慘案、六四血案，如果中共認真地面對及反思它曾犯的錯誤，從而令中國的政治改革走上軌道，這其實是一個非常好的契機，但中共一直也沒有利用。中共沒有利用這個契機，結果它管治的認受性只能依賴它在經濟上的成果。當中共在經濟發展上受到約束時，便會加大維穩力度，將對人民的管制、將所有挑戰政權的動作也看成是會衝擊政權的安全性。如果是這樣，中共作為這麼沒有自信的大國，它又如何能夠應對當前如此複雜的社會？也因為中共對本身的政權如此沒有自信，大家可以見到，在</w:t>
      </w:r>
      <w:r>
        <w:rPr/>
        <w:t>"</w:t>
      </w:r>
      <w:r>
        <w:rPr/>
        <w:t>一國兩制</w:t>
      </w:r>
      <w:r>
        <w:rPr/>
        <w:t>"</w:t>
      </w:r>
      <w:r>
        <w:rPr/>
        <w:t>下的香港，中共用盡各種方法來防範香港人、懷疑香港人是否值得信任，正因如此，才引致《逃犯條例》的來臨，以及就國歌和《基本法》第二十三條的立法，這些均反映中共如不進行檢討，會影響大</w:t>
      </w:r>
      <w:r>
        <w:rPr>
          <w:i/>
          <w:szCs w:val="27"/>
        </w:rPr>
        <w:t>(</w:t>
      </w:r>
      <w:r>
        <w:rPr>
          <w:rFonts w:ascii="華康細明體" w:hAnsi="華康細明體"/>
          <w:i/>
          <w:szCs w:val="27"/>
        </w:rPr>
        <w:t>計時器響起</w:t>
      </w:r>
      <w:r>
        <w:rPr>
          <w:i/>
          <w:szCs w:val="27"/>
        </w:rPr>
        <w:t>)</w:t>
      </w:r>
      <w:r>
        <w:rPr>
          <w:szCs w:val="27"/>
        </w:rPr>
        <w:t>......</w:t>
      </w:r>
    </w:p>
    <w:p>
      <w:pPr>
        <w:pStyle w:val="F21"/>
        <w:overflowPunct w:val="true"/>
        <w:rPr>
          <w:szCs w:val="27"/>
        </w:rPr>
      </w:pPr>
      <w:r>
        <w:rPr>
          <w:szCs w:val="27"/>
        </w:rPr>
      </w:r>
    </w:p>
    <w:p>
      <w:pPr>
        <w:pStyle w:val="F21"/>
        <w:overflowPunct w:val="true"/>
        <w:rPr>
          <w:szCs w:val="27"/>
        </w:rPr>
      </w:pPr>
      <w:r>
        <w:rPr>
          <w:szCs w:val="27"/>
        </w:rPr>
      </w:r>
    </w:p>
    <w:p>
      <w:pPr>
        <w:pStyle w:val="F21"/>
        <w:overflowPunct w:val="true"/>
        <w:rPr>
          <w:szCs w:val="27"/>
        </w:rPr>
      </w:pPr>
      <w:r>
        <w:rPr>
          <w:rFonts w:ascii="華康中黑體" w:hAnsi="華康中黑體" w:eastAsia="華康中黑體"/>
          <w:b/>
          <w:szCs w:val="27"/>
        </w:rPr>
        <w:t>主席</w:t>
      </w:r>
      <w:r>
        <w:rPr>
          <w:szCs w:val="27"/>
        </w:rPr>
        <w:t>：胡議員，請停止發言。</w:t>
      </w:r>
    </w:p>
    <w:p>
      <w:pPr>
        <w:pStyle w:val="Normal"/>
        <w:widowControl/>
        <w:tabs>
          <w:tab w:val="clear" w:pos="720"/>
        </w:tabs>
        <w:snapToGrid w:val="true"/>
        <w:spacing w:lineRule="auto" w:line="276" w:before="0" w:after="200"/>
        <w:jc w:val="left"/>
        <w:rPr>
          <w:rFonts w:cs="" w:cstheme="minorBidi"/>
          <w:spacing w:val="20"/>
          <w:sz w:val="27"/>
          <w:szCs w:val="27"/>
          <w:lang w:val="en-US"/>
        </w:rPr>
      </w:pPr>
      <w:r>
        <w:rPr>
          <w:rFonts w:cs="" w:cstheme="minorBidi"/>
          <w:spacing w:val="20"/>
          <w:sz w:val="27"/>
          <w:szCs w:val="27"/>
          <w:lang w:val="en-US"/>
        </w:rPr>
      </w:r>
      <w:r>
        <w:br w:type="page"/>
      </w:r>
    </w:p>
    <w:p>
      <w:pPr>
        <w:pStyle w:val="F21"/>
        <w:overflowPunct w:val="true"/>
        <w:rPr>
          <w:szCs w:val="27"/>
        </w:rPr>
      </w:pPr>
      <w:r>
        <w:rPr>
          <w:rFonts w:ascii="華康中黑體" w:hAnsi="華康中黑體" w:eastAsia="華康中黑體"/>
          <w:b/>
          <w:szCs w:val="27"/>
        </w:rPr>
        <w:t>主席</w:t>
      </w:r>
      <w:r>
        <w:rPr>
          <w:szCs w:val="27"/>
        </w:rPr>
        <w:t>：我現在向各位提出的待決議題是：胡志偉議員動議的議案，予以通過。贊成的請舉手。</w:t>
      </w:r>
    </w:p>
    <w:p>
      <w:pPr>
        <w:pStyle w:val="F21"/>
        <w:overflowPunct w:val="true"/>
        <w:rPr>
          <w:szCs w:val="27"/>
        </w:rPr>
      </w:pPr>
      <w:r>
        <w:rPr>
          <w:szCs w:val="27"/>
        </w:rPr>
      </w:r>
    </w:p>
    <w:p>
      <w:pPr>
        <w:pStyle w:val="F21"/>
        <w:overflowPunct w:val="true"/>
        <w:rPr>
          <w:szCs w:val="27"/>
        </w:rPr>
      </w:pPr>
      <w:r>
        <w:rPr>
          <w:szCs w:val="27"/>
        </w:rPr>
        <w:t>(</w:t>
      </w:r>
      <w:r>
        <w:rPr>
          <w:szCs w:val="27"/>
        </w:rPr>
        <w:t>議員舉手</w:t>
      </w:r>
      <w:r>
        <w:rPr>
          <w:szCs w:val="27"/>
        </w:rPr>
        <w:t>)</w:t>
      </w:r>
    </w:p>
    <w:p>
      <w:pPr>
        <w:pStyle w:val="F21"/>
        <w:overflowPunct w:val="true"/>
        <w:rPr>
          <w:szCs w:val="27"/>
        </w:rPr>
      </w:pPr>
      <w:r>
        <w:rPr>
          <w:szCs w:val="27"/>
        </w:rPr>
      </w:r>
    </w:p>
    <w:p>
      <w:pPr>
        <w:pStyle w:val="F21"/>
        <w:overflowPunct w:val="true"/>
        <w:rPr>
          <w:szCs w:val="27"/>
        </w:rPr>
      </w:pPr>
      <w:r>
        <w:rPr>
          <w:szCs w:val="27"/>
        </w:rPr>
      </w:r>
    </w:p>
    <w:p>
      <w:pPr>
        <w:pStyle w:val="F21"/>
        <w:overflowPunct w:val="true"/>
        <w:rPr>
          <w:szCs w:val="27"/>
        </w:rPr>
      </w:pPr>
      <w:r>
        <w:rPr>
          <w:rFonts w:ascii="華康中黑體" w:hAnsi="華康中黑體" w:eastAsia="華康中黑體"/>
          <w:b/>
          <w:szCs w:val="27"/>
        </w:rPr>
        <w:t>主席</w:t>
      </w:r>
      <w:r>
        <w:rPr>
          <w:szCs w:val="27"/>
        </w:rPr>
        <w:t>：反對的請舉手。</w:t>
      </w:r>
    </w:p>
    <w:p>
      <w:pPr>
        <w:pStyle w:val="F21"/>
        <w:overflowPunct w:val="true"/>
        <w:rPr>
          <w:szCs w:val="27"/>
        </w:rPr>
      </w:pPr>
      <w:r>
        <w:rPr>
          <w:szCs w:val="27"/>
        </w:rPr>
      </w:r>
    </w:p>
    <w:p>
      <w:pPr>
        <w:pStyle w:val="F21"/>
        <w:overflowPunct w:val="true"/>
        <w:rPr>
          <w:szCs w:val="27"/>
        </w:rPr>
      </w:pPr>
      <w:r>
        <w:rPr>
          <w:szCs w:val="27"/>
        </w:rPr>
        <w:t>(</w:t>
      </w:r>
      <w:r>
        <w:rPr>
          <w:szCs w:val="27"/>
        </w:rPr>
        <w:t>議員舉手</w:t>
      </w:r>
      <w:r>
        <w:rPr>
          <w:szCs w:val="27"/>
        </w:rPr>
        <w:t>)</w:t>
      </w:r>
    </w:p>
    <w:p>
      <w:pPr>
        <w:pStyle w:val="F21"/>
        <w:overflowPunct w:val="true"/>
        <w:rPr>
          <w:szCs w:val="27"/>
        </w:rPr>
      </w:pPr>
      <w:r>
        <w:rPr>
          <w:szCs w:val="27"/>
        </w:rPr>
      </w:r>
    </w:p>
    <w:p>
      <w:pPr>
        <w:pStyle w:val="F21"/>
        <w:overflowPunct w:val="true"/>
        <w:rPr>
          <w:szCs w:val="27"/>
        </w:rPr>
      </w:pPr>
      <w:r>
        <w:rPr>
          <w:szCs w:val="27"/>
        </w:rPr>
      </w:r>
    </w:p>
    <w:p>
      <w:pPr>
        <w:pStyle w:val="F21"/>
        <w:overflowPunct w:val="true"/>
        <w:rPr>
          <w:szCs w:val="27"/>
        </w:rPr>
      </w:pPr>
      <w:r>
        <w:rPr>
          <w:szCs w:val="27"/>
        </w:rPr>
        <w:t>麥美娟議員起立要求點名表決。</w:t>
      </w:r>
    </w:p>
    <w:p>
      <w:pPr>
        <w:pStyle w:val="F21"/>
        <w:overflowPunct w:val="true"/>
        <w:rPr>
          <w:spacing w:val="0"/>
          <w:sz w:val="28"/>
          <w:szCs w:val="28"/>
        </w:rPr>
      </w:pPr>
      <w:r>
        <w:rPr>
          <w:spacing w:val="0"/>
          <w:sz w:val="28"/>
          <w:szCs w:val="28"/>
        </w:rPr>
        <w:t>Ms Alice MAK rose to claim a division.</w:t>
      </w:r>
    </w:p>
    <w:p>
      <w:pPr>
        <w:pStyle w:val="F21"/>
        <w:overflowPunct w:val="true"/>
        <w:rPr>
          <w:szCs w:val="27"/>
        </w:rPr>
      </w:pPr>
      <w:r>
        <w:rPr>
          <w:szCs w:val="27"/>
        </w:rPr>
      </w:r>
    </w:p>
    <w:p>
      <w:pPr>
        <w:pStyle w:val="F21"/>
        <w:overflowPunct w:val="true"/>
        <w:rPr>
          <w:szCs w:val="27"/>
        </w:rPr>
      </w:pPr>
      <w:r>
        <w:rPr>
          <w:szCs w:val="27"/>
        </w:rPr>
      </w:r>
    </w:p>
    <w:p>
      <w:pPr>
        <w:pStyle w:val="F21"/>
        <w:overflowPunct w:val="true"/>
        <w:rPr>
          <w:szCs w:val="27"/>
        </w:rPr>
      </w:pPr>
      <w:r>
        <w:rPr>
          <w:rFonts w:ascii="華康中黑體" w:hAnsi="華康中黑體" w:eastAsia="華康中黑體"/>
          <w:b/>
          <w:szCs w:val="27"/>
        </w:rPr>
        <w:t>主席</w:t>
      </w:r>
      <w:r>
        <w:rPr>
          <w:szCs w:val="27"/>
        </w:rPr>
        <w:t>：麥美娟議員要求點名表決。表決鐘會響</w:t>
      </w:r>
      <w:r>
        <w:rPr>
          <w:szCs w:val="27"/>
        </w:rPr>
        <w:t>5</w:t>
      </w:r>
      <w:r>
        <w:rPr>
          <w:szCs w:val="27"/>
        </w:rPr>
        <w:t>分鐘。</w:t>
      </w:r>
    </w:p>
    <w:p>
      <w:pPr>
        <w:pStyle w:val="F21"/>
        <w:overflowPunct w:val="true"/>
        <w:rPr>
          <w:szCs w:val="27"/>
        </w:rPr>
      </w:pPr>
      <w:r>
        <w:rPr>
          <w:szCs w:val="27"/>
        </w:rPr>
      </w:r>
    </w:p>
    <w:p>
      <w:pPr>
        <w:pStyle w:val="F21"/>
        <w:overflowPunct w:val="true"/>
        <w:rPr>
          <w:szCs w:val="27"/>
        </w:rPr>
      </w:pPr>
      <w:r>
        <w:rPr>
          <w:szCs w:val="27"/>
        </w:rPr>
      </w:r>
    </w:p>
    <w:p>
      <w:pPr>
        <w:pStyle w:val="F21"/>
        <w:overflowPunct w:val="true"/>
        <w:rPr>
          <w:szCs w:val="27"/>
        </w:rPr>
      </w:pPr>
      <w:r>
        <w:rPr>
          <w:rFonts w:ascii="華康中黑體" w:hAnsi="華康中黑體" w:eastAsia="華康中黑體"/>
          <w:b/>
          <w:szCs w:val="27"/>
        </w:rPr>
        <w:t>主席</w:t>
      </w:r>
      <w:r>
        <w:rPr>
          <w:szCs w:val="27"/>
        </w:rPr>
        <w:t>：現在開始表決。</w:t>
      </w:r>
    </w:p>
    <w:p>
      <w:pPr>
        <w:pStyle w:val="F21"/>
        <w:overflowPunct w:val="true"/>
        <w:rPr>
          <w:szCs w:val="27"/>
        </w:rPr>
      </w:pPr>
      <w:r>
        <w:rPr>
          <w:szCs w:val="27"/>
        </w:rPr>
      </w:r>
    </w:p>
    <w:p>
      <w:pPr>
        <w:pStyle w:val="F21"/>
        <w:overflowPunct w:val="true"/>
        <w:rPr>
          <w:szCs w:val="27"/>
        </w:rPr>
      </w:pPr>
      <w:r>
        <w:rPr>
          <w:szCs w:val="27"/>
        </w:rPr>
      </w:r>
    </w:p>
    <w:p>
      <w:pPr>
        <w:pStyle w:val="F21"/>
        <w:overflowPunct w:val="true"/>
        <w:rPr>
          <w:szCs w:val="27"/>
        </w:rPr>
      </w:pPr>
      <w:r>
        <w:rPr>
          <w:rFonts w:ascii="華康中黑體" w:hAnsi="華康中黑體" w:eastAsia="華康中黑體"/>
          <w:b/>
          <w:szCs w:val="27"/>
        </w:rPr>
        <w:t>主席</w:t>
      </w:r>
      <w:r>
        <w:rPr>
          <w:szCs w:val="27"/>
        </w:rPr>
        <w:t>：請各位議員核對所作的表決。如果沒有問題，現在停止表決，顯示結果。</w:t>
      </w:r>
    </w:p>
    <w:p>
      <w:pPr>
        <w:pStyle w:val="F21"/>
        <w:overflowPunct w:val="true"/>
        <w:rPr>
          <w:szCs w:val="27"/>
        </w:rPr>
      </w:pPr>
      <w:r>
        <w:rPr>
          <w:szCs w:val="27"/>
        </w:rPr>
      </w:r>
    </w:p>
    <w:p>
      <w:pPr>
        <w:pStyle w:val="F21"/>
        <w:overflowPunct w:val="true"/>
        <w:rPr>
          <w:szCs w:val="27"/>
        </w:rPr>
      </w:pPr>
      <w:r>
        <w:rPr>
          <w:szCs w:val="27"/>
        </w:rPr>
      </w:r>
    </w:p>
    <w:p>
      <w:pPr>
        <w:pStyle w:val="F21"/>
        <w:rPr>
          <w:rFonts w:cs="Times New Roman"/>
        </w:rPr>
      </w:pPr>
      <w:r>
        <w:rPr>
          <w:rFonts w:cs="Times New Roman"/>
        </w:rPr>
        <w:t>功能團體：</w:t>
      </w:r>
    </w:p>
    <w:p>
      <w:pPr>
        <w:pStyle w:val="Normal"/>
        <w:rPr/>
      </w:pPr>
      <w:r>
        <w:rPr/>
        <w:t>Functional Constituencies:</w:t>
      </w:r>
    </w:p>
    <w:p>
      <w:pPr>
        <w:pStyle w:val="F21"/>
        <w:rPr>
          <w:rFonts w:cs="Times New Roman"/>
        </w:rPr>
      </w:pPr>
      <w:r>
        <w:rPr>
          <w:rFonts w:cs="Times New Roman"/>
        </w:rPr>
      </w:r>
    </w:p>
    <w:p>
      <w:pPr>
        <w:pStyle w:val="F21"/>
        <w:rPr>
          <w:rFonts w:cs="Times New Roman"/>
        </w:rPr>
      </w:pPr>
      <w:r>
        <w:rPr>
          <w:rFonts w:cs="Times New Roman"/>
        </w:rPr>
        <w:t>涂謹申議員、</w:t>
      </w:r>
      <w:r>
        <w:rPr>
          <w:rFonts w:cs="Times New Roman"/>
          <w:szCs w:val="27"/>
        </w:rPr>
        <w:t>梁耀忠議員</w:t>
      </w:r>
      <w:r>
        <w:rPr>
          <w:rFonts w:cs="Times New Roman"/>
        </w:rPr>
        <w:t>、李國麟議員、莫乃光議員、梁繼昌議員、葉建源議員、</w:t>
      </w:r>
      <w:r>
        <w:rPr>
          <w:rFonts w:cs="Times New Roman"/>
          <w:szCs w:val="27"/>
        </w:rPr>
        <w:t>邵家臻議員</w:t>
      </w:r>
      <w:r>
        <w:rPr>
          <w:rFonts w:cs="Times New Roman"/>
        </w:rPr>
        <w:t>、</w:t>
      </w:r>
      <w:r>
        <w:rPr>
          <w:rFonts w:cs="Times New Roman"/>
          <w:szCs w:val="27"/>
        </w:rPr>
        <w:t>陳沛然議員及鄺俊宇議員</w:t>
      </w:r>
      <w:r>
        <w:rPr>
          <w:rFonts w:cs="Times New Roman"/>
        </w:rPr>
        <w:t>贊成。</w:t>
      </w:r>
    </w:p>
    <w:p>
      <w:pPr>
        <w:pStyle w:val="Normal"/>
        <w:widowControl/>
        <w:tabs>
          <w:tab w:val="clear" w:pos="720"/>
        </w:tabs>
        <w:snapToGrid w:val="true"/>
        <w:jc w:val="left"/>
        <w:rPr>
          <w:spacing w:val="20"/>
          <w:sz w:val="27"/>
          <w:szCs w:val="22"/>
          <w:lang w:val="en-US"/>
        </w:rPr>
      </w:pPr>
      <w:r>
        <w:rPr>
          <w:spacing w:val="20"/>
          <w:sz w:val="27"/>
          <w:szCs w:val="22"/>
          <w:lang w:val="en-US"/>
        </w:rPr>
      </w:r>
    </w:p>
    <w:p>
      <w:pPr>
        <w:pStyle w:val="Normal"/>
        <w:widowControl/>
        <w:tabs>
          <w:tab w:val="clear" w:pos="720"/>
        </w:tabs>
        <w:snapToGrid w:val="true"/>
        <w:jc w:val="left"/>
        <w:rPr>
          <w:spacing w:val="20"/>
          <w:sz w:val="27"/>
          <w:szCs w:val="22"/>
          <w:lang w:val="en-US"/>
        </w:rPr>
      </w:pPr>
      <w:r>
        <w:rPr>
          <w:spacing w:val="20"/>
          <w:sz w:val="27"/>
          <w:szCs w:val="22"/>
          <w:lang w:val="en-US"/>
        </w:rPr>
      </w:r>
    </w:p>
    <w:p>
      <w:pPr>
        <w:pStyle w:val="F21"/>
        <w:rPr>
          <w:rFonts w:cs="Times New Roman"/>
        </w:rPr>
      </w:pPr>
      <w:r>
        <w:rPr>
          <w:rFonts w:cs="Times New Roman"/>
        </w:rPr>
        <w:t>石禮謙議員、林健鋒議員、黃定光議員、李慧琼議員、何俊賢議員、姚思榮議員、馬逢國議員、張華峰議員、廖長江議員、潘兆平議員、盧偉國議員、</w:t>
      </w:r>
      <w:r>
        <w:rPr>
          <w:rFonts w:cs="Times New Roman"/>
          <w:szCs w:val="27"/>
        </w:rPr>
        <w:t>何啟明議員</w:t>
      </w:r>
      <w:r>
        <w:rPr>
          <w:rFonts w:cs="Times New Roman"/>
        </w:rPr>
        <w:t>、</w:t>
      </w:r>
      <w:r>
        <w:rPr>
          <w:rFonts w:cs="Times New Roman"/>
          <w:szCs w:val="27"/>
        </w:rPr>
        <w:t>周浩鼎議員</w:t>
      </w:r>
      <w:r>
        <w:rPr>
          <w:rFonts w:cs="Times New Roman"/>
        </w:rPr>
        <w:t>、</w:t>
      </w:r>
      <w:r>
        <w:rPr>
          <w:rFonts w:cs="Times New Roman"/>
          <w:szCs w:val="27"/>
        </w:rPr>
        <w:t>陳振英議員</w:t>
      </w:r>
      <w:r>
        <w:rPr>
          <w:rFonts w:cs="Times New Roman"/>
        </w:rPr>
        <w:t>、</w:t>
      </w:r>
      <w:r>
        <w:rPr>
          <w:rFonts w:cs="Times New Roman"/>
          <w:szCs w:val="27"/>
        </w:rPr>
        <w:t>陸頌雄議員及劉國勳議員</w:t>
      </w:r>
      <w:r>
        <w:rPr>
          <w:rFonts w:cs="Times New Roman"/>
        </w:rPr>
        <w:t>反對。</w:t>
      </w:r>
    </w:p>
    <w:p>
      <w:pPr>
        <w:pStyle w:val="Normal"/>
        <w:widowControl/>
        <w:tabs>
          <w:tab w:val="clear" w:pos="720"/>
        </w:tabs>
        <w:snapToGrid w:val="true"/>
        <w:spacing w:lineRule="auto" w:line="276" w:before="0" w:after="200"/>
        <w:jc w:val="left"/>
        <w:rPr>
          <w:spacing w:val="20"/>
          <w:sz w:val="27"/>
          <w:szCs w:val="22"/>
          <w:lang w:val="en-US"/>
        </w:rPr>
      </w:pPr>
      <w:r>
        <w:rPr>
          <w:spacing w:val="20"/>
          <w:sz w:val="27"/>
          <w:szCs w:val="22"/>
          <w:lang w:val="en-US"/>
        </w:rPr>
      </w:r>
      <w:r>
        <w:br w:type="page"/>
      </w:r>
    </w:p>
    <w:p>
      <w:pPr>
        <w:pStyle w:val="F21"/>
        <w:spacing w:lineRule="atLeast" w:line="380"/>
        <w:rPr>
          <w:rFonts w:cs="Times New Roman"/>
        </w:rPr>
      </w:pPr>
      <w:r>
        <w:rPr>
          <w:rFonts w:cs="Times New Roman"/>
        </w:rPr>
        <w:t>張宇人議員、陳健波議員、易志明議員、鍾國斌議員、</w:t>
      </w:r>
      <w:r>
        <w:rPr>
          <w:rFonts w:cs="Times New Roman"/>
          <w:szCs w:val="27"/>
        </w:rPr>
        <w:t>邵家輝議員</w:t>
      </w:r>
      <w:r>
        <w:rPr>
          <w:rFonts w:cs="Times New Roman"/>
        </w:rPr>
        <w:t>及謝偉銓議員棄權。</w:t>
      </w:r>
    </w:p>
    <w:p>
      <w:pPr>
        <w:pStyle w:val="F21"/>
        <w:spacing w:lineRule="atLeast" w:line="380"/>
        <w:rPr>
          <w:rFonts w:cs="Times New Roman"/>
        </w:rPr>
      </w:pPr>
      <w:r>
        <w:rPr>
          <w:rFonts w:cs="Times New Roman"/>
        </w:rPr>
      </w:r>
    </w:p>
    <w:p>
      <w:pPr>
        <w:pStyle w:val="F21"/>
        <w:spacing w:lineRule="atLeast" w:line="380"/>
        <w:rPr>
          <w:rFonts w:cs="Times New Roman"/>
        </w:rPr>
      </w:pPr>
      <w:r>
        <w:rPr>
          <w:rFonts w:cs="Times New Roman"/>
        </w:rPr>
      </w:r>
    </w:p>
    <w:p>
      <w:pPr>
        <w:pStyle w:val="F21"/>
        <w:spacing w:lineRule="atLeast" w:line="380"/>
        <w:rPr>
          <w:rFonts w:cs="Times New Roman"/>
        </w:rPr>
      </w:pPr>
      <w:r>
        <w:rPr>
          <w:rFonts w:cs="Times New Roman"/>
        </w:rPr>
        <w:t>主席</w:t>
      </w:r>
      <w:r>
        <w:rPr>
          <w:rFonts w:cs="Times New Roman"/>
          <w:szCs w:val="27"/>
        </w:rPr>
        <w:t>梁君彥議員</w:t>
      </w:r>
      <w:r>
        <w:rPr>
          <w:rFonts w:cs="Times New Roman"/>
        </w:rPr>
        <w:t>沒有表決。</w:t>
      </w:r>
    </w:p>
    <w:p>
      <w:pPr>
        <w:pStyle w:val="F21"/>
        <w:spacing w:lineRule="atLeast" w:line="380"/>
        <w:rPr>
          <w:rFonts w:cs="Times New Roman"/>
        </w:rPr>
      </w:pPr>
      <w:r>
        <w:rPr>
          <w:rFonts w:cs="Times New Roman"/>
        </w:rPr>
      </w:r>
    </w:p>
    <w:p>
      <w:pPr>
        <w:pStyle w:val="F21"/>
        <w:spacing w:lineRule="atLeast" w:line="380"/>
        <w:rPr>
          <w:rFonts w:cs="Times New Roman"/>
        </w:rPr>
      </w:pPr>
      <w:r>
        <w:rPr>
          <w:rFonts w:cs="Times New Roman"/>
        </w:rPr>
      </w:r>
    </w:p>
    <w:p>
      <w:pPr>
        <w:pStyle w:val="F21"/>
        <w:spacing w:lineRule="atLeast" w:line="380"/>
        <w:rPr>
          <w:rFonts w:cs="Times New Roman"/>
        </w:rPr>
      </w:pPr>
      <w:r>
        <w:rPr>
          <w:rFonts w:cs="Times New Roman"/>
        </w:rPr>
        <w:t>地方選區：</w:t>
      </w:r>
    </w:p>
    <w:p>
      <w:pPr>
        <w:pStyle w:val="Normal"/>
        <w:spacing w:lineRule="atLeast" w:line="380"/>
        <w:rPr/>
      </w:pPr>
      <w:r>
        <w:rPr/>
        <w:t>Geographical Constituencies:</w:t>
      </w:r>
    </w:p>
    <w:p>
      <w:pPr>
        <w:pStyle w:val="F21"/>
        <w:spacing w:lineRule="atLeast" w:line="380"/>
        <w:rPr>
          <w:rFonts w:cs="Times New Roman"/>
        </w:rPr>
      </w:pPr>
      <w:r>
        <w:rPr>
          <w:rFonts w:cs="Times New Roman"/>
        </w:rPr>
      </w:r>
    </w:p>
    <w:p>
      <w:pPr>
        <w:pStyle w:val="F21"/>
        <w:spacing w:lineRule="atLeast" w:line="380"/>
        <w:rPr>
          <w:rFonts w:cs="Times New Roman"/>
        </w:rPr>
      </w:pPr>
      <w:r>
        <w:rPr>
          <w:rFonts w:cs="Times New Roman"/>
        </w:rPr>
        <w:t>毛孟靜議員、胡志偉議員、陳志全議員、郭家麒議員、張超雄議員、黃碧雲議員、楊岳橋議員、</w:t>
      </w:r>
      <w:r>
        <w:rPr>
          <w:rFonts w:cs="Times New Roman"/>
          <w:szCs w:val="27"/>
        </w:rPr>
        <w:t>尹兆堅議員</w:t>
      </w:r>
      <w:r>
        <w:rPr>
          <w:rFonts w:cs="Times New Roman"/>
        </w:rPr>
        <w:t>、</w:t>
      </w:r>
      <w:r>
        <w:rPr>
          <w:rFonts w:cs="Times New Roman"/>
          <w:szCs w:val="27"/>
        </w:rPr>
        <w:t>朱凱廸議員</w:t>
      </w:r>
      <w:r>
        <w:rPr>
          <w:rFonts w:cs="Times New Roman"/>
        </w:rPr>
        <w:t>、</w:t>
      </w:r>
      <w:r>
        <w:rPr>
          <w:rFonts w:cs="Times New Roman"/>
          <w:szCs w:val="27"/>
        </w:rPr>
        <w:t>林卓廷議員</w:t>
      </w:r>
      <w:r>
        <w:rPr>
          <w:rFonts w:cs="Times New Roman"/>
        </w:rPr>
        <w:t>、</w:t>
      </w:r>
      <w:r>
        <w:rPr>
          <w:rFonts w:cs="Times New Roman"/>
          <w:szCs w:val="27"/>
        </w:rPr>
        <w:t>許智峯議員</w:t>
      </w:r>
      <w:r>
        <w:rPr>
          <w:rFonts w:cs="Times New Roman"/>
        </w:rPr>
        <w:t>、</w:t>
      </w:r>
      <w:r>
        <w:rPr>
          <w:rFonts w:cs="Times New Roman"/>
          <w:szCs w:val="27"/>
        </w:rPr>
        <w:t>譚文豪議員、范國威議員及區諾軒議員</w:t>
      </w:r>
      <w:r>
        <w:rPr>
          <w:rFonts w:cs="Times New Roman"/>
        </w:rPr>
        <w:t>贊成。</w:t>
      </w:r>
    </w:p>
    <w:p>
      <w:pPr>
        <w:pStyle w:val="F21"/>
        <w:spacing w:lineRule="atLeast" w:line="380"/>
        <w:rPr>
          <w:rFonts w:cs="Times New Roman"/>
        </w:rPr>
      </w:pPr>
      <w:r>
        <w:rPr>
          <w:rFonts w:cs="Times New Roman"/>
        </w:rPr>
      </w:r>
    </w:p>
    <w:p>
      <w:pPr>
        <w:pStyle w:val="F21"/>
        <w:spacing w:lineRule="atLeast" w:line="380"/>
        <w:rPr>
          <w:rFonts w:cs="Times New Roman"/>
        </w:rPr>
      </w:pPr>
      <w:r>
        <w:rPr>
          <w:rFonts w:cs="Times New Roman"/>
        </w:rPr>
      </w:r>
    </w:p>
    <w:p>
      <w:pPr>
        <w:pStyle w:val="F21"/>
        <w:spacing w:lineRule="atLeast" w:line="380"/>
        <w:rPr>
          <w:rFonts w:cs="Times New Roman"/>
        </w:rPr>
      </w:pPr>
      <w:r>
        <w:rPr>
          <w:rFonts w:cs="Times New Roman"/>
        </w:rPr>
        <w:t>陳克勤議員、黃國健議員、葉劉淑儀議員、陳恒鑌議員、麥美娟議員、</w:t>
      </w:r>
      <w:r>
        <w:rPr>
          <w:rFonts w:cs="Times New Roman"/>
          <w:szCs w:val="27"/>
        </w:rPr>
        <w:t>郭偉强議員</w:t>
      </w:r>
      <w:r>
        <w:rPr>
          <w:rFonts w:cs="Times New Roman"/>
        </w:rPr>
        <w:t>、葛珮帆議員、蔣麗芸議員、</w:t>
      </w:r>
      <w:r>
        <w:rPr>
          <w:rFonts w:cs="Times New Roman"/>
          <w:szCs w:val="27"/>
        </w:rPr>
        <w:t>柯創盛議員</w:t>
      </w:r>
      <w:r>
        <w:rPr>
          <w:rFonts w:cs="Times New Roman"/>
        </w:rPr>
        <w:t>、</w:t>
      </w:r>
      <w:r>
        <w:rPr>
          <w:rFonts w:cs="Times New Roman"/>
          <w:szCs w:val="27"/>
        </w:rPr>
        <w:t>容海恩議員</w:t>
      </w:r>
      <w:r>
        <w:rPr>
          <w:rFonts w:cs="Times New Roman"/>
        </w:rPr>
        <w:t>、</w:t>
      </w:r>
      <w:r>
        <w:rPr>
          <w:rFonts w:cs="Times New Roman"/>
          <w:szCs w:val="27"/>
        </w:rPr>
        <w:t>張國鈞議員及鄭泳舜議員</w:t>
      </w:r>
      <w:r>
        <w:rPr>
          <w:rFonts w:cs="Times New Roman"/>
        </w:rPr>
        <w:t>反對。</w:t>
      </w:r>
    </w:p>
    <w:p>
      <w:pPr>
        <w:pStyle w:val="F21"/>
        <w:spacing w:lineRule="atLeast" w:line="380"/>
        <w:rPr>
          <w:rFonts w:cs="Times New Roman"/>
        </w:rPr>
      </w:pPr>
      <w:r>
        <w:rPr>
          <w:rFonts w:cs="Times New Roman"/>
        </w:rPr>
      </w:r>
    </w:p>
    <w:p>
      <w:pPr>
        <w:pStyle w:val="F21"/>
        <w:spacing w:lineRule="atLeast" w:line="380"/>
        <w:rPr>
          <w:rFonts w:cs="Times New Roman"/>
        </w:rPr>
      </w:pPr>
      <w:r>
        <w:rPr>
          <w:rFonts w:cs="Times New Roman"/>
        </w:rPr>
      </w:r>
    </w:p>
    <w:p>
      <w:pPr>
        <w:pStyle w:val="F21"/>
        <w:spacing w:lineRule="atLeast" w:line="380"/>
        <w:rPr>
          <w:rFonts w:cs="Times New Roman"/>
        </w:rPr>
      </w:pPr>
      <w:r>
        <w:rPr>
          <w:rFonts w:cs="Times New Roman"/>
        </w:rPr>
        <w:t>謝偉俊議員、</w:t>
      </w:r>
      <w:r>
        <w:rPr>
          <w:rFonts w:cs="Times New Roman"/>
          <w:szCs w:val="27"/>
        </w:rPr>
        <w:t>何君堯議員及</w:t>
      </w:r>
      <w:r>
        <w:rPr/>
        <w:t>陳凱欣議員</w:t>
      </w:r>
      <w:r>
        <w:rPr>
          <w:rFonts w:cs="Times New Roman"/>
        </w:rPr>
        <w:t>棄權。</w:t>
      </w:r>
    </w:p>
    <w:p>
      <w:pPr>
        <w:pStyle w:val="F21"/>
        <w:overflowPunct w:val="true"/>
        <w:spacing w:lineRule="atLeast" w:line="380"/>
        <w:rPr>
          <w:szCs w:val="27"/>
        </w:rPr>
      </w:pPr>
      <w:r>
        <w:rPr>
          <w:szCs w:val="27"/>
        </w:rPr>
      </w:r>
    </w:p>
    <w:p>
      <w:pPr>
        <w:pStyle w:val="F21"/>
        <w:overflowPunct w:val="true"/>
        <w:spacing w:lineRule="atLeast" w:line="380"/>
        <w:rPr>
          <w:szCs w:val="27"/>
        </w:rPr>
      </w:pPr>
      <w:r>
        <w:rPr>
          <w:szCs w:val="27"/>
        </w:rPr>
      </w:r>
    </w:p>
    <w:p>
      <w:pPr>
        <w:pStyle w:val="F21"/>
        <w:overflowPunct w:val="true"/>
        <w:spacing w:lineRule="atLeast" w:line="380"/>
        <w:rPr>
          <w:szCs w:val="27"/>
        </w:rPr>
      </w:pPr>
      <w:r>
        <w:rPr>
          <w:szCs w:val="27"/>
        </w:rPr>
        <w:t>主席宣布經由功能團體選舉產生的議員，有</w:t>
      </w:r>
      <w:r>
        <w:rPr>
          <w:szCs w:val="27"/>
        </w:rPr>
        <w:t>32</w:t>
      </w:r>
      <w:r>
        <w:rPr>
          <w:szCs w:val="27"/>
        </w:rPr>
        <w:t>人出席，</w:t>
      </w:r>
      <w:r>
        <w:rPr>
          <w:szCs w:val="27"/>
        </w:rPr>
        <w:t>9</w:t>
      </w:r>
      <w:r>
        <w:rPr>
          <w:szCs w:val="27"/>
        </w:rPr>
        <w:t>人贊成，</w:t>
      </w:r>
      <w:r>
        <w:rPr>
          <w:szCs w:val="27"/>
        </w:rPr>
        <w:t>16</w:t>
      </w:r>
      <w:r>
        <w:rPr>
          <w:szCs w:val="27"/>
        </w:rPr>
        <w:t>人反對，</w:t>
      </w:r>
      <w:r>
        <w:rPr>
          <w:szCs w:val="27"/>
        </w:rPr>
        <w:t>6</w:t>
      </w:r>
      <w:r>
        <w:rPr>
          <w:szCs w:val="27"/>
        </w:rPr>
        <w:t>人棄權；而經由分區直接選舉產生的議員，有</w:t>
      </w:r>
      <w:r>
        <w:rPr>
          <w:szCs w:val="27"/>
        </w:rPr>
        <w:t>29</w:t>
      </w:r>
      <w:r>
        <w:rPr>
          <w:szCs w:val="27"/>
        </w:rPr>
        <w:t>人出席，</w:t>
      </w:r>
      <w:r>
        <w:rPr>
          <w:szCs w:val="27"/>
        </w:rPr>
        <w:t>14</w:t>
      </w:r>
      <w:r>
        <w:rPr>
          <w:szCs w:val="27"/>
        </w:rPr>
        <w:t>人贊成，</w:t>
      </w:r>
      <w:r>
        <w:rPr>
          <w:szCs w:val="27"/>
        </w:rPr>
        <w:t>12</w:t>
      </w:r>
      <w:r>
        <w:rPr>
          <w:szCs w:val="27"/>
        </w:rPr>
        <w:t>人反對，</w:t>
      </w:r>
      <w:r>
        <w:rPr>
          <w:szCs w:val="27"/>
        </w:rPr>
        <w:t>3</w:t>
      </w:r>
      <w:r>
        <w:rPr>
          <w:szCs w:val="27"/>
        </w:rPr>
        <w:t>人棄權。由於議題未獲得兩部分在席議員分別以過半數贊成，他於是宣布議案被否決。</w:t>
      </w:r>
    </w:p>
    <w:p>
      <w:pPr>
        <w:pStyle w:val="F21"/>
        <w:overflowPunct w:val="true"/>
        <w:spacing w:lineRule="atLeast" w:line="380"/>
        <w:rPr>
          <w:spacing w:val="0"/>
          <w:sz w:val="28"/>
          <w:szCs w:val="28"/>
        </w:rPr>
      </w:pPr>
      <w:r>
        <w:rPr>
          <w:spacing w:val="0"/>
          <w:sz w:val="28"/>
          <w:szCs w:val="28"/>
        </w:rPr>
        <w:t>THE PRESIDENT announced that among the Members returned by functional constituencies, 32 were present, 9 were in favour of the motion, 16 against it and 6 abstained; while among the Members returned by geographical constituencies through direct elections, 29 were present, 14 were in favour of the motion, 12 against it and 3 abstained.  Since the question was not agreed by a majority of each of the two groups of Members present, he therefore declared that the motion was negatived.</w:t>
      </w:r>
    </w:p>
    <w:p>
      <w:pPr>
        <w:pStyle w:val="Normal"/>
        <w:widowControl/>
        <w:tabs>
          <w:tab w:val="clear" w:pos="720"/>
        </w:tabs>
        <w:snapToGrid w:val="true"/>
        <w:spacing w:lineRule="auto" w:line="276" w:before="0" w:after="200"/>
        <w:jc w:val="left"/>
        <w:rPr>
          <w:rFonts w:cs="" w:cstheme="minorBidi"/>
          <w:szCs w:val="28"/>
          <w:lang w:val="en-US"/>
        </w:rPr>
      </w:pPr>
      <w:r>
        <w:rPr>
          <w:rFonts w:cs="" w:cstheme="minorBidi"/>
          <w:szCs w:val="28"/>
          <w:lang w:val="en-US"/>
        </w:rPr>
      </w:r>
      <w:r>
        <w:br w:type="page"/>
      </w:r>
    </w:p>
    <w:p>
      <w:pPr>
        <w:pStyle w:val="F21"/>
        <w:overflowPunct w:val="true"/>
        <w:rPr>
          <w:rFonts w:eastAsia="華康中黑體" w:cs="Times New Roman"/>
          <w:b/>
          <w:b/>
          <w:sz w:val="28"/>
          <w:szCs w:val="28"/>
        </w:rPr>
      </w:pPr>
      <w:bookmarkStart w:id="85" w:name="som"/>
      <w:r>
        <w:rPr>
          <w:rFonts w:cs="Times New Roman" w:eastAsia="華康中黑體"/>
          <w:b/>
          <w:sz w:val="28"/>
          <w:szCs w:val="28"/>
        </w:rPr>
        <w:t>暫停會議</w:t>
      </w:r>
    </w:p>
    <w:p>
      <w:pPr>
        <w:pStyle w:val="Normal"/>
        <w:overflowPunct w:val="true"/>
        <w:rPr>
          <w:b/>
          <w:b/>
        </w:rPr>
      </w:pPr>
      <w:bookmarkStart w:id="86" w:name="som"/>
      <w:r>
        <w:rPr>
          <w:b/>
        </w:rPr>
        <w:t>SUSPENSION OF MEETING</w:t>
      </w:r>
      <w:bookmarkEnd w:id="86"/>
    </w:p>
    <w:p>
      <w:pPr>
        <w:pStyle w:val="F21"/>
        <w:overflowPunct w:val="true"/>
        <w:rPr>
          <w:rFonts w:eastAsia="華康中黑體" w:cs="Times New Roman"/>
          <w:b/>
          <w:b/>
          <w:sz w:val="28"/>
          <w:szCs w:val="28"/>
        </w:rPr>
      </w:pPr>
      <w:r>
        <w:rPr>
          <w:rFonts w:eastAsia="華康中黑體" w:cs="Times New Roman"/>
          <w:b/>
          <w:sz w:val="28"/>
          <w:szCs w:val="28"/>
        </w:rPr>
      </w:r>
    </w:p>
    <w:p>
      <w:pPr>
        <w:pStyle w:val="F21"/>
        <w:overflowPunct w:val="true"/>
        <w:rPr>
          <w:rFonts w:cs="Times New Roman"/>
        </w:rPr>
      </w:pPr>
      <w:r>
        <w:rPr>
          <w:rFonts w:cs="Times New Roman" w:eastAsia="華康中黑體"/>
          <w:b/>
        </w:rPr>
        <w:t>主席</w:t>
      </w:r>
      <w:r>
        <w:rPr>
          <w:rFonts w:cs="Times New Roman"/>
        </w:rPr>
        <w:t>：會議現在暫停，明天上午</w:t>
      </w:r>
      <w:r>
        <w:rPr>
          <w:rFonts w:cs="Times New Roman"/>
        </w:rPr>
        <w:t>9</w:t>
      </w:r>
      <w:r>
        <w:rPr>
          <w:rFonts w:cs="Times New Roman"/>
        </w:rPr>
        <w:t>時恢復。</w:t>
      </w:r>
    </w:p>
    <w:p>
      <w:pPr>
        <w:pStyle w:val="F21"/>
        <w:overflowPunct w:val="true"/>
        <w:rPr>
          <w:rFonts w:cs="Times New Roman"/>
        </w:rPr>
      </w:pPr>
      <w:r>
        <w:rPr>
          <w:rFonts w:cs="Times New Roman"/>
        </w:rPr>
      </w:r>
    </w:p>
    <w:p>
      <w:pPr>
        <w:pStyle w:val="F21"/>
        <w:overflowPunct w:val="true"/>
        <w:rPr>
          <w:rFonts w:cs="Times New Roman"/>
          <w:i/>
          <w:i/>
        </w:rPr>
      </w:pPr>
      <w:r>
        <w:rPr>
          <w:rFonts w:cs="Times New Roman"/>
          <w:i/>
        </w:rPr>
        <w:t>立法會遂於晚上</w:t>
      </w:r>
      <w:r>
        <w:rPr>
          <w:rFonts w:cs="Times New Roman"/>
          <w:i/>
        </w:rPr>
        <w:t>7</w:t>
      </w:r>
      <w:r>
        <w:rPr>
          <w:rFonts w:cs="Times New Roman"/>
          <w:i/>
        </w:rPr>
        <w:t>時</w:t>
      </w:r>
      <w:r>
        <w:rPr>
          <w:rFonts w:cs="Times New Roman"/>
          <w:i/>
        </w:rPr>
        <w:t>08</w:t>
      </w:r>
      <w:r>
        <w:rPr>
          <w:rFonts w:cs="Times New Roman"/>
          <w:i/>
        </w:rPr>
        <w:t>分暫停會議。</w:t>
      </w:r>
    </w:p>
    <w:p>
      <w:pPr>
        <w:pStyle w:val="Normal"/>
        <w:overflowPunct w:val="true"/>
        <w:rPr>
          <w:i/>
          <w:i/>
        </w:rPr>
      </w:pPr>
      <w:r>
        <w:rPr>
          <w:i/>
        </w:rPr>
        <w:t>Suspended accordingly at 7:08 pm.</w:t>
      </w:r>
    </w:p>
    <w:p>
      <w:pPr>
        <w:pStyle w:val="F21"/>
        <w:overflowPunct w:val="true"/>
        <w:rPr>
          <w:rFonts w:cs="Times New Roman"/>
          <w:lang w:val="en-GB"/>
        </w:rPr>
      </w:pPr>
      <w:r>
        <w:rPr>
          <w:rFonts w:cs="Times New Roman"/>
          <w:lang w:val="en-GB"/>
        </w:rPr>
      </w:r>
    </w:p>
    <w:p>
      <w:pPr>
        <w:sectPr>
          <w:headerReference w:type="default" r:id="rId2"/>
          <w:footnotePr>
            <w:numFmt w:val="decimal"/>
          </w:footnotePr>
          <w:type w:val="nextPage"/>
          <w:pgSz w:w="11906" w:h="16838"/>
          <w:pgMar w:left="1361" w:right="1332" w:header="907" w:top="964" w:footer="0" w:bottom="1077" w:gutter="0"/>
          <w:pgNumType w:fmt="decimal"/>
          <w:formProt w:val="false"/>
          <w:textDirection w:val="lrTb"/>
          <w:docGrid w:type="default" w:linePitch="367" w:charSpace="0"/>
        </w:sectPr>
        <w:pStyle w:val="F21"/>
        <w:overflowPunct w:val="true"/>
        <w:rPr>
          <w:rFonts w:cs="Times New Roman"/>
          <w:lang w:val="en-GB"/>
        </w:rPr>
      </w:pPr>
      <w:r>
        <w:rPr>
          <w:rFonts w:cs="Times New Roman"/>
          <w:lang w:val="en-GB"/>
        </w:rPr>
      </w:r>
    </w:p>
    <w:p>
      <w:pPr>
        <w:pStyle w:val="Normal"/>
        <w:widowControl/>
        <w:tabs>
          <w:tab w:val="clear" w:pos="720"/>
          <w:tab w:val="left" w:pos="567" w:leader="none"/>
        </w:tabs>
        <w:overflowPunct w:val="true"/>
        <w:jc w:val="right"/>
        <w:rPr>
          <w:rFonts w:eastAsia="華康中黑體"/>
          <w:b/>
          <w:b/>
          <w:spacing w:val="20"/>
          <w:sz w:val="27"/>
          <w:szCs w:val="20"/>
          <w:lang w:val="en-US"/>
        </w:rPr>
      </w:pPr>
      <w:bookmarkStart w:id="87" w:name="app_I"/>
      <w:r>
        <w:rPr>
          <w:rFonts w:eastAsia="華康中黑體"/>
          <w:b/>
          <w:spacing w:val="20"/>
          <w:sz w:val="27"/>
          <w:szCs w:val="20"/>
          <w:lang w:val="en-US"/>
        </w:rPr>
        <w:t>附錄</w:t>
      </w:r>
      <w:r>
        <w:rPr>
          <w:rFonts w:eastAsia="華康中黑體"/>
          <w:b/>
          <w:spacing w:val="20"/>
          <w:sz w:val="27"/>
          <w:szCs w:val="20"/>
          <w:lang w:val="en-US"/>
        </w:rPr>
        <w:t>I</w:t>
      </w:r>
      <w:bookmarkEnd w:id="87"/>
    </w:p>
    <w:p>
      <w:pPr>
        <w:pStyle w:val="Normal"/>
        <w:widowControl/>
        <w:tabs>
          <w:tab w:val="clear" w:pos="720"/>
          <w:tab w:val="left" w:pos="567" w:leader="none"/>
        </w:tabs>
        <w:overflowPunct w:val="true"/>
        <w:rPr>
          <w:rFonts w:eastAsia="華康中黑體"/>
          <w:b/>
          <w:b/>
          <w:spacing w:val="20"/>
          <w:sz w:val="26"/>
          <w:lang w:val="en-US"/>
        </w:rPr>
      </w:pPr>
      <w:r>
        <w:rPr>
          <w:rFonts w:eastAsia="華康中黑體"/>
          <w:b/>
          <w:spacing w:val="20"/>
          <w:sz w:val="26"/>
          <w:lang w:val="en-US"/>
        </w:rPr>
      </w:r>
    </w:p>
    <w:p>
      <w:pPr>
        <w:pStyle w:val="Normal"/>
        <w:widowControl/>
        <w:tabs>
          <w:tab w:val="clear" w:pos="720"/>
          <w:tab w:val="left" w:pos="567" w:leader="none"/>
        </w:tabs>
        <w:overflowPunct w:val="true"/>
        <w:jc w:val="center"/>
        <w:rPr>
          <w:rFonts w:ascii="華康中黑體" w:hAnsi="華康中黑體" w:eastAsia="華康中黑體"/>
          <w:b/>
          <w:b/>
          <w:spacing w:val="20"/>
          <w:szCs w:val="28"/>
          <w:lang w:val="en-US"/>
        </w:rPr>
      </w:pPr>
      <w:r>
        <w:rPr>
          <w:rFonts w:ascii="華康中黑體" w:hAnsi="華康中黑體" w:eastAsia="華康中黑體"/>
          <w:b/>
          <w:spacing w:val="20"/>
          <w:szCs w:val="28"/>
          <w:lang w:val="en-US"/>
        </w:rPr>
        <w:t>書面答覆</w:t>
      </w:r>
    </w:p>
    <w:p>
      <w:pPr>
        <w:pStyle w:val="Normal"/>
        <w:widowControl/>
        <w:tabs>
          <w:tab w:val="clear" w:pos="720"/>
          <w:tab w:val="left" w:pos="567" w:leader="none"/>
        </w:tabs>
        <w:overflowPunct w:val="true"/>
        <w:rPr>
          <w:spacing w:val="20"/>
          <w:sz w:val="27"/>
          <w:szCs w:val="20"/>
          <w:lang w:val="en-US"/>
        </w:rPr>
      </w:pPr>
      <w:r>
        <w:rPr>
          <w:spacing w:val="20"/>
          <w:sz w:val="27"/>
          <w:szCs w:val="20"/>
          <w:lang w:val="en-US"/>
        </w:rPr>
      </w:r>
    </w:p>
    <w:p>
      <w:pPr>
        <w:pStyle w:val="Normal"/>
        <w:widowControl/>
        <w:tabs>
          <w:tab w:val="clear" w:pos="720"/>
          <w:tab w:val="left" w:pos="567" w:leader="none"/>
        </w:tabs>
        <w:overflowPunct w:val="true"/>
        <w:rPr>
          <w:rFonts w:ascii="華康中黑體" w:hAnsi="華康中黑體" w:eastAsia="華康中黑體"/>
          <w:b/>
          <w:b/>
          <w:spacing w:val="20"/>
          <w:sz w:val="27"/>
          <w:szCs w:val="20"/>
          <w:lang w:val="en-US"/>
        </w:rPr>
      </w:pPr>
      <w:r>
        <w:rPr>
          <w:rFonts w:ascii="華康中黑體" w:hAnsi="華康中黑體" w:eastAsia="華康中黑體"/>
          <w:b/>
          <w:spacing w:val="20"/>
          <w:sz w:val="27"/>
          <w:szCs w:val="20"/>
          <w:lang w:val="en-US"/>
        </w:rPr>
        <w:t>運輸及房屋局局長就容海恩議員對第三項質詢的補充質詢所作書面答覆</w:t>
      </w:r>
    </w:p>
    <w:p>
      <w:pPr>
        <w:pStyle w:val="Normal"/>
        <w:widowControl/>
        <w:tabs>
          <w:tab w:val="clear" w:pos="720"/>
          <w:tab w:val="left" w:pos="567" w:leader="none"/>
        </w:tabs>
        <w:overflowPunct w:val="true"/>
        <w:rPr>
          <w:spacing w:val="20"/>
          <w:sz w:val="27"/>
          <w:szCs w:val="27"/>
          <w:lang w:val="en-US"/>
        </w:rPr>
      </w:pPr>
      <w:r>
        <w:rPr>
          <w:spacing w:val="20"/>
          <w:sz w:val="27"/>
          <w:szCs w:val="27"/>
          <w:lang w:val="en-US"/>
        </w:rPr>
      </w:r>
    </w:p>
    <w:p>
      <w:pPr>
        <w:pStyle w:val="Normal"/>
        <w:widowControl/>
        <w:tabs>
          <w:tab w:val="clear" w:pos="720"/>
          <w:tab w:val="left" w:pos="567" w:leader="none"/>
        </w:tabs>
        <w:overflowPunct w:val="true"/>
        <w:rPr>
          <w:spacing w:val="20"/>
          <w:sz w:val="27"/>
          <w:szCs w:val="27"/>
          <w:lang w:val="en-US"/>
        </w:rPr>
      </w:pPr>
      <w:r>
        <w:rPr>
          <w:spacing w:val="20"/>
          <w:sz w:val="27"/>
          <w:szCs w:val="27"/>
          <w:lang w:val="en-US"/>
        </w:rPr>
        <w:t>有關泊車轉乘，現附上運輸及房屋局局長於</w:t>
      </w:r>
      <w:r>
        <w:rPr>
          <w:spacing w:val="20"/>
          <w:sz w:val="27"/>
          <w:szCs w:val="27"/>
          <w:lang w:val="en-US"/>
        </w:rPr>
        <w:t>2019</w:t>
      </w:r>
      <w:r>
        <w:rPr>
          <w:spacing w:val="20"/>
          <w:sz w:val="27"/>
          <w:szCs w:val="27"/>
          <w:lang w:val="en-US"/>
        </w:rPr>
        <w:t>年</w:t>
      </w:r>
      <w:r>
        <w:rPr>
          <w:spacing w:val="20"/>
          <w:sz w:val="27"/>
          <w:szCs w:val="27"/>
          <w:lang w:val="en-US"/>
        </w:rPr>
        <w:t>1</w:t>
      </w:r>
      <w:r>
        <w:rPr>
          <w:spacing w:val="20"/>
          <w:sz w:val="27"/>
          <w:szCs w:val="27"/>
          <w:lang w:val="en-US"/>
        </w:rPr>
        <w:t>月</w:t>
      </w:r>
      <w:r>
        <w:rPr>
          <w:spacing w:val="20"/>
          <w:sz w:val="27"/>
          <w:szCs w:val="27"/>
          <w:lang w:val="en-US"/>
        </w:rPr>
        <w:t>30</w:t>
      </w:r>
      <w:r>
        <w:rPr>
          <w:spacing w:val="20"/>
          <w:sz w:val="27"/>
          <w:szCs w:val="27"/>
          <w:lang w:val="en-US"/>
        </w:rPr>
        <w:t>日向陳恒鑌議員就相關課題的口頭質詢所作出的詳細回覆，以供參閱。</w:t>
      </w:r>
    </w:p>
    <w:p>
      <w:pPr>
        <w:pStyle w:val="Normal"/>
        <w:widowControl/>
        <w:tabs>
          <w:tab w:val="clear" w:pos="720"/>
          <w:tab w:val="left" w:pos="567" w:leader="none"/>
        </w:tabs>
        <w:overflowPunct w:val="true"/>
        <w:rPr>
          <w:spacing w:val="20"/>
          <w:sz w:val="27"/>
          <w:szCs w:val="27"/>
          <w:lang w:val="en-US"/>
        </w:rPr>
      </w:pPr>
      <w:r>
        <w:rPr>
          <w:spacing w:val="20"/>
          <w:sz w:val="27"/>
          <w:szCs w:val="27"/>
          <w:lang w:val="en-US"/>
        </w:rPr>
      </w:r>
    </w:p>
    <w:p>
      <w:pPr>
        <w:pStyle w:val="Normal"/>
        <w:widowControl/>
        <w:tabs>
          <w:tab w:val="clear" w:pos="720"/>
          <w:tab w:val="left" w:pos="567" w:leader="none"/>
        </w:tabs>
        <w:overflowPunct w:val="true"/>
        <w:rPr>
          <w:spacing w:val="20"/>
          <w:sz w:val="27"/>
          <w:szCs w:val="27"/>
          <w:lang w:val="en-US"/>
        </w:rPr>
      </w:pPr>
      <w:r>
        <w:rPr>
          <w:spacing w:val="20"/>
          <w:sz w:val="27"/>
          <w:szCs w:val="27"/>
          <w:lang w:val="en-US"/>
        </w:rPr>
      </w:r>
    </w:p>
    <w:p>
      <w:pPr>
        <w:pStyle w:val="Normal"/>
        <w:widowControl/>
        <w:tabs>
          <w:tab w:val="clear" w:pos="720"/>
        </w:tabs>
        <w:snapToGrid w:val="true"/>
        <w:spacing w:lineRule="auto" w:line="240"/>
        <w:jc w:val="left"/>
        <w:rPr>
          <w:spacing w:val="20"/>
          <w:sz w:val="27"/>
          <w:szCs w:val="27"/>
          <w:lang w:val="en-US"/>
        </w:rPr>
      </w:pPr>
      <w:r>
        <w:rPr>
          <w:spacing w:val="20"/>
          <w:sz w:val="27"/>
          <w:szCs w:val="27"/>
          <w:lang w:val="en-US"/>
        </w:rPr>
      </w:r>
      <w:r>
        <w:br w:type="page"/>
      </w:r>
    </w:p>
    <w:p>
      <w:pPr>
        <w:pStyle w:val="Normal"/>
        <w:widowControl/>
        <w:tabs>
          <w:tab w:val="clear" w:pos="720"/>
        </w:tabs>
        <w:snapToGrid w:val="true"/>
        <w:spacing w:lineRule="auto" w:line="240"/>
        <w:jc w:val="center"/>
        <w:rPr>
          <w:spacing w:val="20"/>
          <w:sz w:val="27"/>
          <w:szCs w:val="27"/>
          <w:lang w:val="en-US"/>
        </w:rPr>
      </w:pPr>
      <w:r>
        <w:rPr/>
        <w:drawing>
          <wp:inline distT="0" distB="0" distL="0" distR="0">
            <wp:extent cx="5785485" cy="6678295"/>
            <wp:effectExtent l="0" t="0" r="0" b="0"/>
            <wp:docPr id="2" name="圖片 1" descr="G:\ti_hansd\TYPIST\Rachel\TI08_c_頁面_2.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 descr="G:\ti_hansd\TYPIST\Rachel\TI08_c_頁面_2.tiff"/>
                    <pic:cNvPicPr>
                      <a:picLocks noChangeAspect="1" noChangeArrowheads="1"/>
                    </pic:cNvPicPr>
                  </pic:nvPicPr>
                  <pic:blipFill>
                    <a:blip r:embed="rId3"/>
                    <a:srcRect l="218202" t="140673" r="190403" b="516738"/>
                    <a:stretch>
                      <a:fillRect/>
                    </a:stretch>
                  </pic:blipFill>
                  <pic:spPr bwMode="auto">
                    <a:xfrm>
                      <a:off x="0" y="0"/>
                      <a:ext cx="5785485" cy="6678295"/>
                    </a:xfrm>
                    <a:prstGeom prst="rect">
                      <a:avLst/>
                    </a:prstGeom>
                  </pic:spPr>
                </pic:pic>
              </a:graphicData>
            </a:graphic>
          </wp:inline>
        </w:drawing>
      </w:r>
    </w:p>
    <w:p>
      <w:pPr>
        <w:pStyle w:val="Normal"/>
        <w:widowControl/>
        <w:tabs>
          <w:tab w:val="clear" w:pos="720"/>
        </w:tabs>
        <w:snapToGrid w:val="true"/>
        <w:spacing w:lineRule="auto" w:line="240"/>
        <w:jc w:val="left"/>
        <w:rPr>
          <w:spacing w:val="20"/>
          <w:sz w:val="27"/>
          <w:szCs w:val="27"/>
          <w:lang w:val="en-US"/>
        </w:rPr>
      </w:pPr>
      <w:r>
        <w:rPr>
          <w:spacing w:val="20"/>
          <w:sz w:val="27"/>
          <w:szCs w:val="27"/>
          <w:lang w:val="en-US"/>
        </w:rPr>
      </w:r>
      <w:r>
        <w:br w:type="page"/>
      </w:r>
    </w:p>
    <w:p>
      <w:pPr>
        <w:pStyle w:val="Normal"/>
        <w:widowControl/>
        <w:tabs>
          <w:tab w:val="clear" w:pos="720"/>
        </w:tabs>
        <w:snapToGrid w:val="true"/>
        <w:spacing w:lineRule="auto" w:line="240"/>
        <w:jc w:val="center"/>
        <w:rPr>
          <w:spacing w:val="20"/>
          <w:sz w:val="27"/>
          <w:szCs w:val="27"/>
          <w:lang w:val="en-US"/>
        </w:rPr>
      </w:pPr>
      <w:r>
        <w:rPr/>
        <w:drawing>
          <wp:inline distT="0" distB="0" distL="0" distR="0">
            <wp:extent cx="5706110" cy="8477885"/>
            <wp:effectExtent l="0" t="0" r="0" b="0"/>
            <wp:docPr id="3" name="圖片 2" descr="G:\ti_hansd\TYPIST\Rachel\TI08_c_頁面_3.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2" descr="G:\ti_hansd\TYPIST\Rachel\TI08_c_頁面_3.tiff"/>
                    <pic:cNvPicPr>
                      <a:picLocks noChangeAspect="1" noChangeArrowheads="1"/>
                    </pic:cNvPicPr>
                  </pic:nvPicPr>
                  <pic:blipFill>
                    <a:blip r:embed="rId4"/>
                    <a:srcRect l="264164" t="135276" r="175123" b="238055"/>
                    <a:stretch>
                      <a:fillRect/>
                    </a:stretch>
                  </pic:blipFill>
                  <pic:spPr bwMode="auto">
                    <a:xfrm>
                      <a:off x="0" y="0"/>
                      <a:ext cx="5706110" cy="8477885"/>
                    </a:xfrm>
                    <a:prstGeom prst="rect">
                      <a:avLst/>
                    </a:prstGeom>
                  </pic:spPr>
                </pic:pic>
              </a:graphicData>
            </a:graphic>
          </wp:inline>
        </w:drawing>
      </w:r>
    </w:p>
    <w:p>
      <w:pPr>
        <w:pStyle w:val="Normal"/>
        <w:widowControl/>
        <w:tabs>
          <w:tab w:val="clear" w:pos="720"/>
        </w:tabs>
        <w:snapToGrid w:val="true"/>
        <w:spacing w:lineRule="auto" w:line="240"/>
        <w:jc w:val="left"/>
        <w:rPr>
          <w:spacing w:val="20"/>
          <w:sz w:val="27"/>
          <w:szCs w:val="27"/>
          <w:lang w:val="en-US"/>
        </w:rPr>
      </w:pPr>
      <w:r>
        <w:rPr>
          <w:spacing w:val="20"/>
          <w:sz w:val="27"/>
          <w:szCs w:val="27"/>
          <w:lang w:val="en-US"/>
        </w:rPr>
      </w:r>
      <w:r>
        <w:br w:type="page"/>
      </w:r>
    </w:p>
    <w:p>
      <w:pPr>
        <w:pStyle w:val="Normal"/>
        <w:widowControl/>
        <w:tabs>
          <w:tab w:val="clear" w:pos="720"/>
        </w:tabs>
        <w:snapToGrid w:val="true"/>
        <w:spacing w:lineRule="auto" w:line="240"/>
        <w:jc w:val="center"/>
        <w:rPr>
          <w:spacing w:val="20"/>
          <w:sz w:val="27"/>
          <w:szCs w:val="27"/>
          <w:lang w:val="en-US"/>
        </w:rPr>
      </w:pPr>
      <w:r>
        <w:rPr/>
        <w:drawing>
          <wp:inline distT="0" distB="0" distL="0" distR="0">
            <wp:extent cx="5622925" cy="7041515"/>
            <wp:effectExtent l="0" t="0" r="0" b="0"/>
            <wp:docPr id="4" name="圖片 3" descr="G:\ti_hansd\TYPIST\Rachel\TI08_c_頁面_4.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descr="G:\ti_hansd\TYPIST\Rachel\TI08_c_頁面_4.tiff"/>
                    <pic:cNvPicPr>
                      <a:picLocks noChangeAspect="1" noChangeArrowheads="1"/>
                    </pic:cNvPicPr>
                  </pic:nvPicPr>
                  <pic:blipFill>
                    <a:blip r:embed="rId5"/>
                    <a:srcRect l="283288" t="159629" r="175123" b="449093"/>
                    <a:stretch>
                      <a:fillRect/>
                    </a:stretch>
                  </pic:blipFill>
                  <pic:spPr bwMode="auto">
                    <a:xfrm>
                      <a:off x="0" y="0"/>
                      <a:ext cx="5622925" cy="7041515"/>
                    </a:xfrm>
                    <a:prstGeom prst="rect">
                      <a:avLst/>
                    </a:prstGeom>
                  </pic:spPr>
                </pic:pic>
              </a:graphicData>
            </a:graphic>
          </wp:inline>
        </w:drawing>
      </w:r>
    </w:p>
    <w:p>
      <w:pPr>
        <w:pStyle w:val="Normal"/>
        <w:widowControl/>
        <w:tabs>
          <w:tab w:val="clear" w:pos="720"/>
        </w:tabs>
        <w:snapToGrid w:val="true"/>
        <w:spacing w:lineRule="auto" w:line="240"/>
        <w:jc w:val="left"/>
        <w:rPr>
          <w:spacing w:val="20"/>
          <w:sz w:val="27"/>
          <w:szCs w:val="27"/>
          <w:lang w:val="en-US"/>
        </w:rPr>
      </w:pPr>
      <w:r>
        <w:rPr>
          <w:spacing w:val="20"/>
          <w:sz w:val="27"/>
          <w:szCs w:val="27"/>
          <w:lang w:val="en-US"/>
        </w:rPr>
      </w:r>
      <w:r>
        <w:br w:type="page"/>
      </w:r>
    </w:p>
    <w:p>
      <w:pPr>
        <w:pStyle w:val="Normal"/>
        <w:widowControl/>
        <w:tabs>
          <w:tab w:val="clear" w:pos="720"/>
        </w:tabs>
        <w:snapToGrid w:val="true"/>
        <w:spacing w:lineRule="auto" w:line="240"/>
        <w:jc w:val="center"/>
        <w:rPr>
          <w:spacing w:val="20"/>
          <w:sz w:val="27"/>
          <w:szCs w:val="27"/>
          <w:lang w:val="en-US"/>
        </w:rPr>
      </w:pPr>
      <w:r>
        <w:rPr/>
        <w:drawing>
          <wp:inline distT="0" distB="0" distL="0" distR="0">
            <wp:extent cx="5846445" cy="4672965"/>
            <wp:effectExtent l="0" t="0" r="0" b="0"/>
            <wp:docPr id="5" name="圖片 4" descr="G:\ti_hansd\TYPIST\Rachel\TI08_c_頁面_5.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descr="G:\ti_hansd\TYPIST\Rachel\TI08_c_頁面_5.tiff"/>
                    <pic:cNvPicPr>
                      <a:picLocks noChangeAspect="1" noChangeArrowheads="1"/>
                    </pic:cNvPicPr>
                  </pic:nvPicPr>
                  <pic:blipFill>
                    <a:blip r:embed="rId6"/>
                    <a:srcRect l="206731" t="113679" r="67969" b="808879"/>
                    <a:stretch>
                      <a:fillRect/>
                    </a:stretch>
                  </pic:blipFill>
                  <pic:spPr bwMode="auto">
                    <a:xfrm>
                      <a:off x="0" y="0"/>
                      <a:ext cx="5846445" cy="4672965"/>
                    </a:xfrm>
                    <a:prstGeom prst="rect">
                      <a:avLst/>
                    </a:prstGeom>
                  </pic:spPr>
                </pic:pic>
              </a:graphicData>
            </a:graphic>
          </wp:inline>
        </w:drawing>
      </w:r>
    </w:p>
    <w:p>
      <w:pPr>
        <w:pStyle w:val="Normal"/>
        <w:widowControl/>
        <w:tabs>
          <w:tab w:val="clear" w:pos="720"/>
        </w:tabs>
        <w:snapToGrid w:val="true"/>
        <w:spacing w:lineRule="auto" w:line="240"/>
        <w:jc w:val="left"/>
        <w:rPr>
          <w:spacing w:val="20"/>
          <w:sz w:val="27"/>
          <w:szCs w:val="27"/>
          <w:lang w:val="en-US"/>
        </w:rPr>
      </w:pPr>
      <w:r>
        <w:rPr>
          <w:spacing w:val="20"/>
          <w:sz w:val="27"/>
          <w:szCs w:val="27"/>
          <w:lang w:val="en-US"/>
        </w:rPr>
      </w:r>
      <w:r>
        <w:br w:type="page"/>
      </w:r>
    </w:p>
    <w:p>
      <w:pPr>
        <w:pStyle w:val="Normal"/>
        <w:widowControl/>
        <w:tabs>
          <w:tab w:val="clear" w:pos="720"/>
        </w:tabs>
        <w:snapToGrid w:val="true"/>
        <w:spacing w:lineRule="auto" w:line="240"/>
        <w:jc w:val="left"/>
        <w:rPr>
          <w:spacing w:val="20"/>
          <w:sz w:val="27"/>
          <w:szCs w:val="27"/>
          <w:lang w:val="en-US"/>
        </w:rPr>
      </w:pPr>
      <w:r>
        <w:rPr/>
        <w:drawing>
          <wp:inline distT="0" distB="0" distL="0" distR="0">
            <wp:extent cx="5807075" cy="4871085"/>
            <wp:effectExtent l="0" t="0" r="0" b="0"/>
            <wp:docPr id="6" name="圖片 5" descr="G:\ti_hansd\TYPIST\Rachel\TI08_c_頁面_6.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5" descr="G:\ti_hansd\TYPIST\Rachel\TI08_c_頁面_6.tiff"/>
                    <pic:cNvPicPr>
                      <a:picLocks noChangeAspect="1" noChangeArrowheads="1"/>
                    </pic:cNvPicPr>
                  </pic:nvPicPr>
                  <pic:blipFill>
                    <a:blip r:embed="rId7"/>
                    <a:srcRect l="195331" t="116337" r="71801" b="760146"/>
                    <a:stretch>
                      <a:fillRect/>
                    </a:stretch>
                  </pic:blipFill>
                  <pic:spPr bwMode="auto">
                    <a:xfrm>
                      <a:off x="0" y="0"/>
                      <a:ext cx="5807075" cy="4871085"/>
                    </a:xfrm>
                    <a:prstGeom prst="rect">
                      <a:avLst/>
                    </a:prstGeom>
                  </pic:spPr>
                </pic:pic>
              </a:graphicData>
            </a:graphic>
          </wp:inline>
        </w:drawing>
      </w:r>
    </w:p>
    <w:p>
      <w:pPr>
        <w:pStyle w:val="Normal"/>
        <w:widowControl/>
        <w:tabs>
          <w:tab w:val="clear" w:pos="720"/>
        </w:tabs>
        <w:snapToGrid w:val="true"/>
        <w:spacing w:lineRule="auto" w:line="240"/>
        <w:jc w:val="left"/>
        <w:rPr>
          <w:spacing w:val="20"/>
          <w:sz w:val="27"/>
          <w:szCs w:val="27"/>
          <w:lang w:val="en-US"/>
        </w:rPr>
      </w:pPr>
      <w:r>
        <w:rPr>
          <w:spacing w:val="20"/>
          <w:sz w:val="27"/>
          <w:szCs w:val="27"/>
          <w:lang w:val="en-US"/>
        </w:rPr>
      </w:r>
      <w:r>
        <w:br w:type="page"/>
      </w:r>
    </w:p>
    <w:p>
      <w:pPr>
        <w:pStyle w:val="Normal"/>
        <w:overflowPunct w:val="true"/>
        <w:snapToGrid w:val="true"/>
        <w:jc w:val="right"/>
        <w:rPr>
          <w:b/>
          <w:b/>
          <w:szCs w:val="28"/>
          <w:lang w:val="en-US"/>
        </w:rPr>
      </w:pPr>
      <w:r>
        <w:rPr>
          <w:b/>
          <w:szCs w:val="28"/>
          <w:lang w:val="en-US"/>
        </w:rPr>
        <w:t>Appendix I</w:t>
      </w:r>
    </w:p>
    <w:p>
      <w:pPr>
        <w:pStyle w:val="Normal"/>
        <w:overflowPunct w:val="true"/>
        <w:snapToGrid w:val="true"/>
        <w:jc w:val="right"/>
        <w:rPr>
          <w:b/>
          <w:b/>
          <w:szCs w:val="28"/>
          <w:lang w:val="en-US"/>
        </w:rPr>
      </w:pPr>
      <w:r>
        <w:rPr>
          <w:b/>
          <w:szCs w:val="28"/>
          <w:lang w:val="en-US"/>
        </w:rPr>
      </w:r>
    </w:p>
    <w:p>
      <w:pPr>
        <w:pStyle w:val="Normal"/>
        <w:overflowPunct w:val="true"/>
        <w:snapToGrid w:val="true"/>
        <w:jc w:val="center"/>
        <w:rPr>
          <w:b/>
          <w:b/>
          <w:szCs w:val="28"/>
          <w:lang w:val="en-US"/>
        </w:rPr>
      </w:pPr>
      <w:r>
        <w:rPr>
          <w:b/>
          <w:szCs w:val="28"/>
          <w:lang w:val="en-US"/>
        </w:rPr>
        <w:t>WRITTEN ANSWER</w:t>
      </w:r>
    </w:p>
    <w:p>
      <w:pPr>
        <w:pStyle w:val="Normal"/>
        <w:overflowPunct w:val="true"/>
        <w:snapToGrid w:val="true"/>
        <w:jc w:val="center"/>
        <w:rPr>
          <w:b/>
          <w:b/>
          <w:szCs w:val="28"/>
          <w:lang w:val="en-US"/>
        </w:rPr>
      </w:pPr>
      <w:r>
        <w:rPr>
          <w:b/>
          <w:szCs w:val="28"/>
          <w:lang w:val="en-US"/>
        </w:rPr>
      </w:r>
    </w:p>
    <w:p>
      <w:pPr>
        <w:pStyle w:val="Normal"/>
        <w:overflowPunct w:val="true"/>
        <w:snapToGrid w:val="true"/>
        <w:rPr>
          <w:b/>
          <w:b/>
          <w:szCs w:val="28"/>
          <w:lang w:val="en-US"/>
        </w:rPr>
      </w:pPr>
      <w:r>
        <w:rPr>
          <w:b/>
          <w:szCs w:val="28"/>
          <w:lang w:val="en-US"/>
        </w:rPr>
        <w:t>Written answer by the Secretary for Transport and Housing to Ms YUNG Hoi-yan's supplementary question to Question 3</w:t>
      </w:r>
    </w:p>
    <w:p>
      <w:pPr>
        <w:pStyle w:val="Normal"/>
        <w:overflowPunct w:val="true"/>
        <w:snapToGrid w:val="true"/>
        <w:rPr>
          <w:b/>
          <w:b/>
          <w:szCs w:val="28"/>
          <w:lang w:val="en-US"/>
        </w:rPr>
      </w:pPr>
      <w:r>
        <w:rPr>
          <w:b/>
          <w:szCs w:val="28"/>
          <w:lang w:val="en-US"/>
        </w:rPr>
      </w:r>
    </w:p>
    <w:p>
      <w:pPr>
        <w:pStyle w:val="Normal"/>
        <w:overflowPunct w:val="true"/>
        <w:snapToGrid w:val="true"/>
        <w:rPr>
          <w:szCs w:val="28"/>
          <w:lang w:val="en-US"/>
        </w:rPr>
      </w:pPr>
      <w:r>
        <w:rPr>
          <w:szCs w:val="28"/>
          <w:lang w:val="en-US"/>
        </w:rPr>
        <w:t>Regarding "Park and Ride", attached for reference is the Secretary for Transport and Housing's reply to an oral question on the relevant subject raised by Mr‍ CHAN Han-pan at the Legislative Council meeting on 30 January 2019.</w:t>
      </w:r>
    </w:p>
    <w:p>
      <w:pPr>
        <w:pStyle w:val="Normal"/>
        <w:overflowPunct w:val="true"/>
        <w:snapToGrid w:val="true"/>
        <w:rPr>
          <w:szCs w:val="28"/>
          <w:lang w:val="en-US"/>
        </w:rPr>
      </w:pPr>
      <w:r>
        <w:rPr>
          <w:szCs w:val="28"/>
          <w:lang w:val="en-US"/>
        </w:rPr>
      </w:r>
    </w:p>
    <w:p>
      <w:pPr>
        <w:pStyle w:val="Normal"/>
        <w:widowControl/>
        <w:tabs>
          <w:tab w:val="clear" w:pos="720"/>
        </w:tabs>
        <w:snapToGrid w:val="true"/>
        <w:spacing w:lineRule="auto" w:line="240"/>
        <w:jc w:val="left"/>
        <w:rPr>
          <w:szCs w:val="28"/>
          <w:lang w:val="en-US"/>
        </w:rPr>
      </w:pPr>
      <w:r>
        <w:rPr>
          <w:szCs w:val="28"/>
          <w:lang w:val="en-US"/>
        </w:rPr>
      </w:r>
      <w:r>
        <w:br w:type="page"/>
      </w:r>
    </w:p>
    <w:p>
      <w:pPr>
        <w:pStyle w:val="Normal"/>
        <w:overflowPunct w:val="true"/>
        <w:snapToGrid w:val="true"/>
        <w:jc w:val="center"/>
        <w:rPr>
          <w:szCs w:val="28"/>
          <w:lang w:val="en-US"/>
        </w:rPr>
      </w:pPr>
      <w:r>
        <w:rPr/>
        <w:drawing>
          <wp:inline distT="0" distB="0" distL="0" distR="0">
            <wp:extent cx="5328285" cy="8298180"/>
            <wp:effectExtent l="0" t="0" r="0" b="0"/>
            <wp:docPr id="7" name="圖片 6" descr="G:\ti_hansd\TYPIST\Rachel\TI08_e_頁面_2.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6" descr="G:\ti_hansd\TYPIST\Rachel\TI08_e_頁面_2.tiff"/>
                    <pic:cNvPicPr>
                      <a:picLocks noChangeAspect="1" noChangeArrowheads="1"/>
                    </pic:cNvPicPr>
                  </pic:nvPicPr>
                  <pic:blipFill>
                    <a:blip r:embed="rId8"/>
                    <a:srcRect l="279531" t="105442" r="247817" b="297569"/>
                    <a:stretch>
                      <a:fillRect/>
                    </a:stretch>
                  </pic:blipFill>
                  <pic:spPr bwMode="auto">
                    <a:xfrm>
                      <a:off x="0" y="0"/>
                      <a:ext cx="5328285" cy="8298180"/>
                    </a:xfrm>
                    <a:prstGeom prst="rect">
                      <a:avLst/>
                    </a:prstGeom>
                  </pic:spPr>
                </pic:pic>
              </a:graphicData>
            </a:graphic>
          </wp:inline>
        </w:drawing>
      </w:r>
    </w:p>
    <w:p>
      <w:pPr>
        <w:pStyle w:val="Normal"/>
        <w:overflowPunct w:val="true"/>
        <w:snapToGrid w:val="true"/>
        <w:rPr>
          <w:szCs w:val="28"/>
          <w:lang w:val="en-US"/>
        </w:rPr>
      </w:pPr>
      <w:r>
        <w:rPr>
          <w:szCs w:val="28"/>
          <w:lang w:val="en-US"/>
        </w:rPr>
      </w:r>
    </w:p>
    <w:p>
      <w:pPr>
        <w:pStyle w:val="Normal"/>
        <w:overflowPunct w:val="true"/>
        <w:snapToGrid w:val="true"/>
        <w:spacing w:lineRule="exact" w:line="40"/>
        <w:rPr>
          <w:szCs w:val="28"/>
          <w:lang w:val="en-US"/>
        </w:rPr>
      </w:pPr>
      <w:r>
        <w:rPr>
          <w:szCs w:val="28"/>
          <w:lang w:val="en-US"/>
        </w:rPr>
      </w:r>
      <w:r>
        <w:br w:type="page"/>
      </w:r>
    </w:p>
    <w:p>
      <w:pPr>
        <w:pStyle w:val="Normal"/>
        <w:overflowPunct w:val="true"/>
        <w:snapToGrid w:val="true"/>
        <w:jc w:val="center"/>
        <w:rPr>
          <w:szCs w:val="28"/>
          <w:lang w:val="en-US"/>
        </w:rPr>
      </w:pPr>
      <w:r>
        <w:rPr/>
        <w:drawing>
          <wp:inline distT="0" distB="0" distL="0" distR="0">
            <wp:extent cx="5393055" cy="8611235"/>
            <wp:effectExtent l="0" t="0" r="0" b="0"/>
            <wp:docPr id="8" name="圖片 7" descr="G:\ti_hansd\TYPIST\Rachel\TI08_e_頁面_3.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7" descr="G:\ti_hansd\TYPIST\Rachel\TI08_e_頁面_3.tiff"/>
                    <pic:cNvPicPr>
                      <a:picLocks noChangeAspect="1" noChangeArrowheads="1"/>
                    </pic:cNvPicPr>
                  </pic:nvPicPr>
                  <pic:blipFill>
                    <a:blip r:embed="rId9"/>
                    <a:srcRect l="268000" t="118989" r="244055" b="232613"/>
                    <a:stretch>
                      <a:fillRect/>
                    </a:stretch>
                  </pic:blipFill>
                  <pic:spPr bwMode="auto">
                    <a:xfrm>
                      <a:off x="0" y="0"/>
                      <a:ext cx="5393055" cy="8611235"/>
                    </a:xfrm>
                    <a:prstGeom prst="rect">
                      <a:avLst/>
                    </a:prstGeom>
                  </pic:spPr>
                </pic:pic>
              </a:graphicData>
            </a:graphic>
          </wp:inline>
        </w:drawing>
      </w:r>
    </w:p>
    <w:p>
      <w:pPr>
        <w:pStyle w:val="Normal"/>
        <w:widowControl/>
        <w:tabs>
          <w:tab w:val="clear" w:pos="720"/>
        </w:tabs>
        <w:snapToGrid w:val="true"/>
        <w:spacing w:lineRule="auto" w:line="240"/>
        <w:jc w:val="center"/>
        <w:rPr>
          <w:szCs w:val="28"/>
          <w:lang w:val="en-US"/>
        </w:rPr>
      </w:pPr>
      <w:r>
        <w:rPr/>
        <w:drawing>
          <wp:inline distT="0" distB="0" distL="0" distR="0">
            <wp:extent cx="5259705" cy="8625840"/>
            <wp:effectExtent l="0" t="0" r="0" b="0"/>
            <wp:docPr id="9" name="圖片 8" descr="G:\ti_hansd\TYPIST\Rachel\TI08_e_頁面_4.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8" descr="G:\ti_hansd\TYPIST\Rachel\TI08_e_頁面_4.tiff"/>
                    <pic:cNvPicPr>
                      <a:picLocks noChangeAspect="1" noChangeArrowheads="1"/>
                    </pic:cNvPicPr>
                  </pic:nvPicPr>
                  <pic:blipFill>
                    <a:blip r:embed="rId10"/>
                    <a:srcRect l="287178" t="113628" r="255562" b="235385"/>
                    <a:stretch>
                      <a:fillRect/>
                    </a:stretch>
                  </pic:blipFill>
                  <pic:spPr bwMode="auto">
                    <a:xfrm>
                      <a:off x="0" y="0"/>
                      <a:ext cx="5259705" cy="8625840"/>
                    </a:xfrm>
                    <a:prstGeom prst="rect">
                      <a:avLst/>
                    </a:prstGeom>
                  </pic:spPr>
                </pic:pic>
              </a:graphicData>
            </a:graphic>
          </wp:inline>
        </w:drawing>
      </w:r>
    </w:p>
    <w:p>
      <w:pPr>
        <w:pStyle w:val="Normal"/>
        <w:widowControl/>
        <w:tabs>
          <w:tab w:val="clear" w:pos="720"/>
        </w:tabs>
        <w:snapToGrid w:val="true"/>
        <w:spacing w:lineRule="auto" w:line="240"/>
        <w:jc w:val="center"/>
        <w:rPr>
          <w:szCs w:val="28"/>
          <w:lang w:val="en-US"/>
        </w:rPr>
      </w:pPr>
      <w:r>
        <w:rPr/>
        <w:drawing>
          <wp:inline distT="0" distB="0" distL="0" distR="0">
            <wp:extent cx="4766310" cy="7207250"/>
            <wp:effectExtent l="0" t="0" r="0" b="0"/>
            <wp:docPr id="10" name="圖片 9" descr="G:\ti_hansd\TYPIST\Rachel\TI08_e_頁面_5.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9" descr="G:\ti_hansd\TYPIST\Rachel\TI08_e_頁面_5.tiff"/>
                    <pic:cNvPicPr>
                      <a:picLocks noChangeAspect="1" noChangeArrowheads="1"/>
                    </pic:cNvPicPr>
                  </pic:nvPicPr>
                  <pic:blipFill>
                    <a:blip r:embed="rId11"/>
                    <a:srcRect l="409589" t="121758" r="247836" b="459930"/>
                    <a:stretch>
                      <a:fillRect/>
                    </a:stretch>
                  </pic:blipFill>
                  <pic:spPr bwMode="auto">
                    <a:xfrm>
                      <a:off x="0" y="0"/>
                      <a:ext cx="4766310" cy="7207250"/>
                    </a:xfrm>
                    <a:prstGeom prst="rect">
                      <a:avLst/>
                    </a:prstGeom>
                  </pic:spPr>
                </pic:pic>
              </a:graphicData>
            </a:graphic>
          </wp:inline>
        </w:drawing>
      </w:r>
    </w:p>
    <w:p>
      <w:pPr>
        <w:pStyle w:val="Normal"/>
        <w:widowControl/>
        <w:tabs>
          <w:tab w:val="clear" w:pos="720"/>
        </w:tabs>
        <w:snapToGrid w:val="true"/>
        <w:spacing w:lineRule="auto" w:line="240"/>
        <w:jc w:val="left"/>
        <w:rPr>
          <w:szCs w:val="28"/>
          <w:lang w:val="en-US"/>
        </w:rPr>
      </w:pPr>
      <w:r>
        <w:rPr>
          <w:szCs w:val="28"/>
          <w:lang w:val="en-US"/>
        </w:rPr>
      </w:r>
      <w:r>
        <w:br w:type="page"/>
      </w:r>
    </w:p>
    <w:p>
      <w:pPr>
        <w:pStyle w:val="Normal"/>
        <w:overflowPunct w:val="true"/>
        <w:snapToGrid w:val="true"/>
        <w:jc w:val="center"/>
        <w:rPr>
          <w:szCs w:val="28"/>
          <w:lang w:val="en-US"/>
        </w:rPr>
      </w:pPr>
      <w:r>
        <w:rPr/>
        <w:drawing>
          <wp:inline distT="0" distB="0" distL="0" distR="0">
            <wp:extent cx="5788660" cy="5529580"/>
            <wp:effectExtent l="0" t="0" r="0" b="0"/>
            <wp:docPr id="11" name="圖片 10" descr="G:\ti_hansd\TYPIST\Rachel\TI08_e_頁面_6.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0" descr="G:\ti_hansd\TYPIST\Rachel\TI08_e_頁面_6.tiff"/>
                    <pic:cNvPicPr>
                      <a:picLocks noChangeAspect="1" noChangeArrowheads="1"/>
                    </pic:cNvPicPr>
                  </pic:nvPicPr>
                  <pic:blipFill>
                    <a:blip r:embed="rId12"/>
                    <a:srcRect l="91887" t="124429" r="52573" b="546527"/>
                    <a:stretch>
                      <a:fillRect/>
                    </a:stretch>
                  </pic:blipFill>
                  <pic:spPr bwMode="auto">
                    <a:xfrm>
                      <a:off x="0" y="0"/>
                      <a:ext cx="5788660" cy="5529580"/>
                    </a:xfrm>
                    <a:prstGeom prst="rect">
                      <a:avLst/>
                    </a:prstGeom>
                  </pic:spPr>
                </pic:pic>
              </a:graphicData>
            </a:graphic>
          </wp:inline>
        </w:drawing>
      </w:r>
    </w:p>
    <w:p>
      <w:pPr>
        <w:pStyle w:val="Normal"/>
        <w:overflowPunct w:val="true"/>
        <w:snapToGrid w:val="true"/>
        <w:rPr>
          <w:szCs w:val="28"/>
          <w:lang w:val="en-US"/>
        </w:rPr>
      </w:pPr>
      <w:r>
        <w:rPr>
          <w:szCs w:val="28"/>
          <w:lang w:val="en-US"/>
        </w:rPr>
      </w:r>
    </w:p>
    <w:p>
      <w:pPr>
        <w:pStyle w:val="Normal"/>
        <w:widowControl/>
        <w:tabs>
          <w:tab w:val="clear" w:pos="720"/>
        </w:tabs>
        <w:snapToGrid w:val="true"/>
        <w:spacing w:lineRule="auto" w:line="240"/>
        <w:jc w:val="left"/>
        <w:rPr>
          <w:szCs w:val="28"/>
          <w:lang w:val="en-US"/>
        </w:rPr>
      </w:pPr>
      <w:r>
        <w:rPr>
          <w:szCs w:val="28"/>
          <w:lang w:val="en-US"/>
        </w:rPr>
      </w:r>
      <w:r>
        <w:br w:type="page"/>
      </w:r>
    </w:p>
    <w:p>
      <w:pPr>
        <w:pStyle w:val="Normal"/>
        <w:overflowPunct w:val="true"/>
        <w:snapToGrid w:val="true"/>
        <w:rPr>
          <w:szCs w:val="28"/>
          <w:lang w:val="en-US"/>
        </w:rPr>
      </w:pPr>
      <w:r>
        <w:rPr/>
        <w:drawing>
          <wp:inline distT="0" distB="0" distL="0" distR="0">
            <wp:extent cx="5842635" cy="5367655"/>
            <wp:effectExtent l="0" t="0" r="0" b="0"/>
            <wp:docPr id="12" name="圖片 11" descr="G:\ti_hansd\TYPIST\Rachel\TI08_e_頁面_7.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1" descr="G:\ti_hansd\TYPIST\Rachel\TI08_e_頁面_7.tiff"/>
                    <pic:cNvPicPr>
                      <a:picLocks noChangeAspect="1" noChangeArrowheads="1"/>
                    </pic:cNvPicPr>
                  </pic:nvPicPr>
                  <pic:blipFill>
                    <a:blip r:embed="rId13"/>
                    <a:srcRect l="164647" t="132544" r="140706" b="684456"/>
                    <a:stretch>
                      <a:fillRect/>
                    </a:stretch>
                  </pic:blipFill>
                  <pic:spPr bwMode="auto">
                    <a:xfrm>
                      <a:off x="0" y="0"/>
                      <a:ext cx="5842635" cy="5367655"/>
                    </a:xfrm>
                    <a:prstGeom prst="rect">
                      <a:avLst/>
                    </a:prstGeom>
                  </pic:spPr>
                </pic:pic>
              </a:graphicData>
            </a:graphic>
          </wp:inline>
        </w:drawing>
      </w:r>
    </w:p>
    <w:p>
      <w:pPr>
        <w:pStyle w:val="Normal"/>
        <w:overflowPunct w:val="true"/>
        <w:snapToGrid w:val="true"/>
        <w:rPr>
          <w:szCs w:val="28"/>
          <w:lang w:val="en-US"/>
        </w:rPr>
      </w:pPr>
      <w:r>
        <w:rPr>
          <w:szCs w:val="28"/>
          <w:lang w:val="en-US"/>
        </w:rPr>
      </w:r>
    </w:p>
    <w:p>
      <w:pPr>
        <w:pStyle w:val="F21"/>
        <w:overflowPunct w:val="true"/>
        <w:rPr>
          <w:rFonts w:cs="Times New Roman"/>
          <w:lang w:val="en-GB"/>
        </w:rPr>
      </w:pPr>
      <w:r>
        <w:rPr/>
      </w:r>
    </w:p>
    <w:sectPr>
      <w:headerReference w:type="default" r:id="rId14"/>
      <w:footnotePr>
        <w:numFmt w:val="decimal"/>
      </w:footnotePr>
      <w:type w:val="nextPage"/>
      <w:pgSz w:w="11906" w:h="16838"/>
      <w:pgMar w:left="1361" w:right="1332" w:header="907" w:top="964" w:footer="0" w:bottom="1077" w:gutter="0"/>
      <w:pgNumType w:start="1" w:fmt="decimal"/>
      <w:formProt w:val="false"/>
      <w:textDirection w:val="lrTb"/>
      <w:docGrid w:type="default" w:linePitch="367"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Liberation Sans">
    <w:altName w:val="Arial"/>
    <w:charset w:val="01"/>
    <w:family w:val="swiss"/>
    <w:pitch w:val="variable"/>
  </w:font>
  <w:font w:name="華康中黑體">
    <w:charset w:val="01"/>
    <w:family w:val="roman"/>
    <w:pitch w:val="variable"/>
  </w:font>
  <w:font w:name="華康細明體">
    <w:charset w:val="01"/>
    <w:family w:val="roman"/>
    <w:pitch w:val="variable"/>
  </w:font>
  <w:font w:name="MS Mincho">
    <w:charset w:val="01"/>
    <w:family w:val="roman"/>
    <w:pitch w:val="variable"/>
  </w:font>
  <w:font w:name="Arial">
    <w:charset w:val="01"/>
    <w:family w:val="roman"/>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separator/>
      </w:r>
    </w:p>
  </w:footnote>
  <w:footnote w:id="1" w:type="continuationSeparator">
    <w:p>
      <w:pPr>
        <w:rPr>
          <w:sz w:val="12"/>
        </w:rPr>
      </w:pPr>
      <w:r>
        <w:continuationSeparator/>
      </w:r>
    </w:p>
  </w:footnote>
  <w:footnote w:id="2">
    <w:p>
      <w:pPr>
        <w:pStyle w:val="Footnote"/>
        <w:spacing w:lineRule="auto" w:line="240"/>
        <w:ind w:left="567" w:hanging="567"/>
        <w:rPr>
          <w:spacing w:val="0"/>
        </w:rPr>
      </w:pPr>
      <w:r>
        <w:rPr>
          <w:rStyle w:val="FootnoteCharacters"/>
        </w:rPr>
        <w:t>(1)</w:t>
      </w:r>
      <w:r>
        <w:rPr>
          <w:rStyle w:val="FootnoteCharacters"/>
          <w:position w:val="0"/>
          <w:sz w:val="22"/>
          <w:vertAlign w:val="baseline"/>
        </w:rPr>
        <w:tab/>
        <w:t>(1)</w:t>
      </w:r>
      <w:r>
        <w:rPr/>
        <w:t>&lt;</w:t>
      </w:r>
      <w:r>
        <w:rPr>
          <w:spacing w:val="0"/>
        </w:rPr>
        <w:t>https://www.map.gov.hk/gm/map/search/faci/__VGS?lg=tc&gt;</w:t>
      </w:r>
    </w:p>
  </w:footnote>
  <w:footnote w:id="3">
    <w:p>
      <w:pPr>
        <w:pStyle w:val="Footnote"/>
        <w:spacing w:lineRule="auto" w:line="240"/>
        <w:ind w:left="567" w:hanging="567"/>
        <w:rPr>
          <w:rStyle w:val="FootnoteCharacters"/>
        </w:rPr>
      </w:pPr>
      <w:r>
        <w:rPr>
          <w:rStyle w:val="FootnoteCharacters"/>
        </w:rPr>
        <w:t>(2)</w:t>
      </w:r>
      <w:r>
        <w:rPr/>
      </w:r>
    </w:p>
    <w:p>
      <w:pPr>
        <w:pStyle w:val="Footnote"/>
        <w:spacing w:lineRule="auto" w:line="240"/>
        <w:ind w:left="567" w:hanging="567"/>
        <w:rPr/>
      </w:pPr>
      <w:r>
        <w:rPr>
          <w:rStyle w:val="FootnoteCharacters"/>
          <w:position w:val="0"/>
          <w:sz w:val="22"/>
          <w:vertAlign w:val="baseline"/>
        </w:rPr>
        <w:tab/>
        <w:t>(2)</w:t>
      </w:r>
      <w:r>
        <w:rPr/>
        <w:t>由於每年接獲的申請不一定於同年完成處理，年內批准的申請個案未必對照年內接獲的申請個案。</w:t>
      </w:r>
    </w:p>
  </w:footnote>
  <w:footnote w:id="4">
    <w:p>
      <w:pPr>
        <w:pStyle w:val="Normal"/>
        <w:spacing w:lineRule="auto" w:line="240"/>
        <w:rPr/>
      </w:pPr>
      <w:r>
        <w:rPr>
          <w:rStyle w:val="FootnoteCharacters"/>
        </w:rPr>
        <w:footnoteRef/>
      </w:r>
      <w:r>
        <w:rPr/>
      </w:r>
    </w:p>
    <w:p>
      <w:pPr>
        <w:pStyle w:val="Footnote"/>
        <w:spacing w:lineRule="auto" w:line="240"/>
        <w:ind w:left="567" w:hanging="567"/>
        <w:rPr>
          <w:lang w:val="en-US"/>
        </w:rPr>
      </w:pPr>
      <w:r>
        <w:rPr>
          <w:rFonts w:ascii="華康細明體" w:hAnsi="華康細明體"/>
          <w:szCs w:val="27"/>
        </w:rPr>
        <w:tab/>
        <w:t>財經事務及庫務局局長</w:t>
      </w:r>
      <w:r>
        <w:rPr>
          <w:lang w:val="en-US"/>
        </w:rPr>
        <w:t>在會後提供上述資料。</w:t>
      </w:r>
    </w:p>
  </w:footnote>
  <w:footnote w:id="5">
    <w:p>
      <w:pPr>
        <w:pStyle w:val="Footnote"/>
        <w:spacing w:lineRule="auto" w:line="240"/>
        <w:ind w:left="567" w:hanging="567"/>
        <w:rPr>
          <w:szCs w:val="22"/>
        </w:rPr>
      </w:pPr>
      <w:r>
        <w:rPr>
          <w:rStyle w:val="FootnoteCharacters"/>
        </w:rPr>
        <w:t>1)</w:t>
      </w:r>
      <w:r>
        <w:rPr>
          <w:szCs w:val="22"/>
        </w:rPr>
        <w:tab/>
        <w:t>(1)</w:t>
      </w:r>
      <w:r>
        <w:rPr>
          <w:szCs w:val="22"/>
        </w:rPr>
        <w:t>本港首兩個核心商業區為中環及九龍東。</w:t>
      </w:r>
    </w:p>
  </w:footnote>
  <w:footnote w:id="6">
    <w:p>
      <w:pPr>
        <w:pStyle w:val="Footnote"/>
        <w:spacing w:lineRule="auto" w:line="240"/>
        <w:ind w:left="567" w:hanging="567"/>
        <w:rPr/>
      </w:pPr>
      <w:r>
        <w:rPr>
          <w:rStyle w:val="FootnoteCharacters"/>
        </w:rPr>
        <w:t>(1)</w:t>
      </w:r>
      <w:r>
        <w:rPr>
          <w:rStyle w:val="FootnoteCharacters"/>
          <w:position w:val="0"/>
          <w:sz w:val="22"/>
          <w:vertAlign w:val="baseline"/>
        </w:rPr>
        <w:tab/>
        <w:t>(1)</w:t>
      </w:r>
      <w:r>
        <w:rPr/>
        <w:t>自</w:t>
      </w:r>
      <w:r>
        <w:rPr/>
        <w:t>2017</w:t>
      </w:r>
      <w:r>
        <w:rPr/>
        <w:t>年</w:t>
      </w:r>
      <w:r>
        <w:rPr/>
        <w:t>10</w:t>
      </w:r>
      <w:r>
        <w:rPr/>
        <w:t>月的申報周期開始，若公屋住戶的家庭入息超過公屋入息限額</w:t>
      </w:r>
      <w:r>
        <w:rPr/>
        <w:t>5</w:t>
      </w:r>
      <w:r>
        <w:rPr/>
        <w:t>倍，或家庭總資產淨值超過公屋入息限額</w:t>
      </w:r>
      <w:r>
        <w:rPr/>
        <w:t>100</w:t>
      </w:r>
      <w:r>
        <w:rPr/>
        <w:t>倍，或在香港擁有住宅物業的公屋住戶，均須遷離其公屋單位。</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21"/>
      <w:ind w:right="-28" w:hanging="0"/>
      <w:jc w:val="center"/>
      <w:rPr>
        <w:rFonts w:cs="Times New Roman"/>
      </w:rPr>
    </w:pPr>
    <w:r>
      <w:rPr/>
      <w:t xml:space="preserve">立法會 ─ </w:t>
    </w:r>
    <w:r>
      <w:rPr>
        <w:rFonts w:eastAsia="華康中黑體" w:cs="Times New Roman"/>
        <w:b/>
      </w:rPr>
      <w:t>2019</w:t>
    </w:r>
    <w:r>
      <w:rPr>
        <w:rFonts w:cs="Times New Roman" w:eastAsia="華康中黑體"/>
        <w:b/>
      </w:rPr>
      <w:t>年</w:t>
    </w:r>
    <w:r>
      <w:rPr>
        <w:rFonts w:eastAsia="華康中黑體" w:cs="Times New Roman"/>
        <w:b/>
      </w:rPr>
      <w:t>4</w:t>
    </w:r>
    <w:r>
      <w:rPr>
        <w:rFonts w:cs="Times New Roman" w:eastAsia="華康中黑體"/>
        <w:b/>
      </w:rPr>
      <w:t>月</w:t>
    </w:r>
    <w:r>
      <w:rPr>
        <w:rFonts w:eastAsia="華康中黑體" w:cs="Times New Roman"/>
        <w:b/>
      </w:rPr>
      <w:t>3</w:t>
    </w:r>
    <w:r>
      <w:rPr>
        <w:rFonts w:cs="Times New Roman" w:eastAsia="華康中黑體"/>
        <w:b/>
      </w:rPr>
      <w:t>日</w:t>
    </w:r>
    <w:r>
      <mc:AlternateContent>
        <mc:Choice Requires="wps">
          <w:drawing>
            <wp:anchor behindDoc="0" distT="0" distB="0" distL="0" distR="0" simplePos="0" locked="0" layoutInCell="1" allowOverlap="1" relativeHeight="302">
              <wp:simplePos x="0" y="0"/>
              <wp:positionH relativeFrom="margin">
                <wp:align>outside</wp:align>
              </wp:positionH>
              <wp:positionV relativeFrom="paragraph">
                <wp:posOffset>216535</wp:posOffset>
              </wp:positionV>
              <wp:extent cx="283210" cy="228600"/>
              <wp:effectExtent l="0" t="0" r="0" b="0"/>
              <wp:wrapSquare wrapText="largest"/>
              <wp:docPr id="1" name="Frame1"/>
              <a:graphic xmlns:a="http://schemas.openxmlformats.org/drawingml/2006/main">
                <a:graphicData uri="http://schemas.microsoft.com/office/word/2010/wordprocessingShape">
                  <wps:wsp>
                    <wps:cNvSpPr txBox="1"/>
                    <wps:spPr>
                      <a:xfrm>
                        <a:off x="0" y="0"/>
                        <a:ext cx="283210" cy="228600"/>
                      </a:xfrm>
                      <a:prstGeom prst="rect"/>
                      <a:solidFill>
                        <a:srgbClr val="FFFFFF">
                          <a:alpha val="0"/>
                        </a:srgbClr>
                      </a:solidFill>
                    </wps:spPr>
                    <wps:txbx>
                      <w:txbxContent>
                        <w:p>
                          <w:pPr>
                            <w:pStyle w:val="Header"/>
                            <w:pBdr/>
                            <w:rPr>
                              <w:rStyle w:val="Pagenumber"/>
                              <w:spacing w:val="20"/>
                              <w:sz w:val="27"/>
                              <w:szCs w:val="27"/>
                            </w:rPr>
                          </w:pPr>
                          <w:r>
                            <w:rPr>
                              <w:rStyle w:val="Pagenumber"/>
                              <w:spacing w:val="20"/>
                              <w:sz w:val="27"/>
                              <w:szCs w:val="27"/>
                            </w:rPr>
                            <w:fldChar w:fldCharType="begin"/>
                          </w:r>
                          <w:r>
                            <w:rPr>
                              <w:rStyle w:val="Pagenumber"/>
                              <w:sz w:val="27"/>
                              <w:spacing w:val="20"/>
                              <w:szCs w:val="27"/>
                            </w:rPr>
                            <w:instrText> PAGE </w:instrText>
                          </w:r>
                          <w:r>
                            <w:rPr>
                              <w:rStyle w:val="Pagenumber"/>
                              <w:sz w:val="27"/>
                              <w:spacing w:val="20"/>
                              <w:szCs w:val="27"/>
                            </w:rPr>
                            <w:fldChar w:fldCharType="separate"/>
                          </w:r>
                          <w:r>
                            <w:rPr>
                              <w:rStyle w:val="Pagenumber"/>
                              <w:sz w:val="27"/>
                              <w:spacing w:val="20"/>
                              <w:szCs w:val="27"/>
                            </w:rPr>
                            <w:t>290</w:t>
                          </w:r>
                          <w:r>
                            <w:rPr>
                              <w:rStyle w:val="Pagenumber"/>
                              <w:sz w:val="27"/>
                              <w:spacing w:val="20"/>
                              <w:szCs w:val="27"/>
                            </w:rPr>
                            <w:fldChar w:fldCharType="end"/>
                          </w:r>
                        </w:p>
                      </w:txbxContent>
                    </wps:txbx>
                    <wps:bodyPr anchor="t" lIns="0" tIns="0" rIns="0" bIns="0">
                      <a:spAutoFit/>
                    </wps:bodyPr>
                  </wps:wsp>
                </a:graphicData>
              </a:graphic>
            </wp:anchor>
          </w:drawing>
        </mc:Choice>
        <mc:Fallback>
          <w:pict>
            <v:rect fillcolor="#FFFFFF" style="position:absolute;rotation:0;width:22.3pt;height:18pt;mso-wrap-distance-left:0pt;mso-wrap-distance-right:0pt;mso-wrap-distance-top:0pt;mso-wrap-distance-bottom:0pt;margin-top:17.05pt;mso-position-vertical-relative:text;margin-left:0pt;mso-position-horizontal:outside;mso-position-horizontal-relative:margin">
              <v:fill opacity="0f"/>
              <v:textbox inset="0in,0in,0in,0in">
                <w:txbxContent>
                  <w:p>
                    <w:pPr>
                      <w:pStyle w:val="Header"/>
                      <w:pBdr/>
                      <w:rPr>
                        <w:rStyle w:val="Pagenumber"/>
                        <w:spacing w:val="20"/>
                        <w:sz w:val="27"/>
                        <w:szCs w:val="27"/>
                      </w:rPr>
                    </w:pPr>
                    <w:r>
                      <w:rPr>
                        <w:rStyle w:val="Pagenumber"/>
                        <w:spacing w:val="20"/>
                        <w:sz w:val="27"/>
                        <w:szCs w:val="27"/>
                      </w:rPr>
                      <w:fldChar w:fldCharType="begin"/>
                    </w:r>
                    <w:r>
                      <w:rPr>
                        <w:rStyle w:val="Pagenumber"/>
                        <w:sz w:val="27"/>
                        <w:spacing w:val="20"/>
                        <w:szCs w:val="27"/>
                      </w:rPr>
                      <w:instrText> PAGE </w:instrText>
                    </w:r>
                    <w:r>
                      <w:rPr>
                        <w:rStyle w:val="Pagenumber"/>
                        <w:sz w:val="27"/>
                        <w:spacing w:val="20"/>
                        <w:szCs w:val="27"/>
                      </w:rPr>
                      <w:fldChar w:fldCharType="separate"/>
                    </w:r>
                    <w:r>
                      <w:rPr>
                        <w:rStyle w:val="Pagenumber"/>
                        <w:sz w:val="27"/>
                        <w:spacing w:val="20"/>
                        <w:szCs w:val="27"/>
                      </w:rPr>
                      <w:t>290</w:t>
                    </w:r>
                    <w:r>
                      <w:rPr>
                        <w:rStyle w:val="Pagenumber"/>
                        <w:sz w:val="27"/>
                        <w:spacing w:val="20"/>
                        <w:szCs w:val="27"/>
                      </w:rPr>
                      <w:fldChar w:fldCharType="end"/>
                    </w:r>
                  </w:p>
                </w:txbxContent>
              </v:textbox>
              <w10:wrap type="square" side="largest"/>
            </v:rect>
          </w:pict>
        </mc:Fallback>
      </mc:AlternateContent>
    </w:r>
  </w:p>
  <w:p>
    <w:pPr>
      <w:pStyle w:val="Normal"/>
      <w:ind w:right="-28" w:hanging="0"/>
      <w:jc w:val="center"/>
      <w:rPr/>
    </w:pPr>
    <w:r>
      <w:rPr/>
      <w:t xml:space="preserve">LEGISLATIVE COUNCIL ― </w:t>
    </w:r>
    <w:r>
      <w:rPr>
        <w:b/>
      </w:rPr>
      <w:t>3 April 2019</w:t>
    </w:r>
  </w:p>
  <w:p>
    <w:pPr>
      <w:pStyle w:val="Normal"/>
      <w:pBdr>
        <w:top w:val="single" w:sz="6" w:space="1" w:color="000000"/>
      </w:pBd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21"/>
      <w:ind w:right="-28" w:hanging="0"/>
      <w:jc w:val="center"/>
      <w:rPr>
        <w:rFonts w:cs="Times New Roman"/>
      </w:rPr>
    </w:pPr>
    <w:r>
      <w:rPr/>
      <w:t xml:space="preserve">立法會 ─ </w:t>
    </w:r>
    <w:r>
      <w:rPr>
        <w:rFonts w:eastAsia="華康中黑體" w:cs="Times New Roman"/>
        <w:b/>
      </w:rPr>
      <w:t>2019</w:t>
    </w:r>
    <w:r>
      <w:rPr>
        <w:rFonts w:cs="Times New Roman" w:eastAsia="華康中黑體"/>
        <w:b/>
      </w:rPr>
      <w:t>年</w:t>
    </w:r>
    <w:r>
      <w:rPr>
        <w:rFonts w:eastAsia="華康中黑體" w:cs="Times New Roman"/>
        <w:b/>
      </w:rPr>
      <w:t>4</w:t>
    </w:r>
    <w:r>
      <w:rPr>
        <w:rFonts w:cs="Times New Roman" w:eastAsia="華康中黑體"/>
        <w:b/>
      </w:rPr>
      <w:t>月</w:t>
    </w:r>
    <w:r>
      <w:rPr>
        <w:rFonts w:eastAsia="華康中黑體" w:cs="Times New Roman"/>
        <w:b/>
      </w:rPr>
      <w:t>3</w:t>
    </w:r>
    <w:r>
      <w:rPr>
        <w:rFonts w:cs="Times New Roman" w:eastAsia="華康中黑體"/>
        <w:b/>
      </w:rPr>
      <w:t>日</w:t>
    </w:r>
    <w:r>
      <mc:AlternateContent>
        <mc:Choice Requires="wps">
          <w:drawing>
            <wp:anchor behindDoc="0" distT="0" distB="0" distL="0" distR="0" simplePos="0" locked="0" layoutInCell="1" allowOverlap="1" relativeHeight="315">
              <wp:simplePos x="0" y="0"/>
              <wp:positionH relativeFrom="margin">
                <wp:align>outside</wp:align>
              </wp:positionH>
              <wp:positionV relativeFrom="paragraph">
                <wp:posOffset>216535</wp:posOffset>
              </wp:positionV>
              <wp:extent cx="321310" cy="228600"/>
              <wp:effectExtent l="0" t="0" r="0" b="0"/>
              <wp:wrapSquare wrapText="largest"/>
              <wp:docPr id="13" name="Frame2"/>
              <a:graphic xmlns:a="http://schemas.openxmlformats.org/drawingml/2006/main">
                <a:graphicData uri="http://schemas.microsoft.com/office/word/2010/wordprocessingShape">
                  <wps:wsp>
                    <wps:cNvSpPr txBox="1"/>
                    <wps:spPr>
                      <a:xfrm>
                        <a:off x="0" y="0"/>
                        <a:ext cx="321310" cy="228600"/>
                      </a:xfrm>
                      <a:prstGeom prst="rect"/>
                      <a:solidFill>
                        <a:srgbClr val="FFFFFF">
                          <a:alpha val="0"/>
                        </a:srgbClr>
                      </a:solidFill>
                    </wps:spPr>
                    <wps:txbx>
                      <w:txbxContent>
                        <w:p>
                          <w:pPr>
                            <w:pStyle w:val="Header"/>
                            <w:pBdr/>
                            <w:rPr>
                              <w:rStyle w:val="Pagenumber"/>
                              <w:spacing w:val="20"/>
                              <w:sz w:val="27"/>
                              <w:szCs w:val="27"/>
                            </w:rPr>
                          </w:pPr>
                          <w:r>
                            <w:rPr>
                              <w:rStyle w:val="Pagenumber"/>
                              <w:spacing w:val="20"/>
                              <w:sz w:val="27"/>
                              <w:szCs w:val="27"/>
                            </w:rPr>
                            <w:t>A</w:t>
                          </w:r>
                          <w:r>
                            <w:rPr>
                              <w:rStyle w:val="Pagenumber"/>
                              <w:spacing w:val="20"/>
                              <w:sz w:val="27"/>
                              <w:szCs w:val="27"/>
                            </w:rPr>
                            <w:fldChar w:fldCharType="begin"/>
                          </w:r>
                          <w:r>
                            <w:rPr>
                              <w:rStyle w:val="Pagenumber"/>
                              <w:sz w:val="27"/>
                              <w:spacing w:val="20"/>
                              <w:szCs w:val="27"/>
                            </w:rPr>
                            <w:instrText> PAGE </w:instrText>
                          </w:r>
                          <w:r>
                            <w:rPr>
                              <w:rStyle w:val="Pagenumber"/>
                              <w:sz w:val="27"/>
                              <w:spacing w:val="20"/>
                              <w:szCs w:val="27"/>
                            </w:rPr>
                            <w:fldChar w:fldCharType="separate"/>
                          </w:r>
                          <w:r>
                            <w:rPr>
                              <w:rStyle w:val="Pagenumber"/>
                              <w:sz w:val="27"/>
                              <w:spacing w:val="20"/>
                              <w:szCs w:val="27"/>
                            </w:rPr>
                            <w:t>13</w:t>
                          </w:r>
                          <w:r>
                            <w:rPr>
                              <w:rStyle w:val="Pagenumber"/>
                              <w:sz w:val="27"/>
                              <w:spacing w:val="20"/>
                              <w:szCs w:val="27"/>
                            </w:rPr>
                            <w:fldChar w:fldCharType="end"/>
                          </w:r>
                        </w:p>
                      </w:txbxContent>
                    </wps:txbx>
                    <wps:bodyPr anchor="t" lIns="0" tIns="0" rIns="0" bIns="0">
                      <a:spAutoFit/>
                    </wps:bodyPr>
                  </wps:wsp>
                </a:graphicData>
              </a:graphic>
            </wp:anchor>
          </w:drawing>
        </mc:Choice>
        <mc:Fallback>
          <w:pict>
            <v:rect fillcolor="#FFFFFF" style="position:absolute;rotation:0;width:25.3pt;height:18pt;mso-wrap-distance-left:0pt;mso-wrap-distance-right:0pt;mso-wrap-distance-top:0pt;mso-wrap-distance-bottom:0pt;margin-top:17.05pt;mso-position-vertical-relative:text;margin-left:0pt;mso-position-horizontal:outside;mso-position-horizontal-relative:margin">
              <v:fill opacity="0f"/>
              <v:textbox inset="0in,0in,0in,0in">
                <w:txbxContent>
                  <w:p>
                    <w:pPr>
                      <w:pStyle w:val="Header"/>
                      <w:pBdr/>
                      <w:rPr>
                        <w:rStyle w:val="Pagenumber"/>
                        <w:spacing w:val="20"/>
                        <w:sz w:val="27"/>
                        <w:szCs w:val="27"/>
                      </w:rPr>
                    </w:pPr>
                    <w:r>
                      <w:rPr>
                        <w:rStyle w:val="Pagenumber"/>
                        <w:spacing w:val="20"/>
                        <w:sz w:val="27"/>
                        <w:szCs w:val="27"/>
                      </w:rPr>
                      <w:t>A</w:t>
                    </w:r>
                    <w:r>
                      <w:rPr>
                        <w:rStyle w:val="Pagenumber"/>
                        <w:spacing w:val="20"/>
                        <w:sz w:val="27"/>
                        <w:szCs w:val="27"/>
                      </w:rPr>
                      <w:fldChar w:fldCharType="begin"/>
                    </w:r>
                    <w:r>
                      <w:rPr>
                        <w:rStyle w:val="Pagenumber"/>
                        <w:sz w:val="27"/>
                        <w:spacing w:val="20"/>
                        <w:szCs w:val="27"/>
                      </w:rPr>
                      <w:instrText> PAGE </w:instrText>
                    </w:r>
                    <w:r>
                      <w:rPr>
                        <w:rStyle w:val="Pagenumber"/>
                        <w:sz w:val="27"/>
                        <w:spacing w:val="20"/>
                        <w:szCs w:val="27"/>
                      </w:rPr>
                      <w:fldChar w:fldCharType="separate"/>
                    </w:r>
                    <w:r>
                      <w:rPr>
                        <w:rStyle w:val="Pagenumber"/>
                        <w:sz w:val="27"/>
                        <w:spacing w:val="20"/>
                        <w:szCs w:val="27"/>
                      </w:rPr>
                      <w:t>13</w:t>
                    </w:r>
                    <w:r>
                      <w:rPr>
                        <w:rStyle w:val="Pagenumber"/>
                        <w:sz w:val="27"/>
                        <w:spacing w:val="20"/>
                        <w:szCs w:val="27"/>
                      </w:rPr>
                      <w:fldChar w:fldCharType="end"/>
                    </w:r>
                  </w:p>
                </w:txbxContent>
              </v:textbox>
              <w10:wrap type="square" side="largest"/>
            </v:rect>
          </w:pict>
        </mc:Fallback>
      </mc:AlternateContent>
    </w:r>
  </w:p>
  <w:p>
    <w:pPr>
      <w:pStyle w:val="Normal"/>
      <w:ind w:right="-28" w:hanging="0"/>
      <w:jc w:val="center"/>
      <w:rPr/>
    </w:pPr>
    <w:r>
      <w:rPr/>
      <w:t xml:space="preserve">LEGISLATIVE COUNCIL ― </w:t>
    </w:r>
    <w:r>
      <w:rPr>
        <w:b/>
      </w:rPr>
      <w:t>3 April 2019</w:t>
    </w:r>
  </w:p>
  <w:p>
    <w:pPr>
      <w:pStyle w:val="Normal"/>
      <w:pBdr>
        <w:top w:val="single" w:sz="6" w:space="1" w:color="000000"/>
      </w:pBdr>
      <w:rPr/>
    </w:pPr>
    <w:r>
      <w:rPr/>
    </w:r>
  </w:p>
</w:hdr>
</file>

<file path=word/settings.xml><?xml version="1.0" encoding="utf-8"?>
<w:settings xmlns:w="http://schemas.openxmlformats.org/wordprocessingml/2006/main">
  <w:zoom w:percent="80"/>
  <w:mirrorMargins/>
  <w:embedSystemFonts/>
  <w:defaultTabStop w:val="567"/>
  <w:compat>
    <w:doNotExpandShiftReturn/>
  </w:compat>
  <w:autoHyphenation w:val="true"/>
  <w:footnotePr>
    <w:numFmt w:val="decimal"/>
    <w:footnote w:id="0"/>
    <w:footnote w:id="1"/>
  </w:foot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TW"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新細明體" w:cs="" w:asciiTheme="minorHAnsi" w:cstheme="minorBidi" w:eastAsiaTheme="minorEastAsia" w:hAnsiTheme="minorHAnsi"/>
        <w:szCs w:val="22"/>
        <w:lang w:val="en-US" w:eastAsia="zh-TW" w:bidi="ar-SA"/>
      </w:rPr>
    </w:rPrDefault>
    <w:pPrDefault>
      <w:pPr>
        <w:suppressAutoHyphens w:val="true"/>
      </w:pPr>
    </w:pPrDefault>
  </w:docDefaults>
  <w:latentStyles w:defLockedState="0" w:defUIPriority="0" w:defSemiHidden="0" w:defUnhideWhenUsed="0" w:defQFormat="0" w:count="267">
    <w:lsdException w:name="Normal"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header" w:uiPriority="99"/>
    <w:lsdException w:name="footer" w:uiPriority="99"/>
    <w:lsdException w:name="caption" w:uiPriority="35" w:semiHidden="1" w:unhideWhenUsed="1" w:qFormat="1"/>
    <w:lsdException w:name="page number" w:uiPriority="99"/>
    <w:lsdException w:name="Title" w:uiPriority="10" w:qFormat="1"/>
    <w:lsdException w:name="Subtitle" w:uiPriority="11" w:qFormat="1"/>
    <w:lsdException w:name="Strong" w:uiPriority="22" w:qFormat="1"/>
    <w:lsdException w:name="Emphasis" w:uiPriority="20" w:qFormat="1"/>
    <w:lsdException w:name="No List" w:uiPriority="99"/>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atentStyles>
  <w:style w:type="paragraph" w:styleId="Normal" w:default="1">
    <w:name w:val="Normal"/>
    <w:qFormat/>
    <w:rsid w:val="007222dd"/>
    <w:pPr>
      <w:widowControl w:val="false"/>
      <w:tabs>
        <w:tab w:val="clear" w:pos="567"/>
        <w:tab w:val="left" w:pos="720" w:leader="none"/>
      </w:tabs>
      <w:bidi w:val="0"/>
      <w:snapToGrid w:val="false"/>
      <w:spacing w:lineRule="atLeast" w:line="360" w:before="0" w:after="0"/>
      <w:jc w:val="both"/>
    </w:pPr>
    <w:rPr>
      <w:rFonts w:ascii="Times New Roman" w:hAnsi="Times New Roman" w:eastAsia="華康細明體" w:cs="Times New Roman"/>
      <w:color w:val="auto"/>
      <w:kern w:val="0"/>
      <w:sz w:val="28"/>
      <w:szCs w:val="26"/>
      <w:lang w:val="en-GB" w:eastAsia="zh-TW" w:bidi="ar-SA"/>
    </w:rPr>
  </w:style>
  <w:style w:type="paragraph" w:styleId="Heading1">
    <w:name w:val="Heading 1"/>
    <w:basedOn w:val="Normal"/>
    <w:next w:val="Normal"/>
    <w:link w:val="10"/>
    <w:uiPriority w:val="9"/>
    <w:qFormat/>
    <w:rsid w:val="00a61997"/>
    <w:pPr>
      <w:keepNext w:val="true"/>
      <w:keepLines/>
      <w:spacing w:before="480" w:after="0"/>
      <w:outlineLvl w:val="0"/>
    </w:pPr>
    <w:rPr>
      <w:rFonts w:ascii="Cambria" w:hAnsi="Cambria" w:eastAsia="新細明體" w:cs="" w:asciiTheme="majorHAnsi" w:cstheme="majorBidi" w:eastAsiaTheme="majorEastAsia" w:hAnsiTheme="majorHAnsi"/>
      <w:b/>
      <w:bCs/>
      <w:color w:val="365F91" w:themeColor="accent1" w:themeShade="bf"/>
      <w:szCs w:val="28"/>
    </w:rPr>
  </w:style>
  <w:style w:type="paragraph" w:styleId="Heading2">
    <w:name w:val="Heading 2"/>
    <w:basedOn w:val="Normal"/>
    <w:next w:val="Normal"/>
    <w:link w:val="20"/>
    <w:uiPriority w:val="9"/>
    <w:semiHidden/>
    <w:unhideWhenUsed/>
    <w:qFormat/>
    <w:rsid w:val="00a61997"/>
    <w:pPr>
      <w:keepNext w:val="true"/>
      <w:keepLines/>
      <w:spacing w:before="200" w:after="0"/>
      <w:outlineLvl w:val="1"/>
    </w:pPr>
    <w:rPr>
      <w:rFonts w:ascii="Cambria" w:hAnsi="Cambria" w:eastAsia="新細明體" w:cs="" w:asciiTheme="majorHAnsi" w:cstheme="majorBidi" w:eastAsiaTheme="majorEastAsia" w:hAnsiTheme="majorHAnsi"/>
      <w:b/>
      <w:bCs/>
      <w:color w:val="4F81BD" w:themeColor="accent1"/>
      <w:sz w:val="26"/>
    </w:rPr>
  </w:style>
  <w:style w:type="paragraph" w:styleId="Heading3">
    <w:name w:val="Heading 3"/>
    <w:basedOn w:val="Normal"/>
    <w:next w:val="Normal"/>
    <w:link w:val="30"/>
    <w:uiPriority w:val="9"/>
    <w:semiHidden/>
    <w:unhideWhenUsed/>
    <w:qFormat/>
    <w:rsid w:val="00a61997"/>
    <w:pPr>
      <w:keepNext w:val="true"/>
      <w:keepLines/>
      <w:spacing w:before="200" w:after="0"/>
      <w:outlineLvl w:val="2"/>
    </w:pPr>
    <w:rPr>
      <w:rFonts w:ascii="Cambria" w:hAnsi="Cambria" w:eastAsia="新細明體" w:cs="" w:asciiTheme="majorHAnsi" w:cstheme="majorBidi" w:eastAsiaTheme="majorEastAsia" w:hAnsiTheme="majorHAnsi"/>
      <w:b/>
      <w:bCs/>
      <w:color w:val="4F81BD" w:themeColor="accent1"/>
    </w:rPr>
  </w:style>
  <w:style w:type="paragraph" w:styleId="Heading4">
    <w:name w:val="Heading 4"/>
    <w:basedOn w:val="Normal"/>
    <w:next w:val="Normal"/>
    <w:link w:val="40"/>
    <w:uiPriority w:val="9"/>
    <w:semiHidden/>
    <w:unhideWhenUsed/>
    <w:qFormat/>
    <w:rsid w:val="00a61997"/>
    <w:pPr>
      <w:keepNext w:val="true"/>
      <w:keepLines/>
      <w:spacing w:before="200" w:after="0"/>
      <w:outlineLvl w:val="3"/>
    </w:pPr>
    <w:rPr>
      <w:rFonts w:ascii="Cambria" w:hAnsi="Cambria" w:eastAsia="新細明體" w:cs="" w:asciiTheme="majorHAnsi" w:cstheme="majorBidi" w:eastAsiaTheme="majorEastAsia" w:hAnsiTheme="majorHAnsi"/>
      <w:b/>
      <w:bCs/>
      <w:i/>
      <w:iCs/>
      <w:color w:val="4F81BD" w:themeColor="accent1"/>
    </w:rPr>
  </w:style>
  <w:style w:type="paragraph" w:styleId="Heading5">
    <w:name w:val="Heading 5"/>
    <w:basedOn w:val="Normal"/>
    <w:next w:val="Normal"/>
    <w:link w:val="50"/>
    <w:uiPriority w:val="9"/>
    <w:semiHidden/>
    <w:unhideWhenUsed/>
    <w:qFormat/>
    <w:rsid w:val="00a61997"/>
    <w:pPr>
      <w:keepNext w:val="true"/>
      <w:keepLines/>
      <w:spacing w:before="200" w:after="0"/>
      <w:outlineLvl w:val="4"/>
    </w:pPr>
    <w:rPr>
      <w:rFonts w:ascii="Cambria" w:hAnsi="Cambria" w:eastAsia="新細明體" w:cs="" w:asciiTheme="majorHAnsi" w:cstheme="majorBidi" w:eastAsiaTheme="majorEastAsia" w:hAnsiTheme="majorHAnsi"/>
      <w:color w:val="243F60" w:themeColor="accent1" w:themeShade="7f"/>
    </w:rPr>
  </w:style>
  <w:style w:type="paragraph" w:styleId="Heading6">
    <w:name w:val="Heading 6"/>
    <w:basedOn w:val="Normal"/>
    <w:next w:val="Normal"/>
    <w:link w:val="60"/>
    <w:uiPriority w:val="9"/>
    <w:semiHidden/>
    <w:unhideWhenUsed/>
    <w:qFormat/>
    <w:rsid w:val="00a61997"/>
    <w:pPr>
      <w:keepNext w:val="true"/>
      <w:keepLines/>
      <w:spacing w:before="200" w:after="0"/>
      <w:outlineLvl w:val="5"/>
    </w:pPr>
    <w:rPr>
      <w:rFonts w:ascii="Cambria" w:hAnsi="Cambria" w:eastAsia="新細明體" w:cs="" w:asciiTheme="majorHAnsi" w:cstheme="majorBidi" w:eastAsiaTheme="majorEastAsia" w:hAnsiTheme="majorHAnsi"/>
      <w:i/>
      <w:iCs/>
      <w:color w:val="243F60" w:themeColor="accent1" w:themeShade="7f"/>
    </w:rPr>
  </w:style>
  <w:style w:type="paragraph" w:styleId="Heading7">
    <w:name w:val="Heading 7"/>
    <w:basedOn w:val="Normal"/>
    <w:next w:val="Normal"/>
    <w:link w:val="70"/>
    <w:uiPriority w:val="9"/>
    <w:semiHidden/>
    <w:unhideWhenUsed/>
    <w:qFormat/>
    <w:rsid w:val="00a61997"/>
    <w:pPr>
      <w:keepNext w:val="true"/>
      <w:keepLines/>
      <w:spacing w:before="200" w:after="0"/>
      <w:outlineLvl w:val="6"/>
    </w:pPr>
    <w:rPr>
      <w:rFonts w:ascii="Cambria" w:hAnsi="Cambria" w:eastAsia="新細明體" w:cs="" w:asciiTheme="majorHAnsi" w:cstheme="majorBidi" w:eastAsiaTheme="majorEastAsia" w:hAnsiTheme="majorHAnsi"/>
      <w:i/>
      <w:iCs/>
      <w:color w:val="404040" w:themeColor="text1" w:themeTint="bf"/>
    </w:rPr>
  </w:style>
  <w:style w:type="paragraph" w:styleId="Heading8">
    <w:name w:val="Heading 8"/>
    <w:basedOn w:val="Normal"/>
    <w:next w:val="Normal"/>
    <w:link w:val="80"/>
    <w:uiPriority w:val="9"/>
    <w:semiHidden/>
    <w:unhideWhenUsed/>
    <w:qFormat/>
    <w:rsid w:val="00a61997"/>
    <w:pPr>
      <w:keepNext w:val="true"/>
      <w:keepLines/>
      <w:spacing w:before="200" w:after="0"/>
      <w:outlineLvl w:val="7"/>
    </w:pPr>
    <w:rPr>
      <w:rFonts w:ascii="Cambria" w:hAnsi="Cambria" w:eastAsia="新細明體" w:cs="" w:asciiTheme="majorHAnsi" w:cstheme="majorBidi" w:eastAsiaTheme="majorEastAsia" w:hAnsiTheme="majorHAnsi"/>
      <w:color w:val="4F81BD" w:themeColor="accent1"/>
      <w:sz w:val="20"/>
      <w:szCs w:val="20"/>
    </w:rPr>
  </w:style>
  <w:style w:type="paragraph" w:styleId="Heading9">
    <w:name w:val="Heading 9"/>
    <w:basedOn w:val="Normal"/>
    <w:next w:val="Normal"/>
    <w:link w:val="90"/>
    <w:uiPriority w:val="9"/>
    <w:semiHidden/>
    <w:unhideWhenUsed/>
    <w:qFormat/>
    <w:rsid w:val="00a61997"/>
    <w:pPr>
      <w:keepNext w:val="true"/>
      <w:keepLines/>
      <w:spacing w:before="200" w:after="0"/>
      <w:outlineLvl w:val="8"/>
    </w:pPr>
    <w:rPr>
      <w:rFonts w:ascii="Cambria" w:hAnsi="Cambria" w:eastAsia="新細明體" w:cs=""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VisitedInternetLink">
    <w:name w:val="FollowedHyperlink"/>
    <w:basedOn w:val="DefaultParagraphFont"/>
    <w:rsid w:val="00cb77d0"/>
    <w:rPr>
      <w:color w:val="auto"/>
      <w:u w:val="none"/>
    </w:rPr>
  </w:style>
  <w:style w:type="character" w:styleId="InternetLink">
    <w:name w:val="Hyperlink"/>
    <w:basedOn w:val="DefaultParagraphFont"/>
    <w:rsid w:val="00cb77d0"/>
    <w:rPr>
      <w:color w:val="auto"/>
      <w:u w:val="none"/>
    </w:rPr>
  </w:style>
  <w:style w:type="character" w:styleId="1" w:customStyle="1">
    <w:name w:val="標題 1 字元"/>
    <w:basedOn w:val="DefaultParagraphFont"/>
    <w:link w:val="1"/>
    <w:uiPriority w:val="9"/>
    <w:qFormat/>
    <w:rsid w:val="00a61997"/>
    <w:rPr>
      <w:rFonts w:ascii="Cambria" w:hAnsi="Cambria" w:eastAsia="新細明體" w:cs="" w:asciiTheme="majorHAnsi" w:cstheme="majorBidi" w:eastAsiaTheme="majorEastAsia" w:hAnsiTheme="majorHAnsi"/>
      <w:b/>
      <w:bCs/>
      <w:color w:val="365F91" w:themeColor="accent1" w:themeShade="bf"/>
      <w:sz w:val="28"/>
      <w:szCs w:val="28"/>
    </w:rPr>
  </w:style>
  <w:style w:type="character" w:styleId="2" w:customStyle="1">
    <w:name w:val="標題 2 字元"/>
    <w:basedOn w:val="DefaultParagraphFont"/>
    <w:link w:val="2"/>
    <w:uiPriority w:val="9"/>
    <w:semiHidden/>
    <w:qFormat/>
    <w:rsid w:val="00a61997"/>
    <w:rPr>
      <w:rFonts w:ascii="Cambria" w:hAnsi="Cambria" w:eastAsia="新細明體" w:cs="" w:asciiTheme="majorHAnsi" w:cstheme="majorBidi" w:eastAsiaTheme="majorEastAsia" w:hAnsiTheme="majorHAnsi"/>
      <w:b/>
      <w:bCs/>
      <w:color w:val="4F81BD" w:themeColor="accent1"/>
      <w:sz w:val="26"/>
      <w:szCs w:val="26"/>
    </w:rPr>
  </w:style>
  <w:style w:type="character" w:styleId="3" w:customStyle="1">
    <w:name w:val="標題 3 字元"/>
    <w:basedOn w:val="DefaultParagraphFont"/>
    <w:link w:val="3"/>
    <w:uiPriority w:val="9"/>
    <w:semiHidden/>
    <w:qFormat/>
    <w:rsid w:val="00a61997"/>
    <w:rPr>
      <w:rFonts w:ascii="Cambria" w:hAnsi="Cambria" w:eastAsia="新細明體" w:cs="" w:asciiTheme="majorHAnsi" w:cstheme="majorBidi" w:eastAsiaTheme="majorEastAsia" w:hAnsiTheme="majorHAnsi"/>
      <w:b/>
      <w:bCs/>
      <w:color w:val="4F81BD" w:themeColor="accent1"/>
    </w:rPr>
  </w:style>
  <w:style w:type="character" w:styleId="4" w:customStyle="1">
    <w:name w:val="標題 4 字元"/>
    <w:basedOn w:val="DefaultParagraphFont"/>
    <w:link w:val="4"/>
    <w:uiPriority w:val="9"/>
    <w:semiHidden/>
    <w:qFormat/>
    <w:rsid w:val="00a61997"/>
    <w:rPr>
      <w:rFonts w:ascii="Cambria" w:hAnsi="Cambria" w:eastAsia="新細明體" w:cs="" w:asciiTheme="majorHAnsi" w:cstheme="majorBidi" w:eastAsiaTheme="majorEastAsia" w:hAnsiTheme="majorHAnsi"/>
      <w:b/>
      <w:bCs/>
      <w:i/>
      <w:iCs/>
      <w:color w:val="4F81BD" w:themeColor="accent1"/>
    </w:rPr>
  </w:style>
  <w:style w:type="character" w:styleId="5" w:customStyle="1">
    <w:name w:val="標題 5 字元"/>
    <w:basedOn w:val="DefaultParagraphFont"/>
    <w:link w:val="5"/>
    <w:uiPriority w:val="9"/>
    <w:semiHidden/>
    <w:qFormat/>
    <w:rsid w:val="00a61997"/>
    <w:rPr>
      <w:rFonts w:ascii="Cambria" w:hAnsi="Cambria" w:eastAsia="新細明體" w:cs="" w:asciiTheme="majorHAnsi" w:cstheme="majorBidi" w:eastAsiaTheme="majorEastAsia" w:hAnsiTheme="majorHAnsi"/>
      <w:color w:val="243F60" w:themeColor="accent1" w:themeShade="7f"/>
    </w:rPr>
  </w:style>
  <w:style w:type="character" w:styleId="6" w:customStyle="1">
    <w:name w:val="標題 6 字元"/>
    <w:basedOn w:val="DefaultParagraphFont"/>
    <w:link w:val="6"/>
    <w:uiPriority w:val="9"/>
    <w:semiHidden/>
    <w:qFormat/>
    <w:rsid w:val="00a61997"/>
    <w:rPr>
      <w:rFonts w:ascii="Cambria" w:hAnsi="Cambria" w:eastAsia="新細明體" w:cs="" w:asciiTheme="majorHAnsi" w:cstheme="majorBidi" w:eastAsiaTheme="majorEastAsia" w:hAnsiTheme="majorHAnsi"/>
      <w:i/>
      <w:iCs/>
      <w:color w:val="243F60" w:themeColor="accent1" w:themeShade="7f"/>
    </w:rPr>
  </w:style>
  <w:style w:type="character" w:styleId="7" w:customStyle="1">
    <w:name w:val="標題 7 字元"/>
    <w:basedOn w:val="DefaultParagraphFont"/>
    <w:link w:val="7"/>
    <w:uiPriority w:val="9"/>
    <w:semiHidden/>
    <w:qFormat/>
    <w:rsid w:val="00a61997"/>
    <w:rPr>
      <w:rFonts w:ascii="Cambria" w:hAnsi="Cambria" w:eastAsia="新細明體" w:cs="" w:asciiTheme="majorHAnsi" w:cstheme="majorBidi" w:eastAsiaTheme="majorEastAsia" w:hAnsiTheme="majorHAnsi"/>
      <w:i/>
      <w:iCs/>
      <w:color w:val="404040" w:themeColor="text1" w:themeTint="bf"/>
    </w:rPr>
  </w:style>
  <w:style w:type="character" w:styleId="8" w:customStyle="1">
    <w:name w:val="標題 8 字元"/>
    <w:basedOn w:val="DefaultParagraphFont"/>
    <w:link w:val="8"/>
    <w:uiPriority w:val="9"/>
    <w:semiHidden/>
    <w:qFormat/>
    <w:rsid w:val="00a61997"/>
    <w:rPr>
      <w:rFonts w:ascii="Cambria" w:hAnsi="Cambria" w:eastAsia="新細明體" w:cs="" w:asciiTheme="majorHAnsi" w:cstheme="majorBidi" w:eastAsiaTheme="majorEastAsia" w:hAnsiTheme="majorHAnsi"/>
      <w:color w:val="4F81BD" w:themeColor="accent1"/>
      <w:sz w:val="20"/>
      <w:szCs w:val="20"/>
    </w:rPr>
  </w:style>
  <w:style w:type="character" w:styleId="9" w:customStyle="1">
    <w:name w:val="標題 9 字元"/>
    <w:basedOn w:val="DefaultParagraphFont"/>
    <w:link w:val="9"/>
    <w:uiPriority w:val="9"/>
    <w:semiHidden/>
    <w:qFormat/>
    <w:rsid w:val="00a61997"/>
    <w:rPr>
      <w:rFonts w:ascii="Cambria" w:hAnsi="Cambria" w:eastAsia="新細明體" w:cs="" w:asciiTheme="majorHAnsi" w:cstheme="majorBidi" w:eastAsiaTheme="majorEastAsia" w:hAnsiTheme="majorHAnsi"/>
      <w:i/>
      <w:iCs/>
      <w:color w:val="404040" w:themeColor="text1" w:themeTint="bf"/>
      <w:sz w:val="20"/>
      <w:szCs w:val="20"/>
    </w:rPr>
  </w:style>
  <w:style w:type="character" w:styleId="Style5" w:customStyle="1">
    <w:name w:val="標題 字元"/>
    <w:basedOn w:val="DefaultParagraphFont"/>
    <w:link w:val="ab"/>
    <w:uiPriority w:val="10"/>
    <w:qFormat/>
    <w:rsid w:val="00a61997"/>
    <w:rPr>
      <w:rFonts w:ascii="Cambria" w:hAnsi="Cambria" w:eastAsia="新細明體" w:cs="" w:asciiTheme="majorHAnsi" w:cstheme="majorBidi" w:eastAsiaTheme="majorEastAsia" w:hAnsiTheme="majorHAnsi"/>
      <w:color w:val="17365D" w:themeColor="text2" w:themeShade="bf"/>
      <w:spacing w:val="5"/>
      <w:kern w:val="2"/>
      <w:sz w:val="52"/>
      <w:szCs w:val="52"/>
    </w:rPr>
  </w:style>
  <w:style w:type="character" w:styleId="Style6" w:customStyle="1">
    <w:name w:val="副標題 字元"/>
    <w:basedOn w:val="DefaultParagraphFont"/>
    <w:link w:val="ad"/>
    <w:uiPriority w:val="11"/>
    <w:qFormat/>
    <w:rsid w:val="00a61997"/>
    <w:rPr>
      <w:rFonts w:ascii="Cambria" w:hAnsi="Cambria" w:eastAsia="新細明體" w:cs="" w:asciiTheme="majorHAnsi" w:cstheme="majorBidi" w:eastAsiaTheme="majorEastAsia" w:hAnsiTheme="majorHAnsi"/>
      <w:i/>
      <w:iCs/>
      <w:color w:val="4F81BD" w:themeColor="accent1"/>
      <w:spacing w:val="15"/>
      <w:sz w:val="24"/>
      <w:szCs w:val="24"/>
    </w:rPr>
  </w:style>
  <w:style w:type="character" w:styleId="Strong">
    <w:name w:val="Strong"/>
    <w:basedOn w:val="DefaultParagraphFont"/>
    <w:uiPriority w:val="22"/>
    <w:qFormat/>
    <w:rsid w:val="00a61997"/>
    <w:rPr>
      <w:b/>
      <w:bCs/>
    </w:rPr>
  </w:style>
  <w:style w:type="character" w:styleId="Emphasis">
    <w:name w:val="Emphasis"/>
    <w:basedOn w:val="DefaultParagraphFont"/>
    <w:uiPriority w:val="20"/>
    <w:qFormat/>
    <w:rsid w:val="00a61997"/>
    <w:rPr>
      <w:i/>
      <w:iCs/>
    </w:rPr>
  </w:style>
  <w:style w:type="character" w:styleId="Style7" w:customStyle="1">
    <w:name w:val="引文 字元"/>
    <w:basedOn w:val="DefaultParagraphFont"/>
    <w:link w:val="af3"/>
    <w:uiPriority w:val="29"/>
    <w:qFormat/>
    <w:rsid w:val="00a61997"/>
    <w:rPr>
      <w:i/>
      <w:iCs/>
      <w:color w:val="000000" w:themeColor="text1"/>
    </w:rPr>
  </w:style>
  <w:style w:type="character" w:styleId="Style8" w:customStyle="1">
    <w:name w:val="鮮明引文 字元"/>
    <w:basedOn w:val="DefaultParagraphFont"/>
    <w:link w:val="af5"/>
    <w:uiPriority w:val="30"/>
    <w:qFormat/>
    <w:rsid w:val="00a61997"/>
    <w:rPr>
      <w:b/>
      <w:bCs/>
      <w:i/>
      <w:iCs/>
      <w:color w:val="4F81BD" w:themeColor="accent1"/>
    </w:rPr>
  </w:style>
  <w:style w:type="character" w:styleId="SubtleEmphasis">
    <w:name w:val="Subtle Emphasis"/>
    <w:basedOn w:val="DefaultParagraphFont"/>
    <w:uiPriority w:val="19"/>
    <w:qFormat/>
    <w:rsid w:val="00a61997"/>
    <w:rPr>
      <w:i/>
      <w:iCs/>
      <w:color w:val="808080" w:themeColor="text1" w:themeTint="7f"/>
    </w:rPr>
  </w:style>
  <w:style w:type="character" w:styleId="IntenseEmphasis">
    <w:name w:val="Intense Emphasis"/>
    <w:basedOn w:val="DefaultParagraphFont"/>
    <w:uiPriority w:val="21"/>
    <w:qFormat/>
    <w:rsid w:val="00a61997"/>
    <w:rPr>
      <w:b/>
      <w:bCs/>
      <w:i/>
      <w:iCs/>
      <w:color w:val="4F81BD" w:themeColor="accent1"/>
    </w:rPr>
  </w:style>
  <w:style w:type="character" w:styleId="SubtleReference">
    <w:name w:val="Subtle Reference"/>
    <w:basedOn w:val="DefaultParagraphFont"/>
    <w:uiPriority w:val="31"/>
    <w:qFormat/>
    <w:rsid w:val="00a61997"/>
    <w:rPr>
      <w:smallCaps/>
      <w:color w:val="C0504D" w:themeColor="accent2"/>
      <w:u w:val="single"/>
    </w:rPr>
  </w:style>
  <w:style w:type="character" w:styleId="IntenseReference">
    <w:name w:val="Intense Reference"/>
    <w:basedOn w:val="DefaultParagraphFont"/>
    <w:uiPriority w:val="32"/>
    <w:qFormat/>
    <w:rsid w:val="00a61997"/>
    <w:rPr>
      <w:b/>
      <w:bCs/>
      <w:smallCaps/>
      <w:color w:val="C0504D" w:themeColor="accent2"/>
      <w:spacing w:val="5"/>
      <w:u w:val="single"/>
    </w:rPr>
  </w:style>
  <w:style w:type="character" w:styleId="BookTitle">
    <w:name w:val="Book Title"/>
    <w:basedOn w:val="DefaultParagraphFont"/>
    <w:uiPriority w:val="33"/>
    <w:qFormat/>
    <w:rsid w:val="00a61997"/>
    <w:rPr>
      <w:b/>
      <w:bCs/>
      <w:smallCaps/>
      <w:spacing w:val="5"/>
    </w:rPr>
  </w:style>
  <w:style w:type="character" w:styleId="Style9" w:customStyle="1">
    <w:name w:val="註腳文字 字元"/>
    <w:basedOn w:val="DefaultParagraphFont"/>
    <w:link w:val="afd"/>
    <w:qFormat/>
    <w:rsid w:val="009747a7"/>
    <w:rPr>
      <w:rFonts w:ascii="Times New Roman" w:hAnsi="Times New Roman" w:eastAsia="華康細明體" w:cs="Times New Roman"/>
      <w:spacing w:val="20"/>
      <w:szCs w:val="20"/>
      <w:lang w:val="en-GB"/>
    </w:rPr>
  </w:style>
  <w:style w:type="character" w:styleId="FootnoteCharacters">
    <w:name w:val="Footnote Characters"/>
    <w:basedOn w:val="DefaultParagraphFont"/>
    <w:qFormat/>
    <w:rsid w:val="003d2fe8"/>
    <w:rPr>
      <w:rFonts w:cs="Times New Roman"/>
      <w:vertAlign w:val="superscript"/>
    </w:rPr>
  </w:style>
  <w:style w:type="character" w:styleId="FootnoteAnchor">
    <w:name w:val="Footnote Anchor"/>
    <w:rPr>
      <w:rFonts w:cs="Times New Roman"/>
      <w:vertAlign w:val="superscript"/>
    </w:rPr>
  </w:style>
  <w:style w:type="character" w:styleId="Style10" w:customStyle="1">
    <w:name w:val="頁首 字元"/>
    <w:basedOn w:val="DefaultParagraphFont"/>
    <w:link w:val="a5"/>
    <w:uiPriority w:val="99"/>
    <w:qFormat/>
    <w:locked/>
    <w:rsid w:val="003d2fe8"/>
    <w:rPr>
      <w:sz w:val="20"/>
    </w:rPr>
  </w:style>
  <w:style w:type="character" w:styleId="Style11" w:customStyle="1">
    <w:name w:val="頁尾 字元"/>
    <w:basedOn w:val="DefaultParagraphFont"/>
    <w:link w:val="a7"/>
    <w:uiPriority w:val="99"/>
    <w:qFormat/>
    <w:locked/>
    <w:rsid w:val="003d2fe8"/>
    <w:rPr>
      <w:sz w:val="20"/>
    </w:rPr>
  </w:style>
  <w:style w:type="character" w:styleId="Pagenumber">
    <w:name w:val="page number"/>
    <w:basedOn w:val="DefaultParagraphFont"/>
    <w:uiPriority w:val="99"/>
    <w:qFormat/>
    <w:rsid w:val="003d2fe8"/>
    <w:rPr>
      <w:rFonts w:cs="Times New Roman"/>
    </w:rPr>
  </w:style>
  <w:style w:type="character" w:styleId="F2" w:customStyle="1">
    <w:name w:val="華康細明F2 字元"/>
    <w:basedOn w:val="DefaultParagraphFont"/>
    <w:link w:val="F2"/>
    <w:qFormat/>
    <w:locked/>
    <w:rsid w:val="00ce4f1c"/>
    <w:rPr>
      <w:rFonts w:ascii="Times New Roman" w:hAnsi="Times New Roman" w:eastAsia="華康細明體"/>
      <w:spacing w:val="20"/>
      <w:sz w:val="27"/>
    </w:rPr>
  </w:style>
  <w:style w:type="character" w:styleId="Style12" w:customStyle="1">
    <w:name w:val="註解方塊文字 字元"/>
    <w:basedOn w:val="DefaultParagraphFont"/>
    <w:link w:val="aff2"/>
    <w:qFormat/>
    <w:rsid w:val="00fb32f3"/>
    <w:rPr>
      <w:rFonts w:ascii="Cambria" w:hAnsi="Cambria" w:eastAsia="新細明體" w:cs="" w:asciiTheme="majorHAnsi" w:cstheme="majorBidi" w:eastAsiaTheme="majorEastAsia" w:hAnsiTheme="majorHAnsi"/>
      <w:sz w:val="18"/>
      <w:szCs w:val="18"/>
      <w:lang w:val="en-GB"/>
    </w:rPr>
  </w:style>
  <w:style w:type="character" w:styleId="Style13" w:customStyle="1">
    <w:name w:val="問候 字元"/>
    <w:basedOn w:val="DefaultParagraphFont"/>
    <w:link w:val="aff4"/>
    <w:qFormat/>
    <w:rsid w:val="00f74071"/>
    <w:rPr>
      <w:rFonts w:ascii="Times New Roman" w:hAnsi="Times New Roman" w:eastAsia="華康細明體"/>
      <w:spacing w:val="20"/>
      <w:sz w:val="27"/>
      <w:szCs w:val="27"/>
    </w:rPr>
  </w:style>
  <w:style w:type="character" w:styleId="Style14" w:customStyle="1">
    <w:name w:val="結語 字元"/>
    <w:basedOn w:val="DefaultParagraphFont"/>
    <w:link w:val="aff6"/>
    <w:qFormat/>
    <w:rsid w:val="00f74071"/>
    <w:rPr>
      <w:rFonts w:ascii="Times New Roman" w:hAnsi="Times New Roman" w:eastAsia="華康細明體"/>
      <w:spacing w:val="20"/>
      <w:sz w:val="27"/>
      <w:szCs w:val="27"/>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F21" w:customStyle="1">
    <w:name w:val="華康細明F2"/>
    <w:link w:val="F20"/>
    <w:qFormat/>
    <w:rsid w:val="00ce4f1c"/>
    <w:pPr>
      <w:widowControl w:val="false"/>
      <w:tabs>
        <w:tab w:val="left" w:pos="567" w:leader="none"/>
      </w:tabs>
      <w:bidi w:val="0"/>
      <w:snapToGrid w:val="false"/>
      <w:spacing w:lineRule="atLeast" w:line="360" w:before="0" w:after="0"/>
      <w:jc w:val="both"/>
    </w:pPr>
    <w:rPr>
      <w:rFonts w:ascii="Times New Roman" w:hAnsi="Times New Roman" w:eastAsia="華康細明體" w:cs="" w:cstheme="minorBidi"/>
      <w:color w:val="auto"/>
      <w:spacing w:val="20"/>
      <w:kern w:val="0"/>
      <w:sz w:val="27"/>
      <w:szCs w:val="22"/>
      <w:lang w:val="en-US" w:eastAsia="zh-TW" w:bidi="ar-SA"/>
    </w:rPr>
  </w:style>
  <w:style w:type="paragraph" w:styleId="11" w:customStyle="1">
    <w:name w:val="樣式1"/>
    <w:basedOn w:val="Normal"/>
    <w:qFormat/>
    <w:pPr/>
    <w:rPr/>
  </w:style>
  <w:style w:type="paragraph" w:styleId="HeaderandFooter">
    <w:name w:val="Header and Footer"/>
    <w:basedOn w:val="Normal"/>
    <w:qFormat/>
    <w:pPr/>
    <w:rPr/>
  </w:style>
  <w:style w:type="paragraph" w:styleId="Header">
    <w:name w:val="Header"/>
    <w:basedOn w:val="Normal"/>
    <w:link w:val="a6"/>
    <w:uiPriority w:val="99"/>
    <w:pPr>
      <w:tabs>
        <w:tab w:val="left" w:pos="720" w:leader="none"/>
        <w:tab w:val="center" w:pos="4153" w:leader="none"/>
        <w:tab w:val="right" w:pos="8306" w:leader="none"/>
      </w:tabs>
    </w:pPr>
    <w:rPr>
      <w:sz w:val="20"/>
    </w:rPr>
  </w:style>
  <w:style w:type="paragraph" w:styleId="Footer">
    <w:name w:val="Footer"/>
    <w:basedOn w:val="Normal"/>
    <w:link w:val="a8"/>
    <w:uiPriority w:val="99"/>
    <w:pPr>
      <w:tabs>
        <w:tab w:val="left" w:pos="720" w:leader="none"/>
        <w:tab w:val="center" w:pos="4153" w:leader="none"/>
        <w:tab w:val="right" w:pos="8306" w:leader="none"/>
      </w:tabs>
    </w:pPr>
    <w:rPr>
      <w:sz w:val="20"/>
    </w:rPr>
  </w:style>
  <w:style w:type="paragraph" w:styleId="Caption1">
    <w:name w:val="caption"/>
    <w:basedOn w:val="Normal"/>
    <w:next w:val="Normal"/>
    <w:uiPriority w:val="35"/>
    <w:semiHidden/>
    <w:unhideWhenUsed/>
    <w:qFormat/>
    <w:rsid w:val="00a61997"/>
    <w:pPr>
      <w:spacing w:lineRule="auto" w:line="240"/>
    </w:pPr>
    <w:rPr>
      <w:b/>
      <w:bCs/>
      <w:color w:val="4F81BD" w:themeColor="accent1"/>
      <w:sz w:val="18"/>
      <w:szCs w:val="18"/>
    </w:rPr>
  </w:style>
  <w:style w:type="paragraph" w:styleId="Title">
    <w:name w:val="Title"/>
    <w:basedOn w:val="Normal"/>
    <w:next w:val="Normal"/>
    <w:link w:val="ac"/>
    <w:uiPriority w:val="10"/>
    <w:qFormat/>
    <w:rsid w:val="00a61997"/>
    <w:pPr>
      <w:pBdr>
        <w:bottom w:val="single" w:sz="8" w:space="4" w:color="4F81BD"/>
      </w:pBdr>
      <w:spacing w:lineRule="auto" w:line="240" w:before="0" w:after="300"/>
      <w:contextualSpacing/>
    </w:pPr>
    <w:rPr>
      <w:rFonts w:ascii="Cambria" w:hAnsi="Cambria" w:eastAsia="新細明體" w:cs="" w:asciiTheme="majorHAnsi" w:cstheme="majorBidi" w:eastAsiaTheme="majorEastAsia" w:hAnsiTheme="majorHAnsi"/>
      <w:color w:val="17365D" w:themeColor="text2" w:themeShade="bf"/>
      <w:spacing w:val="5"/>
      <w:kern w:val="2"/>
      <w:sz w:val="52"/>
      <w:szCs w:val="52"/>
    </w:rPr>
  </w:style>
  <w:style w:type="paragraph" w:styleId="Subtitle">
    <w:name w:val="Subtitle"/>
    <w:basedOn w:val="Normal"/>
    <w:next w:val="Normal"/>
    <w:link w:val="ae"/>
    <w:uiPriority w:val="11"/>
    <w:qFormat/>
    <w:rsid w:val="00a61997"/>
    <w:pPr/>
    <w:rPr>
      <w:rFonts w:ascii="Cambria" w:hAnsi="Cambria" w:eastAsia="新細明體" w:cs="" w:asciiTheme="majorHAnsi" w:cstheme="majorBidi" w:eastAsiaTheme="majorEastAsia" w:hAnsiTheme="majorHAnsi"/>
      <w:i/>
      <w:iCs/>
      <w:color w:val="4F81BD" w:themeColor="accent1"/>
      <w:spacing w:val="15"/>
      <w:sz w:val="24"/>
      <w:szCs w:val="24"/>
    </w:rPr>
  </w:style>
  <w:style w:type="paragraph" w:styleId="NoSpacing">
    <w:name w:val="No Spacing"/>
    <w:uiPriority w:val="1"/>
    <w:qFormat/>
    <w:rsid w:val="00a61997"/>
    <w:pPr>
      <w:widowControl/>
      <w:bidi w:val="0"/>
      <w:spacing w:lineRule="auto" w:line="240" w:before="0" w:after="0"/>
      <w:jc w:val="left"/>
    </w:pPr>
    <w:rPr>
      <w:rFonts w:ascii="Calibri" w:hAnsi="Calibri" w:eastAsia="新細明體" w:cs="" w:asciiTheme="minorHAnsi" w:cstheme="minorBidi" w:eastAsiaTheme="minorEastAsia" w:hAnsiTheme="minorHAnsi"/>
      <w:color w:val="auto"/>
      <w:kern w:val="0"/>
      <w:sz w:val="28"/>
      <w:szCs w:val="22"/>
      <w:lang w:val="en-US" w:eastAsia="zh-TW" w:bidi="ar-SA"/>
    </w:rPr>
  </w:style>
  <w:style w:type="paragraph" w:styleId="ListParagraph">
    <w:name w:val="List Paragraph"/>
    <w:basedOn w:val="Normal"/>
    <w:uiPriority w:val="34"/>
    <w:qFormat/>
    <w:rsid w:val="00a61997"/>
    <w:pPr>
      <w:spacing w:before="0" w:after="0"/>
      <w:ind w:left="720" w:hanging="0"/>
      <w:contextualSpacing/>
    </w:pPr>
    <w:rPr/>
  </w:style>
  <w:style w:type="paragraph" w:styleId="Quote">
    <w:name w:val="Quote"/>
    <w:basedOn w:val="Normal"/>
    <w:next w:val="Normal"/>
    <w:link w:val="af4"/>
    <w:uiPriority w:val="29"/>
    <w:qFormat/>
    <w:rsid w:val="00a61997"/>
    <w:pPr/>
    <w:rPr>
      <w:i/>
      <w:iCs/>
      <w:color w:val="000000" w:themeColor="text1"/>
    </w:rPr>
  </w:style>
  <w:style w:type="paragraph" w:styleId="IntenseQuote">
    <w:name w:val="Intense Quote"/>
    <w:basedOn w:val="Normal"/>
    <w:next w:val="Normal"/>
    <w:link w:val="af6"/>
    <w:uiPriority w:val="30"/>
    <w:qFormat/>
    <w:rsid w:val="00a61997"/>
    <w:pPr>
      <w:pBdr>
        <w:bottom w:val="single" w:sz="4" w:space="4" w:color="4F81BD"/>
      </w:pBdr>
      <w:spacing w:before="200" w:after="280"/>
      <w:ind w:left="936" w:right="936" w:hanging="0"/>
    </w:pPr>
    <w:rPr>
      <w:b/>
      <w:bCs/>
      <w:i/>
      <w:iCs/>
      <w:color w:val="4F81BD" w:themeColor="accent1"/>
    </w:rPr>
  </w:style>
  <w:style w:type="paragraph" w:styleId="TOCHeading">
    <w:name w:val="TOC Heading"/>
    <w:basedOn w:val="Heading1"/>
    <w:next w:val="Normal"/>
    <w:uiPriority w:val="39"/>
    <w:semiHidden/>
    <w:unhideWhenUsed/>
    <w:qFormat/>
    <w:rsid w:val="00a61997"/>
    <w:pPr/>
    <w:rPr/>
  </w:style>
  <w:style w:type="paragraph" w:styleId="Footnote">
    <w:name w:val="Footnote Text"/>
    <w:basedOn w:val="Normal"/>
    <w:link w:val="afe"/>
    <w:rsid w:val="009747a7"/>
    <w:pPr/>
    <w:rPr>
      <w:spacing w:val="20"/>
      <w:sz w:val="22"/>
      <w:szCs w:val="20"/>
    </w:rPr>
  </w:style>
  <w:style w:type="paragraph" w:styleId="Style15" w:customStyle="1">
    <w:name w:val="質詢凸排"/>
    <w:basedOn w:val="F21"/>
    <w:qFormat/>
    <w:rsid w:val="003d2fe8"/>
    <w:pPr>
      <w:ind w:left="1418" w:hanging="851"/>
    </w:pPr>
    <w:rPr>
      <w:rFonts w:cs="華康細明體"/>
      <w:i/>
      <w:szCs w:val="26"/>
    </w:rPr>
  </w:style>
  <w:style w:type="paragraph" w:styleId="BalloonText">
    <w:name w:val="Balloon Text"/>
    <w:basedOn w:val="Normal"/>
    <w:link w:val="aff3"/>
    <w:qFormat/>
    <w:rsid w:val="00fb32f3"/>
    <w:pPr>
      <w:spacing w:lineRule="auto" w:line="240"/>
    </w:pPr>
    <w:rPr>
      <w:rFonts w:ascii="Cambria" w:hAnsi="Cambria" w:eastAsia="新細明體" w:cs="" w:asciiTheme="majorHAnsi" w:cstheme="majorBidi" w:eastAsiaTheme="majorEastAsia" w:hAnsiTheme="majorHAnsi"/>
      <w:sz w:val="18"/>
      <w:szCs w:val="18"/>
    </w:rPr>
  </w:style>
  <w:style w:type="paragraph" w:styleId="ComplimentaryClose">
    <w:name w:val="Salutation"/>
    <w:basedOn w:val="Normal"/>
    <w:next w:val="Normal"/>
    <w:link w:val="aff5"/>
    <w:rsid w:val="00f74071"/>
    <w:pPr>
      <w:widowControl/>
      <w:tabs>
        <w:tab w:val="clear" w:pos="720"/>
      </w:tabs>
      <w:jc w:val="left"/>
    </w:pPr>
    <w:rPr>
      <w:rFonts w:cs="" w:cstheme="minorBidi"/>
      <w:spacing w:val="20"/>
      <w:sz w:val="27"/>
      <w:szCs w:val="27"/>
      <w:lang w:val="en-US"/>
    </w:rPr>
  </w:style>
  <w:style w:type="paragraph" w:styleId="Closing">
    <w:name w:val="Closing"/>
    <w:basedOn w:val="Normal"/>
    <w:link w:val="aff7"/>
    <w:qFormat/>
    <w:rsid w:val="00f74071"/>
    <w:pPr>
      <w:widowControl/>
      <w:tabs>
        <w:tab w:val="clear" w:pos="720"/>
      </w:tabs>
      <w:spacing w:lineRule="auto" w:line="240"/>
      <w:ind w:left="4252" w:hanging="0"/>
      <w:jc w:val="left"/>
    </w:pPr>
    <w:rPr>
      <w:rFonts w:cs="" w:cstheme="minorBidi"/>
      <w:spacing w:val="20"/>
      <w:sz w:val="27"/>
      <w:szCs w:val="27"/>
      <w:lang w:val="en-US"/>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 w:type="table" w:styleId="a9">
    <w:name w:val="Table Grid"/>
    <w:basedOn w:val="a1"/>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image" Target="media/image1.tif"/><Relationship Id="rId4" Type="http://schemas.openxmlformats.org/officeDocument/2006/relationships/image" Target="media/image2.tif"/><Relationship Id="rId5" Type="http://schemas.openxmlformats.org/officeDocument/2006/relationships/image" Target="media/image3.tif"/><Relationship Id="rId6" Type="http://schemas.openxmlformats.org/officeDocument/2006/relationships/image" Target="media/image4.tif"/><Relationship Id="rId7" Type="http://schemas.openxmlformats.org/officeDocument/2006/relationships/image" Target="media/image5.tif"/><Relationship Id="rId8" Type="http://schemas.openxmlformats.org/officeDocument/2006/relationships/image" Target="media/image6.tif"/><Relationship Id="rId9" Type="http://schemas.openxmlformats.org/officeDocument/2006/relationships/image" Target="media/image7.tif"/><Relationship Id="rId10" Type="http://schemas.openxmlformats.org/officeDocument/2006/relationships/image" Target="media/image8.tif"/><Relationship Id="rId11" Type="http://schemas.openxmlformats.org/officeDocument/2006/relationships/image" Target="media/image9.tif"/><Relationship Id="rId12" Type="http://schemas.openxmlformats.org/officeDocument/2006/relationships/image" Target="media/image10.tif"/><Relationship Id="rId13" Type="http://schemas.openxmlformats.org/officeDocument/2006/relationships/image" Target="media/image11.tif"/><Relationship Id="rId14" Type="http://schemas.openxmlformats.org/officeDocument/2006/relationships/header" Target="header2.xml"/><Relationship Id="rId15" Type="http://schemas.openxmlformats.org/officeDocument/2006/relationships/footnotes" Target="footnotes.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Relationship Id="rId19" Type="http://schemas.openxmlformats.org/officeDocument/2006/relationships/customXml" Target="../customXml/item1.xml"/>
</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3934F6-9046-48E0-8C6A-7421FF9A6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979</TotalTime>
  <Application>LibreOffice/6.4.7.2$Linux_X86_64 LibreOffice_project/40$Build-2</Application>
  <Pages>147</Pages>
  <Words>121260</Words>
  <Characters>133591</Characters>
  <CharactersWithSpaces>135732</CharactersWithSpaces>
  <Paragraphs>3330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2019-03-29T09:22:00Z</dcterms:created>
  <dc:creator>whlung</dc:creator>
  <dc:description/>
  <dc:language>en-HK</dc:language>
  <cp:lastModifiedBy>kkywong</cp:lastModifiedBy>
  <cp:lastPrinted>2019-06-10T03:00:00Z</cp:lastPrinted>
  <dcterms:modified xsi:type="dcterms:W3CDTF">2019-06-10T03:03:00Z</dcterms:modified>
  <cp:revision>198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