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</w:pPr>
      <w:r>
        <w:rPr>
          <w:rFonts w:ascii="Calibri" w:eastAsia="微软雅黑" w:hAnsi="Calibri"/>
          <w:b/>
          <w:bCs/>
          <w:color w:val="1F3864"/>
          <w:sz w:val="38"/>
          <w:szCs w:val="38"/>
        </w:rPr>
        <w:t xml:space="preserve">数据字段处理说明</w:t>
      </w:r>
    </w:p>
    <w:p>
      <w:pPr>
        <w:spacing w:after="220"/>
      </w:pPr>
      <w:r>
        <w:rPr>
          <w:rFonts w:ascii="Calibri" w:eastAsia="微软雅黑" w:hAnsi="Calibri"/>
          <w:color w:val="2E75B6"/>
          <w:sz w:val="25"/>
          <w:szCs w:val="25"/>
        </w:rPr>
        <w:t xml:space="preserve">QuantLab 数据字段清理、接入与现状</w:t>
      </w:r>
    </w:p>
    <w:p>
      <w:pPr>
        <w:spacing w:after="50"/>
      </w:pPr>
      <w:r>
        <w:rPr>
          <w:rFonts w:ascii="Calibri" w:eastAsia="微软雅黑" w:hAnsi="Calibri"/>
          <w:color w:val="595959"/>
          <w:sz w:val="20"/>
          <w:szCs w:val="20"/>
        </w:rPr>
        <w:t xml:space="preserve">整理日期：2026-11-01</w:t>
      </w:r>
    </w:p>
    <w:p>
      <w:pPr>
        <w:spacing w:after="260"/>
      </w:pPr>
      <w:r>
        <w:rPr>
          <w:rFonts w:ascii="Calibri" w:eastAsia="微软雅黑" w:hAnsi="Calibri"/>
          <w:color w:val="595959"/>
          <w:sz w:val="20"/>
          <w:szCs w:val="20"/>
        </w:rPr>
        <w:t xml:space="preserve">范围：字段目录、ClickHouse 数据接入、因子生成/回测字段链路、前端字段页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本文说明数据字段部分已经完成的工作、当前口径和仍然存在的问题。所有数量以当前工作区为准：字段目录 384 条，全部标记为可用。</w:t>
      </w:r>
    </w:p>
    <w:p>
      <w:pPr>
        <w:pStyle w:val="Heading1"/>
        <w:spacing w:after="150" w:before="320"/>
      </w:pPr>
      <w:r>
        <w:t xml:space="preserve">1. 当前结果概览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当前字段目录共 384 条，全部可用（usable），全部有面板别名，生成器字段选择器可以选到。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3000"/>
        <w:gridCol w:w="700"/>
        <w:gridCol w:w="3800"/>
      </w:tblGrid>
      <w:tr>
        <w:trPr>
          <w:cantSplit/>
          <w:tblHeader/>
        </w:trPr>
        <w:tc>
          <w:tcPr>
            <w:tcW w:type="dxa" w:w="15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分类</w:t>
            </w:r>
          </w:p>
        </w:tc>
        <w:tc>
          <w:tcPr>
            <w:tcW w:type="dxa" w:w="30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来源表</w:t>
            </w:r>
          </w:p>
        </w:tc>
        <w:tc>
          <w:tcPr>
            <w:tcW w:type="dxa" w:w="7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条数</w:t>
            </w:r>
          </w:p>
        </w:tc>
        <w:tc>
          <w:tcPr>
            <w:tcW w:type="dxa" w:w="38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行情与技术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dws.ll_stock_daily_sharing</w:t>
            </w:r>
          </w:p>
        </w:tc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日频价格、成交量、均线、KDJ 等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财务原始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ods_dps_target.lc_maindatanew</w:t>
            </w:r>
          </w:p>
        </w:tc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51 个原始财务字段 + 16 个单季派生字段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财务衍生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dws.f10_derivative_index_fd</w:t>
            </w:r>
          </w:p>
        </w:tc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原 446 目录中零值率 &lt;50% 的数值字段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估值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dws.f10_finance_index_fd</w:t>
            </w:r>
          </w:p>
        </w:tc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PE、PB、PS、EV 倍数、MVA 等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全部 usable，面板别名 384 个</w:t>
            </w:r>
          </w:p>
        </w:tc>
      </w:tr>
    </w:tbl>
    <w:p>
      <w:pPr>
        <w:spacing w:after="110"/>
      </w:pPr>
    </w:p>
    <w:p>
      <w:pPr>
        <w:spacing w:after="140" w:line="320"/>
      </w:pPr>
      <w:r>
        <w:rPr>
          <w:rFonts w:ascii="Calibri" w:eastAsia="微软雅黑" w:hAnsi="Calibri"/>
          <w:sz w:val="21"/>
          <w:szCs w:val="21"/>
        </w:rPr>
        <w:t xml:space="preserve">说明：384 条全部有面板别名，但“可用”只表示能加载进面板/表达式，不代表数据质量一定好。</w:t>
      </w:r>
    </w:p>
    <w:p>
      <w:pPr>
        <w:pStyle w:val="Heading1"/>
        <w:spacing w:after="150" w:before="320"/>
      </w:pPr>
      <w:r>
        <w:t xml:space="preserve">2. 数据源与字段口径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3200"/>
        <w:gridCol w:w="1200"/>
        <w:gridCol w:w="3000"/>
      </w:tblGrid>
      <w:tr>
        <w:trPr>
          <w:cantSplit/>
          <w:tblHeader/>
        </w:trPr>
        <w:tc>
          <w:tcPr>
            <w:tcW w:type="dxa" w:w="16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数据源</w:t>
            </w:r>
          </w:p>
        </w:tc>
        <w:tc>
          <w:tcPr>
            <w:tcW w:type="dxa" w:w="32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物理表</w:t>
            </w:r>
          </w:p>
        </w:tc>
        <w:tc>
          <w:tcPr>
            <w:tcW w:type="dxa" w:w="12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系统前缀</w:t>
            </w:r>
          </w:p>
        </w:tc>
        <w:tc>
          <w:tcPr>
            <w:tcW w:type="dxa" w:w="30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对齐方式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日行情/技术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dws.ll_stock_daily_sharing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无（原名）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按交易日直接取数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财务原始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ods_dps_target.lc_maindatanew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fund_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 InfoPublDate as-of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财务衍生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dws.f10_derivative_index_fd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deriv_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回连 lc_maindatanew 的 InfoPublDate 后 as-of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估值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dws.f10_finance_index_fd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val_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 data_time 日频对齐</w:t>
            </w:r>
          </w:p>
        </w:tc>
      </w:tr>
    </w:tbl>
    <w:p>
      <w:pPr>
        <w:spacing w:after="110"/>
      </w:pP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财务原始表业务含义：公司报告期主要会计数据_新会计准则。查询过滤 Mark=2（合并报表）和 BulletinType='20'（定期报告）。</w:t>
      </w:r>
    </w:p>
    <w:p>
      <w:pPr>
        <w:pStyle w:val="Heading1"/>
        <w:spacing w:after="150" w:before="320"/>
      </w:pPr>
      <w:r>
        <w:t xml:space="preserve">3. 已完成的处理工作</w:t>
      </w:r>
    </w:p>
    <w:p>
      <w:pPr>
        <w:pStyle w:val="Heading2"/>
        <w:spacing w:after="100" w:before="220"/>
      </w:pPr>
      <w:r>
        <w:t xml:space="preserve">3.1 字段目录清理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从最初的 446 条目录开始，先清理不可作为数值表达式操作数的字段：财务衍生表全部字段、证券信息表字段、行情文本/标识字段。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移除 EPS 字段（BasicEPS、DilutedEPS、EPS），因为源表 Decimal(20,0) 取整导致零值率超过 90%。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移除纯 0/1 状态/哑变量字段：Ifsuspend、if_up、if_flat、if_down、FallOnDebut、FallOnNAPS、StockBoard、LimitBoard、SurgedLimit、DeclineLimit。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移除高零值字段：财务字段 7 个原始字段 + 1 个派生字段；日频字段 23 个（dif、dea、macd、HighestPrice/LowestPrice 系列等）。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清理后形成 99 条基础目录：行情 27、财务原始 67、估值 5。</w:t>
      </w:r>
    </w:p>
    <w:p>
      <w:pPr>
        <w:pStyle w:val="Heading2"/>
        <w:spacing w:after="100" w:before="220"/>
      </w:pPr>
      <w:r>
        <w:t xml:space="preserve">3.2 财务原始字段接入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从 lc_maindatanew 接入 51 个原始财务字段，统一使用 fund_ 前缀，例如 fund_NetProfit、fund_TotalAssets。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按 InfoPublDate 做 as-of 合并，避免使用尚未披露的报告。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会计准则规则：同一公司同一报告期优先 AccountingStandards=1，没有 1 时回退旧准则；再按 InfoPublDate、UpdateTime、ID 选择最新且确定的一条记录。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源表按 ID 去重：同一 ID 只保留 UpdateTime 最新的一条，去除重复投递记录。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同一披露日多期报告：attach_fundamentals 先按报告期 EndDate 排序，保留最新报告期。</w:t>
      </w:r>
    </w:p>
    <w:p>
      <w:pPr>
        <w:pStyle w:val="Heading2"/>
        <w:spacing w:after="100" w:before="220"/>
      </w:pPr>
      <w:r>
        <w:t xml:space="preserve">3.3 单季派生字段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对 16 个可加总流量字段派生 _q 单季字段，例如 fund_OperatingReenue_q、fund_NetProfit_q。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计算方式：Q1 单季=Q1 累计；Q2=H1-Q1；Q3=Q3-H1；Q4=年报-Q3。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字段目录增加 period_type：flow（累计）、flow_q（单季）、stock（时点）、ratio（比率）。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同一 PPO 生成任务只能选择累计或单季中的一种口径；混用会在 prepare_factor_runtime 直接报错。</w:t>
      </w:r>
    </w:p>
    <w:p>
      <w:pPr>
        <w:pStyle w:val="Heading2"/>
        <w:spacing w:after="100" w:before="220"/>
      </w:pPr>
      <w:r>
        <w:t xml:space="preserve">3.4 估值字段扩展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估值表从 5 个字段扩展到 42 个。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包含 PE，以及表中 PE 之后的估值字段；排除 DividendRatioLYR2、DividendRatio2、HoldProportionPAccount。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新增字段包括 PCF、PS、DividendRatio、NegotiableMV、PELYR、PCFS、PCFSTTM、EnterpriseValueW/N、TotalMV2、TotalASMV、PETTMCut、ForwardPE/PCF/PS 系列、PEG、EVTo*、MVA、FloatMVA、MarketValueToDebt*、DebtToAssetValue* 等。</w:t>
      </w:r>
    </w:p>
    <w:p>
      <w:pPr>
        <w:pStyle w:val="Heading2"/>
        <w:spacing w:after="100" w:before="220"/>
      </w:pPr>
      <w:r>
        <w:t xml:space="preserve">3.5 财务衍生字段重新接入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从原 446 目录的 267 个财务衍生字段中，筛选数值列且零值率 &lt;50% 的字段，共 248 个。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排除 idx_EndDate（日期列）、idx_InfoPublDate（库中无此列）以及 17 个零值率 &gt;=50% 的字段。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统一使用 deriv_ 前缀，例如 deriv_ROE、deriv_CurrentRatio、deriv_EBITDA。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衍生表没有 InfoPublDate：通过 CompanyCode + EndDate 回连 lc_maindatanew 取披露日，再做 as-of 合并。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已接入 panel.parquet → memmap → FeatureRegistry 链路，并支持批量因子回测加载 deriv_ 字段。</w:t>
      </w:r>
    </w:p>
    <w:p>
      <w:pPr>
        <w:pStyle w:val="Heading2"/>
        <w:spacing w:after="100" w:before="220"/>
      </w:pPr>
      <w:r>
        <w:t xml:space="preserve">3.6 生成与回测链路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write_pool_panel 支持 fund_、val_、deriv_ 三类字段与日频字段混合。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load_panel、factor_backtest 支持财务、估值、衍生字段的按需加载。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纯财务/估值因子可以生成：prepare_factor_runtime 自动把 close 放入 panel_fields 作为 target 价格，但 close 不进入 PPO 特征空间。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PPO 特征字段 fields 与面板字段 panel_fields 分离；runtime manifest 同时记录两者。</w:t>
      </w:r>
    </w:p>
    <w:p>
      <w:pPr>
        <w:pStyle w:val="Heading2"/>
        <w:spacing w:after="100" w:before="220"/>
      </w:pPr>
      <w:r>
        <w:t xml:space="preserve">3.7 前后端字段页面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/api/data/fields 返回状态、面板别名、period_type、derived_from。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前端字段页恢复财务衍生分类；新增“口径”列，显示累计/单季/时点/比率。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前端因子生成页增加累计/单季混用提示；提交前检查两者不能同时选择。</w:t>
      </w:r>
    </w:p>
    <w:p>
      <w:pPr>
        <w:pStyle w:val="Heading2"/>
        <w:spacing w:after="100" w:before="220"/>
      </w:pPr>
      <w:r>
        <w:t xml:space="preserve">3.8 数据质量统计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生成 f10_derivative_index_fd 全表 676 列的零值率统计。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文档位置：docs/f10_derivative_index_fd_zero_rates.md 与 .csv。</w:t>
      </w:r>
    </w:p>
    <w:p>
      <w:pPr>
        <w:pStyle w:val="Heading1"/>
        <w:spacing w:after="150" w:before="320"/>
      </w:pPr>
      <w:r>
        <w:t xml:space="preserve">4. 当前规则汇总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00"/>
      </w:tblGrid>
      <w:tr>
        <w:trPr>
          <w:cantSplit/>
          <w:tblHeader/>
        </w:trPr>
        <w:tc>
          <w:tcPr>
            <w:tcW w:type="dxa" w:w="26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type="dxa" w:w="64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当前实现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字段状态</w:t>
            </w:r>
          </w:p>
        </w:tc>
        <w:tc>
          <w:tcPr>
            <w:tcW w:type="dxa" w:w="6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usable / pending / unavailable；当前 384 条全部 usable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财务原始对齐</w:t>
            </w:r>
          </w:p>
        </w:tc>
        <w:tc>
          <w:tcPr>
            <w:tcW w:type="dxa" w:w="6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InfoPublDate as-of，Mark=2、BulletinType='20'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会计准则</w:t>
            </w:r>
          </w:p>
        </w:tc>
        <w:tc>
          <w:tcPr>
            <w:tcW w:type="dxa" w:w="6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优先 1，缺失回退其他准则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源表重复</w:t>
            </w:r>
          </w:p>
        </w:tc>
        <w:tc>
          <w:tcPr>
            <w:tcW w:type="dxa" w:w="6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 ID 去重，保留 UpdateTime 最新一条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同一披露日多期报告</w:t>
            </w:r>
          </w:p>
        </w:tc>
        <w:tc>
          <w:tcPr>
            <w:tcW w:type="dxa" w:w="6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保留 EndDate 最新的一条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累计/单季</w:t>
            </w:r>
          </w:p>
        </w:tc>
        <w:tc>
          <w:tcPr>
            <w:tcW w:type="dxa" w:w="6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同一生成任务只能选一种；prepare_factor_runtime 校验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纯财务生成</w:t>
            </w:r>
          </w:p>
        </w:tc>
        <w:tc>
          <w:tcPr>
            <w:tcW w:type="dxa" w:w="6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自动加入隐藏 close 作为 target，不进入 PPO 特征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衍生字段对齐</w:t>
            </w:r>
          </w:p>
        </w:tc>
        <w:tc>
          <w:tcPr>
            <w:tcW w:type="dxa" w:w="6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CompanyCode + EndDate 回连财务原始表取 InfoPublDate</w:t>
            </w:r>
          </w:p>
        </w:tc>
      </w:tr>
    </w:tbl>
    <w:p>
      <w:pPr>
        <w:spacing w:after="110"/>
      </w:pPr>
    </w:p>
    <w:p>
      <w:pPr>
        <w:pStyle w:val="Heading1"/>
        <w:spacing w:after="150" w:before="320"/>
      </w:pPr>
      <w:r>
        <w:t xml:space="preserve">5. 当前存在的问题</w:t>
      </w:r>
    </w:p>
    <w:p>
      <w:pPr>
        <w:pStyle w:val="Heading2"/>
        <w:spacing w:after="100" w:before="220"/>
      </w:pPr>
      <w:r>
        <w:t xml:space="preserve">5.1 财务数据时效与覆盖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lc_maindatanew 最大 InfoPublDate 为 2025-05-13，最大 EndDate 为 2025-03-31。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2025 年只有 504 家公司有记录，2024 年有 10,027 家；2025-07 之后的训练/测试区间没有新财务数据。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已确认无法更新数据源，因此该问题暂不处理，但会持续影响财务因子在近期区间的可信度。</w:t>
      </w:r>
    </w:p>
    <w:p>
      <w:pPr>
        <w:pStyle w:val="Heading2"/>
        <w:spacing w:after="100" w:before="220"/>
      </w:pPr>
      <w:r>
        <w:t xml:space="preserve">5.2 重复与零值残留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ID 去重是结构去重，不是质量去重：如果同一 ID 下 0 值与真实值并存，且 0 值记录的 UpdateTime 更新，仍可能选中 0。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同一业务键下不同 ID 的冲突记录仍可能进入后续选择；此前审计发现约 72 个键存在营收 0 与真实值并存。</w:t>
      </w:r>
    </w:p>
    <w:p>
      <w:pPr>
        <w:pStyle w:val="Heading2"/>
        <w:spacing w:after="100" w:before="220"/>
      </w:pPr>
      <w:r>
        <w:t xml:space="preserve">5.3 仍有 30%–50% 零值的字段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以下 8 个字段零值率仍高于 30%，但低于 50%，继续保留为可用：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00"/>
        <w:gridCol w:w="2000"/>
      </w:tblGrid>
      <w:tr>
        <w:trPr>
          <w:cantSplit/>
          <w:tblHeader/>
        </w:trPr>
        <w:tc>
          <w:tcPr>
            <w:tcW w:type="dxa" w:w="40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零值率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ExchanRateChangeEffect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43.8%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WROE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43.3%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BillReceivable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42.7%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EndPeriodCashEquivalent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41.0%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DividendRatioLYR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37.8%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NonCurrentLiabilityIn1Year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33.9%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ExchanRateChangeEffect_q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33.5%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TurnoverRate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32.1%</w:t>
            </w:r>
          </w:p>
        </w:tc>
      </w:tr>
    </w:tbl>
    <w:p>
      <w:pPr>
        <w:spacing w:after="110"/>
      </w:pPr>
    </w:p>
    <w:p>
      <w:pPr>
        <w:pStyle w:val="Heading2"/>
        <w:spacing w:after="100" w:before="220"/>
      </w:pPr>
      <w:r>
        <w:t xml:space="preserve">5.4 单季派生字段的缺失与重述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16 个 _q 字段依赖上一报告期；上一期缺失时返回 NaN。当前整体缺失率约 21%。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如果前期数据被重述、后期没有同步重述，单季差值可能不一致，目前没有重述一致性检查。</w:t>
      </w:r>
    </w:p>
    <w:p>
      <w:pPr>
        <w:pStyle w:val="Heading2"/>
        <w:spacing w:after="100" w:before="220"/>
      </w:pPr>
      <w:r>
        <w:t xml:space="preserve">5.5 报告元数据不可追溯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InfoPublDate、EndDate、InfoSource 已从字段目录移除。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面板中仍有 fund_info_date / fund_end_date，但不会作为 PPO 特征；InfoSource 没有进入 loader。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回测结果目前不能直接显示“这条财务数据来自哪份报告”。</w:t>
      </w:r>
    </w:p>
    <w:p>
      <w:pPr>
        <w:pStyle w:val="Heading2"/>
        <w:spacing w:after="100" w:before="220"/>
      </w:pPr>
      <w:r>
        <w:t xml:space="preserve">5.6 PPO 默认配置与特征空间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factor_generation.yaml 已写入 368 个累计口径字段：384 个可用字段中排除 16 个 flow_q 单季派生字段。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同一生成任务不能混用累计/单季；如需单季口径，需要单独配置或把 flow 字段替换为对应的 _q 字段。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368 个特征会显著扩大 PPO 搜索空间和训练成本，存在过拟合风险；实际生成前建议先缩小字段子集。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React 因子生成页仍是 mock，实际生成走 CLI 或 ai_research。</w:t>
      </w:r>
    </w:p>
    <w:p>
      <w:pPr>
        <w:pStyle w:val="Heading2"/>
        <w:spacing w:after="100" w:before="220"/>
      </w:pPr>
      <w:r>
        <w:t xml:space="preserve">5.7 缺少表达式经济含义校验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目前只做到累计/单季任务级互斥。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PPO 仍可组合出 flow + stock、ratio + money 等无经济含义表达式；还没有量纲/类型校验器。</w:t>
      </w:r>
    </w:p>
    <w:p>
      <w:pPr>
        <w:pStyle w:val="Heading2"/>
        <w:spacing w:after="100" w:before="220"/>
      </w:pPr>
      <w:r>
        <w:t xml:space="preserve">5.8 缺少字段质量元数据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API/页面没有覆盖率、零值率、最新报告期、缺失/重复次数等质量指标。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状态列当前写死为绿色“可用”；目前所有字段恰好都可用，但未来出现 pending/unavailable 时会误导。</w:t>
      </w:r>
    </w:p>
    <w:p>
      <w:pPr>
        <w:pStyle w:val="Heading2"/>
        <w:spacing w:after="100" w:before="220"/>
      </w:pPr>
      <w:r>
        <w:t xml:space="preserve">5.9 其他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字段目录是静态文件，384 条需要人工维护。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ema12、ema26 仍缺说明。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衍生字段引用 lc_maindatanew 的披露日；找不到对应财务记录的衍生行会被排除。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248 个衍生字段显著扩大 PPO 特征空间，存在过拟合和计算开销风险。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旧因子运行 factor_runs/e2e_fund_20261029_141844 使用了已删除的 fund_FairValueChangeIncome，已无法用当前后端回测。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rFonts w:ascii="Calibri" w:eastAsia="微软雅黑" w:hAnsi="Calibri"/>
          <w:sz w:val="21"/>
          <w:szCs w:val="21"/>
        </w:rPr>
        <w:t xml:space="preserve">close 复权/分红口径已决定暂不处理；target 仍直接使用 close。</w:t>
      </w:r>
    </w:p>
    <w:p>
      <w:pPr>
        <w:pStyle w:val="Heading1"/>
        <w:spacing w:after="150" w:before="320"/>
      </w:pPr>
      <w:r>
        <w:t xml:space="preserve">6. 建议的后续工作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400"/>
        <w:gridCol w:w="5700"/>
      </w:tblGrid>
      <w:tr>
        <w:trPr>
          <w:cantSplit/>
          <w:tblHeader/>
        </w:trPr>
        <w:tc>
          <w:tcPr>
            <w:tcW w:type="dxa" w:w="9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4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57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加入质量去重</w:t>
            </w:r>
          </w:p>
        </w:tc>
        <w:tc>
          <w:tcPr>
            <w:tcW w:type="dxa" w:w="5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对核心财务字段做非零优先选择或最新记录 + 非零补齐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补字段质量元数据</w:t>
            </w:r>
          </w:p>
        </w:tc>
        <w:tc>
          <w:tcPr>
            <w:tcW w:type="dxa" w:w="5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覆盖率、零值率、最新报告期、重复次数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表达式类型校验</w:t>
            </w:r>
          </w:p>
        </w:tc>
        <w:tc>
          <w:tcPr>
            <w:tcW w:type="dxa" w:w="5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flow/stock/ratio + 量纲规则，拦截无意义组合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评估 30%–50% 零值字段</w:t>
            </w:r>
          </w:p>
        </w:tc>
        <w:tc>
          <w:tcPr>
            <w:tcW w:type="dxa" w:w="5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决定继续保留还是移除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控制 PPO 特征规模</w:t>
            </w:r>
          </w:p>
        </w:tc>
        <w:tc>
          <w:tcPr>
            <w:tcW w:type="dxa" w:w="5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368 个特征较大，建议按因子主题选择子集，降低过拟合与训练成本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清理旧运行/文档</w:t>
            </w:r>
          </w:p>
        </w:tc>
        <w:tc>
          <w:tcPr>
            <w:tcW w:type="dxa" w:w="5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处理引用已删除字段的历史 factor_run</w:t>
            </w:r>
          </w:p>
        </w:tc>
      </w:tr>
    </w:tbl>
    <w:p>
      <w:pPr>
        <w:spacing w:after="110"/>
      </w:pPr>
    </w:p>
    <w:p>
      <w:pPr>
        <w:pStyle w:val="Heading1"/>
        <w:spacing w:after="150" w:before="320"/>
      </w:pPr>
      <w:r>
        <w:t xml:space="preserve">7. 相关文件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4800"/>
      </w:tblGrid>
      <w:tr>
        <w:trPr>
          <w:cantSplit/>
          <w:tblHeader/>
        </w:trPr>
        <w:tc>
          <w:tcPr>
            <w:tcW w:type="dxa" w:w="42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800"/>
            <w:shd w:fill="D9E2F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backend/configs/field_catalog.json</w:t>
            </w:r>
          </w:p>
        </w:tc>
        <w:tc>
          <w:tcPr>
            <w:tcW w:type="dxa" w:w="4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384 条字段目录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backend/custom_bt/company_source.py</w:t>
            </w:r>
          </w:p>
        </w:tc>
        <w:tc>
          <w:tcPr>
            <w:tcW w:type="dxa" w:w="4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财务/估值/衍生取数、as-of、去重、单季派生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backend/custom_bt/factor_generation.py</w:t>
            </w:r>
          </w:p>
        </w:tc>
        <w:tc>
          <w:tcPr>
            <w:tcW w:type="dxa" w:w="4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运行时字段、隐藏 close、累计/单季口径校验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backend/custom_bt/factor_backtest.py</w:t>
            </w:r>
          </w:p>
        </w:tc>
        <w:tc>
          <w:tcPr>
            <w:tcW w:type="dxa" w:w="4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回测时加载 fund_/val_/deriv_ 字段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backend/api/main.py</w:t>
            </w:r>
          </w:p>
        </w:tc>
        <w:tc>
          <w:tcPr>
            <w:tcW w:type="dxa" w:w="4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字段状态、字段目录 API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frontend/src/pages/DataPages.tsx</w:t>
            </w:r>
          </w:p>
        </w:tc>
        <w:tc>
          <w:tcPr>
            <w:tcW w:type="dxa" w:w="4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字段页、口径列、分类筛选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frontend/src/pages/ResearchPages.tsx</w:t>
            </w:r>
          </w:p>
        </w:tc>
        <w:tc>
          <w:tcPr>
            <w:tcW w:type="dxa" w:w="4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生成器字段选择与口径提示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docs/f10_derivative_index_fd_zero_rates.md</w:t>
            </w:r>
          </w:p>
        </w:tc>
        <w:tc>
          <w:tcPr>
            <w:tcW w:type="dxa" w:w="4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衍生表零值率汇总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docs/f10_derivative_index_fd_zero_rates.csv</w:t>
            </w:r>
          </w:p>
        </w:tc>
        <w:tc>
          <w:tcPr>
            <w:tcW w:type="dxa" w:w="4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5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衍生表 676 列逐字段零值率</w:t>
            </w:r>
          </w:p>
        </w:tc>
      </w:tr>
    </w:tbl>
    <w:p>
      <w:pPr>
        <w:spacing w:after="110"/>
      </w:pPr>
    </w:p>
    <w:sectPr>
      <w:footerReference w:type="default" r:id="rId7"/>
      <w:pgSz w:w="11906" w:h="16838" w:orient="portrait"/>
      <w:pgMar w:top="1200" w:right="1450" w:bottom="12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软雅黑" w:hAnsi="Calibri"/>
        <w:color w:val="808080"/>
        <w:sz w:val="16"/>
        <w:szCs w:val="16"/>
      </w:rPr>
      <w:t xml:space="preserve">数据字段处理说明 · </w:t>
    </w:r>
    <w:r>
      <w:rPr>
        <w:rFonts w:ascii="Calibri" w:eastAsia="微软雅黑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eastAsia="微软雅黑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1"/>
        <w:szCs w:val="21"/>
      </w:rPr>
    </w:rPrDefault>
    <w:pPrDefault>
      <w:pPr>
        <w:spacing w:after="10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20"/>
      <w:outlineLvl w:val="0"/>
    </w:pPr>
    <w:rPr>
      <w:rFonts w:ascii="Calibri" w:eastAsia="微软雅黑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eastAsia="微软雅黑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数据字段处理说明</dc:title>
  <dc:creator>QuantLab</dc:creator>
  <dc:description>数据字段清理、接入与现状</dc:description>
  <cp:lastModifiedBy>Un-named</cp:lastModifiedBy>
  <cp:revision>1</cp:revision>
  <dcterms:created xsi:type="dcterms:W3CDTF">2026-11-02T01:46:38.159Z</dcterms:created>
  <dcterms:modified xsi:type="dcterms:W3CDTF">2026-11-02T01:46:38.160Z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