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Calibri" w:eastAsia="微软雅黑" w:hAnsi="Calibri"/>
          <w:b/>
          <w:bCs/>
          <w:color w:val="1F3864"/>
          <w:sz w:val="40"/>
          <w:szCs w:val="40"/>
        </w:rPr>
        <w:t xml:space="preserve">QuantLab 生成因子＋回测系统</w:t>
      </w:r>
    </w:p>
    <w:p>
      <w:pPr>
        <w:spacing w:after="300"/>
      </w:pPr>
      <w:r>
        <w:rPr>
          <w:rFonts w:ascii="Calibri" w:eastAsia="微软雅黑" w:hAnsi="Calibri"/>
          <w:color w:val="2E75B6"/>
          <w:sz w:val="28"/>
          <w:szCs w:val="28"/>
        </w:rPr>
        <w:t xml:space="preserve">项目架构梳理（新成员接手版）</w:t>
      </w:r>
    </w:p>
    <w:p>
      <w:pPr>
        <w:spacing w:after="60"/>
      </w:pPr>
      <w:r>
        <w:rPr>
          <w:rFonts w:ascii="Calibri" w:eastAsia="微软雅黑" w:hAnsi="Calibri"/>
          <w:color w:val="595959"/>
          <w:sz w:val="20"/>
          <w:szCs w:val="20"/>
        </w:rPr>
        <w:t xml:space="preserve">对应代码：分支 feat/standardize-web-project，提交 ec8487f</w:t>
      </w:r>
    </w:p>
    <w:p>
      <w:pPr>
        <w:spacing w:after="60"/>
      </w:pPr>
      <w:r>
        <w:rPr>
          <w:rFonts w:ascii="Calibri" w:eastAsia="微软雅黑" w:hAnsi="Calibri"/>
          <w:color w:val="595959"/>
          <w:sz w:val="20"/>
          <w:szCs w:val="20"/>
        </w:rPr>
        <w:t xml:space="preserve">整理日期：2026-10-31</w:t>
      </w:r>
    </w:p>
    <w:p>
      <w:pPr>
        <w:spacing w:after="300"/>
      </w:pPr>
      <w:r>
        <w:rPr>
          <w:rFonts w:ascii="Calibri" w:eastAsia="微软雅黑" w:hAnsi="Calibri"/>
          <w:color w:val="595959"/>
          <w:sz w:val="20"/>
          <w:szCs w:val="20"/>
        </w:rPr>
        <w:t xml:space="preserve">读者：准备接手本仓库的开发/研究人员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文档口径：本文只根据仓库中可读的代码、配置和文档整理。整理时没有启动完整端到端流程，也没有访问公司 ClickHouse / MySQL 实例；凡不能从代码确认的内容，均标注“待确认”。项目背景模板中的“项目类型 / 技术栈 / 目的”为空，本文按仓库实际情况填写，若与实际定位不同，请以业务方说明为准。</w:t>
      </w:r>
    </w:p>
    <w:p>
      <w:pPr>
        <w:pStyle w:val="Heading1"/>
        <w:spacing w:after="160" w:before="320"/>
      </w:pPr>
      <w:r>
        <w:t xml:space="preserve">1. 项目概览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项目类型：Web 全栈（React SPA + FastAPI 服务 + 外部数据库/本地文件），当前定位是内网或本地的量化研究平台，不是面向公网的生产交易系统。本文目的：帮助新成员接手。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QuantLab 是一个面向 A 股日频数据的因子研究与回测平台。它把公司 ClickHouse 中的行情、财务、估值数据组织成股票池面板，支持用 PPO 或大模型生成因子表达式，对候选因子做有效性校验和 TopK 回测，再通过 mutual IC 去重与权重优化组合成多因子，最后在 Web 工作台查看净值、年度指标和结果文件。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仓库实际包含四个相对独立的部分：backend（FastAPI 接口 + 回测/任务核心）、frontend（React 工作台）、quantops（独立算子库）、single_factor（PPO 因子生成器）。此外还有 backend/app 下的 Streamlit 旧工作台、docs 下的设计文档、提示词合集和若干运行产物目录。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一句话技术栈：React + TypeScript 前端，FastAPI + pandas 后端，ClickHouse 实时取数，MySQL 集中存档，本地文件承载因子运行与回测结果，PPO/LLM 负责因子生成。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7300"/>
      </w:tblGrid>
      <w:tr>
        <w:trPr>
          <w:cantSplit/>
          <w:tblHeader/>
        </w:trPr>
        <w:tc>
          <w:tcPr>
            <w:tcW w:type="dxa" w:w="1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73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技术与版本（以仓库文件为准）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前端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React 19、TypeScript 5.7、Ant Design 5、ECharts 6、Vite 8、Tailwind CSS 4；pnpm 10.34、Node 22（frontend/.mise.toml）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后端 API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Python ≥3.10（pyproject.toml；README 分别写 3.11/3.12）、FastAPI、uvicorn、pandas、PyArrow、PyMySQL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算子与表达式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 独立包：numpy/pandas、80 个算子、AST 白名单表达式求值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因子生成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single_factor：PPO（stable-baselines3、gymnasium、torch）+ vendored AlphaGen 原语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存储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ClickHouse（HTTP 只读，默认 8123）；MySQL 库 QuantLab（14 张表）；本地 JSON/JSONL/CSV/PNG/Parquet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大模型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DeepSeek Chat API（backend/custom_bt/ai_research/llm_client.py，目前只从 CLI 调用）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运行形态</w:t>
            </w:r>
          </w:p>
        </w:tc>
        <w:tc>
          <w:tcPr>
            <w:tcW w:type="dxa" w:w="7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前端 8443、后端 8000；耗时任务用子进程执行，状态写 outputs/jobs/&lt;job_id&gt;/status.json</w:t>
            </w:r>
          </w:p>
        </w:tc>
      </w:tr>
    </w:tbl>
    <w:p>
      <w:pPr>
        <w:spacing w:after="120"/>
      </w:pPr>
    </w:p>
    <w:p>
      <w:pPr>
        <w:spacing w:after="160" w:line="320"/>
      </w:pPr>
      <w:r>
        <w:rPr>
          <w:rFonts w:ascii="Calibri" w:eastAsia="微软雅黑" w:hAnsi="Calibri"/>
          <w:sz w:val="21"/>
          <w:szCs w:val="21"/>
        </w:rPr>
        <w:t xml:space="preserve">接手建议阅读顺序：README → backend/README.md → backend/docs/web_api.md → backend/api/main.py 的路由表 → custom_bt/engine.py 与 factor_backtest.py → frontend/src/App.tsx 与 pages/ResearchPages.tsx。</w:t>
      </w:r>
    </w:p>
    <w:p>
      <w:pPr>
        <w:pStyle w:val="Heading1"/>
        <w:spacing w:after="160" w:before="320"/>
      </w:pPr>
      <w:r>
        <w:t xml:space="preserve">2. 目录结构解析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下表按“路径 | 类型 | 作用”逐层说明。只列有实际职责的路径；data_cache、outputs、factor_runs 等运行产物目录已在 .gitignore 中，克隆后需要运行或生成后才会出现。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500"/>
        <w:gridCol w:w="800"/>
        <w:gridCol w:w="5700"/>
      </w:tblGrid>
      <w:tr>
        <w:trPr>
          <w:cantSplit/>
          <w:tblHeader/>
        </w:trPr>
        <w:tc>
          <w:tcPr>
            <w:tcW w:type="dxa" w:w="2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8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5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主平台 Python 工程：API、回测核心、任务、测试、配置。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HTTP 接口层，只负责把 custom_bt 的能力暴露成 /api/*。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backend/api/main.py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FastAPI 应用与全部路由（25 个 @app 装饰器，含 health）：数据、股票池、因子运行、回测、结果详情；含 _sanitize、路径穿越防护、字段目录合并。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backend/api/live_db.py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公司 ClickHouse 只读 HTTP 客户端：guard_readonly、TTL 缓存、股票池候选聚合、字段元数据查询。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backend/api/job_runner.py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用 subprocess.Popen 启动平台任务子进程，日志写 runner.log。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backend/api/logging_setup.py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控制台 + outputs/logs 文件日志配置。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backend/api/__main__.py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启动入口 python -m api，读取 QL_API_HOST / QL_API_PORT。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平台核心包：数据、股票池、表达式、生成、回测、组合、任务、结果、MySQL。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custom_bt/data.py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原始 CSV → 按股票 Parquet 主缓存；字段/股票清单；load_pool_panel 本地面板加载。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custom_bt/company_source.py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公司 ClickHouse 数据源：建池选样、因子/回测面板、财务 as-of 合并、估值日频合并、面板导出。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custom_bt/pools.py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本地建池与公司库建池；写 manifest、provenance；读取池代码。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custom_bt/factor_generation.py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准备生成运行时并调用 single_factor 的 PPO 生成；写 factor_run.json。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custom_bt/factor_backtest.py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批量回测 accepted_factors.jsonl；逐因子评估+回测+落盘；批次汇总。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custom_bt/manual_backtest.py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按股票池 + 用户表达式执行一次手动回测。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custom_bt/engine.py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TopK 日频回测引擎：次日开盘成交、交易成本、滑点、涨跌停过滤。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custom_bt/metrics.py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净值、年化、Sharpe、最大回撤、年度指标计算。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custom_bt/factor_composition.py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因子组合：候选加载、mutual IC 去重、权重优化、多规模组合与回测。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custom_bt/expressions.py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 的转发层，保持既有 import 路径。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custom_bt/factor_adapter.py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AlphaGen 表达式 → quantops 本地算子名的翻译与校验。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custom_bt/canonical_expression.py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AlphaGen 表达式规范化/序列化。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custom_bt/operator_registry.py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转发 quantops 的 canonical 算子定义；保留 AlphaGen 类加载。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custom_bt/docs.py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/api/operators 的中文说明/示例来源，被测试锁定，不建议修改。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custom_bt/results.py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回测结果保存（CSV/JSON/PNG/manifest）与结果列表扫描。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custom_bt/jobs.py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旧式单任务状态机与回测任务执行。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custom_bt/platform_jobs.py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平台任务目录、payload 归一化、operation 分发、status.json 更新。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custom_bt/mysql_store.py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MySQL QuantLab 的 schema（14 表）与股票池/因子/回测持久化。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custom_bt/migrate_results.py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历史结果目录迁移。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custom_bt/plotting.py / alpha.py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回测摘要图；多 alpha 定义合并。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custom_bt/ai_research/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DeepSeek 驱动的量化研究 agent：spec、prompt、tool executor、experiment memory。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backend/app/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旧 Streamlit 工作台（streamlit_app.py 约 1312 行），与 React 前端功能重叠。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backend/configs/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YAML 配置、字段目录 field_catalog.json、ClickHouse/MySQL 模板与本地凭据（local.env 已忽略）。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backend/tests/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后端 pytest：API、引擎、生成、回测、组合、MySQL、AI agent 等 31 个文件。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backend/data_cache/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运行缓存：factor_runtime、pools；master 已不再随仓库提供（当前不存在）。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backend/outputs/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任务状态、日志、已保存回测结果（不入库）。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React + Vite 工作台。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frontend/src/App.tsx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登录壳、侧边菜单、页面路由映射、结果详情（单因子/批次）。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frontend/src/pages/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DataPages（数据总览/字段/股票/算子）、ResearchPages（股票池/生成/因子回测）、ManualBacktestPage、CompositionPage、SystemPages。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frontend/src/api/client.ts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API 客户端、请求封装、useApiData、useJobPolling、文件 URL。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frontend/src/Charts.tsx / backtestAnalysis.tsx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ECharts 净值/年度图；回测结果判定与专家式分析卡片。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frontend/src/factorCategories.ts / fieldCategories.ts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因子类别与字段类别的前端映射。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frontend/src/mockData.ts / mockExtended.ts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任务、演示结果、字段/股票/组合/用户/审计等 mock 数据。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frontend/vite.config.ts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端口 8443；/api 代理到 127.0.0.1:8000；含 Figma Make 脚手架插件。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独立算子库与表达式引擎，可脱离主平台使用。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quantops/quantops/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core/operators/registry/expression/panel/metadata/opset/accessor 等模块。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quantops/tests/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算子语义、金标准、表达式、CLI、Public API 测试。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single_factor/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自包含 PPO 单因子生成器：preprocess、materialize、environment、evaluator、runner、storage。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single_factor/_vendor/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vendored AlphaGen 表达式/PPO 原语。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single_factor/runtime.json / run_server.ps1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独立运行配置与断线自动重启脚本。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factor_runs/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因子运行根目录（API/CLI/MySQL 共用），已忽略；当前只有两个 e2e 运行。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docs/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Word 设计文档 + ai_research 研究资料 + superpowers 计划/规格。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提示词合集/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AI 研究 agent 的提示词模板。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README.md / PROJECT_STATUS.md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仓库说明与某次上传时的状态快照；部分路径已过期，见第 5 节。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v_stock_daily_full_字段说明.md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文件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原始日频 CSV 的字段说明（约 91 字段）。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research_pipeline/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待确认：只看到 __pycache__，未发现源码，也未纳入 Git。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tools/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目录</w:t>
            </w:r>
          </w:p>
        </w:tc>
        <w:tc>
          <w:tcPr>
            <w:tcW w:type="dxa" w:w="5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待确认：当前为空，未纳入 Git。</w:t>
            </w:r>
          </w:p>
        </w:tc>
      </w:tr>
    </w:tbl>
    <w:p>
      <w:pPr>
        <w:spacing w:after="120"/>
      </w:pPr>
    </w:p>
    <w:p>
      <w:pPr>
        <w:pStyle w:val="Heading1"/>
        <w:spacing w:after="160" w:before="320"/>
      </w:pPr>
      <w:r>
        <w:t xml:space="preserve">3. 功能模块划分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按业务域/技术层划分，模块之间主要通过 Python 函数调用和本地文件约定协作；前端只通过 HTTP 访问后端。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600"/>
        <w:gridCol w:w="2700"/>
        <w:gridCol w:w="2200"/>
      </w:tblGrid>
      <w:tr>
        <w:trPr>
          <w:cantSplit/>
          <w:tblHeader/>
        </w:trPr>
        <w:tc>
          <w:tcPr>
            <w:tcW w:type="dxa" w:w="1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2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主要文件</w:t>
            </w:r>
          </w:p>
        </w:tc>
        <w:tc>
          <w:tcPr>
            <w:tcW w:type="dxa" w:w="27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职责与对外接口</w:t>
            </w:r>
          </w:p>
        </w:tc>
        <w:tc>
          <w:tcPr>
            <w:tcW w:type="dxa" w:w="22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依赖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前端应用壳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frontend/src/App.tsx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登录/布局/菜单/页面切换；结果详情页（单因子、批次）；把 API 数据映射到页面。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pages、api/client、Charts、backtestAnalysis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数据页面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pages/DataPages.tsx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数据总览、数据字段、股票列表、操作符；调用 api.master/fields/stocks/operators。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api/client、fieldCategories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研究页面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pages/ResearchPages.tsx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股票池（真实 API）、因子生成（当前 mock）、因子回测（真实 API）。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api/client、mockExtended、factorCategories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手动回测页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pages/ManualBacktestPage.tsx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选池 + 输入 Alpha + 提交任务 + 轮询 + 结果预览；真实 API。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api/client、Charts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因子组合页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pages/CompositionPage.tsx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组合参数、权重/规模展示；当前 mock，未调用后端。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mockData、mockExtended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系统页面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pages/SystemPages.tsx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用户与权限、审计日志；当前 mock。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mock 数据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API 客户端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frontend/src/api/client.ts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封装 /api/*、错误处理、useApiData、useJobPolling、文件下载 URL。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浏览器 fetch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FastAPI 接口层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backend/api/main.py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路由、参数校验、路径安全、字段目录合并、任务创建、结果读取。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live_db、custom_bt、platform_jobs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实时数据源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backend/api/live_db.py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ClickHouse 只读 HTTP、SQL 白名单、TTL 缓存、股票池候选聚合。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ClickHouse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数据源抽象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backend/custom_bt/company_source.py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统一 clickhouse/local 两种来源；面板 SQL、财务 as-of、估值日频、面板 Parquet 导出。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live_db、custom_bt.data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本地数据层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backend/custom_bt/data.py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CSV → Parquet 主缓存；本地面板加载；字段/股票清单。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pandas、pyarrow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股票池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backend/custom_bt/pools.py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按覆盖率和成交额选样；写 manifest/provenance；本地池与公司库池。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company_source、mysql_store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算子库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quantops/quantops/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80 个算子、AST 沙箱求值、pandas 访问器、元数据。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numpy、pandas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表达式适配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custom_bt/expressions.py、factor_adapter.py、canonical_expression.py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兼容 AlphaGen 表达式名；统一算子别名；转发 quantops。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算子元数据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custom_bt/operator_registry.py、docs.py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canonical 定义 + 中文说明/示例；/api/operators 的数据源。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quantops、single_factor._vendor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因子生成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custom_bt/factor_generation.py + single_factor/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导出池面板、切分 train/valid/test、构造 PPO 环境、评估并写 accepted/rejected。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company_source、single_factor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回测引擎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custom_bt/engine.py、metrics.py、plotting.py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TopK 调仓模拟、成本/滑点/涨跌停；指标与摘要图。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pandas、matplotlib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批量因子回测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custom_bt/factor_backtest.py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读取 accepted_factors.jsonl，逐因子评估+回测；批次汇总与失败明细。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engine、expressions、results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手动回测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custom_bt/manual_backtest.py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按池 + 表达式执行一次回测，结果进统一结果中心。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engine、expressions、results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因子组合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custom_bt/factor_composition.py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候选筛选、mutual IC、权重优化、多规模组合回测。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engine、company_source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任务与结果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custom_bt/platform_jobs.py、jobs.py、results.py、migrate_results.py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任务目录/状态机；结果保存、扫描、迁移。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 各模块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MySQL 存档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custom_bt/mysql_store.py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14 表 schema；股票池主读、因子/回测尽力镜像。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PyMySQL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AI 研究 agent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custom_bt/ai_research/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DeepSeek 生成研究 spec/候选表达式；校验并可通过工具执行生成/回测/组合。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llm_client、platform job 函数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旧 Streamlit 工作台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backend/app/streamlit_app.py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11 个页签的旧 UI，仍可运行，与 React 前端重叠。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custom_bt 各模块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测试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backend/tests/、quantops/tests/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覆盖 API、引擎、生成、回测、组合、MySQL、算子语义等。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pytest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3.1 模块依赖方向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正常的依赖方向是：frontend → HTTP → api/main → custom_bt → quantops / single_factor。数据访问由 company_source 统一收敛；结果与任务状态落在本地文件，MySQL 只做集中存档。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存在一个反向依赖：custom_bt/company_source.py 直接 import api.live_db。也就是说“核心包”依赖了“接口层”的 ClickHouse 客户端。单独复用 custom_bt 时必须同时带上 backend/api，这是当前分层最明显的瑕疵。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因子生成还有一条运行期耦合：factor_generation 通过 sys.path 找到仓库根目录，再 import single_factor；quantops 则有 _quantops_boot 自动挂路径。两条路径机制不同，部署时要分别确认。</w:t>
      </w:r>
    </w:p>
    <w:p>
      <w:pPr>
        <w:pStyle w:val="Heading1"/>
        <w:spacing w:after="160" w:before="320"/>
      </w:pPr>
      <w:r>
        <w:t xml:space="preserve">4. 关键调用链路</w:t>
      </w:r>
    </w:p>
    <w:p>
      <w:pPr>
        <w:pStyle w:val="Heading2"/>
        <w:spacing w:after="120" w:before="240"/>
      </w:pPr>
      <w:r>
        <w:t xml:space="preserve">4.1 链路一：批量因子回测（Web 真实链路）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这是目前 Web 端最完整的一条真实链路：前端提交 → FastAPI 建任务 → 子进程执行 → 逐因子回测 → 本地落盘 + MySQL 镜像 → 前端轮询并跳转结果详情。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FactorBacktestPage（React）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POST /api/factor-backtests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api/main.py 校验 + create_platform_job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outputs/jobs/&lt;job_id&gt;/{platform_job.json, status.json}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subprocess: python -m custom_bt.cli run-platform-job --job-dir &lt;job_id&gt;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platform_jobs._run_operation("backtest_factors")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factor_backtest.backtest_accepted_factors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company_source.load_panel（ClickHouse） / data.load_pool_panel（本地）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expressions.evaluate_expression（quantops）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engine.run_backtest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results.save_result（CSV/JSON/PNG/manifest）+ MySQL 镜像</w:t>
      </w:r>
    </w:p>
    <w:p>
      <w:pPr>
        <w:shd w:fill="F4F4F4" w:val="clear"/>
        <w:spacing w:after="16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status.json(finished) → 前端轮询 → 结果详情页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00"/>
        <w:gridCol w:w="3000"/>
        <w:gridCol w:w="5400"/>
      </w:tblGrid>
      <w:tr>
        <w:trPr>
          <w:cantSplit/>
          <w:tblHeader/>
        </w:trPr>
        <w:tc>
          <w:tcPr>
            <w:tcW w:type="dxa" w:w="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5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发生什么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frontend/src/pages/ResearchPages.tsx（FactorBacktestPage）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校验运行/因子/区间，组装请求并调用 api.factorBacktest。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frontend/src/api/client.ts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POST /api/factor-backtests。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backend/api/main.py:1063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校验 top_k/资金/费率；读取 factor_run.json 与池 manifest；校验 data_source 与 source_signature；读取 accepted_factors；确定回测区间；create_platform_job。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backend/custom_bt/platform_jobs.py:69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写 platform_job.json 与 status.json（queued），返回 job_id。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backend/api/job_runner.py:15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Popen 启动 python -m custom_bt.cli run-platform-job，cwd=backend，stdout/stderr 写 runner.log。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backend/custom_bt/cli.py → platform_jobs.py:249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run_platform_job 读取 payload，_run_operation 分发到 backtest_factors。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backend/custom_bt/factor_backtest.py:74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加载池代码与数据源元信息；ClickHouse 池走 company_source.load_panel，本地池走 load_pool_panel。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factor_backtest.py:190 起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逐因子 canonicalize → validate_backtest_expression → evaluate_expression → run_backtest。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backend/custom_bt/results.py:17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save_result 写 daily_report.csv、positions.csv、trades.csv、annual_metrics.csv、summary.json、summary.png、manifest.json；调用 persist_backtest。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factor_backtest.py:250 起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写 factor_backtest_summary.csv、factor_backtest_failures.csv、factor_backtest_manifest.json；调用 persist_factor_backtest_run。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api/main.py:825 + frontend client.ts:623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前端每 1.5s GET /api/jobs/{job_id}，读 status.json 的 status/progress。</w:t>
            </w:r>
          </w:p>
        </w:tc>
      </w:tr>
      <w:tr>
        <w:trPr>
          <w:cantSplit/>
        </w:trPr>
        <w:tc>
          <w:tcPr>
            <w:tcW w:type="dxa" w:w="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frontend/src/App.tsx（BatchResultView）</w:t>
            </w:r>
          </w:p>
        </w:tc>
        <w:tc>
          <w:tcPr>
            <w:tcW w:type="dxa" w:w="5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任务完成后读取 /api/factor-backtests/{id} 与 /api/results/detail?run_key=...，渲染批次结果。</w:t>
            </w:r>
          </w:p>
        </w:tc>
      </w:tr>
    </w:tbl>
    <w:p>
      <w:pPr>
        <w:spacing w:after="120"/>
      </w:pP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落盘位置：outputs/jobs/&lt;job_id&gt;/（任务状态与日志）；outputs/saved_backtests/factor/&lt;pool_id&gt;/&lt;run_id&gt;/&lt;backtest_id&gt;/（批次汇总）；其下每个 factor_xxxx/ 目录保存单个因子的完整回测产物。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MySQL 镜像：一次单因子回测会写 backtests、backtest_components、backtest_daily、backtest_annual、backtest_trades、backtest_positions；批次层写 factor_backtest_runs。写入是尽力而为，失败只记 warning，不阻塞主流程。</w:t>
      </w:r>
    </w:p>
    <w:p>
      <w:pPr>
        <w:pStyle w:val="Heading2"/>
        <w:spacing w:after="120" w:before="240"/>
      </w:pPr>
      <w:r>
        <w:t xml:space="preserve">4.2 链路二：因子生成（真实路径在 CLI，Web 仍是 mock）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当前 React 的“因子生成”页没有调用后端：提交只做 addTask + 定时器，结果来自 frontend/src/mockExtended.ts 的 generatedFactors。真实的生成链路要从 CLI 或 AI research 工具进入。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python -m custom_bt.cli generate-factors --pool &lt;pool_id&gt; --config configs/factor_generation.yaml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custom_bt/cli.py（generate_factors_cmd）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custom_bt/factor_generation.run_factor_generation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prepare_factor_runtime（runtime manifest + train/valid/test split）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company_source.write_pool_panel（ClickHouse 面板 → Parquet）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single_factor.PanelData / FeatureRegistry / SingleFactorEvaluator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single_factor.runner.run_with_ppo</w:t>
      </w:r>
    </w:p>
    <w:p>
      <w:pPr>
        <w:shd w:fill="F4F4F4" w:val="clear"/>
        <w:spacing w:after="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FactorStorage：accepted_factors.jsonl / rejected_candidates.jsonl / checkpoints</w:t>
      </w:r>
    </w:p>
    <w:p>
      <w:pPr>
        <w:shd w:fill="F4F4F4" w:val="clear"/>
        <w:spacing w:after="160" w:line="240"/>
        <w:ind w:left="120"/>
      </w:pPr>
      <w:r>
        <w:rPr>
          <w:rFonts w:ascii="Consolas" w:eastAsia="微软雅黑" w:hAnsi="Consolas"/>
          <w:sz w:val="17"/>
          <w:szCs w:val="17"/>
        </w:rPr>
        <w:t xml:space="preserve">  → factor_run.json + MySQL persist_factor_run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生成阶段的输入是 configs/factor_generation.yaml：字段列表、三段 split、target_horizon、质量阈值（coverage/IC/ICIR）。字段列表变化会导致 runtime_id 变化，旧运行时缓存不会被复用。生成结果目录为仓库根 factor_runs/&lt;run_id&gt;/。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财务与估值字段已经接入生成配置：fund_* 字段按 InfoPublDate as-of 合并，val_* 字段按交易日直接对齐；这会影响可用训练窗口，配置里已把训练起点后移到 2024-01-01。</w:t>
      </w:r>
    </w:p>
    <w:p>
      <w:pPr>
        <w:pStyle w:val="Heading2"/>
        <w:spacing w:after="120" w:before="240"/>
      </w:pPr>
      <w:r>
        <w:t xml:space="preserve">4.3 补充：手动回测链路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POST /api/manual-backtests 与批量回测共用同一套任务机制：main.py 校验表达式与池，create_platform_job → 子进程 → manual_backtest.run_manual_backtest → 加载面板 → normalize_manual_expression → quantops evaluate_expression → engine.run_backtest → results.save_result。结果位于 outputs/saved_backtests/manual/&lt;job_id&gt;/&lt;run_name&gt;/。</w:t>
      </w:r>
    </w:p>
    <w:p>
      <w:pPr>
        <w:pStyle w:val="Heading1"/>
        <w:spacing w:after="160" w:before="320"/>
      </w:pPr>
      <w:r>
        <w:t xml:space="preserve">5. 架构观察</w:t>
      </w:r>
    </w:p>
    <w:p>
      <w:pPr>
        <w:pStyle w:val="Heading2"/>
        <w:spacing w:after="120" w:before="240"/>
      </w:pPr>
      <w:r>
        <w:t xml:space="preserve">5.1 分层是否清晰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清晰的部分：前端 / HTTP 接口 / 回测与数据核心 / 算子库 / PPO 生成器边界大体明确；engine.run_backtest 是纯函数式入口，便于单测；数据源通过 resolve_data_source 和 manifest 统一选择，clickhouse 与 local 没有散落在各页面。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不够清晰的部分：custom_bt 反向依赖 api.live_db；api/main.py 同时承担路由、业务校验、文件扫描和字段目录逻辑，已 1600 余行；factor_composition.py、mysql_store.py、frontend/ResearchPages.tsx 也都是千行级文件，阅读和改动成本偏高。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两套 UI 并存：backend/app 的 Streamlit 工作台和 frontend 的 React 工作台功能高度重叠。新成员需要先确认哪一套是维护目标，否则容易改错地方。</w:t>
      </w:r>
    </w:p>
    <w:p>
      <w:pPr>
        <w:pStyle w:val="Heading2"/>
        <w:spacing w:after="120" w:before="240"/>
      </w:pPr>
      <w:r>
        <w:t xml:space="preserve">5.2 耦合与重复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算子元数据有两份：custom_bt/docs.py 是 /api/operators 的生产者并被测试锁定，quantops/metadata.py 是副本，由 parity 测试保证一致。任何算子文案改动都要同时考虑两边。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表达式体系有两套名字：AlphaGen（PPO 生成器的表达）与 quantops（回测求值）；factor_adapter.py 与 canonical_expression.py 负责翻译。新增算子时要同时更新 canonical 定义、AlphaGen 词表和 quantops 实现。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因子生成有两个入口：backend 的 custom_bt.factor_generation 和独立的 single_factor.cli。前者复用后者，但两者的配置格式、输出目录和运行方式不同。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前端 mock 与真实接口混用。当前真实度如下表，新成员接手时最容易误判。“因子生成”和“因子组合”看起来完整，实际提交不会产生后端任务。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4000"/>
        <w:gridCol w:w="2400"/>
      </w:tblGrid>
      <w:tr>
        <w:trPr>
          <w:cantSplit/>
          <w:tblHeader/>
        </w:trPr>
        <w:tc>
          <w:tcPr>
            <w:tcW w:type="dxa" w:w="26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页面</w:t>
            </w:r>
          </w:p>
        </w:tc>
        <w:tc>
          <w:tcPr>
            <w:tcW w:type="dxa" w:w="4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24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当前状态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数据总览 / 数据字段 / 股票列表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/api/data/*（ClickHouse 实时）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真实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操作符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/api/operators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真实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股票池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/api/pools、/api/universe/*、/api/jobs/*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真实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因子生成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setTimeout + mockExtended.generatedFactors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mock，未调用后端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因子回测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/api/factor-runs、/api/factor-backtests、/api/jobs/*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真实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手动回测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/api/manual-backtests、/api/jobs/*、/api/results/*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真实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因子组合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mockExtended.composition* + setTimeout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mock，未调用后端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结果详情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/api/results、/api/results/detail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真实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总览 / 任务中心 / 用户与权限 / 审计 / 登录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mock 数据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mock，无鉴权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5.3 值得注意的设计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身份锁：source_signature 由数据源内容/路径等生成，pool_id、factor_run.json 都带签名；批量回测前会校验池、因子运行与当前数据源一致，避免拿旧池配新数据。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后台任务模式：写操作统一 202 + job_id，子进程执行，status.json 记录 queued/running/finished/failed 与 progress；前端 useJobPolling 1.5s 轮询。API 进程不会被长任务阻塞。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结果版本化：backtest_id 使用 job_id，同一因子运行用不同参数重复回测不会覆盖历史批次；结果目录与 run_key 一一对应。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只读数据源：live_db.guard_readonly 对 SQL 做前缀/关键字校验；大面板走 FORMAT Parquet 流式落盘，避免 JSONEachRow 解析百万行。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表达式安全：quantops 使用 AST 白名单，只允许注册算子与字段名，不执行任意 Python。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字段目录：configs/field_catalog.json 是 384 条静态目录（行情 27、财务原始 67、财务衍生 248、估值 42），API 每次实时查 system.columns 合并类型/注释/是否存在；离线时降级返回静态目录。384 条全部有面板别名，生成器实际只开放 expression=true 的 384 个字段。财务原始 67 条 = 51 个累计/时点字段 + 16 个单季派生字段（&lt;字段&gt;_q），并通过 period_type 标注 flow/flow_q/stock/ratio。财务衍生只接入原 446 目录中零值率低于 50% 的 248 个数值列；估值表包含 PE 及其后字段，只排除 DividendRatioLYR2、DividendRatio2、HoldProportionPAccount 三个字段。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财务流量口径规则：同一 PPO 生成任务只能选择累计字段（fund_X）或单季字段（fund_X_q）中的一种；prepare_factor_runtime 会拒绝混用，并把 fundamental_period_mode 写入 runtime manifest。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纯财务生成：fields 可以只包含财务/估值字段；prepare_factor_runtime 会自动把 close 加入 panel_fields 作为 target 价格，但 close 不进入 PPO 特征空间。因此无需为了生成财务因子而显式选择 close 或日频特征。</w:t>
      </w:r>
    </w:p>
    <w:p>
      <w:pPr>
        <w:pStyle w:val="Heading2"/>
        <w:spacing w:after="120" w:before="240"/>
      </w:pPr>
      <w:r>
        <w:t xml:space="preserve">5.4 风险与待改进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安全边界偏弱：CORS allow_origins=["*"]，登录/角色/审计是前端 mock，没有真实鉴权；配置里的 ClickHouse/MySQL 密码依赖 *.local.env 不入库，但任何能读服务器文件的人都能拿到。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子进程凭据隔离存疑：job_runner 的 docstring 写“子进程不接收 ClickHouse 凭据”，但 Popen 没有显式传 env，默认继承父进程环境；company_source 也会主动读 configs/clickhouse.local.env。该隔离承诺是否成立需要确认。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前端参数未完全接线：因子回测页会发送 rebalance_freq、commission、stamp_duty、max_drawdown_control，但 FactorBacktestRequest 只接收 buy_cost/sell_cost 等基础字段；engine.BacktestConfig 虽有 rebalance_freq，run_backtest 当前没有读取它（实际每日调仓）。这些参数是否只是展示、还是待实现，需要产品确认。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文档与代码有偏差：README 仍在写 custom_backtester/、原型/ 等旧目录；PROJECT_STATUS.md 是 2026-10-27 的快照，其中“因子生成 Web 仍是 mock”仍成立；它引用的 原型/README 里“因子回测提交表单是 mock”已过期。以当前代码为准。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部署与质量保障缺失：仓库没有 Dockerfile、docker-compose、CI 配置或 GitHub Actions；启动流程是 Windows 本地手工命令，换机器需要重新准备 Python/Node/凭据。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MySQL 写入没有重试/补偿队列：建池、因子、回测写失败只记 warning；股票池读取能回退本地文件，因子/回测的 API 仍以本地文件为准。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静态字段目录会过期：库里新增/改名列不会自动出现在页面上，只会让已有条目变成“库中未找到”；384 条目录需要人工维护。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本地主缓存已缺位：backend/data_cache/master 当前不存在，且 .gitignore 忽略；本地 local 模式只能兼容历史池，实际新流程全部依赖公司 ClickHouse。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research_pipeline 不可用：目录下只看到 __pycache__，源码缺失且未纳入 Git；无法确认它是否仍是有效子项目。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Calibri" w:eastAsia="微软雅黑" w:hAnsi="Calibri"/>
          <w:sz w:val="21"/>
          <w:szCs w:val="21"/>
        </w:rPr>
        <w:t xml:space="preserve">前端脚手架痕迹：vite.config.ts 含 Figma Make 插件，frontend/AGENTS.md 仍称 “figma-make-app”。这不影响运行，但说明前端是从设计工具脚手架改造而来，后续维护要留意无用插件与配置。</w:t>
      </w:r>
    </w:p>
    <w:p>
      <w:pPr>
        <w:pStyle w:val="Heading1"/>
        <w:spacing w:after="160" w:before="320"/>
      </w:pPr>
      <w:r>
        <w:t xml:space="preserve">6. 信息缺口</w:t>
      </w:r>
    </w:p>
    <w:p>
      <w:pPr>
        <w:spacing w:after="100" w:line="320"/>
      </w:pPr>
      <w:r>
        <w:rPr>
          <w:rFonts w:ascii="Calibri" w:eastAsia="微软雅黑" w:hAnsi="Calibri"/>
          <w:sz w:val="21"/>
          <w:szCs w:val="21"/>
        </w:rPr>
        <w:t xml:space="preserve">以下内容无法仅凭仓库判断，建议接手时向原维护者/业务方补齐：</w:t>
      </w:r>
    </w:p>
    <w:tbl>
      <w:tblPr>
        <w:tblW w:type="dxa" w:w="90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500"/>
        <w:gridCol w:w="3000"/>
        <w:gridCol w:w="5500"/>
      </w:tblGrid>
      <w:tr>
        <w:trPr>
          <w:cantSplit/>
          <w:tblHeader/>
        </w:trPr>
        <w:tc>
          <w:tcPr>
            <w:tcW w:type="dxa" w:w="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缺口</w:t>
            </w:r>
          </w:p>
        </w:tc>
        <w:tc>
          <w:tcPr>
            <w:tcW w:type="dxa" w:w="5500"/>
            <w:shd w:fill="D9E2F3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/>
                <w:bCs/>
                <w:sz w:val="18"/>
                <w:szCs w:val="18"/>
              </w:rPr>
              <w:t xml:space="preserve">需要补充什么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项目背景三项为空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项目类型（内部研究平台/生产系统）、目标用户、当前阶段与验收目标。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research_pipeline 源码缺失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该子项目是否还需要；如需要，请提供源码或明确废弃。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tools/ 为空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该目录原本放什么（脚本/工具）；是否已迁移到别处。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ClickHouse 真实 schema 与权限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表 DDL、字段含义、可用账号权限、网络/VPN 要求；仓库只硬编码了部分表名和字段。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MySQL 生产 schema 是否与代码一致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是否已执行 custom_bt.mysql_store schema；14 张表在目标环境是否齐全。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LLM 服务部署方式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DeepSeek API Key 由谁管理、模型名 deepseek-v4-flash 是否为正式名、是否有内网代理/限额。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部署目标与 CI 要求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部署到哪台机器/容器、是否需要 Linux、是否要接入 CI、是否有监控/告警要求。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鉴权与权限需求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是否要接公司 SSO/账号体系；用户与审计页是否必须落地。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回测参数语义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rebalance_freq、stamp_duty、max_drawdown_control 的预期行为；是否计划实现后再展示。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生产因子运行数据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factor_runs/ 当前只有两个 e2e 运行；正式生成结果在哪里、如何归档。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本地主缓存策略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data_cache/master 是否彻底废弃；旧 local 池/因子运行是否还要兼容。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设计文档内容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docs/ 下的 Word 文档（整体逻辑说明书、因子生成方法论等）未逐份核对；若与代码冲突，以哪份为准。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字段业务口径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384 条字段中财务、衍生与估值字段的可用性、精度、空值率、覆盖率，目前只有目录和状态，没有数据质量报告。</w:t>
            </w:r>
          </w:p>
        </w:tc>
      </w:tr>
      <w:tr>
        <w:trPr>
          <w:cantSplit/>
        </w:trPr>
        <w:tc>
          <w:tcPr>
            <w:tcW w:type="dxa" w:w="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前端目标形态</w:t>
            </w:r>
          </w:p>
        </w:tc>
        <w:tc>
          <w:tcPr>
            <w:tcW w:type="dxa" w:w="5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alibri" w:eastAsia="微软雅黑" w:hAnsi="Calibri"/>
                <w:b w:val="false"/>
                <w:bCs w:val="false"/>
                <w:sz w:val="18"/>
                <w:szCs w:val="18"/>
              </w:rPr>
              <w:t xml:space="preserve">Figma Make 脚手架是否继续保留；是否计划清理与业务无关的插件/配置。</w:t>
            </w:r>
          </w:p>
        </w:tc>
      </w:tr>
    </w:tbl>
    <w:p>
      <w:pPr>
        <w:spacing w:after="120"/>
      </w:pPr>
    </w:p>
    <w:p>
      <w:pPr>
        <w:spacing w:after="200" w:line="320"/>
      </w:pPr>
      <w:r>
        <w:rPr>
          <w:rFonts w:ascii="Calibri" w:eastAsia="微软雅黑" w:hAnsi="Calibri"/>
          <w:sz w:val="21"/>
          <w:szCs w:val="21"/>
        </w:rPr>
        <w:t xml:space="preserve">如果只能先补三项，优先顺序建议是：ClickHouse/MySQL 的真实访问方式与 schema（决定系统能否跑起来）→ 因子生成/组合是否要接 Web（决定前端 mock 的优先级）→ 鉴权与部署要求（决定能否上线）。</w:t>
      </w:r>
    </w:p>
    <w:sectPr>
      <w:footerReference w:type="default" r:id="rId7"/>
      <w:pgSz w:w="11906" w:h="16838" w:orient="portrait"/>
      <w:pgMar w:top="1200" w:right="1450" w:bottom="12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软雅黑" w:hAnsi="Calibri"/>
        <w:color w:val="808080"/>
        <w:sz w:val="16"/>
        <w:szCs w:val="16"/>
      </w:rPr>
      <w:t xml:space="preserve">QuantLab 架构梳理 · </w:t>
    </w:r>
    <w:r>
      <w:rPr>
        <w:rFonts w:ascii="Calibri" w:eastAsia="微软雅黑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Calibri" w:eastAsia="微软雅黑" w:hAnsi="Calibri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软雅黑" w:hAnsi="Calibri"/>
        <w:sz w:val="21"/>
        <w:szCs w:val="21"/>
      </w:rPr>
    </w:rPrDefault>
    <w:pPrDefault>
      <w:pPr>
        <w:spacing w:after="100"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eastAsia="微软雅黑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eastAsia="微软雅黑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eastAsia="微软雅黑" w:hAnsi="Calibr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QuantLab 生成因子＋回测系统 项目架构梳理</dc:title>
  <dc:creator>QuantLab 架构梳理</dc:creator>
  <dc:description>面向新成员接手的项目架构说明</dc:description>
  <cp:lastModifiedBy>Un-named</cp:lastModifiedBy>
  <cp:revision>1</cp:revision>
  <dcterms:created xsi:type="dcterms:W3CDTF">2026-11-01T09:37:01.596Z</dcterms:created>
  <dcterms:modified xsi:type="dcterms:W3CDTF">2026-11-01T09:37:01.597Z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