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crosoft YaHei"/>
          <w:b/>
          <w:color w:val="1F4E79"/>
          <w:sz w:val="40"/>
        </w:rPr>
        <w:t>因子生成方法论说明</w:t>
      </w:r>
    </w:p>
    <w:p>
      <w:pPr>
        <w:jc w:val="center"/>
      </w:pPr>
      <w:r>
        <w:rPr>
          <w:rFonts w:ascii="Calibri" w:hAnsi="Calibri" w:eastAsia="Microsoft YaHei"/>
          <w:b w:val="0"/>
          <w:sz w:val="23"/>
        </w:rPr>
        <w:t>从研究问题、搜索空间、PPO 生成、合格标准到验证协议的论文式方法框架</w:t>
      </w:r>
    </w:p>
    <w:tbl>
      <w:tblPr>
        <w:tblStyle w:val="TableGrid"/>
        <w:tblW w:type="auto" w:w="0"/>
        <w:jc w:val="center"/>
        <w:tblLook w:firstColumn="1" w:firstRow="1" w:lastColumn="0" w:lastRow="0" w:noHBand="0" w:noVBand="1" w:val="04A0"/>
      </w:tblPr>
      <w:tblGrid>
        <w:gridCol w:w="4680"/>
        <w:gridCol w:w="4680"/>
      </w:tblGrid>
      <w:tr>
        <w:tc>
          <w:tcPr>
            <w:tcW w:type="dxa" w:w="1701"/>
            <w:vAlign w:val="center"/>
            <w:shd w:fill="E8EEF5"/>
          </w:tcPr>
          <w:p>
            <w:pPr>
              <w:jc w:val="left"/>
            </w:pPr>
            <w:r/>
            <w:r>
              <w:rPr>
                <w:rFonts w:ascii="Calibri" w:hAnsi="Calibri" w:eastAsia="Microsoft YaHei"/>
                <w:b/>
                <w:sz w:val="18"/>
              </w:rPr>
              <w:t>文档定位</w:t>
            </w:r>
          </w:p>
        </w:tc>
        <w:tc>
          <w:tcPr>
            <w:tcW w:type="dxa" w:w="7370"/>
            <w:vAlign w:val="center"/>
            <w:shd w:fill="E8EEF5"/>
          </w:tcPr>
          <w:p>
            <w:pPr>
              <w:jc w:val="left"/>
            </w:pPr>
            <w:r/>
            <w:r>
              <w:rPr>
                <w:rFonts w:ascii="Calibri" w:hAnsi="Calibri" w:eastAsia="Microsoft YaHei"/>
                <w:b/>
                <w:sz w:val="18"/>
              </w:rPr>
              <w:t>说明</w:t>
            </w:r>
          </w:p>
        </w:tc>
      </w:tr>
      <w:tr>
        <w:tc>
          <w:tcPr>
            <w:tcW w:type="dxa" w:w="1701"/>
            <w:vAlign w:val="center"/>
          </w:tcPr>
          <w:p>
            <w:pPr>
              <w:jc w:val="left"/>
            </w:pPr>
            <w:r/>
            <w:r>
              <w:rPr>
                <w:rFonts w:ascii="Calibri" w:hAnsi="Calibri" w:eastAsia="Microsoft YaHei"/>
                <w:b w:val="0"/>
                <w:sz w:val="18"/>
              </w:rPr>
              <w:t>目标</w:t>
            </w:r>
          </w:p>
        </w:tc>
        <w:tc>
          <w:tcPr>
            <w:tcW w:type="dxa" w:w="7370"/>
            <w:vAlign w:val="center"/>
          </w:tcPr>
          <w:p>
            <w:pPr>
              <w:jc w:val="left"/>
            </w:pPr>
            <w:r/>
            <w:r>
              <w:rPr>
                <w:rFonts w:ascii="Calibri" w:hAnsi="Calibri" w:eastAsia="Microsoft YaHei"/>
                <w:b w:val="0"/>
                <w:sz w:val="18"/>
              </w:rPr>
              <w:t>只讨论因子生成阶段的方法论，不讨论后续回测和组合。</w:t>
            </w:r>
          </w:p>
        </w:tc>
      </w:tr>
      <w:tr>
        <w:tc>
          <w:tcPr>
            <w:tcW w:type="dxa" w:w="1701"/>
            <w:vAlign w:val="center"/>
          </w:tcPr>
          <w:p>
            <w:pPr>
              <w:jc w:val="left"/>
            </w:pPr>
            <w:r/>
            <w:r>
              <w:rPr>
                <w:rFonts w:ascii="Calibri" w:hAnsi="Calibri" w:eastAsia="Microsoft YaHei"/>
                <w:b w:val="0"/>
                <w:sz w:val="18"/>
              </w:rPr>
              <w:t>核心视角</w:t>
            </w:r>
          </w:p>
        </w:tc>
        <w:tc>
          <w:tcPr>
            <w:tcW w:type="dxa" w:w="7370"/>
            <w:vAlign w:val="center"/>
          </w:tcPr>
          <w:p>
            <w:pPr>
              <w:jc w:val="left"/>
            </w:pPr>
            <w:r/>
            <w:r>
              <w:rPr>
                <w:rFonts w:ascii="Calibri" w:hAnsi="Calibri" w:eastAsia="Microsoft YaHei"/>
                <w:b w:val="0"/>
                <w:sz w:val="18"/>
              </w:rPr>
              <w:t>把因子生成看成一个受约束的表达式搜索与筛选问题。</w:t>
            </w:r>
          </w:p>
        </w:tc>
      </w:tr>
      <w:tr>
        <w:tc>
          <w:tcPr>
            <w:tcW w:type="dxa" w:w="1701"/>
            <w:vAlign w:val="center"/>
          </w:tcPr>
          <w:p>
            <w:pPr>
              <w:jc w:val="left"/>
            </w:pPr>
            <w:r/>
            <w:r>
              <w:rPr>
                <w:rFonts w:ascii="Calibri" w:hAnsi="Calibri" w:eastAsia="Microsoft YaHei"/>
                <w:b w:val="0"/>
                <w:sz w:val="18"/>
              </w:rPr>
              <w:t>产出</w:t>
            </w:r>
          </w:p>
        </w:tc>
        <w:tc>
          <w:tcPr>
            <w:tcW w:type="dxa" w:w="7370"/>
            <w:vAlign w:val="center"/>
          </w:tcPr>
          <w:p>
            <w:pPr>
              <w:jc w:val="left"/>
            </w:pPr>
            <w:r/>
            <w:r>
              <w:rPr>
                <w:rFonts w:ascii="Calibri" w:hAnsi="Calibri" w:eastAsia="Microsoft YaHei"/>
                <w:b w:val="0"/>
                <w:sz w:val="18"/>
              </w:rPr>
              <w:t>合格因子、拒绝因子、训练记录、运行时签名和可复现实验协议。</w:t>
            </w:r>
          </w:p>
        </w:tc>
      </w:tr>
      <w:tr>
        <w:tc>
          <w:tcPr>
            <w:tcW w:type="dxa" w:w="1701"/>
            <w:vAlign w:val="center"/>
          </w:tcPr>
          <w:p>
            <w:pPr>
              <w:jc w:val="left"/>
            </w:pPr>
            <w:r/>
            <w:r>
              <w:rPr>
                <w:rFonts w:ascii="Calibri" w:hAnsi="Calibri" w:eastAsia="Microsoft YaHei"/>
                <w:b w:val="0"/>
                <w:sz w:val="18"/>
              </w:rPr>
              <w:t>原则</w:t>
            </w:r>
          </w:p>
        </w:tc>
        <w:tc>
          <w:tcPr>
            <w:tcW w:type="dxa" w:w="7370"/>
            <w:vAlign w:val="center"/>
          </w:tcPr>
          <w:p>
            <w:pPr>
              <w:jc w:val="left"/>
            </w:pPr>
            <w:r/>
            <w:r>
              <w:rPr>
                <w:rFonts w:ascii="Calibri" w:hAnsi="Calibri" w:eastAsia="Microsoft YaHei"/>
                <w:b w:val="0"/>
                <w:sz w:val="18"/>
              </w:rPr>
              <w:t>无泄漏、可复现、可解释、可验证，不把生成结果直接等同于最终交易结论。</w:t>
            </w:r>
          </w:p>
        </w:tc>
      </w:tr>
    </w:tbl>
    <w:p/>
    <w:p>
      <w:pPr>
        <w:pStyle w:val="Heading1"/>
      </w:pPr>
      <w:r>
        <w:t>摘要</w:t>
      </w:r>
    </w:p>
    <w:p>
      <w:r>
        <w:t>因子生成阶段的任务，不是简单地“随机造几个表达式”，而是在有限数据与有限算子空间下，寻找能够稳定刻画未来收益结构的候选信号。一个严谨的生成方法论需要同时回答四个问题：第一，搜索空间如何定义；第二，生成器如何在空间中探索；第三，什么样的表达式算作“合格”；第四，如何证明这些合格因子不是样本泄漏或过拟合的产物。</w:t>
      </w:r>
    </w:p>
    <w:p>
      <w:r>
        <w:t>本说明以这四个问题为主线，构建一套论文式的方法章节：先给出研究假设，再形式化定义输入、目标和约束，接着说明 PPO 式生成机制与评价函数，随后给出训练/验证/测试的切分协议，最后讨论失败模式和稳健性检查。</w:t>
      </w:r>
    </w:p>
    <w:p>
      <w:pPr>
        <w:pStyle w:val="Heading1"/>
      </w:pPr>
      <w:r>
        <w:t>1. 研究问题与基本假设</w:t>
      </w:r>
    </w:p>
    <w:p>
      <w:pPr>
        <w:pStyle w:val="Heading2"/>
      </w:pPr>
      <w:r>
        <w:t>1.1 研究问题</w:t>
      </w:r>
    </w:p>
    <w:p>
      <w:r>
        <w:t>因子生成本质上是一个受约束的序列搜索问题。系统从一个由字段、常数、时间算子、横截面算子和逻辑算子构成的表达式空间中，寻找能够与未来收益形成稳定统计关系的候选信号。研究问题并不是“怎样拼出最复杂的公式”，而是“怎样在有限预算下找到统计上足够稳健、交易上可解释的表达式”。</w:t>
      </w:r>
    </w:p>
    <w:p>
      <w:pPr>
        <w:pStyle w:val="Heading2"/>
      </w:pPr>
      <w:r>
        <w:t>1.2 基本假设</w:t>
      </w:r>
    </w:p>
    <w:p>
      <w:pPr>
        <w:pStyle w:val="ListBullet"/>
      </w:pPr>
      <w:r>
        <w:t>市场中的可预测结构是局部存在的，因此需要通过表达式搜索去发现，而不是预先手工枚举。</w:t>
      </w:r>
    </w:p>
    <w:p>
      <w:pPr>
        <w:pStyle w:val="ListBullet"/>
      </w:pPr>
      <w:r>
        <w:t>单个因子的好坏可以通过历史样本中的预测指标近似衡量，但这些指标本身只代表相关性，不代表因果。</w:t>
      </w:r>
    </w:p>
    <w:p>
      <w:pPr>
        <w:pStyle w:val="ListBullet"/>
      </w:pPr>
      <w:r>
        <w:t>训练、验证、测试三个时间段必须严格隔离，避免时间泄漏。</w:t>
      </w:r>
    </w:p>
    <w:p>
      <w:pPr>
        <w:pStyle w:val="ListBullet"/>
      </w:pPr>
      <w:r>
        <w:t>表达式空间应该被限制在一组可解释的字段与操作符中，否则模型容易学到无法交易或无法解释的噪声结构。</w:t>
      </w:r>
    </w:p>
    <w:p>
      <w:pPr>
        <w:pStyle w:val="Heading2"/>
      </w:pPr>
      <w:r>
        <w:t>1.3 研究边界</w:t>
      </w:r>
    </w:p>
    <w:p>
      <w:pPr>
        <w:pStyle w:val="ListBullet"/>
      </w:pPr>
      <w:r>
        <w:t>因子生成阶段只负责发现候选表达式，不负责证明其最终可交易性。</w:t>
      </w:r>
    </w:p>
    <w:p>
      <w:pPr>
        <w:pStyle w:val="ListBullet"/>
      </w:pPr>
      <w:r>
        <w:t>生成阶段的合格标准不是最终上线标准，而是进入下一阶段研究的门槛。</w:t>
      </w:r>
    </w:p>
    <w:p>
      <w:pPr>
        <w:pStyle w:val="ListBullet"/>
      </w:pPr>
      <w:r>
        <w:t>高分不等于稳定，短期高 IC 不代表长期可复现。</w:t>
      </w:r>
    </w:p>
    <w:p>
      <w:pPr>
        <w:pStyle w:val="Heading1"/>
      </w:pPr>
      <w:r>
        <w:t>2. 输入数据与样本边界</w:t>
      </w:r>
    </w:p>
    <w:p>
      <w:pPr>
        <w:pStyle w:val="Heading2"/>
      </w:pPr>
      <w:r>
        <w:t>2.1 数据角色</w:t>
      </w:r>
    </w:p>
    <w:p>
      <w:r>
        <w:t>因子生成只依赖可在时点 t 获得的历史数据。常用输入包括 open、close、high、low、volume、amount、ChangePCT、RangePCT、TurnoverRate、Ifsuspend、if_up、if_flat、if_down、连续涨跌天数、区间高低点、EMA、MACD、KDJ 和均线序列等。</w:t>
      </w:r>
    </w:p>
    <w:tbl>
      <w:tblPr>
        <w:tblStyle w:val="TableGrid"/>
        <w:tblW w:type="auto" w:w="0"/>
        <w:jc w:val="center"/>
        <w:tblLook w:firstColumn="1" w:firstRow="1" w:lastColumn="0" w:lastRow="0" w:noHBand="0" w:noVBand="1" w:val="04A0"/>
      </w:tblPr>
      <w:tblGrid>
        <w:gridCol w:w="3120"/>
        <w:gridCol w:w="3120"/>
        <w:gridCol w:w="3120"/>
      </w:tblGrid>
      <w:tr>
        <w:tc>
          <w:tcPr>
            <w:tcW w:type="dxa" w:w="1701"/>
            <w:vAlign w:val="center"/>
            <w:shd w:fill="E8EEF5"/>
          </w:tcPr>
          <w:p>
            <w:pPr>
              <w:jc w:val="left"/>
            </w:pPr>
            <w:r/>
            <w:r>
              <w:rPr>
                <w:rFonts w:ascii="Calibri" w:hAnsi="Calibri" w:eastAsia="Microsoft YaHei"/>
                <w:b/>
                <w:sz w:val="18"/>
              </w:rPr>
              <w:t>数据组</w:t>
            </w:r>
          </w:p>
        </w:tc>
        <w:tc>
          <w:tcPr>
            <w:tcW w:type="dxa" w:w="3175"/>
            <w:vAlign w:val="center"/>
            <w:shd w:fill="E8EEF5"/>
          </w:tcPr>
          <w:p>
            <w:pPr>
              <w:jc w:val="left"/>
            </w:pPr>
            <w:r/>
            <w:r>
              <w:rPr>
                <w:rFonts w:ascii="Calibri" w:hAnsi="Calibri" w:eastAsia="Microsoft YaHei"/>
                <w:b/>
                <w:sz w:val="18"/>
              </w:rPr>
              <w:t>作用</w:t>
            </w:r>
          </w:p>
        </w:tc>
        <w:tc>
          <w:tcPr>
            <w:tcW w:type="dxa" w:w="4195"/>
            <w:vAlign w:val="center"/>
            <w:shd w:fill="E8EEF5"/>
          </w:tcPr>
          <w:p>
            <w:pPr>
              <w:jc w:val="left"/>
            </w:pPr>
            <w:r/>
            <w:r>
              <w:rPr>
                <w:rFonts w:ascii="Calibri" w:hAnsi="Calibri" w:eastAsia="Microsoft YaHei"/>
                <w:b/>
                <w:sz w:val="18"/>
              </w:rPr>
              <w:t>注意点</w:t>
            </w:r>
          </w:p>
        </w:tc>
      </w:tr>
      <w:tr>
        <w:tc>
          <w:tcPr>
            <w:tcW w:type="dxa" w:w="1701"/>
            <w:vAlign w:val="center"/>
          </w:tcPr>
          <w:p>
            <w:pPr>
              <w:jc w:val="left"/>
            </w:pPr>
            <w:r/>
            <w:r>
              <w:rPr>
                <w:rFonts w:ascii="Calibri" w:hAnsi="Calibri" w:eastAsia="Microsoft YaHei"/>
                <w:b w:val="0"/>
                <w:sz w:val="18"/>
              </w:rPr>
              <w:t>基础行情</w:t>
            </w:r>
          </w:p>
        </w:tc>
        <w:tc>
          <w:tcPr>
            <w:tcW w:type="dxa" w:w="3175"/>
            <w:vAlign w:val="center"/>
          </w:tcPr>
          <w:p>
            <w:pPr>
              <w:jc w:val="left"/>
            </w:pPr>
            <w:r/>
            <w:r>
              <w:rPr>
                <w:rFonts w:ascii="Calibri" w:hAnsi="Calibri" w:eastAsia="Microsoft YaHei"/>
                <w:b w:val="0"/>
                <w:sz w:val="18"/>
              </w:rPr>
              <w:t>构成价格和收益关系的最小输入。</w:t>
            </w:r>
          </w:p>
        </w:tc>
        <w:tc>
          <w:tcPr>
            <w:tcW w:type="dxa" w:w="4195"/>
            <w:vAlign w:val="center"/>
          </w:tcPr>
          <w:p>
            <w:pPr>
              <w:jc w:val="left"/>
            </w:pPr>
            <w:r/>
            <w:r>
              <w:rPr>
                <w:rFonts w:ascii="Calibri" w:hAnsi="Calibri" w:eastAsia="Microsoft YaHei"/>
                <w:b w:val="0"/>
                <w:sz w:val="18"/>
              </w:rPr>
              <w:t>不能缺少 close，否则目标难以构造。</w:t>
            </w:r>
          </w:p>
        </w:tc>
      </w:tr>
      <w:tr>
        <w:tc>
          <w:tcPr>
            <w:tcW w:type="dxa" w:w="1701"/>
            <w:vAlign w:val="center"/>
          </w:tcPr>
          <w:p>
            <w:pPr>
              <w:jc w:val="left"/>
            </w:pPr>
            <w:r/>
            <w:r>
              <w:rPr>
                <w:rFonts w:ascii="Calibri" w:hAnsi="Calibri" w:eastAsia="Microsoft YaHei"/>
                <w:b w:val="0"/>
                <w:sz w:val="18"/>
              </w:rPr>
              <w:t>量价与换手</w:t>
            </w:r>
          </w:p>
        </w:tc>
        <w:tc>
          <w:tcPr>
            <w:tcW w:type="dxa" w:w="3175"/>
            <w:vAlign w:val="center"/>
          </w:tcPr>
          <w:p>
            <w:pPr>
              <w:jc w:val="left"/>
            </w:pPr>
            <w:r/>
            <w:r>
              <w:rPr>
                <w:rFonts w:ascii="Calibri" w:hAnsi="Calibri" w:eastAsia="Microsoft YaHei"/>
                <w:b w:val="0"/>
                <w:sz w:val="18"/>
              </w:rPr>
              <w:t>反映交易活跃度和资金参与。</w:t>
            </w:r>
          </w:p>
        </w:tc>
        <w:tc>
          <w:tcPr>
            <w:tcW w:type="dxa" w:w="4195"/>
            <w:vAlign w:val="center"/>
          </w:tcPr>
          <w:p>
            <w:pPr>
              <w:jc w:val="left"/>
            </w:pPr>
            <w:r/>
            <w:r>
              <w:rPr>
                <w:rFonts w:ascii="Calibri" w:hAnsi="Calibri" w:eastAsia="Microsoft YaHei"/>
                <w:b w:val="0"/>
                <w:sz w:val="18"/>
              </w:rPr>
              <w:t>高换手不一定是高质量信号，需结合成本。</w:t>
            </w:r>
          </w:p>
        </w:tc>
      </w:tr>
      <w:tr>
        <w:tc>
          <w:tcPr>
            <w:tcW w:type="dxa" w:w="1701"/>
            <w:vAlign w:val="center"/>
          </w:tcPr>
          <w:p>
            <w:pPr>
              <w:jc w:val="left"/>
            </w:pPr>
            <w:r/>
            <w:r>
              <w:rPr>
                <w:rFonts w:ascii="Calibri" w:hAnsi="Calibri" w:eastAsia="Microsoft YaHei"/>
                <w:b w:val="0"/>
                <w:sz w:val="18"/>
              </w:rPr>
              <w:t>交易状态</w:t>
            </w:r>
          </w:p>
        </w:tc>
        <w:tc>
          <w:tcPr>
            <w:tcW w:type="dxa" w:w="3175"/>
            <w:vAlign w:val="center"/>
          </w:tcPr>
          <w:p>
            <w:pPr>
              <w:jc w:val="left"/>
            </w:pPr>
            <w:r/>
            <w:r>
              <w:rPr>
                <w:rFonts w:ascii="Calibri" w:hAnsi="Calibri" w:eastAsia="Microsoft YaHei"/>
                <w:b w:val="0"/>
                <w:sz w:val="18"/>
              </w:rPr>
              <w:t>反映停牌、涨跌状态和微观约束。</w:t>
            </w:r>
          </w:p>
        </w:tc>
        <w:tc>
          <w:tcPr>
            <w:tcW w:type="dxa" w:w="4195"/>
            <w:vAlign w:val="center"/>
          </w:tcPr>
          <w:p>
            <w:pPr>
              <w:jc w:val="left"/>
            </w:pPr>
            <w:r/>
            <w:r>
              <w:rPr>
                <w:rFonts w:ascii="Calibri" w:hAnsi="Calibri" w:eastAsia="Microsoft YaHei"/>
                <w:b w:val="0"/>
                <w:sz w:val="18"/>
              </w:rPr>
              <w:t>这类字段更适合作为过滤或条件变量。</w:t>
            </w:r>
          </w:p>
        </w:tc>
      </w:tr>
      <w:tr>
        <w:tc>
          <w:tcPr>
            <w:tcW w:type="dxa" w:w="1701"/>
            <w:vAlign w:val="center"/>
          </w:tcPr>
          <w:p>
            <w:pPr>
              <w:jc w:val="left"/>
            </w:pPr>
            <w:r/>
            <w:r>
              <w:rPr>
                <w:rFonts w:ascii="Calibri" w:hAnsi="Calibri" w:eastAsia="Microsoft YaHei"/>
                <w:b w:val="0"/>
                <w:sz w:val="18"/>
              </w:rPr>
              <w:t>技术衍生</w:t>
            </w:r>
          </w:p>
        </w:tc>
        <w:tc>
          <w:tcPr>
            <w:tcW w:type="dxa" w:w="3175"/>
            <w:vAlign w:val="center"/>
          </w:tcPr>
          <w:p>
            <w:pPr>
              <w:jc w:val="left"/>
            </w:pPr>
            <w:r/>
            <w:r>
              <w:rPr>
                <w:rFonts w:ascii="Calibri" w:hAnsi="Calibri" w:eastAsia="Microsoft YaHei"/>
                <w:b w:val="0"/>
                <w:sz w:val="18"/>
              </w:rPr>
              <w:t>给 PPO 提供高层统计结构。</w:t>
            </w:r>
          </w:p>
        </w:tc>
        <w:tc>
          <w:tcPr>
            <w:tcW w:type="dxa" w:w="4195"/>
            <w:vAlign w:val="center"/>
          </w:tcPr>
          <w:p>
            <w:pPr>
              <w:jc w:val="left"/>
            </w:pPr>
            <w:r/>
            <w:r>
              <w:rPr>
                <w:rFonts w:ascii="Calibri" w:hAnsi="Calibri" w:eastAsia="Microsoft YaHei"/>
                <w:b w:val="0"/>
                <w:sz w:val="18"/>
              </w:rPr>
              <w:t>应确保这些指标只使用历史信息计算。</w:t>
            </w:r>
          </w:p>
        </w:tc>
      </w:tr>
    </w:tbl>
    <w:p/>
    <w:p>
      <w:pPr>
        <w:pStyle w:val="Heading2"/>
      </w:pPr>
      <w:r>
        <w:t>2.2 样本边界</w:t>
      </w:r>
    </w:p>
    <w:p>
      <w:r>
        <w:t>样本边界的核心原则是：所有用于生成与评估的输入都必须早于预测目标。换句话说，表达式在日期 t 的取值只能使用 t 及之前的信息，目标收益则来自 t 之后的固定预测窗口。如果这一点被破坏，生成器即便得到很高的 IC，也只是学到了未来信息。</w:t>
      </w:r>
    </w:p>
    <w:p>
      <w:pPr>
        <w:pStyle w:val="IntenseQuote"/>
      </w:pPr>
      <w:r>
        <w:rPr>
          <w:rFonts w:ascii="Calibri" w:hAnsi="Calibri" w:eastAsia="Microsoft YaHei"/>
          <w:b w:val="0"/>
          <w:sz w:val="20"/>
        </w:rPr>
        <w:t>在研究设计上，最重要的不是“数据量越大越好”，而是“边界越清晰越好”。</w:t>
      </w:r>
    </w:p>
    <w:p>
      <w:pPr>
        <w:pStyle w:val="Heading2"/>
      </w:pPr>
      <w:r>
        <w:t>2.3 时间切分</w:t>
      </w:r>
    </w:p>
    <w:tbl>
      <w:tblPr>
        <w:tblStyle w:val="TableGrid"/>
        <w:tblW w:type="auto" w:w="0"/>
        <w:jc w:val="center"/>
        <w:tblLook w:firstColumn="1" w:firstRow="1" w:lastColumn="0" w:lastRow="0" w:noHBand="0" w:noVBand="1" w:val="04A0"/>
      </w:tblPr>
      <w:tblGrid>
        <w:gridCol w:w="3120"/>
        <w:gridCol w:w="3120"/>
        <w:gridCol w:w="3120"/>
      </w:tblGrid>
      <w:tr>
        <w:tc>
          <w:tcPr>
            <w:tcW w:type="dxa" w:w="1701"/>
            <w:vAlign w:val="center"/>
            <w:shd w:fill="E8EEF5"/>
          </w:tcPr>
          <w:p>
            <w:pPr>
              <w:jc w:val="left"/>
            </w:pPr>
            <w:r/>
            <w:r>
              <w:rPr>
                <w:rFonts w:ascii="Calibri" w:hAnsi="Calibri" w:eastAsia="Microsoft YaHei"/>
                <w:b/>
                <w:sz w:val="18"/>
              </w:rPr>
              <w:t>区间</w:t>
            </w:r>
          </w:p>
        </w:tc>
        <w:tc>
          <w:tcPr>
            <w:tcW w:type="dxa" w:w="3175"/>
            <w:vAlign w:val="center"/>
            <w:shd w:fill="E8EEF5"/>
          </w:tcPr>
          <w:p>
            <w:pPr>
              <w:jc w:val="left"/>
            </w:pPr>
            <w:r/>
            <w:r>
              <w:rPr>
                <w:rFonts w:ascii="Calibri" w:hAnsi="Calibri" w:eastAsia="Microsoft YaHei"/>
                <w:b/>
                <w:sz w:val="18"/>
              </w:rPr>
              <w:t>作用</w:t>
            </w:r>
          </w:p>
        </w:tc>
        <w:tc>
          <w:tcPr>
            <w:tcW w:type="dxa" w:w="4195"/>
            <w:vAlign w:val="center"/>
            <w:shd w:fill="E8EEF5"/>
          </w:tcPr>
          <w:p>
            <w:pPr>
              <w:jc w:val="left"/>
            </w:pPr>
            <w:r/>
            <w:r>
              <w:rPr>
                <w:rFonts w:ascii="Calibri" w:hAnsi="Calibri" w:eastAsia="Microsoft YaHei"/>
                <w:b/>
                <w:sz w:val="18"/>
              </w:rPr>
              <w:t>要求</w:t>
            </w:r>
          </w:p>
        </w:tc>
      </w:tr>
      <w:tr>
        <w:tc>
          <w:tcPr>
            <w:tcW w:type="dxa" w:w="1701"/>
            <w:vAlign w:val="center"/>
          </w:tcPr>
          <w:p>
            <w:pPr>
              <w:jc w:val="left"/>
            </w:pPr>
            <w:r/>
            <w:r>
              <w:rPr>
                <w:rFonts w:ascii="Calibri" w:hAnsi="Calibri" w:eastAsia="Microsoft YaHei"/>
                <w:b w:val="0"/>
                <w:sz w:val="18"/>
              </w:rPr>
              <w:t>训练集</w:t>
            </w:r>
          </w:p>
        </w:tc>
        <w:tc>
          <w:tcPr>
            <w:tcW w:type="dxa" w:w="3175"/>
            <w:vAlign w:val="center"/>
          </w:tcPr>
          <w:p>
            <w:pPr>
              <w:jc w:val="left"/>
            </w:pPr>
            <w:r/>
            <w:r>
              <w:rPr>
                <w:rFonts w:ascii="Calibri" w:hAnsi="Calibri" w:eastAsia="Microsoft YaHei"/>
                <w:b w:val="0"/>
                <w:sz w:val="18"/>
              </w:rPr>
              <w:t>学习表达式生成规律。</w:t>
            </w:r>
          </w:p>
        </w:tc>
        <w:tc>
          <w:tcPr>
            <w:tcW w:type="dxa" w:w="4195"/>
            <w:vAlign w:val="center"/>
          </w:tcPr>
          <w:p>
            <w:pPr>
              <w:jc w:val="left"/>
            </w:pPr>
            <w:r/>
            <w:r>
              <w:rPr>
                <w:rFonts w:ascii="Calibri" w:hAnsi="Calibri" w:eastAsia="Microsoft YaHei"/>
                <w:b w:val="0"/>
                <w:sz w:val="18"/>
              </w:rPr>
              <w:t>用于搜索和参数更新。</w:t>
            </w:r>
          </w:p>
        </w:tc>
      </w:tr>
      <w:tr>
        <w:tc>
          <w:tcPr>
            <w:tcW w:type="dxa" w:w="1701"/>
            <w:vAlign w:val="center"/>
          </w:tcPr>
          <w:p>
            <w:pPr>
              <w:jc w:val="left"/>
            </w:pPr>
            <w:r/>
            <w:r>
              <w:rPr>
                <w:rFonts w:ascii="Calibri" w:hAnsi="Calibri" w:eastAsia="Microsoft YaHei"/>
                <w:b w:val="0"/>
                <w:sz w:val="18"/>
              </w:rPr>
              <w:t>验证集</w:t>
            </w:r>
          </w:p>
        </w:tc>
        <w:tc>
          <w:tcPr>
            <w:tcW w:type="dxa" w:w="3175"/>
            <w:vAlign w:val="center"/>
          </w:tcPr>
          <w:p>
            <w:pPr>
              <w:jc w:val="left"/>
            </w:pPr>
            <w:r/>
            <w:r>
              <w:rPr>
                <w:rFonts w:ascii="Calibri" w:hAnsi="Calibri" w:eastAsia="Microsoft YaHei"/>
                <w:b w:val="0"/>
                <w:sz w:val="18"/>
              </w:rPr>
              <w:t>选择合格因子和调节阈值。</w:t>
            </w:r>
          </w:p>
        </w:tc>
        <w:tc>
          <w:tcPr>
            <w:tcW w:type="dxa" w:w="4195"/>
            <w:vAlign w:val="center"/>
          </w:tcPr>
          <w:p>
            <w:pPr>
              <w:jc w:val="left"/>
            </w:pPr>
            <w:r/>
            <w:r>
              <w:rPr>
                <w:rFonts w:ascii="Calibri" w:hAnsi="Calibri" w:eastAsia="Microsoft YaHei"/>
                <w:b w:val="0"/>
                <w:sz w:val="18"/>
              </w:rPr>
              <w:t>必须与训练集时间上分离。</w:t>
            </w:r>
          </w:p>
        </w:tc>
      </w:tr>
      <w:tr>
        <w:tc>
          <w:tcPr>
            <w:tcW w:type="dxa" w:w="1701"/>
            <w:vAlign w:val="center"/>
          </w:tcPr>
          <w:p>
            <w:pPr>
              <w:jc w:val="left"/>
            </w:pPr>
            <w:r/>
            <w:r>
              <w:rPr>
                <w:rFonts w:ascii="Calibri" w:hAnsi="Calibri" w:eastAsia="Microsoft YaHei"/>
                <w:b w:val="0"/>
                <w:sz w:val="18"/>
              </w:rPr>
              <w:t>测试集</w:t>
            </w:r>
          </w:p>
        </w:tc>
        <w:tc>
          <w:tcPr>
            <w:tcW w:type="dxa" w:w="3175"/>
            <w:vAlign w:val="center"/>
          </w:tcPr>
          <w:p>
            <w:pPr>
              <w:jc w:val="left"/>
            </w:pPr>
            <w:r/>
            <w:r>
              <w:rPr>
                <w:rFonts w:ascii="Calibri" w:hAnsi="Calibri" w:eastAsia="Microsoft YaHei"/>
                <w:b w:val="0"/>
                <w:sz w:val="18"/>
              </w:rPr>
              <w:t>观察样本外稳定性。</w:t>
            </w:r>
          </w:p>
        </w:tc>
        <w:tc>
          <w:tcPr>
            <w:tcW w:type="dxa" w:w="4195"/>
            <w:vAlign w:val="center"/>
          </w:tcPr>
          <w:p>
            <w:pPr>
              <w:jc w:val="left"/>
            </w:pPr>
            <w:r/>
            <w:r>
              <w:rPr>
                <w:rFonts w:ascii="Calibri" w:hAnsi="Calibri" w:eastAsia="Microsoft YaHei"/>
                <w:b w:val="0"/>
                <w:sz w:val="18"/>
              </w:rPr>
              <w:t>不得参与任何调参。</w:t>
            </w:r>
          </w:p>
        </w:tc>
      </w:tr>
    </w:tbl>
    <w:p/>
    <w:p>
      <w:pPr>
        <w:pStyle w:val="Heading1"/>
      </w:pPr>
      <w:r>
        <w:t>3. 搜索空间与表达式约束</w:t>
      </w:r>
    </w:p>
    <w:p>
      <w:pPr>
        <w:pStyle w:val="Heading2"/>
      </w:pPr>
      <w:r>
        <w:t>3.1 为什么要约束搜索空间</w:t>
      </w:r>
    </w:p>
    <w:p>
      <w:r>
        <w:t>如果搜索空间过大，模型会在大量无意义结构中浪费预算；如果搜索空间过小，又会限制表达式的表达力。因此，好的方法不是开放一切，而是在“足够表达”和“足够可解释”之间寻找平衡。</w:t>
      </w:r>
    </w:p>
    <w:p>
      <w:pPr>
        <w:pStyle w:val="Heading2"/>
      </w:pPr>
      <w:r>
        <w:t>3.2 搜索空间构成</w:t>
      </w:r>
    </w:p>
    <w:tbl>
      <w:tblPr>
        <w:tblStyle w:val="TableGrid"/>
        <w:tblW w:type="auto" w:w="0"/>
        <w:jc w:val="center"/>
        <w:tblLook w:firstColumn="1" w:firstRow="1" w:lastColumn="0" w:lastRow="0" w:noHBand="0" w:noVBand="1" w:val="04A0"/>
      </w:tblPr>
      <w:tblGrid>
        <w:gridCol w:w="3120"/>
        <w:gridCol w:w="3120"/>
        <w:gridCol w:w="3120"/>
      </w:tblGrid>
      <w:tr>
        <w:tc>
          <w:tcPr>
            <w:tcW w:type="dxa" w:w="1701"/>
            <w:vAlign w:val="center"/>
            <w:shd w:fill="E8EEF5"/>
          </w:tcPr>
          <w:p>
            <w:pPr>
              <w:jc w:val="left"/>
            </w:pPr>
            <w:r/>
            <w:r>
              <w:rPr>
                <w:rFonts w:ascii="Calibri" w:hAnsi="Calibri" w:eastAsia="Microsoft YaHei"/>
                <w:b/>
                <w:sz w:val="18"/>
              </w:rPr>
              <w:t>空间层</w:t>
            </w:r>
          </w:p>
        </w:tc>
        <w:tc>
          <w:tcPr>
            <w:tcW w:type="dxa" w:w="3402"/>
            <w:vAlign w:val="center"/>
            <w:shd w:fill="E8EEF5"/>
          </w:tcPr>
          <w:p>
            <w:pPr>
              <w:jc w:val="left"/>
            </w:pPr>
            <w:r/>
            <w:r>
              <w:rPr>
                <w:rFonts w:ascii="Calibri" w:hAnsi="Calibri" w:eastAsia="Microsoft YaHei"/>
                <w:b/>
                <w:sz w:val="18"/>
              </w:rPr>
              <w:t>内容</w:t>
            </w:r>
          </w:p>
        </w:tc>
        <w:tc>
          <w:tcPr>
            <w:tcW w:type="dxa" w:w="3969"/>
            <w:vAlign w:val="center"/>
            <w:shd w:fill="E8EEF5"/>
          </w:tcPr>
          <w:p>
            <w:pPr>
              <w:jc w:val="left"/>
            </w:pPr>
            <w:r/>
            <w:r>
              <w:rPr>
                <w:rFonts w:ascii="Calibri" w:hAnsi="Calibri" w:eastAsia="Microsoft YaHei"/>
                <w:b/>
                <w:sz w:val="18"/>
              </w:rPr>
              <w:t>研究含义</w:t>
            </w:r>
          </w:p>
        </w:tc>
      </w:tr>
      <w:tr>
        <w:tc>
          <w:tcPr>
            <w:tcW w:type="dxa" w:w="1701"/>
            <w:vAlign w:val="center"/>
          </w:tcPr>
          <w:p>
            <w:pPr>
              <w:jc w:val="left"/>
            </w:pPr>
            <w:r/>
            <w:r>
              <w:rPr>
                <w:rFonts w:ascii="Calibri" w:hAnsi="Calibri" w:eastAsia="Microsoft YaHei"/>
                <w:b w:val="0"/>
                <w:sz w:val="18"/>
              </w:rPr>
              <w:t>原子字段</w:t>
            </w:r>
          </w:p>
        </w:tc>
        <w:tc>
          <w:tcPr>
            <w:tcW w:type="dxa" w:w="3402"/>
            <w:vAlign w:val="center"/>
          </w:tcPr>
          <w:p>
            <w:pPr>
              <w:jc w:val="left"/>
            </w:pPr>
            <w:r/>
            <w:r>
              <w:rPr>
                <w:rFonts w:ascii="Calibri" w:hAnsi="Calibri" w:eastAsia="Microsoft YaHei"/>
                <w:b w:val="0"/>
                <w:sz w:val="18"/>
              </w:rPr>
              <w:t>close、volume、amount、MACD、KDJ、均线等。</w:t>
            </w:r>
          </w:p>
        </w:tc>
        <w:tc>
          <w:tcPr>
            <w:tcW w:type="dxa" w:w="3969"/>
            <w:vAlign w:val="center"/>
          </w:tcPr>
          <w:p>
            <w:pPr>
              <w:jc w:val="left"/>
            </w:pPr>
            <w:r/>
            <w:r>
              <w:rPr>
                <w:rFonts w:ascii="Calibri" w:hAnsi="Calibri" w:eastAsia="Microsoft YaHei"/>
                <w:b w:val="0"/>
                <w:sz w:val="18"/>
              </w:rPr>
              <w:t>提供基础信息源。</w:t>
            </w:r>
          </w:p>
        </w:tc>
      </w:tr>
      <w:tr>
        <w:tc>
          <w:tcPr>
            <w:tcW w:type="dxa" w:w="1701"/>
            <w:vAlign w:val="center"/>
          </w:tcPr>
          <w:p>
            <w:pPr>
              <w:jc w:val="left"/>
            </w:pPr>
            <w:r/>
            <w:r>
              <w:rPr>
                <w:rFonts w:ascii="Calibri" w:hAnsi="Calibri" w:eastAsia="Microsoft YaHei"/>
                <w:b w:val="0"/>
                <w:sz w:val="18"/>
              </w:rPr>
              <w:t>时间算子</w:t>
            </w:r>
          </w:p>
        </w:tc>
        <w:tc>
          <w:tcPr>
            <w:tcW w:type="dxa" w:w="3402"/>
            <w:vAlign w:val="center"/>
          </w:tcPr>
          <w:p>
            <w:pPr>
              <w:jc w:val="left"/>
            </w:pPr>
            <w:r/>
            <w:r>
              <w:rPr>
                <w:rFonts w:ascii="Calibri" w:hAnsi="Calibri" w:eastAsia="Microsoft YaHei"/>
                <w:b w:val="0"/>
                <w:sz w:val="18"/>
              </w:rPr>
              <w:t>ts_mean、ts_delta、ts_rank、ts_std_dev 等。</w:t>
            </w:r>
          </w:p>
        </w:tc>
        <w:tc>
          <w:tcPr>
            <w:tcW w:type="dxa" w:w="3969"/>
            <w:vAlign w:val="center"/>
          </w:tcPr>
          <w:p>
            <w:pPr>
              <w:jc w:val="left"/>
            </w:pPr>
            <w:r/>
            <w:r>
              <w:rPr>
                <w:rFonts w:ascii="Calibri" w:hAnsi="Calibri" w:eastAsia="Microsoft YaHei"/>
                <w:b w:val="0"/>
                <w:sz w:val="18"/>
              </w:rPr>
              <w:t>刻画时间结构和趋势/反转。</w:t>
            </w:r>
          </w:p>
        </w:tc>
      </w:tr>
      <w:tr>
        <w:tc>
          <w:tcPr>
            <w:tcW w:type="dxa" w:w="1701"/>
            <w:vAlign w:val="center"/>
          </w:tcPr>
          <w:p>
            <w:pPr>
              <w:jc w:val="left"/>
            </w:pPr>
            <w:r/>
            <w:r>
              <w:rPr>
                <w:rFonts w:ascii="Calibri" w:hAnsi="Calibri" w:eastAsia="Microsoft YaHei"/>
                <w:b w:val="0"/>
                <w:sz w:val="18"/>
              </w:rPr>
              <w:t>横截面算子</w:t>
            </w:r>
          </w:p>
        </w:tc>
        <w:tc>
          <w:tcPr>
            <w:tcW w:type="dxa" w:w="3402"/>
            <w:vAlign w:val="center"/>
          </w:tcPr>
          <w:p>
            <w:pPr>
              <w:jc w:val="left"/>
            </w:pPr>
            <w:r/>
            <w:r>
              <w:rPr>
                <w:rFonts w:ascii="Calibri" w:hAnsi="Calibri" w:eastAsia="Microsoft YaHei"/>
                <w:b w:val="0"/>
                <w:sz w:val="18"/>
              </w:rPr>
              <w:t>rank、zscore、normalize、neutralize 等。</w:t>
            </w:r>
          </w:p>
        </w:tc>
        <w:tc>
          <w:tcPr>
            <w:tcW w:type="dxa" w:w="3969"/>
            <w:vAlign w:val="center"/>
          </w:tcPr>
          <w:p>
            <w:pPr>
              <w:jc w:val="left"/>
            </w:pPr>
            <w:r/>
            <w:r>
              <w:rPr>
                <w:rFonts w:ascii="Calibri" w:hAnsi="Calibri" w:eastAsia="Microsoft YaHei"/>
                <w:b w:val="0"/>
                <w:sz w:val="18"/>
              </w:rPr>
              <w:t>刻画同日股票间相对位置。</w:t>
            </w:r>
          </w:p>
        </w:tc>
      </w:tr>
      <w:tr>
        <w:tc>
          <w:tcPr>
            <w:tcW w:type="dxa" w:w="1701"/>
            <w:vAlign w:val="center"/>
          </w:tcPr>
          <w:p>
            <w:pPr>
              <w:jc w:val="left"/>
            </w:pPr>
            <w:r/>
            <w:r>
              <w:rPr>
                <w:rFonts w:ascii="Calibri" w:hAnsi="Calibri" w:eastAsia="Microsoft YaHei"/>
                <w:b w:val="0"/>
                <w:sz w:val="18"/>
              </w:rPr>
              <w:t>逻辑算子</w:t>
            </w:r>
          </w:p>
        </w:tc>
        <w:tc>
          <w:tcPr>
            <w:tcW w:type="dxa" w:w="3402"/>
            <w:vAlign w:val="center"/>
          </w:tcPr>
          <w:p>
            <w:pPr>
              <w:jc w:val="left"/>
            </w:pPr>
            <w:r/>
            <w:r>
              <w:rPr>
                <w:rFonts w:ascii="Calibri" w:hAnsi="Calibri" w:eastAsia="Microsoft YaHei"/>
                <w:b w:val="0"/>
                <w:sz w:val="18"/>
              </w:rPr>
              <w:t>if_else、greater、where 等。</w:t>
            </w:r>
          </w:p>
        </w:tc>
        <w:tc>
          <w:tcPr>
            <w:tcW w:type="dxa" w:w="3969"/>
            <w:vAlign w:val="center"/>
          </w:tcPr>
          <w:p>
            <w:pPr>
              <w:jc w:val="left"/>
            </w:pPr>
            <w:r/>
            <w:r>
              <w:rPr>
                <w:rFonts w:ascii="Calibri" w:hAnsi="Calibri" w:eastAsia="Microsoft YaHei"/>
                <w:b w:val="0"/>
                <w:sz w:val="18"/>
              </w:rPr>
              <w:t>用于构造条件分段结构。</w:t>
            </w:r>
          </w:p>
        </w:tc>
      </w:tr>
      <w:tr>
        <w:tc>
          <w:tcPr>
            <w:tcW w:type="dxa" w:w="1701"/>
            <w:vAlign w:val="center"/>
          </w:tcPr>
          <w:p>
            <w:pPr>
              <w:jc w:val="left"/>
            </w:pPr>
            <w:r/>
            <w:r>
              <w:rPr>
                <w:rFonts w:ascii="Calibri" w:hAnsi="Calibri" w:eastAsia="Microsoft YaHei"/>
                <w:b w:val="0"/>
                <w:sz w:val="18"/>
              </w:rPr>
              <w:t>组合形式</w:t>
            </w:r>
          </w:p>
        </w:tc>
        <w:tc>
          <w:tcPr>
            <w:tcW w:type="dxa" w:w="3402"/>
            <w:vAlign w:val="center"/>
          </w:tcPr>
          <w:p>
            <w:pPr>
              <w:jc w:val="left"/>
            </w:pPr>
            <w:r/>
            <w:r>
              <w:rPr>
                <w:rFonts w:ascii="Calibri" w:hAnsi="Calibri" w:eastAsia="Microsoft YaHei"/>
                <w:b w:val="0"/>
                <w:sz w:val="18"/>
              </w:rPr>
              <w:t>单因子、嵌套因子、链式因子。</w:t>
            </w:r>
          </w:p>
        </w:tc>
        <w:tc>
          <w:tcPr>
            <w:tcW w:type="dxa" w:w="3969"/>
            <w:vAlign w:val="center"/>
          </w:tcPr>
          <w:p>
            <w:pPr>
              <w:jc w:val="left"/>
            </w:pPr>
            <w:r/>
            <w:r>
              <w:rPr>
                <w:rFonts w:ascii="Calibri" w:hAnsi="Calibri" w:eastAsia="Microsoft YaHei"/>
                <w:b w:val="0"/>
                <w:sz w:val="18"/>
              </w:rPr>
              <w:t>定义最终搜索树的复杂度。</w:t>
            </w:r>
          </w:p>
        </w:tc>
      </w:tr>
    </w:tbl>
    <w:p/>
    <w:p>
      <w:pPr>
        <w:pStyle w:val="Heading2"/>
      </w:pPr>
      <w:r>
        <w:t>3.3 约束原则</w:t>
      </w:r>
    </w:p>
    <w:p>
      <w:pPr>
        <w:pStyle w:val="ListBullet"/>
      </w:pPr>
      <w:r>
        <w:t>表达式应保持可解释，尽量避免过深嵌套。</w:t>
      </w:r>
    </w:p>
    <w:p>
      <w:pPr>
        <w:pStyle w:val="ListBullet"/>
      </w:pPr>
      <w:r>
        <w:t>所有操作符必须能够在当前数据面板上求值。</w:t>
      </w:r>
    </w:p>
    <w:p>
      <w:pPr>
        <w:pStyle w:val="ListBullet"/>
      </w:pPr>
      <w:r>
        <w:t>表达式中不能包含未来信息或超出可用窗口的统计量。</w:t>
      </w:r>
    </w:p>
    <w:p>
      <w:pPr>
        <w:pStyle w:val="ListBullet"/>
      </w:pPr>
      <w:r>
        <w:t>表达式结构应允许被标准化和重复验证。</w:t>
      </w:r>
    </w:p>
    <w:p>
      <w:pPr>
        <w:pStyle w:val="Heading1"/>
      </w:pPr>
      <w:r>
        <w:t>4. 因子生成机制</w:t>
      </w:r>
    </w:p>
    <w:p>
      <w:pPr>
        <w:pStyle w:val="Heading2"/>
      </w:pPr>
      <w:r>
        <w:t>4.1 生成视角</w:t>
      </w:r>
    </w:p>
    <w:p>
      <w:r>
        <w:t>从方法论上看，PPO 不是“训练一个会赚钱的黑箱”，而是一个在离散表达式空间中进行策略搜索的工具。环境状态记录当前表达式构造到哪一步，动作决定下一步选字段、选常数、选时间窗口还是选算子。当一条表达式闭合时，系统就把它映射为一个可在历史面板上评估的候选因子。</w:t>
      </w:r>
    </w:p>
    <w:p>
      <w:pPr>
        <w:pStyle w:val="Heading2"/>
      </w:pPr>
      <w:r>
        <w:t>4.2 生成过程</w:t>
      </w:r>
    </w:p>
    <w:p>
      <w:pPr>
        <w:pStyle w:val="ListNumber"/>
      </w:pPr>
      <w:r>
        <w:t>初始化表达式构造环境，设定可用字段和操作符。</w:t>
      </w:r>
    </w:p>
    <w:p>
      <w:pPr>
        <w:pStyle w:val="ListNumber"/>
      </w:pPr>
      <w:r>
        <w:t>PPO 在约束动作空间中逐步生成 token 序列。</w:t>
      </w:r>
    </w:p>
    <w:p>
      <w:pPr>
        <w:pStyle w:val="ListNumber"/>
      </w:pPr>
      <w:r>
        <w:t>表达式闭合后，计算该表达式在训练集上的因子值。</w:t>
      </w:r>
    </w:p>
    <w:p>
      <w:pPr>
        <w:pStyle w:val="ListNumber"/>
      </w:pPr>
      <w:r>
        <w:t>用未来收益构造目标变量，计算 IC、RankIC、ICIR、Coverage 等指标。</w:t>
      </w:r>
    </w:p>
    <w:p>
      <w:pPr>
        <w:pStyle w:val="ListNumber"/>
      </w:pPr>
      <w:r>
        <w:t>将候选因子分为合格与拒绝两类，写入对应记录。</w:t>
      </w:r>
    </w:p>
    <w:p>
      <w:pPr>
        <w:pStyle w:val="ListNumber"/>
      </w:pPr>
      <w:r>
        <w:t>继续迭代，直到达到目标数量或尝试次数上限。</w:t>
      </w:r>
    </w:p>
    <w:p>
      <w:pPr>
        <w:pStyle w:val="Heading2"/>
      </w:pPr>
      <w:r>
        <w:t>4.3 生成不是一次性的</w:t>
      </w:r>
    </w:p>
    <w:p>
      <w:r>
        <w:t>生成过程应被理解为“迭代式探索”，而不是一次性求最优解。因为表达式搜索具有随机性，且不同时间窗口、不同字段集合、不同合格阈值会导致不同的候选分布。因此，研究上更重要的是搜索规则是否稳定，而不是单次运行里是否偶然挖到了特别好的式子。</w:t>
      </w:r>
    </w:p>
    <w:p>
      <w:pPr>
        <w:pStyle w:val="IntenseQuote"/>
      </w:pPr>
      <w:r>
        <w:rPr>
          <w:rFonts w:ascii="Calibri" w:hAnsi="Calibri" w:eastAsia="Microsoft YaHei"/>
          <w:b w:val="0"/>
          <w:sz w:val="20"/>
        </w:rPr>
        <w:t>真正有价值的输出不是某一条因子，而是一套能持续产出高质量因子的生成机制。</w:t>
      </w:r>
    </w:p>
    <w:p>
      <w:pPr>
        <w:pStyle w:val="Heading1"/>
      </w:pPr>
      <w:r>
        <w:t>5. 合格因子的定义</w:t>
      </w:r>
    </w:p>
    <w:p>
      <w:pPr>
        <w:pStyle w:val="Heading2"/>
      </w:pPr>
      <w:r>
        <w:t>5.1 合格并不等于最终可用</w:t>
      </w:r>
    </w:p>
    <w:p>
      <w:r>
        <w:t>合格因子是生成阶段的门槛概念，不是最终上线概念。它表示某条表达式在训练和验证样本上具备足够的预测强度与稳定性，可以进入下一阶段的单因子回测、组合筛选或人工复核。</w:t>
      </w:r>
    </w:p>
    <w:p>
      <w:pPr>
        <w:pStyle w:val="Heading2"/>
      </w:pPr>
      <w:r>
        <w:t>5.2 合格判定指标</w:t>
      </w:r>
    </w:p>
    <w:tbl>
      <w:tblPr>
        <w:tblStyle w:val="TableGrid"/>
        <w:tblW w:type="auto" w:w="0"/>
        <w:jc w:val="center"/>
        <w:tblLook w:firstColumn="1" w:firstRow="1" w:lastColumn="0" w:lastRow="0" w:noHBand="0" w:noVBand="1" w:val="04A0"/>
      </w:tblPr>
      <w:tblGrid>
        <w:gridCol w:w="3120"/>
        <w:gridCol w:w="3120"/>
        <w:gridCol w:w="3120"/>
      </w:tblGrid>
      <w:tr>
        <w:tc>
          <w:tcPr>
            <w:tcW w:type="dxa" w:w="1417"/>
            <w:vAlign w:val="center"/>
            <w:shd w:fill="E8EEF5"/>
          </w:tcPr>
          <w:p>
            <w:pPr>
              <w:jc w:val="left"/>
            </w:pPr>
            <w:r/>
            <w:r>
              <w:rPr>
                <w:rFonts w:ascii="Calibri" w:hAnsi="Calibri" w:eastAsia="Microsoft YaHei"/>
                <w:b/>
                <w:sz w:val="18"/>
              </w:rPr>
              <w:t>指标</w:t>
            </w:r>
          </w:p>
        </w:tc>
        <w:tc>
          <w:tcPr>
            <w:tcW w:type="dxa" w:w="2835"/>
            <w:vAlign w:val="center"/>
            <w:shd w:fill="E8EEF5"/>
          </w:tcPr>
          <w:p>
            <w:pPr>
              <w:jc w:val="left"/>
            </w:pPr>
            <w:r/>
            <w:r>
              <w:rPr>
                <w:rFonts w:ascii="Calibri" w:hAnsi="Calibri" w:eastAsia="Microsoft YaHei"/>
                <w:b/>
                <w:sz w:val="18"/>
              </w:rPr>
              <w:t>含义</w:t>
            </w:r>
          </w:p>
        </w:tc>
        <w:tc>
          <w:tcPr>
            <w:tcW w:type="dxa" w:w="4819"/>
            <w:vAlign w:val="center"/>
            <w:shd w:fill="E8EEF5"/>
          </w:tcPr>
          <w:p>
            <w:pPr>
              <w:jc w:val="left"/>
            </w:pPr>
            <w:r/>
            <w:r>
              <w:rPr>
                <w:rFonts w:ascii="Calibri" w:hAnsi="Calibri" w:eastAsia="Microsoft YaHei"/>
                <w:b/>
                <w:sz w:val="18"/>
              </w:rPr>
              <w:t>作用</w:t>
            </w:r>
          </w:p>
        </w:tc>
      </w:tr>
      <w:tr>
        <w:tc>
          <w:tcPr>
            <w:tcW w:type="dxa" w:w="1417"/>
            <w:vAlign w:val="center"/>
          </w:tcPr>
          <w:p>
            <w:pPr>
              <w:jc w:val="left"/>
            </w:pPr>
            <w:r/>
            <w:r>
              <w:rPr>
                <w:rFonts w:ascii="Calibri" w:hAnsi="Calibri" w:eastAsia="Microsoft YaHei"/>
                <w:b w:val="0"/>
                <w:sz w:val="18"/>
              </w:rPr>
              <w:t>Coverage</w:t>
            </w:r>
          </w:p>
        </w:tc>
        <w:tc>
          <w:tcPr>
            <w:tcW w:type="dxa" w:w="2835"/>
            <w:vAlign w:val="center"/>
          </w:tcPr>
          <w:p>
            <w:pPr>
              <w:jc w:val="left"/>
            </w:pPr>
            <w:r/>
            <w:r>
              <w:rPr>
                <w:rFonts w:ascii="Calibri" w:hAnsi="Calibri" w:eastAsia="Microsoft YaHei"/>
                <w:b w:val="0"/>
                <w:sz w:val="18"/>
              </w:rPr>
              <w:t>有效值覆盖率。</w:t>
            </w:r>
          </w:p>
        </w:tc>
        <w:tc>
          <w:tcPr>
            <w:tcW w:type="dxa" w:w="4819"/>
            <w:vAlign w:val="center"/>
          </w:tcPr>
          <w:p>
            <w:pPr>
              <w:jc w:val="left"/>
            </w:pPr>
            <w:r/>
            <w:r>
              <w:rPr>
                <w:rFonts w:ascii="Calibri" w:hAnsi="Calibri" w:eastAsia="Microsoft YaHei"/>
                <w:b w:val="0"/>
                <w:sz w:val="18"/>
              </w:rPr>
              <w:t>过滤大量缺失或不可计算的表达式。</w:t>
            </w:r>
          </w:p>
        </w:tc>
      </w:tr>
      <w:tr>
        <w:tc>
          <w:tcPr>
            <w:tcW w:type="dxa" w:w="1417"/>
            <w:vAlign w:val="center"/>
          </w:tcPr>
          <w:p>
            <w:pPr>
              <w:jc w:val="left"/>
            </w:pPr>
            <w:r/>
            <w:r>
              <w:rPr>
                <w:rFonts w:ascii="Calibri" w:hAnsi="Calibri" w:eastAsia="Microsoft YaHei"/>
                <w:b w:val="0"/>
                <w:sz w:val="18"/>
              </w:rPr>
              <w:t>IC</w:t>
            </w:r>
          </w:p>
        </w:tc>
        <w:tc>
          <w:tcPr>
            <w:tcW w:type="dxa" w:w="2835"/>
            <w:vAlign w:val="center"/>
          </w:tcPr>
          <w:p>
            <w:pPr>
              <w:jc w:val="left"/>
            </w:pPr>
            <w:r/>
            <w:r>
              <w:rPr>
                <w:rFonts w:ascii="Calibri" w:hAnsi="Calibri" w:eastAsia="Microsoft YaHei"/>
                <w:b w:val="0"/>
                <w:sz w:val="18"/>
              </w:rPr>
              <w:t>因子值与未来收益的相关性。</w:t>
            </w:r>
          </w:p>
        </w:tc>
        <w:tc>
          <w:tcPr>
            <w:tcW w:type="dxa" w:w="4819"/>
            <w:vAlign w:val="center"/>
          </w:tcPr>
          <w:p>
            <w:pPr>
              <w:jc w:val="left"/>
            </w:pPr>
            <w:r/>
            <w:r>
              <w:rPr>
                <w:rFonts w:ascii="Calibri" w:hAnsi="Calibri" w:eastAsia="Microsoft YaHei"/>
                <w:b w:val="0"/>
                <w:sz w:val="18"/>
              </w:rPr>
              <w:t>衡量方向性预测能力。</w:t>
            </w:r>
          </w:p>
        </w:tc>
      </w:tr>
      <w:tr>
        <w:tc>
          <w:tcPr>
            <w:tcW w:type="dxa" w:w="1417"/>
            <w:vAlign w:val="center"/>
          </w:tcPr>
          <w:p>
            <w:pPr>
              <w:jc w:val="left"/>
            </w:pPr>
            <w:r/>
            <w:r>
              <w:rPr>
                <w:rFonts w:ascii="Calibri" w:hAnsi="Calibri" w:eastAsia="Microsoft YaHei"/>
                <w:b w:val="0"/>
                <w:sz w:val="18"/>
              </w:rPr>
              <w:t>RankIC</w:t>
            </w:r>
          </w:p>
        </w:tc>
        <w:tc>
          <w:tcPr>
            <w:tcW w:type="dxa" w:w="2835"/>
            <w:vAlign w:val="center"/>
          </w:tcPr>
          <w:p>
            <w:pPr>
              <w:jc w:val="left"/>
            </w:pPr>
            <w:r/>
            <w:r>
              <w:rPr>
                <w:rFonts w:ascii="Calibri" w:hAnsi="Calibri" w:eastAsia="Microsoft YaHei"/>
                <w:b w:val="0"/>
                <w:sz w:val="18"/>
              </w:rPr>
              <w:t>排序能力。</w:t>
            </w:r>
          </w:p>
        </w:tc>
        <w:tc>
          <w:tcPr>
            <w:tcW w:type="dxa" w:w="4819"/>
            <w:vAlign w:val="center"/>
          </w:tcPr>
          <w:p>
            <w:pPr>
              <w:jc w:val="left"/>
            </w:pPr>
            <w:r/>
            <w:r>
              <w:rPr>
                <w:rFonts w:ascii="Calibri" w:hAnsi="Calibri" w:eastAsia="Microsoft YaHei"/>
                <w:b w:val="0"/>
                <w:sz w:val="18"/>
              </w:rPr>
              <w:t>衡量横截面排名效果。</w:t>
            </w:r>
          </w:p>
        </w:tc>
      </w:tr>
      <w:tr>
        <w:tc>
          <w:tcPr>
            <w:tcW w:type="dxa" w:w="1417"/>
            <w:vAlign w:val="center"/>
          </w:tcPr>
          <w:p>
            <w:pPr>
              <w:jc w:val="left"/>
            </w:pPr>
            <w:r/>
            <w:r>
              <w:rPr>
                <w:rFonts w:ascii="Calibri" w:hAnsi="Calibri" w:eastAsia="Microsoft YaHei"/>
                <w:b w:val="0"/>
                <w:sz w:val="18"/>
              </w:rPr>
              <w:t>ICIR</w:t>
            </w:r>
          </w:p>
        </w:tc>
        <w:tc>
          <w:tcPr>
            <w:tcW w:type="dxa" w:w="2835"/>
            <w:vAlign w:val="center"/>
          </w:tcPr>
          <w:p>
            <w:pPr>
              <w:jc w:val="left"/>
            </w:pPr>
            <w:r/>
            <w:r>
              <w:rPr>
                <w:rFonts w:ascii="Calibri" w:hAnsi="Calibri" w:eastAsia="Microsoft YaHei"/>
                <w:b w:val="0"/>
                <w:sz w:val="18"/>
              </w:rPr>
              <w:t>IC 的均值/波动比。</w:t>
            </w:r>
          </w:p>
        </w:tc>
        <w:tc>
          <w:tcPr>
            <w:tcW w:type="dxa" w:w="4819"/>
            <w:vAlign w:val="center"/>
          </w:tcPr>
          <w:p>
            <w:pPr>
              <w:jc w:val="left"/>
            </w:pPr>
            <w:r/>
            <w:r>
              <w:rPr>
                <w:rFonts w:ascii="Calibri" w:hAnsi="Calibri" w:eastAsia="Microsoft YaHei"/>
                <w:b w:val="0"/>
                <w:sz w:val="18"/>
              </w:rPr>
              <w:t>衡量稳定性。</w:t>
            </w:r>
          </w:p>
        </w:tc>
      </w:tr>
      <w:tr>
        <w:tc>
          <w:tcPr>
            <w:tcW w:type="dxa" w:w="1417"/>
            <w:vAlign w:val="center"/>
          </w:tcPr>
          <w:p>
            <w:pPr>
              <w:jc w:val="left"/>
            </w:pPr>
            <w:r/>
            <w:r>
              <w:rPr>
                <w:rFonts w:ascii="Calibri" w:hAnsi="Calibri" w:eastAsia="Microsoft YaHei"/>
                <w:b w:val="0"/>
                <w:sz w:val="18"/>
              </w:rPr>
              <w:t>Score</w:t>
            </w:r>
          </w:p>
        </w:tc>
        <w:tc>
          <w:tcPr>
            <w:tcW w:type="dxa" w:w="2835"/>
            <w:vAlign w:val="center"/>
          </w:tcPr>
          <w:p>
            <w:pPr>
              <w:jc w:val="left"/>
            </w:pPr>
            <w:r/>
            <w:r>
              <w:rPr>
                <w:rFonts w:ascii="Calibri" w:hAnsi="Calibri" w:eastAsia="Microsoft YaHei"/>
                <w:b w:val="0"/>
                <w:sz w:val="18"/>
              </w:rPr>
              <w:t>综合评分。</w:t>
            </w:r>
          </w:p>
        </w:tc>
        <w:tc>
          <w:tcPr>
            <w:tcW w:type="dxa" w:w="4819"/>
            <w:vAlign w:val="center"/>
          </w:tcPr>
          <w:p>
            <w:pPr>
              <w:jc w:val="left"/>
            </w:pPr>
            <w:r/>
            <w:r>
              <w:rPr>
                <w:rFonts w:ascii="Calibri" w:hAnsi="Calibri" w:eastAsia="Microsoft YaHei"/>
                <w:b w:val="0"/>
                <w:sz w:val="18"/>
              </w:rPr>
              <w:t>用于候选排序和筛选。</w:t>
            </w:r>
          </w:p>
        </w:tc>
      </w:tr>
    </w:tbl>
    <w:p/>
    <w:p>
      <w:pPr>
        <w:pStyle w:val="Heading2"/>
      </w:pPr>
      <w:r>
        <w:t>5.3 当前研究中的阈值示例</w:t>
      </w:r>
    </w:p>
    <w:p>
      <w:r>
        <w:t>阈值不是固定真理，而是研究预算和样本质量的折中。在当前项目中，生成阶段的一个示例设置是：Coverage 不低于 0.9，训练 IC 不低于 0.05，验证 IC 不低于 0.04，ICIR 不低于 0.5。这些阈值偏严格，适合优先保证候选质量，而不是追求大量弱因子。</w:t>
      </w:r>
    </w:p>
    <w:p>
      <w:pPr>
        <w:pStyle w:val="ListBullet"/>
      </w:pPr>
      <w:r>
        <w:t>阈值太低会让大量噪声表达式进入后续流程。</w:t>
      </w:r>
    </w:p>
    <w:p>
      <w:pPr>
        <w:pStyle w:val="ListBullet"/>
      </w:pPr>
      <w:r>
        <w:t>阈值太高会让 PPO 很难找到足够的合格因子。</w:t>
      </w:r>
    </w:p>
    <w:p>
      <w:pPr>
        <w:pStyle w:val="ListBullet"/>
      </w:pPr>
      <w:r>
        <w:t>最终阈值应结合股票池、预测周期和数据频率调整。</w:t>
      </w:r>
    </w:p>
    <w:p>
      <w:pPr>
        <w:pStyle w:val="Heading1"/>
      </w:pPr>
      <w:r>
        <w:t>6. 训练与验证协议</w:t>
      </w:r>
    </w:p>
    <w:p>
      <w:pPr>
        <w:pStyle w:val="Heading2"/>
      </w:pPr>
      <w:r>
        <w:t>6.1 为什么需要严格切分</w:t>
      </w:r>
    </w:p>
    <w:p>
      <w:r>
        <w:t>因子生成最容易犯的错误是把未来信息悄悄带回训练阶段。因此，训练、验证、测试必须严格时间切分，不能随机打散，也不能混用窗口。训练集用于搜索，验证集用于选择，测试集用于确认样本外行为。</w:t>
      </w:r>
    </w:p>
    <w:p>
      <w:pPr>
        <w:pStyle w:val="Heading2"/>
      </w:pPr>
      <w:r>
        <w:t>6.2 协议设计</w:t>
      </w:r>
    </w:p>
    <w:tbl>
      <w:tblPr>
        <w:tblStyle w:val="TableGrid"/>
        <w:tblW w:type="auto" w:w="0"/>
        <w:jc w:val="center"/>
        <w:tblLook w:firstColumn="1" w:firstRow="1" w:lastColumn="0" w:lastRow="0" w:noHBand="0" w:noVBand="1" w:val="04A0"/>
      </w:tblPr>
      <w:tblGrid>
        <w:gridCol w:w="3120"/>
        <w:gridCol w:w="3120"/>
        <w:gridCol w:w="3120"/>
      </w:tblGrid>
      <w:tr>
        <w:tc>
          <w:tcPr>
            <w:tcW w:type="dxa" w:w="1417"/>
            <w:vAlign w:val="center"/>
            <w:shd w:fill="E8EEF5"/>
          </w:tcPr>
          <w:p>
            <w:pPr>
              <w:jc w:val="left"/>
            </w:pPr>
            <w:r/>
            <w:r>
              <w:rPr>
                <w:rFonts w:ascii="Calibri" w:hAnsi="Calibri" w:eastAsia="Microsoft YaHei"/>
                <w:b/>
                <w:sz w:val="18"/>
              </w:rPr>
              <w:t>阶段</w:t>
            </w:r>
          </w:p>
        </w:tc>
        <w:tc>
          <w:tcPr>
            <w:tcW w:type="dxa" w:w="3118"/>
            <w:vAlign w:val="center"/>
            <w:shd w:fill="E8EEF5"/>
          </w:tcPr>
          <w:p>
            <w:pPr>
              <w:jc w:val="left"/>
            </w:pPr>
            <w:r/>
            <w:r>
              <w:rPr>
                <w:rFonts w:ascii="Calibri" w:hAnsi="Calibri" w:eastAsia="Microsoft YaHei"/>
                <w:b/>
                <w:sz w:val="18"/>
              </w:rPr>
              <w:t>用途</w:t>
            </w:r>
          </w:p>
        </w:tc>
        <w:tc>
          <w:tcPr>
            <w:tcW w:type="dxa" w:w="4252"/>
            <w:vAlign w:val="center"/>
            <w:shd w:fill="E8EEF5"/>
          </w:tcPr>
          <w:p>
            <w:pPr>
              <w:jc w:val="left"/>
            </w:pPr>
            <w:r/>
            <w:r>
              <w:rPr>
                <w:rFonts w:ascii="Calibri" w:hAnsi="Calibri" w:eastAsia="Microsoft YaHei"/>
                <w:b/>
                <w:sz w:val="18"/>
              </w:rPr>
              <w:t>风险控制</w:t>
            </w:r>
          </w:p>
        </w:tc>
      </w:tr>
      <w:tr>
        <w:tc>
          <w:tcPr>
            <w:tcW w:type="dxa" w:w="1417"/>
            <w:vAlign w:val="center"/>
          </w:tcPr>
          <w:p>
            <w:pPr>
              <w:jc w:val="left"/>
            </w:pPr>
            <w:r/>
            <w:r>
              <w:rPr>
                <w:rFonts w:ascii="Calibri" w:hAnsi="Calibri" w:eastAsia="Microsoft YaHei"/>
                <w:b w:val="0"/>
                <w:sz w:val="18"/>
              </w:rPr>
              <w:t>训练</w:t>
            </w:r>
          </w:p>
        </w:tc>
        <w:tc>
          <w:tcPr>
            <w:tcW w:type="dxa" w:w="3118"/>
            <w:vAlign w:val="center"/>
          </w:tcPr>
          <w:p>
            <w:pPr>
              <w:jc w:val="left"/>
            </w:pPr>
            <w:r/>
            <w:r>
              <w:rPr>
                <w:rFonts w:ascii="Calibri" w:hAnsi="Calibri" w:eastAsia="Microsoft YaHei"/>
                <w:b w:val="0"/>
                <w:sz w:val="18"/>
              </w:rPr>
              <w:t>表达式搜索与参数学习。</w:t>
            </w:r>
          </w:p>
        </w:tc>
        <w:tc>
          <w:tcPr>
            <w:tcW w:type="dxa" w:w="4252"/>
            <w:vAlign w:val="center"/>
          </w:tcPr>
          <w:p>
            <w:pPr>
              <w:jc w:val="left"/>
            </w:pPr>
            <w:r/>
            <w:r>
              <w:rPr>
                <w:rFonts w:ascii="Calibri" w:hAnsi="Calibri" w:eastAsia="Microsoft YaHei"/>
                <w:b w:val="0"/>
                <w:sz w:val="18"/>
              </w:rPr>
              <w:t>只使用历史可得信息。</w:t>
            </w:r>
          </w:p>
        </w:tc>
      </w:tr>
      <w:tr>
        <w:tc>
          <w:tcPr>
            <w:tcW w:type="dxa" w:w="1417"/>
            <w:vAlign w:val="center"/>
          </w:tcPr>
          <w:p>
            <w:pPr>
              <w:jc w:val="left"/>
            </w:pPr>
            <w:r/>
            <w:r>
              <w:rPr>
                <w:rFonts w:ascii="Calibri" w:hAnsi="Calibri" w:eastAsia="Microsoft YaHei"/>
                <w:b w:val="0"/>
                <w:sz w:val="18"/>
              </w:rPr>
              <w:t>验证</w:t>
            </w:r>
          </w:p>
        </w:tc>
        <w:tc>
          <w:tcPr>
            <w:tcW w:type="dxa" w:w="3118"/>
            <w:vAlign w:val="center"/>
          </w:tcPr>
          <w:p>
            <w:pPr>
              <w:jc w:val="left"/>
            </w:pPr>
            <w:r/>
            <w:r>
              <w:rPr>
                <w:rFonts w:ascii="Calibri" w:hAnsi="Calibri" w:eastAsia="Microsoft YaHei"/>
                <w:b w:val="0"/>
                <w:sz w:val="18"/>
              </w:rPr>
              <w:t>选择阈值与比较候选。</w:t>
            </w:r>
          </w:p>
        </w:tc>
        <w:tc>
          <w:tcPr>
            <w:tcW w:type="dxa" w:w="4252"/>
            <w:vAlign w:val="center"/>
          </w:tcPr>
          <w:p>
            <w:pPr>
              <w:jc w:val="left"/>
            </w:pPr>
            <w:r/>
            <w:r>
              <w:rPr>
                <w:rFonts w:ascii="Calibri" w:hAnsi="Calibri" w:eastAsia="Microsoft YaHei"/>
                <w:b w:val="0"/>
                <w:sz w:val="18"/>
              </w:rPr>
              <w:t>不能反复把验证结果当训练信号。</w:t>
            </w:r>
          </w:p>
        </w:tc>
      </w:tr>
      <w:tr>
        <w:tc>
          <w:tcPr>
            <w:tcW w:type="dxa" w:w="1417"/>
            <w:vAlign w:val="center"/>
          </w:tcPr>
          <w:p>
            <w:pPr>
              <w:jc w:val="left"/>
            </w:pPr>
            <w:r/>
            <w:r>
              <w:rPr>
                <w:rFonts w:ascii="Calibri" w:hAnsi="Calibri" w:eastAsia="Microsoft YaHei"/>
                <w:b w:val="0"/>
                <w:sz w:val="18"/>
              </w:rPr>
              <w:t>测试</w:t>
            </w:r>
          </w:p>
        </w:tc>
        <w:tc>
          <w:tcPr>
            <w:tcW w:type="dxa" w:w="3118"/>
            <w:vAlign w:val="center"/>
          </w:tcPr>
          <w:p>
            <w:pPr>
              <w:jc w:val="left"/>
            </w:pPr>
            <w:r/>
            <w:r>
              <w:rPr>
                <w:rFonts w:ascii="Calibri" w:hAnsi="Calibri" w:eastAsia="Microsoft YaHei"/>
                <w:b w:val="0"/>
                <w:sz w:val="18"/>
              </w:rPr>
              <w:t>评估稳定性。</w:t>
            </w:r>
          </w:p>
        </w:tc>
        <w:tc>
          <w:tcPr>
            <w:tcW w:type="dxa" w:w="4252"/>
            <w:vAlign w:val="center"/>
          </w:tcPr>
          <w:p>
            <w:pPr>
              <w:jc w:val="left"/>
            </w:pPr>
            <w:r/>
            <w:r>
              <w:rPr>
                <w:rFonts w:ascii="Calibri" w:hAnsi="Calibri" w:eastAsia="Microsoft YaHei"/>
                <w:b w:val="0"/>
                <w:sz w:val="18"/>
              </w:rPr>
              <w:t>不参与任何筛选或调参。</w:t>
            </w:r>
          </w:p>
        </w:tc>
      </w:tr>
    </w:tbl>
    <w:p/>
    <w:p>
      <w:pPr>
        <w:pStyle w:val="Heading2"/>
      </w:pPr>
      <w:r>
        <w:t>6.3 边界样本处理</w:t>
      </w:r>
    </w:p>
    <w:p>
      <w:r>
        <w:t>滚动算子和多日窗口会在样本边界处引出一个现实问题：如果历史回看长度不够，表达式就无法在边界日计算。因此，训练窗口前面必须预留足够的回看天数，测试窗口后面也必须预留目标收益所需的未来天数。</w:t>
      </w:r>
    </w:p>
    <w:p>
      <w:pPr>
        <w:spacing w:after="60"/>
        <w:ind w:left="283"/>
        <w:shd w:fill="F6F8FA"/>
      </w:pPr>
      <w:r>
        <w:rPr>
          <w:rFonts w:ascii="Consolas" w:hAnsi="Consolas" w:eastAsia="Consolas"/>
          <w:sz w:val="18"/>
        </w:rPr>
        <w:t>cache_start 应至少早于正式训练起点足够的回看天数；cache_end 应包含目标收益窗口。</w:t>
      </w:r>
    </w:p>
    <w:p>
      <w:pPr>
        <w:pStyle w:val="Heading1"/>
      </w:pPr>
      <w:r>
        <w:t>7. 生成结果的解释</w:t>
      </w:r>
    </w:p>
    <w:p>
      <w:pPr>
        <w:pStyle w:val="Heading2"/>
      </w:pPr>
      <w:r>
        <w:t>7.1 结果应该怎么看</w:t>
      </w:r>
    </w:p>
    <w:p>
      <w:r>
        <w:t>生成结果不能只看“合格数量”，还要看候选的质量分布。如果一个运行中大多数因子的 IC 都很弱，只是恰好有少数因子达到阈值，那么这说明搜索机制可能过于依赖偶然性。相反，如果合格因子有较稳定的 IC、RankIC 和 ICIR 分布，则说明生成机制更有研究价值。</w:t>
      </w:r>
    </w:p>
    <w:p>
      <w:pPr>
        <w:pStyle w:val="Heading2"/>
      </w:pPr>
      <w:r>
        <w:t>7.2 输出记录</w:t>
      </w:r>
    </w:p>
    <w:tbl>
      <w:tblPr>
        <w:tblStyle w:val="TableGrid"/>
        <w:tblW w:type="auto" w:w="0"/>
        <w:jc w:val="center"/>
        <w:tblLook w:firstColumn="1" w:firstRow="1" w:lastColumn="0" w:lastRow="0" w:noHBand="0" w:noVBand="1" w:val="04A0"/>
      </w:tblPr>
      <w:tblGrid>
        <w:gridCol w:w="4680"/>
        <w:gridCol w:w="4680"/>
      </w:tblGrid>
      <w:tr>
        <w:tc>
          <w:tcPr>
            <w:tcW w:type="dxa" w:w="2268"/>
            <w:vAlign w:val="center"/>
            <w:shd w:fill="E8EEF5"/>
          </w:tcPr>
          <w:p>
            <w:pPr>
              <w:jc w:val="left"/>
            </w:pPr>
            <w:r/>
            <w:r>
              <w:rPr>
                <w:rFonts w:ascii="Calibri" w:hAnsi="Calibri" w:eastAsia="Microsoft YaHei"/>
                <w:b/>
                <w:sz w:val="18"/>
              </w:rPr>
              <w:t>输出</w:t>
            </w:r>
          </w:p>
        </w:tc>
        <w:tc>
          <w:tcPr>
            <w:tcW w:type="dxa" w:w="6803"/>
            <w:vAlign w:val="center"/>
            <w:shd w:fill="E8EEF5"/>
          </w:tcPr>
          <w:p>
            <w:pPr>
              <w:jc w:val="left"/>
            </w:pPr>
            <w:r/>
            <w:r>
              <w:rPr>
                <w:rFonts w:ascii="Calibri" w:hAnsi="Calibri" w:eastAsia="Microsoft YaHei"/>
                <w:b/>
                <w:sz w:val="18"/>
              </w:rPr>
              <w:t>研究意义</w:t>
            </w:r>
          </w:p>
        </w:tc>
      </w:tr>
      <w:tr>
        <w:tc>
          <w:tcPr>
            <w:tcW w:type="dxa" w:w="2268"/>
            <w:vAlign w:val="center"/>
          </w:tcPr>
          <w:p>
            <w:pPr>
              <w:jc w:val="left"/>
            </w:pPr>
            <w:r/>
            <w:r>
              <w:rPr>
                <w:rFonts w:ascii="Calibri" w:hAnsi="Calibri" w:eastAsia="Microsoft YaHei"/>
                <w:b w:val="0"/>
                <w:sz w:val="18"/>
              </w:rPr>
              <w:t>accepted_factors.jsonl</w:t>
            </w:r>
          </w:p>
        </w:tc>
        <w:tc>
          <w:tcPr>
            <w:tcW w:type="dxa" w:w="6803"/>
            <w:vAlign w:val="center"/>
          </w:tcPr>
          <w:p>
            <w:pPr>
              <w:jc w:val="left"/>
            </w:pPr>
            <w:r/>
            <w:r>
              <w:rPr>
                <w:rFonts w:ascii="Calibri" w:hAnsi="Calibri" w:eastAsia="Microsoft YaHei"/>
                <w:b w:val="0"/>
                <w:sz w:val="18"/>
              </w:rPr>
              <w:t>记录进入下一阶段的候选因子。</w:t>
            </w:r>
          </w:p>
        </w:tc>
      </w:tr>
      <w:tr>
        <w:tc>
          <w:tcPr>
            <w:tcW w:type="dxa" w:w="2268"/>
            <w:vAlign w:val="center"/>
          </w:tcPr>
          <w:p>
            <w:pPr>
              <w:jc w:val="left"/>
            </w:pPr>
            <w:r/>
            <w:r>
              <w:rPr>
                <w:rFonts w:ascii="Calibri" w:hAnsi="Calibri" w:eastAsia="Microsoft YaHei"/>
                <w:b w:val="0"/>
                <w:sz w:val="18"/>
              </w:rPr>
              <w:t>rejected_candidates.jsonl</w:t>
            </w:r>
          </w:p>
        </w:tc>
        <w:tc>
          <w:tcPr>
            <w:tcW w:type="dxa" w:w="6803"/>
            <w:vAlign w:val="center"/>
          </w:tcPr>
          <w:p>
            <w:pPr>
              <w:jc w:val="left"/>
            </w:pPr>
            <w:r/>
            <w:r>
              <w:rPr>
                <w:rFonts w:ascii="Calibri" w:hAnsi="Calibri" w:eastAsia="Microsoft YaHei"/>
                <w:b w:val="0"/>
                <w:sz w:val="18"/>
              </w:rPr>
              <w:t>记录被拒绝的原因，用于分析阈值与搜索偏差。</w:t>
            </w:r>
          </w:p>
        </w:tc>
      </w:tr>
      <w:tr>
        <w:tc>
          <w:tcPr>
            <w:tcW w:type="dxa" w:w="2268"/>
            <w:vAlign w:val="center"/>
          </w:tcPr>
          <w:p>
            <w:pPr>
              <w:jc w:val="left"/>
            </w:pPr>
            <w:r/>
            <w:r>
              <w:rPr>
                <w:rFonts w:ascii="Calibri" w:hAnsi="Calibri" w:eastAsia="Microsoft YaHei"/>
                <w:b w:val="0"/>
                <w:sz w:val="18"/>
              </w:rPr>
              <w:t>run_state.json</w:t>
            </w:r>
          </w:p>
        </w:tc>
        <w:tc>
          <w:tcPr>
            <w:tcW w:type="dxa" w:w="6803"/>
            <w:vAlign w:val="center"/>
          </w:tcPr>
          <w:p>
            <w:pPr>
              <w:jc w:val="left"/>
            </w:pPr>
            <w:r/>
            <w:r>
              <w:rPr>
                <w:rFonts w:ascii="Calibri" w:hAnsi="Calibri" w:eastAsia="Microsoft YaHei"/>
                <w:b w:val="0"/>
                <w:sz w:val="18"/>
              </w:rPr>
              <w:t>记录尝试次数、已接受数量、检查点等状态。</w:t>
            </w:r>
          </w:p>
        </w:tc>
      </w:tr>
      <w:tr>
        <w:tc>
          <w:tcPr>
            <w:tcW w:type="dxa" w:w="2268"/>
            <w:vAlign w:val="center"/>
          </w:tcPr>
          <w:p>
            <w:pPr>
              <w:jc w:val="left"/>
            </w:pPr>
            <w:r/>
            <w:r>
              <w:rPr>
                <w:rFonts w:ascii="Calibri" w:hAnsi="Calibri" w:eastAsia="Microsoft YaHei"/>
                <w:b w:val="0"/>
                <w:sz w:val="18"/>
              </w:rPr>
              <w:t>factor_run.json</w:t>
            </w:r>
          </w:p>
        </w:tc>
        <w:tc>
          <w:tcPr>
            <w:tcW w:type="dxa" w:w="6803"/>
            <w:vAlign w:val="center"/>
          </w:tcPr>
          <w:p>
            <w:pPr>
              <w:jc w:val="left"/>
            </w:pPr>
            <w:r/>
            <w:r>
              <w:rPr>
                <w:rFonts w:ascii="Calibri" w:hAnsi="Calibri" w:eastAsia="Microsoft YaHei"/>
                <w:b w:val="0"/>
                <w:sz w:val="18"/>
              </w:rPr>
              <w:t>记录本次运行的总览与身份信息。</w:t>
            </w:r>
          </w:p>
        </w:tc>
      </w:tr>
      <w:tr>
        <w:tc>
          <w:tcPr>
            <w:tcW w:type="dxa" w:w="2268"/>
            <w:vAlign w:val="center"/>
          </w:tcPr>
          <w:p>
            <w:pPr>
              <w:jc w:val="left"/>
            </w:pPr>
            <w:r/>
            <w:r>
              <w:rPr>
                <w:rFonts w:ascii="Calibri" w:hAnsi="Calibri" w:eastAsia="Microsoft YaHei"/>
                <w:b w:val="0"/>
                <w:sz w:val="18"/>
              </w:rPr>
              <w:t>runtime_manifest.json</w:t>
            </w:r>
          </w:p>
        </w:tc>
        <w:tc>
          <w:tcPr>
            <w:tcW w:type="dxa" w:w="6803"/>
            <w:vAlign w:val="center"/>
          </w:tcPr>
          <w:p>
            <w:pPr>
              <w:jc w:val="left"/>
            </w:pPr>
            <w:r/>
            <w:r>
              <w:rPr>
                <w:rFonts w:ascii="Calibri" w:hAnsi="Calibri" w:eastAsia="Microsoft YaHei"/>
                <w:b w:val="0"/>
                <w:sz w:val="18"/>
              </w:rPr>
              <w:t>记录本次运行使用的数据、字段和样本边界。</w:t>
            </w:r>
          </w:p>
        </w:tc>
      </w:tr>
    </w:tbl>
    <w:p/>
    <w:p>
      <w:pPr>
        <w:pStyle w:val="Heading1"/>
      </w:pPr>
      <w:r>
        <w:t>8. 失败模式与诊断</w:t>
      </w:r>
    </w:p>
    <w:p>
      <w:r>
        <w:t>因子生成通常不是单纯的“模型不行”，而是一个链条问题：数据边界、字段集合、样本切分、阈值、动作空间和奖励设计都可能导致失败。所以诊断时要从链条上逐层往前找，而不是只盯着最终的合格数量。</w:t>
      </w:r>
    </w:p>
    <w:tbl>
      <w:tblPr>
        <w:tblStyle w:val="TableGrid"/>
        <w:tblW w:type="auto" w:w="0"/>
        <w:jc w:val="center"/>
        <w:tblLook w:firstColumn="1" w:firstRow="1" w:lastColumn="0" w:lastRow="0" w:noHBand="0" w:noVBand="1" w:val="04A0"/>
      </w:tblPr>
      <w:tblGrid>
        <w:gridCol w:w="3120"/>
        <w:gridCol w:w="3120"/>
        <w:gridCol w:w="3120"/>
      </w:tblGrid>
      <w:tr>
        <w:tc>
          <w:tcPr>
            <w:tcW w:type="dxa" w:w="1701"/>
            <w:vAlign w:val="center"/>
            <w:shd w:fill="E8EEF5"/>
          </w:tcPr>
          <w:p>
            <w:pPr>
              <w:jc w:val="left"/>
            </w:pPr>
            <w:r/>
            <w:r>
              <w:rPr>
                <w:rFonts w:ascii="Calibri" w:hAnsi="Calibri" w:eastAsia="Microsoft YaHei"/>
                <w:b/>
                <w:sz w:val="18"/>
              </w:rPr>
              <w:t>问题</w:t>
            </w:r>
          </w:p>
        </w:tc>
        <w:tc>
          <w:tcPr>
            <w:tcW w:type="dxa" w:w="2835"/>
            <w:vAlign w:val="center"/>
            <w:shd w:fill="E8EEF5"/>
          </w:tcPr>
          <w:p>
            <w:pPr>
              <w:jc w:val="left"/>
            </w:pPr>
            <w:r/>
            <w:r>
              <w:rPr>
                <w:rFonts w:ascii="Calibri" w:hAnsi="Calibri" w:eastAsia="Microsoft YaHei"/>
                <w:b/>
                <w:sz w:val="18"/>
              </w:rPr>
              <w:t>可能原因</w:t>
            </w:r>
          </w:p>
        </w:tc>
        <w:tc>
          <w:tcPr>
            <w:tcW w:type="dxa" w:w="4535"/>
            <w:vAlign w:val="center"/>
            <w:shd w:fill="E8EEF5"/>
          </w:tcPr>
          <w:p>
            <w:pPr>
              <w:jc w:val="left"/>
            </w:pPr>
            <w:r/>
            <w:r>
              <w:rPr>
                <w:rFonts w:ascii="Calibri" w:hAnsi="Calibri" w:eastAsia="Microsoft YaHei"/>
                <w:b/>
                <w:sz w:val="18"/>
              </w:rPr>
              <w:t>研究上的解释</w:t>
            </w:r>
          </w:p>
        </w:tc>
      </w:tr>
      <w:tr>
        <w:tc>
          <w:tcPr>
            <w:tcW w:type="dxa" w:w="1701"/>
            <w:vAlign w:val="center"/>
          </w:tcPr>
          <w:p>
            <w:pPr>
              <w:jc w:val="left"/>
            </w:pPr>
            <w:r/>
            <w:r>
              <w:rPr>
                <w:rFonts w:ascii="Calibri" w:hAnsi="Calibri" w:eastAsia="Microsoft YaHei"/>
                <w:b w:val="0"/>
                <w:sz w:val="18"/>
              </w:rPr>
              <w:t>合格因子很少</w:t>
            </w:r>
          </w:p>
        </w:tc>
        <w:tc>
          <w:tcPr>
            <w:tcW w:type="dxa" w:w="2835"/>
            <w:vAlign w:val="center"/>
          </w:tcPr>
          <w:p>
            <w:pPr>
              <w:jc w:val="left"/>
            </w:pPr>
            <w:r/>
            <w:r>
              <w:rPr>
                <w:rFonts w:ascii="Calibri" w:hAnsi="Calibri" w:eastAsia="Microsoft YaHei"/>
                <w:b w:val="0"/>
                <w:sz w:val="18"/>
              </w:rPr>
              <w:t>阈值过高、字段太少、窗口不合适。</w:t>
            </w:r>
          </w:p>
        </w:tc>
        <w:tc>
          <w:tcPr>
            <w:tcW w:type="dxa" w:w="4535"/>
            <w:vAlign w:val="center"/>
          </w:tcPr>
          <w:p>
            <w:pPr>
              <w:jc w:val="left"/>
            </w:pPr>
            <w:r/>
            <w:r>
              <w:rPr>
                <w:rFonts w:ascii="Calibri" w:hAnsi="Calibri" w:eastAsia="Microsoft YaHei"/>
                <w:b w:val="0"/>
                <w:sz w:val="18"/>
              </w:rPr>
              <w:t>搜索空间或门槛可能过严。</w:t>
            </w:r>
          </w:p>
        </w:tc>
      </w:tr>
      <w:tr>
        <w:tc>
          <w:tcPr>
            <w:tcW w:type="dxa" w:w="1701"/>
            <w:vAlign w:val="center"/>
          </w:tcPr>
          <w:p>
            <w:pPr>
              <w:jc w:val="left"/>
            </w:pPr>
            <w:r/>
            <w:r>
              <w:rPr>
                <w:rFonts w:ascii="Calibri" w:hAnsi="Calibri" w:eastAsia="Microsoft YaHei"/>
                <w:b w:val="0"/>
                <w:sz w:val="18"/>
              </w:rPr>
              <w:t>合格因子很多但质量差</w:t>
            </w:r>
          </w:p>
        </w:tc>
        <w:tc>
          <w:tcPr>
            <w:tcW w:type="dxa" w:w="2835"/>
            <w:vAlign w:val="center"/>
          </w:tcPr>
          <w:p>
            <w:pPr>
              <w:jc w:val="left"/>
            </w:pPr>
            <w:r/>
            <w:r>
              <w:rPr>
                <w:rFonts w:ascii="Calibri" w:hAnsi="Calibri" w:eastAsia="Microsoft YaHei"/>
                <w:b w:val="0"/>
                <w:sz w:val="18"/>
              </w:rPr>
              <w:t>阈值过低、奖励太宽松。</w:t>
            </w:r>
          </w:p>
        </w:tc>
        <w:tc>
          <w:tcPr>
            <w:tcW w:type="dxa" w:w="4535"/>
            <w:vAlign w:val="center"/>
          </w:tcPr>
          <w:p>
            <w:pPr>
              <w:jc w:val="left"/>
            </w:pPr>
            <w:r/>
            <w:r>
              <w:rPr>
                <w:rFonts w:ascii="Calibri" w:hAnsi="Calibri" w:eastAsia="Microsoft YaHei"/>
                <w:b w:val="0"/>
                <w:sz w:val="18"/>
              </w:rPr>
              <w:t>机制可能在放大噪声。</w:t>
            </w:r>
          </w:p>
        </w:tc>
      </w:tr>
      <w:tr>
        <w:tc>
          <w:tcPr>
            <w:tcW w:type="dxa" w:w="1701"/>
            <w:vAlign w:val="center"/>
          </w:tcPr>
          <w:p>
            <w:pPr>
              <w:jc w:val="left"/>
            </w:pPr>
            <w:r/>
            <w:r>
              <w:rPr>
                <w:rFonts w:ascii="Calibri" w:hAnsi="Calibri" w:eastAsia="Microsoft YaHei"/>
                <w:b w:val="0"/>
                <w:sz w:val="18"/>
              </w:rPr>
              <w:t>训练表现好，验证表现差</w:t>
            </w:r>
          </w:p>
        </w:tc>
        <w:tc>
          <w:tcPr>
            <w:tcW w:type="dxa" w:w="2835"/>
            <w:vAlign w:val="center"/>
          </w:tcPr>
          <w:p>
            <w:pPr>
              <w:jc w:val="left"/>
            </w:pPr>
            <w:r/>
            <w:r>
              <w:rPr>
                <w:rFonts w:ascii="Calibri" w:hAnsi="Calibri" w:eastAsia="Microsoft YaHei"/>
                <w:b w:val="0"/>
                <w:sz w:val="18"/>
              </w:rPr>
              <w:t>过拟合、样本泄漏或状态不稳。</w:t>
            </w:r>
          </w:p>
        </w:tc>
        <w:tc>
          <w:tcPr>
            <w:tcW w:type="dxa" w:w="4535"/>
            <w:vAlign w:val="center"/>
          </w:tcPr>
          <w:p>
            <w:pPr>
              <w:jc w:val="left"/>
            </w:pPr>
            <w:r/>
            <w:r>
              <w:rPr>
                <w:rFonts w:ascii="Calibri" w:hAnsi="Calibri" w:eastAsia="Microsoft YaHei"/>
                <w:b w:val="0"/>
                <w:sz w:val="18"/>
              </w:rPr>
              <w:t>生成规律未泛化。</w:t>
            </w:r>
          </w:p>
        </w:tc>
      </w:tr>
      <w:tr>
        <w:tc>
          <w:tcPr>
            <w:tcW w:type="dxa" w:w="1701"/>
            <w:vAlign w:val="center"/>
          </w:tcPr>
          <w:p>
            <w:pPr>
              <w:jc w:val="left"/>
            </w:pPr>
            <w:r/>
            <w:r>
              <w:rPr>
                <w:rFonts w:ascii="Calibri" w:hAnsi="Calibri" w:eastAsia="Microsoft YaHei"/>
                <w:b w:val="0"/>
                <w:sz w:val="18"/>
              </w:rPr>
              <w:t>结果对随机种子极敏感</w:t>
            </w:r>
          </w:p>
        </w:tc>
        <w:tc>
          <w:tcPr>
            <w:tcW w:type="dxa" w:w="2835"/>
            <w:vAlign w:val="center"/>
          </w:tcPr>
          <w:p>
            <w:pPr>
              <w:jc w:val="left"/>
            </w:pPr>
            <w:r/>
            <w:r>
              <w:rPr>
                <w:rFonts w:ascii="Calibri" w:hAnsi="Calibri" w:eastAsia="Microsoft YaHei"/>
                <w:b w:val="0"/>
                <w:sz w:val="18"/>
              </w:rPr>
              <w:t>搜索空间脆弱或奖励不稳定。</w:t>
            </w:r>
          </w:p>
        </w:tc>
        <w:tc>
          <w:tcPr>
            <w:tcW w:type="dxa" w:w="4535"/>
            <w:vAlign w:val="center"/>
          </w:tcPr>
          <w:p>
            <w:pPr>
              <w:jc w:val="left"/>
            </w:pPr>
            <w:r/>
            <w:r>
              <w:rPr>
                <w:rFonts w:ascii="Calibri" w:hAnsi="Calibri" w:eastAsia="Microsoft YaHei"/>
                <w:b w:val="0"/>
                <w:sz w:val="18"/>
              </w:rPr>
              <w:t>机制尚未收敛。</w:t>
            </w:r>
          </w:p>
        </w:tc>
      </w:tr>
      <w:tr>
        <w:tc>
          <w:tcPr>
            <w:tcW w:type="dxa" w:w="1701"/>
            <w:vAlign w:val="center"/>
          </w:tcPr>
          <w:p>
            <w:pPr>
              <w:jc w:val="left"/>
            </w:pPr>
            <w:r/>
            <w:r>
              <w:rPr>
                <w:rFonts w:ascii="Calibri" w:hAnsi="Calibri" w:eastAsia="Microsoft YaHei"/>
                <w:b w:val="0"/>
                <w:sz w:val="18"/>
              </w:rPr>
              <w:t>表达式常报错</w:t>
            </w:r>
          </w:p>
        </w:tc>
        <w:tc>
          <w:tcPr>
            <w:tcW w:type="dxa" w:w="2835"/>
            <w:vAlign w:val="center"/>
          </w:tcPr>
          <w:p>
            <w:pPr>
              <w:jc w:val="left"/>
            </w:pPr>
            <w:r/>
            <w:r>
              <w:rPr>
                <w:rFonts w:ascii="Calibri" w:hAnsi="Calibri" w:eastAsia="Microsoft YaHei"/>
                <w:b w:val="0"/>
                <w:sz w:val="18"/>
              </w:rPr>
              <w:t>字段缺失、窗口不足或语法空间设计不一致。</w:t>
            </w:r>
          </w:p>
        </w:tc>
        <w:tc>
          <w:tcPr>
            <w:tcW w:type="dxa" w:w="4535"/>
            <w:vAlign w:val="center"/>
          </w:tcPr>
          <w:p>
            <w:pPr>
              <w:jc w:val="left"/>
            </w:pPr>
            <w:r/>
            <w:r>
              <w:rPr>
                <w:rFonts w:ascii="Calibri" w:hAnsi="Calibri" w:eastAsia="Microsoft YaHei"/>
                <w:b w:val="0"/>
                <w:sz w:val="18"/>
              </w:rPr>
              <w:t>输入与搜索空间不匹配。</w:t>
            </w:r>
          </w:p>
        </w:tc>
      </w:tr>
    </w:tbl>
    <w:p/>
    <w:p>
      <w:pPr>
        <w:pStyle w:val="Heading1"/>
      </w:pPr>
      <w:r>
        <w:t>9. 方法论上的风险边界</w:t>
      </w:r>
    </w:p>
    <w:p>
      <w:pPr>
        <w:pStyle w:val="ListBullet"/>
      </w:pPr>
      <w:r>
        <w:t>不要把训练集上高 IC 的因子直接解释为有效交易信号。</w:t>
      </w:r>
    </w:p>
    <w:p>
      <w:pPr>
        <w:pStyle w:val="ListBullet"/>
      </w:pPr>
      <w:r>
        <w:t>不要把验证集上偶然最好的一批因子当成普遍规律。</w:t>
      </w:r>
    </w:p>
    <w:p>
      <w:pPr>
        <w:pStyle w:val="ListBullet"/>
      </w:pPr>
      <w:r>
        <w:t>不要因为一次运行失败就否定整体方法，也不要因为一次成功就宣称机制已稳定。</w:t>
      </w:r>
    </w:p>
    <w:p>
      <w:pPr>
        <w:pStyle w:val="ListBullet"/>
      </w:pPr>
      <w:r>
        <w:t>不要在时间边界上混用未来收益或未来统计量。</w:t>
      </w:r>
    </w:p>
    <w:p>
      <w:pPr>
        <w:pStyle w:val="ListBullet"/>
      </w:pPr>
      <w:r>
        <w:t>不要把复杂度误认为能力，表达式越复杂不代表研究越好。</w:t>
      </w:r>
    </w:p>
    <w:p>
      <w:pPr>
        <w:pStyle w:val="Heading1"/>
      </w:pPr>
      <w:r>
        <w:t>10. 当前项目参数示例</w:t>
      </w:r>
    </w:p>
    <w:p>
      <w:r>
        <w:t>下面给出当前项目中一组可以直接参考的方法参数。它们不是固定标准，而是一个适合当前数据规模和研究节奏的起点。</w:t>
      </w:r>
    </w:p>
    <w:tbl>
      <w:tblPr>
        <w:tblStyle w:val="TableGrid"/>
        <w:tblW w:type="auto" w:w="0"/>
        <w:jc w:val="center"/>
        <w:tblLook w:firstColumn="1" w:firstRow="1" w:lastColumn="0" w:lastRow="0" w:noHBand="0" w:noVBand="1" w:val="04A0"/>
      </w:tblPr>
      <w:tblGrid>
        <w:gridCol w:w="3120"/>
        <w:gridCol w:w="3120"/>
        <w:gridCol w:w="3120"/>
      </w:tblGrid>
      <w:tr>
        <w:tc>
          <w:tcPr>
            <w:tcW w:type="dxa" w:w="1701"/>
            <w:vAlign w:val="center"/>
            <w:shd w:fill="E8EEF5"/>
          </w:tcPr>
          <w:p>
            <w:pPr>
              <w:jc w:val="left"/>
            </w:pPr>
            <w:r/>
            <w:r>
              <w:rPr>
                <w:rFonts w:ascii="Calibri" w:hAnsi="Calibri" w:eastAsia="Microsoft YaHei"/>
                <w:b/>
                <w:sz w:val="18"/>
              </w:rPr>
              <w:t>参数</w:t>
            </w:r>
          </w:p>
        </w:tc>
        <w:tc>
          <w:tcPr>
            <w:tcW w:type="dxa" w:w="3061"/>
            <w:vAlign w:val="center"/>
            <w:shd w:fill="E8EEF5"/>
          </w:tcPr>
          <w:p>
            <w:pPr>
              <w:jc w:val="left"/>
            </w:pPr>
            <w:r/>
            <w:r>
              <w:rPr>
                <w:rFonts w:ascii="Calibri" w:hAnsi="Calibri" w:eastAsia="Microsoft YaHei"/>
                <w:b/>
                <w:sz w:val="18"/>
              </w:rPr>
              <w:t>当前示例</w:t>
            </w:r>
          </w:p>
        </w:tc>
        <w:tc>
          <w:tcPr>
            <w:tcW w:type="dxa" w:w="4309"/>
            <w:vAlign w:val="center"/>
            <w:shd w:fill="E8EEF5"/>
          </w:tcPr>
          <w:p>
            <w:pPr>
              <w:jc w:val="left"/>
            </w:pPr>
            <w:r/>
            <w:r>
              <w:rPr>
                <w:rFonts w:ascii="Calibri" w:hAnsi="Calibri" w:eastAsia="Microsoft YaHei"/>
                <w:b/>
                <w:sz w:val="18"/>
              </w:rPr>
              <w:t>说明</w:t>
            </w:r>
          </w:p>
        </w:tc>
      </w:tr>
      <w:tr>
        <w:tc>
          <w:tcPr>
            <w:tcW w:type="dxa" w:w="1701"/>
            <w:vAlign w:val="center"/>
          </w:tcPr>
          <w:p>
            <w:pPr>
              <w:jc w:val="left"/>
            </w:pPr>
            <w:r/>
            <w:r>
              <w:rPr>
                <w:rFonts w:ascii="Calibri" w:hAnsi="Calibri" w:eastAsia="Microsoft YaHei"/>
                <w:b w:val="0"/>
                <w:sz w:val="18"/>
              </w:rPr>
              <w:t>字段集合</w:t>
            </w:r>
          </w:p>
        </w:tc>
        <w:tc>
          <w:tcPr>
            <w:tcW w:type="dxa" w:w="3061"/>
            <w:vAlign w:val="center"/>
          </w:tcPr>
          <w:p>
            <w:pPr>
              <w:jc w:val="left"/>
            </w:pPr>
            <w:r/>
            <w:r>
              <w:rPr>
                <w:rFonts w:ascii="Calibri" w:hAnsi="Calibri" w:eastAsia="Microsoft YaHei"/>
                <w:b w:val="0"/>
                <w:sz w:val="18"/>
              </w:rPr>
              <w:t>open, close, high, low, ycp, volume, amount, MACD, KDJ, 均线等</w:t>
            </w:r>
          </w:p>
        </w:tc>
        <w:tc>
          <w:tcPr>
            <w:tcW w:type="dxa" w:w="4309"/>
            <w:vAlign w:val="center"/>
          </w:tcPr>
          <w:p>
            <w:pPr>
              <w:jc w:val="left"/>
            </w:pPr>
            <w:r/>
            <w:r>
              <w:rPr>
                <w:rFonts w:ascii="Calibri" w:hAnsi="Calibri" w:eastAsia="Microsoft YaHei"/>
                <w:b w:val="0"/>
                <w:sz w:val="18"/>
              </w:rPr>
              <w:t>兼顾价格、量能、波动和趋势。</w:t>
            </w:r>
          </w:p>
        </w:tc>
      </w:tr>
      <w:tr>
        <w:tc>
          <w:tcPr>
            <w:tcW w:type="dxa" w:w="1701"/>
            <w:vAlign w:val="center"/>
          </w:tcPr>
          <w:p>
            <w:pPr>
              <w:jc w:val="left"/>
            </w:pPr>
            <w:r/>
            <w:r>
              <w:rPr>
                <w:rFonts w:ascii="Calibri" w:hAnsi="Calibri" w:eastAsia="Microsoft YaHei"/>
                <w:b w:val="0"/>
                <w:sz w:val="18"/>
              </w:rPr>
              <w:t>训练窗口</w:t>
            </w:r>
          </w:p>
        </w:tc>
        <w:tc>
          <w:tcPr>
            <w:tcW w:type="dxa" w:w="3061"/>
            <w:vAlign w:val="center"/>
          </w:tcPr>
          <w:p>
            <w:pPr>
              <w:jc w:val="left"/>
            </w:pPr>
            <w:r/>
            <w:r>
              <w:rPr>
                <w:rFonts w:ascii="Calibri" w:hAnsi="Calibri" w:eastAsia="Microsoft YaHei"/>
                <w:b w:val="0"/>
                <w:sz w:val="18"/>
              </w:rPr>
              <w:t>2022-01-14 至 2024-07-26</w:t>
            </w:r>
          </w:p>
        </w:tc>
        <w:tc>
          <w:tcPr>
            <w:tcW w:type="dxa" w:w="4309"/>
            <w:vAlign w:val="center"/>
          </w:tcPr>
          <w:p>
            <w:pPr>
              <w:jc w:val="left"/>
            </w:pPr>
            <w:r/>
            <w:r>
              <w:rPr>
                <w:rFonts w:ascii="Calibri" w:hAnsi="Calibri" w:eastAsia="Microsoft YaHei"/>
                <w:b w:val="0"/>
                <w:sz w:val="18"/>
              </w:rPr>
              <w:t>用于学习生成规律。</w:t>
            </w:r>
          </w:p>
        </w:tc>
      </w:tr>
      <w:tr>
        <w:tc>
          <w:tcPr>
            <w:tcW w:type="dxa" w:w="1701"/>
            <w:vAlign w:val="center"/>
          </w:tcPr>
          <w:p>
            <w:pPr>
              <w:jc w:val="left"/>
            </w:pPr>
            <w:r/>
            <w:r>
              <w:rPr>
                <w:rFonts w:ascii="Calibri" w:hAnsi="Calibri" w:eastAsia="Microsoft YaHei"/>
                <w:b w:val="0"/>
                <w:sz w:val="18"/>
              </w:rPr>
              <w:t>验证窗口</w:t>
            </w:r>
          </w:p>
        </w:tc>
        <w:tc>
          <w:tcPr>
            <w:tcW w:type="dxa" w:w="3061"/>
            <w:vAlign w:val="center"/>
          </w:tcPr>
          <w:p>
            <w:pPr>
              <w:jc w:val="left"/>
            </w:pPr>
            <w:r/>
            <w:r>
              <w:rPr>
                <w:rFonts w:ascii="Calibri" w:hAnsi="Calibri" w:eastAsia="Microsoft YaHei"/>
                <w:b w:val="0"/>
                <w:sz w:val="18"/>
              </w:rPr>
              <w:t>2024-01-25 至 2025-07-28</w:t>
            </w:r>
          </w:p>
        </w:tc>
        <w:tc>
          <w:tcPr>
            <w:tcW w:type="dxa" w:w="4309"/>
            <w:vAlign w:val="center"/>
          </w:tcPr>
          <w:p>
            <w:pPr>
              <w:jc w:val="left"/>
            </w:pPr>
            <w:r/>
            <w:r>
              <w:rPr>
                <w:rFonts w:ascii="Calibri" w:hAnsi="Calibri" w:eastAsia="Microsoft YaHei"/>
                <w:b w:val="0"/>
                <w:sz w:val="18"/>
              </w:rPr>
              <w:t>用于筛选和调参。</w:t>
            </w:r>
          </w:p>
        </w:tc>
      </w:tr>
      <w:tr>
        <w:tc>
          <w:tcPr>
            <w:tcW w:type="dxa" w:w="1701"/>
            <w:vAlign w:val="center"/>
          </w:tcPr>
          <w:p>
            <w:pPr>
              <w:jc w:val="left"/>
            </w:pPr>
            <w:r/>
            <w:r>
              <w:rPr>
                <w:rFonts w:ascii="Calibri" w:hAnsi="Calibri" w:eastAsia="Microsoft YaHei"/>
                <w:b w:val="0"/>
                <w:sz w:val="18"/>
              </w:rPr>
              <w:t>测试窗口</w:t>
            </w:r>
          </w:p>
        </w:tc>
        <w:tc>
          <w:tcPr>
            <w:tcW w:type="dxa" w:w="3061"/>
            <w:vAlign w:val="center"/>
          </w:tcPr>
          <w:p>
            <w:pPr>
              <w:jc w:val="left"/>
            </w:pPr>
            <w:r/>
            <w:r>
              <w:rPr>
                <w:rFonts w:ascii="Calibri" w:hAnsi="Calibri" w:eastAsia="Microsoft YaHei"/>
                <w:b w:val="0"/>
                <w:sz w:val="18"/>
              </w:rPr>
              <w:t>2025-01-27 至 2026-06-12</w:t>
            </w:r>
          </w:p>
        </w:tc>
        <w:tc>
          <w:tcPr>
            <w:tcW w:type="dxa" w:w="4309"/>
            <w:vAlign w:val="center"/>
          </w:tcPr>
          <w:p>
            <w:pPr>
              <w:jc w:val="left"/>
            </w:pPr>
            <w:r/>
            <w:r>
              <w:rPr>
                <w:rFonts w:ascii="Calibri" w:hAnsi="Calibri" w:eastAsia="Microsoft YaHei"/>
                <w:b w:val="0"/>
                <w:sz w:val="18"/>
              </w:rPr>
              <w:t>用于样本外检验。</w:t>
            </w:r>
          </w:p>
        </w:tc>
      </w:tr>
      <w:tr>
        <w:tc>
          <w:tcPr>
            <w:tcW w:type="dxa" w:w="1701"/>
            <w:vAlign w:val="center"/>
          </w:tcPr>
          <w:p>
            <w:pPr>
              <w:jc w:val="left"/>
            </w:pPr>
            <w:r/>
            <w:r>
              <w:rPr>
                <w:rFonts w:ascii="Calibri" w:hAnsi="Calibri" w:eastAsia="Microsoft YaHei"/>
                <w:b w:val="0"/>
                <w:sz w:val="18"/>
              </w:rPr>
              <w:t>最大回看</w:t>
            </w:r>
          </w:p>
        </w:tc>
        <w:tc>
          <w:tcPr>
            <w:tcW w:type="dxa" w:w="3061"/>
            <w:vAlign w:val="center"/>
          </w:tcPr>
          <w:p>
            <w:pPr>
              <w:jc w:val="left"/>
            </w:pPr>
            <w:r/>
            <w:r>
              <w:rPr>
                <w:rFonts w:ascii="Calibri" w:hAnsi="Calibri" w:eastAsia="Microsoft YaHei"/>
                <w:b w:val="0"/>
                <w:sz w:val="18"/>
              </w:rPr>
              <w:t>100 日</w:t>
            </w:r>
          </w:p>
        </w:tc>
        <w:tc>
          <w:tcPr>
            <w:tcW w:type="dxa" w:w="4309"/>
            <w:vAlign w:val="center"/>
          </w:tcPr>
          <w:p>
            <w:pPr>
              <w:jc w:val="left"/>
            </w:pPr>
            <w:r/>
            <w:r>
              <w:rPr>
                <w:rFonts w:ascii="Calibri" w:hAnsi="Calibri" w:eastAsia="Microsoft YaHei"/>
                <w:b w:val="0"/>
                <w:sz w:val="18"/>
              </w:rPr>
              <w:t>覆盖大多数滚动算子。</w:t>
            </w:r>
          </w:p>
        </w:tc>
      </w:tr>
      <w:tr>
        <w:tc>
          <w:tcPr>
            <w:tcW w:type="dxa" w:w="1701"/>
            <w:vAlign w:val="center"/>
          </w:tcPr>
          <w:p>
            <w:pPr>
              <w:jc w:val="left"/>
            </w:pPr>
            <w:r/>
            <w:r>
              <w:rPr>
                <w:rFonts w:ascii="Calibri" w:hAnsi="Calibri" w:eastAsia="Microsoft YaHei"/>
                <w:b w:val="0"/>
                <w:sz w:val="18"/>
              </w:rPr>
              <w:t>目标周期</w:t>
            </w:r>
          </w:p>
        </w:tc>
        <w:tc>
          <w:tcPr>
            <w:tcW w:type="dxa" w:w="3061"/>
            <w:vAlign w:val="center"/>
          </w:tcPr>
          <w:p>
            <w:pPr>
              <w:jc w:val="left"/>
            </w:pPr>
            <w:r/>
            <w:r>
              <w:rPr>
                <w:rFonts w:ascii="Calibri" w:hAnsi="Calibri" w:eastAsia="Microsoft YaHei"/>
                <w:b w:val="0"/>
                <w:sz w:val="18"/>
              </w:rPr>
              <w:t>20 日</w:t>
            </w:r>
          </w:p>
        </w:tc>
        <w:tc>
          <w:tcPr>
            <w:tcW w:type="dxa" w:w="4309"/>
            <w:vAlign w:val="center"/>
          </w:tcPr>
          <w:p>
            <w:pPr>
              <w:jc w:val="left"/>
            </w:pPr>
            <w:r/>
            <w:r>
              <w:rPr>
                <w:rFonts w:ascii="Calibri" w:hAnsi="Calibri" w:eastAsia="Microsoft YaHei"/>
                <w:b w:val="0"/>
                <w:sz w:val="18"/>
              </w:rPr>
              <w:t>用于构造未来收益目标。</w:t>
            </w:r>
          </w:p>
        </w:tc>
      </w:tr>
      <w:tr>
        <w:tc>
          <w:tcPr>
            <w:tcW w:type="dxa" w:w="1701"/>
            <w:vAlign w:val="center"/>
          </w:tcPr>
          <w:p>
            <w:pPr>
              <w:jc w:val="left"/>
            </w:pPr>
            <w:r/>
            <w:r>
              <w:rPr>
                <w:rFonts w:ascii="Calibri" w:hAnsi="Calibri" w:eastAsia="Microsoft YaHei"/>
                <w:b w:val="0"/>
                <w:sz w:val="18"/>
              </w:rPr>
              <w:t>目标合格数</w:t>
            </w:r>
          </w:p>
        </w:tc>
        <w:tc>
          <w:tcPr>
            <w:tcW w:type="dxa" w:w="3061"/>
            <w:vAlign w:val="center"/>
          </w:tcPr>
          <w:p>
            <w:pPr>
              <w:jc w:val="left"/>
            </w:pPr>
            <w:r/>
            <w:r>
              <w:rPr>
                <w:rFonts w:ascii="Calibri" w:hAnsi="Calibri" w:eastAsia="Microsoft YaHei"/>
                <w:b w:val="0"/>
                <w:sz w:val="18"/>
              </w:rPr>
              <w:t>50</w:t>
            </w:r>
          </w:p>
        </w:tc>
        <w:tc>
          <w:tcPr>
            <w:tcW w:type="dxa" w:w="4309"/>
            <w:vAlign w:val="center"/>
          </w:tcPr>
          <w:p>
            <w:pPr>
              <w:jc w:val="left"/>
            </w:pPr>
            <w:r/>
            <w:r>
              <w:rPr>
                <w:rFonts w:ascii="Calibri" w:hAnsi="Calibri" w:eastAsia="Microsoft YaHei"/>
                <w:b w:val="0"/>
                <w:sz w:val="18"/>
              </w:rPr>
              <w:t>表示希望从搜索中得到约 50 条可用因子。</w:t>
            </w:r>
          </w:p>
        </w:tc>
      </w:tr>
      <w:tr>
        <w:tc>
          <w:tcPr>
            <w:tcW w:type="dxa" w:w="1701"/>
            <w:vAlign w:val="center"/>
          </w:tcPr>
          <w:p>
            <w:pPr>
              <w:jc w:val="left"/>
            </w:pPr>
            <w:r/>
            <w:r>
              <w:rPr>
                <w:rFonts w:ascii="Calibri" w:hAnsi="Calibri" w:eastAsia="Microsoft YaHei"/>
                <w:b w:val="0"/>
                <w:sz w:val="18"/>
              </w:rPr>
              <w:t>最大尝试数</w:t>
            </w:r>
          </w:p>
        </w:tc>
        <w:tc>
          <w:tcPr>
            <w:tcW w:type="dxa" w:w="3061"/>
            <w:vAlign w:val="center"/>
          </w:tcPr>
          <w:p>
            <w:pPr>
              <w:jc w:val="left"/>
            </w:pPr>
            <w:r/>
            <w:r>
              <w:rPr>
                <w:rFonts w:ascii="Calibri" w:hAnsi="Calibri" w:eastAsia="Microsoft YaHei"/>
                <w:b w:val="0"/>
                <w:sz w:val="18"/>
              </w:rPr>
              <w:t>100000</w:t>
            </w:r>
          </w:p>
        </w:tc>
        <w:tc>
          <w:tcPr>
            <w:tcW w:type="dxa" w:w="4309"/>
            <w:vAlign w:val="center"/>
          </w:tcPr>
          <w:p>
            <w:pPr>
              <w:jc w:val="left"/>
            </w:pPr>
            <w:r/>
            <w:r>
              <w:rPr>
                <w:rFonts w:ascii="Calibri" w:hAnsi="Calibri" w:eastAsia="Microsoft YaHei"/>
                <w:b w:val="0"/>
                <w:sz w:val="18"/>
              </w:rPr>
              <w:t>限制搜索预算。</w:t>
            </w:r>
          </w:p>
        </w:tc>
      </w:tr>
      <w:tr>
        <w:tc>
          <w:tcPr>
            <w:tcW w:type="dxa" w:w="1701"/>
            <w:vAlign w:val="center"/>
          </w:tcPr>
          <w:p>
            <w:pPr>
              <w:jc w:val="left"/>
            </w:pPr>
            <w:r/>
            <w:r>
              <w:rPr>
                <w:rFonts w:ascii="Calibri" w:hAnsi="Calibri" w:eastAsia="Microsoft YaHei"/>
                <w:b w:val="0"/>
                <w:sz w:val="18"/>
              </w:rPr>
              <w:t>质量阈值</w:t>
            </w:r>
          </w:p>
        </w:tc>
        <w:tc>
          <w:tcPr>
            <w:tcW w:type="dxa" w:w="3061"/>
            <w:vAlign w:val="center"/>
          </w:tcPr>
          <w:p>
            <w:pPr>
              <w:jc w:val="left"/>
            </w:pPr>
            <w:r/>
            <w:r>
              <w:rPr>
                <w:rFonts w:ascii="Calibri" w:hAnsi="Calibri" w:eastAsia="Microsoft YaHei"/>
                <w:b w:val="0"/>
                <w:sz w:val="18"/>
              </w:rPr>
              <w:t>Coverage 0.9 / train IC 0.05 / valid IC 0.04 / ICIR 0.5</w:t>
            </w:r>
          </w:p>
        </w:tc>
        <w:tc>
          <w:tcPr>
            <w:tcW w:type="dxa" w:w="4309"/>
            <w:vAlign w:val="center"/>
          </w:tcPr>
          <w:p>
            <w:pPr>
              <w:jc w:val="left"/>
            </w:pPr>
            <w:r/>
            <w:r>
              <w:rPr>
                <w:rFonts w:ascii="Calibri" w:hAnsi="Calibri" w:eastAsia="Microsoft YaHei"/>
                <w:b w:val="0"/>
                <w:sz w:val="18"/>
              </w:rPr>
              <w:t>当前的严格筛选设置。</w:t>
            </w:r>
          </w:p>
        </w:tc>
      </w:tr>
    </w:tbl>
    <w:p/>
    <w:p>
      <w:pPr>
        <w:pStyle w:val="Heading1"/>
      </w:pPr>
      <w:r>
        <w:t>11. 结论</w:t>
      </w:r>
    </w:p>
    <w:p>
      <w:r>
        <w:t>因子生成阶段的研究逻辑可以概括为一句话：在清晰的时间边界内，用受约束的表达式搜索去发现稳定刻画未来收益结构的候选信号，并用严格的训练、验证和测试协议筛除偶然性。</w:t>
      </w:r>
    </w:p>
    <w:p>
      <w:r>
        <w:t>真正好的方法论不是让模型尽可能自由，而是让模型在足够清晰的边界内探索。这意味着我们要把研究重点放在搜索空间定义、合格标准、验证协议和失败诊断上，而不是只盯着最终找到多少条因子。</w:t>
      </w:r>
    </w:p>
    <w:p>
      <w:pPr>
        <w:sectPr>
          <w:pgSz w:w="12240" w:h="15840"/>
          <w:pgMar w:top="1440" w:right="1440" w:bottom="1440" w:left="1440" w:header="709" w:footer="709" w:gutter="0"/>
          <w:cols w:space="720"/>
          <w:docGrid w:linePitch="360"/>
        </w:sectPr>
      </w:pPr>
    </w:p>
    <w:p>
      <w:pPr>
        <w:pStyle w:val="Heading1"/>
      </w:pPr>
      <w:r>
        <w:t>附录 A：写作时可直接复用的研究句式</w:t>
      </w:r>
    </w:p>
    <w:p>
      <w:pPr>
        <w:pStyle w:val="ListBullet"/>
      </w:pPr>
      <w:r>
        <w:t>“因子生成阶段被建模为一个受约束的表达式搜索问题。”</w:t>
      </w:r>
    </w:p>
    <w:p>
      <w:pPr>
        <w:pStyle w:val="ListBullet"/>
      </w:pPr>
      <w:r>
        <w:t>“合格因子并不等同于最终可交易信号，它仅表示进入下一阶段研究的门槛。”</w:t>
      </w:r>
    </w:p>
    <w:p>
      <w:pPr>
        <w:pStyle w:val="ListBullet"/>
      </w:pPr>
      <w:r>
        <w:t>“训练、验证、测试必须严格按时间切分，以避免未来信息泄漏。”</w:t>
      </w:r>
    </w:p>
    <w:p>
      <w:pPr>
        <w:pStyle w:val="ListBullet"/>
      </w:pPr>
      <w:r>
        <w:t>“高 IC 的候选因子并不必然稳定，因此还需要 ICIR、Coverage 和样本外验证共同约束。”</w:t>
      </w:r>
    </w:p>
    <w:p>
      <w:pPr>
        <w:pStyle w:val="ListBullet"/>
      </w:pPr>
      <w:r>
        <w:t>“研究结论应建立在滚动验证和对照组比较之上，而不是单次最优结果之上。”</w:t>
      </w:r>
    </w:p>
    <w:sectPr w:rsidR="00FC693F" w:rsidRPr="0006063C" w:rsidSect="00034616">
      <w:pgSz w:w="12240" w:h="15840"/>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Microsoft YaHei"/>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