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40"/>
        </w:rPr>
        <w:t>市场状态驱动的因子分类与动态组合研究方案</w:t>
      </w:r>
    </w:p>
    <w:p>
      <w:pPr>
        <w:jc w:val="center"/>
      </w:pPr>
      <w:r>
        <w:rPr>
          <w:i/>
        </w:rPr>
        <w:t>研究性方案文档：原理、流程、指标、注意事项与验证框架</w:t>
      </w:r>
    </w:p>
    <w:tbl>
      <w:tblPr>
        <w:tblStyle w:val="TableGrid"/>
        <w:tblW w:type="auto" w:w="0"/>
        <w:jc w:val="center"/>
        <w:tblLook w:firstColumn="1" w:firstRow="1" w:lastColumn="0" w:lastRow="0" w:noHBand="0" w:noVBand="1" w:val="04A0"/>
      </w:tblPr>
      <w:tblGrid>
        <w:gridCol w:w="4873"/>
        <w:gridCol w:w="4873"/>
      </w:tblGrid>
      <w:tr>
        <w:tc>
          <w:tcPr>
            <w:tcW w:type="dxa" w:w="1814"/>
            <w:vAlign w:val="center"/>
            <w:shd w:fill="D9EAF7"/>
          </w:tcPr>
          <w:p>
            <w:r/>
            <w:r>
              <w:rPr>
                <w:rFonts w:ascii="Microsoft YaHei" w:hAnsi="Microsoft YaHei" w:eastAsia="Microsoft YaHei"/>
                <w:b/>
                <w:sz w:val="19"/>
              </w:rPr>
              <w:t>项目</w:t>
            </w:r>
          </w:p>
        </w:tc>
        <w:tc>
          <w:tcPr>
            <w:tcW w:type="dxa" w:w="7257"/>
            <w:vAlign w:val="center"/>
            <w:shd w:fill="D9EAF7"/>
          </w:tcPr>
          <w:p>
            <w:r/>
            <w:r>
              <w:rPr>
                <w:rFonts w:ascii="Microsoft YaHei" w:hAnsi="Microsoft YaHei" w:eastAsia="Microsoft YaHei"/>
                <w:b/>
                <w:sz w:val="19"/>
              </w:rPr>
              <w:t>说明</w:t>
            </w:r>
          </w:p>
        </w:tc>
      </w:tr>
      <w:tr>
        <w:tc>
          <w:tcPr>
            <w:tcW w:type="dxa" w:w="1814"/>
            <w:vAlign w:val="center"/>
          </w:tcPr>
          <w:p>
            <w:r/>
            <w:r>
              <w:rPr>
                <w:rFonts w:ascii="Microsoft YaHei" w:hAnsi="Microsoft YaHei" w:eastAsia="Microsoft YaHei"/>
                <w:b w:val="0"/>
                <w:sz w:val="19"/>
              </w:rPr>
              <w:t>文档定位</w:t>
            </w:r>
          </w:p>
        </w:tc>
        <w:tc>
          <w:tcPr>
            <w:tcW w:type="dxa" w:w="7257"/>
            <w:vAlign w:val="center"/>
          </w:tcPr>
          <w:p>
            <w:r/>
            <w:r>
              <w:rPr>
                <w:rFonts w:ascii="Microsoft YaHei" w:hAnsi="Microsoft YaHei" w:eastAsia="Microsoft YaHei"/>
                <w:b w:val="0"/>
                <w:sz w:val="19"/>
              </w:rPr>
              <w:t>用于说明动态因子分类、市场状态识别和状态驱动组合的完整研究流程，不作为立即开发规格。</w:t>
            </w:r>
          </w:p>
        </w:tc>
      </w:tr>
      <w:tr>
        <w:tc>
          <w:tcPr>
            <w:tcW w:type="dxa" w:w="1814"/>
            <w:vAlign w:val="center"/>
          </w:tcPr>
          <w:p>
            <w:r/>
            <w:r>
              <w:rPr>
                <w:rFonts w:ascii="Microsoft YaHei" w:hAnsi="Microsoft YaHei" w:eastAsia="Microsoft YaHei"/>
                <w:b w:val="0"/>
                <w:sz w:val="19"/>
              </w:rPr>
              <w:t>核心目标</w:t>
            </w:r>
          </w:p>
        </w:tc>
        <w:tc>
          <w:tcPr>
            <w:tcW w:type="dxa" w:w="7257"/>
            <w:vAlign w:val="center"/>
          </w:tcPr>
          <w:p>
            <w:r/>
            <w:r>
              <w:rPr>
                <w:rFonts w:ascii="Microsoft YaHei" w:hAnsi="Microsoft YaHei" w:eastAsia="Microsoft YaHei"/>
                <w:b w:val="0"/>
                <w:sz w:val="19"/>
              </w:rPr>
              <w:t>建立一套可解释、可验证、可滚动评估的因子类别选择与组合方法。</w:t>
            </w:r>
          </w:p>
        </w:tc>
      </w:tr>
      <w:tr>
        <w:tc>
          <w:tcPr>
            <w:tcW w:type="dxa" w:w="1814"/>
            <w:vAlign w:val="center"/>
          </w:tcPr>
          <w:p>
            <w:r/>
            <w:r>
              <w:rPr>
                <w:rFonts w:ascii="Microsoft YaHei" w:hAnsi="Microsoft YaHei" w:eastAsia="Microsoft YaHei"/>
                <w:b w:val="0"/>
                <w:sz w:val="19"/>
              </w:rPr>
              <w:t>适用对象</w:t>
            </w:r>
          </w:p>
        </w:tc>
        <w:tc>
          <w:tcPr>
            <w:tcW w:type="dxa" w:w="7257"/>
            <w:vAlign w:val="center"/>
          </w:tcPr>
          <w:p>
            <w:r/>
            <w:r>
              <w:rPr>
                <w:rFonts w:ascii="Microsoft YaHei" w:hAnsi="Microsoft YaHei" w:eastAsia="Microsoft YaHei"/>
                <w:b w:val="0"/>
                <w:sz w:val="19"/>
              </w:rPr>
              <w:t>已有单因子库、PPO 生成因子、技术类/价量类因子、后续可扩展的基本面或另类数据因子。</w:t>
            </w:r>
          </w:p>
        </w:tc>
      </w:tr>
      <w:tr>
        <w:tc>
          <w:tcPr>
            <w:tcW w:type="dxa" w:w="1814"/>
            <w:vAlign w:val="center"/>
          </w:tcPr>
          <w:p>
            <w:r/>
            <w:r>
              <w:rPr>
                <w:rFonts w:ascii="Microsoft YaHei" w:hAnsi="Microsoft YaHei" w:eastAsia="Microsoft YaHei"/>
                <w:b w:val="0"/>
                <w:sz w:val="19"/>
              </w:rPr>
              <w:t>关键原则</w:t>
            </w:r>
          </w:p>
        </w:tc>
        <w:tc>
          <w:tcPr>
            <w:tcW w:type="dxa" w:w="7257"/>
            <w:vAlign w:val="center"/>
          </w:tcPr>
          <w:p>
            <w:r/>
            <w:r>
              <w:rPr>
                <w:rFonts w:ascii="Microsoft YaHei" w:hAnsi="Microsoft YaHei" w:eastAsia="Microsoft YaHei"/>
                <w:b w:val="0"/>
                <w:sz w:val="19"/>
              </w:rPr>
              <w:t>不使用未来信息；先做历史条件表现研究，再做实时选择；先解释清楚，再考虑自动化实现。</w:t>
            </w:r>
          </w:p>
        </w:tc>
      </w:tr>
    </w:tbl>
    <w:p/>
    <w:p>
      <w:pPr>
        <w:pStyle w:val="Heading1"/>
      </w:pPr>
      <w:r>
        <w:t>摘要</w:t>
      </w:r>
    </w:p>
    <w:p>
      <w:r>
        <w:t>本方案提出一套以市场状态为条件的因子分类、因子评估与动态组合框架。其核心思想是：不同类别的因子并非在所有市场环境下都同样有效，趋势、反转、波动率、流动性、突破等类别因子往往对市场趋势、波动率、宽度和分化程度具有不同敏感性。因此，因子组合不应只依赖全样本平均表现，而应研究“因子类别 × 市场状态”的条件表现，并在当前市场状态下选择优势类别，再从这些类别中选择具体因子进行组合。</w:t>
      </w:r>
    </w:p>
    <w:p>
      <w:r>
        <w:t>该方案强调研究闭环：首先对已有因子建立可追溯标签；其次构造市场状态识别体系；然后统计不同类别在不同状态下的表现；最后在 Walk-forward 回测中验证状态驱动选择是否相对静态组合带来增益。方案中特别强调数据泄漏、样本不足、过拟合、状态切换频繁、类别过度集中和交易成本等风险。</w:t>
      </w:r>
    </w:p>
    <w:p>
      <w:pPr>
        <w:pStyle w:val="Heading1"/>
      </w:pPr>
      <w:r>
        <w:t>1. 研究目标与基本假设</w:t>
      </w:r>
    </w:p>
    <w:p>
      <w:pPr>
        <w:pStyle w:val="Heading2"/>
      </w:pPr>
      <w:r>
        <w:t>1.1 研究目标</w:t>
      </w:r>
    </w:p>
    <w:p>
      <w:pPr>
        <w:pStyle w:val="ListBullet"/>
      </w:pPr>
      <w:r>
        <w:t>把已有因子划分为具有经济含义和统计特征的类别，形成可检索、可解释的因子元数据体系。</w:t>
      </w:r>
    </w:p>
    <w:p>
      <w:pPr>
        <w:pStyle w:val="ListBullet"/>
      </w:pPr>
      <w:r>
        <w:t>建立当前市场状态识别方法，使每个交易日或调仓日都能获得市场状态标签和状态概率。</w:t>
      </w:r>
    </w:p>
    <w:p>
      <w:pPr>
        <w:pStyle w:val="ListBullet"/>
      </w:pPr>
      <w:r>
        <w:t>研究不同因子类别在不同市场状态下的历史条件表现，回答“什么状态下哪类因子更有效”。</w:t>
      </w:r>
    </w:p>
    <w:p>
      <w:pPr>
        <w:pStyle w:val="ListBullet"/>
      </w:pPr>
      <w:r>
        <w:t>根据当前市场状态选择优势因子类别，并设置类别预算，避免组合被单一类别主导。</w:t>
      </w:r>
    </w:p>
    <w:p>
      <w:pPr>
        <w:pStyle w:val="ListBullet"/>
      </w:pPr>
      <w:r>
        <w:t>在优势类别中筛选具体因子，通过去重、风险约束和权重优化形成最终组合。</w:t>
      </w:r>
    </w:p>
    <w:p>
      <w:pPr>
        <w:pStyle w:val="Heading2"/>
      </w:pPr>
      <w:r>
        <w:t>1.2 基本假设</w:t>
      </w:r>
    </w:p>
    <w:p>
      <w:pPr>
        <w:pStyle w:val="ListBullet"/>
      </w:pPr>
      <w:r>
        <w:t>因子有效性具有状态依赖性。一个因子在全样本表现普通，不代表它在特定市场状态下无效。</w:t>
      </w:r>
    </w:p>
    <w:p>
      <w:pPr>
        <w:pStyle w:val="ListBullet"/>
      </w:pPr>
      <w:r>
        <w:t>因子类别比单个因子更稳定。单个因子可能短期失效，但同一逻辑类别的整体表现更适合用于状态研究。</w:t>
      </w:r>
    </w:p>
    <w:p>
      <w:pPr>
        <w:pStyle w:val="ListBullet"/>
      </w:pPr>
      <w:r>
        <w:t>市场状态必须由当时可获得的数据识别，不能使用未来收益、未来波动或完整回测区间统计结果。</w:t>
      </w:r>
    </w:p>
    <w:p>
      <w:pPr>
        <w:pStyle w:val="ListBullet"/>
      </w:pPr>
      <w:r>
        <w:t>动态选择必须通过滚动回测验证。若只在全样本上回看状态表现，会显著高估策略有效性。</w:t>
      </w:r>
    </w:p>
    <w:p>
      <w:pPr>
        <w:pStyle w:val="Heading2"/>
      </w:pPr>
      <w:r>
        <w:t>1.3 非目标</w:t>
      </w:r>
    </w:p>
    <w:p>
      <w:pPr>
        <w:pStyle w:val="ListBullet"/>
      </w:pPr>
      <w:r>
        <w:t>第一阶段不追求自动化开发落地，而是先形成清晰的方法论和研究协议。</w:t>
      </w:r>
    </w:p>
    <w:p>
      <w:pPr>
        <w:pStyle w:val="ListBullet"/>
      </w:pPr>
      <w:r>
        <w:t>第一阶段不直接使用强化学习决定因子权重，避免模型黑箱和过拟合风险。</w:t>
      </w:r>
    </w:p>
    <w:p>
      <w:pPr>
        <w:pStyle w:val="ListBullet"/>
      </w:pPr>
      <w:r>
        <w:t>第一阶段不设计过多市场状态，优先保证状态解释性、样本量和可复现性。</w:t>
      </w:r>
    </w:p>
    <w:p>
      <w:pPr>
        <w:pStyle w:val="Heading1"/>
      </w:pPr>
      <w:r>
        <w:t>2. 总体框架</w:t>
      </w:r>
    </w:p>
    <w:p>
      <w:r>
        <w:t>完整流程可以拆成五个研究模块和两个验证模块。五个研究模块对应用户提出的五个核心问题：已有因子如何分类、当前市场状态如何识别、因子类别在不同状态下如何表现、如何选择优势类别、以及如何从优势类别中选择具体因子并组合。两个验证模块分别是 Walk-forward 回测和稳健性分析。</w:t>
      </w:r>
    </w:p>
    <w:p>
      <w:pPr>
        <w:pStyle w:val="ListNumber"/>
      </w:pPr>
      <w:r>
        <w:t>因子登记与分类：解析表达式，提取字段、操作符、历史表现和相关性特征，给每个因子打标签。</w:t>
      </w:r>
    </w:p>
    <w:p>
      <w:pPr>
        <w:pStyle w:val="ListNumber"/>
      </w:pPr>
      <w:r>
        <w:t>市场状态识别：基于趋势、波动率、市场宽度、流动性和分化程度构造状态指标。</w:t>
      </w:r>
    </w:p>
    <w:p>
      <w:pPr>
        <w:pStyle w:val="ListNumber"/>
      </w:pPr>
      <w:r>
        <w:t>条件表现研究：统计“因子类别 × 市场状态 × 时间窗口”的 IC、RankIC、ICIR、收益、回撤和换手。</w:t>
      </w:r>
    </w:p>
    <w:p>
      <w:pPr>
        <w:pStyle w:val="ListNumber"/>
      </w:pPr>
      <w:r>
        <w:t>优势类别选择：根据当前状态概率、历史条件表现和风险约束生成类别预算。</w:t>
      </w:r>
    </w:p>
    <w:p>
      <w:pPr>
        <w:pStyle w:val="ListNumber"/>
      </w:pPr>
      <w:r>
        <w:t>具体因子筛选与组合：在类别预算下选因子、去重、标准化并进行权重组合。</w:t>
      </w:r>
    </w:p>
    <w:p>
      <w:pPr>
        <w:pStyle w:val="ListNumber"/>
      </w:pPr>
      <w:r>
        <w:t>Walk-forward 验证：用过去窗口训练状态表现关系，在未来窗口评估组合效果。</w:t>
      </w:r>
    </w:p>
    <w:p>
      <w:pPr>
        <w:pStyle w:val="ListNumber"/>
      </w:pPr>
      <w:r>
        <w:t>稳健性分析：检验参数、状态数量、成本假设、样本区间和因子池变化对结论的影响。</w:t>
      </w:r>
    </w:p>
    <w:p>
      <w:pPr>
        <w:pStyle w:val="IntenseQuote"/>
      </w:pPr>
      <w:r>
        <w:rPr>
          <w:rFonts w:ascii="Microsoft YaHei" w:hAnsi="Microsoft YaHei" w:eastAsia="Microsoft YaHei"/>
        </w:rPr>
        <w:t>核心原则：任何“当前市场状态下表现好”的结论，都必须只使用该时点之前可获得的信息。这是本方案中最重要的数据完整性约束。</w:t>
      </w:r>
    </w:p>
    <w:p>
      <w:pPr>
        <w:pStyle w:val="Heading1"/>
      </w:pPr>
      <w:r>
        <w:t>3. 模块一：已有因子划分类别</w:t>
      </w:r>
    </w:p>
    <w:p>
      <w:pPr>
        <w:pStyle w:val="Heading2"/>
      </w:pPr>
      <w:r>
        <w:t>3.1 分类的意义</w:t>
      </w:r>
    </w:p>
    <w:p>
      <w:r>
        <w:t>因子分类的目的不是为了给因子起名字，而是为了建立中层研究对象。单个因子的表现容易受到随机噪声、表达式细节和参数选择影响；而因子类别能够反映更稳定的交易逻辑。例如，多个使用均线、MACD 或价格趋势的因子可能表达形式不同，但它们共同暴露于趋势逻辑；多个使用短期涨跌幅、KDJ 或价格偏离的因子可能共同暴露于反转逻辑。</w:t>
      </w:r>
    </w:p>
    <w:p>
      <w:pPr>
        <w:pStyle w:val="Heading2"/>
      </w:pPr>
      <w:r>
        <w:t>3.2 建议的一级类别体系</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701"/>
            <w:vAlign w:val="center"/>
            <w:shd w:fill="D9EAF7"/>
          </w:tcPr>
          <w:p>
            <w:r/>
            <w:r>
              <w:rPr>
                <w:rFonts w:ascii="Microsoft YaHei" w:hAnsi="Microsoft YaHei" w:eastAsia="Microsoft YaHei"/>
                <w:b/>
                <w:sz w:val="19"/>
              </w:rPr>
              <w:t>类别</w:t>
            </w:r>
          </w:p>
        </w:tc>
        <w:tc>
          <w:tcPr>
            <w:tcW w:type="dxa" w:w="2494"/>
            <w:vAlign w:val="center"/>
            <w:shd w:fill="D9EAF7"/>
          </w:tcPr>
          <w:p>
            <w:r/>
            <w:r>
              <w:rPr>
                <w:rFonts w:ascii="Microsoft YaHei" w:hAnsi="Microsoft YaHei" w:eastAsia="Microsoft YaHei"/>
                <w:b/>
                <w:sz w:val="19"/>
              </w:rPr>
              <w:t>核心逻辑</w:t>
            </w:r>
          </w:p>
        </w:tc>
        <w:tc>
          <w:tcPr>
            <w:tcW w:type="dxa" w:w="2494"/>
            <w:vAlign w:val="center"/>
            <w:shd w:fill="D9EAF7"/>
          </w:tcPr>
          <w:p>
            <w:r/>
            <w:r>
              <w:rPr>
                <w:rFonts w:ascii="Microsoft YaHei" w:hAnsi="Microsoft YaHei" w:eastAsia="Microsoft YaHei"/>
                <w:b/>
                <w:sz w:val="19"/>
              </w:rPr>
              <w:t>典型字段/信号</w:t>
            </w:r>
          </w:p>
        </w:tc>
        <w:tc>
          <w:tcPr>
            <w:tcW w:type="dxa" w:w="2381"/>
            <w:vAlign w:val="center"/>
            <w:shd w:fill="D9EAF7"/>
          </w:tcPr>
          <w:p>
            <w:r/>
            <w:r>
              <w:rPr>
                <w:rFonts w:ascii="Microsoft YaHei" w:hAnsi="Microsoft YaHei" w:eastAsia="Microsoft YaHei"/>
                <w:b/>
                <w:sz w:val="19"/>
              </w:rPr>
              <w:t>适合观察的市场环境</w:t>
            </w:r>
          </w:p>
        </w:tc>
      </w:tr>
      <w:tr>
        <w:tc>
          <w:tcPr>
            <w:tcW w:type="dxa" w:w="1701"/>
            <w:vAlign w:val="center"/>
          </w:tcPr>
          <w:p>
            <w:r/>
            <w:r>
              <w:rPr>
                <w:rFonts w:ascii="Microsoft YaHei" w:hAnsi="Microsoft YaHei" w:eastAsia="Microsoft YaHei"/>
                <w:b w:val="0"/>
                <w:sz w:val="19"/>
              </w:rPr>
              <w:t>趋势/动量类</w:t>
            </w:r>
          </w:p>
        </w:tc>
        <w:tc>
          <w:tcPr>
            <w:tcW w:type="dxa" w:w="2494"/>
            <w:vAlign w:val="center"/>
          </w:tcPr>
          <w:p>
            <w:r/>
            <w:r>
              <w:rPr>
                <w:rFonts w:ascii="Microsoft YaHei" w:hAnsi="Microsoft YaHei" w:eastAsia="Microsoft YaHei"/>
                <w:b w:val="0"/>
                <w:sz w:val="19"/>
              </w:rPr>
              <w:t>价格或收益具有延续性，强者继续强、弱者继续弱。</w:t>
            </w:r>
          </w:p>
        </w:tc>
        <w:tc>
          <w:tcPr>
            <w:tcW w:type="dxa" w:w="2494"/>
            <w:vAlign w:val="center"/>
          </w:tcPr>
          <w:p>
            <w:r/>
            <w:r>
              <w:rPr>
                <w:rFonts w:ascii="Microsoft YaHei" w:hAnsi="Microsoft YaHei" w:eastAsia="Microsoft YaHei"/>
                <w:b w:val="0"/>
                <w:sz w:val="19"/>
              </w:rPr>
              <w:t>close、ma、ema、dif、dea、macd、RisingUpDays</w:t>
            </w:r>
          </w:p>
        </w:tc>
        <w:tc>
          <w:tcPr>
            <w:tcW w:type="dxa" w:w="2381"/>
            <w:vAlign w:val="center"/>
          </w:tcPr>
          <w:p>
            <w:r/>
            <w:r>
              <w:rPr>
                <w:rFonts w:ascii="Microsoft YaHei" w:hAnsi="Microsoft YaHei" w:eastAsia="Microsoft YaHei"/>
                <w:b w:val="0"/>
                <w:sz w:val="19"/>
              </w:rPr>
              <w:t>趋势明确、市场宽度改善、低到中等波动环境</w:t>
            </w:r>
          </w:p>
        </w:tc>
      </w:tr>
      <w:tr>
        <w:tc>
          <w:tcPr>
            <w:tcW w:type="dxa" w:w="1701"/>
            <w:vAlign w:val="center"/>
          </w:tcPr>
          <w:p>
            <w:r/>
            <w:r>
              <w:rPr>
                <w:rFonts w:ascii="Microsoft YaHei" w:hAnsi="Microsoft YaHei" w:eastAsia="Microsoft YaHei"/>
                <w:b w:val="0"/>
                <w:sz w:val="19"/>
              </w:rPr>
              <w:t>反转类</w:t>
            </w:r>
          </w:p>
        </w:tc>
        <w:tc>
          <w:tcPr>
            <w:tcW w:type="dxa" w:w="2494"/>
            <w:vAlign w:val="center"/>
          </w:tcPr>
          <w:p>
            <w:r/>
            <w:r>
              <w:rPr>
                <w:rFonts w:ascii="Microsoft YaHei" w:hAnsi="Microsoft YaHei" w:eastAsia="Microsoft YaHei"/>
                <w:b w:val="0"/>
                <w:sz w:val="19"/>
              </w:rPr>
              <w:t>短期过度上涨或下跌后出现均值回归。</w:t>
            </w:r>
          </w:p>
        </w:tc>
        <w:tc>
          <w:tcPr>
            <w:tcW w:type="dxa" w:w="2494"/>
            <w:vAlign w:val="center"/>
          </w:tcPr>
          <w:p>
            <w:r/>
            <w:r>
              <w:rPr>
                <w:rFonts w:ascii="Microsoft YaHei" w:hAnsi="Microsoft YaHei" w:eastAsia="Microsoft YaHei"/>
                <w:b w:val="0"/>
                <w:sz w:val="19"/>
              </w:rPr>
              <w:t>ChangePCT、RSV、kdj_k、kdj_d、kdj_j、短周期收益</w:t>
            </w:r>
          </w:p>
        </w:tc>
        <w:tc>
          <w:tcPr>
            <w:tcW w:type="dxa" w:w="2381"/>
            <w:vAlign w:val="center"/>
          </w:tcPr>
          <w:p>
            <w:r/>
            <w:r>
              <w:rPr>
                <w:rFonts w:ascii="Microsoft YaHei" w:hAnsi="Microsoft YaHei" w:eastAsia="Microsoft YaHei"/>
                <w:b w:val="0"/>
                <w:sz w:val="19"/>
              </w:rPr>
              <w:t>震荡、高波动、快速回撤后的修复环境</w:t>
            </w:r>
          </w:p>
        </w:tc>
      </w:tr>
      <w:tr>
        <w:tc>
          <w:tcPr>
            <w:tcW w:type="dxa" w:w="1701"/>
            <w:vAlign w:val="center"/>
          </w:tcPr>
          <w:p>
            <w:r/>
            <w:r>
              <w:rPr>
                <w:rFonts w:ascii="Microsoft YaHei" w:hAnsi="Microsoft YaHei" w:eastAsia="Microsoft YaHei"/>
                <w:b w:val="0"/>
                <w:sz w:val="19"/>
              </w:rPr>
              <w:t>波动率类</w:t>
            </w:r>
          </w:p>
        </w:tc>
        <w:tc>
          <w:tcPr>
            <w:tcW w:type="dxa" w:w="2494"/>
            <w:vAlign w:val="center"/>
          </w:tcPr>
          <w:p>
            <w:r/>
            <w:r>
              <w:rPr>
                <w:rFonts w:ascii="Microsoft YaHei" w:hAnsi="Microsoft YaHei" w:eastAsia="Microsoft YaHei"/>
                <w:b w:val="0"/>
                <w:sz w:val="19"/>
              </w:rPr>
              <w:t>波动扩张或收缩反映风险偏好和价格发现。</w:t>
            </w:r>
          </w:p>
        </w:tc>
        <w:tc>
          <w:tcPr>
            <w:tcW w:type="dxa" w:w="2494"/>
            <w:vAlign w:val="center"/>
          </w:tcPr>
          <w:p>
            <w:r/>
            <w:r>
              <w:rPr>
                <w:rFonts w:ascii="Microsoft YaHei" w:hAnsi="Microsoft YaHei" w:eastAsia="Microsoft YaHei"/>
                <w:b w:val="0"/>
                <w:sz w:val="19"/>
              </w:rPr>
              <w:t>RangePCT、high、low、HighestPrice、LowestPrice</w:t>
            </w:r>
          </w:p>
        </w:tc>
        <w:tc>
          <w:tcPr>
            <w:tcW w:type="dxa" w:w="2381"/>
            <w:vAlign w:val="center"/>
          </w:tcPr>
          <w:p>
            <w:r/>
            <w:r>
              <w:rPr>
                <w:rFonts w:ascii="Microsoft YaHei" w:hAnsi="Microsoft YaHei" w:eastAsia="Microsoft YaHei"/>
                <w:b w:val="0"/>
                <w:sz w:val="19"/>
              </w:rPr>
              <w:t>风险切换、高分化或下跌高波动环境</w:t>
            </w:r>
          </w:p>
        </w:tc>
      </w:tr>
      <w:tr>
        <w:tc>
          <w:tcPr>
            <w:tcW w:type="dxa" w:w="1701"/>
            <w:vAlign w:val="center"/>
          </w:tcPr>
          <w:p>
            <w:r/>
            <w:r>
              <w:rPr>
                <w:rFonts w:ascii="Microsoft YaHei" w:hAnsi="Microsoft YaHei" w:eastAsia="Microsoft YaHei"/>
                <w:b w:val="0"/>
                <w:sz w:val="19"/>
              </w:rPr>
              <w:t>突破/价格位置类</w:t>
            </w:r>
          </w:p>
        </w:tc>
        <w:tc>
          <w:tcPr>
            <w:tcW w:type="dxa" w:w="2494"/>
            <w:vAlign w:val="center"/>
          </w:tcPr>
          <w:p>
            <w:r/>
            <w:r>
              <w:rPr>
                <w:rFonts w:ascii="Microsoft YaHei" w:hAnsi="Microsoft YaHei" w:eastAsia="Microsoft YaHei"/>
                <w:b w:val="0"/>
                <w:sz w:val="19"/>
              </w:rPr>
              <w:t>价格突破区间或处于相对高低位，反映趋势确认或过度偏离。</w:t>
            </w:r>
          </w:p>
        </w:tc>
        <w:tc>
          <w:tcPr>
            <w:tcW w:type="dxa" w:w="2494"/>
            <w:vAlign w:val="center"/>
          </w:tcPr>
          <w:p>
            <w:r/>
            <w:r>
              <w:rPr>
                <w:rFonts w:ascii="Microsoft YaHei" w:hAnsi="Microsoft YaHei" w:eastAsia="Microsoft YaHei"/>
                <w:b w:val="0"/>
                <w:sz w:val="19"/>
              </w:rPr>
              <w:t>max_high_9、min_low_9、HighestPrice、LowestPrice</w:t>
            </w:r>
          </w:p>
        </w:tc>
        <w:tc>
          <w:tcPr>
            <w:tcW w:type="dxa" w:w="2381"/>
            <w:vAlign w:val="center"/>
          </w:tcPr>
          <w:p>
            <w:r/>
            <w:r>
              <w:rPr>
                <w:rFonts w:ascii="Microsoft YaHei" w:hAnsi="Microsoft YaHei" w:eastAsia="Microsoft YaHei"/>
                <w:b w:val="0"/>
                <w:sz w:val="19"/>
              </w:rPr>
              <w:t>趋势启动、区间突破、成交放大环境</w:t>
            </w:r>
          </w:p>
        </w:tc>
      </w:tr>
      <w:tr>
        <w:tc>
          <w:tcPr>
            <w:tcW w:type="dxa" w:w="1701"/>
            <w:vAlign w:val="center"/>
          </w:tcPr>
          <w:p>
            <w:r/>
            <w:r>
              <w:rPr>
                <w:rFonts w:ascii="Microsoft YaHei" w:hAnsi="Microsoft YaHei" w:eastAsia="Microsoft YaHei"/>
                <w:b w:val="0"/>
                <w:sz w:val="19"/>
              </w:rPr>
              <w:t>成交量/流动性类</w:t>
            </w:r>
          </w:p>
        </w:tc>
        <w:tc>
          <w:tcPr>
            <w:tcW w:type="dxa" w:w="2494"/>
            <w:vAlign w:val="center"/>
          </w:tcPr>
          <w:p>
            <w:r/>
            <w:r>
              <w:rPr>
                <w:rFonts w:ascii="Microsoft YaHei" w:hAnsi="Microsoft YaHei" w:eastAsia="Microsoft YaHei"/>
                <w:b w:val="0"/>
                <w:sz w:val="19"/>
              </w:rPr>
              <w:t>成交活跃度、换手和资金参与程度影响收益延续或反转。</w:t>
            </w:r>
          </w:p>
        </w:tc>
        <w:tc>
          <w:tcPr>
            <w:tcW w:type="dxa" w:w="2494"/>
            <w:vAlign w:val="center"/>
          </w:tcPr>
          <w:p>
            <w:r/>
            <w:r>
              <w:rPr>
                <w:rFonts w:ascii="Microsoft YaHei" w:hAnsi="Microsoft YaHei" w:eastAsia="Microsoft YaHei"/>
                <w:b w:val="0"/>
                <w:sz w:val="19"/>
              </w:rPr>
              <w:t>volume、amount、TurnoverRate</w:t>
            </w:r>
          </w:p>
        </w:tc>
        <w:tc>
          <w:tcPr>
            <w:tcW w:type="dxa" w:w="2381"/>
            <w:vAlign w:val="center"/>
          </w:tcPr>
          <w:p>
            <w:r/>
            <w:r>
              <w:rPr>
                <w:rFonts w:ascii="Microsoft YaHei" w:hAnsi="Microsoft YaHei" w:eastAsia="Microsoft YaHei"/>
                <w:b w:val="0"/>
                <w:sz w:val="19"/>
              </w:rPr>
              <w:t>流动性改善、放量上涨、缩量震荡环境</w:t>
            </w:r>
          </w:p>
        </w:tc>
      </w:tr>
      <w:tr>
        <w:tc>
          <w:tcPr>
            <w:tcW w:type="dxa" w:w="1701"/>
            <w:vAlign w:val="center"/>
          </w:tcPr>
          <w:p>
            <w:r/>
            <w:r>
              <w:rPr>
                <w:rFonts w:ascii="Microsoft YaHei" w:hAnsi="Microsoft YaHei" w:eastAsia="Microsoft YaHei"/>
                <w:b w:val="0"/>
                <w:sz w:val="19"/>
              </w:rPr>
              <w:t>价量结合类</w:t>
            </w:r>
          </w:p>
        </w:tc>
        <w:tc>
          <w:tcPr>
            <w:tcW w:type="dxa" w:w="2494"/>
            <w:vAlign w:val="center"/>
          </w:tcPr>
          <w:p>
            <w:r/>
            <w:r>
              <w:rPr>
                <w:rFonts w:ascii="Microsoft YaHei" w:hAnsi="Microsoft YaHei" w:eastAsia="Microsoft YaHei"/>
                <w:b w:val="0"/>
                <w:sz w:val="19"/>
              </w:rPr>
              <w:t>价格变化需要成交量或换手确认，避免单纯价格信号噪声。</w:t>
            </w:r>
          </w:p>
        </w:tc>
        <w:tc>
          <w:tcPr>
            <w:tcW w:type="dxa" w:w="2494"/>
            <w:vAlign w:val="center"/>
          </w:tcPr>
          <w:p>
            <w:r/>
            <w:r>
              <w:rPr>
                <w:rFonts w:ascii="Microsoft YaHei" w:hAnsi="Microsoft YaHei" w:eastAsia="Microsoft YaHei"/>
                <w:b w:val="0"/>
                <w:sz w:val="19"/>
              </w:rPr>
              <w:t>close、ChangePCT、volume、amount、TurnoverRate 的组合</w:t>
            </w:r>
          </w:p>
        </w:tc>
        <w:tc>
          <w:tcPr>
            <w:tcW w:type="dxa" w:w="2381"/>
            <w:vAlign w:val="center"/>
          </w:tcPr>
          <w:p>
            <w:r/>
            <w:r>
              <w:rPr>
                <w:rFonts w:ascii="Microsoft YaHei" w:hAnsi="Microsoft YaHei" w:eastAsia="Microsoft YaHei"/>
                <w:b w:val="0"/>
                <w:sz w:val="19"/>
              </w:rPr>
              <w:t>趋势确认、反弹确认、强弱分化环境</w:t>
            </w:r>
          </w:p>
        </w:tc>
      </w:tr>
      <w:tr>
        <w:tc>
          <w:tcPr>
            <w:tcW w:type="dxa" w:w="1701"/>
            <w:vAlign w:val="center"/>
          </w:tcPr>
          <w:p>
            <w:r/>
            <w:r>
              <w:rPr>
                <w:rFonts w:ascii="Microsoft YaHei" w:hAnsi="Microsoft YaHei" w:eastAsia="Microsoft YaHei"/>
                <w:b w:val="0"/>
                <w:sz w:val="19"/>
              </w:rPr>
              <w:t>涨跌结构/交易状态类</w:t>
            </w:r>
          </w:p>
        </w:tc>
        <w:tc>
          <w:tcPr>
            <w:tcW w:type="dxa" w:w="2494"/>
            <w:vAlign w:val="center"/>
          </w:tcPr>
          <w:p>
            <w:r/>
            <w:r>
              <w:rPr>
                <w:rFonts w:ascii="Microsoft YaHei" w:hAnsi="Microsoft YaHei" w:eastAsia="Microsoft YaHei"/>
                <w:b w:val="0"/>
                <w:sz w:val="19"/>
              </w:rPr>
              <w:t>涨跌方向、涨跌停、停牌等状态描述市场微观结构约束。</w:t>
            </w:r>
          </w:p>
        </w:tc>
        <w:tc>
          <w:tcPr>
            <w:tcW w:type="dxa" w:w="2494"/>
            <w:vAlign w:val="center"/>
          </w:tcPr>
          <w:p>
            <w:r/>
            <w:r>
              <w:rPr>
                <w:rFonts w:ascii="Microsoft YaHei" w:hAnsi="Microsoft YaHei" w:eastAsia="Microsoft YaHei"/>
                <w:b w:val="0"/>
                <w:sz w:val="19"/>
              </w:rPr>
              <w:t>if_up、if_flat、if_down、Ifsuspend、MaxRisingUpDays</w:t>
            </w:r>
          </w:p>
        </w:tc>
        <w:tc>
          <w:tcPr>
            <w:tcW w:type="dxa" w:w="2381"/>
            <w:vAlign w:val="center"/>
          </w:tcPr>
          <w:p>
            <w:r/>
            <w:r>
              <w:rPr>
                <w:rFonts w:ascii="Microsoft YaHei" w:hAnsi="Microsoft YaHei" w:eastAsia="Microsoft YaHei"/>
                <w:b w:val="0"/>
                <w:sz w:val="19"/>
              </w:rPr>
              <w:t>极端行情、流动性约束、风险过滤场景</w:t>
            </w:r>
          </w:p>
        </w:tc>
      </w:tr>
      <w:tr>
        <w:tc>
          <w:tcPr>
            <w:tcW w:type="dxa" w:w="1701"/>
            <w:vAlign w:val="center"/>
          </w:tcPr>
          <w:p>
            <w:r/>
            <w:r>
              <w:rPr>
                <w:rFonts w:ascii="Microsoft YaHei" w:hAnsi="Microsoft YaHei" w:eastAsia="Microsoft YaHei"/>
                <w:b w:val="0"/>
                <w:sz w:val="19"/>
              </w:rPr>
              <w:t>技术指标复合类</w:t>
            </w:r>
          </w:p>
        </w:tc>
        <w:tc>
          <w:tcPr>
            <w:tcW w:type="dxa" w:w="2494"/>
            <w:vAlign w:val="center"/>
          </w:tcPr>
          <w:p>
            <w:r/>
            <w:r>
              <w:rPr>
                <w:rFonts w:ascii="Microsoft YaHei" w:hAnsi="Microsoft YaHei" w:eastAsia="Microsoft YaHei"/>
                <w:b w:val="0"/>
                <w:sz w:val="19"/>
              </w:rPr>
              <w:t>多个技术指标叠加形成复合交易逻辑。</w:t>
            </w:r>
          </w:p>
        </w:tc>
        <w:tc>
          <w:tcPr>
            <w:tcW w:type="dxa" w:w="2494"/>
            <w:vAlign w:val="center"/>
          </w:tcPr>
          <w:p>
            <w:r/>
            <w:r>
              <w:rPr>
                <w:rFonts w:ascii="Microsoft YaHei" w:hAnsi="Microsoft YaHei" w:eastAsia="Microsoft YaHei"/>
                <w:b w:val="0"/>
                <w:sz w:val="19"/>
              </w:rPr>
              <w:t>MACD、KDJ、均线、RSV 等组合</w:t>
            </w:r>
          </w:p>
        </w:tc>
        <w:tc>
          <w:tcPr>
            <w:tcW w:type="dxa" w:w="2381"/>
            <w:vAlign w:val="center"/>
          </w:tcPr>
          <w:p>
            <w:r/>
            <w:r>
              <w:rPr>
                <w:rFonts w:ascii="Microsoft YaHei" w:hAnsi="Microsoft YaHei" w:eastAsia="Microsoft YaHei"/>
                <w:b w:val="0"/>
                <w:sz w:val="19"/>
              </w:rPr>
              <w:t>需进一步拆解为趋势、反转、突破或价量逻辑</w:t>
            </w:r>
          </w:p>
        </w:tc>
      </w:tr>
    </w:tbl>
    <w:p/>
    <w:p>
      <w:pPr>
        <w:pStyle w:val="Heading2"/>
      </w:pPr>
      <w:r>
        <w:t>3.3 分类流程</w:t>
      </w:r>
    </w:p>
    <w:p>
      <w:pPr>
        <w:pStyle w:val="ListNumber"/>
      </w:pPr>
      <w:r>
        <w:t>表达式解析：从因子表达式中提取使用字段、操作符、时间窗口、嵌套结构和最终输出方向。</w:t>
      </w:r>
    </w:p>
    <w:p>
      <w:pPr>
        <w:pStyle w:val="ListNumber"/>
      </w:pPr>
      <w:r>
        <w:t>规则标签：根据字段和操作符匹配初始类别。例如使用 MACD/均线较多的因子优先标记为趋势类。</w:t>
      </w:r>
    </w:p>
    <w:p>
      <w:pPr>
        <w:pStyle w:val="ListNumber"/>
      </w:pPr>
      <w:r>
        <w:t>统计标签：计算因子值、IC 序列、多空收益序列与典型类别代表因子的相关性，用数据修正规则标签。</w:t>
      </w:r>
    </w:p>
    <w:p>
      <w:pPr>
        <w:pStyle w:val="ListNumber"/>
      </w:pPr>
      <w:r>
        <w:t>多标签存储：允许一个因子同时属于多个类别，但必须给出一个 primary_category 作为统计主类别。</w:t>
      </w:r>
    </w:p>
    <w:p>
      <w:pPr>
        <w:pStyle w:val="ListNumber"/>
      </w:pPr>
      <w:r>
        <w:t>人工抽查：对高权重、高贡献或难以自动归类的因子进行人工确认，避免表达式语义被误判。</w:t>
      </w:r>
    </w:p>
    <w:p>
      <w:pPr>
        <w:pStyle w:val="Heading2"/>
      </w:pPr>
      <w:r>
        <w:t>3.4 因子元数据字段</w:t>
      </w:r>
    </w:p>
    <w:tbl>
      <w:tblPr>
        <w:tblStyle w:val="TableGrid"/>
        <w:tblW w:type="auto" w:w="0"/>
        <w:jc w:val="center"/>
        <w:tblLook w:firstColumn="1" w:firstRow="1" w:lastColumn="0" w:lastRow="0" w:noHBand="0" w:noVBand="1" w:val="04A0"/>
      </w:tblPr>
      <w:tblGrid>
        <w:gridCol w:w="4873"/>
        <w:gridCol w:w="4873"/>
      </w:tblGrid>
      <w:tr>
        <w:tc>
          <w:tcPr>
            <w:tcW w:type="dxa" w:w="2494"/>
            <w:vAlign w:val="center"/>
            <w:shd w:fill="D9EAF7"/>
          </w:tcPr>
          <w:p>
            <w:r/>
            <w:r>
              <w:rPr>
                <w:rFonts w:ascii="Microsoft YaHei" w:hAnsi="Microsoft YaHei" w:eastAsia="Microsoft YaHei"/>
                <w:b/>
                <w:sz w:val="19"/>
              </w:rPr>
              <w:t>字段</w:t>
            </w:r>
          </w:p>
        </w:tc>
        <w:tc>
          <w:tcPr>
            <w:tcW w:type="dxa" w:w="6576"/>
            <w:vAlign w:val="center"/>
            <w:shd w:fill="D9EAF7"/>
          </w:tcPr>
          <w:p>
            <w:r/>
            <w:r>
              <w:rPr>
                <w:rFonts w:ascii="Microsoft YaHei" w:hAnsi="Microsoft YaHei" w:eastAsia="Microsoft YaHei"/>
                <w:b/>
                <w:sz w:val="19"/>
              </w:rPr>
              <w:t>说明</w:t>
            </w:r>
          </w:p>
        </w:tc>
      </w:tr>
      <w:tr>
        <w:tc>
          <w:tcPr>
            <w:tcW w:type="dxa" w:w="2494"/>
            <w:vAlign w:val="center"/>
          </w:tcPr>
          <w:p>
            <w:r/>
            <w:r>
              <w:rPr>
                <w:rFonts w:ascii="Microsoft YaHei" w:hAnsi="Microsoft YaHei" w:eastAsia="Microsoft YaHei"/>
                <w:b w:val="0"/>
                <w:sz w:val="19"/>
              </w:rPr>
              <w:t>factor_id</w:t>
            </w:r>
          </w:p>
        </w:tc>
        <w:tc>
          <w:tcPr>
            <w:tcW w:type="dxa" w:w="6576"/>
            <w:vAlign w:val="center"/>
          </w:tcPr>
          <w:p>
            <w:r/>
            <w:r>
              <w:rPr>
                <w:rFonts w:ascii="Microsoft YaHei" w:hAnsi="Microsoft YaHei" w:eastAsia="Microsoft YaHei"/>
                <w:b w:val="0"/>
                <w:sz w:val="19"/>
              </w:rPr>
              <w:t>因子唯一编号。</w:t>
            </w:r>
          </w:p>
        </w:tc>
      </w:tr>
      <w:tr>
        <w:tc>
          <w:tcPr>
            <w:tcW w:type="dxa" w:w="2494"/>
            <w:vAlign w:val="center"/>
          </w:tcPr>
          <w:p>
            <w:r/>
            <w:r>
              <w:rPr>
                <w:rFonts w:ascii="Microsoft YaHei" w:hAnsi="Microsoft YaHei" w:eastAsia="Microsoft YaHei"/>
                <w:b w:val="0"/>
                <w:sz w:val="19"/>
              </w:rPr>
              <w:t>expression / canonical_expression</w:t>
            </w:r>
          </w:p>
        </w:tc>
        <w:tc>
          <w:tcPr>
            <w:tcW w:type="dxa" w:w="6576"/>
            <w:vAlign w:val="center"/>
          </w:tcPr>
          <w:p>
            <w:r/>
            <w:r>
              <w:rPr>
                <w:rFonts w:ascii="Microsoft YaHei" w:hAnsi="Microsoft YaHei" w:eastAsia="Microsoft YaHei"/>
                <w:b w:val="0"/>
                <w:sz w:val="19"/>
              </w:rPr>
              <w:t>原始表达式与标准化表达式。</w:t>
            </w:r>
          </w:p>
        </w:tc>
      </w:tr>
      <w:tr>
        <w:tc>
          <w:tcPr>
            <w:tcW w:type="dxa" w:w="2494"/>
            <w:vAlign w:val="center"/>
          </w:tcPr>
          <w:p>
            <w:r/>
            <w:r>
              <w:rPr>
                <w:rFonts w:ascii="Microsoft YaHei" w:hAnsi="Microsoft YaHei" w:eastAsia="Microsoft YaHei"/>
                <w:b w:val="0"/>
                <w:sz w:val="19"/>
              </w:rPr>
              <w:t>primary_category</w:t>
            </w:r>
          </w:p>
        </w:tc>
        <w:tc>
          <w:tcPr>
            <w:tcW w:type="dxa" w:w="6576"/>
            <w:vAlign w:val="center"/>
          </w:tcPr>
          <w:p>
            <w:r/>
            <w:r>
              <w:rPr>
                <w:rFonts w:ascii="Microsoft YaHei" w:hAnsi="Microsoft YaHei" w:eastAsia="Microsoft YaHei"/>
                <w:b w:val="0"/>
                <w:sz w:val="19"/>
              </w:rPr>
              <w:t>主类别，用于类别统计和预算分配。</w:t>
            </w:r>
          </w:p>
        </w:tc>
      </w:tr>
      <w:tr>
        <w:tc>
          <w:tcPr>
            <w:tcW w:type="dxa" w:w="2494"/>
            <w:vAlign w:val="center"/>
          </w:tcPr>
          <w:p>
            <w:r/>
            <w:r>
              <w:rPr>
                <w:rFonts w:ascii="Microsoft YaHei" w:hAnsi="Microsoft YaHei" w:eastAsia="Microsoft YaHei"/>
                <w:b w:val="0"/>
                <w:sz w:val="19"/>
              </w:rPr>
              <w:t>secondary_categories</w:t>
            </w:r>
          </w:p>
        </w:tc>
        <w:tc>
          <w:tcPr>
            <w:tcW w:type="dxa" w:w="6576"/>
            <w:vAlign w:val="center"/>
          </w:tcPr>
          <w:p>
            <w:r/>
            <w:r>
              <w:rPr>
                <w:rFonts w:ascii="Microsoft YaHei" w:hAnsi="Microsoft YaHei" w:eastAsia="Microsoft YaHei"/>
                <w:b w:val="0"/>
                <w:sz w:val="19"/>
              </w:rPr>
              <w:t>辅助类别，用于检索和风险解释。</w:t>
            </w:r>
          </w:p>
        </w:tc>
      </w:tr>
      <w:tr>
        <w:tc>
          <w:tcPr>
            <w:tcW w:type="dxa" w:w="2494"/>
            <w:vAlign w:val="center"/>
          </w:tcPr>
          <w:p>
            <w:r/>
            <w:r>
              <w:rPr>
                <w:rFonts w:ascii="Microsoft YaHei" w:hAnsi="Microsoft YaHei" w:eastAsia="Microsoft YaHei"/>
                <w:b w:val="0"/>
                <w:sz w:val="19"/>
              </w:rPr>
              <w:t>used_fields</w:t>
            </w:r>
          </w:p>
        </w:tc>
        <w:tc>
          <w:tcPr>
            <w:tcW w:type="dxa" w:w="6576"/>
            <w:vAlign w:val="center"/>
          </w:tcPr>
          <w:p>
            <w:r/>
            <w:r>
              <w:rPr>
                <w:rFonts w:ascii="Microsoft YaHei" w:hAnsi="Microsoft YaHei" w:eastAsia="Microsoft YaHei"/>
                <w:b w:val="0"/>
                <w:sz w:val="19"/>
              </w:rPr>
              <w:t>表达式使用的原始字段。</w:t>
            </w:r>
          </w:p>
        </w:tc>
      </w:tr>
      <w:tr>
        <w:tc>
          <w:tcPr>
            <w:tcW w:type="dxa" w:w="2494"/>
            <w:vAlign w:val="center"/>
          </w:tcPr>
          <w:p>
            <w:r/>
            <w:r>
              <w:rPr>
                <w:rFonts w:ascii="Microsoft YaHei" w:hAnsi="Microsoft YaHei" w:eastAsia="Microsoft YaHei"/>
                <w:b w:val="0"/>
                <w:sz w:val="19"/>
              </w:rPr>
              <w:t>used_operators</w:t>
            </w:r>
          </w:p>
        </w:tc>
        <w:tc>
          <w:tcPr>
            <w:tcW w:type="dxa" w:w="6576"/>
            <w:vAlign w:val="center"/>
          </w:tcPr>
          <w:p>
            <w:r/>
            <w:r>
              <w:rPr>
                <w:rFonts w:ascii="Microsoft YaHei" w:hAnsi="Microsoft YaHei" w:eastAsia="Microsoft YaHei"/>
                <w:b w:val="0"/>
                <w:sz w:val="19"/>
              </w:rPr>
              <w:t>表达式使用的操作符。</w:t>
            </w:r>
          </w:p>
        </w:tc>
      </w:tr>
      <w:tr>
        <w:tc>
          <w:tcPr>
            <w:tcW w:type="dxa" w:w="2494"/>
            <w:vAlign w:val="center"/>
          </w:tcPr>
          <w:p>
            <w:r/>
            <w:r>
              <w:rPr>
                <w:rFonts w:ascii="Microsoft YaHei" w:hAnsi="Microsoft YaHei" w:eastAsia="Microsoft YaHei"/>
                <w:b w:val="0"/>
                <w:sz w:val="19"/>
              </w:rPr>
              <w:t>lookback_windows</w:t>
            </w:r>
          </w:p>
        </w:tc>
        <w:tc>
          <w:tcPr>
            <w:tcW w:type="dxa" w:w="6576"/>
            <w:vAlign w:val="center"/>
          </w:tcPr>
          <w:p>
            <w:r/>
            <w:r>
              <w:rPr>
                <w:rFonts w:ascii="Microsoft YaHei" w:hAnsi="Microsoft YaHei" w:eastAsia="Microsoft YaHei"/>
                <w:b w:val="0"/>
                <w:sz w:val="19"/>
              </w:rPr>
              <w:t>表达式中的主要时间窗口。</w:t>
            </w:r>
          </w:p>
        </w:tc>
      </w:tr>
      <w:tr>
        <w:tc>
          <w:tcPr>
            <w:tcW w:type="dxa" w:w="2494"/>
            <w:vAlign w:val="center"/>
          </w:tcPr>
          <w:p>
            <w:r/>
            <w:r>
              <w:rPr>
                <w:rFonts w:ascii="Microsoft YaHei" w:hAnsi="Microsoft YaHei" w:eastAsia="Microsoft YaHei"/>
                <w:b w:val="0"/>
                <w:sz w:val="19"/>
              </w:rPr>
              <w:t>generation_metrics</w:t>
            </w:r>
          </w:p>
        </w:tc>
        <w:tc>
          <w:tcPr>
            <w:tcW w:type="dxa" w:w="6576"/>
            <w:vAlign w:val="center"/>
          </w:tcPr>
          <w:p>
            <w:r/>
            <w:r>
              <w:rPr>
                <w:rFonts w:ascii="Microsoft YaHei" w:hAnsi="Microsoft YaHei" w:eastAsia="Microsoft YaHei"/>
                <w:b w:val="0"/>
                <w:sz w:val="19"/>
              </w:rPr>
              <w:t>生成阶段 IC、RankIC、ICIR、覆盖率、得分等。</w:t>
            </w:r>
          </w:p>
        </w:tc>
      </w:tr>
      <w:tr>
        <w:tc>
          <w:tcPr>
            <w:tcW w:type="dxa" w:w="2494"/>
            <w:vAlign w:val="center"/>
          </w:tcPr>
          <w:p>
            <w:r/>
            <w:r>
              <w:rPr>
                <w:rFonts w:ascii="Microsoft YaHei" w:hAnsi="Microsoft YaHei" w:eastAsia="Microsoft YaHei"/>
                <w:b w:val="0"/>
                <w:sz w:val="19"/>
              </w:rPr>
              <w:t>backtest_metrics</w:t>
            </w:r>
          </w:p>
        </w:tc>
        <w:tc>
          <w:tcPr>
            <w:tcW w:type="dxa" w:w="6576"/>
            <w:vAlign w:val="center"/>
          </w:tcPr>
          <w:p>
            <w:r/>
            <w:r>
              <w:rPr>
                <w:rFonts w:ascii="Microsoft YaHei" w:hAnsi="Microsoft YaHei" w:eastAsia="Microsoft YaHei"/>
                <w:b w:val="0"/>
                <w:sz w:val="19"/>
              </w:rPr>
              <w:t>回测阶段收益、Sharpe、回撤、换手、成本后收益等。</w:t>
            </w:r>
          </w:p>
        </w:tc>
      </w:tr>
      <w:tr>
        <w:tc>
          <w:tcPr>
            <w:tcW w:type="dxa" w:w="2494"/>
            <w:vAlign w:val="center"/>
          </w:tcPr>
          <w:p>
            <w:r/>
            <w:r>
              <w:rPr>
                <w:rFonts w:ascii="Microsoft YaHei" w:hAnsi="Microsoft YaHei" w:eastAsia="Microsoft YaHei"/>
                <w:b w:val="0"/>
                <w:sz w:val="19"/>
              </w:rPr>
              <w:t>correlation_cluster</w:t>
            </w:r>
          </w:p>
        </w:tc>
        <w:tc>
          <w:tcPr>
            <w:tcW w:type="dxa" w:w="6576"/>
            <w:vAlign w:val="center"/>
          </w:tcPr>
          <w:p>
            <w:r/>
            <w:r>
              <w:rPr>
                <w:rFonts w:ascii="Microsoft YaHei" w:hAnsi="Microsoft YaHei" w:eastAsia="Microsoft YaHei"/>
                <w:b w:val="0"/>
                <w:sz w:val="19"/>
              </w:rPr>
              <w:t>按因子值或收益序列聚类得到的相关性分组。</w:t>
            </w:r>
          </w:p>
        </w:tc>
      </w:tr>
      <w:tr>
        <w:tc>
          <w:tcPr>
            <w:tcW w:type="dxa" w:w="2494"/>
            <w:vAlign w:val="center"/>
          </w:tcPr>
          <w:p>
            <w:r/>
            <w:r>
              <w:rPr>
                <w:rFonts w:ascii="Microsoft YaHei" w:hAnsi="Microsoft YaHei" w:eastAsia="Microsoft YaHei"/>
                <w:b w:val="0"/>
                <w:sz w:val="19"/>
              </w:rPr>
              <w:t>valid_period</w:t>
            </w:r>
          </w:p>
        </w:tc>
        <w:tc>
          <w:tcPr>
            <w:tcW w:type="dxa" w:w="6576"/>
            <w:vAlign w:val="center"/>
          </w:tcPr>
          <w:p>
            <w:r/>
            <w:r>
              <w:rPr>
                <w:rFonts w:ascii="Microsoft YaHei" w:hAnsi="Microsoft YaHei" w:eastAsia="Microsoft YaHei"/>
                <w:b w:val="0"/>
                <w:sz w:val="19"/>
              </w:rPr>
              <w:t>该因子可用的历史时间范围。</w:t>
            </w:r>
          </w:p>
        </w:tc>
      </w:tr>
    </w:tbl>
    <w:p/>
    <w:p>
      <w:pPr>
        <w:pStyle w:val="Heading2"/>
      </w:pPr>
      <w:r>
        <w:t>3.5 注意事项</w:t>
      </w:r>
    </w:p>
    <w:p>
      <w:pPr>
        <w:pStyle w:val="ListBullet"/>
      </w:pPr>
      <w:r>
        <w:t>不要只按因子名称分类。PPO 生成因子可能名称不携带语义，必须解析表达式和历史行为。</w:t>
      </w:r>
    </w:p>
    <w:p>
      <w:pPr>
        <w:pStyle w:val="ListBullet"/>
      </w:pPr>
      <w:r>
        <w:t>不要把类别切得过细。类别太细会导致每个状态下样本不足，条件统计不可靠。</w:t>
      </w:r>
    </w:p>
    <w:p>
      <w:pPr>
        <w:pStyle w:val="ListBullet"/>
      </w:pPr>
      <w:r>
        <w:t>类别标签应允许随研究修订，但历史回测必须固定当时可用标签版本，避免回看修正造成泄漏。</w:t>
      </w:r>
    </w:p>
    <w:p>
      <w:pPr>
        <w:pStyle w:val="ListBullet"/>
      </w:pPr>
      <w:r>
        <w:t>Ifsuspend、if_up、if_down 等字段更适合作为过滤或状态特征，作为预测核心时要检查是否引入交易不可达问题。</w:t>
      </w:r>
    </w:p>
    <w:p>
      <w:pPr>
        <w:pStyle w:val="ListBullet"/>
      </w:pPr>
      <w:r>
        <w:t>技术指标复合类应尽量二次拆解，否则类别解释过宽，不利于状态归因。</w:t>
      </w:r>
    </w:p>
    <w:p>
      <w:pPr>
        <w:pStyle w:val="Heading1"/>
      </w:pPr>
      <w:r>
        <w:t>4. 模块二：识别当前市场状态</w:t>
      </w:r>
    </w:p>
    <w:p>
      <w:pPr>
        <w:pStyle w:val="Heading2"/>
      </w:pPr>
      <w:r>
        <w:t>4.1 状态识别的原则</w:t>
      </w:r>
    </w:p>
    <w:p>
      <w:r>
        <w:t>市场状态识别的目标是刻画“当前市场环境”，而不是预测未来收益。状态变量必须由当时已经发生的数据计算，例如过去 20 日收益、过去 20 日波动率、股票池内上涨比例等。状态识别结果既可以是离散标签，也可以是连续状态向量。研究上建议两者同时保留：离散标签便于统计和解释，连续向量便于计算状态相似度和状态概率。</w:t>
      </w:r>
    </w:p>
    <w:p>
      <w:pPr>
        <w:pStyle w:val="Heading2"/>
      </w:pPr>
      <w:r>
        <w:t>4.2 状态维度与指标</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361"/>
            <w:vAlign w:val="center"/>
            <w:shd w:fill="D9EAF7"/>
          </w:tcPr>
          <w:p>
            <w:r/>
            <w:r>
              <w:rPr>
                <w:rFonts w:ascii="Microsoft YaHei" w:hAnsi="Microsoft YaHei" w:eastAsia="Microsoft YaHei"/>
                <w:b/>
                <w:sz w:val="19"/>
              </w:rPr>
              <w:t>维度</w:t>
            </w:r>
          </w:p>
        </w:tc>
        <w:tc>
          <w:tcPr>
            <w:tcW w:type="dxa" w:w="2041"/>
            <w:vAlign w:val="center"/>
            <w:shd w:fill="D9EAF7"/>
          </w:tcPr>
          <w:p>
            <w:r/>
            <w:r>
              <w:rPr>
                <w:rFonts w:ascii="Microsoft YaHei" w:hAnsi="Microsoft YaHei" w:eastAsia="Microsoft YaHei"/>
                <w:b/>
                <w:sz w:val="19"/>
              </w:rPr>
              <w:t>核心问题</w:t>
            </w:r>
          </w:p>
        </w:tc>
        <w:tc>
          <w:tcPr>
            <w:tcW w:type="dxa" w:w="2835"/>
            <w:vAlign w:val="center"/>
            <w:shd w:fill="D9EAF7"/>
          </w:tcPr>
          <w:p>
            <w:r/>
            <w:r>
              <w:rPr>
                <w:rFonts w:ascii="Microsoft YaHei" w:hAnsi="Microsoft YaHei" w:eastAsia="Microsoft YaHei"/>
                <w:b/>
                <w:sz w:val="19"/>
              </w:rPr>
              <w:t>候选指标</w:t>
            </w:r>
          </w:p>
        </w:tc>
        <w:tc>
          <w:tcPr>
            <w:tcW w:type="dxa" w:w="2835"/>
            <w:vAlign w:val="center"/>
            <w:shd w:fill="D9EAF7"/>
          </w:tcPr>
          <w:p>
            <w:r/>
            <w:r>
              <w:rPr>
                <w:rFonts w:ascii="Microsoft YaHei" w:hAnsi="Microsoft YaHei" w:eastAsia="Microsoft YaHei"/>
                <w:b/>
                <w:sz w:val="19"/>
              </w:rPr>
              <w:t>解释</w:t>
            </w:r>
          </w:p>
        </w:tc>
      </w:tr>
      <w:tr>
        <w:tc>
          <w:tcPr>
            <w:tcW w:type="dxa" w:w="1361"/>
            <w:vAlign w:val="center"/>
          </w:tcPr>
          <w:p>
            <w:r/>
            <w:r>
              <w:rPr>
                <w:rFonts w:ascii="Microsoft YaHei" w:hAnsi="Microsoft YaHei" w:eastAsia="Microsoft YaHei"/>
                <w:b w:val="0"/>
                <w:sz w:val="19"/>
              </w:rPr>
              <w:t>趋势</w:t>
            </w:r>
          </w:p>
        </w:tc>
        <w:tc>
          <w:tcPr>
            <w:tcW w:type="dxa" w:w="2041"/>
            <w:vAlign w:val="center"/>
          </w:tcPr>
          <w:p>
            <w:r/>
            <w:r>
              <w:rPr>
                <w:rFonts w:ascii="Microsoft YaHei" w:hAnsi="Microsoft YaHei" w:eastAsia="Microsoft YaHei"/>
                <w:b w:val="0"/>
                <w:sz w:val="19"/>
              </w:rPr>
              <w:t>市场整体方向是上行、下行还是震荡？</w:t>
            </w:r>
          </w:p>
        </w:tc>
        <w:tc>
          <w:tcPr>
            <w:tcW w:type="dxa" w:w="2835"/>
            <w:vAlign w:val="center"/>
          </w:tcPr>
          <w:p>
            <w:r/>
            <w:r>
              <w:rPr>
                <w:rFonts w:ascii="Microsoft YaHei" w:hAnsi="Microsoft YaHei" w:eastAsia="Microsoft YaHei"/>
                <w:b w:val="0"/>
                <w:sz w:val="19"/>
              </w:rPr>
              <w:t>指数 20/60 日收益、MA20/MA60 方向、站上均线股票比例</w:t>
            </w:r>
          </w:p>
        </w:tc>
        <w:tc>
          <w:tcPr>
            <w:tcW w:type="dxa" w:w="2835"/>
            <w:vAlign w:val="center"/>
          </w:tcPr>
          <w:p>
            <w:r/>
            <w:r>
              <w:rPr>
                <w:rFonts w:ascii="Microsoft YaHei" w:hAnsi="Microsoft YaHei" w:eastAsia="Microsoft YaHei"/>
                <w:b w:val="0"/>
                <w:sz w:val="19"/>
              </w:rPr>
              <w:t>判断动量和趋势因子是否可能占优。</w:t>
            </w:r>
          </w:p>
        </w:tc>
      </w:tr>
      <w:tr>
        <w:tc>
          <w:tcPr>
            <w:tcW w:type="dxa" w:w="1361"/>
            <w:vAlign w:val="center"/>
          </w:tcPr>
          <w:p>
            <w:r/>
            <w:r>
              <w:rPr>
                <w:rFonts w:ascii="Microsoft YaHei" w:hAnsi="Microsoft YaHei" w:eastAsia="Microsoft YaHei"/>
                <w:b w:val="0"/>
                <w:sz w:val="19"/>
              </w:rPr>
              <w:t>波动率</w:t>
            </w:r>
          </w:p>
        </w:tc>
        <w:tc>
          <w:tcPr>
            <w:tcW w:type="dxa" w:w="2041"/>
            <w:vAlign w:val="center"/>
          </w:tcPr>
          <w:p>
            <w:r/>
            <w:r>
              <w:rPr>
                <w:rFonts w:ascii="Microsoft YaHei" w:hAnsi="Microsoft YaHei" w:eastAsia="Microsoft YaHei"/>
                <w:b w:val="0"/>
                <w:sz w:val="19"/>
              </w:rPr>
              <w:t>市场风险是否上升？</w:t>
            </w:r>
          </w:p>
        </w:tc>
        <w:tc>
          <w:tcPr>
            <w:tcW w:type="dxa" w:w="2835"/>
            <w:vAlign w:val="center"/>
          </w:tcPr>
          <w:p>
            <w:r/>
            <w:r>
              <w:rPr>
                <w:rFonts w:ascii="Microsoft YaHei" w:hAnsi="Microsoft YaHei" w:eastAsia="Microsoft YaHei"/>
                <w:b w:val="0"/>
                <w:sz w:val="19"/>
              </w:rPr>
              <w:t>指数实现波动率、RangePCT 均值、波动率历史分位数</w:t>
            </w:r>
          </w:p>
        </w:tc>
        <w:tc>
          <w:tcPr>
            <w:tcW w:type="dxa" w:w="2835"/>
            <w:vAlign w:val="center"/>
          </w:tcPr>
          <w:p>
            <w:r/>
            <w:r>
              <w:rPr>
                <w:rFonts w:ascii="Microsoft YaHei" w:hAnsi="Microsoft YaHei" w:eastAsia="Microsoft YaHei"/>
                <w:b w:val="0"/>
                <w:sz w:val="19"/>
              </w:rPr>
              <w:t>判断反转、波动率和防御逻辑是否更重要。</w:t>
            </w:r>
          </w:p>
        </w:tc>
      </w:tr>
      <w:tr>
        <w:tc>
          <w:tcPr>
            <w:tcW w:type="dxa" w:w="1361"/>
            <w:vAlign w:val="center"/>
          </w:tcPr>
          <w:p>
            <w:r/>
            <w:r>
              <w:rPr>
                <w:rFonts w:ascii="Microsoft YaHei" w:hAnsi="Microsoft YaHei" w:eastAsia="Microsoft YaHei"/>
                <w:b w:val="0"/>
                <w:sz w:val="19"/>
              </w:rPr>
              <w:t>市场宽度</w:t>
            </w:r>
          </w:p>
        </w:tc>
        <w:tc>
          <w:tcPr>
            <w:tcW w:type="dxa" w:w="2041"/>
            <w:vAlign w:val="center"/>
          </w:tcPr>
          <w:p>
            <w:r/>
            <w:r>
              <w:rPr>
                <w:rFonts w:ascii="Microsoft YaHei" w:hAnsi="Microsoft YaHei" w:eastAsia="Microsoft YaHei"/>
                <w:b w:val="0"/>
                <w:sz w:val="19"/>
              </w:rPr>
              <w:t>上涨是否具有普遍性？</w:t>
            </w:r>
          </w:p>
        </w:tc>
        <w:tc>
          <w:tcPr>
            <w:tcW w:type="dxa" w:w="2835"/>
            <w:vAlign w:val="center"/>
          </w:tcPr>
          <w:p>
            <w:r/>
            <w:r>
              <w:rPr>
                <w:rFonts w:ascii="Microsoft YaHei" w:hAnsi="Microsoft YaHei" w:eastAsia="Microsoft YaHei"/>
                <w:b w:val="0"/>
                <w:sz w:val="19"/>
              </w:rPr>
              <w:t>上涨股票占比、站上 MA20 比例、新高新低比例</w:t>
            </w:r>
          </w:p>
        </w:tc>
        <w:tc>
          <w:tcPr>
            <w:tcW w:type="dxa" w:w="2835"/>
            <w:vAlign w:val="center"/>
          </w:tcPr>
          <w:p>
            <w:r/>
            <w:r>
              <w:rPr>
                <w:rFonts w:ascii="Microsoft YaHei" w:hAnsi="Microsoft YaHei" w:eastAsia="Microsoft YaHei"/>
                <w:b w:val="0"/>
                <w:sz w:val="19"/>
              </w:rPr>
              <w:t>趋势行情需要宽度确认，窄幅上涨更容易分化。</w:t>
            </w:r>
          </w:p>
        </w:tc>
      </w:tr>
      <w:tr>
        <w:tc>
          <w:tcPr>
            <w:tcW w:type="dxa" w:w="1361"/>
            <w:vAlign w:val="center"/>
          </w:tcPr>
          <w:p>
            <w:r/>
            <w:r>
              <w:rPr>
                <w:rFonts w:ascii="Microsoft YaHei" w:hAnsi="Microsoft YaHei" w:eastAsia="Microsoft YaHei"/>
                <w:b w:val="0"/>
                <w:sz w:val="19"/>
              </w:rPr>
              <w:t>流动性</w:t>
            </w:r>
          </w:p>
        </w:tc>
        <w:tc>
          <w:tcPr>
            <w:tcW w:type="dxa" w:w="2041"/>
            <w:vAlign w:val="center"/>
          </w:tcPr>
          <w:p>
            <w:r/>
            <w:r>
              <w:rPr>
                <w:rFonts w:ascii="Microsoft YaHei" w:hAnsi="Microsoft YaHei" w:eastAsia="Microsoft YaHei"/>
                <w:b w:val="0"/>
                <w:sz w:val="19"/>
              </w:rPr>
              <w:t>资金参与是否活跃？</w:t>
            </w:r>
          </w:p>
        </w:tc>
        <w:tc>
          <w:tcPr>
            <w:tcW w:type="dxa" w:w="2835"/>
            <w:vAlign w:val="center"/>
          </w:tcPr>
          <w:p>
            <w:r/>
            <w:r>
              <w:rPr>
                <w:rFonts w:ascii="Microsoft YaHei" w:hAnsi="Microsoft YaHei" w:eastAsia="Microsoft YaHei"/>
                <w:b w:val="0"/>
                <w:sz w:val="19"/>
              </w:rPr>
              <w:t>平均成交额、换手率、成交额相对均值变化</w:t>
            </w:r>
          </w:p>
        </w:tc>
        <w:tc>
          <w:tcPr>
            <w:tcW w:type="dxa" w:w="2835"/>
            <w:vAlign w:val="center"/>
          </w:tcPr>
          <w:p>
            <w:r/>
            <w:r>
              <w:rPr>
                <w:rFonts w:ascii="Microsoft YaHei" w:hAnsi="Microsoft YaHei" w:eastAsia="Microsoft YaHei"/>
                <w:b w:val="0"/>
                <w:sz w:val="19"/>
              </w:rPr>
              <w:t>影响价量类因子、交易成本和容量。</w:t>
            </w:r>
          </w:p>
        </w:tc>
      </w:tr>
      <w:tr>
        <w:tc>
          <w:tcPr>
            <w:tcW w:type="dxa" w:w="1361"/>
            <w:vAlign w:val="center"/>
          </w:tcPr>
          <w:p>
            <w:r/>
            <w:r>
              <w:rPr>
                <w:rFonts w:ascii="Microsoft YaHei" w:hAnsi="Microsoft YaHei" w:eastAsia="Microsoft YaHei"/>
                <w:b w:val="0"/>
                <w:sz w:val="19"/>
              </w:rPr>
              <w:t>分化</w:t>
            </w:r>
          </w:p>
        </w:tc>
        <w:tc>
          <w:tcPr>
            <w:tcW w:type="dxa" w:w="2041"/>
            <w:vAlign w:val="center"/>
          </w:tcPr>
          <w:p>
            <w:r/>
            <w:r>
              <w:rPr>
                <w:rFonts w:ascii="Microsoft YaHei" w:hAnsi="Microsoft YaHei" w:eastAsia="Microsoft YaHei"/>
                <w:b w:val="0"/>
                <w:sz w:val="19"/>
              </w:rPr>
              <w:t>个股差异是否扩大？</w:t>
            </w:r>
          </w:p>
        </w:tc>
        <w:tc>
          <w:tcPr>
            <w:tcW w:type="dxa" w:w="2835"/>
            <w:vAlign w:val="center"/>
          </w:tcPr>
          <w:p>
            <w:r/>
            <w:r>
              <w:rPr>
                <w:rFonts w:ascii="Microsoft YaHei" w:hAnsi="Microsoft YaHei" w:eastAsia="Microsoft YaHei"/>
                <w:b w:val="0"/>
                <w:sz w:val="19"/>
              </w:rPr>
              <w:t>横截面收益标准差、行业收益差异、强弱组收益差</w:t>
            </w:r>
          </w:p>
        </w:tc>
        <w:tc>
          <w:tcPr>
            <w:tcW w:type="dxa" w:w="2835"/>
            <w:vAlign w:val="center"/>
          </w:tcPr>
          <w:p>
            <w:r/>
            <w:r>
              <w:rPr>
                <w:rFonts w:ascii="Microsoft YaHei" w:hAnsi="Microsoft YaHei" w:eastAsia="Microsoft YaHei"/>
                <w:b w:val="0"/>
                <w:sz w:val="19"/>
              </w:rPr>
              <w:t>分化越高，选股因子的空间通常越大。</w:t>
            </w:r>
          </w:p>
        </w:tc>
      </w:tr>
    </w:tbl>
    <w:p/>
    <w:p>
      <w:pPr>
        <w:pStyle w:val="Heading2"/>
      </w:pPr>
      <w:r>
        <w:t>4.3 推荐的第一版市场状态</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shd w:fill="D9EAF7"/>
          </w:tcPr>
          <w:p>
            <w:r/>
            <w:r>
              <w:rPr>
                <w:rFonts w:ascii="Microsoft YaHei" w:hAnsi="Microsoft YaHei" w:eastAsia="Microsoft YaHei"/>
                <w:b/>
                <w:sz w:val="19"/>
              </w:rPr>
              <w:t>市场状态</w:t>
            </w:r>
          </w:p>
        </w:tc>
        <w:tc>
          <w:tcPr>
            <w:tcW w:type="dxa" w:w="3969"/>
            <w:vAlign w:val="center"/>
            <w:shd w:fill="D9EAF7"/>
          </w:tcPr>
          <w:p>
            <w:r/>
            <w:r>
              <w:rPr>
                <w:rFonts w:ascii="Microsoft YaHei" w:hAnsi="Microsoft YaHei" w:eastAsia="Microsoft YaHei"/>
                <w:b/>
                <w:sz w:val="19"/>
              </w:rPr>
              <w:t>定义思路</w:t>
            </w:r>
          </w:p>
        </w:tc>
        <w:tc>
          <w:tcPr>
            <w:tcW w:type="dxa" w:w="3402"/>
            <w:vAlign w:val="center"/>
            <w:shd w:fill="D9EAF7"/>
          </w:tcPr>
          <w:p>
            <w:r/>
            <w:r>
              <w:rPr>
                <w:rFonts w:ascii="Microsoft YaHei" w:hAnsi="Microsoft YaHei" w:eastAsia="Microsoft YaHei"/>
                <w:b/>
                <w:sz w:val="19"/>
              </w:rPr>
              <w:t>通常关注的因子类别</w:t>
            </w:r>
          </w:p>
        </w:tc>
      </w:tr>
      <w:tr>
        <w:tc>
          <w:tcPr>
            <w:tcW w:type="dxa" w:w="1701"/>
            <w:vAlign w:val="center"/>
          </w:tcPr>
          <w:p>
            <w:r/>
            <w:r>
              <w:rPr>
                <w:rFonts w:ascii="Microsoft YaHei" w:hAnsi="Microsoft YaHei" w:eastAsia="Microsoft YaHei"/>
                <w:b w:val="0"/>
                <w:sz w:val="19"/>
              </w:rPr>
              <w:t>上涨低波动</w:t>
            </w:r>
          </w:p>
        </w:tc>
        <w:tc>
          <w:tcPr>
            <w:tcW w:type="dxa" w:w="3969"/>
            <w:vAlign w:val="center"/>
          </w:tcPr>
          <w:p>
            <w:r/>
            <w:r>
              <w:rPr>
                <w:rFonts w:ascii="Microsoft YaHei" w:hAnsi="Microsoft YaHei" w:eastAsia="Microsoft YaHei"/>
                <w:b w:val="0"/>
                <w:sz w:val="19"/>
              </w:rPr>
              <w:t>趋势得分较高，波动率低于中位数，市场宽度改善。</w:t>
            </w:r>
          </w:p>
        </w:tc>
        <w:tc>
          <w:tcPr>
            <w:tcW w:type="dxa" w:w="3402"/>
            <w:vAlign w:val="center"/>
          </w:tcPr>
          <w:p>
            <w:r/>
            <w:r>
              <w:rPr>
                <w:rFonts w:ascii="Microsoft YaHei" w:hAnsi="Microsoft YaHei" w:eastAsia="Microsoft YaHei"/>
                <w:b w:val="0"/>
                <w:sz w:val="19"/>
              </w:rPr>
              <w:t>趋势/动量、突破、价量结合</w:t>
            </w:r>
          </w:p>
        </w:tc>
      </w:tr>
      <w:tr>
        <w:tc>
          <w:tcPr>
            <w:tcW w:type="dxa" w:w="1701"/>
            <w:vAlign w:val="center"/>
          </w:tcPr>
          <w:p>
            <w:r/>
            <w:r>
              <w:rPr>
                <w:rFonts w:ascii="Microsoft YaHei" w:hAnsi="Microsoft YaHei" w:eastAsia="Microsoft YaHei"/>
                <w:b w:val="0"/>
                <w:sz w:val="19"/>
              </w:rPr>
              <w:t>上涨高波动</w:t>
            </w:r>
          </w:p>
        </w:tc>
        <w:tc>
          <w:tcPr>
            <w:tcW w:type="dxa" w:w="3969"/>
            <w:vAlign w:val="center"/>
          </w:tcPr>
          <w:p>
            <w:r/>
            <w:r>
              <w:rPr>
                <w:rFonts w:ascii="Microsoft YaHei" w:hAnsi="Microsoft YaHei" w:eastAsia="Microsoft YaHei"/>
                <w:b w:val="0"/>
                <w:sz w:val="19"/>
              </w:rPr>
              <w:t>趋势向上但波动率和分化较高。</w:t>
            </w:r>
          </w:p>
        </w:tc>
        <w:tc>
          <w:tcPr>
            <w:tcW w:type="dxa" w:w="3402"/>
            <w:vAlign w:val="center"/>
          </w:tcPr>
          <w:p>
            <w:r/>
            <w:r>
              <w:rPr>
                <w:rFonts w:ascii="Microsoft YaHei" w:hAnsi="Microsoft YaHei" w:eastAsia="Microsoft YaHei"/>
                <w:b w:val="0"/>
                <w:sz w:val="19"/>
              </w:rPr>
              <w:t>价量结合、趋势、波动率控制</w:t>
            </w:r>
          </w:p>
        </w:tc>
      </w:tr>
      <w:tr>
        <w:tc>
          <w:tcPr>
            <w:tcW w:type="dxa" w:w="1701"/>
            <w:vAlign w:val="center"/>
          </w:tcPr>
          <w:p>
            <w:r/>
            <w:r>
              <w:rPr>
                <w:rFonts w:ascii="Microsoft YaHei" w:hAnsi="Microsoft YaHei" w:eastAsia="Microsoft YaHei"/>
                <w:b w:val="0"/>
                <w:sz w:val="19"/>
              </w:rPr>
              <w:t>震荡低波动</w:t>
            </w:r>
          </w:p>
        </w:tc>
        <w:tc>
          <w:tcPr>
            <w:tcW w:type="dxa" w:w="3969"/>
            <w:vAlign w:val="center"/>
          </w:tcPr>
          <w:p>
            <w:r/>
            <w:r>
              <w:rPr>
                <w:rFonts w:ascii="Microsoft YaHei" w:hAnsi="Microsoft YaHei" w:eastAsia="Microsoft YaHei"/>
                <w:b w:val="0"/>
                <w:sz w:val="19"/>
              </w:rPr>
              <w:t>趋势得分接近中性，波动收缩，成交可能较弱。</w:t>
            </w:r>
          </w:p>
        </w:tc>
        <w:tc>
          <w:tcPr>
            <w:tcW w:type="dxa" w:w="3402"/>
            <w:vAlign w:val="center"/>
          </w:tcPr>
          <w:p>
            <w:r/>
            <w:r>
              <w:rPr>
                <w:rFonts w:ascii="Microsoft YaHei" w:hAnsi="Microsoft YaHei" w:eastAsia="Microsoft YaHei"/>
                <w:b w:val="0"/>
                <w:sz w:val="19"/>
              </w:rPr>
              <w:t>反转、流动性、短周期价量</w:t>
            </w:r>
          </w:p>
        </w:tc>
      </w:tr>
      <w:tr>
        <w:tc>
          <w:tcPr>
            <w:tcW w:type="dxa" w:w="1701"/>
            <w:vAlign w:val="center"/>
          </w:tcPr>
          <w:p>
            <w:r/>
            <w:r>
              <w:rPr>
                <w:rFonts w:ascii="Microsoft YaHei" w:hAnsi="Microsoft YaHei" w:eastAsia="Microsoft YaHei"/>
                <w:b w:val="0"/>
                <w:sz w:val="19"/>
              </w:rPr>
              <w:t>震荡高波动</w:t>
            </w:r>
          </w:p>
        </w:tc>
        <w:tc>
          <w:tcPr>
            <w:tcW w:type="dxa" w:w="3969"/>
            <w:vAlign w:val="center"/>
          </w:tcPr>
          <w:p>
            <w:r/>
            <w:r>
              <w:rPr>
                <w:rFonts w:ascii="Microsoft YaHei" w:hAnsi="Microsoft YaHei" w:eastAsia="Microsoft YaHei"/>
                <w:b w:val="0"/>
                <w:sz w:val="19"/>
              </w:rPr>
              <w:t>方向不稳定，波动率较高，反复切换。</w:t>
            </w:r>
          </w:p>
        </w:tc>
        <w:tc>
          <w:tcPr>
            <w:tcW w:type="dxa" w:w="3402"/>
            <w:vAlign w:val="center"/>
          </w:tcPr>
          <w:p>
            <w:r/>
            <w:r>
              <w:rPr>
                <w:rFonts w:ascii="Microsoft YaHei" w:hAnsi="Microsoft YaHei" w:eastAsia="Microsoft YaHei"/>
                <w:b w:val="0"/>
                <w:sz w:val="19"/>
              </w:rPr>
              <w:t>反转、波动率、风险过滤</w:t>
            </w:r>
          </w:p>
        </w:tc>
      </w:tr>
      <w:tr>
        <w:tc>
          <w:tcPr>
            <w:tcW w:type="dxa" w:w="1701"/>
            <w:vAlign w:val="center"/>
          </w:tcPr>
          <w:p>
            <w:r/>
            <w:r>
              <w:rPr>
                <w:rFonts w:ascii="Microsoft YaHei" w:hAnsi="Microsoft YaHei" w:eastAsia="Microsoft YaHei"/>
                <w:b w:val="0"/>
                <w:sz w:val="19"/>
              </w:rPr>
              <w:t>下跌高波动</w:t>
            </w:r>
          </w:p>
        </w:tc>
        <w:tc>
          <w:tcPr>
            <w:tcW w:type="dxa" w:w="3969"/>
            <w:vAlign w:val="center"/>
          </w:tcPr>
          <w:p>
            <w:r/>
            <w:r>
              <w:rPr>
                <w:rFonts w:ascii="Microsoft YaHei" w:hAnsi="Microsoft YaHei" w:eastAsia="Microsoft YaHei"/>
                <w:b w:val="0"/>
                <w:sz w:val="19"/>
              </w:rPr>
              <w:t>趋势向下且风险快速释放。</w:t>
            </w:r>
          </w:p>
        </w:tc>
        <w:tc>
          <w:tcPr>
            <w:tcW w:type="dxa" w:w="3402"/>
            <w:vAlign w:val="center"/>
          </w:tcPr>
          <w:p>
            <w:r/>
            <w:r>
              <w:rPr>
                <w:rFonts w:ascii="Microsoft YaHei" w:hAnsi="Microsoft YaHei" w:eastAsia="Microsoft YaHei"/>
                <w:b w:val="0"/>
                <w:sz w:val="19"/>
              </w:rPr>
              <w:t>防御型、反转确认、低换手过滤</w:t>
            </w:r>
          </w:p>
        </w:tc>
      </w:tr>
      <w:tr>
        <w:tc>
          <w:tcPr>
            <w:tcW w:type="dxa" w:w="1701"/>
            <w:vAlign w:val="center"/>
          </w:tcPr>
          <w:p>
            <w:r/>
            <w:r>
              <w:rPr>
                <w:rFonts w:ascii="Microsoft YaHei" w:hAnsi="Microsoft YaHei" w:eastAsia="Microsoft YaHei"/>
                <w:b w:val="0"/>
                <w:sz w:val="19"/>
              </w:rPr>
              <w:t>下跌低波动</w:t>
            </w:r>
          </w:p>
        </w:tc>
        <w:tc>
          <w:tcPr>
            <w:tcW w:type="dxa" w:w="3969"/>
            <w:vAlign w:val="center"/>
          </w:tcPr>
          <w:p>
            <w:r/>
            <w:r>
              <w:rPr>
                <w:rFonts w:ascii="Microsoft YaHei" w:hAnsi="Microsoft YaHei" w:eastAsia="Microsoft YaHei"/>
                <w:b w:val="0"/>
                <w:sz w:val="19"/>
              </w:rPr>
              <w:t>趋势偏弱，成交低迷，市场缺乏弹性。</w:t>
            </w:r>
          </w:p>
        </w:tc>
        <w:tc>
          <w:tcPr>
            <w:tcW w:type="dxa" w:w="3402"/>
            <w:vAlign w:val="center"/>
          </w:tcPr>
          <w:p>
            <w:r/>
            <w:r>
              <w:rPr>
                <w:rFonts w:ascii="Microsoft YaHei" w:hAnsi="Microsoft YaHei" w:eastAsia="Microsoft YaHei"/>
                <w:b w:val="0"/>
                <w:sz w:val="19"/>
              </w:rPr>
              <w:t>流动性、防御、低波动</w:t>
            </w:r>
          </w:p>
        </w:tc>
      </w:tr>
      <w:tr>
        <w:tc>
          <w:tcPr>
            <w:tcW w:type="dxa" w:w="1701"/>
            <w:vAlign w:val="center"/>
          </w:tcPr>
          <w:p>
            <w:r/>
            <w:r>
              <w:rPr>
                <w:rFonts w:ascii="Microsoft YaHei" w:hAnsi="Microsoft YaHei" w:eastAsia="Microsoft YaHei"/>
                <w:b w:val="0"/>
                <w:sz w:val="19"/>
              </w:rPr>
              <w:t>高分化状态</w:t>
            </w:r>
          </w:p>
        </w:tc>
        <w:tc>
          <w:tcPr>
            <w:tcW w:type="dxa" w:w="3969"/>
            <w:vAlign w:val="center"/>
          </w:tcPr>
          <w:p>
            <w:r/>
            <w:r>
              <w:rPr>
                <w:rFonts w:ascii="Microsoft YaHei" w:hAnsi="Microsoft YaHei" w:eastAsia="Microsoft YaHei"/>
                <w:b w:val="0"/>
                <w:sz w:val="19"/>
              </w:rPr>
              <w:t>市场方向不一定明确，但横截面收益差异较大。</w:t>
            </w:r>
          </w:p>
        </w:tc>
        <w:tc>
          <w:tcPr>
            <w:tcW w:type="dxa" w:w="3402"/>
            <w:vAlign w:val="center"/>
          </w:tcPr>
          <w:p>
            <w:r/>
            <w:r>
              <w:rPr>
                <w:rFonts w:ascii="Microsoft YaHei" w:hAnsi="Microsoft YaHei" w:eastAsia="Microsoft YaHei"/>
                <w:b w:val="0"/>
                <w:sz w:val="19"/>
              </w:rPr>
              <w:t>选股型价量、突破、类别分散组合</w:t>
            </w:r>
          </w:p>
        </w:tc>
      </w:tr>
    </w:tbl>
    <w:p/>
    <w:p>
      <w:pPr>
        <w:pStyle w:val="Heading2"/>
      </w:pPr>
      <w:r>
        <w:t>4.4 状态识别方法</w:t>
      </w:r>
    </w:p>
    <w:p>
      <w:r>
        <w:t>建议采用分阶段路线：规则法作为第一版主方案，聚类法作为研究对照，隐马尔可夫模型作为后续扩展。</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474"/>
            <w:vAlign w:val="center"/>
            <w:shd w:fill="D9EAF7"/>
          </w:tcPr>
          <w:p>
            <w:r/>
            <w:r>
              <w:rPr>
                <w:rFonts w:ascii="Microsoft YaHei" w:hAnsi="Microsoft YaHei" w:eastAsia="Microsoft YaHei"/>
                <w:b/>
                <w:sz w:val="19"/>
              </w:rPr>
              <w:t>方法</w:t>
            </w:r>
          </w:p>
        </w:tc>
        <w:tc>
          <w:tcPr>
            <w:tcW w:type="dxa" w:w="2891"/>
            <w:vAlign w:val="center"/>
            <w:shd w:fill="D9EAF7"/>
          </w:tcPr>
          <w:p>
            <w:r/>
            <w:r>
              <w:rPr>
                <w:rFonts w:ascii="Microsoft YaHei" w:hAnsi="Microsoft YaHei" w:eastAsia="Microsoft YaHei"/>
                <w:b/>
                <w:sz w:val="19"/>
              </w:rPr>
              <w:t>做法</w:t>
            </w:r>
          </w:p>
        </w:tc>
        <w:tc>
          <w:tcPr>
            <w:tcW w:type="dxa" w:w="2381"/>
            <w:vAlign w:val="center"/>
            <w:shd w:fill="D9EAF7"/>
          </w:tcPr>
          <w:p>
            <w:r/>
            <w:r>
              <w:rPr>
                <w:rFonts w:ascii="Microsoft YaHei" w:hAnsi="Microsoft YaHei" w:eastAsia="Microsoft YaHei"/>
                <w:b/>
                <w:sz w:val="19"/>
              </w:rPr>
              <w:t>优点</w:t>
            </w:r>
          </w:p>
        </w:tc>
        <w:tc>
          <w:tcPr>
            <w:tcW w:type="dxa" w:w="2324"/>
            <w:vAlign w:val="center"/>
            <w:shd w:fill="D9EAF7"/>
          </w:tcPr>
          <w:p>
            <w:r/>
            <w:r>
              <w:rPr>
                <w:rFonts w:ascii="Microsoft YaHei" w:hAnsi="Microsoft YaHei" w:eastAsia="Microsoft YaHei"/>
                <w:b/>
                <w:sz w:val="19"/>
              </w:rPr>
              <w:t>风险</w:t>
            </w:r>
          </w:p>
        </w:tc>
      </w:tr>
      <w:tr>
        <w:tc>
          <w:tcPr>
            <w:tcW w:type="dxa" w:w="1474"/>
            <w:vAlign w:val="center"/>
          </w:tcPr>
          <w:p>
            <w:r/>
            <w:r>
              <w:rPr>
                <w:rFonts w:ascii="Microsoft YaHei" w:hAnsi="Microsoft YaHei" w:eastAsia="Microsoft YaHei"/>
                <w:b w:val="0"/>
                <w:sz w:val="19"/>
              </w:rPr>
              <w:t>规则法</w:t>
            </w:r>
          </w:p>
        </w:tc>
        <w:tc>
          <w:tcPr>
            <w:tcW w:type="dxa" w:w="2891"/>
            <w:vAlign w:val="center"/>
          </w:tcPr>
          <w:p>
            <w:r/>
            <w:r>
              <w:rPr>
                <w:rFonts w:ascii="Microsoft YaHei" w:hAnsi="Microsoft YaHei" w:eastAsia="Microsoft YaHei"/>
                <w:b w:val="0"/>
                <w:sz w:val="19"/>
              </w:rPr>
              <w:t>用滚动 Z-score、分位数和阈值定义趋势、波动、宽度等状态。</w:t>
            </w:r>
          </w:p>
        </w:tc>
        <w:tc>
          <w:tcPr>
            <w:tcW w:type="dxa" w:w="2381"/>
            <w:vAlign w:val="center"/>
          </w:tcPr>
          <w:p>
            <w:r/>
            <w:r>
              <w:rPr>
                <w:rFonts w:ascii="Microsoft YaHei" w:hAnsi="Microsoft YaHei" w:eastAsia="Microsoft YaHei"/>
                <w:b w:val="0"/>
                <w:sz w:val="19"/>
              </w:rPr>
              <w:t>解释性强，易检查，适合第一版。</w:t>
            </w:r>
          </w:p>
        </w:tc>
        <w:tc>
          <w:tcPr>
            <w:tcW w:type="dxa" w:w="2324"/>
            <w:vAlign w:val="center"/>
          </w:tcPr>
          <w:p>
            <w:r/>
            <w:r>
              <w:rPr>
                <w:rFonts w:ascii="Microsoft YaHei" w:hAnsi="Microsoft YaHei" w:eastAsia="Microsoft YaHei"/>
                <w:b w:val="0"/>
                <w:sz w:val="19"/>
              </w:rPr>
              <w:t>阈值需要调研，过硬切分可能造成状态跳变。</w:t>
            </w:r>
          </w:p>
        </w:tc>
      </w:tr>
      <w:tr>
        <w:tc>
          <w:tcPr>
            <w:tcW w:type="dxa" w:w="1474"/>
            <w:vAlign w:val="center"/>
          </w:tcPr>
          <w:p>
            <w:r/>
            <w:r>
              <w:rPr>
                <w:rFonts w:ascii="Microsoft YaHei" w:hAnsi="Microsoft YaHei" w:eastAsia="Microsoft YaHei"/>
                <w:b w:val="0"/>
                <w:sz w:val="19"/>
              </w:rPr>
              <w:t>聚类法</w:t>
            </w:r>
          </w:p>
        </w:tc>
        <w:tc>
          <w:tcPr>
            <w:tcW w:type="dxa" w:w="2891"/>
            <w:vAlign w:val="center"/>
          </w:tcPr>
          <w:p>
            <w:r/>
            <w:r>
              <w:rPr>
                <w:rFonts w:ascii="Microsoft YaHei" w:hAnsi="Microsoft YaHei" w:eastAsia="Microsoft YaHei"/>
                <w:b w:val="0"/>
                <w:sz w:val="19"/>
              </w:rPr>
              <w:t>对状态指标做 K-Means/GMM/层次聚类，再给聚类命名。</w:t>
            </w:r>
          </w:p>
        </w:tc>
        <w:tc>
          <w:tcPr>
            <w:tcW w:type="dxa" w:w="2381"/>
            <w:vAlign w:val="center"/>
          </w:tcPr>
          <w:p>
            <w:r/>
            <w:r>
              <w:rPr>
                <w:rFonts w:ascii="Microsoft YaHei" w:hAnsi="Microsoft YaHei" w:eastAsia="Microsoft YaHei"/>
                <w:b w:val="0"/>
                <w:sz w:val="19"/>
              </w:rPr>
              <w:t>可发现非预设状态，适合探索。</w:t>
            </w:r>
          </w:p>
        </w:tc>
        <w:tc>
          <w:tcPr>
            <w:tcW w:type="dxa" w:w="2324"/>
            <w:vAlign w:val="center"/>
          </w:tcPr>
          <w:p>
            <w:r/>
            <w:r>
              <w:rPr>
                <w:rFonts w:ascii="Microsoft YaHei" w:hAnsi="Microsoft YaHei" w:eastAsia="Microsoft YaHei"/>
                <w:b w:val="0"/>
                <w:sz w:val="19"/>
              </w:rPr>
              <w:t>聚类结果可能不稳定，命名带主观性。</w:t>
            </w:r>
          </w:p>
        </w:tc>
      </w:tr>
      <w:tr>
        <w:tc>
          <w:tcPr>
            <w:tcW w:type="dxa" w:w="1474"/>
            <w:vAlign w:val="center"/>
          </w:tcPr>
          <w:p>
            <w:r/>
            <w:r>
              <w:rPr>
                <w:rFonts w:ascii="Microsoft YaHei" w:hAnsi="Microsoft YaHei" w:eastAsia="Microsoft YaHei"/>
                <w:b w:val="0"/>
                <w:sz w:val="19"/>
              </w:rPr>
              <w:t>HMM</w:t>
            </w:r>
          </w:p>
        </w:tc>
        <w:tc>
          <w:tcPr>
            <w:tcW w:type="dxa" w:w="2891"/>
            <w:vAlign w:val="center"/>
          </w:tcPr>
          <w:p>
            <w:r/>
            <w:r>
              <w:rPr>
                <w:rFonts w:ascii="Microsoft YaHei" w:hAnsi="Microsoft YaHei" w:eastAsia="Microsoft YaHei"/>
                <w:b w:val="0"/>
                <w:sz w:val="19"/>
              </w:rPr>
              <w:t>用隐状态模型刻画状态持续性和转移概率。</w:t>
            </w:r>
          </w:p>
        </w:tc>
        <w:tc>
          <w:tcPr>
            <w:tcW w:type="dxa" w:w="2381"/>
            <w:vAlign w:val="center"/>
          </w:tcPr>
          <w:p>
            <w:r/>
            <w:r>
              <w:rPr>
                <w:rFonts w:ascii="Microsoft YaHei" w:hAnsi="Microsoft YaHei" w:eastAsia="Microsoft YaHei"/>
                <w:b w:val="0"/>
                <w:sz w:val="19"/>
              </w:rPr>
              <w:t>能处理状态概率和状态转移。</w:t>
            </w:r>
          </w:p>
        </w:tc>
        <w:tc>
          <w:tcPr>
            <w:tcW w:type="dxa" w:w="2324"/>
            <w:vAlign w:val="center"/>
          </w:tcPr>
          <w:p>
            <w:r/>
            <w:r>
              <w:rPr>
                <w:rFonts w:ascii="Microsoft YaHei" w:hAnsi="Microsoft YaHei" w:eastAsia="Microsoft YaHei"/>
                <w:b w:val="0"/>
                <w:sz w:val="19"/>
              </w:rPr>
              <w:t>解释成本高，对样本和参数敏感。</w:t>
            </w:r>
          </w:p>
        </w:tc>
      </w:tr>
    </w:tbl>
    <w:p/>
    <w:p>
      <w:pPr>
        <w:ind w:left="283"/>
      </w:pPr>
      <w:r>
        <w:rPr>
          <w:b/>
        </w:rPr>
        <w:t>状态向量示例：</w:t>
      </w:r>
      <w:r>
        <w:rPr>
          <w:rFonts w:ascii="Consolas" w:hAnsi="Consolas" w:eastAsia="Consolas"/>
        </w:rPr>
        <w:t>S_t = [trend_score_t, volatility_score_t, breadth_score_t, liquidity_score_t, dispersion_score_t]</w:t>
      </w:r>
    </w:p>
    <w:p>
      <w:r>
        <w:t>其中每个分量应使用滚动历史窗口标准化，避免用完整样本均值和标准差造成未来信息泄漏。</w:t>
      </w:r>
    </w:p>
    <w:p>
      <w:pPr>
        <w:pStyle w:val="Heading2"/>
      </w:pPr>
      <w:r>
        <w:t>4.5 注意事项</w:t>
      </w:r>
    </w:p>
    <w:p>
      <w:pPr>
        <w:pStyle w:val="ListBullet"/>
      </w:pPr>
      <w:r>
        <w:t>状态识别要基于目标股票池或代表性指数，两者需明确区分。指数向上但股票池内部走弱时，因子表现可能更接近弱势状态。</w:t>
      </w:r>
    </w:p>
    <w:p>
      <w:pPr>
        <w:pStyle w:val="ListBullet"/>
      </w:pPr>
      <w:r>
        <w:t>状态标签必须按日期保存，并记录计算参数、窗口长度、阈值版本和数据截止日期。</w:t>
      </w:r>
    </w:p>
    <w:p>
      <w:pPr>
        <w:pStyle w:val="ListBullet"/>
      </w:pPr>
      <w:r>
        <w:t>不要让状态过多。状态越多，每个状态下的样本天数越少，条件表现越不稳定。</w:t>
      </w:r>
    </w:p>
    <w:p>
      <w:pPr>
        <w:pStyle w:val="ListBullet"/>
      </w:pPr>
      <w:r>
        <w:t>状态切换要有确认机制，例如连续若干日满足条件后才切换，避免组合频繁换挡。</w:t>
      </w:r>
    </w:p>
    <w:p>
      <w:pPr>
        <w:pStyle w:val="ListBullet"/>
      </w:pPr>
      <w:r>
        <w:t>若使用聚类或 HMM，应使用滚动训练方式，不能用未来全样本聚类标签回填历史。</w:t>
      </w:r>
    </w:p>
    <w:p>
      <w:pPr>
        <w:pStyle w:val="Heading1"/>
      </w:pPr>
      <w:r>
        <w:t>5. 模块三：研究因子类别在不同市场状态下的表现</w:t>
      </w:r>
    </w:p>
    <w:p>
      <w:pPr>
        <w:pStyle w:val="Heading2"/>
      </w:pPr>
      <w:r>
        <w:t>5.1 研究单位</w:t>
      </w:r>
    </w:p>
    <w:p>
      <w:r>
        <w:t>条件表现研究的基本单位是“因子类别 × 市场状态 × 时间窗口”。例如，不只研究趋势类因子的全样本 IC，而要分别研究趋势类因子在上涨低波动、震荡高波动、下跌高波动等状态下的表现。这样才能回答类别是否真的具有状态适应性。</w:t>
      </w:r>
    </w:p>
    <w:p>
      <w:pPr>
        <w:pStyle w:val="Heading2"/>
      </w:pPr>
      <w:r>
        <w:t>5.2 指标体系</w:t>
      </w:r>
    </w:p>
    <w:tbl>
      <w:tblPr>
        <w:tblStyle w:val="TableGrid"/>
        <w:tblW w:type="auto" w:w="0"/>
        <w:jc w:val="center"/>
        <w:tblLook w:firstColumn="1" w:firstRow="1" w:lastColumn="0" w:lastRow="0" w:noHBand="0" w:noVBand="1" w:val="04A0"/>
      </w:tblPr>
      <w:tblGrid>
        <w:gridCol w:w="3249"/>
        <w:gridCol w:w="3249"/>
        <w:gridCol w:w="3249"/>
      </w:tblGrid>
      <w:tr>
        <w:tc>
          <w:tcPr>
            <w:tcW w:type="dxa" w:w="1361"/>
            <w:vAlign w:val="center"/>
            <w:shd w:fill="D9EAF7"/>
          </w:tcPr>
          <w:p>
            <w:r/>
            <w:r>
              <w:rPr>
                <w:rFonts w:ascii="Microsoft YaHei" w:hAnsi="Microsoft YaHei" w:eastAsia="Microsoft YaHei"/>
                <w:b/>
                <w:sz w:val="19"/>
              </w:rPr>
              <w:t>层级</w:t>
            </w:r>
          </w:p>
        </w:tc>
        <w:tc>
          <w:tcPr>
            <w:tcW w:type="dxa" w:w="3628"/>
            <w:vAlign w:val="center"/>
            <w:shd w:fill="D9EAF7"/>
          </w:tcPr>
          <w:p>
            <w:r/>
            <w:r>
              <w:rPr>
                <w:rFonts w:ascii="Microsoft YaHei" w:hAnsi="Microsoft YaHei" w:eastAsia="Microsoft YaHei"/>
                <w:b/>
                <w:sz w:val="19"/>
              </w:rPr>
              <w:t>指标</w:t>
            </w:r>
          </w:p>
        </w:tc>
        <w:tc>
          <w:tcPr>
            <w:tcW w:type="dxa" w:w="4082"/>
            <w:vAlign w:val="center"/>
            <w:shd w:fill="D9EAF7"/>
          </w:tcPr>
          <w:p>
            <w:r/>
            <w:r>
              <w:rPr>
                <w:rFonts w:ascii="Microsoft YaHei" w:hAnsi="Microsoft YaHei" w:eastAsia="Microsoft YaHei"/>
                <w:b/>
                <w:sz w:val="19"/>
              </w:rPr>
              <w:t>用途</w:t>
            </w:r>
          </w:p>
        </w:tc>
      </w:tr>
      <w:tr>
        <w:tc>
          <w:tcPr>
            <w:tcW w:type="dxa" w:w="1361"/>
            <w:vAlign w:val="center"/>
          </w:tcPr>
          <w:p>
            <w:r/>
            <w:r>
              <w:rPr>
                <w:rFonts w:ascii="Microsoft YaHei" w:hAnsi="Microsoft YaHei" w:eastAsia="Microsoft YaHei"/>
                <w:b w:val="0"/>
                <w:sz w:val="19"/>
              </w:rPr>
              <w:t>单因子</w:t>
            </w:r>
          </w:p>
        </w:tc>
        <w:tc>
          <w:tcPr>
            <w:tcW w:type="dxa" w:w="3628"/>
            <w:vAlign w:val="center"/>
          </w:tcPr>
          <w:p>
            <w:r/>
            <w:r>
              <w:rPr>
                <w:rFonts w:ascii="Microsoft YaHei" w:hAnsi="Microsoft YaHei" w:eastAsia="Microsoft YaHei"/>
                <w:b w:val="0"/>
                <w:sz w:val="19"/>
              </w:rPr>
              <w:t>平均 IC、RankIC、ICIR、IC 正值比例</w:t>
            </w:r>
          </w:p>
        </w:tc>
        <w:tc>
          <w:tcPr>
            <w:tcW w:type="dxa" w:w="4082"/>
            <w:vAlign w:val="center"/>
          </w:tcPr>
          <w:p>
            <w:r/>
            <w:r>
              <w:rPr>
                <w:rFonts w:ascii="Microsoft YaHei" w:hAnsi="Microsoft YaHei" w:eastAsia="Microsoft YaHei"/>
                <w:b w:val="0"/>
                <w:sz w:val="19"/>
              </w:rPr>
              <w:t>衡量预测强度、排序能力和稳定性。</w:t>
            </w:r>
          </w:p>
        </w:tc>
      </w:tr>
      <w:tr>
        <w:tc>
          <w:tcPr>
            <w:tcW w:type="dxa" w:w="1361"/>
            <w:vAlign w:val="center"/>
          </w:tcPr>
          <w:p>
            <w:r/>
            <w:r>
              <w:rPr>
                <w:rFonts w:ascii="Microsoft YaHei" w:hAnsi="Microsoft YaHei" w:eastAsia="Microsoft YaHei"/>
                <w:b w:val="0"/>
                <w:sz w:val="19"/>
              </w:rPr>
              <w:t>单因子</w:t>
            </w:r>
          </w:p>
        </w:tc>
        <w:tc>
          <w:tcPr>
            <w:tcW w:type="dxa" w:w="3628"/>
            <w:vAlign w:val="center"/>
          </w:tcPr>
          <w:p>
            <w:r/>
            <w:r>
              <w:rPr>
                <w:rFonts w:ascii="Microsoft YaHei" w:hAnsi="Microsoft YaHei" w:eastAsia="Microsoft YaHei"/>
                <w:b w:val="0"/>
                <w:sz w:val="19"/>
              </w:rPr>
              <w:t>多空收益、Sharpe、最大回撤、收益波动率</w:t>
            </w:r>
          </w:p>
        </w:tc>
        <w:tc>
          <w:tcPr>
            <w:tcW w:type="dxa" w:w="4082"/>
            <w:vAlign w:val="center"/>
          </w:tcPr>
          <w:p>
            <w:r/>
            <w:r>
              <w:rPr>
                <w:rFonts w:ascii="Microsoft YaHei" w:hAnsi="Microsoft YaHei" w:eastAsia="Microsoft YaHei"/>
                <w:b w:val="0"/>
                <w:sz w:val="19"/>
              </w:rPr>
              <w:t>衡量转换成组合后的可交易表现。</w:t>
            </w:r>
          </w:p>
        </w:tc>
      </w:tr>
      <w:tr>
        <w:tc>
          <w:tcPr>
            <w:tcW w:type="dxa" w:w="1361"/>
            <w:vAlign w:val="center"/>
          </w:tcPr>
          <w:p>
            <w:r/>
            <w:r>
              <w:rPr>
                <w:rFonts w:ascii="Microsoft YaHei" w:hAnsi="Microsoft YaHei" w:eastAsia="Microsoft YaHei"/>
                <w:b w:val="0"/>
                <w:sz w:val="19"/>
              </w:rPr>
              <w:t>单因子</w:t>
            </w:r>
          </w:p>
        </w:tc>
        <w:tc>
          <w:tcPr>
            <w:tcW w:type="dxa" w:w="3628"/>
            <w:vAlign w:val="center"/>
          </w:tcPr>
          <w:p>
            <w:r/>
            <w:r>
              <w:rPr>
                <w:rFonts w:ascii="Microsoft YaHei" w:hAnsi="Microsoft YaHei" w:eastAsia="Microsoft YaHei"/>
                <w:b w:val="0"/>
                <w:sz w:val="19"/>
              </w:rPr>
              <w:t>覆盖率、有效交易日、缺失比例</w:t>
            </w:r>
          </w:p>
        </w:tc>
        <w:tc>
          <w:tcPr>
            <w:tcW w:type="dxa" w:w="4082"/>
            <w:vAlign w:val="center"/>
          </w:tcPr>
          <w:p>
            <w:r/>
            <w:r>
              <w:rPr>
                <w:rFonts w:ascii="Microsoft YaHei" w:hAnsi="Microsoft YaHei" w:eastAsia="Microsoft YaHei"/>
                <w:b w:val="0"/>
                <w:sz w:val="19"/>
              </w:rPr>
              <w:t>判断因子是否有足够样本和可用性。</w:t>
            </w:r>
          </w:p>
        </w:tc>
      </w:tr>
      <w:tr>
        <w:tc>
          <w:tcPr>
            <w:tcW w:type="dxa" w:w="1361"/>
            <w:vAlign w:val="center"/>
          </w:tcPr>
          <w:p>
            <w:r/>
            <w:r>
              <w:rPr>
                <w:rFonts w:ascii="Microsoft YaHei" w:hAnsi="Microsoft YaHei" w:eastAsia="Microsoft YaHei"/>
                <w:b w:val="0"/>
                <w:sz w:val="19"/>
              </w:rPr>
              <w:t>类别</w:t>
            </w:r>
          </w:p>
        </w:tc>
        <w:tc>
          <w:tcPr>
            <w:tcW w:type="dxa" w:w="3628"/>
            <w:vAlign w:val="center"/>
          </w:tcPr>
          <w:p>
            <w:r/>
            <w:r>
              <w:rPr>
                <w:rFonts w:ascii="Microsoft YaHei" w:hAnsi="Microsoft YaHei" w:eastAsia="Microsoft YaHei"/>
                <w:b w:val="0"/>
                <w:sz w:val="19"/>
              </w:rPr>
              <w:t>类别内 IC 中位数、前 20% 因子均值、通过率</w:t>
            </w:r>
          </w:p>
        </w:tc>
        <w:tc>
          <w:tcPr>
            <w:tcW w:type="dxa" w:w="4082"/>
            <w:vAlign w:val="center"/>
          </w:tcPr>
          <w:p>
            <w:r/>
            <w:r>
              <w:rPr>
                <w:rFonts w:ascii="Microsoft YaHei" w:hAnsi="Microsoft YaHei" w:eastAsia="Microsoft YaHei"/>
                <w:b w:val="0"/>
                <w:sz w:val="19"/>
              </w:rPr>
              <w:t>衡量类别整体质量，而不是被少数极端因子驱动。</w:t>
            </w:r>
          </w:p>
        </w:tc>
      </w:tr>
      <w:tr>
        <w:tc>
          <w:tcPr>
            <w:tcW w:type="dxa" w:w="1361"/>
            <w:vAlign w:val="center"/>
          </w:tcPr>
          <w:p>
            <w:r/>
            <w:r>
              <w:rPr>
                <w:rFonts w:ascii="Microsoft YaHei" w:hAnsi="Microsoft YaHei" w:eastAsia="Microsoft YaHei"/>
                <w:b w:val="0"/>
                <w:sz w:val="19"/>
              </w:rPr>
              <w:t>类别</w:t>
            </w:r>
          </w:p>
        </w:tc>
        <w:tc>
          <w:tcPr>
            <w:tcW w:type="dxa" w:w="3628"/>
            <w:vAlign w:val="center"/>
          </w:tcPr>
          <w:p>
            <w:r/>
            <w:r>
              <w:rPr>
                <w:rFonts w:ascii="Microsoft YaHei" w:hAnsi="Microsoft YaHei" w:eastAsia="Microsoft YaHei"/>
                <w:b w:val="0"/>
                <w:sz w:val="19"/>
              </w:rPr>
              <w:t>类别内部相关性、类别间相关性</w:t>
            </w:r>
          </w:p>
        </w:tc>
        <w:tc>
          <w:tcPr>
            <w:tcW w:type="dxa" w:w="4082"/>
            <w:vAlign w:val="center"/>
          </w:tcPr>
          <w:p>
            <w:r/>
            <w:r>
              <w:rPr>
                <w:rFonts w:ascii="Microsoft YaHei" w:hAnsi="Microsoft YaHei" w:eastAsia="Microsoft YaHei"/>
                <w:b w:val="0"/>
                <w:sz w:val="19"/>
              </w:rPr>
              <w:t>判断该类别是否高度重复，以及与其他类别是否互补。</w:t>
            </w:r>
          </w:p>
        </w:tc>
      </w:tr>
      <w:tr>
        <w:tc>
          <w:tcPr>
            <w:tcW w:type="dxa" w:w="1361"/>
            <w:vAlign w:val="center"/>
          </w:tcPr>
          <w:p>
            <w:r/>
            <w:r>
              <w:rPr>
                <w:rFonts w:ascii="Microsoft YaHei" w:hAnsi="Microsoft YaHei" w:eastAsia="Microsoft YaHei"/>
                <w:b w:val="0"/>
                <w:sz w:val="19"/>
              </w:rPr>
              <w:t>类别</w:t>
            </w:r>
          </w:p>
        </w:tc>
        <w:tc>
          <w:tcPr>
            <w:tcW w:type="dxa" w:w="3628"/>
            <w:vAlign w:val="center"/>
          </w:tcPr>
          <w:p>
            <w:r/>
            <w:r>
              <w:rPr>
                <w:rFonts w:ascii="Microsoft YaHei" w:hAnsi="Microsoft YaHei" w:eastAsia="Microsoft YaHei"/>
                <w:b w:val="0"/>
                <w:sz w:val="19"/>
              </w:rPr>
              <w:t>状态内样本天数、状态内年份覆盖数</w:t>
            </w:r>
          </w:p>
        </w:tc>
        <w:tc>
          <w:tcPr>
            <w:tcW w:type="dxa" w:w="4082"/>
            <w:vAlign w:val="center"/>
          </w:tcPr>
          <w:p>
            <w:r/>
            <w:r>
              <w:rPr>
                <w:rFonts w:ascii="Microsoft YaHei" w:hAnsi="Microsoft YaHei" w:eastAsia="Microsoft YaHei"/>
                <w:b w:val="0"/>
                <w:sz w:val="19"/>
              </w:rPr>
              <w:t>判断统计结论是否可靠。</w:t>
            </w:r>
          </w:p>
        </w:tc>
      </w:tr>
    </w:tbl>
    <w:p/>
    <w:p>
      <w:pPr>
        <w:pStyle w:val="Heading2"/>
      </w:pPr>
      <w:r>
        <w:t>5.3 条件表现计算流程</w:t>
      </w:r>
    </w:p>
    <w:p>
      <w:pPr>
        <w:pStyle w:val="ListNumber"/>
      </w:pPr>
      <w:r>
        <w:t>对每个交易日生成市场状态标签和状态概率。</w:t>
      </w:r>
    </w:p>
    <w:p>
      <w:pPr>
        <w:pStyle w:val="ListNumber"/>
      </w:pPr>
      <w:r>
        <w:t>对每个因子计算每日横截面 IC、RankIC、分组收益、多空收益和换手。</w:t>
      </w:r>
    </w:p>
    <w:p>
      <w:pPr>
        <w:pStyle w:val="ListNumber"/>
      </w:pPr>
      <w:r>
        <w:t>将因子每日表现按市场状态分桶，得到每个状态下的表现序列。</w:t>
      </w:r>
    </w:p>
    <w:p>
      <w:pPr>
        <w:pStyle w:val="ListNumber"/>
      </w:pPr>
      <w:r>
        <w:t>按因子类别聚合，计算类别在每个状态下的中位数、均值、分位数和稳定性。</w:t>
      </w:r>
    </w:p>
    <w:p>
      <w:pPr>
        <w:pStyle w:val="ListNumber"/>
      </w:pPr>
      <w:r>
        <w:t>对样本不足的状态使用收缩估计，使状态内表现向全样本表现回归。</w:t>
      </w:r>
    </w:p>
    <w:p>
      <w:pPr>
        <w:pStyle w:val="ListNumber"/>
      </w:pPr>
      <w:r>
        <w:t>形成类别表现矩阵，作为后续优势类别选择的输入。</w:t>
      </w:r>
    </w:p>
    <w:p>
      <w:pPr>
        <w:ind w:left="283"/>
      </w:pPr>
      <w:r>
        <w:rPr>
          <w:b/>
        </w:rPr>
        <w:t>收缩估计：</w:t>
      </w:r>
      <w:r>
        <w:rPr>
          <w:rFonts w:ascii="Consolas" w:hAnsi="Consolas" w:eastAsia="Consolas"/>
        </w:rPr>
        <w:t>AdjustedPerf(c,r) = w_r * Perf(c,r) + (1 - w_r) * Perf(c,all)</w:t>
      </w:r>
    </w:p>
    <w:p>
      <w:r>
        <w:t>其中 c 表示因子类别，r 表示市场状态，w_r 可由状态样本天数决定。样本越多，越相信状态内表现；样本越少，越依赖全样本表现。</w:t>
      </w:r>
    </w:p>
    <w:p>
      <w:pPr>
        <w:pStyle w:val="Heading2"/>
      </w:pPr>
      <w:r>
        <w:t>5.4 类别表现矩阵</w:t>
      </w:r>
    </w:p>
    <w:tbl>
      <w:tblPr>
        <w:tblStyle w:val="TableGrid"/>
        <w:tblW w:type="auto" w:w="0"/>
        <w:jc w:val="center"/>
        <w:tblLook w:firstColumn="1" w:firstRow="1" w:lastColumn="0" w:lastRow="0" w:noHBand="0" w:noVBand="1" w:val="04A0"/>
      </w:tblPr>
      <w:tblGrid>
        <w:gridCol w:w="1083"/>
        <w:gridCol w:w="1083"/>
        <w:gridCol w:w="1083"/>
        <w:gridCol w:w="1083"/>
        <w:gridCol w:w="1083"/>
        <w:gridCol w:w="1083"/>
        <w:gridCol w:w="1083"/>
        <w:gridCol w:w="1083"/>
        <w:gridCol w:w="1083"/>
      </w:tblGrid>
      <w:tr>
        <w:tc>
          <w:tcPr>
            <w:tcW w:type="dxa" w:w="1361"/>
            <w:vAlign w:val="center"/>
            <w:shd w:fill="D9EAF7"/>
          </w:tcPr>
          <w:p>
            <w:r/>
            <w:r>
              <w:rPr>
                <w:rFonts w:ascii="Microsoft YaHei" w:hAnsi="Microsoft YaHei" w:eastAsia="Microsoft YaHei"/>
                <w:b/>
                <w:sz w:val="19"/>
              </w:rPr>
              <w:t>category</w:t>
            </w:r>
          </w:p>
        </w:tc>
        <w:tc>
          <w:tcPr>
            <w:tcW w:type="dxa" w:w="1361"/>
            <w:vAlign w:val="center"/>
            <w:shd w:fill="D9EAF7"/>
          </w:tcPr>
          <w:p>
            <w:r/>
            <w:r>
              <w:rPr>
                <w:rFonts w:ascii="Microsoft YaHei" w:hAnsi="Microsoft YaHei" w:eastAsia="Microsoft YaHei"/>
                <w:b/>
                <w:sz w:val="19"/>
              </w:rPr>
              <w:t>regime</w:t>
            </w:r>
          </w:p>
        </w:tc>
        <w:tc>
          <w:tcPr>
            <w:tcW w:type="dxa" w:w="1020"/>
            <w:vAlign w:val="center"/>
            <w:shd w:fill="D9EAF7"/>
          </w:tcPr>
          <w:p>
            <w:r/>
            <w:r>
              <w:rPr>
                <w:rFonts w:ascii="Microsoft YaHei" w:hAnsi="Microsoft YaHei" w:eastAsia="Microsoft YaHei"/>
                <w:b/>
                <w:sz w:val="19"/>
              </w:rPr>
              <w:t>factor_count</w:t>
            </w:r>
          </w:p>
        </w:tc>
        <w:tc>
          <w:tcPr>
            <w:tcW w:type="dxa" w:w="1020"/>
            <w:vAlign w:val="center"/>
            <w:shd w:fill="D9EAF7"/>
          </w:tcPr>
          <w:p>
            <w:r/>
            <w:r>
              <w:rPr>
                <w:rFonts w:ascii="Microsoft YaHei" w:hAnsi="Microsoft YaHei" w:eastAsia="Microsoft YaHei"/>
                <w:b/>
                <w:sz w:val="19"/>
              </w:rPr>
              <w:t>sample_days</w:t>
            </w:r>
          </w:p>
        </w:tc>
        <w:tc>
          <w:tcPr>
            <w:tcW w:type="dxa" w:w="1020"/>
            <w:vAlign w:val="center"/>
            <w:shd w:fill="D9EAF7"/>
          </w:tcPr>
          <w:p>
            <w:r/>
            <w:r>
              <w:rPr>
                <w:rFonts w:ascii="Microsoft YaHei" w:hAnsi="Microsoft YaHei" w:eastAsia="Microsoft YaHei"/>
                <w:b/>
                <w:sz w:val="19"/>
              </w:rPr>
              <w:t>median_ic</w:t>
            </w:r>
          </w:p>
        </w:tc>
        <w:tc>
          <w:tcPr>
            <w:tcW w:type="dxa" w:w="1020"/>
            <w:vAlign w:val="center"/>
            <w:shd w:fill="D9EAF7"/>
          </w:tcPr>
          <w:p>
            <w:r/>
            <w:r>
              <w:rPr>
                <w:rFonts w:ascii="Microsoft YaHei" w:hAnsi="Microsoft YaHei" w:eastAsia="Microsoft YaHei"/>
                <w:b/>
                <w:sz w:val="19"/>
              </w:rPr>
              <w:t>median_icir</w:t>
            </w:r>
          </w:p>
        </w:tc>
        <w:tc>
          <w:tcPr>
            <w:tcW w:type="dxa" w:w="1247"/>
            <w:vAlign w:val="center"/>
            <w:shd w:fill="D9EAF7"/>
          </w:tcPr>
          <w:p>
            <w:r/>
            <w:r>
              <w:rPr>
                <w:rFonts w:ascii="Microsoft YaHei" w:hAnsi="Microsoft YaHei" w:eastAsia="Microsoft YaHei"/>
                <w:b/>
                <w:sz w:val="19"/>
              </w:rPr>
              <w:t>long_short_sharpe</w:t>
            </w:r>
          </w:p>
        </w:tc>
        <w:tc>
          <w:tcPr>
            <w:tcW w:type="dxa" w:w="1134"/>
            <w:vAlign w:val="center"/>
            <w:shd w:fill="D9EAF7"/>
          </w:tcPr>
          <w:p>
            <w:r/>
            <w:r>
              <w:rPr>
                <w:rFonts w:ascii="Microsoft YaHei" w:hAnsi="Microsoft YaHei" w:eastAsia="Microsoft YaHei"/>
                <w:b/>
                <w:sz w:val="19"/>
              </w:rPr>
              <w:t>max_drawdown</w:t>
            </w:r>
          </w:p>
        </w:tc>
        <w:tc>
          <w:tcPr>
            <w:tcW w:type="dxa" w:w="1020"/>
            <w:vAlign w:val="center"/>
            <w:shd w:fill="D9EAF7"/>
          </w:tcPr>
          <w:p>
            <w:r/>
            <w:r>
              <w:rPr>
                <w:rFonts w:ascii="Microsoft YaHei" w:hAnsi="Microsoft YaHei" w:eastAsia="Microsoft YaHei"/>
                <w:b/>
                <w:sz w:val="19"/>
              </w:rPr>
              <w:t>turnover</w:t>
            </w:r>
          </w:p>
        </w:tc>
      </w:tr>
      <w:tr>
        <w:tc>
          <w:tcPr>
            <w:tcW w:type="dxa" w:w="1361"/>
            <w:vAlign w:val="center"/>
          </w:tcPr>
          <w:p>
            <w:r/>
            <w:r>
              <w:rPr>
                <w:rFonts w:ascii="Microsoft YaHei" w:hAnsi="Microsoft YaHei" w:eastAsia="Microsoft YaHei"/>
                <w:b w:val="0"/>
                <w:sz w:val="19"/>
              </w:rPr>
              <w:t>趋势/动量</w:t>
            </w:r>
          </w:p>
        </w:tc>
        <w:tc>
          <w:tcPr>
            <w:tcW w:type="dxa" w:w="1361"/>
            <w:vAlign w:val="center"/>
          </w:tcPr>
          <w:p>
            <w:r/>
            <w:r>
              <w:rPr>
                <w:rFonts w:ascii="Microsoft YaHei" w:hAnsi="Microsoft YaHei" w:eastAsia="Microsoft YaHei"/>
                <w:b w:val="0"/>
                <w:sz w:val="19"/>
              </w:rPr>
              <w:t>上涨低波动</w:t>
            </w:r>
          </w:p>
        </w:tc>
        <w:tc>
          <w:tcPr>
            <w:tcW w:type="dxa" w:w="1020"/>
            <w:vAlign w:val="center"/>
          </w:tcPr>
          <w:p>
            <w:r/>
            <w:r>
              <w:rPr>
                <w:rFonts w:ascii="Microsoft YaHei" w:hAnsi="Microsoft YaHei" w:eastAsia="Microsoft YaHei"/>
                <w:b w:val="0"/>
                <w:sz w:val="19"/>
              </w:rPr>
              <w:t>N</w:t>
            </w:r>
          </w:p>
        </w:tc>
        <w:tc>
          <w:tcPr>
            <w:tcW w:type="dxa" w:w="1020"/>
            <w:vAlign w:val="center"/>
          </w:tcPr>
          <w:p>
            <w:r/>
            <w:r>
              <w:rPr>
                <w:rFonts w:ascii="Microsoft YaHei" w:hAnsi="Microsoft YaHei" w:eastAsia="Microsoft YaHei"/>
                <w:b w:val="0"/>
                <w:sz w:val="19"/>
              </w:rPr>
              <w:t>T</w:t>
            </w:r>
          </w:p>
        </w:tc>
        <w:tc>
          <w:tcPr>
            <w:tcW w:type="dxa" w:w="1020"/>
            <w:vAlign w:val="center"/>
          </w:tcPr>
          <w:p>
            <w:r/>
            <w:r>
              <w:rPr>
                <w:rFonts w:ascii="Microsoft YaHei" w:hAnsi="Microsoft YaHei" w:eastAsia="Microsoft YaHei"/>
                <w:b w:val="0"/>
                <w:sz w:val="19"/>
              </w:rPr>
              <w:t>统计值</w:t>
            </w:r>
          </w:p>
        </w:tc>
        <w:tc>
          <w:tcPr>
            <w:tcW w:type="dxa" w:w="1020"/>
            <w:vAlign w:val="center"/>
          </w:tcPr>
          <w:p>
            <w:r/>
            <w:r>
              <w:rPr>
                <w:rFonts w:ascii="Microsoft YaHei" w:hAnsi="Microsoft YaHei" w:eastAsia="Microsoft YaHei"/>
                <w:b w:val="0"/>
                <w:sz w:val="19"/>
              </w:rPr>
              <w:t>统计值</w:t>
            </w:r>
          </w:p>
        </w:tc>
        <w:tc>
          <w:tcPr>
            <w:tcW w:type="dxa" w:w="1247"/>
            <w:vAlign w:val="center"/>
          </w:tcPr>
          <w:p>
            <w:r/>
            <w:r>
              <w:rPr>
                <w:rFonts w:ascii="Microsoft YaHei" w:hAnsi="Microsoft YaHei" w:eastAsia="Microsoft YaHei"/>
                <w:b w:val="0"/>
                <w:sz w:val="19"/>
              </w:rPr>
              <w:t>统计值</w:t>
            </w:r>
          </w:p>
        </w:tc>
        <w:tc>
          <w:tcPr>
            <w:tcW w:type="dxa" w:w="1134"/>
            <w:vAlign w:val="center"/>
          </w:tcPr>
          <w:p>
            <w:r/>
            <w:r>
              <w:rPr>
                <w:rFonts w:ascii="Microsoft YaHei" w:hAnsi="Microsoft YaHei" w:eastAsia="Microsoft YaHei"/>
                <w:b w:val="0"/>
                <w:sz w:val="19"/>
              </w:rPr>
              <w:t>统计值</w:t>
            </w:r>
          </w:p>
        </w:tc>
        <w:tc>
          <w:tcPr>
            <w:tcW w:type="dxa" w:w="1020"/>
            <w:vAlign w:val="center"/>
          </w:tcPr>
          <w:p>
            <w:r/>
            <w:r>
              <w:rPr>
                <w:rFonts w:ascii="Microsoft YaHei" w:hAnsi="Microsoft YaHei" w:eastAsia="Microsoft YaHei"/>
                <w:b w:val="0"/>
                <w:sz w:val="19"/>
              </w:rPr>
              <w:t>统计值</w:t>
            </w:r>
          </w:p>
        </w:tc>
      </w:tr>
      <w:tr>
        <w:tc>
          <w:tcPr>
            <w:tcW w:type="dxa" w:w="1361"/>
            <w:vAlign w:val="center"/>
          </w:tcPr>
          <w:p>
            <w:r/>
            <w:r>
              <w:rPr>
                <w:rFonts w:ascii="Microsoft YaHei" w:hAnsi="Microsoft YaHei" w:eastAsia="Microsoft YaHei"/>
                <w:b w:val="0"/>
                <w:sz w:val="19"/>
              </w:rPr>
              <w:t>反转</w:t>
            </w:r>
          </w:p>
        </w:tc>
        <w:tc>
          <w:tcPr>
            <w:tcW w:type="dxa" w:w="1361"/>
            <w:vAlign w:val="center"/>
          </w:tcPr>
          <w:p>
            <w:r/>
            <w:r>
              <w:rPr>
                <w:rFonts w:ascii="Microsoft YaHei" w:hAnsi="Microsoft YaHei" w:eastAsia="Microsoft YaHei"/>
                <w:b w:val="0"/>
                <w:sz w:val="19"/>
              </w:rPr>
              <w:t>震荡高波动</w:t>
            </w:r>
          </w:p>
        </w:tc>
        <w:tc>
          <w:tcPr>
            <w:tcW w:type="dxa" w:w="1020"/>
            <w:vAlign w:val="center"/>
          </w:tcPr>
          <w:p>
            <w:r/>
            <w:r>
              <w:rPr>
                <w:rFonts w:ascii="Microsoft YaHei" w:hAnsi="Microsoft YaHei" w:eastAsia="Microsoft YaHei"/>
                <w:b w:val="0"/>
                <w:sz w:val="19"/>
              </w:rPr>
              <w:t>N</w:t>
            </w:r>
          </w:p>
        </w:tc>
        <w:tc>
          <w:tcPr>
            <w:tcW w:type="dxa" w:w="1020"/>
            <w:vAlign w:val="center"/>
          </w:tcPr>
          <w:p>
            <w:r/>
            <w:r>
              <w:rPr>
                <w:rFonts w:ascii="Microsoft YaHei" w:hAnsi="Microsoft YaHei" w:eastAsia="Microsoft YaHei"/>
                <w:b w:val="0"/>
                <w:sz w:val="19"/>
              </w:rPr>
              <w:t>T</w:t>
            </w:r>
          </w:p>
        </w:tc>
        <w:tc>
          <w:tcPr>
            <w:tcW w:type="dxa" w:w="1020"/>
            <w:vAlign w:val="center"/>
          </w:tcPr>
          <w:p>
            <w:r/>
            <w:r>
              <w:rPr>
                <w:rFonts w:ascii="Microsoft YaHei" w:hAnsi="Microsoft YaHei" w:eastAsia="Microsoft YaHei"/>
                <w:b w:val="0"/>
                <w:sz w:val="19"/>
              </w:rPr>
              <w:t>统计值</w:t>
            </w:r>
          </w:p>
        </w:tc>
        <w:tc>
          <w:tcPr>
            <w:tcW w:type="dxa" w:w="1020"/>
            <w:vAlign w:val="center"/>
          </w:tcPr>
          <w:p>
            <w:r/>
            <w:r>
              <w:rPr>
                <w:rFonts w:ascii="Microsoft YaHei" w:hAnsi="Microsoft YaHei" w:eastAsia="Microsoft YaHei"/>
                <w:b w:val="0"/>
                <w:sz w:val="19"/>
              </w:rPr>
              <w:t>统计值</w:t>
            </w:r>
          </w:p>
        </w:tc>
        <w:tc>
          <w:tcPr>
            <w:tcW w:type="dxa" w:w="1247"/>
            <w:vAlign w:val="center"/>
          </w:tcPr>
          <w:p>
            <w:r/>
            <w:r>
              <w:rPr>
                <w:rFonts w:ascii="Microsoft YaHei" w:hAnsi="Microsoft YaHei" w:eastAsia="Microsoft YaHei"/>
                <w:b w:val="0"/>
                <w:sz w:val="19"/>
              </w:rPr>
              <w:t>统计值</w:t>
            </w:r>
          </w:p>
        </w:tc>
        <w:tc>
          <w:tcPr>
            <w:tcW w:type="dxa" w:w="1134"/>
            <w:vAlign w:val="center"/>
          </w:tcPr>
          <w:p>
            <w:r/>
            <w:r>
              <w:rPr>
                <w:rFonts w:ascii="Microsoft YaHei" w:hAnsi="Microsoft YaHei" w:eastAsia="Microsoft YaHei"/>
                <w:b w:val="0"/>
                <w:sz w:val="19"/>
              </w:rPr>
              <w:t>统计值</w:t>
            </w:r>
          </w:p>
        </w:tc>
        <w:tc>
          <w:tcPr>
            <w:tcW w:type="dxa" w:w="1020"/>
            <w:vAlign w:val="center"/>
          </w:tcPr>
          <w:p>
            <w:r/>
            <w:r>
              <w:rPr>
                <w:rFonts w:ascii="Microsoft YaHei" w:hAnsi="Microsoft YaHei" w:eastAsia="Microsoft YaHei"/>
                <w:b w:val="0"/>
                <w:sz w:val="19"/>
              </w:rPr>
              <w:t>统计值</w:t>
            </w:r>
          </w:p>
        </w:tc>
      </w:tr>
      <w:tr>
        <w:tc>
          <w:tcPr>
            <w:tcW w:type="dxa" w:w="1361"/>
            <w:vAlign w:val="center"/>
          </w:tcPr>
          <w:p>
            <w:r/>
            <w:r>
              <w:rPr>
                <w:rFonts w:ascii="Microsoft YaHei" w:hAnsi="Microsoft YaHei" w:eastAsia="Microsoft YaHei"/>
                <w:b w:val="0"/>
                <w:sz w:val="19"/>
              </w:rPr>
              <w:t>价量结合</w:t>
            </w:r>
          </w:p>
        </w:tc>
        <w:tc>
          <w:tcPr>
            <w:tcW w:type="dxa" w:w="1361"/>
            <w:vAlign w:val="center"/>
          </w:tcPr>
          <w:p>
            <w:r/>
            <w:r>
              <w:rPr>
                <w:rFonts w:ascii="Microsoft YaHei" w:hAnsi="Microsoft YaHei" w:eastAsia="Microsoft YaHei"/>
                <w:b w:val="0"/>
                <w:sz w:val="19"/>
              </w:rPr>
              <w:t>高分化状态</w:t>
            </w:r>
          </w:p>
        </w:tc>
        <w:tc>
          <w:tcPr>
            <w:tcW w:type="dxa" w:w="1020"/>
            <w:vAlign w:val="center"/>
          </w:tcPr>
          <w:p>
            <w:r/>
            <w:r>
              <w:rPr>
                <w:rFonts w:ascii="Microsoft YaHei" w:hAnsi="Microsoft YaHei" w:eastAsia="Microsoft YaHei"/>
                <w:b w:val="0"/>
                <w:sz w:val="19"/>
              </w:rPr>
              <w:t>N</w:t>
            </w:r>
          </w:p>
        </w:tc>
        <w:tc>
          <w:tcPr>
            <w:tcW w:type="dxa" w:w="1020"/>
            <w:vAlign w:val="center"/>
          </w:tcPr>
          <w:p>
            <w:r/>
            <w:r>
              <w:rPr>
                <w:rFonts w:ascii="Microsoft YaHei" w:hAnsi="Microsoft YaHei" w:eastAsia="Microsoft YaHei"/>
                <w:b w:val="0"/>
                <w:sz w:val="19"/>
              </w:rPr>
              <w:t>T</w:t>
            </w:r>
          </w:p>
        </w:tc>
        <w:tc>
          <w:tcPr>
            <w:tcW w:type="dxa" w:w="1020"/>
            <w:vAlign w:val="center"/>
          </w:tcPr>
          <w:p>
            <w:r/>
            <w:r>
              <w:rPr>
                <w:rFonts w:ascii="Microsoft YaHei" w:hAnsi="Microsoft YaHei" w:eastAsia="Microsoft YaHei"/>
                <w:b w:val="0"/>
                <w:sz w:val="19"/>
              </w:rPr>
              <w:t>统计值</w:t>
            </w:r>
          </w:p>
        </w:tc>
        <w:tc>
          <w:tcPr>
            <w:tcW w:type="dxa" w:w="1020"/>
            <w:vAlign w:val="center"/>
          </w:tcPr>
          <w:p>
            <w:r/>
            <w:r>
              <w:rPr>
                <w:rFonts w:ascii="Microsoft YaHei" w:hAnsi="Microsoft YaHei" w:eastAsia="Microsoft YaHei"/>
                <w:b w:val="0"/>
                <w:sz w:val="19"/>
              </w:rPr>
              <w:t>统计值</w:t>
            </w:r>
          </w:p>
        </w:tc>
        <w:tc>
          <w:tcPr>
            <w:tcW w:type="dxa" w:w="1247"/>
            <w:vAlign w:val="center"/>
          </w:tcPr>
          <w:p>
            <w:r/>
            <w:r>
              <w:rPr>
                <w:rFonts w:ascii="Microsoft YaHei" w:hAnsi="Microsoft YaHei" w:eastAsia="Microsoft YaHei"/>
                <w:b w:val="0"/>
                <w:sz w:val="19"/>
              </w:rPr>
              <w:t>统计值</w:t>
            </w:r>
          </w:p>
        </w:tc>
        <w:tc>
          <w:tcPr>
            <w:tcW w:type="dxa" w:w="1134"/>
            <w:vAlign w:val="center"/>
          </w:tcPr>
          <w:p>
            <w:r/>
            <w:r>
              <w:rPr>
                <w:rFonts w:ascii="Microsoft YaHei" w:hAnsi="Microsoft YaHei" w:eastAsia="Microsoft YaHei"/>
                <w:b w:val="0"/>
                <w:sz w:val="19"/>
              </w:rPr>
              <w:t>统计值</w:t>
            </w:r>
          </w:p>
        </w:tc>
        <w:tc>
          <w:tcPr>
            <w:tcW w:type="dxa" w:w="1020"/>
            <w:vAlign w:val="center"/>
          </w:tcPr>
          <w:p>
            <w:r/>
            <w:r>
              <w:rPr>
                <w:rFonts w:ascii="Microsoft YaHei" w:hAnsi="Microsoft YaHei" w:eastAsia="Microsoft YaHei"/>
                <w:b w:val="0"/>
                <w:sz w:val="19"/>
              </w:rPr>
              <w:t>统计值</w:t>
            </w:r>
          </w:p>
        </w:tc>
      </w:tr>
    </w:tbl>
    <w:p/>
    <w:p>
      <w:pPr>
        <w:pStyle w:val="Heading2"/>
      </w:pPr>
      <w:r>
        <w:t>5.5 注意事项</w:t>
      </w:r>
    </w:p>
    <w:p>
      <w:pPr>
        <w:pStyle w:val="ListBullet"/>
      </w:pPr>
      <w:r>
        <w:t>必须区分生成阶段指标和回测阶段指标。生成阶段 IC 好不代表回测收益一定好。</w:t>
      </w:r>
    </w:p>
    <w:p>
      <w:pPr>
        <w:pStyle w:val="ListBullet"/>
      </w:pPr>
      <w:r>
        <w:t>类别聚合时优先使用中位数、截尾均值和通过率，避免少数异常因子拉高类别均值。</w:t>
      </w:r>
    </w:p>
    <w:p>
      <w:pPr>
        <w:pStyle w:val="ListBullet"/>
      </w:pPr>
      <w:r>
        <w:t>状态样本天数不足时，不应给出强结论。建议设置最小样本天数和最小年份覆盖。</w:t>
      </w:r>
    </w:p>
    <w:p>
      <w:pPr>
        <w:pStyle w:val="ListBullet"/>
      </w:pPr>
      <w:r>
        <w:t>要控制多重检验问题。状态越多、类别越多、指标越多，越容易出现偶然显著。</w:t>
      </w:r>
    </w:p>
    <w:p>
      <w:pPr>
        <w:pStyle w:val="ListBullet"/>
      </w:pPr>
      <w:r>
        <w:t>同一状态下的表现需要考虑交易成本。高换手因子在毛收益上占优，成本后可能失效。</w:t>
      </w:r>
    </w:p>
    <w:p>
      <w:pPr>
        <w:pStyle w:val="Heading1"/>
      </w:pPr>
      <w:r>
        <w:t>6. 模块四：根据当前市场环境选择优势因子类别</w:t>
      </w:r>
    </w:p>
    <w:p>
      <w:pPr>
        <w:pStyle w:val="Heading2"/>
      </w:pPr>
      <w:r>
        <w:t>6.1 类别选择思想</w:t>
      </w:r>
    </w:p>
    <w:p>
      <w:r>
        <w:t>类别选择不应采用硬切换逻辑，即不应简单规定“上涨只用趋势类，下跌只用反转类”。更合理的做法是根据当前市场状态概率，对各类别在多个相近状态下的历史表现进行加权，得到类别适应度分数。</w:t>
      </w:r>
    </w:p>
    <w:p>
      <w:pPr>
        <w:ind w:left="283"/>
      </w:pPr>
      <w:r>
        <w:rPr>
          <w:b/>
        </w:rPr>
        <w:t>类别适应度：</w:t>
      </w:r>
      <w:r>
        <w:rPr>
          <w:rFonts w:ascii="Consolas" w:hAnsi="Consolas" w:eastAsia="Consolas"/>
        </w:rPr>
        <w:t>CategoryScore(c,t) = Σ_r P(r|t) * AdjustedPerf(c,r) - RiskPenalty(c,t)</w:t>
      </w:r>
    </w:p>
    <w:p>
      <w:r>
        <w:t>其中 P(r|t) 为当前时点属于状态 r 的概率，RiskPenalty 包含换手、回撤、相关性和样本不足惩罚。</w:t>
      </w:r>
    </w:p>
    <w:p>
      <w:pPr>
        <w:pStyle w:val="Heading2"/>
      </w:pPr>
      <w:r>
        <w:t>6.2 类别评分构成</w:t>
      </w:r>
    </w:p>
    <w:tbl>
      <w:tblPr>
        <w:tblStyle w:val="TableGrid"/>
        <w:tblW w:type="auto" w:w="0"/>
        <w:jc w:val="center"/>
        <w:tblLook w:firstColumn="1" w:firstRow="1" w:lastColumn="0" w:lastRow="0" w:noHBand="0" w:noVBand="1" w:val="04A0"/>
      </w:tblPr>
      <w:tblGrid>
        <w:gridCol w:w="3249"/>
        <w:gridCol w:w="3249"/>
        <w:gridCol w:w="3249"/>
      </w:tblGrid>
      <w:tr>
        <w:tc>
          <w:tcPr>
            <w:tcW w:type="dxa" w:w="2041"/>
            <w:vAlign w:val="center"/>
            <w:shd w:fill="D9EAF7"/>
          </w:tcPr>
          <w:p>
            <w:r/>
            <w:r>
              <w:rPr>
                <w:rFonts w:ascii="Microsoft YaHei" w:hAnsi="Microsoft YaHei" w:eastAsia="Microsoft YaHei"/>
                <w:b/>
                <w:sz w:val="19"/>
              </w:rPr>
              <w:t>评分部分</w:t>
            </w:r>
          </w:p>
        </w:tc>
        <w:tc>
          <w:tcPr>
            <w:tcW w:type="dxa" w:w="1361"/>
            <w:vAlign w:val="center"/>
            <w:shd w:fill="D9EAF7"/>
          </w:tcPr>
          <w:p>
            <w:r/>
            <w:r>
              <w:rPr>
                <w:rFonts w:ascii="Microsoft YaHei" w:hAnsi="Microsoft YaHei" w:eastAsia="Microsoft YaHei"/>
                <w:b/>
                <w:sz w:val="19"/>
              </w:rPr>
              <w:t>建议方向</w:t>
            </w:r>
          </w:p>
        </w:tc>
        <w:tc>
          <w:tcPr>
            <w:tcW w:type="dxa" w:w="5669"/>
            <w:vAlign w:val="center"/>
            <w:shd w:fill="D9EAF7"/>
          </w:tcPr>
          <w:p>
            <w:r/>
            <w:r>
              <w:rPr>
                <w:rFonts w:ascii="Microsoft YaHei" w:hAnsi="Microsoft YaHei" w:eastAsia="Microsoft YaHei"/>
                <w:b/>
                <w:sz w:val="19"/>
              </w:rPr>
              <w:t>说明</w:t>
            </w:r>
          </w:p>
        </w:tc>
      </w:tr>
      <w:tr>
        <w:tc>
          <w:tcPr>
            <w:tcW w:type="dxa" w:w="2041"/>
            <w:vAlign w:val="center"/>
          </w:tcPr>
          <w:p>
            <w:r/>
            <w:r>
              <w:rPr>
                <w:rFonts w:ascii="Microsoft YaHei" w:hAnsi="Microsoft YaHei" w:eastAsia="Microsoft YaHei"/>
                <w:b w:val="0"/>
                <w:sz w:val="19"/>
              </w:rPr>
              <w:t>状态内 ICIR</w:t>
            </w:r>
          </w:p>
        </w:tc>
        <w:tc>
          <w:tcPr>
            <w:tcW w:type="dxa" w:w="1361"/>
            <w:vAlign w:val="center"/>
          </w:tcPr>
          <w:p>
            <w:r/>
            <w:r>
              <w:rPr>
                <w:rFonts w:ascii="Microsoft YaHei" w:hAnsi="Microsoft YaHei" w:eastAsia="Microsoft YaHei"/>
                <w:b w:val="0"/>
                <w:sz w:val="19"/>
              </w:rPr>
              <w:t>越高越好</w:t>
            </w:r>
          </w:p>
        </w:tc>
        <w:tc>
          <w:tcPr>
            <w:tcW w:type="dxa" w:w="5669"/>
            <w:vAlign w:val="center"/>
          </w:tcPr>
          <w:p>
            <w:r/>
            <w:r>
              <w:rPr>
                <w:rFonts w:ascii="Microsoft YaHei" w:hAnsi="Microsoft YaHei" w:eastAsia="Microsoft YaHei"/>
                <w:b w:val="0"/>
                <w:sz w:val="19"/>
              </w:rPr>
              <w:t>强调该类别在当前状态下的稳定预测能力。</w:t>
            </w:r>
          </w:p>
        </w:tc>
      </w:tr>
      <w:tr>
        <w:tc>
          <w:tcPr>
            <w:tcW w:type="dxa" w:w="2041"/>
            <w:vAlign w:val="center"/>
          </w:tcPr>
          <w:p>
            <w:r/>
            <w:r>
              <w:rPr>
                <w:rFonts w:ascii="Microsoft YaHei" w:hAnsi="Microsoft YaHei" w:eastAsia="Microsoft YaHei"/>
                <w:b w:val="0"/>
                <w:sz w:val="19"/>
              </w:rPr>
              <w:t>状态内 RankIC</w:t>
            </w:r>
          </w:p>
        </w:tc>
        <w:tc>
          <w:tcPr>
            <w:tcW w:type="dxa" w:w="1361"/>
            <w:vAlign w:val="center"/>
          </w:tcPr>
          <w:p>
            <w:r/>
            <w:r>
              <w:rPr>
                <w:rFonts w:ascii="Microsoft YaHei" w:hAnsi="Microsoft YaHei" w:eastAsia="Microsoft YaHei"/>
                <w:b w:val="0"/>
                <w:sz w:val="19"/>
              </w:rPr>
              <w:t>越高越好</w:t>
            </w:r>
          </w:p>
        </w:tc>
        <w:tc>
          <w:tcPr>
            <w:tcW w:type="dxa" w:w="5669"/>
            <w:vAlign w:val="center"/>
          </w:tcPr>
          <w:p>
            <w:r/>
            <w:r>
              <w:rPr>
                <w:rFonts w:ascii="Microsoft YaHei" w:hAnsi="Microsoft YaHei" w:eastAsia="Microsoft YaHei"/>
                <w:b w:val="0"/>
                <w:sz w:val="19"/>
              </w:rPr>
              <w:t>强调横截面排序能力。</w:t>
            </w:r>
          </w:p>
        </w:tc>
      </w:tr>
      <w:tr>
        <w:tc>
          <w:tcPr>
            <w:tcW w:type="dxa" w:w="2041"/>
            <w:vAlign w:val="center"/>
          </w:tcPr>
          <w:p>
            <w:r/>
            <w:r>
              <w:rPr>
                <w:rFonts w:ascii="Microsoft YaHei" w:hAnsi="Microsoft YaHei" w:eastAsia="Microsoft YaHei"/>
                <w:b w:val="0"/>
                <w:sz w:val="19"/>
              </w:rPr>
              <w:t>多空 Sharpe</w:t>
            </w:r>
          </w:p>
        </w:tc>
        <w:tc>
          <w:tcPr>
            <w:tcW w:type="dxa" w:w="1361"/>
            <w:vAlign w:val="center"/>
          </w:tcPr>
          <w:p>
            <w:r/>
            <w:r>
              <w:rPr>
                <w:rFonts w:ascii="Microsoft YaHei" w:hAnsi="Microsoft YaHei" w:eastAsia="Microsoft YaHei"/>
                <w:b w:val="0"/>
                <w:sz w:val="19"/>
              </w:rPr>
              <w:t>越高越好</w:t>
            </w:r>
          </w:p>
        </w:tc>
        <w:tc>
          <w:tcPr>
            <w:tcW w:type="dxa" w:w="5669"/>
            <w:vAlign w:val="center"/>
          </w:tcPr>
          <w:p>
            <w:r/>
            <w:r>
              <w:rPr>
                <w:rFonts w:ascii="Microsoft YaHei" w:hAnsi="Microsoft YaHei" w:eastAsia="Microsoft YaHei"/>
                <w:b w:val="0"/>
                <w:sz w:val="19"/>
              </w:rPr>
              <w:t>衡量实际组合收益质量。</w:t>
            </w:r>
          </w:p>
        </w:tc>
      </w:tr>
      <w:tr>
        <w:tc>
          <w:tcPr>
            <w:tcW w:type="dxa" w:w="2041"/>
            <w:vAlign w:val="center"/>
          </w:tcPr>
          <w:p>
            <w:r/>
            <w:r>
              <w:rPr>
                <w:rFonts w:ascii="Microsoft YaHei" w:hAnsi="Microsoft YaHei" w:eastAsia="Microsoft YaHei"/>
                <w:b w:val="0"/>
                <w:sz w:val="19"/>
              </w:rPr>
              <w:t>IC 正值比例</w:t>
            </w:r>
          </w:p>
        </w:tc>
        <w:tc>
          <w:tcPr>
            <w:tcW w:type="dxa" w:w="1361"/>
            <w:vAlign w:val="center"/>
          </w:tcPr>
          <w:p>
            <w:r/>
            <w:r>
              <w:rPr>
                <w:rFonts w:ascii="Microsoft YaHei" w:hAnsi="Microsoft YaHei" w:eastAsia="Microsoft YaHei"/>
                <w:b w:val="0"/>
                <w:sz w:val="19"/>
              </w:rPr>
              <w:t>越高越好</w:t>
            </w:r>
          </w:p>
        </w:tc>
        <w:tc>
          <w:tcPr>
            <w:tcW w:type="dxa" w:w="5669"/>
            <w:vAlign w:val="center"/>
          </w:tcPr>
          <w:p>
            <w:r/>
            <w:r>
              <w:rPr>
                <w:rFonts w:ascii="Microsoft YaHei" w:hAnsi="Microsoft YaHei" w:eastAsia="Microsoft YaHei"/>
                <w:b w:val="0"/>
                <w:sz w:val="19"/>
              </w:rPr>
              <w:t>防止类别表现只由少数交易日贡献。</w:t>
            </w:r>
          </w:p>
        </w:tc>
      </w:tr>
      <w:tr>
        <w:tc>
          <w:tcPr>
            <w:tcW w:type="dxa" w:w="2041"/>
            <w:vAlign w:val="center"/>
          </w:tcPr>
          <w:p>
            <w:r/>
            <w:r>
              <w:rPr>
                <w:rFonts w:ascii="Microsoft YaHei" w:hAnsi="Microsoft YaHei" w:eastAsia="Microsoft YaHei"/>
                <w:b w:val="0"/>
                <w:sz w:val="19"/>
              </w:rPr>
              <w:t>最近窗口表现</w:t>
            </w:r>
          </w:p>
        </w:tc>
        <w:tc>
          <w:tcPr>
            <w:tcW w:type="dxa" w:w="1361"/>
            <w:vAlign w:val="center"/>
          </w:tcPr>
          <w:p>
            <w:r/>
            <w:r>
              <w:rPr>
                <w:rFonts w:ascii="Microsoft YaHei" w:hAnsi="Microsoft YaHei" w:eastAsia="Microsoft YaHei"/>
                <w:b w:val="0"/>
                <w:sz w:val="19"/>
              </w:rPr>
              <w:t>越高越好</w:t>
            </w:r>
          </w:p>
        </w:tc>
        <w:tc>
          <w:tcPr>
            <w:tcW w:type="dxa" w:w="5669"/>
            <w:vAlign w:val="center"/>
          </w:tcPr>
          <w:p>
            <w:r/>
            <w:r>
              <w:rPr>
                <w:rFonts w:ascii="Microsoft YaHei" w:hAnsi="Microsoft YaHei" w:eastAsia="Microsoft YaHei"/>
                <w:b w:val="0"/>
                <w:sz w:val="19"/>
              </w:rPr>
              <w:t>反映近期是否失效。</w:t>
            </w:r>
          </w:p>
        </w:tc>
      </w:tr>
      <w:tr>
        <w:tc>
          <w:tcPr>
            <w:tcW w:type="dxa" w:w="2041"/>
            <w:vAlign w:val="center"/>
          </w:tcPr>
          <w:p>
            <w:r/>
            <w:r>
              <w:rPr>
                <w:rFonts w:ascii="Microsoft YaHei" w:hAnsi="Microsoft YaHei" w:eastAsia="Microsoft YaHei"/>
                <w:b w:val="0"/>
                <w:sz w:val="19"/>
              </w:rPr>
              <w:t>类别内部相关性</w:t>
            </w:r>
          </w:p>
        </w:tc>
        <w:tc>
          <w:tcPr>
            <w:tcW w:type="dxa" w:w="1361"/>
            <w:vAlign w:val="center"/>
          </w:tcPr>
          <w:p>
            <w:r/>
            <w:r>
              <w:rPr>
                <w:rFonts w:ascii="Microsoft YaHei" w:hAnsi="Microsoft YaHei" w:eastAsia="Microsoft YaHei"/>
                <w:b w:val="0"/>
                <w:sz w:val="19"/>
              </w:rPr>
              <w:t>越低越好</w:t>
            </w:r>
          </w:p>
        </w:tc>
        <w:tc>
          <w:tcPr>
            <w:tcW w:type="dxa" w:w="5669"/>
            <w:vAlign w:val="center"/>
          </w:tcPr>
          <w:p>
            <w:r/>
            <w:r>
              <w:rPr>
                <w:rFonts w:ascii="Microsoft YaHei" w:hAnsi="Microsoft YaHei" w:eastAsia="Microsoft YaHei"/>
                <w:b w:val="0"/>
                <w:sz w:val="19"/>
              </w:rPr>
              <w:t>过高说明类别内部重复度高，组合增益有限。</w:t>
            </w:r>
          </w:p>
        </w:tc>
      </w:tr>
      <w:tr>
        <w:tc>
          <w:tcPr>
            <w:tcW w:type="dxa" w:w="2041"/>
            <w:vAlign w:val="center"/>
          </w:tcPr>
          <w:p>
            <w:r/>
            <w:r>
              <w:rPr>
                <w:rFonts w:ascii="Microsoft YaHei" w:hAnsi="Microsoft YaHei" w:eastAsia="Microsoft YaHei"/>
                <w:b w:val="0"/>
                <w:sz w:val="19"/>
              </w:rPr>
              <w:t>最大回撤和换手</w:t>
            </w:r>
          </w:p>
        </w:tc>
        <w:tc>
          <w:tcPr>
            <w:tcW w:type="dxa" w:w="1361"/>
            <w:vAlign w:val="center"/>
          </w:tcPr>
          <w:p>
            <w:r/>
            <w:r>
              <w:rPr>
                <w:rFonts w:ascii="Microsoft YaHei" w:hAnsi="Microsoft YaHei" w:eastAsia="Microsoft YaHei"/>
                <w:b w:val="0"/>
                <w:sz w:val="19"/>
              </w:rPr>
              <w:t>越低越好</w:t>
            </w:r>
          </w:p>
        </w:tc>
        <w:tc>
          <w:tcPr>
            <w:tcW w:type="dxa" w:w="5669"/>
            <w:vAlign w:val="center"/>
          </w:tcPr>
          <w:p>
            <w:r/>
            <w:r>
              <w:rPr>
                <w:rFonts w:ascii="Microsoft YaHei" w:hAnsi="Microsoft YaHei" w:eastAsia="Microsoft YaHei"/>
                <w:b w:val="0"/>
                <w:sz w:val="19"/>
              </w:rPr>
              <w:t>作为风险和交易成本惩罚。</w:t>
            </w:r>
          </w:p>
        </w:tc>
      </w:tr>
      <w:tr>
        <w:tc>
          <w:tcPr>
            <w:tcW w:type="dxa" w:w="2041"/>
            <w:vAlign w:val="center"/>
          </w:tcPr>
          <w:p>
            <w:r/>
            <w:r>
              <w:rPr>
                <w:rFonts w:ascii="Microsoft YaHei" w:hAnsi="Microsoft YaHei" w:eastAsia="Microsoft YaHei"/>
                <w:b w:val="0"/>
                <w:sz w:val="19"/>
              </w:rPr>
              <w:t>样本可靠性</w:t>
            </w:r>
          </w:p>
        </w:tc>
        <w:tc>
          <w:tcPr>
            <w:tcW w:type="dxa" w:w="1361"/>
            <w:vAlign w:val="center"/>
          </w:tcPr>
          <w:p>
            <w:r/>
            <w:r>
              <w:rPr>
                <w:rFonts w:ascii="Microsoft YaHei" w:hAnsi="Microsoft YaHei" w:eastAsia="Microsoft YaHei"/>
                <w:b w:val="0"/>
                <w:sz w:val="19"/>
              </w:rPr>
              <w:t>越高越好</w:t>
            </w:r>
          </w:p>
        </w:tc>
        <w:tc>
          <w:tcPr>
            <w:tcW w:type="dxa" w:w="5669"/>
            <w:vAlign w:val="center"/>
          </w:tcPr>
          <w:p>
            <w:r/>
            <w:r>
              <w:rPr>
                <w:rFonts w:ascii="Microsoft YaHei" w:hAnsi="Microsoft YaHei" w:eastAsia="Microsoft YaHei"/>
                <w:b w:val="0"/>
                <w:sz w:val="19"/>
              </w:rPr>
              <w:t>状态样本天数不足时降低可信度。</w:t>
            </w:r>
          </w:p>
        </w:tc>
      </w:tr>
    </w:tbl>
    <w:p/>
    <w:p>
      <w:pPr>
        <w:pStyle w:val="Heading2"/>
      </w:pPr>
      <w:r>
        <w:t>6.3 类别预算</w:t>
      </w:r>
    </w:p>
    <w:p>
      <w:r>
        <w:t>类别选择的输出不应只是一个类别列表，而应是类别预算。预算表示最终组合中每个类别可以占用的权重或因子数量上限。例如，在上涨低波动状态下，趋势类和价量结合类可能获得较高预算；在震荡高波动状态下，反转类和波动率类预算可能提高。</w:t>
      </w:r>
    </w:p>
    <w:tbl>
      <w:tblPr>
        <w:tblStyle w:val="TableGrid"/>
        <w:tblW w:type="auto" w:w="0"/>
        <w:jc w:val="center"/>
        <w:tblLook w:firstColumn="1" w:firstRow="1" w:lastColumn="0" w:lastRow="0" w:noHBand="0" w:noVBand="1" w:val="04A0"/>
      </w:tblPr>
      <w:tblGrid>
        <w:gridCol w:w="4873"/>
        <w:gridCol w:w="4873"/>
      </w:tblGrid>
      <w:tr>
        <w:tc>
          <w:tcPr>
            <w:tcW w:type="dxa" w:w="1928"/>
            <w:vAlign w:val="center"/>
            <w:shd w:fill="D9EAF7"/>
          </w:tcPr>
          <w:p>
            <w:r/>
            <w:r>
              <w:rPr>
                <w:rFonts w:ascii="Microsoft YaHei" w:hAnsi="Microsoft YaHei" w:eastAsia="Microsoft YaHei"/>
                <w:b/>
                <w:sz w:val="19"/>
              </w:rPr>
              <w:t>当前状态</w:t>
            </w:r>
          </w:p>
        </w:tc>
        <w:tc>
          <w:tcPr>
            <w:tcW w:type="dxa" w:w="7143"/>
            <w:vAlign w:val="center"/>
            <w:shd w:fill="D9EAF7"/>
          </w:tcPr>
          <w:p>
            <w:r/>
            <w:r>
              <w:rPr>
                <w:rFonts w:ascii="Microsoft YaHei" w:hAnsi="Microsoft YaHei" w:eastAsia="Microsoft YaHei"/>
                <w:b/>
                <w:sz w:val="19"/>
              </w:rPr>
              <w:t>类别预算示例</w:t>
            </w:r>
          </w:p>
        </w:tc>
      </w:tr>
      <w:tr>
        <w:tc>
          <w:tcPr>
            <w:tcW w:type="dxa" w:w="1928"/>
            <w:vAlign w:val="center"/>
          </w:tcPr>
          <w:p>
            <w:r/>
            <w:r>
              <w:rPr>
                <w:rFonts w:ascii="Microsoft YaHei" w:hAnsi="Microsoft YaHei" w:eastAsia="Microsoft YaHei"/>
                <w:b w:val="0"/>
                <w:sz w:val="19"/>
              </w:rPr>
              <w:t>上涨低波动</w:t>
            </w:r>
          </w:p>
        </w:tc>
        <w:tc>
          <w:tcPr>
            <w:tcW w:type="dxa" w:w="7143"/>
            <w:vAlign w:val="center"/>
          </w:tcPr>
          <w:p>
            <w:r/>
            <w:r>
              <w:rPr>
                <w:rFonts w:ascii="Microsoft YaHei" w:hAnsi="Microsoft YaHei" w:eastAsia="Microsoft YaHei"/>
                <w:b w:val="0"/>
                <w:sz w:val="19"/>
              </w:rPr>
              <w:t>趋势/动量 35%，价量结合 30%，突破 20%，流动性 15%</w:t>
            </w:r>
          </w:p>
        </w:tc>
      </w:tr>
      <w:tr>
        <w:tc>
          <w:tcPr>
            <w:tcW w:type="dxa" w:w="1928"/>
            <w:vAlign w:val="center"/>
          </w:tcPr>
          <w:p>
            <w:r/>
            <w:r>
              <w:rPr>
                <w:rFonts w:ascii="Microsoft YaHei" w:hAnsi="Microsoft YaHei" w:eastAsia="Microsoft YaHei"/>
                <w:b w:val="0"/>
                <w:sz w:val="19"/>
              </w:rPr>
              <w:t>震荡高波动</w:t>
            </w:r>
          </w:p>
        </w:tc>
        <w:tc>
          <w:tcPr>
            <w:tcW w:type="dxa" w:w="7143"/>
            <w:vAlign w:val="center"/>
          </w:tcPr>
          <w:p>
            <w:r/>
            <w:r>
              <w:rPr>
                <w:rFonts w:ascii="Microsoft YaHei" w:hAnsi="Microsoft YaHei" w:eastAsia="Microsoft YaHei"/>
                <w:b w:val="0"/>
                <w:sz w:val="19"/>
              </w:rPr>
              <w:t>反转 35%，波动率 30%，价量结合 20%，趋势 15%</w:t>
            </w:r>
          </w:p>
        </w:tc>
      </w:tr>
      <w:tr>
        <w:tc>
          <w:tcPr>
            <w:tcW w:type="dxa" w:w="1928"/>
            <w:vAlign w:val="center"/>
          </w:tcPr>
          <w:p>
            <w:r/>
            <w:r>
              <w:rPr>
                <w:rFonts w:ascii="Microsoft YaHei" w:hAnsi="Microsoft YaHei" w:eastAsia="Microsoft YaHei"/>
                <w:b w:val="0"/>
                <w:sz w:val="19"/>
              </w:rPr>
              <w:t>下跌高波动</w:t>
            </w:r>
          </w:p>
        </w:tc>
        <w:tc>
          <w:tcPr>
            <w:tcW w:type="dxa" w:w="7143"/>
            <w:vAlign w:val="center"/>
          </w:tcPr>
          <w:p>
            <w:r/>
            <w:r>
              <w:rPr>
                <w:rFonts w:ascii="Microsoft YaHei" w:hAnsi="Microsoft YaHei" w:eastAsia="Microsoft YaHei"/>
                <w:b w:val="0"/>
                <w:sz w:val="19"/>
              </w:rPr>
              <w:t>防御/低波动 35%，反转确认 25%，流动性过滤 20%，价量结合 20%</w:t>
            </w:r>
          </w:p>
        </w:tc>
      </w:tr>
      <w:tr>
        <w:tc>
          <w:tcPr>
            <w:tcW w:type="dxa" w:w="1928"/>
            <w:vAlign w:val="center"/>
          </w:tcPr>
          <w:p>
            <w:r/>
            <w:r>
              <w:rPr>
                <w:rFonts w:ascii="Microsoft YaHei" w:hAnsi="Microsoft YaHei" w:eastAsia="Microsoft YaHei"/>
                <w:b w:val="0"/>
                <w:sz w:val="19"/>
              </w:rPr>
              <w:t>高分化状态</w:t>
            </w:r>
          </w:p>
        </w:tc>
        <w:tc>
          <w:tcPr>
            <w:tcW w:type="dxa" w:w="7143"/>
            <w:vAlign w:val="center"/>
          </w:tcPr>
          <w:p>
            <w:r/>
            <w:r>
              <w:rPr>
                <w:rFonts w:ascii="Microsoft YaHei" w:hAnsi="Microsoft YaHei" w:eastAsia="Microsoft YaHei"/>
                <w:b w:val="0"/>
                <w:sz w:val="19"/>
              </w:rPr>
              <w:t>价量结合 30%，突破 25%，反转 20%，趋势 15%，流动性 10%</w:t>
            </w:r>
          </w:p>
        </w:tc>
      </w:tr>
    </w:tbl>
    <w:p/>
    <w:p>
      <w:pPr>
        <w:pStyle w:val="Heading2"/>
      </w:pPr>
      <w:r>
        <w:t>6.4 切换稳定机制</w:t>
      </w:r>
    </w:p>
    <w:p>
      <w:pPr>
        <w:pStyle w:val="ListBullet"/>
      </w:pPr>
      <w:r>
        <w:t>状态确认：连续 3 至 5 个交易日满足新状态条件后，再确认状态切换。</w:t>
      </w:r>
    </w:p>
    <w:p>
      <w:pPr>
        <w:pStyle w:val="ListBullet"/>
      </w:pPr>
      <w:r>
        <w:t>分数滞后：新类别组合分数必须超过当前组合一定幅度，才触发切换。</w:t>
      </w:r>
    </w:p>
    <w:p>
      <w:pPr>
        <w:pStyle w:val="ListBullet"/>
      </w:pPr>
      <w:r>
        <w:t>最短持有周期：类别预算调整后至少维持一个固定周期，例如 20 个交易日。</w:t>
      </w:r>
    </w:p>
    <w:p>
      <w:pPr>
        <w:pStyle w:val="ListBullet"/>
      </w:pPr>
      <w:r>
        <w:t>过渡混合：从旧类别预算平滑过渡到新类别预算，避免一次性大幅换仓。</w:t>
      </w:r>
    </w:p>
    <w:p>
      <w:pPr>
        <w:pStyle w:val="ListBullet"/>
      </w:pPr>
      <w:r>
        <w:t>预算上下限：单类别最大权重建议限制在 30% 至 40%，避免因状态误判导致组合过度集中。</w:t>
      </w:r>
    </w:p>
    <w:p>
      <w:pPr>
        <w:pStyle w:val="Heading2"/>
      </w:pPr>
      <w:r>
        <w:t>6.5 注意事项</w:t>
      </w:r>
    </w:p>
    <w:p>
      <w:pPr>
        <w:pStyle w:val="ListBullet"/>
      </w:pPr>
      <w:r>
        <w:t>类别选择只能使用当时已经完成的历史统计，不能用未来状态下的表现回填。</w:t>
      </w:r>
    </w:p>
    <w:p>
      <w:pPr>
        <w:pStyle w:val="ListBullet"/>
      </w:pPr>
      <w:r>
        <w:t>类别评分应标准化，否则 Sharpe、ICIR、回撤等量纲不同的指标无法直接相加。</w:t>
      </w:r>
    </w:p>
    <w:p>
      <w:pPr>
        <w:pStyle w:val="ListBullet"/>
      </w:pPr>
      <w:r>
        <w:t>类别选择需要保留少量多样性。即使某类当前最优，也不宜完全排除其他低相关类别。</w:t>
      </w:r>
    </w:p>
    <w:p>
      <w:pPr>
        <w:pStyle w:val="ListBullet"/>
      </w:pPr>
      <w:r>
        <w:t>近期表现权重不能过高，否则会变成追涨近期有效因子，容易在状态反转时受损。</w:t>
      </w:r>
    </w:p>
    <w:p>
      <w:pPr>
        <w:pStyle w:val="Heading1"/>
      </w:pPr>
      <w:r>
        <w:t>7. 模块五：从优势类别中选择具体因子并组合</w:t>
      </w:r>
    </w:p>
    <w:p>
      <w:pPr>
        <w:pStyle w:val="Heading2"/>
      </w:pPr>
      <w:r>
        <w:t>7.1 因子初筛</w:t>
      </w:r>
    </w:p>
    <w:p>
      <w:pPr>
        <w:pStyle w:val="ListBullet"/>
      </w:pPr>
      <w:r>
        <w:t>生成阶段合格：IC、RankIC、ICIR、覆盖率达到最低标准。</w:t>
      </w:r>
    </w:p>
    <w:p>
      <w:pPr>
        <w:pStyle w:val="ListBullet"/>
      </w:pPr>
      <w:r>
        <w:t>回测阶段合格：收益、Sharpe、最大回撤、换手和成本后表现满足要求。</w:t>
      </w:r>
    </w:p>
    <w:p>
      <w:pPr>
        <w:pStyle w:val="ListBullet"/>
      </w:pPr>
      <w:r>
        <w:t>当前状态下方向一致：状态内 IC 或 RankIC 不应与全样本方向长期相反。</w:t>
      </w:r>
    </w:p>
    <w:p>
      <w:pPr>
        <w:pStyle w:val="ListBullet"/>
      </w:pPr>
      <w:r>
        <w:t>样本充足：该因子在当前状态下有足够有效交易日和覆盖股票数。</w:t>
      </w:r>
    </w:p>
    <w:p>
      <w:pPr>
        <w:pStyle w:val="ListBullet"/>
      </w:pPr>
      <w:r>
        <w:t>近期未明显失效：最近滚动窗口表现不能显著低于历史分布下分位数。</w:t>
      </w:r>
    </w:p>
    <w:p>
      <w:pPr>
        <w:pStyle w:val="ListBullet"/>
      </w:pPr>
      <w:r>
        <w:t>可交易性合理：停牌、涨跌停、成交额和换手约束不能造成信号不可执行。</w:t>
      </w:r>
    </w:p>
    <w:p>
      <w:pPr>
        <w:pStyle w:val="Heading2"/>
      </w:pPr>
      <w:r>
        <w:t>7.2 具体因子评分</w:t>
      </w:r>
    </w:p>
    <w:p>
      <w:pPr>
        <w:ind w:left="283"/>
      </w:pPr>
      <w:r>
        <w:rPr>
          <w:b/>
        </w:rPr>
        <w:t>因子评分：</w:t>
      </w:r>
      <w:r>
        <w:rPr>
          <w:rFonts w:ascii="Consolas" w:hAnsi="Consolas" w:eastAsia="Consolas"/>
        </w:rPr>
        <w:t>FactorScore(i,t) = 0.35*StateICIR + 0.25*StateRankIC + 0.15*RecentIC + 0.10*FullSamplePerf + 0.10*Stability - 0.05*CostPenalty</w:t>
      </w:r>
    </w:p>
    <w:p>
      <w:r>
        <w:t>权重只是第一版建议，研究时应做敏感性分析。所有分项需要先做标准化和方向统一。</w:t>
      </w:r>
    </w:p>
    <w:p>
      <w:pPr>
        <w:pStyle w:val="Heading2"/>
      </w:pPr>
      <w:r>
        <w:t>7.3 去重与互补性检查</w:t>
      </w:r>
    </w:p>
    <w:p>
      <w:r>
        <w:t>同一类别中可能存在大量高度相似的因子。若不去重，组合看似包含很多因子，实际暴露却集中在少数逻辑上。因此，选因子时至少要检查三类相关性：因子值相关性、每日 IC 序列相关性和多空收益序列相关性。</w:t>
      </w:r>
    </w:p>
    <w:tbl>
      <w:tblPr>
        <w:tblStyle w:val="TableGrid"/>
        <w:tblW w:type="auto" w:w="0"/>
        <w:jc w:val="center"/>
        <w:tblLook w:firstColumn="1" w:firstRow="1" w:lastColumn="0" w:lastRow="0" w:noHBand="0" w:noVBand="1" w:val="04A0"/>
      </w:tblPr>
      <w:tblGrid>
        <w:gridCol w:w="3249"/>
        <w:gridCol w:w="3249"/>
        <w:gridCol w:w="3249"/>
      </w:tblGrid>
      <w:tr>
        <w:tc>
          <w:tcPr>
            <w:tcW w:type="dxa" w:w="1928"/>
            <w:vAlign w:val="center"/>
            <w:shd w:fill="D9EAF7"/>
          </w:tcPr>
          <w:p>
            <w:r/>
            <w:r>
              <w:rPr>
                <w:rFonts w:ascii="Microsoft YaHei" w:hAnsi="Microsoft YaHei" w:eastAsia="Microsoft YaHei"/>
                <w:b/>
                <w:sz w:val="19"/>
              </w:rPr>
              <w:t>相关性类型</w:t>
            </w:r>
          </w:p>
        </w:tc>
        <w:tc>
          <w:tcPr>
            <w:tcW w:type="dxa" w:w="2835"/>
            <w:vAlign w:val="center"/>
            <w:shd w:fill="D9EAF7"/>
          </w:tcPr>
          <w:p>
            <w:r/>
            <w:r>
              <w:rPr>
                <w:rFonts w:ascii="Microsoft YaHei" w:hAnsi="Microsoft YaHei" w:eastAsia="Microsoft YaHei"/>
                <w:b/>
                <w:sz w:val="19"/>
              </w:rPr>
              <w:t>计算对象</w:t>
            </w:r>
          </w:p>
        </w:tc>
        <w:tc>
          <w:tcPr>
            <w:tcW w:type="dxa" w:w="4309"/>
            <w:vAlign w:val="center"/>
            <w:shd w:fill="D9EAF7"/>
          </w:tcPr>
          <w:p>
            <w:r/>
            <w:r>
              <w:rPr>
                <w:rFonts w:ascii="Microsoft YaHei" w:hAnsi="Microsoft YaHei" w:eastAsia="Microsoft YaHei"/>
                <w:b/>
                <w:sz w:val="19"/>
              </w:rPr>
              <w:t>用途</w:t>
            </w:r>
          </w:p>
        </w:tc>
      </w:tr>
      <w:tr>
        <w:tc>
          <w:tcPr>
            <w:tcW w:type="dxa" w:w="1928"/>
            <w:vAlign w:val="center"/>
          </w:tcPr>
          <w:p>
            <w:r/>
            <w:r>
              <w:rPr>
                <w:rFonts w:ascii="Microsoft YaHei" w:hAnsi="Microsoft YaHei" w:eastAsia="Microsoft YaHei"/>
                <w:b w:val="0"/>
                <w:sz w:val="19"/>
              </w:rPr>
              <w:t>因子值相关性</w:t>
            </w:r>
          </w:p>
        </w:tc>
        <w:tc>
          <w:tcPr>
            <w:tcW w:type="dxa" w:w="2835"/>
            <w:vAlign w:val="center"/>
          </w:tcPr>
          <w:p>
            <w:r/>
            <w:r>
              <w:rPr>
                <w:rFonts w:ascii="Microsoft YaHei" w:hAnsi="Microsoft YaHei" w:eastAsia="Microsoft YaHei"/>
                <w:b w:val="0"/>
                <w:sz w:val="19"/>
              </w:rPr>
              <w:t>同一日期横截面因子值</w:t>
            </w:r>
          </w:p>
        </w:tc>
        <w:tc>
          <w:tcPr>
            <w:tcW w:type="dxa" w:w="4309"/>
            <w:vAlign w:val="center"/>
          </w:tcPr>
          <w:p>
            <w:r/>
            <w:r>
              <w:rPr>
                <w:rFonts w:ascii="Microsoft YaHei" w:hAnsi="Microsoft YaHei" w:eastAsia="Microsoft YaHei"/>
                <w:b w:val="0"/>
                <w:sz w:val="19"/>
              </w:rPr>
              <w:t>判断信号本身是否重复。</w:t>
            </w:r>
          </w:p>
        </w:tc>
      </w:tr>
      <w:tr>
        <w:tc>
          <w:tcPr>
            <w:tcW w:type="dxa" w:w="1928"/>
            <w:vAlign w:val="center"/>
          </w:tcPr>
          <w:p>
            <w:r/>
            <w:r>
              <w:rPr>
                <w:rFonts w:ascii="Microsoft YaHei" w:hAnsi="Microsoft YaHei" w:eastAsia="Microsoft YaHei"/>
                <w:b w:val="0"/>
                <w:sz w:val="19"/>
              </w:rPr>
              <w:t>IC 序列相关性</w:t>
            </w:r>
          </w:p>
        </w:tc>
        <w:tc>
          <w:tcPr>
            <w:tcW w:type="dxa" w:w="2835"/>
            <w:vAlign w:val="center"/>
          </w:tcPr>
          <w:p>
            <w:r/>
            <w:r>
              <w:rPr>
                <w:rFonts w:ascii="Microsoft YaHei" w:hAnsi="Microsoft YaHei" w:eastAsia="Microsoft YaHei"/>
                <w:b w:val="0"/>
                <w:sz w:val="19"/>
              </w:rPr>
              <w:t>两个因子的每日 IC 时间序列</w:t>
            </w:r>
          </w:p>
        </w:tc>
        <w:tc>
          <w:tcPr>
            <w:tcW w:type="dxa" w:w="4309"/>
            <w:vAlign w:val="center"/>
          </w:tcPr>
          <w:p>
            <w:r/>
            <w:r>
              <w:rPr>
                <w:rFonts w:ascii="Microsoft YaHei" w:hAnsi="Microsoft YaHei" w:eastAsia="Microsoft YaHei"/>
                <w:b w:val="0"/>
                <w:sz w:val="19"/>
              </w:rPr>
              <w:t>判断预测能力是否同涨同跌。</w:t>
            </w:r>
          </w:p>
        </w:tc>
      </w:tr>
      <w:tr>
        <w:tc>
          <w:tcPr>
            <w:tcW w:type="dxa" w:w="1928"/>
            <w:vAlign w:val="center"/>
          </w:tcPr>
          <w:p>
            <w:r/>
            <w:r>
              <w:rPr>
                <w:rFonts w:ascii="Microsoft YaHei" w:hAnsi="Microsoft YaHei" w:eastAsia="Microsoft YaHei"/>
                <w:b w:val="0"/>
                <w:sz w:val="19"/>
              </w:rPr>
              <w:t>多空收益相关性</w:t>
            </w:r>
          </w:p>
        </w:tc>
        <w:tc>
          <w:tcPr>
            <w:tcW w:type="dxa" w:w="2835"/>
            <w:vAlign w:val="center"/>
          </w:tcPr>
          <w:p>
            <w:r/>
            <w:r>
              <w:rPr>
                <w:rFonts w:ascii="Microsoft YaHei" w:hAnsi="Microsoft YaHei" w:eastAsia="Microsoft YaHei"/>
                <w:b w:val="0"/>
                <w:sz w:val="19"/>
              </w:rPr>
              <w:t>两个因子的每日多空收益</w:t>
            </w:r>
          </w:p>
        </w:tc>
        <w:tc>
          <w:tcPr>
            <w:tcW w:type="dxa" w:w="4309"/>
            <w:vAlign w:val="center"/>
          </w:tcPr>
          <w:p>
            <w:r/>
            <w:r>
              <w:rPr>
                <w:rFonts w:ascii="Microsoft YaHei" w:hAnsi="Microsoft YaHei" w:eastAsia="Microsoft YaHei"/>
                <w:b w:val="0"/>
                <w:sz w:val="19"/>
              </w:rPr>
              <w:t>判断组合收益贡献是否重复。</w:t>
            </w:r>
          </w:p>
        </w:tc>
      </w:tr>
      <w:tr>
        <w:tc>
          <w:tcPr>
            <w:tcW w:type="dxa" w:w="1928"/>
            <w:vAlign w:val="center"/>
          </w:tcPr>
          <w:p>
            <w:r/>
            <w:r>
              <w:rPr>
                <w:rFonts w:ascii="Microsoft YaHei" w:hAnsi="Microsoft YaHei" w:eastAsia="Microsoft YaHei"/>
                <w:b w:val="0"/>
                <w:sz w:val="19"/>
              </w:rPr>
              <w:t>字段重叠度</w:t>
            </w:r>
          </w:p>
        </w:tc>
        <w:tc>
          <w:tcPr>
            <w:tcW w:type="dxa" w:w="2835"/>
            <w:vAlign w:val="center"/>
          </w:tcPr>
          <w:p>
            <w:r/>
            <w:r>
              <w:rPr>
                <w:rFonts w:ascii="Microsoft YaHei" w:hAnsi="Microsoft YaHei" w:eastAsia="Microsoft YaHei"/>
                <w:b w:val="0"/>
                <w:sz w:val="19"/>
              </w:rPr>
              <w:t>used_fields 集合</w:t>
            </w:r>
          </w:p>
        </w:tc>
        <w:tc>
          <w:tcPr>
            <w:tcW w:type="dxa" w:w="4309"/>
            <w:vAlign w:val="center"/>
          </w:tcPr>
          <w:p>
            <w:r/>
            <w:r>
              <w:rPr>
                <w:rFonts w:ascii="Microsoft YaHei" w:hAnsi="Microsoft YaHei" w:eastAsia="Microsoft YaHei"/>
                <w:b w:val="0"/>
                <w:sz w:val="19"/>
              </w:rPr>
              <w:t>辅助判断表达式是否来自同一数据逻辑。</w:t>
            </w:r>
          </w:p>
        </w:tc>
      </w:tr>
    </w:tbl>
    <w:p/>
    <w:p>
      <w:pPr>
        <w:pStyle w:val="Heading2"/>
      </w:pPr>
      <w:r>
        <w:t>7.4 组合方法</w:t>
      </w:r>
    </w:p>
    <w:p>
      <w:r>
        <w:t>建议保留三种组合方式，作为研究中的递进方案和对照组。</w:t>
      </w:r>
    </w:p>
    <w:tbl>
      <w:tblPr>
        <w:tblStyle w:val="TableGrid"/>
        <w:tblW w:type="auto" w:w="0"/>
        <w:jc w:val="center"/>
        <w:tblLook w:firstColumn="1" w:firstRow="1" w:lastColumn="0" w:lastRow="0" w:noHBand="0" w:noVBand="1" w:val="04A0"/>
      </w:tblPr>
      <w:tblGrid>
        <w:gridCol w:w="3249"/>
        <w:gridCol w:w="3249"/>
        <w:gridCol w:w="3249"/>
      </w:tblGrid>
      <w:tr>
        <w:tc>
          <w:tcPr>
            <w:tcW w:type="dxa" w:w="1701"/>
            <w:vAlign w:val="center"/>
            <w:shd w:fill="D9EAF7"/>
          </w:tcPr>
          <w:p>
            <w:r/>
            <w:r>
              <w:rPr>
                <w:rFonts w:ascii="Microsoft YaHei" w:hAnsi="Microsoft YaHei" w:eastAsia="Microsoft YaHei"/>
                <w:b/>
                <w:sz w:val="19"/>
              </w:rPr>
              <w:t>组合方式</w:t>
            </w:r>
          </w:p>
        </w:tc>
        <w:tc>
          <w:tcPr>
            <w:tcW w:type="dxa" w:w="3969"/>
            <w:vAlign w:val="center"/>
            <w:shd w:fill="D9EAF7"/>
          </w:tcPr>
          <w:p>
            <w:r/>
            <w:r>
              <w:rPr>
                <w:rFonts w:ascii="Microsoft YaHei" w:hAnsi="Microsoft YaHei" w:eastAsia="Microsoft YaHei"/>
                <w:b/>
                <w:sz w:val="19"/>
              </w:rPr>
              <w:t>说明</w:t>
            </w:r>
          </w:p>
        </w:tc>
        <w:tc>
          <w:tcPr>
            <w:tcW w:type="dxa" w:w="3402"/>
            <w:vAlign w:val="center"/>
            <w:shd w:fill="D9EAF7"/>
          </w:tcPr>
          <w:p>
            <w:r/>
            <w:r>
              <w:rPr>
                <w:rFonts w:ascii="Microsoft YaHei" w:hAnsi="Microsoft YaHei" w:eastAsia="Microsoft YaHei"/>
                <w:b/>
                <w:sz w:val="19"/>
              </w:rPr>
              <w:t>用途</w:t>
            </w:r>
          </w:p>
        </w:tc>
      </w:tr>
      <w:tr>
        <w:tc>
          <w:tcPr>
            <w:tcW w:type="dxa" w:w="1701"/>
            <w:vAlign w:val="center"/>
          </w:tcPr>
          <w:p>
            <w:r/>
            <w:r>
              <w:rPr>
                <w:rFonts w:ascii="Microsoft YaHei" w:hAnsi="Microsoft YaHei" w:eastAsia="Microsoft YaHei"/>
                <w:b w:val="0"/>
                <w:sz w:val="19"/>
              </w:rPr>
              <w:t>等权组合</w:t>
            </w:r>
          </w:p>
        </w:tc>
        <w:tc>
          <w:tcPr>
            <w:tcW w:type="dxa" w:w="3969"/>
            <w:vAlign w:val="center"/>
          </w:tcPr>
          <w:p>
            <w:r/>
            <w:r>
              <w:rPr>
                <w:rFonts w:ascii="Microsoft YaHei" w:hAnsi="Microsoft YaHei" w:eastAsia="Microsoft YaHei"/>
                <w:b w:val="0"/>
                <w:sz w:val="19"/>
              </w:rPr>
              <w:t>入选因子统一权重。</w:t>
            </w:r>
          </w:p>
        </w:tc>
        <w:tc>
          <w:tcPr>
            <w:tcW w:type="dxa" w:w="3402"/>
            <w:vAlign w:val="center"/>
          </w:tcPr>
          <w:p>
            <w:r/>
            <w:r>
              <w:rPr>
                <w:rFonts w:ascii="Microsoft YaHei" w:hAnsi="Microsoft YaHei" w:eastAsia="Microsoft YaHei"/>
                <w:b w:val="0"/>
                <w:sz w:val="19"/>
              </w:rPr>
              <w:t>作为最简单基准，判断选因子本身是否有效。</w:t>
            </w:r>
          </w:p>
        </w:tc>
      </w:tr>
      <w:tr>
        <w:tc>
          <w:tcPr>
            <w:tcW w:type="dxa" w:w="1701"/>
            <w:vAlign w:val="center"/>
          </w:tcPr>
          <w:p>
            <w:r/>
            <w:r>
              <w:rPr>
                <w:rFonts w:ascii="Microsoft YaHei" w:hAnsi="Microsoft YaHei" w:eastAsia="Microsoft YaHei"/>
                <w:b w:val="0"/>
                <w:sz w:val="19"/>
              </w:rPr>
              <w:t>评分加权</w:t>
            </w:r>
          </w:p>
        </w:tc>
        <w:tc>
          <w:tcPr>
            <w:tcW w:type="dxa" w:w="3969"/>
            <w:vAlign w:val="center"/>
          </w:tcPr>
          <w:p>
            <w:r/>
            <w:r>
              <w:rPr>
                <w:rFonts w:ascii="Microsoft YaHei" w:hAnsi="Microsoft YaHei" w:eastAsia="Microsoft YaHei"/>
                <w:b w:val="0"/>
                <w:sz w:val="19"/>
              </w:rPr>
              <w:t>因子权重与状态下因子评分成比例。</w:t>
            </w:r>
          </w:p>
        </w:tc>
        <w:tc>
          <w:tcPr>
            <w:tcW w:type="dxa" w:w="3402"/>
            <w:vAlign w:val="center"/>
          </w:tcPr>
          <w:p>
            <w:r/>
            <w:r>
              <w:rPr>
                <w:rFonts w:ascii="Microsoft YaHei" w:hAnsi="Microsoft YaHei" w:eastAsia="Microsoft YaHei"/>
                <w:b w:val="0"/>
                <w:sz w:val="19"/>
              </w:rPr>
              <w:t>兼顾解释性和动态适应。</w:t>
            </w:r>
          </w:p>
        </w:tc>
      </w:tr>
      <w:tr>
        <w:tc>
          <w:tcPr>
            <w:tcW w:type="dxa" w:w="1701"/>
            <w:vAlign w:val="center"/>
          </w:tcPr>
          <w:p>
            <w:r/>
            <w:r>
              <w:rPr>
                <w:rFonts w:ascii="Microsoft YaHei" w:hAnsi="Microsoft YaHei" w:eastAsia="Microsoft YaHei"/>
                <w:b w:val="0"/>
                <w:sz w:val="19"/>
              </w:rPr>
              <w:t>约束优化</w:t>
            </w:r>
          </w:p>
        </w:tc>
        <w:tc>
          <w:tcPr>
            <w:tcW w:type="dxa" w:w="3969"/>
            <w:vAlign w:val="center"/>
          </w:tcPr>
          <w:p>
            <w:r/>
            <w:r>
              <w:rPr>
                <w:rFonts w:ascii="Microsoft YaHei" w:hAnsi="Microsoft YaHei" w:eastAsia="Microsoft YaHei"/>
                <w:b w:val="0"/>
                <w:sz w:val="19"/>
              </w:rPr>
              <w:t>在评分加权基础上优化 IC/ICIR，并控制相关性、换手和类别权重。</w:t>
            </w:r>
          </w:p>
        </w:tc>
        <w:tc>
          <w:tcPr>
            <w:tcW w:type="dxa" w:w="3402"/>
            <w:vAlign w:val="center"/>
          </w:tcPr>
          <w:p>
            <w:r/>
            <w:r>
              <w:rPr>
                <w:rFonts w:ascii="Microsoft YaHei" w:hAnsi="Microsoft YaHei" w:eastAsia="Microsoft YaHei"/>
                <w:b w:val="0"/>
                <w:sz w:val="19"/>
              </w:rPr>
              <w:t>作为正式研究方案的候选主模型。</w:t>
            </w:r>
          </w:p>
        </w:tc>
      </w:tr>
    </w:tbl>
    <w:p/>
    <w:p>
      <w:pPr>
        <w:ind w:left="283"/>
      </w:pPr>
      <w:r>
        <w:rPr>
          <w:b/>
        </w:rPr>
        <w:t>组合优化目标示例：</w:t>
      </w:r>
      <w:r>
        <w:rPr>
          <w:rFonts w:ascii="Consolas" w:hAnsi="Consolas" w:eastAsia="Consolas"/>
        </w:rPr>
        <w:t>Maximize  E[IC_combo] - λ1*CorrPenalty - λ2*TurnoverPenalty - λ3*DrawdownPenalty</w:t>
      </w:r>
    </w:p>
    <w:p>
      <w:r>
        <w:t>约束包括单因子权重上限、单类别权重上限、组合因子数量、行业/风格暴露和换手上限。</w:t>
      </w:r>
    </w:p>
    <w:p>
      <w:pPr>
        <w:pStyle w:val="Heading2"/>
      </w:pPr>
      <w:r>
        <w:t>7.5 权重与风险约束</w:t>
      </w:r>
    </w:p>
    <w:tbl>
      <w:tblPr>
        <w:tblStyle w:val="TableGrid"/>
        <w:tblW w:type="auto" w:w="0"/>
        <w:jc w:val="center"/>
        <w:tblLook w:firstColumn="1" w:firstRow="1" w:lastColumn="0" w:lastRow="0" w:noHBand="0" w:noVBand="1" w:val="04A0"/>
      </w:tblPr>
      <w:tblGrid>
        <w:gridCol w:w="3249"/>
        <w:gridCol w:w="3249"/>
        <w:gridCol w:w="3249"/>
      </w:tblGrid>
      <w:tr>
        <w:tc>
          <w:tcPr>
            <w:tcW w:type="dxa" w:w="1984"/>
            <w:vAlign w:val="center"/>
            <w:shd w:fill="D9EAF7"/>
          </w:tcPr>
          <w:p>
            <w:r/>
            <w:r>
              <w:rPr>
                <w:rFonts w:ascii="Microsoft YaHei" w:hAnsi="Microsoft YaHei" w:eastAsia="Microsoft YaHei"/>
                <w:b/>
                <w:sz w:val="19"/>
              </w:rPr>
              <w:t>约束</w:t>
            </w:r>
          </w:p>
        </w:tc>
        <w:tc>
          <w:tcPr>
            <w:tcW w:type="dxa" w:w="2721"/>
            <w:vAlign w:val="center"/>
            <w:shd w:fill="D9EAF7"/>
          </w:tcPr>
          <w:p>
            <w:r/>
            <w:r>
              <w:rPr>
                <w:rFonts w:ascii="Microsoft YaHei" w:hAnsi="Microsoft YaHei" w:eastAsia="Microsoft YaHei"/>
                <w:b/>
                <w:sz w:val="19"/>
              </w:rPr>
              <w:t>建议范围</w:t>
            </w:r>
          </w:p>
        </w:tc>
        <w:tc>
          <w:tcPr>
            <w:tcW w:type="dxa" w:w="4365"/>
            <w:vAlign w:val="center"/>
            <w:shd w:fill="D9EAF7"/>
          </w:tcPr>
          <w:p>
            <w:r/>
            <w:r>
              <w:rPr>
                <w:rFonts w:ascii="Microsoft YaHei" w:hAnsi="Microsoft YaHei" w:eastAsia="Microsoft YaHei"/>
                <w:b/>
                <w:sz w:val="19"/>
              </w:rPr>
              <w:t>目的</w:t>
            </w:r>
          </w:p>
        </w:tc>
      </w:tr>
      <w:tr>
        <w:tc>
          <w:tcPr>
            <w:tcW w:type="dxa" w:w="1984"/>
            <w:vAlign w:val="center"/>
          </w:tcPr>
          <w:p>
            <w:r/>
            <w:r>
              <w:rPr>
                <w:rFonts w:ascii="Microsoft YaHei" w:hAnsi="Microsoft YaHei" w:eastAsia="Microsoft YaHei"/>
                <w:b w:val="0"/>
                <w:sz w:val="19"/>
              </w:rPr>
              <w:t>单因子最大权重</w:t>
            </w:r>
          </w:p>
        </w:tc>
        <w:tc>
          <w:tcPr>
            <w:tcW w:type="dxa" w:w="2721"/>
            <w:vAlign w:val="center"/>
          </w:tcPr>
          <w:p>
            <w:r/>
            <w:r>
              <w:rPr>
                <w:rFonts w:ascii="Microsoft YaHei" w:hAnsi="Microsoft YaHei" w:eastAsia="Microsoft YaHei"/>
                <w:b w:val="0"/>
                <w:sz w:val="19"/>
              </w:rPr>
              <w:t>10% 至 15%</w:t>
            </w:r>
          </w:p>
        </w:tc>
        <w:tc>
          <w:tcPr>
            <w:tcW w:type="dxa" w:w="4365"/>
            <w:vAlign w:val="center"/>
          </w:tcPr>
          <w:p>
            <w:r/>
            <w:r>
              <w:rPr>
                <w:rFonts w:ascii="Microsoft YaHei" w:hAnsi="Microsoft YaHei" w:eastAsia="Microsoft YaHei"/>
                <w:b w:val="0"/>
                <w:sz w:val="19"/>
              </w:rPr>
              <w:t>避免单个因子主导组合。</w:t>
            </w:r>
          </w:p>
        </w:tc>
      </w:tr>
      <w:tr>
        <w:tc>
          <w:tcPr>
            <w:tcW w:type="dxa" w:w="1984"/>
            <w:vAlign w:val="center"/>
          </w:tcPr>
          <w:p>
            <w:r/>
            <w:r>
              <w:rPr>
                <w:rFonts w:ascii="Microsoft YaHei" w:hAnsi="Microsoft YaHei" w:eastAsia="Microsoft YaHei"/>
                <w:b w:val="0"/>
                <w:sz w:val="19"/>
              </w:rPr>
              <w:t>单类别最大权重</w:t>
            </w:r>
          </w:p>
        </w:tc>
        <w:tc>
          <w:tcPr>
            <w:tcW w:type="dxa" w:w="2721"/>
            <w:vAlign w:val="center"/>
          </w:tcPr>
          <w:p>
            <w:r/>
            <w:r>
              <w:rPr>
                <w:rFonts w:ascii="Microsoft YaHei" w:hAnsi="Microsoft YaHei" w:eastAsia="Microsoft YaHei"/>
                <w:b w:val="0"/>
                <w:sz w:val="19"/>
              </w:rPr>
              <w:t>30% 至 40%</w:t>
            </w:r>
          </w:p>
        </w:tc>
        <w:tc>
          <w:tcPr>
            <w:tcW w:type="dxa" w:w="4365"/>
            <w:vAlign w:val="center"/>
          </w:tcPr>
          <w:p>
            <w:r/>
            <w:r>
              <w:rPr>
                <w:rFonts w:ascii="Microsoft YaHei" w:hAnsi="Microsoft YaHei" w:eastAsia="Microsoft YaHei"/>
                <w:b w:val="0"/>
                <w:sz w:val="19"/>
              </w:rPr>
              <w:t>避免状态误判造成类别集中。</w:t>
            </w:r>
          </w:p>
        </w:tc>
      </w:tr>
      <w:tr>
        <w:tc>
          <w:tcPr>
            <w:tcW w:type="dxa" w:w="1984"/>
            <w:vAlign w:val="center"/>
          </w:tcPr>
          <w:p>
            <w:r/>
            <w:r>
              <w:rPr>
                <w:rFonts w:ascii="Microsoft YaHei" w:hAnsi="Microsoft YaHei" w:eastAsia="Microsoft YaHei"/>
                <w:b w:val="0"/>
                <w:sz w:val="19"/>
              </w:rPr>
              <w:t>组合因子数量</w:t>
            </w:r>
          </w:p>
        </w:tc>
        <w:tc>
          <w:tcPr>
            <w:tcW w:type="dxa" w:w="2721"/>
            <w:vAlign w:val="center"/>
          </w:tcPr>
          <w:p>
            <w:r/>
            <w:r>
              <w:rPr>
                <w:rFonts w:ascii="Microsoft YaHei" w:hAnsi="Microsoft YaHei" w:eastAsia="Microsoft YaHei"/>
                <w:b w:val="0"/>
                <w:sz w:val="19"/>
              </w:rPr>
              <w:t>10 至 30 个</w:t>
            </w:r>
          </w:p>
        </w:tc>
        <w:tc>
          <w:tcPr>
            <w:tcW w:type="dxa" w:w="4365"/>
            <w:vAlign w:val="center"/>
          </w:tcPr>
          <w:p>
            <w:r/>
            <w:r>
              <w:rPr>
                <w:rFonts w:ascii="Microsoft YaHei" w:hAnsi="Microsoft YaHei" w:eastAsia="Microsoft YaHei"/>
                <w:b w:val="0"/>
                <w:sz w:val="19"/>
              </w:rPr>
              <w:t>兼顾分散度和可解释性。</w:t>
            </w:r>
          </w:p>
        </w:tc>
      </w:tr>
      <w:tr>
        <w:tc>
          <w:tcPr>
            <w:tcW w:type="dxa" w:w="1984"/>
            <w:vAlign w:val="center"/>
          </w:tcPr>
          <w:p>
            <w:r/>
            <w:r>
              <w:rPr>
                <w:rFonts w:ascii="Microsoft YaHei" w:hAnsi="Microsoft YaHei" w:eastAsia="Microsoft YaHei"/>
                <w:b w:val="0"/>
                <w:sz w:val="19"/>
              </w:rPr>
              <w:t>调仓频率</w:t>
            </w:r>
          </w:p>
        </w:tc>
        <w:tc>
          <w:tcPr>
            <w:tcW w:type="dxa" w:w="2721"/>
            <w:vAlign w:val="center"/>
          </w:tcPr>
          <w:p>
            <w:r/>
            <w:r>
              <w:rPr>
                <w:rFonts w:ascii="Microsoft YaHei" w:hAnsi="Microsoft YaHei" w:eastAsia="Microsoft YaHei"/>
                <w:b w:val="0"/>
                <w:sz w:val="19"/>
              </w:rPr>
              <w:t>周度或月度</w:t>
            </w:r>
          </w:p>
        </w:tc>
        <w:tc>
          <w:tcPr>
            <w:tcW w:type="dxa" w:w="4365"/>
            <w:vAlign w:val="center"/>
          </w:tcPr>
          <w:p>
            <w:r/>
            <w:r>
              <w:rPr>
                <w:rFonts w:ascii="Microsoft YaHei" w:hAnsi="Microsoft YaHei" w:eastAsia="Microsoft YaHei"/>
                <w:b w:val="0"/>
                <w:sz w:val="19"/>
              </w:rPr>
              <w:t>降低状态噪声和交易成本。</w:t>
            </w:r>
          </w:p>
        </w:tc>
      </w:tr>
      <w:tr>
        <w:tc>
          <w:tcPr>
            <w:tcW w:type="dxa" w:w="1984"/>
            <w:vAlign w:val="center"/>
          </w:tcPr>
          <w:p>
            <w:r/>
            <w:r>
              <w:rPr>
                <w:rFonts w:ascii="Microsoft YaHei" w:hAnsi="Microsoft YaHei" w:eastAsia="Microsoft YaHei"/>
                <w:b w:val="0"/>
                <w:sz w:val="19"/>
              </w:rPr>
              <w:t>最大换手</w:t>
            </w:r>
          </w:p>
        </w:tc>
        <w:tc>
          <w:tcPr>
            <w:tcW w:type="dxa" w:w="2721"/>
            <w:vAlign w:val="center"/>
          </w:tcPr>
          <w:p>
            <w:r/>
            <w:r>
              <w:rPr>
                <w:rFonts w:ascii="Microsoft YaHei" w:hAnsi="Microsoft YaHei" w:eastAsia="Microsoft YaHei"/>
                <w:b w:val="0"/>
                <w:sz w:val="19"/>
              </w:rPr>
              <w:t>按成本模型设定</w:t>
            </w:r>
          </w:p>
        </w:tc>
        <w:tc>
          <w:tcPr>
            <w:tcW w:type="dxa" w:w="4365"/>
            <w:vAlign w:val="center"/>
          </w:tcPr>
          <w:p>
            <w:r/>
            <w:r>
              <w:rPr>
                <w:rFonts w:ascii="Microsoft YaHei" w:hAnsi="Microsoft YaHei" w:eastAsia="Microsoft YaHei"/>
                <w:b w:val="0"/>
                <w:sz w:val="19"/>
              </w:rPr>
              <w:t>防止频繁切换侵蚀收益。</w:t>
            </w:r>
          </w:p>
        </w:tc>
      </w:tr>
      <w:tr>
        <w:tc>
          <w:tcPr>
            <w:tcW w:type="dxa" w:w="1984"/>
            <w:vAlign w:val="center"/>
          </w:tcPr>
          <w:p>
            <w:r/>
            <w:r>
              <w:rPr>
                <w:rFonts w:ascii="Microsoft YaHei" w:hAnsi="Microsoft YaHei" w:eastAsia="Microsoft YaHei"/>
                <w:b w:val="0"/>
                <w:sz w:val="19"/>
              </w:rPr>
              <w:t>相关性阈值</w:t>
            </w:r>
          </w:p>
        </w:tc>
        <w:tc>
          <w:tcPr>
            <w:tcW w:type="dxa" w:w="2721"/>
            <w:vAlign w:val="center"/>
          </w:tcPr>
          <w:p>
            <w:r/>
            <w:r>
              <w:rPr>
                <w:rFonts w:ascii="Microsoft YaHei" w:hAnsi="Microsoft YaHei" w:eastAsia="Microsoft YaHei"/>
                <w:b w:val="0"/>
                <w:sz w:val="19"/>
              </w:rPr>
              <w:t>按因子值、IC 序列、收益序列分别设置</w:t>
            </w:r>
          </w:p>
        </w:tc>
        <w:tc>
          <w:tcPr>
            <w:tcW w:type="dxa" w:w="4365"/>
            <w:vAlign w:val="center"/>
          </w:tcPr>
          <w:p>
            <w:r/>
            <w:r>
              <w:rPr>
                <w:rFonts w:ascii="Microsoft YaHei" w:hAnsi="Microsoft YaHei" w:eastAsia="Microsoft YaHei"/>
                <w:b w:val="0"/>
                <w:sz w:val="19"/>
              </w:rPr>
              <w:t>提高组合互补性。</w:t>
            </w:r>
          </w:p>
        </w:tc>
      </w:tr>
    </w:tbl>
    <w:p/>
    <w:p>
      <w:pPr>
        <w:pStyle w:val="Heading2"/>
      </w:pPr>
      <w:r>
        <w:t>7.6 注意事项</w:t>
      </w:r>
    </w:p>
    <w:p>
      <w:pPr>
        <w:pStyle w:val="ListBullet"/>
      </w:pPr>
      <w:r>
        <w:t>因子组合前必须统一方向。负向有效因子应先翻转，否则组合权重解释会混乱。</w:t>
      </w:r>
    </w:p>
    <w:p>
      <w:pPr>
        <w:pStyle w:val="ListBullet"/>
      </w:pPr>
      <w:r>
        <w:t>所有因子应进行缺失处理、极值处理和横截面标准化，避免数值尺度影响权重。</w:t>
      </w:r>
    </w:p>
    <w:p>
      <w:pPr>
        <w:pStyle w:val="ListBullet"/>
      </w:pPr>
      <w:r>
        <w:t>若加入行业或市值中性化，应在所有对照组中保持一致，否则比较不公平。</w:t>
      </w:r>
    </w:p>
    <w:p>
      <w:pPr>
        <w:pStyle w:val="ListBullet"/>
      </w:pPr>
      <w:r>
        <w:t>组合优化不能只最大化历史收益，应加入相关性、换手、回撤和类别集中度惩罚。</w:t>
      </w:r>
    </w:p>
    <w:p>
      <w:pPr>
        <w:pStyle w:val="ListBullet"/>
      </w:pPr>
      <w:r>
        <w:t>最终组合要保留成分因子、权重、类别预算、状态标签和生成时点，便于事后归因。</w:t>
      </w:r>
    </w:p>
    <w:p>
      <w:pPr>
        <w:pStyle w:val="Heading1"/>
      </w:pPr>
      <w:r>
        <w:t>8. 回测与验证设计</w:t>
      </w:r>
    </w:p>
    <w:p>
      <w:pPr>
        <w:pStyle w:val="Heading2"/>
      </w:pPr>
      <w:r>
        <w:t>8.1 Walk-forward 协议</w:t>
      </w:r>
    </w:p>
    <w:p>
      <w:r>
        <w:t>状态驱动方案必须使用滚动验证。每个调仓时点只能使用过去窗口中的因子表现、状态统计和类别评分，然后在未来一段时间观察组合表现。窗口向前滚动，重复形成完整回测。</w:t>
      </w:r>
    </w:p>
    <w:p>
      <w:pPr>
        <w:pStyle w:val="ListNumber"/>
      </w:pPr>
      <w:r>
        <w:t>选择训练窗口，例如过去 2 至 3 年，用于估计状态表现矩阵。</w:t>
      </w:r>
    </w:p>
    <w:p>
      <w:pPr>
        <w:pStyle w:val="ListNumber"/>
      </w:pPr>
      <w:r>
        <w:t>在调仓日识别当前市场状态和状态概率。</w:t>
      </w:r>
    </w:p>
    <w:p>
      <w:pPr>
        <w:pStyle w:val="ListNumber"/>
      </w:pPr>
      <w:r>
        <w:t>根据训练窗口内的条件表现选择优势类别和类别预算。</w:t>
      </w:r>
    </w:p>
    <w:p>
      <w:pPr>
        <w:pStyle w:val="ListNumber"/>
      </w:pPr>
      <w:r>
        <w:t>从优势类别中筛选具体因子，并根据训练窗口信息确定权重。</w:t>
      </w:r>
    </w:p>
    <w:p>
      <w:pPr>
        <w:pStyle w:val="ListNumber"/>
      </w:pPr>
      <w:r>
        <w:t>在下一持有期执行组合并记录收益、风险、换手和归因。</w:t>
      </w:r>
    </w:p>
    <w:p>
      <w:pPr>
        <w:pStyle w:val="ListNumber"/>
      </w:pPr>
      <w:r>
        <w:t>窗口前移，重复以上流程，直到覆盖完整回测区间。</w:t>
      </w:r>
    </w:p>
    <w:p>
      <w:pPr>
        <w:pStyle w:val="Heading2"/>
      </w:pPr>
      <w:r>
        <w:t>8.2 对照组</w:t>
      </w:r>
    </w:p>
    <w:tbl>
      <w:tblPr>
        <w:tblStyle w:val="TableGrid"/>
        <w:tblW w:type="auto" w:w="0"/>
        <w:jc w:val="center"/>
        <w:tblLook w:firstColumn="1" w:firstRow="1" w:lastColumn="0" w:lastRow="0" w:noHBand="0" w:noVBand="1" w:val="04A0"/>
      </w:tblPr>
      <w:tblGrid>
        <w:gridCol w:w="3249"/>
        <w:gridCol w:w="3249"/>
        <w:gridCol w:w="3249"/>
      </w:tblGrid>
      <w:tr>
        <w:tc>
          <w:tcPr>
            <w:tcW w:type="dxa" w:w="2154"/>
            <w:vAlign w:val="center"/>
            <w:shd w:fill="D9EAF7"/>
          </w:tcPr>
          <w:p>
            <w:r/>
            <w:r>
              <w:rPr>
                <w:rFonts w:ascii="Microsoft YaHei" w:hAnsi="Microsoft YaHei" w:eastAsia="Microsoft YaHei"/>
                <w:b/>
                <w:sz w:val="19"/>
              </w:rPr>
              <w:t>对照组</w:t>
            </w:r>
          </w:p>
        </w:tc>
        <w:tc>
          <w:tcPr>
            <w:tcW w:type="dxa" w:w="3628"/>
            <w:vAlign w:val="center"/>
            <w:shd w:fill="D9EAF7"/>
          </w:tcPr>
          <w:p>
            <w:r/>
            <w:r>
              <w:rPr>
                <w:rFonts w:ascii="Microsoft YaHei" w:hAnsi="Microsoft YaHei" w:eastAsia="Microsoft YaHei"/>
                <w:b/>
                <w:sz w:val="19"/>
              </w:rPr>
              <w:t>说明</w:t>
            </w:r>
          </w:p>
        </w:tc>
        <w:tc>
          <w:tcPr>
            <w:tcW w:type="dxa" w:w="3288"/>
            <w:vAlign w:val="center"/>
            <w:shd w:fill="D9EAF7"/>
          </w:tcPr>
          <w:p>
            <w:r/>
            <w:r>
              <w:rPr>
                <w:rFonts w:ascii="Microsoft YaHei" w:hAnsi="Microsoft YaHei" w:eastAsia="Microsoft YaHei"/>
                <w:b/>
                <w:sz w:val="19"/>
              </w:rPr>
              <w:t>作用</w:t>
            </w:r>
          </w:p>
        </w:tc>
      </w:tr>
      <w:tr>
        <w:tc>
          <w:tcPr>
            <w:tcW w:type="dxa" w:w="2154"/>
            <w:vAlign w:val="center"/>
          </w:tcPr>
          <w:p>
            <w:r/>
            <w:r>
              <w:rPr>
                <w:rFonts w:ascii="Microsoft YaHei" w:hAnsi="Microsoft YaHei" w:eastAsia="Microsoft YaHei"/>
                <w:b w:val="0"/>
                <w:sz w:val="19"/>
              </w:rPr>
              <w:t>静态等权组合</w:t>
            </w:r>
          </w:p>
        </w:tc>
        <w:tc>
          <w:tcPr>
            <w:tcW w:type="dxa" w:w="3628"/>
            <w:vAlign w:val="center"/>
          </w:tcPr>
          <w:p>
            <w:r/>
            <w:r>
              <w:rPr>
                <w:rFonts w:ascii="Microsoft YaHei" w:hAnsi="Microsoft YaHei" w:eastAsia="Microsoft YaHei"/>
                <w:b w:val="0"/>
                <w:sz w:val="19"/>
              </w:rPr>
              <w:t>全程固定入选因子等权。</w:t>
            </w:r>
          </w:p>
        </w:tc>
        <w:tc>
          <w:tcPr>
            <w:tcW w:type="dxa" w:w="3288"/>
            <w:vAlign w:val="center"/>
          </w:tcPr>
          <w:p>
            <w:r/>
            <w:r>
              <w:rPr>
                <w:rFonts w:ascii="Microsoft YaHei" w:hAnsi="Microsoft YaHei" w:eastAsia="Microsoft YaHei"/>
                <w:b w:val="0"/>
                <w:sz w:val="19"/>
              </w:rPr>
              <w:t>检验动态状态选择是否真的有增益。</w:t>
            </w:r>
          </w:p>
        </w:tc>
      </w:tr>
      <w:tr>
        <w:tc>
          <w:tcPr>
            <w:tcW w:type="dxa" w:w="2154"/>
            <w:vAlign w:val="center"/>
          </w:tcPr>
          <w:p>
            <w:r/>
            <w:r>
              <w:rPr>
                <w:rFonts w:ascii="Microsoft YaHei" w:hAnsi="Microsoft YaHei" w:eastAsia="Microsoft YaHei"/>
                <w:b w:val="0"/>
                <w:sz w:val="19"/>
              </w:rPr>
              <w:t>静态优化组合</w:t>
            </w:r>
          </w:p>
        </w:tc>
        <w:tc>
          <w:tcPr>
            <w:tcW w:type="dxa" w:w="3628"/>
            <w:vAlign w:val="center"/>
          </w:tcPr>
          <w:p>
            <w:r/>
            <w:r>
              <w:rPr>
                <w:rFonts w:ascii="Microsoft YaHei" w:hAnsi="Microsoft YaHei" w:eastAsia="Microsoft YaHei"/>
                <w:b w:val="0"/>
                <w:sz w:val="19"/>
              </w:rPr>
              <w:t>全程使用同一套优化权重。</w:t>
            </w:r>
          </w:p>
        </w:tc>
        <w:tc>
          <w:tcPr>
            <w:tcW w:type="dxa" w:w="3288"/>
            <w:vAlign w:val="center"/>
          </w:tcPr>
          <w:p>
            <w:r/>
            <w:r>
              <w:rPr>
                <w:rFonts w:ascii="Microsoft YaHei" w:hAnsi="Microsoft YaHei" w:eastAsia="Microsoft YaHei"/>
                <w:b w:val="0"/>
                <w:sz w:val="19"/>
              </w:rPr>
              <w:t>检验动态选择相对静态优化是否有效。</w:t>
            </w:r>
          </w:p>
        </w:tc>
      </w:tr>
      <w:tr>
        <w:tc>
          <w:tcPr>
            <w:tcW w:type="dxa" w:w="2154"/>
            <w:vAlign w:val="center"/>
          </w:tcPr>
          <w:p>
            <w:r/>
            <w:r>
              <w:rPr>
                <w:rFonts w:ascii="Microsoft YaHei" w:hAnsi="Microsoft YaHei" w:eastAsia="Microsoft YaHei"/>
                <w:b w:val="0"/>
                <w:sz w:val="19"/>
              </w:rPr>
              <w:t>只按因子分数选择</w:t>
            </w:r>
          </w:p>
        </w:tc>
        <w:tc>
          <w:tcPr>
            <w:tcW w:type="dxa" w:w="3628"/>
            <w:vAlign w:val="center"/>
          </w:tcPr>
          <w:p>
            <w:r/>
            <w:r>
              <w:rPr>
                <w:rFonts w:ascii="Microsoft YaHei" w:hAnsi="Microsoft YaHei" w:eastAsia="Microsoft YaHei"/>
                <w:b w:val="0"/>
                <w:sz w:val="19"/>
              </w:rPr>
              <w:t>不考虑市场状态，仅选高分因子。</w:t>
            </w:r>
          </w:p>
        </w:tc>
        <w:tc>
          <w:tcPr>
            <w:tcW w:type="dxa" w:w="3288"/>
            <w:vAlign w:val="center"/>
          </w:tcPr>
          <w:p>
            <w:r/>
            <w:r>
              <w:rPr>
                <w:rFonts w:ascii="Microsoft YaHei" w:hAnsi="Microsoft YaHei" w:eastAsia="Microsoft YaHei"/>
                <w:b w:val="0"/>
                <w:sz w:val="19"/>
              </w:rPr>
              <w:t>检验市场状态模块的增量价值。</w:t>
            </w:r>
          </w:p>
        </w:tc>
      </w:tr>
      <w:tr>
        <w:tc>
          <w:tcPr>
            <w:tcW w:type="dxa" w:w="2154"/>
            <w:vAlign w:val="center"/>
          </w:tcPr>
          <w:p>
            <w:r/>
            <w:r>
              <w:rPr>
                <w:rFonts w:ascii="Microsoft YaHei" w:hAnsi="Microsoft YaHei" w:eastAsia="Microsoft YaHei"/>
                <w:b w:val="0"/>
                <w:sz w:val="19"/>
              </w:rPr>
              <w:t>只按类别选择</w:t>
            </w:r>
          </w:p>
        </w:tc>
        <w:tc>
          <w:tcPr>
            <w:tcW w:type="dxa" w:w="3628"/>
            <w:vAlign w:val="center"/>
          </w:tcPr>
          <w:p>
            <w:r/>
            <w:r>
              <w:rPr>
                <w:rFonts w:ascii="Microsoft YaHei" w:hAnsi="Microsoft YaHei" w:eastAsia="Microsoft YaHei"/>
                <w:b w:val="0"/>
                <w:sz w:val="19"/>
              </w:rPr>
              <w:t>选择类别但类别内等权或固定规则。</w:t>
            </w:r>
          </w:p>
        </w:tc>
        <w:tc>
          <w:tcPr>
            <w:tcW w:type="dxa" w:w="3288"/>
            <w:vAlign w:val="center"/>
          </w:tcPr>
          <w:p>
            <w:r/>
            <w:r>
              <w:rPr>
                <w:rFonts w:ascii="Microsoft YaHei" w:hAnsi="Microsoft YaHei" w:eastAsia="Microsoft YaHei"/>
                <w:b w:val="0"/>
                <w:sz w:val="19"/>
              </w:rPr>
              <w:t>区分类别选择和具体因子选择的贡献。</w:t>
            </w:r>
          </w:p>
        </w:tc>
      </w:tr>
      <w:tr>
        <w:tc>
          <w:tcPr>
            <w:tcW w:type="dxa" w:w="2154"/>
            <w:vAlign w:val="center"/>
          </w:tcPr>
          <w:p>
            <w:r/>
            <w:r>
              <w:rPr>
                <w:rFonts w:ascii="Microsoft YaHei" w:hAnsi="Microsoft YaHei" w:eastAsia="Microsoft YaHei"/>
                <w:b w:val="0"/>
                <w:sz w:val="19"/>
              </w:rPr>
              <w:t>状态驱动类别组合</w:t>
            </w:r>
          </w:p>
        </w:tc>
        <w:tc>
          <w:tcPr>
            <w:tcW w:type="dxa" w:w="3628"/>
            <w:vAlign w:val="center"/>
          </w:tcPr>
          <w:p>
            <w:r/>
            <w:r>
              <w:rPr>
                <w:rFonts w:ascii="Microsoft YaHei" w:hAnsi="Microsoft YaHei" w:eastAsia="Microsoft YaHei"/>
                <w:b w:val="0"/>
                <w:sz w:val="19"/>
              </w:rPr>
              <w:t>根据状态调整类别预算。</w:t>
            </w:r>
          </w:p>
        </w:tc>
        <w:tc>
          <w:tcPr>
            <w:tcW w:type="dxa" w:w="3288"/>
            <w:vAlign w:val="center"/>
          </w:tcPr>
          <w:p>
            <w:r/>
            <w:r>
              <w:rPr>
                <w:rFonts w:ascii="Microsoft YaHei" w:hAnsi="Microsoft YaHei" w:eastAsia="Microsoft YaHei"/>
                <w:b w:val="0"/>
                <w:sz w:val="19"/>
              </w:rPr>
              <w:t>检验状态对类别配置的价值。</w:t>
            </w:r>
          </w:p>
        </w:tc>
      </w:tr>
      <w:tr>
        <w:tc>
          <w:tcPr>
            <w:tcW w:type="dxa" w:w="2154"/>
            <w:vAlign w:val="center"/>
          </w:tcPr>
          <w:p>
            <w:r/>
            <w:r>
              <w:rPr>
                <w:rFonts w:ascii="Microsoft YaHei" w:hAnsi="Microsoft YaHei" w:eastAsia="Microsoft YaHei"/>
                <w:b w:val="0"/>
                <w:sz w:val="19"/>
              </w:rPr>
              <w:t>状态驱动因子组合</w:t>
            </w:r>
          </w:p>
        </w:tc>
        <w:tc>
          <w:tcPr>
            <w:tcW w:type="dxa" w:w="3628"/>
            <w:vAlign w:val="center"/>
          </w:tcPr>
          <w:p>
            <w:r/>
            <w:r>
              <w:rPr>
                <w:rFonts w:ascii="Microsoft YaHei" w:hAnsi="Microsoft YaHei" w:eastAsia="Microsoft YaHei"/>
                <w:b w:val="0"/>
                <w:sz w:val="19"/>
              </w:rPr>
              <w:t>根据状态选择类别和具体因子并优化权重。</w:t>
            </w:r>
          </w:p>
        </w:tc>
        <w:tc>
          <w:tcPr>
            <w:tcW w:type="dxa" w:w="3288"/>
            <w:vAlign w:val="center"/>
          </w:tcPr>
          <w:p>
            <w:r/>
            <w:r>
              <w:rPr>
                <w:rFonts w:ascii="Microsoft YaHei" w:hAnsi="Microsoft YaHei" w:eastAsia="Microsoft YaHei"/>
                <w:b w:val="0"/>
                <w:sz w:val="19"/>
              </w:rPr>
              <w:t>完整方案。</w:t>
            </w:r>
          </w:p>
        </w:tc>
      </w:tr>
    </w:tbl>
    <w:p/>
    <w:p>
      <w:pPr>
        <w:pStyle w:val="Heading2"/>
      </w:pPr>
      <w:r>
        <w:t>8.3 评价指标</w:t>
      </w:r>
    </w:p>
    <w:tbl>
      <w:tblPr>
        <w:tblStyle w:val="TableGrid"/>
        <w:tblW w:type="auto" w:w="0"/>
        <w:jc w:val="center"/>
        <w:tblLook w:firstColumn="1" w:firstRow="1" w:lastColumn="0" w:lastRow="0" w:noHBand="0" w:noVBand="1" w:val="04A0"/>
      </w:tblPr>
      <w:tblGrid>
        <w:gridCol w:w="3249"/>
        <w:gridCol w:w="3249"/>
        <w:gridCol w:w="3249"/>
      </w:tblGrid>
      <w:tr>
        <w:tc>
          <w:tcPr>
            <w:tcW w:type="dxa" w:w="1587"/>
            <w:vAlign w:val="center"/>
            <w:shd w:fill="D9EAF7"/>
          </w:tcPr>
          <w:p>
            <w:r/>
            <w:r>
              <w:rPr>
                <w:rFonts w:ascii="Microsoft YaHei" w:hAnsi="Microsoft YaHei" w:eastAsia="Microsoft YaHei"/>
                <w:b/>
                <w:sz w:val="19"/>
              </w:rPr>
              <w:t>指标类型</w:t>
            </w:r>
          </w:p>
        </w:tc>
        <w:tc>
          <w:tcPr>
            <w:tcW w:type="dxa" w:w="3061"/>
            <w:vAlign w:val="center"/>
            <w:shd w:fill="D9EAF7"/>
          </w:tcPr>
          <w:p>
            <w:r/>
            <w:r>
              <w:rPr>
                <w:rFonts w:ascii="Microsoft YaHei" w:hAnsi="Microsoft YaHei" w:eastAsia="Microsoft YaHei"/>
                <w:b/>
                <w:sz w:val="19"/>
              </w:rPr>
              <w:t>指标</w:t>
            </w:r>
          </w:p>
        </w:tc>
        <w:tc>
          <w:tcPr>
            <w:tcW w:type="dxa" w:w="4422"/>
            <w:vAlign w:val="center"/>
            <w:shd w:fill="D9EAF7"/>
          </w:tcPr>
          <w:p>
            <w:r/>
            <w:r>
              <w:rPr>
                <w:rFonts w:ascii="Microsoft YaHei" w:hAnsi="Microsoft YaHei" w:eastAsia="Microsoft YaHei"/>
                <w:b/>
                <w:sz w:val="19"/>
              </w:rPr>
              <w:t>说明</w:t>
            </w:r>
          </w:p>
        </w:tc>
      </w:tr>
      <w:tr>
        <w:tc>
          <w:tcPr>
            <w:tcW w:type="dxa" w:w="1587"/>
            <w:vAlign w:val="center"/>
          </w:tcPr>
          <w:p>
            <w:r/>
            <w:r>
              <w:rPr>
                <w:rFonts w:ascii="Microsoft YaHei" w:hAnsi="Microsoft YaHei" w:eastAsia="Microsoft YaHei"/>
                <w:b w:val="0"/>
                <w:sz w:val="19"/>
              </w:rPr>
              <w:t>收益</w:t>
            </w:r>
          </w:p>
        </w:tc>
        <w:tc>
          <w:tcPr>
            <w:tcW w:type="dxa" w:w="3061"/>
            <w:vAlign w:val="center"/>
          </w:tcPr>
          <w:p>
            <w:r/>
            <w:r>
              <w:rPr>
                <w:rFonts w:ascii="Microsoft YaHei" w:hAnsi="Microsoft YaHei" w:eastAsia="Microsoft YaHei"/>
                <w:b w:val="0"/>
                <w:sz w:val="19"/>
              </w:rPr>
              <w:t>年化收益、累计收益、超额收益</w:t>
            </w:r>
          </w:p>
        </w:tc>
        <w:tc>
          <w:tcPr>
            <w:tcW w:type="dxa" w:w="4422"/>
            <w:vAlign w:val="center"/>
          </w:tcPr>
          <w:p>
            <w:r/>
            <w:r>
              <w:rPr>
                <w:rFonts w:ascii="Microsoft YaHei" w:hAnsi="Microsoft YaHei" w:eastAsia="Microsoft YaHei"/>
                <w:b w:val="0"/>
                <w:sz w:val="19"/>
              </w:rPr>
              <w:t>衡量整体收益能力。</w:t>
            </w:r>
          </w:p>
        </w:tc>
      </w:tr>
      <w:tr>
        <w:tc>
          <w:tcPr>
            <w:tcW w:type="dxa" w:w="1587"/>
            <w:vAlign w:val="center"/>
          </w:tcPr>
          <w:p>
            <w:r/>
            <w:r>
              <w:rPr>
                <w:rFonts w:ascii="Microsoft YaHei" w:hAnsi="Microsoft YaHei" w:eastAsia="Microsoft YaHei"/>
                <w:b w:val="0"/>
                <w:sz w:val="19"/>
              </w:rPr>
              <w:t>风险调整</w:t>
            </w:r>
          </w:p>
        </w:tc>
        <w:tc>
          <w:tcPr>
            <w:tcW w:type="dxa" w:w="3061"/>
            <w:vAlign w:val="center"/>
          </w:tcPr>
          <w:p>
            <w:r/>
            <w:r>
              <w:rPr>
                <w:rFonts w:ascii="Microsoft YaHei" w:hAnsi="Microsoft YaHei" w:eastAsia="Microsoft YaHei"/>
                <w:b w:val="0"/>
                <w:sz w:val="19"/>
              </w:rPr>
              <w:t>Sharpe、Sortino、Calmar</w:t>
            </w:r>
          </w:p>
        </w:tc>
        <w:tc>
          <w:tcPr>
            <w:tcW w:type="dxa" w:w="4422"/>
            <w:vAlign w:val="center"/>
          </w:tcPr>
          <w:p>
            <w:r/>
            <w:r>
              <w:rPr>
                <w:rFonts w:ascii="Microsoft YaHei" w:hAnsi="Microsoft YaHei" w:eastAsia="Microsoft YaHei"/>
                <w:b w:val="0"/>
                <w:sz w:val="19"/>
              </w:rPr>
              <w:t>衡量单位风险收益。</w:t>
            </w:r>
          </w:p>
        </w:tc>
      </w:tr>
      <w:tr>
        <w:tc>
          <w:tcPr>
            <w:tcW w:type="dxa" w:w="1587"/>
            <w:vAlign w:val="center"/>
          </w:tcPr>
          <w:p>
            <w:r/>
            <w:r>
              <w:rPr>
                <w:rFonts w:ascii="Microsoft YaHei" w:hAnsi="Microsoft YaHei" w:eastAsia="Microsoft YaHei"/>
                <w:b w:val="0"/>
                <w:sz w:val="19"/>
              </w:rPr>
              <w:t>回撤</w:t>
            </w:r>
          </w:p>
        </w:tc>
        <w:tc>
          <w:tcPr>
            <w:tcW w:type="dxa" w:w="3061"/>
            <w:vAlign w:val="center"/>
          </w:tcPr>
          <w:p>
            <w:r/>
            <w:r>
              <w:rPr>
                <w:rFonts w:ascii="Microsoft YaHei" w:hAnsi="Microsoft YaHei" w:eastAsia="Microsoft YaHei"/>
                <w:b w:val="0"/>
                <w:sz w:val="19"/>
              </w:rPr>
              <w:t>最大回撤、回撤持续时间</w:t>
            </w:r>
          </w:p>
        </w:tc>
        <w:tc>
          <w:tcPr>
            <w:tcW w:type="dxa" w:w="4422"/>
            <w:vAlign w:val="center"/>
          </w:tcPr>
          <w:p>
            <w:r/>
            <w:r>
              <w:rPr>
                <w:rFonts w:ascii="Microsoft YaHei" w:hAnsi="Microsoft YaHei" w:eastAsia="Microsoft YaHei"/>
                <w:b w:val="0"/>
                <w:sz w:val="19"/>
              </w:rPr>
              <w:t>衡量极端损失和恢复能力。</w:t>
            </w:r>
          </w:p>
        </w:tc>
      </w:tr>
      <w:tr>
        <w:tc>
          <w:tcPr>
            <w:tcW w:type="dxa" w:w="1587"/>
            <w:vAlign w:val="center"/>
          </w:tcPr>
          <w:p>
            <w:r/>
            <w:r>
              <w:rPr>
                <w:rFonts w:ascii="Microsoft YaHei" w:hAnsi="Microsoft YaHei" w:eastAsia="Microsoft YaHei"/>
                <w:b w:val="0"/>
                <w:sz w:val="19"/>
              </w:rPr>
              <w:t>稳定性</w:t>
            </w:r>
          </w:p>
        </w:tc>
        <w:tc>
          <w:tcPr>
            <w:tcW w:type="dxa" w:w="3061"/>
            <w:vAlign w:val="center"/>
          </w:tcPr>
          <w:p>
            <w:r/>
            <w:r>
              <w:rPr>
                <w:rFonts w:ascii="Microsoft YaHei" w:hAnsi="Microsoft YaHei" w:eastAsia="Microsoft YaHei"/>
                <w:b w:val="0"/>
                <w:sz w:val="19"/>
              </w:rPr>
              <w:t>月度胜率、年度胜率、滚动 Sharpe</w:t>
            </w:r>
          </w:p>
        </w:tc>
        <w:tc>
          <w:tcPr>
            <w:tcW w:type="dxa" w:w="4422"/>
            <w:vAlign w:val="center"/>
          </w:tcPr>
          <w:p>
            <w:r/>
            <w:r>
              <w:rPr>
                <w:rFonts w:ascii="Microsoft YaHei" w:hAnsi="Microsoft YaHei" w:eastAsia="Microsoft YaHei"/>
                <w:b w:val="0"/>
                <w:sz w:val="19"/>
              </w:rPr>
              <w:t>判断结果是否集中在少数阶段。</w:t>
            </w:r>
          </w:p>
        </w:tc>
      </w:tr>
      <w:tr>
        <w:tc>
          <w:tcPr>
            <w:tcW w:type="dxa" w:w="1587"/>
            <w:vAlign w:val="center"/>
          </w:tcPr>
          <w:p>
            <w:r/>
            <w:r>
              <w:rPr>
                <w:rFonts w:ascii="Microsoft YaHei" w:hAnsi="Microsoft YaHei" w:eastAsia="Microsoft YaHei"/>
                <w:b w:val="0"/>
                <w:sz w:val="19"/>
              </w:rPr>
              <w:t>交易成本</w:t>
            </w:r>
          </w:p>
        </w:tc>
        <w:tc>
          <w:tcPr>
            <w:tcW w:type="dxa" w:w="3061"/>
            <w:vAlign w:val="center"/>
          </w:tcPr>
          <w:p>
            <w:r/>
            <w:r>
              <w:rPr>
                <w:rFonts w:ascii="Microsoft YaHei" w:hAnsi="Microsoft YaHei" w:eastAsia="Microsoft YaHei"/>
                <w:b w:val="0"/>
                <w:sz w:val="19"/>
              </w:rPr>
              <w:t>换手率、成本后收益、滑点敏感性</w:t>
            </w:r>
          </w:p>
        </w:tc>
        <w:tc>
          <w:tcPr>
            <w:tcW w:type="dxa" w:w="4422"/>
            <w:vAlign w:val="center"/>
          </w:tcPr>
          <w:p>
            <w:r/>
            <w:r>
              <w:rPr>
                <w:rFonts w:ascii="Microsoft YaHei" w:hAnsi="Microsoft YaHei" w:eastAsia="Microsoft YaHei"/>
                <w:b w:val="0"/>
                <w:sz w:val="19"/>
              </w:rPr>
              <w:t>判断实际可交易性。</w:t>
            </w:r>
          </w:p>
        </w:tc>
      </w:tr>
      <w:tr>
        <w:tc>
          <w:tcPr>
            <w:tcW w:type="dxa" w:w="1587"/>
            <w:vAlign w:val="center"/>
          </w:tcPr>
          <w:p>
            <w:r/>
            <w:r>
              <w:rPr>
                <w:rFonts w:ascii="Microsoft YaHei" w:hAnsi="Microsoft YaHei" w:eastAsia="Microsoft YaHei"/>
                <w:b w:val="0"/>
                <w:sz w:val="19"/>
              </w:rPr>
              <w:t>状态归因</w:t>
            </w:r>
          </w:p>
        </w:tc>
        <w:tc>
          <w:tcPr>
            <w:tcW w:type="dxa" w:w="3061"/>
            <w:vAlign w:val="center"/>
          </w:tcPr>
          <w:p>
            <w:r/>
            <w:r>
              <w:rPr>
                <w:rFonts w:ascii="Microsoft YaHei" w:hAnsi="Microsoft YaHei" w:eastAsia="Microsoft YaHei"/>
                <w:b w:val="0"/>
                <w:sz w:val="19"/>
              </w:rPr>
              <w:t>各状态下收益、Sharpe、回撤</w:t>
            </w:r>
          </w:p>
        </w:tc>
        <w:tc>
          <w:tcPr>
            <w:tcW w:type="dxa" w:w="4422"/>
            <w:vAlign w:val="center"/>
          </w:tcPr>
          <w:p>
            <w:r/>
            <w:r>
              <w:rPr>
                <w:rFonts w:ascii="Microsoft YaHei" w:hAnsi="Microsoft YaHei" w:eastAsia="Microsoft YaHei"/>
                <w:b w:val="0"/>
                <w:sz w:val="19"/>
              </w:rPr>
              <w:t>确认动态选择是否在目标状态下有效。</w:t>
            </w:r>
          </w:p>
        </w:tc>
      </w:tr>
      <w:tr>
        <w:tc>
          <w:tcPr>
            <w:tcW w:type="dxa" w:w="1587"/>
            <w:vAlign w:val="center"/>
          </w:tcPr>
          <w:p>
            <w:r/>
            <w:r>
              <w:rPr>
                <w:rFonts w:ascii="Microsoft YaHei" w:hAnsi="Microsoft YaHei" w:eastAsia="Microsoft YaHei"/>
                <w:b w:val="0"/>
                <w:sz w:val="19"/>
              </w:rPr>
              <w:t>类别归因</w:t>
            </w:r>
          </w:p>
        </w:tc>
        <w:tc>
          <w:tcPr>
            <w:tcW w:type="dxa" w:w="3061"/>
            <w:vAlign w:val="center"/>
          </w:tcPr>
          <w:p>
            <w:r/>
            <w:r>
              <w:rPr>
                <w:rFonts w:ascii="Microsoft YaHei" w:hAnsi="Microsoft YaHei" w:eastAsia="Microsoft YaHei"/>
                <w:b w:val="0"/>
                <w:sz w:val="19"/>
              </w:rPr>
              <w:t>类别权重、类别收益贡献、类别切换次数</w:t>
            </w:r>
          </w:p>
        </w:tc>
        <w:tc>
          <w:tcPr>
            <w:tcW w:type="dxa" w:w="4422"/>
            <w:vAlign w:val="center"/>
          </w:tcPr>
          <w:p>
            <w:r/>
            <w:r>
              <w:rPr>
                <w:rFonts w:ascii="Microsoft YaHei" w:hAnsi="Microsoft YaHei" w:eastAsia="Microsoft YaHei"/>
                <w:b w:val="0"/>
                <w:sz w:val="19"/>
              </w:rPr>
              <w:t>解释组合收益来源。</w:t>
            </w:r>
          </w:p>
        </w:tc>
      </w:tr>
    </w:tbl>
    <w:p/>
    <w:p>
      <w:pPr>
        <w:pStyle w:val="Heading2"/>
      </w:pPr>
      <w:r>
        <w:t>8.4 稳健性分析</w:t>
      </w:r>
    </w:p>
    <w:p>
      <w:pPr>
        <w:pStyle w:val="ListBullet"/>
      </w:pPr>
      <w:r>
        <w:t>改变市场状态数量，观察结论是否稳定。</w:t>
      </w:r>
    </w:p>
    <w:p>
      <w:pPr>
        <w:pStyle w:val="ListBullet"/>
      </w:pPr>
      <w:r>
        <w:t>改变状态识别窗口，例如 20/60/120 日，观察类别排名是否稳定。</w:t>
      </w:r>
    </w:p>
    <w:p>
      <w:pPr>
        <w:pStyle w:val="ListBullet"/>
      </w:pPr>
      <w:r>
        <w:t>改变训练窗口长度和调仓频率，检验是否过拟合某个时间尺度。</w:t>
      </w:r>
    </w:p>
    <w:p>
      <w:pPr>
        <w:pStyle w:val="ListBullet"/>
      </w:pPr>
      <w:r>
        <w:t>提高交易成本和滑点假设，检验收益是否仍然存在。</w:t>
      </w:r>
    </w:p>
    <w:p>
      <w:pPr>
        <w:pStyle w:val="ListBullet"/>
      </w:pPr>
      <w:r>
        <w:t>剔除表现最好的少数因子，检验结论是否依赖个别异常因子。</w:t>
      </w:r>
    </w:p>
    <w:p>
      <w:pPr>
        <w:pStyle w:val="ListBullet"/>
      </w:pPr>
      <w:r>
        <w:t>按年份、牛熊阶段、极端行情分别评估，避免全样本平均掩盖失败区间。</w:t>
      </w:r>
    </w:p>
    <w:p>
      <w:pPr>
        <w:pStyle w:val="Heading1"/>
      </w:pPr>
      <w:r>
        <w:t>9. 关键风险与注意点</w:t>
      </w:r>
    </w:p>
    <w:tbl>
      <w:tblPr>
        <w:tblStyle w:val="TableGrid"/>
        <w:tblW w:type="auto" w:w="0"/>
        <w:jc w:val="center"/>
        <w:tblLook w:firstColumn="1" w:firstRow="1" w:lastColumn="0" w:lastRow="0" w:noHBand="0" w:noVBand="1" w:val="04A0"/>
      </w:tblPr>
      <w:tblGrid>
        <w:gridCol w:w="3249"/>
        <w:gridCol w:w="3249"/>
        <w:gridCol w:w="3249"/>
      </w:tblGrid>
      <w:tr>
        <w:tc>
          <w:tcPr>
            <w:tcW w:type="dxa" w:w="1814"/>
            <w:vAlign w:val="center"/>
            <w:shd w:fill="D9EAF7"/>
          </w:tcPr>
          <w:p>
            <w:r/>
            <w:r>
              <w:rPr>
                <w:rFonts w:ascii="Microsoft YaHei" w:hAnsi="Microsoft YaHei" w:eastAsia="Microsoft YaHei"/>
                <w:b/>
                <w:sz w:val="19"/>
              </w:rPr>
              <w:t>风险</w:t>
            </w:r>
          </w:p>
        </w:tc>
        <w:tc>
          <w:tcPr>
            <w:tcW w:type="dxa" w:w="3515"/>
            <w:vAlign w:val="center"/>
            <w:shd w:fill="D9EAF7"/>
          </w:tcPr>
          <w:p>
            <w:r/>
            <w:r>
              <w:rPr>
                <w:rFonts w:ascii="Microsoft YaHei" w:hAnsi="Microsoft YaHei" w:eastAsia="Microsoft YaHei"/>
                <w:b/>
                <w:sz w:val="19"/>
              </w:rPr>
              <w:t>表现</w:t>
            </w:r>
          </w:p>
        </w:tc>
        <w:tc>
          <w:tcPr>
            <w:tcW w:type="dxa" w:w="3742"/>
            <w:vAlign w:val="center"/>
            <w:shd w:fill="D9EAF7"/>
          </w:tcPr>
          <w:p>
            <w:r/>
            <w:r>
              <w:rPr>
                <w:rFonts w:ascii="Microsoft YaHei" w:hAnsi="Microsoft YaHei" w:eastAsia="Microsoft YaHei"/>
                <w:b/>
                <w:sz w:val="19"/>
              </w:rPr>
              <w:t>控制方法</w:t>
            </w:r>
          </w:p>
        </w:tc>
      </w:tr>
      <w:tr>
        <w:tc>
          <w:tcPr>
            <w:tcW w:type="dxa" w:w="1814"/>
            <w:vAlign w:val="center"/>
          </w:tcPr>
          <w:p>
            <w:r/>
            <w:r>
              <w:rPr>
                <w:rFonts w:ascii="Microsoft YaHei" w:hAnsi="Microsoft YaHei" w:eastAsia="Microsoft YaHei"/>
                <w:b w:val="0"/>
                <w:sz w:val="19"/>
              </w:rPr>
              <w:t>未来信息泄漏</w:t>
            </w:r>
          </w:p>
        </w:tc>
        <w:tc>
          <w:tcPr>
            <w:tcW w:type="dxa" w:w="3515"/>
            <w:vAlign w:val="center"/>
          </w:tcPr>
          <w:p>
            <w:r/>
            <w:r>
              <w:rPr>
                <w:rFonts w:ascii="Microsoft YaHei" w:hAnsi="Microsoft YaHei" w:eastAsia="Microsoft YaHei"/>
                <w:b w:val="0"/>
                <w:sz w:val="19"/>
              </w:rPr>
              <w:t>用未来市场状态或未来因子表现决定历史组合。</w:t>
            </w:r>
          </w:p>
        </w:tc>
        <w:tc>
          <w:tcPr>
            <w:tcW w:type="dxa" w:w="3742"/>
            <w:vAlign w:val="center"/>
          </w:tcPr>
          <w:p>
            <w:r/>
            <w:r>
              <w:rPr>
                <w:rFonts w:ascii="Microsoft YaHei" w:hAnsi="Microsoft YaHei" w:eastAsia="Microsoft YaHei"/>
                <w:b w:val="0"/>
                <w:sz w:val="19"/>
              </w:rPr>
              <w:t>所有状态、类别评分和权重必须滚动生成。</w:t>
            </w:r>
          </w:p>
        </w:tc>
      </w:tr>
      <w:tr>
        <w:tc>
          <w:tcPr>
            <w:tcW w:type="dxa" w:w="1814"/>
            <w:vAlign w:val="center"/>
          </w:tcPr>
          <w:p>
            <w:r/>
            <w:r>
              <w:rPr>
                <w:rFonts w:ascii="Microsoft YaHei" w:hAnsi="Microsoft YaHei" w:eastAsia="Microsoft YaHei"/>
                <w:b w:val="0"/>
                <w:sz w:val="19"/>
              </w:rPr>
              <w:t>状态样本不足</w:t>
            </w:r>
          </w:p>
        </w:tc>
        <w:tc>
          <w:tcPr>
            <w:tcW w:type="dxa" w:w="3515"/>
            <w:vAlign w:val="center"/>
          </w:tcPr>
          <w:p>
            <w:r/>
            <w:r>
              <w:rPr>
                <w:rFonts w:ascii="Microsoft YaHei" w:hAnsi="Microsoft YaHei" w:eastAsia="Microsoft YaHei"/>
                <w:b w:val="0"/>
                <w:sz w:val="19"/>
              </w:rPr>
              <w:t>某些状态下表现很好但只有少量样本。</w:t>
            </w:r>
          </w:p>
        </w:tc>
        <w:tc>
          <w:tcPr>
            <w:tcW w:type="dxa" w:w="3742"/>
            <w:vAlign w:val="center"/>
          </w:tcPr>
          <w:p>
            <w:r/>
            <w:r>
              <w:rPr>
                <w:rFonts w:ascii="Microsoft YaHei" w:hAnsi="Microsoft YaHei" w:eastAsia="Microsoft YaHei"/>
                <w:b w:val="0"/>
                <w:sz w:val="19"/>
              </w:rPr>
              <w:t>设置最小样本天数，使用收缩估计和置信区间。</w:t>
            </w:r>
          </w:p>
        </w:tc>
      </w:tr>
      <w:tr>
        <w:tc>
          <w:tcPr>
            <w:tcW w:type="dxa" w:w="1814"/>
            <w:vAlign w:val="center"/>
          </w:tcPr>
          <w:p>
            <w:r/>
            <w:r>
              <w:rPr>
                <w:rFonts w:ascii="Microsoft YaHei" w:hAnsi="Microsoft YaHei" w:eastAsia="Microsoft YaHei"/>
                <w:b w:val="0"/>
                <w:sz w:val="19"/>
              </w:rPr>
              <w:t>多重检验过拟合</w:t>
            </w:r>
          </w:p>
        </w:tc>
        <w:tc>
          <w:tcPr>
            <w:tcW w:type="dxa" w:w="3515"/>
            <w:vAlign w:val="center"/>
          </w:tcPr>
          <w:p>
            <w:r/>
            <w:r>
              <w:rPr>
                <w:rFonts w:ascii="Microsoft YaHei" w:hAnsi="Microsoft YaHei" w:eastAsia="Microsoft YaHei"/>
                <w:b w:val="0"/>
                <w:sz w:val="19"/>
              </w:rPr>
              <w:t>类别、状态、参数组合过多，偶然找到最优结果。</w:t>
            </w:r>
          </w:p>
        </w:tc>
        <w:tc>
          <w:tcPr>
            <w:tcW w:type="dxa" w:w="3742"/>
            <w:vAlign w:val="center"/>
          </w:tcPr>
          <w:p>
            <w:r/>
            <w:r>
              <w:rPr>
                <w:rFonts w:ascii="Microsoft YaHei" w:hAnsi="Microsoft YaHei" w:eastAsia="Microsoft YaHei"/>
                <w:b w:val="0"/>
                <w:sz w:val="19"/>
              </w:rPr>
              <w:t>保留验证集、测试集和固定研究协议。</w:t>
            </w:r>
          </w:p>
        </w:tc>
      </w:tr>
      <w:tr>
        <w:tc>
          <w:tcPr>
            <w:tcW w:type="dxa" w:w="1814"/>
            <w:vAlign w:val="center"/>
          </w:tcPr>
          <w:p>
            <w:r/>
            <w:r>
              <w:rPr>
                <w:rFonts w:ascii="Microsoft YaHei" w:hAnsi="Microsoft YaHei" w:eastAsia="Microsoft YaHei"/>
                <w:b w:val="0"/>
                <w:sz w:val="19"/>
              </w:rPr>
              <w:t>状态切换过频</w:t>
            </w:r>
          </w:p>
        </w:tc>
        <w:tc>
          <w:tcPr>
            <w:tcW w:type="dxa" w:w="3515"/>
            <w:vAlign w:val="center"/>
          </w:tcPr>
          <w:p>
            <w:r/>
            <w:r>
              <w:rPr>
                <w:rFonts w:ascii="Microsoft YaHei" w:hAnsi="Microsoft YaHei" w:eastAsia="Microsoft YaHei"/>
                <w:b w:val="0"/>
                <w:sz w:val="19"/>
              </w:rPr>
              <w:t>组合频繁换因子，交易成本上升。</w:t>
            </w:r>
          </w:p>
        </w:tc>
        <w:tc>
          <w:tcPr>
            <w:tcW w:type="dxa" w:w="3742"/>
            <w:vAlign w:val="center"/>
          </w:tcPr>
          <w:p>
            <w:r/>
            <w:r>
              <w:rPr>
                <w:rFonts w:ascii="Microsoft YaHei" w:hAnsi="Microsoft YaHei" w:eastAsia="Microsoft YaHei"/>
                <w:b w:val="0"/>
                <w:sz w:val="19"/>
              </w:rPr>
              <w:t>使用状态确认、最短持有期和预算平滑。</w:t>
            </w:r>
          </w:p>
        </w:tc>
      </w:tr>
      <w:tr>
        <w:tc>
          <w:tcPr>
            <w:tcW w:type="dxa" w:w="1814"/>
            <w:vAlign w:val="center"/>
          </w:tcPr>
          <w:p>
            <w:r/>
            <w:r>
              <w:rPr>
                <w:rFonts w:ascii="Microsoft YaHei" w:hAnsi="Microsoft YaHei" w:eastAsia="Microsoft YaHei"/>
                <w:b w:val="0"/>
                <w:sz w:val="19"/>
              </w:rPr>
              <w:t>类别过度集中</w:t>
            </w:r>
          </w:p>
        </w:tc>
        <w:tc>
          <w:tcPr>
            <w:tcW w:type="dxa" w:w="3515"/>
            <w:vAlign w:val="center"/>
          </w:tcPr>
          <w:p>
            <w:r/>
            <w:r>
              <w:rPr>
                <w:rFonts w:ascii="Microsoft YaHei" w:hAnsi="Microsoft YaHei" w:eastAsia="Microsoft YaHei"/>
                <w:b w:val="0"/>
                <w:sz w:val="19"/>
              </w:rPr>
              <w:t>组合名义分散，实际只押注一种逻辑。</w:t>
            </w:r>
          </w:p>
        </w:tc>
        <w:tc>
          <w:tcPr>
            <w:tcW w:type="dxa" w:w="3742"/>
            <w:vAlign w:val="center"/>
          </w:tcPr>
          <w:p>
            <w:r/>
            <w:r>
              <w:rPr>
                <w:rFonts w:ascii="Microsoft YaHei" w:hAnsi="Microsoft YaHei" w:eastAsia="Microsoft YaHei"/>
                <w:b w:val="0"/>
                <w:sz w:val="19"/>
              </w:rPr>
              <w:t>设置类别权重上限和相关性去重。</w:t>
            </w:r>
          </w:p>
        </w:tc>
      </w:tr>
      <w:tr>
        <w:tc>
          <w:tcPr>
            <w:tcW w:type="dxa" w:w="1814"/>
            <w:vAlign w:val="center"/>
          </w:tcPr>
          <w:p>
            <w:r/>
            <w:r>
              <w:rPr>
                <w:rFonts w:ascii="Microsoft YaHei" w:hAnsi="Microsoft YaHei" w:eastAsia="Microsoft YaHei"/>
                <w:b w:val="0"/>
                <w:sz w:val="19"/>
              </w:rPr>
              <w:t>因子失效</w:t>
            </w:r>
          </w:p>
        </w:tc>
        <w:tc>
          <w:tcPr>
            <w:tcW w:type="dxa" w:w="3515"/>
            <w:vAlign w:val="center"/>
          </w:tcPr>
          <w:p>
            <w:r/>
            <w:r>
              <w:rPr>
                <w:rFonts w:ascii="Microsoft YaHei" w:hAnsi="Microsoft YaHei" w:eastAsia="Microsoft YaHei"/>
                <w:b w:val="0"/>
                <w:sz w:val="19"/>
              </w:rPr>
              <w:t>历史有效因子近期表现恶化。</w:t>
            </w:r>
          </w:p>
        </w:tc>
        <w:tc>
          <w:tcPr>
            <w:tcW w:type="dxa" w:w="3742"/>
            <w:vAlign w:val="center"/>
          </w:tcPr>
          <w:p>
            <w:r/>
            <w:r>
              <w:rPr>
                <w:rFonts w:ascii="Microsoft YaHei" w:hAnsi="Microsoft YaHei" w:eastAsia="Microsoft YaHei"/>
                <w:b w:val="0"/>
                <w:sz w:val="19"/>
              </w:rPr>
              <w:t>加入最近窗口衰减和失效监控。</w:t>
            </w:r>
          </w:p>
        </w:tc>
      </w:tr>
      <w:tr>
        <w:tc>
          <w:tcPr>
            <w:tcW w:type="dxa" w:w="1814"/>
            <w:vAlign w:val="center"/>
          </w:tcPr>
          <w:p>
            <w:r/>
            <w:r>
              <w:rPr>
                <w:rFonts w:ascii="Microsoft YaHei" w:hAnsi="Microsoft YaHei" w:eastAsia="Microsoft YaHei"/>
                <w:b w:val="0"/>
                <w:sz w:val="19"/>
              </w:rPr>
              <w:t>成本忽略</w:t>
            </w:r>
          </w:p>
        </w:tc>
        <w:tc>
          <w:tcPr>
            <w:tcW w:type="dxa" w:w="3515"/>
            <w:vAlign w:val="center"/>
          </w:tcPr>
          <w:p>
            <w:r/>
            <w:r>
              <w:rPr>
                <w:rFonts w:ascii="Microsoft YaHei" w:hAnsi="Microsoft YaHei" w:eastAsia="Microsoft YaHei"/>
                <w:b w:val="0"/>
                <w:sz w:val="19"/>
              </w:rPr>
              <w:t>毛收益可观，成本后消失。</w:t>
            </w:r>
          </w:p>
        </w:tc>
        <w:tc>
          <w:tcPr>
            <w:tcW w:type="dxa" w:w="3742"/>
            <w:vAlign w:val="center"/>
          </w:tcPr>
          <w:p>
            <w:r/>
            <w:r>
              <w:rPr>
                <w:rFonts w:ascii="Microsoft YaHei" w:hAnsi="Microsoft YaHei" w:eastAsia="Microsoft YaHei"/>
                <w:b w:val="0"/>
                <w:sz w:val="19"/>
              </w:rPr>
              <w:t>回测中强制加入换手、滑点和停牌涨跌停约束。</w:t>
            </w:r>
          </w:p>
        </w:tc>
      </w:tr>
      <w:tr>
        <w:tc>
          <w:tcPr>
            <w:tcW w:type="dxa" w:w="1814"/>
            <w:vAlign w:val="center"/>
          </w:tcPr>
          <w:p>
            <w:r/>
            <w:r>
              <w:rPr>
                <w:rFonts w:ascii="Microsoft YaHei" w:hAnsi="Microsoft YaHei" w:eastAsia="Microsoft YaHei"/>
                <w:b w:val="0"/>
                <w:sz w:val="19"/>
              </w:rPr>
              <w:t>解释过度</w:t>
            </w:r>
          </w:p>
        </w:tc>
        <w:tc>
          <w:tcPr>
            <w:tcW w:type="dxa" w:w="3515"/>
            <w:vAlign w:val="center"/>
          </w:tcPr>
          <w:p>
            <w:r/>
            <w:r>
              <w:rPr>
                <w:rFonts w:ascii="Microsoft YaHei" w:hAnsi="Microsoft YaHei" w:eastAsia="Microsoft YaHei"/>
                <w:b w:val="0"/>
                <w:sz w:val="19"/>
              </w:rPr>
              <w:t>把相关性误读为因果关系。</w:t>
            </w:r>
          </w:p>
        </w:tc>
        <w:tc>
          <w:tcPr>
            <w:tcW w:type="dxa" w:w="3742"/>
            <w:vAlign w:val="center"/>
          </w:tcPr>
          <w:p>
            <w:r/>
            <w:r>
              <w:rPr>
                <w:rFonts w:ascii="Microsoft YaHei" w:hAnsi="Microsoft YaHei" w:eastAsia="Microsoft YaHei"/>
                <w:b w:val="0"/>
                <w:sz w:val="19"/>
              </w:rPr>
              <w:t>研究结论使用谨慎表述，并用对照组和稳健性测试支持。</w:t>
            </w:r>
          </w:p>
        </w:tc>
      </w:tr>
    </w:tbl>
    <w:p/>
    <w:p>
      <w:pPr>
        <w:pStyle w:val="Heading1"/>
      </w:pPr>
      <w:r>
        <w:t>10. 推荐研究阶段</w:t>
      </w:r>
    </w:p>
    <w:tbl>
      <w:tblPr>
        <w:tblStyle w:val="TableGrid"/>
        <w:tblW w:type="auto" w:w="0"/>
        <w:jc w:val="center"/>
        <w:tblLook w:firstColumn="1" w:firstRow="1" w:lastColumn="0" w:lastRow="0" w:noHBand="0" w:noVBand="1" w:val="04A0"/>
      </w:tblPr>
      <w:tblGrid>
        <w:gridCol w:w="3249"/>
        <w:gridCol w:w="3249"/>
        <w:gridCol w:w="3249"/>
      </w:tblGrid>
      <w:tr>
        <w:tc>
          <w:tcPr>
            <w:tcW w:type="dxa" w:w="2154"/>
            <w:vAlign w:val="center"/>
            <w:shd w:fill="D9EAF7"/>
          </w:tcPr>
          <w:p>
            <w:r/>
            <w:r>
              <w:rPr>
                <w:rFonts w:ascii="Microsoft YaHei" w:hAnsi="Microsoft YaHei" w:eastAsia="Microsoft YaHei"/>
                <w:b/>
                <w:sz w:val="19"/>
              </w:rPr>
              <w:t>阶段</w:t>
            </w:r>
          </w:p>
        </w:tc>
        <w:tc>
          <w:tcPr>
            <w:tcW w:type="dxa" w:w="3402"/>
            <w:vAlign w:val="center"/>
            <w:shd w:fill="D9EAF7"/>
          </w:tcPr>
          <w:p>
            <w:r/>
            <w:r>
              <w:rPr>
                <w:rFonts w:ascii="Microsoft YaHei" w:hAnsi="Microsoft YaHei" w:eastAsia="Microsoft YaHei"/>
                <w:b/>
                <w:sz w:val="19"/>
              </w:rPr>
              <w:t>目标</w:t>
            </w:r>
          </w:p>
        </w:tc>
        <w:tc>
          <w:tcPr>
            <w:tcW w:type="dxa" w:w="3515"/>
            <w:vAlign w:val="center"/>
            <w:shd w:fill="D9EAF7"/>
          </w:tcPr>
          <w:p>
            <w:r/>
            <w:r>
              <w:rPr>
                <w:rFonts w:ascii="Microsoft YaHei" w:hAnsi="Microsoft YaHei" w:eastAsia="Microsoft YaHei"/>
                <w:b/>
                <w:sz w:val="19"/>
              </w:rPr>
              <w:t>主要产物</w:t>
            </w:r>
          </w:p>
        </w:tc>
      </w:tr>
      <w:tr>
        <w:tc>
          <w:tcPr>
            <w:tcW w:type="dxa" w:w="2154"/>
            <w:vAlign w:val="center"/>
          </w:tcPr>
          <w:p>
            <w:r/>
            <w:r>
              <w:rPr>
                <w:rFonts w:ascii="Microsoft YaHei" w:hAnsi="Microsoft YaHei" w:eastAsia="Microsoft YaHei"/>
                <w:b w:val="0"/>
                <w:sz w:val="19"/>
              </w:rPr>
              <w:t>阶段 1：因子登记与分类</w:t>
            </w:r>
          </w:p>
        </w:tc>
        <w:tc>
          <w:tcPr>
            <w:tcW w:type="dxa" w:w="3402"/>
            <w:vAlign w:val="center"/>
          </w:tcPr>
          <w:p>
            <w:r/>
            <w:r>
              <w:rPr>
                <w:rFonts w:ascii="Microsoft YaHei" w:hAnsi="Microsoft YaHei" w:eastAsia="Microsoft YaHei"/>
                <w:b w:val="0"/>
                <w:sz w:val="19"/>
              </w:rPr>
              <w:t>建立因子标签体系和元数据表。</w:t>
            </w:r>
          </w:p>
        </w:tc>
        <w:tc>
          <w:tcPr>
            <w:tcW w:type="dxa" w:w="3515"/>
            <w:vAlign w:val="center"/>
          </w:tcPr>
          <w:p>
            <w:r/>
            <w:r>
              <w:rPr>
                <w:rFonts w:ascii="Microsoft YaHei" w:hAnsi="Microsoft YaHei" w:eastAsia="Microsoft YaHei"/>
                <w:b w:val="0"/>
                <w:sz w:val="19"/>
              </w:rPr>
              <w:t>因子元数据表、类别规则、人工抽查清单。</w:t>
            </w:r>
          </w:p>
        </w:tc>
      </w:tr>
      <w:tr>
        <w:tc>
          <w:tcPr>
            <w:tcW w:type="dxa" w:w="2154"/>
            <w:vAlign w:val="center"/>
          </w:tcPr>
          <w:p>
            <w:r/>
            <w:r>
              <w:rPr>
                <w:rFonts w:ascii="Microsoft YaHei" w:hAnsi="Microsoft YaHei" w:eastAsia="Microsoft YaHei"/>
                <w:b w:val="0"/>
                <w:sz w:val="19"/>
              </w:rPr>
              <w:t>阶段 2：市场状态标签</w:t>
            </w:r>
          </w:p>
        </w:tc>
        <w:tc>
          <w:tcPr>
            <w:tcW w:type="dxa" w:w="3402"/>
            <w:vAlign w:val="center"/>
          </w:tcPr>
          <w:p>
            <w:r/>
            <w:r>
              <w:rPr>
                <w:rFonts w:ascii="Microsoft YaHei" w:hAnsi="Microsoft YaHei" w:eastAsia="Microsoft YaHei"/>
                <w:b w:val="0"/>
                <w:sz w:val="19"/>
              </w:rPr>
              <w:t>生成历史每日市场状态和状态指标。</w:t>
            </w:r>
          </w:p>
        </w:tc>
        <w:tc>
          <w:tcPr>
            <w:tcW w:type="dxa" w:w="3515"/>
            <w:vAlign w:val="center"/>
          </w:tcPr>
          <w:p>
            <w:r/>
            <w:r>
              <w:rPr>
                <w:rFonts w:ascii="Microsoft YaHei" w:hAnsi="Microsoft YaHei" w:eastAsia="Microsoft YaHei"/>
                <w:b w:val="0"/>
                <w:sz w:val="19"/>
              </w:rPr>
              <w:t>状态指标表、状态标签表、状态分布报告。</w:t>
            </w:r>
          </w:p>
        </w:tc>
      </w:tr>
      <w:tr>
        <w:tc>
          <w:tcPr>
            <w:tcW w:type="dxa" w:w="2154"/>
            <w:vAlign w:val="center"/>
          </w:tcPr>
          <w:p>
            <w:r/>
            <w:r>
              <w:rPr>
                <w:rFonts w:ascii="Microsoft YaHei" w:hAnsi="Microsoft YaHei" w:eastAsia="Microsoft YaHei"/>
                <w:b w:val="0"/>
                <w:sz w:val="19"/>
              </w:rPr>
              <w:t>阶段 3：条件表现研究</w:t>
            </w:r>
          </w:p>
        </w:tc>
        <w:tc>
          <w:tcPr>
            <w:tcW w:type="dxa" w:w="3402"/>
            <w:vAlign w:val="center"/>
          </w:tcPr>
          <w:p>
            <w:r/>
            <w:r>
              <w:rPr>
                <w:rFonts w:ascii="Microsoft YaHei" w:hAnsi="Microsoft YaHei" w:eastAsia="Microsoft YaHei"/>
                <w:b w:val="0"/>
                <w:sz w:val="19"/>
              </w:rPr>
              <w:t>得到类别 × 状态表现矩阵。</w:t>
            </w:r>
          </w:p>
        </w:tc>
        <w:tc>
          <w:tcPr>
            <w:tcW w:type="dxa" w:w="3515"/>
            <w:vAlign w:val="center"/>
          </w:tcPr>
          <w:p>
            <w:r/>
            <w:r>
              <w:rPr>
                <w:rFonts w:ascii="Microsoft YaHei" w:hAnsi="Microsoft YaHei" w:eastAsia="Microsoft YaHei"/>
                <w:b w:val="0"/>
                <w:sz w:val="19"/>
              </w:rPr>
              <w:t>类别表现矩阵、样本可靠性报告、初步结论。</w:t>
            </w:r>
          </w:p>
        </w:tc>
      </w:tr>
      <w:tr>
        <w:tc>
          <w:tcPr>
            <w:tcW w:type="dxa" w:w="2154"/>
            <w:vAlign w:val="center"/>
          </w:tcPr>
          <w:p>
            <w:r/>
            <w:r>
              <w:rPr>
                <w:rFonts w:ascii="Microsoft YaHei" w:hAnsi="Microsoft YaHei" w:eastAsia="Microsoft YaHei"/>
                <w:b w:val="0"/>
                <w:sz w:val="19"/>
              </w:rPr>
              <w:t>阶段 4：动态选择规则</w:t>
            </w:r>
          </w:p>
        </w:tc>
        <w:tc>
          <w:tcPr>
            <w:tcW w:type="dxa" w:w="3402"/>
            <w:vAlign w:val="center"/>
          </w:tcPr>
          <w:p>
            <w:r/>
            <w:r>
              <w:rPr>
                <w:rFonts w:ascii="Microsoft YaHei" w:hAnsi="Microsoft YaHei" w:eastAsia="Microsoft YaHei"/>
                <w:b w:val="0"/>
                <w:sz w:val="19"/>
              </w:rPr>
              <w:t>形成类别预算和因子选择规则。</w:t>
            </w:r>
          </w:p>
        </w:tc>
        <w:tc>
          <w:tcPr>
            <w:tcW w:type="dxa" w:w="3515"/>
            <w:vAlign w:val="center"/>
          </w:tcPr>
          <w:p>
            <w:r/>
            <w:r>
              <w:rPr>
                <w:rFonts w:ascii="Microsoft YaHei" w:hAnsi="Microsoft YaHei" w:eastAsia="Microsoft YaHei"/>
                <w:b w:val="0"/>
                <w:sz w:val="19"/>
              </w:rPr>
              <w:t>类别评分公式、预算约束、切换规则。</w:t>
            </w:r>
          </w:p>
        </w:tc>
      </w:tr>
      <w:tr>
        <w:tc>
          <w:tcPr>
            <w:tcW w:type="dxa" w:w="2154"/>
            <w:vAlign w:val="center"/>
          </w:tcPr>
          <w:p>
            <w:r/>
            <w:r>
              <w:rPr>
                <w:rFonts w:ascii="Microsoft YaHei" w:hAnsi="Microsoft YaHei" w:eastAsia="Microsoft YaHei"/>
                <w:b w:val="0"/>
                <w:sz w:val="19"/>
              </w:rPr>
              <w:t>阶段 5：滚动回测验证</w:t>
            </w:r>
          </w:p>
        </w:tc>
        <w:tc>
          <w:tcPr>
            <w:tcW w:type="dxa" w:w="3402"/>
            <w:vAlign w:val="center"/>
          </w:tcPr>
          <w:p>
            <w:r/>
            <w:r>
              <w:rPr>
                <w:rFonts w:ascii="Microsoft YaHei" w:hAnsi="Microsoft YaHei" w:eastAsia="Microsoft YaHei"/>
                <w:b w:val="0"/>
                <w:sz w:val="19"/>
              </w:rPr>
              <w:t>验证状态驱动方案相对静态方案是否有效。</w:t>
            </w:r>
          </w:p>
        </w:tc>
        <w:tc>
          <w:tcPr>
            <w:tcW w:type="dxa" w:w="3515"/>
            <w:vAlign w:val="center"/>
          </w:tcPr>
          <w:p>
            <w:r/>
            <w:r>
              <w:rPr>
                <w:rFonts w:ascii="Microsoft YaHei" w:hAnsi="Microsoft YaHei" w:eastAsia="Microsoft YaHei"/>
                <w:b w:val="0"/>
                <w:sz w:val="19"/>
              </w:rPr>
              <w:t>回测报告、对照组比较、风险归因。</w:t>
            </w:r>
          </w:p>
        </w:tc>
      </w:tr>
      <w:tr>
        <w:tc>
          <w:tcPr>
            <w:tcW w:type="dxa" w:w="2154"/>
            <w:vAlign w:val="center"/>
          </w:tcPr>
          <w:p>
            <w:r/>
            <w:r>
              <w:rPr>
                <w:rFonts w:ascii="Microsoft YaHei" w:hAnsi="Microsoft YaHei" w:eastAsia="Microsoft YaHei"/>
                <w:b w:val="0"/>
                <w:sz w:val="19"/>
              </w:rPr>
              <w:t>阶段 6：研究复盘</w:t>
            </w:r>
          </w:p>
        </w:tc>
        <w:tc>
          <w:tcPr>
            <w:tcW w:type="dxa" w:w="3402"/>
            <w:vAlign w:val="center"/>
          </w:tcPr>
          <w:p>
            <w:r/>
            <w:r>
              <w:rPr>
                <w:rFonts w:ascii="Microsoft YaHei" w:hAnsi="Microsoft YaHei" w:eastAsia="Microsoft YaHei"/>
                <w:b w:val="0"/>
                <w:sz w:val="19"/>
              </w:rPr>
              <w:t>判断是否值得开发为系统功能。</w:t>
            </w:r>
          </w:p>
        </w:tc>
        <w:tc>
          <w:tcPr>
            <w:tcW w:type="dxa" w:w="3515"/>
            <w:vAlign w:val="center"/>
          </w:tcPr>
          <w:p>
            <w:r/>
            <w:r>
              <w:rPr>
                <w:rFonts w:ascii="Microsoft YaHei" w:hAnsi="Microsoft YaHei" w:eastAsia="Microsoft YaHei"/>
                <w:b w:val="0"/>
                <w:sz w:val="19"/>
              </w:rPr>
              <w:t>最终研究结论、参数建议、开发需求清单。</w:t>
            </w:r>
          </w:p>
        </w:tc>
      </w:tr>
    </w:tbl>
    <w:p/>
    <w:p>
      <w:pPr>
        <w:pStyle w:val="Heading1"/>
      </w:pPr>
      <w:r>
        <w:t>11. 最终应输出的研究材料</w:t>
      </w:r>
    </w:p>
    <w:p>
      <w:pPr>
        <w:pStyle w:val="ListBullet"/>
      </w:pPr>
      <w:r>
        <w:t>因子分类字典：定义每个类别的经济含义、字段规则、操作符规则和示例因子。</w:t>
      </w:r>
    </w:p>
    <w:p>
      <w:pPr>
        <w:pStyle w:val="ListBullet"/>
      </w:pPr>
      <w:r>
        <w:t>因子元数据表：记录每个因子的类别、字段、操作符、生成指标、回测指标和相关性分组。</w:t>
      </w:r>
    </w:p>
    <w:p>
      <w:pPr>
        <w:pStyle w:val="ListBullet"/>
      </w:pPr>
      <w:r>
        <w:t>市场状态定义表：记录状态指标、窗口、阈值、状态标签和状态概率。</w:t>
      </w:r>
    </w:p>
    <w:p>
      <w:pPr>
        <w:pStyle w:val="ListBullet"/>
      </w:pPr>
      <w:r>
        <w:t>类别条件表现矩阵：记录每个类别在每个市场状态下的表现和样本可靠性。</w:t>
      </w:r>
    </w:p>
    <w:p>
      <w:pPr>
        <w:pStyle w:val="ListBullet"/>
      </w:pPr>
      <w:r>
        <w:t>动态类别选择规则：说明类别评分、类别预算、切换稳定机制和风险约束。</w:t>
      </w:r>
    </w:p>
    <w:p>
      <w:pPr>
        <w:pStyle w:val="ListBullet"/>
      </w:pPr>
      <w:r>
        <w:t>具体因子选择规则：说明因子初筛、评分、去重、权重和组合约束。</w:t>
      </w:r>
    </w:p>
    <w:p>
      <w:pPr>
        <w:pStyle w:val="ListBullet"/>
      </w:pPr>
      <w:r>
        <w:t>Walk-forward 回测报告：包含对照组、主方案、稳健性分析和失败案例。</w:t>
      </w:r>
    </w:p>
    <w:p>
      <w:pPr>
        <w:pStyle w:val="ListBullet"/>
      </w:pPr>
      <w:r>
        <w:t>研究结论：明确哪些类别在哪些状态下有效、哪些结论不稳定、哪些部分需要进一步研究。</w:t>
      </w:r>
    </w:p>
    <w:p>
      <w:pPr>
        <w:pStyle w:val="Heading1"/>
      </w:pPr>
      <w:r>
        <w:t>12. 结论</w:t>
      </w:r>
    </w:p>
    <w:p>
      <w:r>
        <w:t>市场状态驱动的因子组合不是简单地给市场贴标签后切换因子，而是一套完整的条件研究框架。合理方案应先建立因子类别和市场状态的可解释定义，再用历史数据研究二者之间的条件表现关系，随后通过滚动验证确认这种关系是否能够在未来样本中转化为更好的组合收益和风险表现。</w:t>
      </w:r>
    </w:p>
    <w:p>
      <w:r>
        <w:t>第一版研究应坚持简单、可解释、可验证的原则：使用有限数量的市场状态、清晰的因子类别、稳健的统计指标、明确的对照组和严格的无泄漏 Walk-forward 协议。只有当研究证明确有增益后，再考虑把它开发成自动化的因子组合模块。</w:t>
      </w:r>
    </w:p>
    <w:p>
      <w:pPr>
        <w:sectPr>
          <w:pgSz w:w="12240" w:h="15840"/>
          <w:pgMar w:top="1247" w:right="1247" w:bottom="1134" w:left="1247" w:header="720" w:footer="720" w:gutter="0"/>
          <w:cols w:space="720"/>
          <w:docGrid w:linePitch="360"/>
        </w:sectPr>
      </w:pPr>
    </w:p>
    <w:p>
      <w:pPr>
        <w:pStyle w:val="Heading1"/>
      </w:pPr>
      <w:r>
        <w:t>附录 A：第一版规则示例</w:t>
      </w:r>
    </w:p>
    <w:p>
      <w:r>
        <w:t>以下规则仅作为研究起点，不应直接视为最终参数。正式使用前需要根据样本区间、股票池和交易周期进行敏感性分析。</w:t>
      </w:r>
    </w:p>
    <w:tbl>
      <w:tblPr>
        <w:tblStyle w:val="TableGrid"/>
        <w:tblW w:type="auto" w:w="0"/>
        <w:jc w:val="center"/>
        <w:tblLook w:firstColumn="1" w:firstRow="1" w:lastColumn="0" w:lastRow="0" w:noHBand="0" w:noVBand="1" w:val="04A0"/>
      </w:tblPr>
      <w:tblGrid>
        <w:gridCol w:w="4873"/>
        <w:gridCol w:w="4873"/>
      </w:tblGrid>
      <w:tr>
        <w:tc>
          <w:tcPr>
            <w:tcW w:type="dxa" w:w="1814"/>
            <w:vAlign w:val="center"/>
            <w:shd w:fill="D9EAF7"/>
          </w:tcPr>
          <w:p>
            <w:r/>
            <w:r>
              <w:rPr>
                <w:rFonts w:ascii="Microsoft YaHei" w:hAnsi="Microsoft YaHei" w:eastAsia="Microsoft YaHei"/>
                <w:b/>
                <w:sz w:val="19"/>
              </w:rPr>
              <w:t>规则对象</w:t>
            </w:r>
          </w:p>
        </w:tc>
        <w:tc>
          <w:tcPr>
            <w:tcW w:type="dxa" w:w="7257"/>
            <w:vAlign w:val="center"/>
            <w:shd w:fill="D9EAF7"/>
          </w:tcPr>
          <w:p>
            <w:r/>
            <w:r>
              <w:rPr>
                <w:rFonts w:ascii="Microsoft YaHei" w:hAnsi="Microsoft YaHei" w:eastAsia="Microsoft YaHei"/>
                <w:b/>
                <w:sz w:val="19"/>
              </w:rPr>
              <w:t>示例规则</w:t>
            </w:r>
          </w:p>
        </w:tc>
      </w:tr>
      <w:tr>
        <w:tc>
          <w:tcPr>
            <w:tcW w:type="dxa" w:w="1814"/>
            <w:vAlign w:val="center"/>
          </w:tcPr>
          <w:p>
            <w:r/>
            <w:r>
              <w:rPr>
                <w:rFonts w:ascii="Microsoft YaHei" w:hAnsi="Microsoft YaHei" w:eastAsia="Microsoft YaHei"/>
                <w:b w:val="0"/>
                <w:sz w:val="19"/>
              </w:rPr>
              <w:t>趋势得分</w:t>
            </w:r>
          </w:p>
        </w:tc>
        <w:tc>
          <w:tcPr>
            <w:tcW w:type="dxa" w:w="7257"/>
            <w:vAlign w:val="center"/>
          </w:tcPr>
          <w:p>
            <w:r/>
            <w:r>
              <w:rPr>
                <w:rFonts w:ascii="Microsoft YaHei" w:hAnsi="Microsoft YaHei" w:eastAsia="Microsoft YaHei"/>
                <w:b w:val="0"/>
                <w:sz w:val="19"/>
              </w:rPr>
              <w:t>0.4 × 指数 20 日收益 Z-score + 0.3 × 指数 60 日收益 Z-score + 0.3 × 站上 MA20 股票比例 Z-score</w:t>
            </w:r>
          </w:p>
        </w:tc>
      </w:tr>
      <w:tr>
        <w:tc>
          <w:tcPr>
            <w:tcW w:type="dxa" w:w="1814"/>
            <w:vAlign w:val="center"/>
          </w:tcPr>
          <w:p>
            <w:r/>
            <w:r>
              <w:rPr>
                <w:rFonts w:ascii="Microsoft YaHei" w:hAnsi="Microsoft YaHei" w:eastAsia="Microsoft YaHei"/>
                <w:b w:val="0"/>
                <w:sz w:val="19"/>
              </w:rPr>
              <w:t>波动率得分</w:t>
            </w:r>
          </w:p>
        </w:tc>
        <w:tc>
          <w:tcPr>
            <w:tcW w:type="dxa" w:w="7257"/>
            <w:vAlign w:val="center"/>
          </w:tcPr>
          <w:p>
            <w:r/>
            <w:r>
              <w:rPr>
                <w:rFonts w:ascii="Microsoft YaHei" w:hAnsi="Microsoft YaHei" w:eastAsia="Microsoft YaHei"/>
                <w:b w:val="0"/>
                <w:sz w:val="19"/>
              </w:rPr>
              <w:t>0.5 × 指数 20 日实现波动率分位数 + 0.5 × 股票池平均 RangePCT 分位数</w:t>
            </w:r>
          </w:p>
        </w:tc>
      </w:tr>
      <w:tr>
        <w:tc>
          <w:tcPr>
            <w:tcW w:type="dxa" w:w="1814"/>
            <w:vAlign w:val="center"/>
          </w:tcPr>
          <w:p>
            <w:r/>
            <w:r>
              <w:rPr>
                <w:rFonts w:ascii="Microsoft YaHei" w:hAnsi="Microsoft YaHei" w:eastAsia="Microsoft YaHei"/>
                <w:b w:val="0"/>
                <w:sz w:val="19"/>
              </w:rPr>
              <w:t>宽度得分</w:t>
            </w:r>
          </w:p>
        </w:tc>
        <w:tc>
          <w:tcPr>
            <w:tcW w:type="dxa" w:w="7257"/>
            <w:vAlign w:val="center"/>
          </w:tcPr>
          <w:p>
            <w:r/>
            <w:r>
              <w:rPr>
                <w:rFonts w:ascii="Microsoft YaHei" w:hAnsi="Microsoft YaHei" w:eastAsia="Microsoft YaHei"/>
                <w:b w:val="0"/>
                <w:sz w:val="19"/>
              </w:rPr>
              <w:t>上涨股票占比、新高比例、站上 MA20 比例的综合得分</w:t>
            </w:r>
          </w:p>
        </w:tc>
      </w:tr>
      <w:tr>
        <w:tc>
          <w:tcPr>
            <w:tcW w:type="dxa" w:w="1814"/>
            <w:vAlign w:val="center"/>
          </w:tcPr>
          <w:p>
            <w:r/>
            <w:r>
              <w:rPr>
                <w:rFonts w:ascii="Microsoft YaHei" w:hAnsi="Microsoft YaHei" w:eastAsia="Microsoft YaHei"/>
                <w:b w:val="0"/>
                <w:sz w:val="19"/>
              </w:rPr>
              <w:t>分化得分</w:t>
            </w:r>
          </w:p>
        </w:tc>
        <w:tc>
          <w:tcPr>
            <w:tcW w:type="dxa" w:w="7257"/>
            <w:vAlign w:val="center"/>
          </w:tcPr>
          <w:p>
            <w:r/>
            <w:r>
              <w:rPr>
                <w:rFonts w:ascii="Microsoft YaHei" w:hAnsi="Microsoft YaHei" w:eastAsia="Microsoft YaHei"/>
                <w:b w:val="0"/>
                <w:sz w:val="19"/>
              </w:rPr>
              <w:t>横截面收益标准差、行业收益差异和强弱组收益差的综合得分</w:t>
            </w:r>
          </w:p>
        </w:tc>
      </w:tr>
      <w:tr>
        <w:tc>
          <w:tcPr>
            <w:tcW w:type="dxa" w:w="1814"/>
            <w:vAlign w:val="center"/>
          </w:tcPr>
          <w:p>
            <w:r/>
            <w:r>
              <w:rPr>
                <w:rFonts w:ascii="Microsoft YaHei" w:hAnsi="Microsoft YaHei" w:eastAsia="Microsoft YaHei"/>
                <w:b w:val="0"/>
                <w:sz w:val="19"/>
              </w:rPr>
              <w:t>上涨低波动</w:t>
            </w:r>
          </w:p>
        </w:tc>
        <w:tc>
          <w:tcPr>
            <w:tcW w:type="dxa" w:w="7257"/>
            <w:vAlign w:val="center"/>
          </w:tcPr>
          <w:p>
            <w:r/>
            <w:r>
              <w:rPr>
                <w:rFonts w:ascii="Microsoft YaHei" w:hAnsi="Microsoft YaHei" w:eastAsia="Microsoft YaHei"/>
                <w:b w:val="0"/>
                <w:sz w:val="19"/>
              </w:rPr>
              <w:t>趋势得分 &gt; 0.5，宽度得分 &gt; 0.3，波动率分位数 &lt; 0.5</w:t>
            </w:r>
          </w:p>
        </w:tc>
      </w:tr>
      <w:tr>
        <w:tc>
          <w:tcPr>
            <w:tcW w:type="dxa" w:w="1814"/>
            <w:vAlign w:val="center"/>
          </w:tcPr>
          <w:p>
            <w:r/>
            <w:r>
              <w:rPr>
                <w:rFonts w:ascii="Microsoft YaHei" w:hAnsi="Microsoft YaHei" w:eastAsia="Microsoft YaHei"/>
                <w:b w:val="0"/>
                <w:sz w:val="19"/>
              </w:rPr>
              <w:t>震荡高波动</w:t>
            </w:r>
          </w:p>
        </w:tc>
        <w:tc>
          <w:tcPr>
            <w:tcW w:type="dxa" w:w="7257"/>
            <w:vAlign w:val="center"/>
          </w:tcPr>
          <w:p>
            <w:r/>
            <w:r>
              <w:rPr>
                <w:rFonts w:ascii="Microsoft YaHei" w:hAnsi="Microsoft YaHei" w:eastAsia="Microsoft YaHei"/>
                <w:b w:val="0"/>
                <w:sz w:val="19"/>
              </w:rPr>
              <w:t>|趋势得分| &lt; 0.3，波动率分位数 &gt; 0.7</w:t>
            </w:r>
          </w:p>
        </w:tc>
      </w:tr>
      <w:tr>
        <w:tc>
          <w:tcPr>
            <w:tcW w:type="dxa" w:w="1814"/>
            <w:vAlign w:val="center"/>
          </w:tcPr>
          <w:p>
            <w:r/>
            <w:r>
              <w:rPr>
                <w:rFonts w:ascii="Microsoft YaHei" w:hAnsi="Microsoft YaHei" w:eastAsia="Microsoft YaHei"/>
                <w:b w:val="0"/>
                <w:sz w:val="19"/>
              </w:rPr>
              <w:t>下跌高波动</w:t>
            </w:r>
          </w:p>
        </w:tc>
        <w:tc>
          <w:tcPr>
            <w:tcW w:type="dxa" w:w="7257"/>
            <w:vAlign w:val="center"/>
          </w:tcPr>
          <w:p>
            <w:r/>
            <w:r>
              <w:rPr>
                <w:rFonts w:ascii="Microsoft YaHei" w:hAnsi="Microsoft YaHei" w:eastAsia="Microsoft YaHei"/>
                <w:b w:val="0"/>
                <w:sz w:val="19"/>
              </w:rPr>
              <w:t>趋势得分 &lt; -0.5，波动率分位数 &gt; 0.6，宽度得分 &lt; -0.3</w:t>
            </w:r>
          </w:p>
        </w:tc>
      </w:tr>
    </w:tbl>
    <w:p/>
    <w:p>
      <w:pPr>
        <w:pStyle w:val="Heading1"/>
      </w:pPr>
      <w:r>
        <w:t>附录 B：研究结论撰写模板</w:t>
      </w:r>
    </w:p>
    <w:tbl>
      <w:tblPr>
        <w:tblStyle w:val="TableGrid"/>
        <w:tblW w:type="auto" w:w="0"/>
        <w:jc w:val="center"/>
        <w:tblLook w:firstColumn="1" w:firstRow="1" w:lastColumn="0" w:lastRow="0" w:noHBand="0" w:noVBand="1" w:val="04A0"/>
      </w:tblPr>
      <w:tblGrid>
        <w:gridCol w:w="4873"/>
        <w:gridCol w:w="4873"/>
      </w:tblGrid>
      <w:tr>
        <w:tc>
          <w:tcPr>
            <w:tcW w:type="dxa" w:w="1814"/>
            <w:vAlign w:val="center"/>
            <w:shd w:fill="D9EAF7"/>
          </w:tcPr>
          <w:p>
            <w:r/>
            <w:r>
              <w:rPr>
                <w:rFonts w:ascii="Microsoft YaHei" w:hAnsi="Microsoft YaHei" w:eastAsia="Microsoft YaHei"/>
                <w:b/>
                <w:sz w:val="19"/>
              </w:rPr>
              <w:t>结论类型</w:t>
            </w:r>
          </w:p>
        </w:tc>
        <w:tc>
          <w:tcPr>
            <w:tcW w:type="dxa" w:w="7257"/>
            <w:vAlign w:val="center"/>
            <w:shd w:fill="D9EAF7"/>
          </w:tcPr>
          <w:p>
            <w:r/>
            <w:r>
              <w:rPr>
                <w:rFonts w:ascii="Microsoft YaHei" w:hAnsi="Microsoft YaHei" w:eastAsia="Microsoft YaHei"/>
                <w:b/>
                <w:sz w:val="19"/>
              </w:rPr>
              <w:t>推荐写法</w:t>
            </w:r>
          </w:p>
        </w:tc>
      </w:tr>
      <w:tr>
        <w:tc>
          <w:tcPr>
            <w:tcW w:type="dxa" w:w="1814"/>
            <w:vAlign w:val="center"/>
          </w:tcPr>
          <w:p>
            <w:r/>
            <w:r>
              <w:rPr>
                <w:rFonts w:ascii="Microsoft YaHei" w:hAnsi="Microsoft YaHei" w:eastAsia="Microsoft YaHei"/>
                <w:b w:val="0"/>
                <w:sz w:val="19"/>
              </w:rPr>
              <w:t>稳健结论</w:t>
            </w:r>
          </w:p>
        </w:tc>
        <w:tc>
          <w:tcPr>
            <w:tcW w:type="dxa" w:w="7257"/>
            <w:vAlign w:val="center"/>
          </w:tcPr>
          <w:p>
            <w:r/>
            <w:r>
              <w:rPr>
                <w:rFonts w:ascii="Microsoft YaHei" w:hAnsi="Microsoft YaHei" w:eastAsia="Microsoft YaHei"/>
                <w:b w:val="0"/>
                <w:sz w:val="19"/>
              </w:rPr>
              <w:t>在多个训练窗口、成本假设和对照组下，某类别在某状态中的表现均优于基准。</w:t>
            </w:r>
          </w:p>
        </w:tc>
      </w:tr>
      <w:tr>
        <w:tc>
          <w:tcPr>
            <w:tcW w:type="dxa" w:w="1814"/>
            <w:vAlign w:val="center"/>
          </w:tcPr>
          <w:p>
            <w:r/>
            <w:r>
              <w:rPr>
                <w:rFonts w:ascii="Microsoft YaHei" w:hAnsi="Microsoft YaHei" w:eastAsia="Microsoft YaHei"/>
                <w:b w:val="0"/>
                <w:sz w:val="19"/>
              </w:rPr>
              <w:t>弱结论</w:t>
            </w:r>
          </w:p>
        </w:tc>
        <w:tc>
          <w:tcPr>
            <w:tcW w:type="dxa" w:w="7257"/>
            <w:vAlign w:val="center"/>
          </w:tcPr>
          <w:p>
            <w:r/>
            <w:r>
              <w:rPr>
                <w:rFonts w:ascii="Microsoft YaHei" w:hAnsi="Microsoft YaHei" w:eastAsia="Microsoft YaHei"/>
                <w:b w:val="0"/>
                <w:sz w:val="19"/>
              </w:rPr>
              <w:t>某类别在部分窗口中表现较好，但对参数或样本区间较敏感。</w:t>
            </w:r>
          </w:p>
        </w:tc>
      </w:tr>
      <w:tr>
        <w:tc>
          <w:tcPr>
            <w:tcW w:type="dxa" w:w="1814"/>
            <w:vAlign w:val="center"/>
          </w:tcPr>
          <w:p>
            <w:r/>
            <w:r>
              <w:rPr>
                <w:rFonts w:ascii="Microsoft YaHei" w:hAnsi="Microsoft YaHei" w:eastAsia="Microsoft YaHei"/>
                <w:b w:val="0"/>
                <w:sz w:val="19"/>
              </w:rPr>
              <w:t>不可下结论</w:t>
            </w:r>
          </w:p>
        </w:tc>
        <w:tc>
          <w:tcPr>
            <w:tcW w:type="dxa" w:w="7257"/>
            <w:vAlign w:val="center"/>
          </w:tcPr>
          <w:p>
            <w:r/>
            <w:r>
              <w:rPr>
                <w:rFonts w:ascii="Microsoft YaHei" w:hAnsi="Microsoft YaHei" w:eastAsia="Microsoft YaHei"/>
                <w:b w:val="0"/>
                <w:sz w:val="19"/>
              </w:rPr>
              <w:t>状态样本天数不足、年份覆盖不足或结果由少数因子贡献。</w:t>
            </w:r>
          </w:p>
        </w:tc>
      </w:tr>
      <w:tr>
        <w:tc>
          <w:tcPr>
            <w:tcW w:type="dxa" w:w="1814"/>
            <w:vAlign w:val="center"/>
          </w:tcPr>
          <w:p>
            <w:r/>
            <w:r>
              <w:rPr>
                <w:rFonts w:ascii="Microsoft YaHei" w:hAnsi="Microsoft YaHei" w:eastAsia="Microsoft YaHei"/>
                <w:b w:val="0"/>
                <w:sz w:val="19"/>
              </w:rPr>
              <w:t>风险提示</w:t>
            </w:r>
          </w:p>
        </w:tc>
        <w:tc>
          <w:tcPr>
            <w:tcW w:type="dxa" w:w="7257"/>
            <w:vAlign w:val="center"/>
          </w:tcPr>
          <w:p>
            <w:r/>
            <w:r>
              <w:rPr>
                <w:rFonts w:ascii="Microsoft YaHei" w:hAnsi="Microsoft YaHei" w:eastAsia="Microsoft YaHei"/>
                <w:b w:val="0"/>
                <w:sz w:val="19"/>
              </w:rPr>
              <w:t>当前结论为相关性研究，不应解释为市场状态导致某类因子必然有效。</w:t>
            </w:r>
          </w:p>
        </w:tc>
      </w:tr>
    </w:tbl>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