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BDE93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研究方法论与整体流程说明</w:t>
      </w:r>
    </w:p>
    <w:p w14:paraId="560C0176">
      <w:pPr>
        <w:jc w:val="center"/>
      </w:pPr>
      <w:r>
        <w:rPr>
          <w:rFonts w:ascii="微软雅黑" w:hAnsi="微软雅黑" w:eastAsia="微软雅黑"/>
          <w:b w:val="0"/>
          <w:sz w:val="24"/>
        </w:rPr>
        <w:t>面向因子研究、市场状态识别、单因子验证与组合构建的论文式方法框架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39EC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1C5F9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334ED5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595B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C5A3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文档类型</w:t>
            </w:r>
          </w:p>
        </w:tc>
        <w:tc>
          <w:tcPr>
            <w:tcW w:w="7370" w:type="dxa"/>
            <w:vAlign w:val="center"/>
          </w:tcPr>
          <w:p w14:paraId="5D5E27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研究方法论说明，而不是代码文档。</w:t>
            </w:r>
          </w:p>
        </w:tc>
      </w:tr>
      <w:tr w14:paraId="3F20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DCBD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核心目标</w:t>
            </w:r>
          </w:p>
        </w:tc>
        <w:tc>
          <w:tcPr>
            <w:tcW w:w="7370" w:type="dxa"/>
            <w:vAlign w:val="center"/>
          </w:tcPr>
          <w:p w14:paraId="05D1BD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把整体研究逻辑讲清：为什么这么研究、怎么研究、如何验证、如何判断是否可信。</w:t>
            </w:r>
          </w:p>
        </w:tc>
      </w:tr>
      <w:tr w14:paraId="4D75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2FD5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适用场景</w:t>
            </w:r>
          </w:p>
        </w:tc>
        <w:tc>
          <w:tcPr>
            <w:tcW w:w="7370" w:type="dxa"/>
            <w:vAlign w:val="center"/>
          </w:tcPr>
          <w:p w14:paraId="0312B3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内部研究立项、论文式汇报、研究路线沟通、策略方法论沉淀。</w:t>
            </w:r>
          </w:p>
        </w:tc>
      </w:tr>
      <w:tr w14:paraId="2384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9E38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基本原则</w:t>
            </w:r>
          </w:p>
        </w:tc>
        <w:tc>
          <w:tcPr>
            <w:tcW w:w="7370" w:type="dxa"/>
            <w:vAlign w:val="center"/>
          </w:tcPr>
          <w:p w14:paraId="1470A8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强调可解释、可验证、无泄漏、可复现，不把相关性写成因果。</w:t>
            </w:r>
          </w:p>
        </w:tc>
      </w:tr>
    </w:tbl>
    <w:p w14:paraId="70B4EBF7"/>
    <w:p w14:paraId="1917F2B9">
      <w:pPr>
        <w:pStyle w:val="3"/>
      </w:pPr>
      <w:r>
        <w:t>摘要</w:t>
      </w:r>
    </w:p>
    <w:p w14:paraId="39F4641A">
      <w:r>
        <w:t>本研究围绕“市场状态驱动的因子有效性差异”展开。核心问题不是单个因子在全样本下是否有效，而是不同逻辑类别的因子是否会在不同市场环境下呈现稳定差异，以及这种差异能否被转化为更稳健的研究框架和组合方法。因此，研究不从代码实现出发，而从方法论出发：先定义因子类别，再定义市场状态，再研究条件表现，再据此选择优势类别和具体因子，最后用滚动验证检验该逻辑是否真的具有样本外价值。</w:t>
      </w:r>
    </w:p>
    <w:p w14:paraId="2A3BC53F">
      <w:r>
        <w:t>方法上，本方案主张使用“分类 - 状态 - 条件统计 - 动态选择 - 组合验证”的研究闭环。在每一步中都要保留可追溯的证据链：数据来源、样本区间、指标定义、阈值规则、验证窗口和失败案例。只有当一个结论能够被这种证据链支撑时，才能把它视为有效研究结论，而不是偶然的历史拟合。</w:t>
      </w:r>
    </w:p>
    <w:p w14:paraId="53DEDF71">
      <w:pPr>
        <w:pStyle w:val="3"/>
      </w:pPr>
      <w:r>
        <w:t>1. 研究问题定义</w:t>
      </w:r>
    </w:p>
    <w:p w14:paraId="69D6CA4C">
      <w:pPr>
        <w:pStyle w:val="4"/>
      </w:pPr>
      <w:r>
        <w:t>1.1 研究对象</w:t>
      </w:r>
    </w:p>
    <w:p w14:paraId="19A9A396">
      <w:r>
        <w:t>研究对象不是某一条具体表达式，而是“因子逻辑类别”。单个因子往往受到参数、表达式结构和偶然样本的影响，难以直接形成稳定规律；但多个共享逻辑的因子通常可以被归纳为同一类别，例如趋势、反转、波动率、突破、流动性、价量结合等。因此，研究单元应从“因子”上升为“类别”，从“单点结果”上升为“条件分布”。</w:t>
      </w:r>
    </w:p>
    <w:p w14:paraId="787ABE19">
      <w:pPr>
        <w:pStyle w:val="4"/>
      </w:pPr>
      <w:r>
        <w:t>1.2 研究目的</w:t>
      </w:r>
    </w:p>
    <w:p w14:paraId="76CBE9B7">
      <w:pPr>
        <w:pStyle w:val="16"/>
      </w:pPr>
      <w:r>
        <w:t>识别不同因子类别的经济含义，并构建可解释的分类体系。</w:t>
      </w:r>
    </w:p>
    <w:p w14:paraId="32D1F220">
      <w:pPr>
        <w:pStyle w:val="16"/>
      </w:pPr>
      <w:r>
        <w:t>构造能够描述市场环境的状态变量，并把市场划分为可比较的状态集合。</w:t>
      </w:r>
    </w:p>
    <w:p w14:paraId="6774D37D">
      <w:pPr>
        <w:pStyle w:val="16"/>
      </w:pPr>
      <w:r>
        <w:t>比较不同类别在不同状态下的条件表现，而不是只看全样本平均表现。</w:t>
      </w:r>
    </w:p>
    <w:p w14:paraId="79F85EB4">
      <w:pPr>
        <w:pStyle w:val="16"/>
      </w:pPr>
      <w:r>
        <w:t>形成基于当前市场状态的类别选择逻辑，再进一步筛选具体因子。</w:t>
      </w:r>
    </w:p>
    <w:p w14:paraId="59B0598E">
      <w:pPr>
        <w:pStyle w:val="16"/>
      </w:pPr>
      <w:r>
        <w:t>建立滚动验证机制，检验该逻辑是否对未来样本仍然成立。</w:t>
      </w:r>
    </w:p>
    <w:p w14:paraId="27AAF4E8">
      <w:pPr>
        <w:pStyle w:val="4"/>
      </w:pPr>
      <w:r>
        <w:t>1.3 研究边界</w:t>
      </w:r>
    </w:p>
    <w:p w14:paraId="271EDABF">
      <w:pPr>
        <w:pStyle w:val="16"/>
      </w:pPr>
      <w:r>
        <w:t>本研究关注方法论，不关注具体代码实现。</w:t>
      </w:r>
    </w:p>
    <w:p w14:paraId="2D8E29EE">
      <w:pPr>
        <w:pStyle w:val="16"/>
      </w:pPr>
      <w:r>
        <w:t>本研究不假定某一类别在所有市场环境中都有效。</w:t>
      </w:r>
    </w:p>
    <w:p w14:paraId="0D73EBCD">
      <w:pPr>
        <w:pStyle w:val="16"/>
      </w:pPr>
      <w:r>
        <w:t>本研究不把相关性直接解释为因果关系。</w:t>
      </w:r>
    </w:p>
    <w:p w14:paraId="2475D2BF">
      <w:pPr>
        <w:pStyle w:val="16"/>
      </w:pPr>
      <w:r>
        <w:t>本研究不在全样本上用未来信息回填状态标签。</w:t>
      </w:r>
    </w:p>
    <w:p w14:paraId="599995DC">
      <w:pPr>
        <w:pStyle w:val="3"/>
      </w:pPr>
      <w:r>
        <w:t>2. 理论框架</w:t>
      </w:r>
    </w:p>
    <w:p w14:paraId="3D56C8AD">
      <w:pPr>
        <w:pStyle w:val="4"/>
      </w:pPr>
      <w:r>
        <w:t>2.1 核心假设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835"/>
        <w:gridCol w:w="3969"/>
      </w:tblGrid>
      <w:tr w14:paraId="3540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7BC584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假设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C08D1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EC4CB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研究用途</w:t>
            </w:r>
          </w:p>
        </w:tc>
      </w:tr>
      <w:tr w14:paraId="1DEED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21C3E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状态依赖性</w:t>
            </w:r>
          </w:p>
        </w:tc>
        <w:tc>
          <w:tcPr>
            <w:tcW w:w="2835" w:type="dxa"/>
            <w:vAlign w:val="center"/>
          </w:tcPr>
          <w:p w14:paraId="2A3B19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因子有效性会随市场状态变化。</w:t>
            </w:r>
          </w:p>
        </w:tc>
        <w:tc>
          <w:tcPr>
            <w:tcW w:w="3969" w:type="dxa"/>
            <w:vAlign w:val="center"/>
          </w:tcPr>
          <w:p w14:paraId="6EF19E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解释为什么同一类因子在不同阶段表现不同。</w:t>
            </w:r>
          </w:p>
        </w:tc>
      </w:tr>
      <w:tr w14:paraId="2891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E9995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类别稳定性</w:t>
            </w:r>
          </w:p>
        </w:tc>
        <w:tc>
          <w:tcPr>
            <w:tcW w:w="2835" w:type="dxa"/>
            <w:vAlign w:val="center"/>
          </w:tcPr>
          <w:p w14:paraId="7BD44B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同逻辑类别比单个因子更稳定。</w:t>
            </w:r>
          </w:p>
        </w:tc>
        <w:tc>
          <w:tcPr>
            <w:tcW w:w="3969" w:type="dxa"/>
            <w:vAlign w:val="center"/>
          </w:tcPr>
          <w:p w14:paraId="1FE6FB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支持用类别而不是单因子做一层抽象。</w:t>
            </w:r>
          </w:p>
        </w:tc>
      </w:tr>
      <w:tr w14:paraId="306F9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8F75D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条件可分性</w:t>
            </w:r>
          </w:p>
        </w:tc>
        <w:tc>
          <w:tcPr>
            <w:tcW w:w="2835" w:type="dxa"/>
            <w:vAlign w:val="center"/>
          </w:tcPr>
          <w:p w14:paraId="6AA45E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市场状态能够被有限维状态变量近似刻画。</w:t>
            </w:r>
          </w:p>
        </w:tc>
        <w:tc>
          <w:tcPr>
            <w:tcW w:w="3969" w:type="dxa"/>
            <w:vAlign w:val="center"/>
          </w:tcPr>
          <w:p w14:paraId="7708A9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支持对市场进行分组研究。</w:t>
            </w:r>
          </w:p>
        </w:tc>
      </w:tr>
      <w:tr w14:paraId="6711E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B3DFA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组合互补性</w:t>
            </w:r>
          </w:p>
        </w:tc>
        <w:tc>
          <w:tcPr>
            <w:tcW w:w="2835" w:type="dxa"/>
            <w:vAlign w:val="center"/>
          </w:tcPr>
          <w:p w14:paraId="276458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低相关因子组合优于高度重复因子堆叠。</w:t>
            </w:r>
          </w:p>
        </w:tc>
        <w:tc>
          <w:tcPr>
            <w:tcW w:w="3969" w:type="dxa"/>
            <w:vAlign w:val="center"/>
          </w:tcPr>
          <w:p w14:paraId="596CC7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支持类别内/类别间去重与组合。</w:t>
            </w:r>
          </w:p>
        </w:tc>
      </w:tr>
      <w:tr w14:paraId="73D6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71A35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滚动可迁移性</w:t>
            </w:r>
          </w:p>
        </w:tc>
        <w:tc>
          <w:tcPr>
            <w:tcW w:w="2835" w:type="dxa"/>
            <w:vAlign w:val="center"/>
          </w:tcPr>
          <w:p w14:paraId="1F0F9E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历史有效关系在未来窗口具有一定可迁移性。</w:t>
            </w:r>
          </w:p>
        </w:tc>
        <w:tc>
          <w:tcPr>
            <w:tcW w:w="3969" w:type="dxa"/>
            <w:vAlign w:val="center"/>
          </w:tcPr>
          <w:p w14:paraId="089445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 Walk-forward 验证。</w:t>
            </w:r>
          </w:p>
        </w:tc>
      </w:tr>
    </w:tbl>
    <w:p w14:paraId="605BF26D"/>
    <w:p w14:paraId="5E9C3479">
      <w:pPr>
        <w:pStyle w:val="4"/>
      </w:pPr>
      <w:r>
        <w:t>2.2 研究思路</w:t>
      </w:r>
    </w:p>
    <w:p w14:paraId="0530FB5E">
      <w:r>
        <w:t>整体思路可以概括为四层：第一层是因子分类，即把海量表达式归纳到若干逻辑类别；第二层是市场状态识别，即把行情划分成趋势、震荡、高波动、低波动、高分化等状态；第三层是条件表现统计，即研究每个类别在每个状态下的收益、IC、RankIC、ICIR、回撤和换手；第四层是动态选择与组合，即根据当前状态选择优势类别和具体因子，并通过回测验证是否优于静态方案。</w:t>
      </w:r>
    </w:p>
    <w:p w14:paraId="5ADC5278">
      <w:pPr>
        <w:pStyle w:val="156"/>
      </w:pPr>
      <w:r>
        <w:rPr>
          <w:rFonts w:ascii="微软雅黑" w:hAnsi="微软雅黑" w:eastAsia="微软雅黑"/>
          <w:b w:val="0"/>
          <w:sz w:val="20"/>
        </w:rPr>
        <w:t>研究的关键不是“找到最好的一条因子”，而是“找到一套在不同状态下都能自洽的选择逻辑”。</w:t>
      </w:r>
    </w:p>
    <w:p w14:paraId="596F653E">
      <w:pPr>
        <w:pStyle w:val="3"/>
      </w:pPr>
      <w:r>
        <w:t>3. 因子分类方法</w:t>
      </w:r>
    </w:p>
    <w:p w14:paraId="7C21E99A">
      <w:pPr>
        <w:pStyle w:val="4"/>
      </w:pPr>
      <w:r>
        <w:t>3.1 为什么要分类</w:t>
      </w:r>
    </w:p>
    <w:p w14:paraId="15C18E35">
      <w:r>
        <w:t>如果直接面对单因子结果，研究会被大量表达式细节淹没：同一逻辑的因子会因为参数不同而重复出现，而不同逻辑的因子可能在局部样本里碰巧表现接近。分类的作用是把噪声降维，把观察单位从“单个公式”变成“逻辑族群”。</w:t>
      </w:r>
    </w:p>
    <w:p w14:paraId="7E4BF62D">
      <w:pPr>
        <w:pStyle w:val="4"/>
      </w:pPr>
      <w:r>
        <w:t>3.2 推荐分类维度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75"/>
        <w:gridCol w:w="4082"/>
      </w:tblGrid>
      <w:tr w14:paraId="1E62C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67E44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0F9CC8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189A6D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典型特征</w:t>
            </w:r>
          </w:p>
        </w:tc>
      </w:tr>
      <w:tr w14:paraId="1F90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B894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趋势/动量</w:t>
            </w:r>
          </w:p>
        </w:tc>
        <w:tc>
          <w:tcPr>
            <w:tcW w:w="3175" w:type="dxa"/>
            <w:vAlign w:val="center"/>
          </w:tcPr>
          <w:p w14:paraId="0D35D2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利用价格延续性获利。</w:t>
            </w:r>
          </w:p>
        </w:tc>
        <w:tc>
          <w:tcPr>
            <w:tcW w:w="4082" w:type="dxa"/>
            <w:vAlign w:val="center"/>
          </w:tcPr>
          <w:p w14:paraId="0F77AC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均线、EMA、MACD、连续上涨天数。</w:t>
            </w:r>
          </w:p>
        </w:tc>
      </w:tr>
      <w:tr w14:paraId="7CAD8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E386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反转</w:t>
            </w:r>
          </w:p>
        </w:tc>
        <w:tc>
          <w:tcPr>
            <w:tcW w:w="3175" w:type="dxa"/>
            <w:vAlign w:val="center"/>
          </w:tcPr>
          <w:p w14:paraId="62D5B4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利用短期过度偏离后的均值回归。</w:t>
            </w:r>
          </w:p>
        </w:tc>
        <w:tc>
          <w:tcPr>
            <w:tcW w:w="4082" w:type="dxa"/>
            <w:vAlign w:val="center"/>
          </w:tcPr>
          <w:p w14:paraId="169317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短期涨跌幅、KDJ、价格偏离。</w:t>
            </w:r>
          </w:p>
        </w:tc>
      </w:tr>
      <w:tr w14:paraId="1336E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E976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波动率</w:t>
            </w:r>
          </w:p>
        </w:tc>
        <w:tc>
          <w:tcPr>
            <w:tcW w:w="3175" w:type="dxa"/>
            <w:vAlign w:val="center"/>
          </w:tcPr>
          <w:p w14:paraId="43BBB2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利用风险扩张或收缩。</w:t>
            </w:r>
          </w:p>
        </w:tc>
        <w:tc>
          <w:tcPr>
            <w:tcW w:w="4082" w:type="dxa"/>
            <w:vAlign w:val="center"/>
          </w:tcPr>
          <w:p w14:paraId="08E2E7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振幅、区间宽度、波动分位数。</w:t>
            </w:r>
          </w:p>
        </w:tc>
      </w:tr>
      <w:tr w14:paraId="353F7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F6FA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突破/位置</w:t>
            </w:r>
          </w:p>
        </w:tc>
        <w:tc>
          <w:tcPr>
            <w:tcW w:w="3175" w:type="dxa"/>
            <w:vAlign w:val="center"/>
          </w:tcPr>
          <w:p w14:paraId="14F92E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利用价格突破或处于高低位。</w:t>
            </w:r>
          </w:p>
        </w:tc>
        <w:tc>
          <w:tcPr>
            <w:tcW w:w="4082" w:type="dxa"/>
            <w:vAlign w:val="center"/>
          </w:tcPr>
          <w:p w14:paraId="25B77E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区间高低点、突破新高新低。</w:t>
            </w:r>
          </w:p>
        </w:tc>
      </w:tr>
      <w:tr w14:paraId="53098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B1AA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流动性</w:t>
            </w:r>
          </w:p>
        </w:tc>
        <w:tc>
          <w:tcPr>
            <w:tcW w:w="3175" w:type="dxa"/>
            <w:vAlign w:val="center"/>
          </w:tcPr>
          <w:p w14:paraId="783153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利用成交额、换手和资金参与。</w:t>
            </w:r>
          </w:p>
        </w:tc>
        <w:tc>
          <w:tcPr>
            <w:tcW w:w="4082" w:type="dxa"/>
            <w:vAlign w:val="center"/>
          </w:tcPr>
          <w:p w14:paraId="16E9B2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amount、volume、TurnoverRate。</w:t>
            </w:r>
          </w:p>
        </w:tc>
      </w:tr>
      <w:tr w14:paraId="15597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1E4E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价量结合</w:t>
            </w:r>
          </w:p>
        </w:tc>
        <w:tc>
          <w:tcPr>
            <w:tcW w:w="3175" w:type="dxa"/>
            <w:vAlign w:val="center"/>
          </w:tcPr>
          <w:p w14:paraId="1BD227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价格信号需要成交确认。</w:t>
            </w:r>
          </w:p>
        </w:tc>
        <w:tc>
          <w:tcPr>
            <w:tcW w:w="4082" w:type="dxa"/>
            <w:vAlign w:val="center"/>
          </w:tcPr>
          <w:p w14:paraId="1C04DE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价格变化与成交同步放大。</w:t>
            </w:r>
          </w:p>
        </w:tc>
      </w:tr>
      <w:tr w14:paraId="2BA6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8A2E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交易状态</w:t>
            </w:r>
          </w:p>
        </w:tc>
        <w:tc>
          <w:tcPr>
            <w:tcW w:w="3175" w:type="dxa"/>
            <w:vAlign w:val="center"/>
          </w:tcPr>
          <w:p w14:paraId="4B562F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利用停牌、涨跌停、连续涨跌结构。</w:t>
            </w:r>
          </w:p>
        </w:tc>
        <w:tc>
          <w:tcPr>
            <w:tcW w:w="4082" w:type="dxa"/>
            <w:vAlign w:val="center"/>
          </w:tcPr>
          <w:p w14:paraId="3E554C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Ifsuspend、if_up、if_down。</w:t>
            </w:r>
          </w:p>
        </w:tc>
      </w:tr>
    </w:tbl>
    <w:p w14:paraId="5FD9F115"/>
    <w:p w14:paraId="003AD6A1">
      <w:pPr>
        <w:pStyle w:val="4"/>
      </w:pPr>
      <w:r>
        <w:t>3.3 分类原则</w:t>
      </w:r>
    </w:p>
    <w:p w14:paraId="085EBCB3">
      <w:pPr>
        <w:pStyle w:val="16"/>
      </w:pPr>
      <w:r>
        <w:t>分类应同时考虑表达式结构和经济含义，不能只看字段名。</w:t>
      </w:r>
    </w:p>
    <w:p w14:paraId="6C714B15">
      <w:pPr>
        <w:pStyle w:val="16"/>
      </w:pPr>
      <w:r>
        <w:t>一个因子可以有主类别和辅类别，但研究统计时必须明确主类别。</w:t>
      </w:r>
    </w:p>
    <w:p w14:paraId="6B905142">
      <w:pPr>
        <w:pStyle w:val="16"/>
      </w:pPr>
      <w:r>
        <w:t>类别不宜切得过细，否则每个状态下样本不足。</w:t>
      </w:r>
    </w:p>
    <w:p w14:paraId="36D1B89B">
      <w:pPr>
        <w:pStyle w:val="16"/>
      </w:pPr>
      <w:r>
        <w:t>分类标签本身也应版本化，避免后验修正污染历史研究。</w:t>
      </w:r>
    </w:p>
    <w:p w14:paraId="6B7A53AA">
      <w:pPr>
        <w:pStyle w:val="4"/>
      </w:pPr>
      <w:r>
        <w:t>3.4 分类输出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EBD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A5B1B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输出项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3ADF7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1B11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28BA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primary_category</w:t>
            </w:r>
          </w:p>
        </w:tc>
        <w:tc>
          <w:tcPr>
            <w:tcW w:w="6803" w:type="dxa"/>
            <w:vAlign w:val="center"/>
          </w:tcPr>
          <w:p w14:paraId="748077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主类别，用于统计和预算分配。</w:t>
            </w:r>
          </w:p>
        </w:tc>
      </w:tr>
      <w:tr w14:paraId="3A9A1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430B6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secondary_categories</w:t>
            </w:r>
          </w:p>
        </w:tc>
        <w:tc>
          <w:tcPr>
            <w:tcW w:w="6803" w:type="dxa"/>
            <w:vAlign w:val="center"/>
          </w:tcPr>
          <w:p w14:paraId="49ADAC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辅助类别，用于解释和检索。</w:t>
            </w:r>
          </w:p>
        </w:tc>
      </w:tr>
      <w:tr w14:paraId="372A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F37B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used_fields</w:t>
            </w:r>
          </w:p>
        </w:tc>
        <w:tc>
          <w:tcPr>
            <w:tcW w:w="6803" w:type="dxa"/>
            <w:vAlign w:val="center"/>
          </w:tcPr>
          <w:p w14:paraId="646EE6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表达式使用的数据字段。</w:t>
            </w:r>
          </w:p>
        </w:tc>
      </w:tr>
      <w:tr w14:paraId="1AA1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F935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used_operators</w:t>
            </w:r>
          </w:p>
        </w:tc>
        <w:tc>
          <w:tcPr>
            <w:tcW w:w="6803" w:type="dxa"/>
            <w:vAlign w:val="center"/>
          </w:tcPr>
          <w:p w14:paraId="3E3081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表达式使用的结构特征。</w:t>
            </w:r>
          </w:p>
        </w:tc>
      </w:tr>
      <w:tr w14:paraId="37BC8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0CA3B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correlation_cluster</w:t>
            </w:r>
          </w:p>
        </w:tc>
        <w:tc>
          <w:tcPr>
            <w:tcW w:w="6803" w:type="dxa"/>
            <w:vAlign w:val="center"/>
          </w:tcPr>
          <w:p w14:paraId="3CFA99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与其他因子的相关性分组。</w:t>
            </w:r>
          </w:p>
        </w:tc>
      </w:tr>
    </w:tbl>
    <w:p w14:paraId="25613DB6"/>
    <w:p w14:paraId="6062D5CB">
      <w:pPr>
        <w:pStyle w:val="3"/>
      </w:pPr>
      <w:r>
        <w:t>4. 市场状态识别</w:t>
      </w:r>
    </w:p>
    <w:p w14:paraId="15D6B7A0">
      <w:pPr>
        <w:pStyle w:val="4"/>
      </w:pPr>
      <w:r>
        <w:t>4.1 为什么要识别状态</w:t>
      </w:r>
    </w:p>
    <w:p w14:paraId="267EB277">
      <w:r>
        <w:t>市场状态的意义在于提供条件变量。如果不先刻画市场环境，就只能得到全样本平均结果，而全样本平均往往会把趋势期、震荡期、高波动期和低波动期混在一起，导致真正有条件优势的因子类别被平均掉。</w:t>
      </w:r>
    </w:p>
    <w:p w14:paraId="1CDFBC34">
      <w:pPr>
        <w:pStyle w:val="4"/>
      </w:pPr>
      <w:r>
        <w:t>4.2 状态维度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061"/>
        <w:gridCol w:w="4535"/>
      </w:tblGrid>
      <w:tr w14:paraId="4630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376012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64F957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观察对象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87E80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解释</w:t>
            </w:r>
          </w:p>
        </w:tc>
      </w:tr>
      <w:tr w14:paraId="2134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25308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趋势</w:t>
            </w:r>
          </w:p>
        </w:tc>
        <w:tc>
          <w:tcPr>
            <w:tcW w:w="3061" w:type="dxa"/>
            <w:vAlign w:val="center"/>
          </w:tcPr>
          <w:p w14:paraId="269746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指数收益、均线方向、站上均线比例。</w:t>
            </w:r>
          </w:p>
        </w:tc>
        <w:tc>
          <w:tcPr>
            <w:tcW w:w="4535" w:type="dxa"/>
            <w:vAlign w:val="center"/>
          </w:tcPr>
          <w:p w14:paraId="075DF2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判断市场是否处于方向性行情。</w:t>
            </w:r>
          </w:p>
        </w:tc>
      </w:tr>
      <w:tr w14:paraId="52A8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A2D15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波动率</w:t>
            </w:r>
          </w:p>
        </w:tc>
        <w:tc>
          <w:tcPr>
            <w:tcW w:w="3061" w:type="dxa"/>
            <w:vAlign w:val="center"/>
          </w:tcPr>
          <w:p w14:paraId="69F668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实现波动、振幅、分位数。</w:t>
            </w:r>
          </w:p>
        </w:tc>
        <w:tc>
          <w:tcPr>
            <w:tcW w:w="4535" w:type="dxa"/>
            <w:vAlign w:val="center"/>
          </w:tcPr>
          <w:p w14:paraId="1BF7FA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判断风险是否扩张。</w:t>
            </w:r>
          </w:p>
        </w:tc>
      </w:tr>
      <w:tr w14:paraId="5FE5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D8066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宽度</w:t>
            </w:r>
          </w:p>
        </w:tc>
        <w:tc>
          <w:tcPr>
            <w:tcW w:w="3061" w:type="dxa"/>
            <w:vAlign w:val="center"/>
          </w:tcPr>
          <w:p w14:paraId="756D8D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上涨/下跌股票比例、新高新低比例。</w:t>
            </w:r>
          </w:p>
        </w:tc>
        <w:tc>
          <w:tcPr>
            <w:tcW w:w="4535" w:type="dxa"/>
            <w:vAlign w:val="center"/>
          </w:tcPr>
          <w:p w14:paraId="191C23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判断行情是普涨还是少数股票驱动。</w:t>
            </w:r>
          </w:p>
        </w:tc>
      </w:tr>
      <w:tr w14:paraId="4D61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06E93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流动性</w:t>
            </w:r>
          </w:p>
        </w:tc>
        <w:tc>
          <w:tcPr>
            <w:tcW w:w="3061" w:type="dxa"/>
            <w:vAlign w:val="center"/>
          </w:tcPr>
          <w:p w14:paraId="490317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成交额、换手、量能变化。</w:t>
            </w:r>
          </w:p>
        </w:tc>
        <w:tc>
          <w:tcPr>
            <w:tcW w:w="4535" w:type="dxa"/>
            <w:vAlign w:val="center"/>
          </w:tcPr>
          <w:p w14:paraId="58B188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判断资金是否活跃。</w:t>
            </w:r>
          </w:p>
        </w:tc>
      </w:tr>
      <w:tr w14:paraId="5011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44890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分化</w:t>
            </w:r>
          </w:p>
        </w:tc>
        <w:tc>
          <w:tcPr>
            <w:tcW w:w="3061" w:type="dxa"/>
            <w:vAlign w:val="center"/>
          </w:tcPr>
          <w:p w14:paraId="05869A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横截面收益离散度、行业差异。</w:t>
            </w:r>
          </w:p>
        </w:tc>
        <w:tc>
          <w:tcPr>
            <w:tcW w:w="4535" w:type="dxa"/>
            <w:vAlign w:val="center"/>
          </w:tcPr>
          <w:p w14:paraId="49AB90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判断选股空间是否扩大。</w:t>
            </w:r>
          </w:p>
        </w:tc>
      </w:tr>
    </w:tbl>
    <w:p w14:paraId="72B356FE"/>
    <w:p w14:paraId="0364622B">
      <w:pPr>
        <w:pStyle w:val="4"/>
      </w:pPr>
      <w:r>
        <w:t>4.3 状态划分原则</w:t>
      </w:r>
    </w:p>
    <w:p w14:paraId="343128BD">
      <w:pPr>
        <w:pStyle w:val="14"/>
      </w:pPr>
      <w:r>
        <w:t>先用连续状态向量描述市场，再映射成离散状态标签。</w:t>
      </w:r>
    </w:p>
    <w:p w14:paraId="2878C75C">
      <w:pPr>
        <w:pStyle w:val="14"/>
      </w:pPr>
      <w:r>
        <w:t>状态标签数量不宜过多，优先保证每个状态有足够样本。</w:t>
      </w:r>
    </w:p>
    <w:p w14:paraId="39FF790E">
      <w:pPr>
        <w:pStyle w:val="14"/>
      </w:pPr>
      <w:r>
        <w:t>状态识别必须使用当时可得历史信息，不得使用未来收益或未来波动。</w:t>
      </w:r>
    </w:p>
    <w:p w14:paraId="70FC51C9">
      <w:pPr>
        <w:pStyle w:val="14"/>
      </w:pPr>
      <w:r>
        <w:t>状态切换应加入确认机制，避免每天频繁跳变。</w:t>
      </w:r>
    </w:p>
    <w:p w14:paraId="752B1587">
      <w:pPr>
        <w:pStyle w:val="14"/>
      </w:pPr>
      <w:r>
        <w:t>若状态来自聚类或 HMM，也必须做滚动训练或样本外映射。</w:t>
      </w:r>
    </w:p>
    <w:p w14:paraId="17695F4C">
      <w:pPr>
        <w:pStyle w:val="156"/>
      </w:pPr>
      <w:r>
        <w:rPr>
          <w:rFonts w:ascii="微软雅黑" w:hAnsi="微软雅黑" w:eastAsia="微软雅黑"/>
          <w:b w:val="0"/>
          <w:sz w:val="20"/>
        </w:rPr>
        <w:t>状态不是预测未来的工具，而是描述当前环境的条件变量。它的价值在于帮助我们回答：哪类因子在什么环境下更容易占优。</w:t>
      </w:r>
    </w:p>
    <w:p w14:paraId="44D6CB02">
      <w:pPr>
        <w:pStyle w:val="3"/>
      </w:pPr>
      <w:r>
        <w:t>5. 条件表现研究</w:t>
      </w:r>
    </w:p>
    <w:p w14:paraId="3A722CB4">
      <w:pPr>
        <w:pStyle w:val="4"/>
      </w:pPr>
      <w:r>
        <w:t>5.1 研究单位</w:t>
      </w:r>
    </w:p>
    <w:p w14:paraId="3D90D2FC">
      <w:r>
        <w:t>条件表现研究的基本单位是“因子类别 × 市场状态 × 时间窗口”。研究重点不是某个因子在所有样本上的平均好坏，而是某个类别在某种状态下是否显著更好。</w:t>
      </w:r>
    </w:p>
    <w:p w14:paraId="30DD485C">
      <w:pPr>
        <w:pStyle w:val="4"/>
      </w:pPr>
      <w:r>
        <w:t>5.2 指标体系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948"/>
        <w:gridCol w:w="4706"/>
      </w:tblGrid>
      <w:tr w14:paraId="67424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244F61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731C88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4706" w:type="dxa"/>
            <w:shd w:val="clear" w:color="auto" w:fill="D9EAF7"/>
            <w:vAlign w:val="center"/>
          </w:tcPr>
          <w:p w14:paraId="5B49A9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 w14:paraId="701E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9B3AF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单因子</w:t>
            </w:r>
          </w:p>
        </w:tc>
        <w:tc>
          <w:tcPr>
            <w:tcW w:w="2948" w:type="dxa"/>
            <w:vAlign w:val="center"/>
          </w:tcPr>
          <w:p w14:paraId="40D5E7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IC、RankIC、ICIR、IC 正值比例</w:t>
            </w:r>
          </w:p>
        </w:tc>
        <w:tc>
          <w:tcPr>
            <w:tcW w:w="4706" w:type="dxa"/>
            <w:vAlign w:val="center"/>
          </w:tcPr>
          <w:p w14:paraId="156EB9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衡量预测能力与稳定性。</w:t>
            </w:r>
          </w:p>
        </w:tc>
      </w:tr>
      <w:tr w14:paraId="46D9B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9F546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单因子</w:t>
            </w:r>
          </w:p>
        </w:tc>
        <w:tc>
          <w:tcPr>
            <w:tcW w:w="2948" w:type="dxa"/>
            <w:vAlign w:val="center"/>
          </w:tcPr>
          <w:p w14:paraId="15B8EC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多空收益、Sharpe、最大回撤、换手</w:t>
            </w:r>
          </w:p>
        </w:tc>
        <w:tc>
          <w:tcPr>
            <w:tcW w:w="4706" w:type="dxa"/>
            <w:vAlign w:val="center"/>
          </w:tcPr>
          <w:p w14:paraId="21289D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衡量交易化后的效果。</w:t>
            </w:r>
          </w:p>
        </w:tc>
      </w:tr>
      <w:tr w14:paraId="09C9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694EA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类别</w:t>
            </w:r>
          </w:p>
        </w:tc>
        <w:tc>
          <w:tcPr>
            <w:tcW w:w="2948" w:type="dxa"/>
            <w:vAlign w:val="center"/>
          </w:tcPr>
          <w:p w14:paraId="5A9ED3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类别内中位数、前分位数、通过率</w:t>
            </w:r>
          </w:p>
        </w:tc>
        <w:tc>
          <w:tcPr>
            <w:tcW w:w="4706" w:type="dxa"/>
            <w:vAlign w:val="center"/>
          </w:tcPr>
          <w:p w14:paraId="2DEAE9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衡量类别整体质量。</w:t>
            </w:r>
          </w:p>
        </w:tc>
      </w:tr>
      <w:tr w14:paraId="7F9B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6CF1E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类别</w:t>
            </w:r>
          </w:p>
        </w:tc>
        <w:tc>
          <w:tcPr>
            <w:tcW w:w="2948" w:type="dxa"/>
            <w:vAlign w:val="center"/>
          </w:tcPr>
          <w:p w14:paraId="7225EA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内部相关性、跨类别相关性</w:t>
            </w:r>
          </w:p>
        </w:tc>
        <w:tc>
          <w:tcPr>
            <w:tcW w:w="4706" w:type="dxa"/>
            <w:vAlign w:val="center"/>
          </w:tcPr>
          <w:p w14:paraId="4E8E90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衡量重复度和互补性。</w:t>
            </w:r>
          </w:p>
        </w:tc>
      </w:tr>
      <w:tr w14:paraId="5F21B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47A65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类别</w:t>
            </w:r>
          </w:p>
        </w:tc>
        <w:tc>
          <w:tcPr>
            <w:tcW w:w="2948" w:type="dxa"/>
            <w:vAlign w:val="center"/>
          </w:tcPr>
          <w:p w14:paraId="02BB14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状态内样本天数、年份覆盖</w:t>
            </w:r>
          </w:p>
        </w:tc>
        <w:tc>
          <w:tcPr>
            <w:tcW w:w="4706" w:type="dxa"/>
            <w:vAlign w:val="center"/>
          </w:tcPr>
          <w:p w14:paraId="5E203D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衡量统计可靠性。</w:t>
            </w:r>
          </w:p>
        </w:tc>
      </w:tr>
    </w:tbl>
    <w:p w14:paraId="79B0CF56"/>
    <w:p w14:paraId="1E2E14C8">
      <w:pPr>
        <w:pStyle w:val="4"/>
      </w:pPr>
      <w:r>
        <w:t>5.3 为什么不能只看均值</w:t>
      </w:r>
    </w:p>
    <w:p w14:paraId="5C1DE7B1">
      <w:r>
        <w:t>均值容易被极端值和少数样本主导。如果一个类别在 20 个状态样本里只有 2 个样本表现极好，那么均值可能看起来很漂亮，但这不代表它在大多数条件下都稳健。因此，研究中应同时关注中位数、分位数、正向比例和样本覆盖，而不是只看单一均值。</w:t>
      </w:r>
    </w:p>
    <w:p w14:paraId="6526EDF1">
      <w:pPr>
        <w:pStyle w:val="4"/>
      </w:pPr>
      <w:r>
        <w:t>5.4 收缩与稳健性</w:t>
      </w:r>
    </w:p>
    <w:p w14:paraId="2FC4E8A6">
      <w:r>
        <w:t>当某个状态样本很少时，直接使用状态内表现会不稳定，因此需要收缩到全样本表现。样本越少，状态内权重越低；样本越多，状态内权重越高。这一步的思想很重要：我们不是盲信局部样本，而是在局部与全局之间做稳健折中。</w:t>
      </w:r>
    </w:p>
    <w:p w14:paraId="2D3F146A">
      <w:pPr>
        <w:shd w:val="clear" w:fill="F3F6F8"/>
        <w:ind w:left="283"/>
      </w:pPr>
      <w:r>
        <w:rPr>
          <w:rFonts w:ascii="Consolas" w:hAnsi="Consolas" w:eastAsia="Consolas"/>
          <w:sz w:val="18"/>
        </w:rPr>
        <w:t>AdjustedPerf(c, r) = w_r * Perf(c, r) + (1 - w_r) * Perf(c, all)</w:t>
      </w:r>
    </w:p>
    <w:p w14:paraId="542DE017">
      <w:pPr>
        <w:pStyle w:val="3"/>
      </w:pPr>
      <w:r>
        <w:t>6. 优势类别选择逻辑</w:t>
      </w:r>
    </w:p>
    <w:p w14:paraId="2A6BE40F">
      <w:pPr>
        <w:pStyle w:val="4"/>
      </w:pPr>
      <w:r>
        <w:t>6.1 选择不是硬切换</w:t>
      </w:r>
    </w:p>
    <w:p w14:paraId="3B9CBE87">
      <w:r>
        <w:t>一个常见误区是把状态选择写成硬规则，例如“上涨就只用趋势类，下跌就只用反转类”。更合理的方式是把状态识别结果转化为类别评分，再按评分分配预算。这样既保留状态信息，又避免类别过度集中。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5386"/>
      </w:tblGrid>
      <w:tr w14:paraId="03E08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70A1D8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评分因子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5D8CE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AF1FE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 w14:paraId="0B4CC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312C8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状态内 ICIR</w:t>
            </w:r>
          </w:p>
        </w:tc>
        <w:tc>
          <w:tcPr>
            <w:tcW w:w="1701" w:type="dxa"/>
            <w:vAlign w:val="center"/>
          </w:tcPr>
          <w:p w14:paraId="5EB572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越高越好</w:t>
            </w:r>
          </w:p>
        </w:tc>
        <w:tc>
          <w:tcPr>
            <w:tcW w:w="5386" w:type="dxa"/>
            <w:vAlign w:val="center"/>
          </w:tcPr>
          <w:p w14:paraId="270ADD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强调当前状态下的稳定性。</w:t>
            </w:r>
          </w:p>
        </w:tc>
      </w:tr>
      <w:tr w14:paraId="55ABE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C80F8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状态内 RankIC</w:t>
            </w:r>
          </w:p>
        </w:tc>
        <w:tc>
          <w:tcPr>
            <w:tcW w:w="1701" w:type="dxa"/>
            <w:vAlign w:val="center"/>
          </w:tcPr>
          <w:p w14:paraId="1370E7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越高越好</w:t>
            </w:r>
          </w:p>
        </w:tc>
        <w:tc>
          <w:tcPr>
            <w:tcW w:w="5386" w:type="dxa"/>
            <w:vAlign w:val="center"/>
          </w:tcPr>
          <w:p w14:paraId="477010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强调横截面排序能力。</w:t>
            </w:r>
          </w:p>
        </w:tc>
      </w:tr>
      <w:tr w14:paraId="7154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0BAEE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最近窗口表现</w:t>
            </w:r>
          </w:p>
        </w:tc>
        <w:tc>
          <w:tcPr>
            <w:tcW w:w="1701" w:type="dxa"/>
            <w:vAlign w:val="center"/>
          </w:tcPr>
          <w:p w14:paraId="79A0ED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越高越好</w:t>
            </w:r>
          </w:p>
        </w:tc>
        <w:tc>
          <w:tcPr>
            <w:tcW w:w="5386" w:type="dxa"/>
            <w:vAlign w:val="center"/>
          </w:tcPr>
          <w:p w14:paraId="4A54ED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防止长期有效但近期失效。</w:t>
            </w:r>
          </w:p>
        </w:tc>
      </w:tr>
      <w:tr w14:paraId="31FC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C830C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回撤和换手</w:t>
            </w:r>
          </w:p>
        </w:tc>
        <w:tc>
          <w:tcPr>
            <w:tcW w:w="1701" w:type="dxa"/>
            <w:vAlign w:val="center"/>
          </w:tcPr>
          <w:p w14:paraId="380886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越低越好</w:t>
            </w:r>
          </w:p>
        </w:tc>
        <w:tc>
          <w:tcPr>
            <w:tcW w:w="5386" w:type="dxa"/>
            <w:vAlign w:val="center"/>
          </w:tcPr>
          <w:p w14:paraId="6CF760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控制风险和交易成本。</w:t>
            </w:r>
          </w:p>
        </w:tc>
      </w:tr>
      <w:tr w14:paraId="31B2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D7552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内部相关性</w:t>
            </w:r>
          </w:p>
        </w:tc>
        <w:tc>
          <w:tcPr>
            <w:tcW w:w="1701" w:type="dxa"/>
            <w:vAlign w:val="center"/>
          </w:tcPr>
          <w:p w14:paraId="4F2946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越低越好</w:t>
            </w:r>
          </w:p>
        </w:tc>
        <w:tc>
          <w:tcPr>
            <w:tcW w:w="5386" w:type="dxa"/>
            <w:vAlign w:val="center"/>
          </w:tcPr>
          <w:p w14:paraId="4A1E30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防止类别内重复。</w:t>
            </w:r>
          </w:p>
        </w:tc>
      </w:tr>
      <w:tr w14:paraId="14824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B6604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样本可靠性</w:t>
            </w:r>
          </w:p>
        </w:tc>
        <w:tc>
          <w:tcPr>
            <w:tcW w:w="1701" w:type="dxa"/>
            <w:vAlign w:val="center"/>
          </w:tcPr>
          <w:p w14:paraId="1BB8DF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越高越好</w:t>
            </w:r>
          </w:p>
        </w:tc>
        <w:tc>
          <w:tcPr>
            <w:tcW w:w="5386" w:type="dxa"/>
            <w:vAlign w:val="center"/>
          </w:tcPr>
          <w:p w14:paraId="37FEAA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降低偶然结论权重。</w:t>
            </w:r>
          </w:p>
        </w:tc>
      </w:tr>
    </w:tbl>
    <w:p w14:paraId="75AE2791"/>
    <w:p w14:paraId="7E0978D8">
      <w:pPr>
        <w:pStyle w:val="4"/>
      </w:pPr>
      <w:r>
        <w:t>6.2 类别预算</w:t>
      </w:r>
    </w:p>
    <w:p w14:paraId="355A9A20">
      <w:r>
        <w:t>类别预算不是最终权重，而是一个上层分配机制。它的作用是限制某一类别在最终组合中占用过多比重，从而避免“看起来分散，实则同质”的问题。</w:t>
      </w:r>
    </w:p>
    <w:p w14:paraId="7CD06BDF">
      <w:pPr>
        <w:pStyle w:val="16"/>
      </w:pPr>
      <w:r>
        <w:t>单类别不宜长期压倒其他类别。</w:t>
      </w:r>
    </w:p>
    <w:p w14:paraId="37EC48F2">
      <w:pPr>
        <w:pStyle w:val="16"/>
      </w:pPr>
      <w:r>
        <w:t>类别预算应平滑变化，避免状态切换引发组合跳变。</w:t>
      </w:r>
    </w:p>
    <w:p w14:paraId="1AC372F9">
      <w:pPr>
        <w:pStyle w:val="16"/>
      </w:pPr>
      <w:r>
        <w:t>预算分配最好保留少量冗余，以应对状态识别错误。</w:t>
      </w:r>
    </w:p>
    <w:p w14:paraId="0228224F">
      <w:pPr>
        <w:pStyle w:val="4"/>
      </w:pPr>
      <w:r>
        <w:t>6.3 选择后的解释</w:t>
      </w:r>
    </w:p>
    <w:p w14:paraId="47F397EA">
      <w:r>
        <w:t>一旦选定优势类别，必须能够回答为什么选它。解释不应只写“最近表现好”，而应写成：当前状态在历史上更接近哪类环境、该类别在这些环境中为什么更有效、它的收益是否伴随着可接受的风险、以及这种优势是否足够稳健。</w:t>
      </w:r>
    </w:p>
    <w:p w14:paraId="76F58F74">
      <w:pPr>
        <w:pStyle w:val="3"/>
      </w:pPr>
      <w:r>
        <w:t>7. 具体因子筛选与组合</w:t>
      </w:r>
    </w:p>
    <w:p w14:paraId="7E91173D">
      <w:pPr>
        <w:pStyle w:val="4"/>
      </w:pPr>
      <w:r>
        <w:t>7.1 从类别到因子</w:t>
      </w:r>
    </w:p>
    <w:p w14:paraId="42EE10A2">
      <w:r>
        <w:t>类别选择只是中间层，最终仍要落到具体因子。所以研究顺序应是：先选择优势类别，再从类别内部选择因子</w:t>
      </w:r>
      <w:bookmarkStart w:id="0" w:name="_GoBack"/>
      <w:bookmarkEnd w:id="0"/>
      <w:r>
        <w:t>，再做去重和组合。这样可以保持研究逻辑清晰，避免在一开始就把所有因子混在一起筛选。</w:t>
      </w:r>
    </w:p>
    <w:p w14:paraId="3CFF3B2E">
      <w:pPr>
        <w:pStyle w:val="4"/>
      </w:pPr>
      <w:r>
        <w:t>7.2 因子筛选条件</w:t>
      </w:r>
    </w:p>
    <w:p w14:paraId="07D6D200">
      <w:pPr>
        <w:pStyle w:val="14"/>
      </w:pPr>
      <w:r>
        <w:t>生成阶段必须合格：IC、RankIC、ICIR、覆盖率达到阈值。</w:t>
      </w:r>
    </w:p>
    <w:p w14:paraId="6DE5A13A">
      <w:pPr>
        <w:pStyle w:val="14"/>
      </w:pPr>
      <w:r>
        <w:t>回测阶段必须可交易：收益、Sharpe、回撤、换手与成本后表现可接受。</w:t>
      </w:r>
    </w:p>
    <w:p w14:paraId="000C8340">
      <w:pPr>
        <w:pStyle w:val="14"/>
      </w:pPr>
      <w:r>
        <w:t>当前状态下方向不能长期与全样本相反。</w:t>
      </w:r>
    </w:p>
    <w:p w14:paraId="51EDBE88">
      <w:pPr>
        <w:pStyle w:val="14"/>
      </w:pPr>
      <w:r>
        <w:t>与其他候选因子的相关性不能过高。</w:t>
      </w:r>
    </w:p>
    <w:p w14:paraId="4E80D063">
      <w:pPr>
        <w:pStyle w:val="14"/>
      </w:pPr>
      <w:r>
        <w:t>近期表现不能明显失效。</w:t>
      </w:r>
    </w:p>
    <w:p w14:paraId="5135256D">
      <w:pPr>
        <w:pStyle w:val="4"/>
      </w:pPr>
      <w:r>
        <w:t>7.3 因子组合原则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6483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7F9E7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原则</w:t>
            </w:r>
          </w:p>
        </w:tc>
        <w:tc>
          <w:tcPr>
            <w:tcW w:w="7257" w:type="dxa"/>
            <w:shd w:val="clear" w:color="auto" w:fill="D9EAF7"/>
            <w:vAlign w:val="center"/>
          </w:tcPr>
          <w:p w14:paraId="126E58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解释</w:t>
            </w:r>
          </w:p>
        </w:tc>
      </w:tr>
      <w:tr w14:paraId="735E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531A5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去重</w:t>
            </w:r>
          </w:p>
        </w:tc>
        <w:tc>
          <w:tcPr>
            <w:tcW w:w="7257" w:type="dxa"/>
            <w:vAlign w:val="center"/>
          </w:tcPr>
          <w:p w14:paraId="5D6DCD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同一逻辑不要重复堆叠。</w:t>
            </w:r>
          </w:p>
        </w:tc>
      </w:tr>
      <w:tr w14:paraId="0260E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5CCC0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互补</w:t>
            </w:r>
          </w:p>
        </w:tc>
        <w:tc>
          <w:tcPr>
            <w:tcW w:w="7257" w:type="dxa"/>
            <w:vAlign w:val="center"/>
          </w:tcPr>
          <w:p w14:paraId="0348E2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优先组合低相关、不同逻辑的因子。</w:t>
            </w:r>
          </w:p>
        </w:tc>
      </w:tr>
      <w:tr w14:paraId="50F54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2EE19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约束</w:t>
            </w:r>
          </w:p>
        </w:tc>
        <w:tc>
          <w:tcPr>
            <w:tcW w:w="7257" w:type="dxa"/>
            <w:vAlign w:val="center"/>
          </w:tcPr>
          <w:p w14:paraId="28B142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设置单因子权重上限和单类别权重上限。</w:t>
            </w:r>
          </w:p>
        </w:tc>
      </w:tr>
      <w:tr w14:paraId="5364A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6A8F7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稳健</w:t>
            </w:r>
          </w:p>
        </w:tc>
        <w:tc>
          <w:tcPr>
            <w:tcW w:w="7257" w:type="dxa"/>
            <w:vAlign w:val="center"/>
          </w:tcPr>
          <w:p w14:paraId="690C1B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用滚动窗口验证，不只看单次最优结果。</w:t>
            </w:r>
          </w:p>
        </w:tc>
      </w:tr>
      <w:tr w14:paraId="34F0D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EE83A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成本意识</w:t>
            </w:r>
          </w:p>
        </w:tc>
        <w:tc>
          <w:tcPr>
            <w:tcW w:w="7257" w:type="dxa"/>
            <w:vAlign w:val="center"/>
          </w:tcPr>
          <w:p w14:paraId="6863ED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组合必须考虑换手和交易成本。</w:t>
            </w:r>
          </w:p>
        </w:tc>
      </w:tr>
    </w:tbl>
    <w:p w14:paraId="3E7F445B"/>
    <w:p w14:paraId="0706D928">
      <w:pPr>
        <w:pStyle w:val="4"/>
      </w:pPr>
      <w:r>
        <w:t>7.4 为什么组合比单因子重要</w:t>
      </w:r>
    </w:p>
    <w:p w14:paraId="1B35685D">
      <w:r>
        <w:t>单因子容易受样本、参数和市场状态影响；组合可以通过互补关系降低波动、提高稳定性。因此，从研究角度看，优秀的单因子只是起点，真正重要的是能否形成一套稳定的组合逻辑。</w:t>
      </w:r>
    </w:p>
    <w:p w14:paraId="6F111DBA">
      <w:pPr>
        <w:pStyle w:val="3"/>
      </w:pPr>
      <w:r>
        <w:t>8. 验证框架</w:t>
      </w:r>
    </w:p>
    <w:p w14:paraId="58B56B88">
      <w:pPr>
        <w:pStyle w:val="4"/>
      </w:pPr>
      <w:r>
        <w:t>8.1 需要什么样的验证</w:t>
      </w:r>
    </w:p>
    <w:p w14:paraId="0EA35A43">
      <w:r>
        <w:t>方法论研究最怕“看起来合理，但只在历史里成立”。因此，任何结论都必须经过滚动验证：先在历史窗口中形成选择规则，再在未来窗口中验证规则是否仍然有效。</w:t>
      </w:r>
    </w:p>
    <w:p w14:paraId="00BF7444">
      <w:pPr>
        <w:pStyle w:val="14"/>
      </w:pPr>
      <w:r>
        <w:t>训练窗口：用于估计类别表现、状态映射和选择规则。</w:t>
      </w:r>
    </w:p>
    <w:p w14:paraId="09EDC477">
      <w:pPr>
        <w:pStyle w:val="14"/>
      </w:pPr>
      <w:r>
        <w:t>验证窗口：用于检验规则是否稳定，帮助调参但不应用于最终结论。</w:t>
      </w:r>
    </w:p>
    <w:p w14:paraId="64388D83">
      <w:pPr>
        <w:pStyle w:val="14"/>
      </w:pPr>
      <w:r>
        <w:t>测试窗口：用于报告最终研究结果。</w:t>
      </w:r>
    </w:p>
    <w:p w14:paraId="4C574355">
      <w:pPr>
        <w:pStyle w:val="14"/>
      </w:pPr>
      <w:r>
        <w:t>多次滚动：用于评估方法在不同历史阶段的稳定性。</w:t>
      </w:r>
    </w:p>
    <w:p w14:paraId="55016027">
      <w:pPr>
        <w:pStyle w:val="4"/>
      </w:pPr>
      <w:r>
        <w:t>8.2 对照组设计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CDD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F7A94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对照组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1268A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 w14:paraId="213B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D5984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静态组合</w:t>
            </w:r>
          </w:p>
        </w:tc>
        <w:tc>
          <w:tcPr>
            <w:tcW w:w="6803" w:type="dxa"/>
            <w:vAlign w:val="center"/>
          </w:tcPr>
          <w:p w14:paraId="6EEE70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检验不考虑状态时的基准表现。</w:t>
            </w:r>
          </w:p>
        </w:tc>
      </w:tr>
      <w:tr w14:paraId="0ADD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2BDF4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只按分数选因子</w:t>
            </w:r>
          </w:p>
        </w:tc>
        <w:tc>
          <w:tcPr>
            <w:tcW w:w="6803" w:type="dxa"/>
            <w:vAlign w:val="center"/>
          </w:tcPr>
          <w:p w14:paraId="724188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检验不使用状态信息时的效果。</w:t>
            </w:r>
          </w:p>
        </w:tc>
      </w:tr>
      <w:tr w14:paraId="484D6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F143F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只按类别选</w:t>
            </w:r>
          </w:p>
        </w:tc>
        <w:tc>
          <w:tcPr>
            <w:tcW w:w="6803" w:type="dxa"/>
            <w:vAlign w:val="center"/>
          </w:tcPr>
          <w:p w14:paraId="71B2EE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检验类别层级的贡献。</w:t>
            </w:r>
          </w:p>
        </w:tc>
      </w:tr>
      <w:tr w14:paraId="55373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6E434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状态驱动类别选择</w:t>
            </w:r>
          </w:p>
        </w:tc>
        <w:tc>
          <w:tcPr>
            <w:tcW w:w="6803" w:type="dxa"/>
            <w:vAlign w:val="center"/>
          </w:tcPr>
          <w:p w14:paraId="1D05FE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检验状态信息是否提升上层分配。</w:t>
            </w:r>
          </w:p>
        </w:tc>
      </w:tr>
      <w:tr w14:paraId="35D23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38003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状态驱动因子组合</w:t>
            </w:r>
          </w:p>
        </w:tc>
        <w:tc>
          <w:tcPr>
            <w:tcW w:w="6803" w:type="dxa"/>
            <w:vAlign w:val="center"/>
          </w:tcPr>
          <w:p w14:paraId="599E54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检验完整方法论的最终价值。</w:t>
            </w:r>
          </w:p>
        </w:tc>
      </w:tr>
    </w:tbl>
    <w:p w14:paraId="6C99A5D8"/>
    <w:p w14:paraId="651ED8A7">
      <w:pPr>
        <w:pStyle w:val="4"/>
      </w:pPr>
      <w:r>
        <w:t>8.3 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80BA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AEF9F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指标类型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1DD83D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</w:tr>
      <w:tr w14:paraId="33C89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DD3F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收益</w:t>
            </w:r>
          </w:p>
        </w:tc>
        <w:tc>
          <w:tcPr>
            <w:tcW w:w="7370" w:type="dxa"/>
            <w:vAlign w:val="center"/>
          </w:tcPr>
          <w:p w14:paraId="386232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年化收益、累计收益、超额收益</w:t>
            </w:r>
          </w:p>
        </w:tc>
      </w:tr>
      <w:tr w14:paraId="10037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3E91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</w:t>
            </w:r>
          </w:p>
        </w:tc>
        <w:tc>
          <w:tcPr>
            <w:tcW w:w="7370" w:type="dxa"/>
            <w:vAlign w:val="center"/>
          </w:tcPr>
          <w:p w14:paraId="426F09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最大回撤、波动率、回撤持续时间</w:t>
            </w:r>
          </w:p>
        </w:tc>
      </w:tr>
      <w:tr w14:paraId="2C45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B387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效率</w:t>
            </w:r>
          </w:p>
        </w:tc>
        <w:tc>
          <w:tcPr>
            <w:tcW w:w="7370" w:type="dxa"/>
            <w:vAlign w:val="center"/>
          </w:tcPr>
          <w:p w14:paraId="12DA68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Sharpe、Calmar、Sortino</w:t>
            </w:r>
          </w:p>
        </w:tc>
      </w:tr>
      <w:tr w14:paraId="6DD3B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269F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交易</w:t>
            </w:r>
          </w:p>
        </w:tc>
        <w:tc>
          <w:tcPr>
            <w:tcW w:w="7370" w:type="dxa"/>
            <w:vAlign w:val="center"/>
          </w:tcPr>
          <w:p w14:paraId="5BB23B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换手率、成本后收益</w:t>
            </w:r>
          </w:p>
        </w:tc>
      </w:tr>
      <w:tr w14:paraId="08EE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E4A4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w="7370" w:type="dxa"/>
            <w:vAlign w:val="center"/>
          </w:tcPr>
          <w:p w14:paraId="5BAFB2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月度胜率、年份一致性、滚动指标</w:t>
            </w:r>
          </w:p>
        </w:tc>
      </w:tr>
      <w:tr w14:paraId="483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8EE7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解释性</w:t>
            </w:r>
          </w:p>
        </w:tc>
        <w:tc>
          <w:tcPr>
            <w:tcW w:w="7370" w:type="dxa"/>
            <w:vAlign w:val="center"/>
          </w:tcPr>
          <w:p w14:paraId="281ECB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类别集中度、状态归因、因子重复度</w:t>
            </w:r>
          </w:p>
        </w:tc>
      </w:tr>
    </w:tbl>
    <w:p w14:paraId="26A3AC98"/>
    <w:p w14:paraId="14060534">
      <w:pPr>
        <w:pStyle w:val="4"/>
      </w:pPr>
      <w:r>
        <w:t>8.4 结果解释原则</w:t>
      </w:r>
    </w:p>
    <w:p w14:paraId="6CA1D769">
      <w:pPr>
        <w:pStyle w:val="16"/>
      </w:pPr>
      <w:r>
        <w:t>不能只报告最好的一段结果，要同时报告失败区间。</w:t>
      </w:r>
    </w:p>
    <w:p w14:paraId="19C2C020">
      <w:pPr>
        <w:pStyle w:val="16"/>
      </w:pPr>
      <w:r>
        <w:t>不能把统计相关性写成机制因果。</w:t>
      </w:r>
    </w:p>
    <w:p w14:paraId="31338F3A">
      <w:pPr>
        <w:pStyle w:val="16"/>
      </w:pPr>
      <w:r>
        <w:t>不能把一次最优参数当成稳定规律。</w:t>
      </w:r>
    </w:p>
    <w:p w14:paraId="43D023A5">
      <w:pPr>
        <w:pStyle w:val="16"/>
      </w:pPr>
      <w:r>
        <w:t>不能忽略成本后表现。</w:t>
      </w:r>
    </w:p>
    <w:p w14:paraId="289F1F0C">
      <w:pPr>
        <w:pStyle w:val="3"/>
      </w:pPr>
      <w:r>
        <w:t>9. 方法论中的关键风险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3742"/>
      </w:tblGrid>
      <w:tr w14:paraId="60F7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FEA24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75CCC5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表现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691B1F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控制方法</w:t>
            </w:r>
          </w:p>
        </w:tc>
      </w:tr>
      <w:tr w14:paraId="25CB1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ED105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数据泄漏</w:t>
            </w:r>
          </w:p>
        </w:tc>
        <w:tc>
          <w:tcPr>
            <w:tcW w:w="3515" w:type="dxa"/>
            <w:vAlign w:val="center"/>
          </w:tcPr>
          <w:p w14:paraId="09A4E1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用未来信息定义状态或筛选因子。</w:t>
            </w:r>
          </w:p>
        </w:tc>
        <w:tc>
          <w:tcPr>
            <w:tcW w:w="3742" w:type="dxa"/>
            <w:vAlign w:val="center"/>
          </w:tcPr>
          <w:p w14:paraId="5110A5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严格按时间滚动，所有标签都要在当时可得。</w:t>
            </w:r>
          </w:p>
        </w:tc>
      </w:tr>
      <w:tr w14:paraId="4EE5B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9E528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过拟合</w:t>
            </w:r>
          </w:p>
        </w:tc>
        <w:tc>
          <w:tcPr>
            <w:tcW w:w="3515" w:type="dxa"/>
            <w:vAlign w:val="center"/>
          </w:tcPr>
          <w:p w14:paraId="168C97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状态、类别、阈值过多。</w:t>
            </w:r>
          </w:p>
        </w:tc>
        <w:tc>
          <w:tcPr>
            <w:tcW w:w="3742" w:type="dxa"/>
            <w:vAlign w:val="center"/>
          </w:tcPr>
          <w:p w14:paraId="30C5BC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控制状态数量和自由度，保留独立测试集。</w:t>
            </w:r>
          </w:p>
        </w:tc>
      </w:tr>
      <w:tr w14:paraId="51FD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1223B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样本不足</w:t>
            </w:r>
          </w:p>
        </w:tc>
        <w:tc>
          <w:tcPr>
            <w:tcW w:w="3515" w:type="dxa"/>
            <w:vAlign w:val="center"/>
          </w:tcPr>
          <w:p w14:paraId="340A6C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某些状态下样本太少。</w:t>
            </w:r>
          </w:p>
        </w:tc>
        <w:tc>
          <w:tcPr>
            <w:tcW w:w="3742" w:type="dxa"/>
            <w:vAlign w:val="center"/>
          </w:tcPr>
          <w:p w14:paraId="22794C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使用收缩估计和最小样本门槛。</w:t>
            </w:r>
          </w:p>
        </w:tc>
      </w:tr>
      <w:tr w14:paraId="792E6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AB496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多重检验</w:t>
            </w:r>
          </w:p>
        </w:tc>
        <w:tc>
          <w:tcPr>
            <w:tcW w:w="3515" w:type="dxa"/>
            <w:vAlign w:val="center"/>
          </w:tcPr>
          <w:p w14:paraId="05CC72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试了很多组合后才看到显著结果。</w:t>
            </w:r>
          </w:p>
        </w:tc>
        <w:tc>
          <w:tcPr>
            <w:tcW w:w="3742" w:type="dxa"/>
            <w:vAlign w:val="center"/>
          </w:tcPr>
          <w:p w14:paraId="6D3F11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预先定义研究协议和对照组。</w:t>
            </w:r>
          </w:p>
        </w:tc>
      </w:tr>
      <w:tr w14:paraId="1720F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1EF5A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换手过高</w:t>
            </w:r>
          </w:p>
        </w:tc>
        <w:tc>
          <w:tcPr>
            <w:tcW w:w="3515" w:type="dxa"/>
            <w:vAlign w:val="center"/>
          </w:tcPr>
          <w:p w14:paraId="2E27E6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毛收益可观但成本后失效。</w:t>
            </w:r>
          </w:p>
        </w:tc>
        <w:tc>
          <w:tcPr>
            <w:tcW w:w="3742" w:type="dxa"/>
            <w:vAlign w:val="center"/>
          </w:tcPr>
          <w:p w14:paraId="19A1AF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把交易成本作为核心约束。</w:t>
            </w:r>
          </w:p>
        </w:tc>
      </w:tr>
      <w:tr w14:paraId="183B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6DD77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解释过度</w:t>
            </w:r>
          </w:p>
        </w:tc>
        <w:tc>
          <w:tcPr>
            <w:tcW w:w="3515" w:type="dxa"/>
            <w:vAlign w:val="center"/>
          </w:tcPr>
          <w:p w14:paraId="7A5765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把经验规律说成普遍真理。</w:t>
            </w:r>
          </w:p>
        </w:tc>
        <w:tc>
          <w:tcPr>
            <w:tcW w:w="3742" w:type="dxa"/>
            <w:vAlign w:val="center"/>
          </w:tcPr>
          <w:p w14:paraId="118627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明确边界、适用条件和失败案例。</w:t>
            </w:r>
          </w:p>
        </w:tc>
      </w:tr>
    </w:tbl>
    <w:p w14:paraId="7F8AB8BB"/>
    <w:p w14:paraId="4A558753">
      <w:pPr>
        <w:pStyle w:val="3"/>
      </w:pPr>
      <w:r>
        <w:t>10. 推荐的论文式结构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FCD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1F695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3AEB11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写什么</w:t>
            </w:r>
          </w:p>
        </w:tc>
      </w:tr>
      <w:tr w14:paraId="19311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6F95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引言</w:t>
            </w:r>
          </w:p>
        </w:tc>
        <w:tc>
          <w:tcPr>
            <w:tcW w:w="7370" w:type="dxa"/>
            <w:vAlign w:val="center"/>
          </w:tcPr>
          <w:p w14:paraId="36169A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为什么要研究状态驱动的因子选择，现有工作缺什么。</w:t>
            </w:r>
          </w:p>
        </w:tc>
      </w:tr>
      <w:tr w14:paraId="09B8A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B7FC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方法</w:t>
            </w:r>
          </w:p>
        </w:tc>
        <w:tc>
          <w:tcPr>
            <w:tcW w:w="7370" w:type="dxa"/>
            <w:vAlign w:val="center"/>
          </w:tcPr>
          <w:p w14:paraId="10899A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因子分类、状态识别、条件统计、类别选择、因子组合。</w:t>
            </w:r>
          </w:p>
        </w:tc>
      </w:tr>
      <w:tr w14:paraId="376BE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400A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实验</w:t>
            </w:r>
          </w:p>
        </w:tc>
        <w:tc>
          <w:tcPr>
            <w:tcW w:w="7370" w:type="dxa"/>
            <w:vAlign w:val="center"/>
          </w:tcPr>
          <w:p w14:paraId="32123E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样本划分、对照组、指标、滚动验证。</w:t>
            </w:r>
          </w:p>
        </w:tc>
      </w:tr>
      <w:tr w14:paraId="6628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316F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讨论</w:t>
            </w:r>
          </w:p>
        </w:tc>
        <w:tc>
          <w:tcPr>
            <w:tcW w:w="7370" w:type="dxa"/>
            <w:vAlign w:val="center"/>
          </w:tcPr>
          <w:p w14:paraId="18E7FC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为什么某些状态下某些类别更有效，结论边界是什么。</w:t>
            </w:r>
          </w:p>
        </w:tc>
      </w:tr>
      <w:tr w14:paraId="40B3B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76B3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结论</w:t>
            </w:r>
          </w:p>
        </w:tc>
        <w:tc>
          <w:tcPr>
            <w:tcW w:w="7370" w:type="dxa"/>
            <w:vAlign w:val="center"/>
          </w:tcPr>
          <w:p w14:paraId="6B3747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总结可迁移的研究逻辑与未来扩展方向。</w:t>
            </w:r>
          </w:p>
        </w:tc>
      </w:tr>
    </w:tbl>
    <w:p w14:paraId="799B2E15"/>
    <w:p w14:paraId="5B605EC5">
      <w:pPr>
        <w:pStyle w:val="4"/>
      </w:pPr>
      <w:r>
        <w:t>10.1 结论应该怎么写</w:t>
      </w:r>
    </w:p>
    <w:p w14:paraId="6B73E477">
      <w:pPr>
        <w:pStyle w:val="16"/>
      </w:pPr>
      <w:r>
        <w:t>先给出结论，再给出证据。</w:t>
      </w:r>
    </w:p>
    <w:p w14:paraId="55D048CA">
      <w:pPr>
        <w:pStyle w:val="16"/>
      </w:pPr>
      <w:r>
        <w:t>先说明适用边界，再谈潜在推广。</w:t>
      </w:r>
    </w:p>
    <w:p w14:paraId="3C4E25EE">
      <w:pPr>
        <w:pStyle w:val="16"/>
      </w:pPr>
      <w:r>
        <w:t>先讲研究逻辑，再讲结果数字。</w:t>
      </w:r>
    </w:p>
    <w:p w14:paraId="40AFBDA8">
      <w:pPr>
        <w:pStyle w:val="3"/>
      </w:pPr>
      <w:r>
        <w:t>11. 研究总结</w:t>
      </w:r>
    </w:p>
    <w:p w14:paraId="4E72F9A9">
      <w:r>
        <w:t>整个研究逻辑可以压缩成一句话：把因子从单点表达式提升为逻辑类别，把市场从连续行情提升为状态集合，再研究“类别在什么状态下更有效”，并用滚动验证判断这套规律是否能迁移到未来。</w:t>
      </w:r>
    </w:p>
    <w:p w14:paraId="155C38DD">
      <w:r>
        <w:t>如果这一逻辑成立，那么研究就不再是零散地找单因子，而是形成一套结构化的方法论：先分类、再识别状态、再做条件统计、再动态选择、最后用组合与回测验证。这也是一个更接近论文写作和研究汇报的表达方式。</w:t>
      </w:r>
    </w:p>
    <w:p w14:paraId="6395D62C">
      <w:pPr>
        <w:sectPr>
          <w:pgSz w:w="12240" w:h="15840"/>
          <w:pgMar w:top="1191" w:right="1191" w:bottom="1134" w:left="1191" w:header="720" w:footer="720" w:gutter="0"/>
          <w:cols w:space="720" w:num="1"/>
          <w:docGrid w:linePitch="360" w:charSpace="0"/>
        </w:sectPr>
      </w:pPr>
    </w:p>
    <w:p w14:paraId="3AB1543B">
      <w:pPr>
        <w:pStyle w:val="3"/>
      </w:pPr>
      <w:r>
        <w:t>附录 A：研究要素清单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611D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E8B78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2000DA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402DD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B44B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因子类别</w:t>
            </w:r>
          </w:p>
        </w:tc>
        <w:tc>
          <w:tcPr>
            <w:tcW w:w="7370" w:type="dxa"/>
            <w:vAlign w:val="center"/>
          </w:tcPr>
          <w:p w14:paraId="6E5B6E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趋势、反转、波动率、突破、流动性、价量结合、交易状态等。</w:t>
            </w:r>
          </w:p>
        </w:tc>
      </w:tr>
      <w:tr w14:paraId="5D0F7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0A53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市场状态</w:t>
            </w:r>
          </w:p>
        </w:tc>
        <w:tc>
          <w:tcPr>
            <w:tcW w:w="7370" w:type="dxa"/>
            <w:vAlign w:val="center"/>
          </w:tcPr>
          <w:p w14:paraId="131C1F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上涨低波动、上涨高波动、震荡、下跌、高分化等。</w:t>
            </w:r>
          </w:p>
        </w:tc>
      </w:tr>
      <w:tr w14:paraId="15E9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8BFB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条件指标</w:t>
            </w:r>
          </w:p>
        </w:tc>
        <w:tc>
          <w:tcPr>
            <w:tcW w:w="7370" w:type="dxa"/>
            <w:vAlign w:val="center"/>
          </w:tcPr>
          <w:p w14:paraId="4DFA25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IC、RankIC、ICIR、多空收益、Sharpe、回撤、换手、覆盖率。</w:t>
            </w:r>
          </w:p>
        </w:tc>
      </w:tr>
      <w:tr w14:paraId="0138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27AA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验证方式</w:t>
            </w:r>
          </w:p>
        </w:tc>
        <w:tc>
          <w:tcPr>
            <w:tcW w:w="7370" w:type="dxa"/>
            <w:vAlign w:val="center"/>
          </w:tcPr>
          <w:p w14:paraId="7CFBB2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训练/验证/测试、滚动窗口、对照组比较、稳健性分析。</w:t>
            </w:r>
          </w:p>
        </w:tc>
      </w:tr>
      <w:tr w14:paraId="3361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4E78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风险控制</w:t>
            </w:r>
          </w:p>
        </w:tc>
        <w:tc>
          <w:tcPr>
            <w:tcW w:w="7370" w:type="dxa"/>
            <w:vAlign w:val="center"/>
          </w:tcPr>
          <w:p w14:paraId="3C9F0C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无泄漏、低过拟合、样本足够、成本可控、解释不过度。</w:t>
            </w:r>
          </w:p>
        </w:tc>
      </w:tr>
    </w:tbl>
    <w:p w14:paraId="643B463B"/>
    <w:sectPr>
      <w:pgSz w:w="12240" w:h="15840"/>
      <w:pgMar w:top="1191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A9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9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2368</Words>
  <Characters>2554</Characters>
  <Lines>0</Lines>
  <Paragraphs>0</Paragraphs>
  <TotalTime>290</TotalTime>
  <ScaleCrop>false</ScaleCrop>
  <LinksUpToDate>false</LinksUpToDate>
  <CharactersWithSpaces>2589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Mabo.</cp:lastModifiedBy>
  <dcterms:modified xsi:type="dcterms:W3CDTF">2026-08-27T12:04:45Z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eyJoZGlkIjoiODBiMzllNGFjYzVmMTNiY2QyOGUxYjZjMWMzODQ2NTciLCJ1c2VySWQiOiI3MzAzODgzNjYifQ==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204A2EA8DFA84C7A988AA46DF95CE05F_12</vt:lpwstr>
  </property>
</Properties>
</file>