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xi8o12m40e5" w:id="0"/>
      <w:bookmarkEnd w:id="0"/>
      <w:r w:rsidDel="00000000" w:rsidR="00000000" w:rsidRPr="00000000">
        <w:rPr>
          <w:rtl w:val="0"/>
        </w:rPr>
        <w:t xml:space="preserve">Market Analysis Report: Liquidity and Technical Barriers in the Chinese Digital Item Ecosystem</w:t>
      </w:r>
    </w:p>
    <w:p w:rsidR="00000000" w:rsidDel="00000000" w:rsidP="00000000" w:rsidRDefault="00000000" w:rsidRPr="00000000" w14:paraId="00000002">
      <w:pPr>
        <w:pStyle w:val="Heading4"/>
        <w:rPr/>
      </w:pPr>
      <w:bookmarkStart w:colFirst="0" w:colLast="0" w:name="_yojgxmuwhbc1" w:id="1"/>
      <w:bookmarkEnd w:id="1"/>
      <w:r w:rsidDel="00000000" w:rsidR="00000000" w:rsidRPr="00000000">
        <w:rPr>
          <w:rtl w:val="0"/>
        </w:rPr>
        <w:t xml:space="preserve">1. Strategic Overview of the Buff163 Marketplace</w:t>
      </w:r>
    </w:p>
    <w:p w:rsidR="00000000" w:rsidDel="00000000" w:rsidP="00000000" w:rsidRDefault="00000000" w:rsidRPr="00000000" w14:paraId="00000003">
      <w:pPr>
        <w:rPr/>
      </w:pPr>
      <w:r w:rsidDel="00000000" w:rsidR="00000000" w:rsidRPr="00000000">
        <w:rPr>
          <w:rtl w:val="0"/>
        </w:rPr>
        <w:t xml:space="preserve">Buff163 represents the apex of the Chinese digital asset ecosystem, serving as a high-liquidity hub for sophisticated traders and arbitrageurs. For any market participant, a granular understanding of its technical architecture is a prerequisite for successful capital deployment. Operating within the specific regulatory constraints of the Chinese financial system, Buff163 offers depth and volume that Western-centric platforms cannot match, provided the trader can navigate its unique friction costs.Entry into this market requires a specialized "four-pillar" operational infrastructure: the Buff163 mobile application, a verified Alipay account, a secondary exchange (such as HTX) for cryptocurrency-to-CNY onramps, and a comparative price-tracking tool—specifically "Market CS" (CS:GO Market). This configuration creates a significant barrier to entry, but it yields a substantial competitive advantage. By bypassing the high fees and liquidity caps of the Steam Community Market, traders can unlock superior profit margins, though success remains contingent on mastering the underlying payment and verification pipelines.</w:t>
      </w:r>
    </w:p>
    <w:p w:rsidR="00000000" w:rsidDel="00000000" w:rsidP="00000000" w:rsidRDefault="00000000" w:rsidRPr="00000000" w14:paraId="00000004">
      <w:pPr>
        <w:pStyle w:val="Heading4"/>
        <w:rPr/>
      </w:pPr>
      <w:bookmarkStart w:colFirst="0" w:colLast="0" w:name="_55il54crj3cu" w:id="2"/>
      <w:bookmarkEnd w:id="2"/>
      <w:r w:rsidDel="00000000" w:rsidR="00000000" w:rsidRPr="00000000">
        <w:rPr>
          <w:rtl w:val="0"/>
        </w:rPr>
        <w:t xml:space="preserve">2. Technical Onboarding: The Alipay Verification Bottleneck</w:t>
      </w:r>
    </w:p>
    <w:p w:rsidR="00000000" w:rsidDel="00000000" w:rsidP="00000000" w:rsidRDefault="00000000" w:rsidRPr="00000000" w14:paraId="00000005">
      <w:pPr>
        <w:rPr/>
      </w:pPr>
      <w:r w:rsidDel="00000000" w:rsidR="00000000" w:rsidRPr="00000000">
        <w:rPr>
          <w:rtl w:val="0"/>
        </w:rPr>
        <w:t xml:space="preserve">Alipay serves as the central financial conduit for the ecosystem, acting as the primary bridge between the trader’s capital and the marketplace's inventory. Because Buff163 is tethered to Chinese domestic payment rails, a verified Alipay wallet is the only reliable mechanism for direct procurement. This verification process acts as a rigorous filter, ensuring that only market participants capable of navigating complex bureaucratic workflows can access the platform’s liquidity.</w:t>
      </w:r>
    </w:p>
    <w:p w:rsidR="00000000" w:rsidDel="00000000" w:rsidP="00000000" w:rsidRDefault="00000000" w:rsidRPr="00000000" w14:paraId="00000006">
      <w:pPr>
        <w:pStyle w:val="Heading5"/>
        <w:rPr/>
      </w:pPr>
      <w:bookmarkStart w:colFirst="0" w:colLast="0" w:name="_dap7bgc84xck" w:id="3"/>
      <w:bookmarkEnd w:id="3"/>
      <w:r w:rsidDel="00000000" w:rsidR="00000000" w:rsidRPr="00000000">
        <w:rPr>
          <w:rtl w:val="0"/>
        </w:rPr>
        <w:t xml:space="preserve">Fast-Track Verification Process</w:t>
      </w:r>
    </w:p>
    <w:p w:rsidR="00000000" w:rsidDel="00000000" w:rsidP="00000000" w:rsidRDefault="00000000" w:rsidRPr="00000000" w14:paraId="00000007">
      <w:pPr>
        <w:rPr/>
      </w:pPr>
      <w:r w:rsidDel="00000000" w:rsidR="00000000" w:rsidRPr="00000000">
        <w:rPr>
          <w:rtl w:val="0"/>
        </w:rPr>
        <w:t xml:space="preserve">International traders must adhere to a specific authentication protocol to secure a functional wallet:</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International Documentation:</w:t>
      </w:r>
      <w:r w:rsidDel="00000000" w:rsidR="00000000" w:rsidRPr="00000000">
        <w:rPr>
          <w:rtl w:val="0"/>
        </w:rPr>
        <w:t xml:space="preserve">  Only valid international passports are accepted; the system does not recognize non-resident national ID cards.</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Identity Information &amp; Biometrics:</w:t>
      </w:r>
      <w:r w:rsidDel="00000000" w:rsidR="00000000" w:rsidRPr="00000000">
        <w:rPr>
          <w:rtl w:val="0"/>
        </w:rPr>
        <w:t xml:space="preserve">  Users must scan their passport and complete a mandatory Face-ID authentication within the "Identity Information" section.</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Arbitrary Status Assignment:</w:t>
      </w:r>
      <w:r w:rsidDel="00000000" w:rsidR="00000000" w:rsidRPr="00000000">
        <w:rPr>
          <w:rtl w:val="0"/>
        </w:rPr>
        <w:t xml:space="preserve">  To minimize friction during onboarding, users can select any professional status, such as "Student," without impacting account functionality.</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Financial Security Code:</w:t>
      </w:r>
      <w:r w:rsidDel="00000000" w:rsidR="00000000" w:rsidRPr="00000000">
        <w:rPr>
          <w:rtl w:val="0"/>
        </w:rPr>
        <w:t xml:space="preserve">  The creation of a 6-digit payment code is essential, as this serves as the authorization key for every outgoing transaction.The primary risk factor in this phase is the  </w:t>
      </w:r>
      <w:r w:rsidDel="00000000" w:rsidR="00000000" w:rsidRPr="00000000">
        <w:rPr>
          <w:b w:val="1"/>
          <w:bCs w:val="1"/>
          <w:rtl w:val="0"/>
        </w:rPr>
        <w:t xml:space="preserve">"Double-Scan" verification protocol.</w:t>
      </w:r>
      <w:r w:rsidDel="00000000" w:rsidR="00000000" w:rsidRPr="00000000">
        <w:rPr>
          <w:rtl w:val="0"/>
        </w:rPr>
        <w:t xml:space="preserve">  The system requires an initial passport scan at the start and a final confirmation scan at the end of the process. If clerical errors, glare, or data discrepancies occur during the initial scan, the system triggers a hard failure only at the very final stage—forcing the trader to restart the entire sequence after significant time has been invested. Once verified, the wallet is ready to be integrated with a cryptocurrency-based funding pipeline.</w:t>
      </w:r>
    </w:p>
    <w:p w:rsidR="00000000" w:rsidDel="00000000" w:rsidP="00000000" w:rsidRDefault="00000000" w:rsidRPr="00000000" w14:paraId="0000000C">
      <w:pPr>
        <w:pStyle w:val="Heading4"/>
        <w:rPr/>
      </w:pPr>
      <w:bookmarkStart w:colFirst="0" w:colLast="0" w:name="_23394zv1rjbz" w:id="4"/>
      <w:bookmarkEnd w:id="4"/>
      <w:r w:rsidDel="00000000" w:rsidR="00000000" w:rsidRPr="00000000">
        <w:rPr>
          <w:rtl w:val="0"/>
        </w:rPr>
        <w:t xml:space="preserve">3. Liquidity Procurement: The HTX-Alipay P2P Pipeline</w:t>
      </w:r>
    </w:p>
    <w:p w:rsidR="00000000" w:rsidDel="00000000" w:rsidP="00000000" w:rsidRDefault="00000000" w:rsidRPr="00000000" w14:paraId="0000000D">
      <w:pPr>
        <w:rPr/>
      </w:pPr>
      <w:r w:rsidDel="00000000" w:rsidR="00000000" w:rsidRPr="00000000">
        <w:rPr>
          <w:rtl w:val="0"/>
        </w:rPr>
        <w:t xml:space="preserve">Traditional international banking rails are incompatible with the domestic requirements of the Chinese marketplace. Consequently, traders must utilize stablecoins (USDT) as a bridge currency. Capital is moved from a primary wallet to the HTX exchange, where it is liquidated into Chinese Yuan (CNY) via Peer-to-Peer (P2P) markets.</w:t>
      </w:r>
    </w:p>
    <w:p w:rsidR="00000000" w:rsidDel="00000000" w:rsidP="00000000" w:rsidRDefault="00000000" w:rsidRPr="00000000" w14:paraId="0000000E">
      <w:pPr>
        <w:pStyle w:val="Heading5"/>
        <w:rPr/>
      </w:pPr>
      <w:bookmarkStart w:colFirst="0" w:colLast="0" w:name="_wiy1medirl2" w:id="5"/>
      <w:bookmarkEnd w:id="5"/>
      <w:r w:rsidDel="00000000" w:rsidR="00000000" w:rsidRPr="00000000">
        <w:rPr>
          <w:rtl w:val="0"/>
        </w:rPr>
        <w:t xml:space="preserve">Technical Guardrails: Blockchain Network Compatibility</w:t>
      </w:r>
    </w:p>
    <w:p w:rsidR="00000000" w:rsidDel="00000000" w:rsidP="00000000" w:rsidRDefault="00000000" w:rsidRPr="00000000" w14:paraId="0000000F">
      <w:pPr>
        <w:rPr/>
      </w:pPr>
      <w:r w:rsidDel="00000000" w:rsidR="00000000" w:rsidRPr="00000000">
        <w:rPr>
          <w:rtl w:val="0"/>
        </w:rPr>
        <w:t xml:space="preserve">When transferring USDT to HTX, selecting the correct network is critical to prevent total capital loss.| Network Protocol | Token Type | Risk Profile &amp; Compatibility || ------ | ------ | ------ || </w:t>
      </w:r>
      <w:r w:rsidDel="00000000" w:rsidR="00000000" w:rsidRPr="00000000">
        <w:rPr>
          <w:b w:val="1"/>
          <w:bCs w:val="1"/>
          <w:rtl w:val="0"/>
        </w:rPr>
        <w:t xml:space="preserve">TRC20 (Tron)</w:t>
      </w:r>
      <w:r w:rsidDel="00000000" w:rsidR="00000000" w:rsidRPr="00000000">
        <w:rPr>
          <w:rtl w:val="0"/>
        </w:rPr>
        <w:t xml:space="preserve"> | USDT | High speed, low cost; the gold standard for this workflow. || </w:t>
      </w:r>
      <w:r w:rsidDel="00000000" w:rsidR="00000000" w:rsidRPr="00000000">
        <w:rPr>
          <w:b w:val="1"/>
          <w:bCs w:val="1"/>
          <w:rtl w:val="0"/>
        </w:rPr>
        <w:t xml:space="preserve">ERC20 (Ethereum)</w:t>
      </w:r>
      <w:r w:rsidDel="00000000" w:rsidR="00000000" w:rsidRPr="00000000">
        <w:rPr>
          <w:rtl w:val="0"/>
        </w:rPr>
        <w:t xml:space="preserve"> | USDT | High fees;  </w:t>
      </w:r>
      <w:r w:rsidDel="00000000" w:rsidR="00000000" w:rsidRPr="00000000">
        <w:rPr>
          <w:b w:val="1"/>
          <w:bCs w:val="1"/>
          <w:rtl w:val="0"/>
        </w:rPr>
        <w:t xml:space="preserve">Incompatible with TRC20</w:t>
      </w:r>
      <w:r w:rsidDel="00000000" w:rsidR="00000000" w:rsidRPr="00000000">
        <w:rPr>
          <w:rtl w:val="0"/>
        </w:rPr>
        <w:t xml:space="preserve">  addresses. || </w:t>
      </w:r>
      <w:r w:rsidDel="00000000" w:rsidR="00000000" w:rsidRPr="00000000">
        <w:rPr>
          <w:b w:val="1"/>
          <w:bCs w:val="1"/>
          <w:rtl w:val="0"/>
        </w:rPr>
        <w:t xml:space="preserve">BEP20 (BSC)</w:t>
      </w:r>
      <w:r w:rsidDel="00000000" w:rsidR="00000000" w:rsidRPr="00000000">
        <w:rPr>
          <w:rtl w:val="0"/>
        </w:rPr>
        <w:t xml:space="preserve"> | USDT | Low cost;  </w:t>
      </w:r>
      <w:r w:rsidDel="00000000" w:rsidR="00000000" w:rsidRPr="00000000">
        <w:rPr>
          <w:b w:val="1"/>
          <w:bCs w:val="1"/>
          <w:rtl w:val="0"/>
        </w:rPr>
        <w:t xml:space="preserve">Incompatible with TRC20</w:t>
      </w:r>
      <w:r w:rsidDel="00000000" w:rsidR="00000000" w:rsidRPr="00000000">
        <w:rPr>
          <w:rtl w:val="0"/>
        </w:rPr>
        <w:t xml:space="preserve">  addresses; high risk of cross-network loss. |</w:t>
      </w:r>
    </w:p>
    <w:p w:rsidR="00000000" w:rsidDel="00000000" w:rsidP="00000000" w:rsidRDefault="00000000" w:rsidRPr="00000000" w14:paraId="00000010">
      <w:pPr>
        <w:rPr/>
      </w:pPr>
      <w:r w:rsidDel="00000000" w:rsidR="00000000" w:rsidRPr="00000000">
        <w:rPr>
          <w:b w:val="1"/>
          <w:bCs w:val="1"/>
          <w:rtl w:val="0"/>
        </w:rPr>
        <w:t xml:space="preserve">Warning:</w:t>
      </w:r>
      <w:r w:rsidDel="00000000" w:rsidR="00000000" w:rsidRPr="00000000">
        <w:rPr>
          <w:rtl w:val="0"/>
        </w:rPr>
        <w:t xml:space="preserve">  Sending assets across incompatible networks (e.g., BEP20 to a TRC20 address) results in an immediate and unrecoverable loss of funds.</w:t>
      </w:r>
    </w:p>
    <w:p w:rsidR="00000000" w:rsidDel="00000000" w:rsidP="00000000" w:rsidRDefault="00000000" w:rsidRPr="00000000" w14:paraId="00000011">
      <w:pPr>
        <w:pStyle w:val="Heading5"/>
        <w:rPr/>
      </w:pPr>
      <w:bookmarkStart w:colFirst="0" w:colLast="0" w:name="_ff4jq95p5rkz" w:id="6"/>
      <w:bookmarkEnd w:id="6"/>
      <w:r w:rsidDel="00000000" w:rsidR="00000000" w:rsidRPr="00000000">
        <w:rPr>
          <w:rtl w:val="0"/>
        </w:rPr>
        <w:t xml:space="preserve">The P2P Settlement Workflow</w:t>
      </w:r>
    </w:p>
    <w:p w:rsidR="00000000" w:rsidDel="00000000" w:rsidP="00000000" w:rsidRDefault="00000000" w:rsidRPr="00000000" w14:paraId="00000012">
      <w:pPr>
        <w:rPr/>
      </w:pPr>
      <w:r w:rsidDel="00000000" w:rsidR="00000000" w:rsidRPr="00000000">
        <w:rPr>
          <w:rtl w:val="0"/>
        </w:rPr>
        <w:t xml:space="preserve">To acquire CNY, traders must navigate the HTX P2P interface and  </w:t>
      </w:r>
      <w:r w:rsidDel="00000000" w:rsidR="00000000" w:rsidRPr="00000000">
        <w:rPr>
          <w:b w:val="1"/>
          <w:bCs w:val="1"/>
          <w:rtl w:val="0"/>
        </w:rPr>
        <w:t xml:space="preserve">explicitly filter for the "Alipay" payment method.</w:t>
      </w:r>
      <w:r w:rsidDel="00000000" w:rsidR="00000000" w:rsidRPr="00000000">
        <w:rPr>
          <w:rtl w:val="0"/>
        </w:rPr>
        <w:t xml:space="preserve">  This ensures they are matched with buyers capable of depositing funds directly into their verified wallet. Traders must strictly adhere to the "Payment First, Release Second" security protocol: do not release the USDT from escrow until the CNY balance has been manually confirmed within the Alipay application. Once liquidity is secured, it can be deployed within the Buff163 interface.</w:t>
      </w:r>
    </w:p>
    <w:p w:rsidR="00000000" w:rsidDel="00000000" w:rsidP="00000000" w:rsidRDefault="00000000" w:rsidRPr="00000000" w14:paraId="00000013">
      <w:pPr>
        <w:pStyle w:val="Heading4"/>
        <w:rPr/>
      </w:pPr>
      <w:bookmarkStart w:colFirst="0" w:colLast="0" w:name="_9bxu3pd6sl6r" w:id="7"/>
      <w:bookmarkEnd w:id="7"/>
      <w:r w:rsidDel="00000000" w:rsidR="00000000" w:rsidRPr="00000000">
        <w:rPr>
          <w:rtl w:val="0"/>
        </w:rPr>
        <w:t xml:space="preserve">4. The Liquidity Dichotomy: Direct Payment vs. Platform Balance</w:t>
      </w:r>
    </w:p>
    <w:p w:rsidR="00000000" w:rsidDel="00000000" w:rsidP="00000000" w:rsidRDefault="00000000" w:rsidRPr="00000000" w14:paraId="00000014">
      <w:pPr>
        <w:rPr/>
      </w:pPr>
      <w:r w:rsidDel="00000000" w:rsidR="00000000" w:rsidRPr="00000000">
        <w:rPr>
          <w:rtl w:val="0"/>
        </w:rPr>
        <w:t xml:space="preserve">The most critical factor impacting investment ROI is the divergence between "Direct Alipay" purchasing and "Buff Balance" purchasing. This dichotomy represents the primary systemic challenge for non-resident traders.The "Direct-Payment Constraint" stems from a seller-side choice: at the moment of listing an item, the seller decides whether to accept direct Alipay transfers or only "Balance-only" transactions (funds already held within the platform’s internal ledger).</w:t>
      </w:r>
    </w:p>
    <w:p w:rsidR="00000000" w:rsidDel="00000000" w:rsidP="00000000" w:rsidRDefault="00000000" w:rsidRPr="00000000" w14:paraId="00000015">
      <w:pPr>
        <w:pStyle w:val="Heading5"/>
        <w:rPr/>
      </w:pPr>
      <w:bookmarkStart w:colFirst="0" w:colLast="0" w:name="_j9ac56g9spox" w:id="8"/>
      <w:bookmarkEnd w:id="8"/>
      <w:r w:rsidDel="00000000" w:rsidR="00000000" w:rsidRPr="00000000">
        <w:rPr>
          <w:rtl w:val="0"/>
        </w:rPr>
        <w:t xml:space="preserve">Procurement Risk Assessment</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Inventory Restriction:</w:t>
      </w:r>
      <w:r w:rsidDel="00000000" w:rsidR="00000000" w:rsidRPr="00000000">
        <w:rPr>
          <w:rtl w:val="0"/>
        </w:rPr>
        <w:t xml:space="preserve">  Direct-pay users are often excluded from the most "high-alpha" or profitable listings, as high-volume sellers frequently prefer the speed of internal Balance transactions.</w:t>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rtl w:val="0"/>
        </w:rPr>
        <w:t xml:space="preserve">Price Inefficiency:</w:t>
      </w:r>
      <w:r w:rsidDel="00000000" w:rsidR="00000000" w:rsidRPr="00000000">
        <w:rPr>
          <w:rtl w:val="0"/>
        </w:rPr>
        <w:t xml:space="preserve">  Because many optimal deals are locked behind the Balance requirement, beginners relying on direct Alipay payments must often settle for slightly less favorable buy prices.</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Strategic Limitation:</w:t>
      </w:r>
      <w:r w:rsidDel="00000000" w:rsidR="00000000" w:rsidRPr="00000000">
        <w:rPr>
          <w:rtl w:val="0"/>
        </w:rPr>
        <w:t xml:space="preserve">  The inability to access Balance-only inventory limits the ability to scale operations, forcing traders to bypass high-margin opportunities in favor of whatever inventory is accessible to direct payment.</w:t>
      </w:r>
    </w:p>
    <w:p w:rsidR="00000000" w:rsidDel="00000000" w:rsidP="00000000" w:rsidRDefault="00000000" w:rsidRPr="00000000" w14:paraId="00000019">
      <w:pPr>
        <w:pStyle w:val="Heading4"/>
        <w:rPr/>
      </w:pPr>
      <w:bookmarkStart w:colFirst="0" w:colLast="0" w:name="_ssryhx3q5pr3" w:id="9"/>
      <w:bookmarkEnd w:id="9"/>
      <w:r w:rsidDel="00000000" w:rsidR="00000000" w:rsidRPr="00000000">
        <w:rPr>
          <w:rtl w:val="0"/>
        </w:rPr>
        <w:t xml:space="preserve">5. Data-Driven Procurement and Market Execution</w:t>
      </w:r>
    </w:p>
    <w:p w:rsidR="00000000" w:rsidDel="00000000" w:rsidP="00000000" w:rsidRDefault="00000000" w:rsidRPr="00000000" w14:paraId="0000001A">
      <w:pPr>
        <w:rPr/>
      </w:pPr>
      <w:r w:rsidDel="00000000" w:rsidR="00000000" w:rsidRPr="00000000">
        <w:rPr>
          <w:rtl w:val="0"/>
        </w:rPr>
        <w:t xml:space="preserve">To mitigate the risks associated with liquidity barriers, traders must prioritize high-velocity assets and "stable graph" analysis. This methodology ensures that capital remains liquid and protected from the volatility inherent in lower-volume items.</w:t>
      </w:r>
    </w:p>
    <w:p w:rsidR="00000000" w:rsidDel="00000000" w:rsidP="00000000" w:rsidRDefault="00000000" w:rsidRPr="00000000" w14:paraId="0000001B">
      <w:pPr>
        <w:pStyle w:val="Heading5"/>
        <w:rPr/>
      </w:pPr>
      <w:bookmarkStart w:colFirst="0" w:colLast="0" w:name="_uc8wpc5bqv7r" w:id="10"/>
      <w:bookmarkEnd w:id="10"/>
      <w:r w:rsidDel="00000000" w:rsidR="00000000" w:rsidRPr="00000000">
        <w:rPr>
          <w:rtl w:val="0"/>
        </w:rPr>
        <w:t xml:space="preserve">Selection Criteria for Market Entry</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Minimum Sales Velocity:</w:t>
      </w:r>
      <w:r w:rsidDel="00000000" w:rsidR="00000000" w:rsidRPr="00000000">
        <w:rPr>
          <w:rtl w:val="0"/>
        </w:rPr>
        <w:t xml:space="preserve">  A minimum of 100 sales per 30-day period is required to ensure reliable exit liquidity.</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Price Stability Analysis:</w:t>
      </w:r>
      <w:r w:rsidDel="00000000" w:rsidR="00000000" w:rsidRPr="00000000">
        <w:rPr>
          <w:rtl w:val="0"/>
        </w:rPr>
        <w:t xml:space="preserve">  Assets must demonstrate a "stable graph" on Buff163 and Market CS to avoid entering a position during a speculative bubble.</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Market Order Execution:</w:t>
      </w:r>
      <w:r w:rsidDel="00000000" w:rsidR="00000000" w:rsidRPr="00000000">
        <w:rPr>
          <w:rtl w:val="0"/>
        </w:rPr>
        <w:t xml:space="preserve">  Strategic use of "Auto-buy" is recommended to ensure immediate exit liquidity. This involves selling directly into existing buy orders (Market Orders) rather than waiting for a specific buyer, guaranteeing a rapid trade cycle.</w:t>
      </w:r>
    </w:p>
    <w:p w:rsidR="00000000" w:rsidDel="00000000" w:rsidP="00000000" w:rsidRDefault="00000000" w:rsidRPr="00000000" w14:paraId="0000001F">
      <w:pPr>
        <w:pStyle w:val="Heading5"/>
        <w:rPr/>
      </w:pPr>
      <w:bookmarkStart w:colFirst="0" w:colLast="0" w:name="_xr3v2488bev" w:id="11"/>
      <w:bookmarkEnd w:id="11"/>
      <w:r w:rsidDel="00000000" w:rsidR="00000000" w:rsidRPr="00000000">
        <w:rPr>
          <w:rtl w:val="0"/>
        </w:rPr>
        <w:t xml:space="preserve">Experimental Results: Initial Procurement Round</w:t>
      </w:r>
    </w:p>
    <w:p w:rsidR="00000000" w:rsidDel="00000000" w:rsidP="00000000" w:rsidRDefault="00000000" w:rsidRPr="00000000" w14:paraId="00000020">
      <w:pPr>
        <w:rPr/>
      </w:pPr>
      <w:r w:rsidDel="00000000" w:rsidR="00000000" w:rsidRPr="00000000">
        <w:rPr>
          <w:rtl w:val="0"/>
        </w:rPr>
        <w:t xml:space="preserve">A tactical trial involving a capital outlay of  $480–$ 500 yielded the following results for a direct-pay strategy:</w:t>
      </w:r>
    </w:p>
    <w:p w:rsidR="00000000" w:rsidDel="00000000" w:rsidP="00000000" w:rsidRDefault="00000000" w:rsidRPr="00000000" w14:paraId="00000021">
      <w:pPr>
        <w:numPr>
          <w:ilvl w:val="0"/>
          <w:numId w:val="3"/>
        </w:numPr>
        <w:ind w:left="720" w:hanging="360"/>
        <w:rPr>
          <w:u w:val="none"/>
        </w:rPr>
      </w:pPr>
      <w:r w:rsidDel="00000000" w:rsidR="00000000" w:rsidRPr="00000000">
        <w:rPr>
          <w:b w:val="1"/>
          <w:bCs w:val="1"/>
          <w:rtl w:val="0"/>
        </w:rPr>
        <w:t xml:space="preserve">CZ-75 Skins:</w:t>
      </w:r>
      <w:r w:rsidDel="00000000" w:rsidR="00000000" w:rsidRPr="00000000">
        <w:rPr>
          <w:rtl w:val="0"/>
        </w:rPr>
        <w:t xml:space="preserve">  Selected for stable demand and high volume. These items produced a  </w:t>
      </w:r>
      <w:r w:rsidDel="00000000" w:rsidR="00000000" w:rsidRPr="00000000">
        <w:rPr>
          <w:b w:val="1"/>
          <w:bCs w:val="1"/>
          <w:rtl w:val="0"/>
        </w:rPr>
        <w:t xml:space="preserve">+2% net profit margin</w:t>
      </w:r>
      <w:r w:rsidDel="00000000" w:rsidR="00000000" w:rsidRPr="00000000">
        <w:rPr>
          <w:rtl w:val="0"/>
        </w:rPr>
        <w:t xml:space="preserve">  after accounting for all platform commissions and friction costs.</w:t>
      </w:r>
    </w:p>
    <w:p w:rsidR="00000000" w:rsidDel="00000000" w:rsidP="00000000" w:rsidRDefault="00000000" w:rsidRPr="00000000" w14:paraId="00000022">
      <w:pPr>
        <w:numPr>
          <w:ilvl w:val="0"/>
          <w:numId w:val="3"/>
        </w:numPr>
        <w:ind w:left="720" w:hanging="360"/>
        <w:rPr>
          <w:u w:val="none"/>
        </w:rPr>
      </w:pPr>
      <w:r w:rsidDel="00000000" w:rsidR="00000000" w:rsidRPr="00000000">
        <w:rPr>
          <w:b w:val="1"/>
          <w:bCs w:val="1"/>
          <w:rtl w:val="0"/>
        </w:rPr>
        <w:t xml:space="preserve">M4-Series Skins:</w:t>
      </w:r>
      <w:r w:rsidDel="00000000" w:rsidR="00000000" w:rsidRPr="00000000">
        <w:rPr>
          <w:rtl w:val="0"/>
        </w:rPr>
        <w:t xml:space="preserve">  Popular "play skins" showed consistent upward pressure; even during market pullbacks, these items maintained value, validating the "stable graph" selection criteria.</w:t>
      </w:r>
    </w:p>
    <w:p w:rsidR="00000000" w:rsidDel="00000000" w:rsidP="00000000" w:rsidRDefault="00000000" w:rsidRPr="00000000" w14:paraId="00000023">
      <w:pPr>
        <w:numPr>
          <w:ilvl w:val="0"/>
          <w:numId w:val="3"/>
        </w:numPr>
        <w:ind w:left="720" w:hanging="360"/>
        <w:rPr>
          <w:u w:val="none"/>
        </w:rPr>
      </w:pPr>
      <w:r w:rsidDel="00000000" w:rsidR="00000000" w:rsidRPr="00000000">
        <w:rPr>
          <w:b w:val="1"/>
          <w:bCs w:val="1"/>
          <w:rtl w:val="0"/>
        </w:rPr>
        <w:t xml:space="preserve">Friction Observations:</w:t>
      </w:r>
      <w:r w:rsidDel="00000000" w:rsidR="00000000" w:rsidRPr="00000000">
        <w:rPr>
          <w:rtl w:val="0"/>
        </w:rPr>
        <w:t xml:space="preserve">  The experiment confirmed that many high-margin listings had to be bypassed due to the Balance-only restriction, highlighting the ceiling for direct-pay strategies.</w:t>
      </w:r>
    </w:p>
    <w:p w:rsidR="00000000" w:rsidDel="00000000" w:rsidP="00000000" w:rsidRDefault="00000000" w:rsidRPr="00000000" w14:paraId="00000024">
      <w:pPr>
        <w:pStyle w:val="Heading4"/>
        <w:rPr/>
      </w:pPr>
      <w:bookmarkStart w:colFirst="0" w:colLast="0" w:name="_uz4ql6qesmn6" w:id="12"/>
      <w:bookmarkEnd w:id="12"/>
      <w:r w:rsidDel="00000000" w:rsidR="00000000" w:rsidRPr="00000000">
        <w:rPr>
          <w:rtl w:val="0"/>
        </w:rPr>
        <w:t xml:space="preserve">6. Conclusion: Strategic Recommendations for New Entrants</w:t>
      </w:r>
    </w:p>
    <w:p w:rsidR="00000000" w:rsidDel="00000000" w:rsidP="00000000" w:rsidRDefault="00000000" w:rsidRPr="00000000" w14:paraId="00000025">
      <w:pPr>
        <w:rPr/>
      </w:pPr>
      <w:r w:rsidDel="00000000" w:rsidR="00000000" w:rsidRPr="00000000">
        <w:rPr>
          <w:rtl w:val="0"/>
        </w:rPr>
        <w:t xml:space="preserve">The Chinese digital item ecosystem offers a viable path for capital growth, characterized by stable net profit margins of approximately +2% per cycle. However, the technical barriers—specifically the Alipay "Double-Scan" risk and the crypto-to-CNY P2P pipeline—require a disciplined approach to risk management and technical setup.For new entrants, starting with a direct Alipay payment strategy is a functional way to learn the market's nuances. However, this method is fundamentally limited by the inventory constraints of Balance-only listings. To scale operations and capture higher-alpha opportunities, traders must eventually investigate the use of intermediaries or advanced methods to acquire internal "Buff Balance."</w:t>
      </w:r>
      <w:r w:rsidDel="00000000" w:rsidR="00000000" w:rsidRPr="00000000">
        <w:rPr>
          <w:b w:val="1"/>
          <w:bCs w:val="1"/>
          <w:rtl w:val="0"/>
        </w:rPr>
        <w:t xml:space="preserve">Investment Outlook:</w:t>
      </w:r>
      <w:r w:rsidDel="00000000" w:rsidR="00000000" w:rsidRPr="00000000">
        <w:rPr>
          <w:rtl w:val="0"/>
        </w:rPr>
        <w:t xml:space="preserve">  The market remains highly accessible and profitable for those who master the technical onboarding. While direct-pay strategies provide a stable entry point, long-term scaling requires overcoming the platform balance barrier to fully exploit the liquidity of the Chinese marketplace.</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