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yau857qr8mi" w:id="0"/>
      <w:bookmarkEnd w:id="0"/>
      <w:r w:rsidDel="00000000" w:rsidR="00000000" w:rsidRPr="00000000">
        <w:rPr>
          <w:rtl w:val="0"/>
        </w:rPr>
        <w:t xml:space="preserve">Operational Protocol: Cross-Border Digital Asset Integration and Marketplace Procurement</w:t>
      </w:r>
    </w:p>
    <w:p w:rsidR="00000000" w:rsidDel="00000000" w:rsidP="00000000" w:rsidRDefault="00000000" w:rsidRPr="00000000" w14:paraId="00000002">
      <w:pPr>
        <w:pStyle w:val="Heading5"/>
        <w:rPr/>
      </w:pPr>
      <w:bookmarkStart w:colFirst="0" w:colLast="0" w:name="_f3uh46ue5ofi" w:id="1"/>
      <w:bookmarkEnd w:id="1"/>
      <w:r w:rsidDel="00000000" w:rsidR="00000000" w:rsidRPr="00000000">
        <w:rPr>
          <w:rtl w:val="0"/>
        </w:rPr>
        <w:t xml:space="preserve">1. Strategic Overview of the Global Trading Ecosystem</w:t>
      </w:r>
    </w:p>
    <w:p w:rsidR="00000000" w:rsidDel="00000000" w:rsidP="00000000" w:rsidRDefault="00000000" w:rsidRPr="00000000" w14:paraId="00000003">
      <w:pPr>
        <w:rPr/>
      </w:pPr>
      <w:r w:rsidDel="00000000" w:rsidR="00000000" w:rsidRPr="00000000">
        <w:rPr>
          <w:rtl w:val="0"/>
        </w:rPr>
        <w:t xml:space="preserve">The integration of the Buff163, Alipay, and HTX ecosystems represents a sophisticated liquidity architecture essential for modern digital asset arbitrage. By leveraging this specific triad, professional traders can access the deep liquidity and superior valuation spreads inherent in the Chinese skin market—a marketplace that frequently outperforms Western counterparts in both volume and price stability. This synergy facilitates the seamless movement of capital from global cryptocurrency markets into localized regional fiat, and ultimately into high-demand digital inventory.The architecture is built upon three functional pillars:</w:t>
      </w:r>
    </w:p>
    <w:p w:rsidR="00000000" w:rsidDel="00000000" w:rsidP="00000000" w:rsidRDefault="00000000" w:rsidRPr="00000000" w14:paraId="00000004">
      <w:pPr>
        <w:numPr>
          <w:ilvl w:val="0"/>
          <w:numId w:val="7"/>
        </w:numPr>
        <w:ind w:left="720" w:hanging="360"/>
        <w:rPr>
          <w:u w:val="none"/>
        </w:rPr>
      </w:pPr>
      <w:r w:rsidDel="00000000" w:rsidR="00000000" w:rsidRPr="00000000">
        <w:rPr>
          <w:b w:val="1"/>
          <w:bCs w:val="1"/>
          <w:rtl w:val="0"/>
        </w:rPr>
        <w:t xml:space="preserve">Buff163:</w:t>
      </w:r>
      <w:r w:rsidDel="00000000" w:rsidR="00000000" w:rsidRPr="00000000">
        <w:rPr>
          <w:rtl w:val="0"/>
        </w:rPr>
        <w:t xml:space="preserve">  The primary marketplace and liquidity hub, facilitating the high-frequency trade of digital assets and skins with industry-leading depth.</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Alipay:</w:t>
      </w:r>
      <w:r w:rsidDel="00000000" w:rsidR="00000000" w:rsidRPr="00000000">
        <w:rPr>
          <w:rtl w:val="0"/>
        </w:rPr>
        <w:t xml:space="preserve">  The central financial gateway and payment processor, providing the regulatory and technical infrastructure required to settle trades within the Alibaba Group’s economic sphere.</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HTX (formerly Huobi):</w:t>
      </w:r>
      <w:r w:rsidDel="00000000" w:rsidR="00000000" w:rsidRPr="00000000">
        <w:rPr>
          <w:rtl w:val="0"/>
        </w:rPr>
        <w:t xml:space="preserve">  The cross-border liquidity bridge, enabling the conversion of global stablecoins (USDT) into regional fiat (CNY) via managed Peer-to-Peer (P2P) mechanisms.Establishing this structural foundation is the mandatory first phase toward executing high-velocity, cross-border procurement cycles.</w:t>
      </w:r>
    </w:p>
    <w:p w:rsidR="00000000" w:rsidDel="00000000" w:rsidP="00000000" w:rsidRDefault="00000000" w:rsidRPr="00000000" w14:paraId="00000007">
      <w:pPr>
        <w:pStyle w:val="Heading5"/>
        <w:rPr/>
      </w:pPr>
      <w:bookmarkStart w:colFirst="0" w:colLast="0" w:name="_pikq9um23viw" w:id="2"/>
      <w:bookmarkEnd w:id="2"/>
      <w:r w:rsidDel="00000000" w:rsidR="00000000" w:rsidRPr="00000000">
        <w:rPr>
          <w:rtl w:val="0"/>
        </w:rPr>
        <w:t xml:space="preserve">2. Marketplace Foundation: Buff163 Platform Integration</w:t>
      </w:r>
    </w:p>
    <w:p w:rsidR="00000000" w:rsidDel="00000000" w:rsidP="00000000" w:rsidRDefault="00000000" w:rsidRPr="00000000" w14:paraId="00000008">
      <w:pPr>
        <w:rPr>
          <w:b w:val="1"/>
          <w:bCs w:val="1"/>
        </w:rPr>
      </w:pPr>
      <w:r w:rsidDel="00000000" w:rsidR="00000000" w:rsidRPr="00000000">
        <w:rPr>
          <w:rtl w:val="0"/>
        </w:rPr>
        <w:t xml:space="preserve">Operational efficiency necessitates a mobile-first deployment for Buff163. As the world’s premier liquidity hub for skins, the platform mandates mobile synchronization to ensure real-time security and API-driven trade execution.</w:t>
      </w:r>
      <w:r w:rsidDel="00000000" w:rsidR="00000000" w:rsidRPr="00000000">
        <w:rPr>
          <w:b w:val="1"/>
          <w:bCs w:val="1"/>
          <w:rtl w:val="0"/>
        </w:rPr>
        <w:t xml:space="preserve">Account Initialization Directive:</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Application Procurement:</w:t>
      </w:r>
      <w:r w:rsidDel="00000000" w:rsidR="00000000" w:rsidRPr="00000000">
        <w:rPr>
          <w:rtl w:val="0"/>
        </w:rPr>
        <w:t xml:space="preserve">  Download the official Buff163 application via the Apple App Store or Google Play Store.</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Credential Registration:</w:t>
      </w:r>
      <w:r w:rsidDel="00000000" w:rsidR="00000000" w:rsidRPr="00000000">
        <w:rPr>
          <w:rtl w:val="0"/>
        </w:rPr>
        <w:t xml:space="preserve">  Execute account registration utilizing a valid mobile phone number.</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API Synchronization:</w:t>
      </w:r>
      <w:r w:rsidDel="00000000" w:rsidR="00000000" w:rsidRPr="00000000">
        <w:rPr>
          <w:rtl w:val="0"/>
        </w:rPr>
        <w:t xml:space="preserve">  Mandate the linkage of the target Steam account. This synchronization is the technical prerequisite for tracking inventory, facilitating automated trade offers, and verifying asset custody.Direct Steam integration is not merely a feature but the fundamental requirement for all subsequent trading activities. Without this synchronized connection, the platform cannot verify the chain of custody for assets, rendering the marketplace functionally inaccessible for professional trade execution.</w:t>
      </w:r>
    </w:p>
    <w:p w:rsidR="00000000" w:rsidDel="00000000" w:rsidP="00000000" w:rsidRDefault="00000000" w:rsidRPr="00000000" w14:paraId="0000000C">
      <w:pPr>
        <w:pStyle w:val="Heading5"/>
        <w:rPr/>
      </w:pPr>
      <w:bookmarkStart w:colFirst="0" w:colLast="0" w:name="_gup33hue910f" w:id="3"/>
      <w:bookmarkEnd w:id="3"/>
      <w:r w:rsidDel="00000000" w:rsidR="00000000" w:rsidRPr="00000000">
        <w:rPr>
          <w:rtl w:val="0"/>
        </w:rPr>
        <w:t xml:space="preserve">3. Financial Infrastructure: Alipay Verification and Security Protocols</w:t>
      </w:r>
    </w:p>
    <w:p w:rsidR="00000000" w:rsidDel="00000000" w:rsidP="00000000" w:rsidRDefault="00000000" w:rsidRPr="00000000" w14:paraId="0000000D">
      <w:pPr>
        <w:rPr>
          <w:b w:val="1"/>
          <w:bCs w:val="1"/>
        </w:rPr>
      </w:pPr>
      <w:r w:rsidDel="00000000" w:rsidR="00000000" w:rsidRPr="00000000">
        <w:rPr>
          <w:rtl w:val="0"/>
        </w:rPr>
        <w:t xml:space="preserve">Alipay serves as the non-negotiable payment gateway for accessing Chinese marketplaces. For international strategists, a verified Alipay account is the only institutional-grade method for executing direct capital outflows within this ecosystem.</w:t>
      </w:r>
      <w:r w:rsidDel="00000000" w:rsidR="00000000" w:rsidRPr="00000000">
        <w:rPr>
          <w:b w:val="1"/>
          <w:bCs w:val="1"/>
          <w:rtl w:val="0"/>
        </w:rPr>
        <w:t xml:space="preserve">Verification Protocol:</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Identification Mandate:</w:t>
      </w:r>
      <w:r w:rsidDel="00000000" w:rsidR="00000000" w:rsidRPr="00000000">
        <w:rPr>
          <w:rtl w:val="0"/>
        </w:rPr>
        <w:t xml:space="preserve">  Traders must utilize a valid International Passport. The use of internal or regional IDs is strictly forbidden and will result in immediate rejection.</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Profile Configuration:</w:t>
      </w:r>
      <w:r w:rsidDel="00000000" w:rsidR="00000000" w:rsidRPr="00000000">
        <w:rPr>
          <w:rtl w:val="0"/>
        </w:rPr>
        <w:t xml:space="preserve">  Within the "Identification Information" section, perform a high-resolution scan of the passport, complete a Face ID biometric scan, and define a professional status (e.g., "Student" or "Professional").</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The "Double-Scan" Critical Risk:</w:t>
      </w:r>
      <w:r w:rsidDel="00000000" w:rsidR="00000000" w:rsidRPr="00000000">
        <w:rPr>
          <w:rtl w:val="0"/>
        </w:rPr>
        <w:t xml:space="preserve">  The system requires two separate passport scans. The second scan is the definitive "moment of truth" where the system compares data against the initial entry. Any deviation or OCR (Optical Character Recognition) error in the first scan will result in a total process failure and account lock. Precision during the initial data entry is paramount.</w:t>
      </w:r>
      <w:r w:rsidDel="00000000" w:rsidR="00000000" w:rsidRPr="00000000">
        <w:rPr>
          <w:b w:val="1"/>
          <w:bCs w:val="1"/>
          <w:rtl w:val="0"/>
        </w:rPr>
        <w:t xml:space="preserve">Security Safeguards:</w:t>
      </w:r>
      <w:r w:rsidDel="00000000" w:rsidR="00000000" w:rsidRPr="00000000">
        <w:rPr>
          <w:rtl w:val="0"/>
        </w:rPr>
        <w:t xml:space="preserve">  Establish a permanent "Payment Code" during setup. This code acts as the final authorization for every transaction; its loss or compromise terminates capital flow capabilities. Achieving "Verified" status is the ultimate objective, signaling that the account is ready for institutional-grade capital injection.</w:t>
      </w:r>
    </w:p>
    <w:p w:rsidR="00000000" w:rsidDel="00000000" w:rsidP="00000000" w:rsidRDefault="00000000" w:rsidRPr="00000000" w14:paraId="00000011">
      <w:pPr>
        <w:pStyle w:val="Heading5"/>
        <w:rPr/>
      </w:pPr>
      <w:bookmarkStart w:colFirst="0" w:colLast="0" w:name="_imtpsoon3a6b" w:id="4"/>
      <w:bookmarkEnd w:id="4"/>
      <w:r w:rsidDel="00000000" w:rsidR="00000000" w:rsidRPr="00000000">
        <w:rPr>
          <w:rtl w:val="0"/>
        </w:rPr>
        <w:t xml:space="preserve">4. Liquidity Provisioning: HTX Exchange and P2P Fiat Conversion</w:t>
      </w:r>
    </w:p>
    <w:p w:rsidR="00000000" w:rsidDel="00000000" w:rsidP="00000000" w:rsidRDefault="00000000" w:rsidRPr="00000000" w14:paraId="00000012">
      <w:pPr>
        <w:rPr/>
      </w:pPr>
      <w:r w:rsidDel="00000000" w:rsidR="00000000" w:rsidRPr="00000000">
        <w:rPr>
          <w:rtl w:val="0"/>
        </w:rPr>
        <w:t xml:space="preserve">HTX functions as the primary bridge for converting global cryptocurrency liquidity (USDT) into regional fiat (CNY) to fund the Alipay gateway.</w:t>
      </w:r>
      <w:r w:rsidDel="00000000" w:rsidR="00000000" w:rsidRPr="00000000">
        <w:rPr>
          <w:b w:val="1"/>
          <w:bCs w:val="1"/>
          <w:rtl w:val="0"/>
        </w:rPr>
        <w:t xml:space="preserve">Technical Network Standards:</w:t>
      </w:r>
      <w:r w:rsidDel="00000000" w:rsidR="00000000" w:rsidRPr="00000000">
        <w:rPr>
          <w:rtl w:val="0"/>
        </w:rPr>
        <w:t xml:space="preserve">  Adherence to strict network matching is required to prevent the  </w:t>
      </w:r>
      <w:r w:rsidDel="00000000" w:rsidR="00000000" w:rsidRPr="00000000">
        <w:rPr>
          <w:b w:val="1"/>
          <w:bCs w:val="1"/>
          <w:rtl w:val="0"/>
        </w:rPr>
        <w:t xml:space="preserve">permanent loss of assets</w:t>
      </w:r>
      <w:r w:rsidDel="00000000" w:rsidR="00000000" w:rsidRPr="00000000">
        <w:rPr>
          <w:rtl w:val="0"/>
        </w:rPr>
        <w:t xml:space="preserve"> . When transferring USDT to the exchange, the sending and receiving protocols must be identical:</w:t>
      </w:r>
    </w:p>
    <w:p w:rsidR="00000000" w:rsidDel="00000000" w:rsidP="00000000" w:rsidRDefault="00000000" w:rsidRPr="00000000" w14:paraId="00000013">
      <w:pPr>
        <w:numPr>
          <w:ilvl w:val="0"/>
          <w:numId w:val="3"/>
        </w:numPr>
        <w:ind w:left="720" w:hanging="360"/>
        <w:rPr>
          <w:b w:val="1"/>
          <w:bCs w:val="1"/>
          <w:u w:val="none"/>
        </w:rPr>
      </w:pPr>
      <w:r w:rsidDel="00000000" w:rsidR="00000000" w:rsidRPr="00000000">
        <w:rPr>
          <w:b w:val="1"/>
          <w:bCs w:val="1"/>
          <w:rtl w:val="0"/>
        </w:rPr>
        <w:t xml:space="preserve">TRC20 (Tron Network)</w:t>
      </w:r>
    </w:p>
    <w:p w:rsidR="00000000" w:rsidDel="00000000" w:rsidP="00000000" w:rsidRDefault="00000000" w:rsidRPr="00000000" w14:paraId="00000014">
      <w:pPr>
        <w:numPr>
          <w:ilvl w:val="0"/>
          <w:numId w:val="3"/>
        </w:numPr>
        <w:ind w:left="720" w:hanging="360"/>
        <w:rPr>
          <w:b w:val="1"/>
          <w:bCs w:val="1"/>
        </w:rPr>
      </w:pPr>
      <w:r w:rsidDel="00000000" w:rsidR="00000000" w:rsidRPr="00000000">
        <w:rPr>
          <w:b w:val="1"/>
          <w:bCs w:val="1"/>
          <w:rtl w:val="0"/>
        </w:rPr>
        <w:t xml:space="preserve">ERC20 (Ethereum Network)</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BEP20 (Binance Smart Chain)</w:t>
      </w:r>
      <w:r w:rsidDel="00000000" w:rsidR="00000000" w:rsidRPr="00000000">
        <w:rPr>
          <w:i w:val="1"/>
          <w:iCs w:val="1"/>
          <w:rtl w:val="0"/>
        </w:rPr>
        <w:t xml:space="preserve">Note: Executing a TRC20 transfer to an ERC20 address will result in an irrecoverable loss of capital.</w:t>
      </w:r>
      <w:r w:rsidDel="00000000" w:rsidR="00000000" w:rsidRPr="00000000">
        <w:rPr>
          <w:b w:val="1"/>
          <w:bCs w:val="1"/>
          <w:rtl w:val="0"/>
        </w:rPr>
        <w:t xml:space="preserve">P2P Execution Workflow:</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Market Selection:</w:t>
      </w:r>
      <w:r w:rsidDel="00000000" w:rsidR="00000000" w:rsidRPr="00000000">
        <w:rPr>
          <w:rtl w:val="0"/>
        </w:rPr>
        <w:t xml:space="preserve">  Navigate to the HTX P2P interface and select "Sell USDT."</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Currency &amp; Filter:</w:t>
      </w:r>
      <w:r w:rsidDel="00000000" w:rsidR="00000000" w:rsidRPr="00000000">
        <w:rPr>
          <w:rtl w:val="0"/>
        </w:rPr>
        <w:t xml:space="preserve">  Set the fiat currency to CNY and apply filters to isolate "Alipay" as the verified payment method.</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Safety Protocol:</w:t>
      </w:r>
      <w:r w:rsidDel="00000000" w:rsidR="00000000" w:rsidRPr="00000000">
        <w:rPr>
          <w:rtl w:val="0"/>
        </w:rPr>
        <w:t xml:space="preserve">  Once an order is initiated, the trader must wait for the buyer to transfer CNY to their Alipay account.</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Confirmation Rule:</w:t>
      </w:r>
      <w:r w:rsidDel="00000000" w:rsidR="00000000" w:rsidRPr="00000000">
        <w:rPr>
          <w:rtl w:val="0"/>
        </w:rPr>
        <w:t xml:space="preserve">   </w:t>
      </w:r>
      <w:r w:rsidDel="00000000" w:rsidR="00000000" w:rsidRPr="00000000">
        <w:rPr>
          <w:b w:val="1"/>
          <w:bCs w:val="1"/>
          <w:rtl w:val="0"/>
        </w:rPr>
        <w:t xml:space="preserve">Release the cryptocurrency only after manual verification of funds within the Alipay application.</w:t>
      </w:r>
      <w:r w:rsidDel="00000000" w:rsidR="00000000" w:rsidRPr="00000000">
        <w:rPr>
          <w:rtl w:val="0"/>
        </w:rPr>
        <w:t xml:space="preserve">  This protocol mitigates the risk of fraudulent reversals and ensures settlement finality.</w:t>
      </w:r>
    </w:p>
    <w:p w:rsidR="00000000" w:rsidDel="00000000" w:rsidP="00000000" w:rsidRDefault="00000000" w:rsidRPr="00000000" w14:paraId="0000001A">
      <w:pPr>
        <w:pStyle w:val="Heading5"/>
        <w:rPr/>
      </w:pPr>
      <w:bookmarkStart w:colFirst="0" w:colLast="0" w:name="_4e8pkbrw44b2" w:id="5"/>
      <w:bookmarkEnd w:id="5"/>
      <w:r w:rsidDel="00000000" w:rsidR="00000000" w:rsidRPr="00000000">
        <w:rPr>
          <w:rtl w:val="0"/>
        </w:rPr>
        <w:t xml:space="preserve">5. Strategic Procurement: Data-Driven Asset Selection</w:t>
      </w:r>
    </w:p>
    <w:p w:rsidR="00000000" w:rsidDel="00000000" w:rsidP="00000000" w:rsidRDefault="00000000" w:rsidRPr="00000000" w14:paraId="0000001B">
      <w:pPr>
        <w:rPr/>
      </w:pPr>
      <w:r w:rsidDel="00000000" w:rsidR="00000000" w:rsidRPr="00000000">
        <w:rPr>
          <w:rtl w:val="0"/>
        </w:rPr>
        <w:t xml:space="preserve">The shift from operational setup to execution requires a transition into rigorous analytical research, comparing Buff163 data against Market CS:GO benchmarks to identify arbitrage opportunities.</w:t>
      </w:r>
      <w:r w:rsidDel="00000000" w:rsidR="00000000" w:rsidRPr="00000000">
        <w:rPr>
          <w:b w:val="1"/>
          <w:bCs w:val="1"/>
          <w:rtl w:val="0"/>
        </w:rPr>
        <w:t xml:space="preserve">Analytical Filtering Criteria (Buff vs. Market CS:GO):</w:t>
      </w:r>
      <w:r w:rsidDel="00000000" w:rsidR="00000000" w:rsidRPr="00000000">
        <w:rPr>
          <w:rtl w:val="0"/>
        </w:rPr>
        <w:t xml:space="preserve">| KPI | Specification | Rationale || ------ | ------ | ------ || </w:t>
      </w:r>
      <w:r w:rsidDel="00000000" w:rsidR="00000000" w:rsidRPr="00000000">
        <w:rPr>
          <w:b w:val="1"/>
          <w:bCs w:val="1"/>
          <w:rtl w:val="0"/>
        </w:rPr>
        <w:t xml:space="preserve">Minimum Sales Volume</w:t>
      </w:r>
      <w:r w:rsidDel="00000000" w:rsidR="00000000" w:rsidRPr="00000000">
        <w:rPr>
          <w:rtl w:val="0"/>
        </w:rPr>
        <w:t xml:space="preserve"> | 100+ sales per 30 days | Ensures high liquidity and immediate exit velocity. || </w:t>
      </w:r>
      <w:r w:rsidDel="00000000" w:rsidR="00000000" w:rsidRPr="00000000">
        <w:rPr>
          <w:b w:val="1"/>
          <w:bCs w:val="1"/>
          <w:rtl w:val="0"/>
        </w:rPr>
        <w:t xml:space="preserve">Price Floor</w:t>
      </w:r>
      <w:r w:rsidDel="00000000" w:rsidR="00000000" w:rsidRPr="00000000">
        <w:rPr>
          <w:rtl w:val="0"/>
        </w:rPr>
        <w:t xml:space="preserve"> | $1.00 USD Minimum | Mitigates transaction-to-value overhead and ensures institutional-grade liquidity. || </w:t>
      </w:r>
      <w:r w:rsidDel="00000000" w:rsidR="00000000" w:rsidRPr="00000000">
        <w:rPr>
          <w:b w:val="1"/>
          <w:bCs w:val="1"/>
          <w:rtl w:val="0"/>
        </w:rPr>
        <w:t xml:space="preserve">Valuation Model</w:t>
      </w:r>
      <w:r w:rsidDel="00000000" w:rsidR="00000000" w:rsidRPr="00000000">
        <w:rPr>
          <w:rtl w:val="0"/>
        </w:rPr>
        <w:t xml:space="preserve"> | Recommended / Buy Order / Median | Provides a multi-dimensional view to mitigate volatility risk. |</w:t>
      </w:r>
    </w:p>
    <w:p w:rsidR="00000000" w:rsidDel="00000000" w:rsidP="00000000" w:rsidRDefault="00000000" w:rsidRPr="00000000" w14:paraId="0000001C">
      <w:pPr>
        <w:rPr/>
      </w:pPr>
      <w:r w:rsidDel="00000000" w:rsidR="00000000" w:rsidRPr="00000000">
        <w:rPr>
          <w:rtl w:val="0"/>
        </w:rPr>
        <w:t xml:space="preserve">Professional procurement prioritizes assets with high turnover and stable price action—specifically items like the  </w:t>
      </w:r>
      <w:r w:rsidDel="00000000" w:rsidR="00000000" w:rsidRPr="00000000">
        <w:rPr>
          <w:b w:val="1"/>
          <w:bCs w:val="1"/>
          <w:rtl w:val="0"/>
        </w:rPr>
        <w:t xml:space="preserve">CZ-75</w:t>
      </w:r>
      <w:r w:rsidDel="00000000" w:rsidR="00000000" w:rsidRPr="00000000">
        <w:rPr>
          <w:rtl w:val="0"/>
        </w:rPr>
        <w:t xml:space="preserve">  or  </w:t>
      </w:r>
      <w:r w:rsidDel="00000000" w:rsidR="00000000" w:rsidRPr="00000000">
        <w:rPr>
          <w:b w:val="1"/>
          <w:bCs w:val="1"/>
          <w:rtl w:val="0"/>
        </w:rPr>
        <w:t xml:space="preserve">M4A1-S</w:t>
      </w:r>
      <w:r w:rsidDel="00000000" w:rsidR="00000000" w:rsidRPr="00000000">
        <w:rPr>
          <w:rtl w:val="0"/>
        </w:rPr>
        <w:t xml:space="preserve"> . These items allow for "auto-buy" and "market price" strategies, ensuring consistent margins despite platform commissions. Traders must avoid low-volume "dead" items that trap capital in illiquid positions.</w:t>
      </w:r>
    </w:p>
    <w:p w:rsidR="00000000" w:rsidDel="00000000" w:rsidP="00000000" w:rsidRDefault="00000000" w:rsidRPr="00000000" w14:paraId="0000001D">
      <w:pPr>
        <w:pStyle w:val="Heading5"/>
        <w:rPr/>
      </w:pPr>
      <w:bookmarkStart w:colFirst="0" w:colLast="0" w:name="_5kapsyafr54k" w:id="6"/>
      <w:bookmarkEnd w:id="6"/>
      <w:r w:rsidDel="00000000" w:rsidR="00000000" w:rsidRPr="00000000">
        <w:rPr>
          <w:rtl w:val="0"/>
        </w:rPr>
        <w:t xml:space="preserve">6. Operational Constraints and Risk Mitigation</w:t>
      </w:r>
    </w:p>
    <w:p w:rsidR="00000000" w:rsidDel="00000000" w:rsidP="00000000" w:rsidRDefault="00000000" w:rsidRPr="00000000" w14:paraId="0000001E">
      <w:pPr>
        <w:rPr>
          <w:b w:val="1"/>
          <w:bCs w:val="1"/>
        </w:rPr>
      </w:pPr>
      <w:r w:rsidDel="00000000" w:rsidR="00000000" w:rsidRPr="00000000">
        <w:rPr>
          <w:rtl w:val="0"/>
        </w:rPr>
        <w:t xml:space="preserve">The "Newcomer’s Trap" involves a fundamental misunderstanding of Buff163’s payment architecture. Direct Alipay payments are not a global default; they are a seller-toggled preference.</w:t>
      </w:r>
      <w:r w:rsidDel="00000000" w:rsidR="00000000" w:rsidRPr="00000000">
        <w:rPr>
          <w:b w:val="1"/>
          <w:bCs w:val="1"/>
          <w:rtl w:val="0"/>
        </w:rPr>
        <w:t xml:space="preserve">Differentiating Payment Channels:</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Direct Alipay Access:</w:t>
      </w:r>
      <w:r w:rsidDel="00000000" w:rsidR="00000000" w:rsidRPr="00000000">
        <w:rPr>
          <w:rtl w:val="0"/>
        </w:rPr>
        <w:t xml:space="preserve">  Facilitates immediate procurement using the funded Alipay account.</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Buff Balance Mandate:</w:t>
      </w:r>
      <w:r w:rsidDel="00000000" w:rsidR="00000000" w:rsidRPr="00000000">
        <w:rPr>
          <w:rtl w:val="0"/>
        </w:rPr>
        <w:t xml:space="preserve">  Many high-alpha items require "Buff Balance" (internal credit). This creates a competitive barrier for traders restricted to direct Alipay payments.</w:t>
      </w:r>
      <w:r w:rsidDel="00000000" w:rsidR="00000000" w:rsidRPr="00000000">
        <w:rPr>
          <w:b w:val="1"/>
          <w:bCs w:val="1"/>
          <w:rtl w:val="0"/>
        </w:rPr>
        <w:t xml:space="preserve">The Intermediate Solution and Counterparty Risk:</w:t>
      </w:r>
      <w:r w:rsidDel="00000000" w:rsidR="00000000" w:rsidRPr="00000000">
        <w:rPr>
          <w:rtl w:val="0"/>
        </w:rPr>
        <w:t xml:space="preserve">  To optimize the workflow, traders may utilize third-party intermediaries (посредники) to "top up" internal Buff Balance. While this unlocks a broader inventory of high-margin assets, it introduces significant  </w:t>
      </w:r>
      <w:r w:rsidDel="00000000" w:rsidR="00000000" w:rsidRPr="00000000">
        <w:rPr>
          <w:b w:val="1"/>
          <w:bCs w:val="1"/>
          <w:rtl w:val="0"/>
        </w:rPr>
        <w:t xml:space="preserve">counterparty risk</w:t>
      </w:r>
      <w:r w:rsidDel="00000000" w:rsidR="00000000" w:rsidRPr="00000000">
        <w:rPr>
          <w:rtl w:val="0"/>
        </w:rPr>
        <w:t xml:space="preserve"> . All such transactions must be vetted to ensure the security of the capital being moved through these non-native channels.</w:t>
      </w:r>
    </w:p>
    <w:p w:rsidR="00000000" w:rsidDel="00000000" w:rsidP="00000000" w:rsidRDefault="00000000" w:rsidRPr="00000000" w14:paraId="00000021">
      <w:pPr>
        <w:pStyle w:val="Heading5"/>
        <w:rPr/>
      </w:pPr>
      <w:bookmarkStart w:colFirst="0" w:colLast="0" w:name="_ewddufnl8hlu" w:id="7"/>
      <w:bookmarkEnd w:id="7"/>
      <w:r w:rsidDel="00000000" w:rsidR="00000000" w:rsidRPr="00000000">
        <w:rPr>
          <w:rtl w:val="0"/>
        </w:rPr>
        <w:t xml:space="preserve">7. Workflow Summary and Final Checklist</w:t>
      </w:r>
    </w:p>
    <w:p w:rsidR="00000000" w:rsidDel="00000000" w:rsidP="00000000" w:rsidRDefault="00000000" w:rsidRPr="00000000" w14:paraId="00000022">
      <w:pPr>
        <w:rPr/>
      </w:pPr>
      <w:r w:rsidDel="00000000" w:rsidR="00000000" w:rsidRPr="00000000">
        <w:rPr>
          <w:rtl w:val="0"/>
        </w:rPr>
        <w:t xml:space="preserve">Prior to initiating a trade cycle, validate all operational components against this checklist:</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Passport Consistency:</w:t>
      </w:r>
      <w:r w:rsidDel="00000000" w:rsidR="00000000" w:rsidRPr="00000000">
        <w:rPr>
          <w:rtl w:val="0"/>
        </w:rPr>
        <w:t xml:space="preserve">  Verified that the secondary passport scan exactly matches the initial data entry to avoid the "Double-Scan Trap."</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Face ID Biometric Completion:</w:t>
      </w:r>
      <w:r w:rsidDel="00000000" w:rsidR="00000000" w:rsidRPr="00000000">
        <w:rPr>
          <w:rtl w:val="0"/>
        </w:rPr>
        <w:t xml:space="preserve">  Biometric verification finalized within the Alipay security suite.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Payment Code Persistence:</w:t>
      </w:r>
      <w:r w:rsidDel="00000000" w:rsidR="00000000" w:rsidRPr="00000000">
        <w:rPr>
          <w:rtl w:val="0"/>
        </w:rPr>
        <w:t xml:space="preserve">  Payment code established and securely recorded.</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Network Protocol Match:</w:t>
      </w:r>
      <w:r w:rsidDel="00000000" w:rsidR="00000000" w:rsidRPr="00000000">
        <w:rPr>
          <w:rtl w:val="0"/>
        </w:rPr>
        <w:t xml:space="preserve">  Confirmed the USDT transfer network (e.g., TRC20) aligns with the destination wallet.</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P2P Settlement Verification:</w:t>
      </w:r>
      <w:r w:rsidDel="00000000" w:rsidR="00000000" w:rsidRPr="00000000">
        <w:rPr>
          <w:rtl w:val="0"/>
        </w:rPr>
        <w:t xml:space="preserve">  Manual confirmation of CNY receipt in Alipay before crypto release on HTX.</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Liquidity Benchmark:</w:t>
      </w:r>
      <w:r w:rsidDel="00000000" w:rsidR="00000000" w:rsidRPr="00000000">
        <w:rPr>
          <w:rtl w:val="0"/>
        </w:rPr>
        <w:t xml:space="preserve">  Confirmed target assets (e.g., CZ-75) meet the 100+ sales/30-day volume threshold.</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Counterparty Risk Assessment:</w:t>
      </w:r>
      <w:r w:rsidDel="00000000" w:rsidR="00000000" w:rsidRPr="00000000">
        <w:rPr>
          <w:rtl w:val="0"/>
        </w:rPr>
        <w:t xml:space="preserve">  Evaluated the necessity and reliability of third-party intermediaries for Buff Balance top-ups.</w:t>
      </w:r>
      <w:r w:rsidDel="00000000" w:rsidR="00000000" w:rsidRPr="00000000">
        <w:rPr>
          <w:b w:val="1"/>
          <w:bCs w:val="1"/>
          <w:rtl w:val="0"/>
        </w:rPr>
        <w:t xml:space="preserve">END OF OPERATIONAL PROTOCOL</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