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u8yi7c2i3jn" w:id="0"/>
      <w:bookmarkEnd w:id="0"/>
      <w:r w:rsidDel="00000000" w:rsidR="00000000" w:rsidRPr="00000000">
        <w:rPr>
          <w:rtl w:val="0"/>
        </w:rPr>
        <w:t xml:space="preserve">Strategic Framework for Steam-Based Asset Management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jhgjfsinrzba" w:id="1"/>
      <w:bookmarkEnd w:id="1"/>
      <w:r w:rsidDel="00000000" w:rsidR="00000000" w:rsidRPr="00000000">
        <w:rPr>
          <w:rtl w:val="0"/>
        </w:rPr>
        <w:t xml:space="preserve">1. Executive Context: The Steam Economy as a High-Yield Asset Class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evolution of the Steam-based digital asset market marks a definitive transition from hobbyist skin trading to a professionalized capital management ecosystem. While this environment offers Return on Investment (ROI) profiles that frequently outperform traditional financial instruments, capturing this alpha requires more than mechanical platform knowledge; it demands asymmetric information advantages, rigorous operational security, and disciplined liquidity management. In this high-velocity ecosystem, a professional manager treats "skins" not as cosmetic items, but as alternative financial instruments with specific volatility and liquidity characteristics.</w:t>
      </w:r>
      <w:r w:rsidDel="00000000" w:rsidR="00000000" w:rsidRPr="00000000">
        <w:rPr>
          <w:b w:val="1"/>
          <w:bCs w:val="1"/>
          <w:rtl w:val="0"/>
        </w:rPr>
        <w:t xml:space="preserve">Market Reality and Structural Friction</w:t>
      </w:r>
      <w:r w:rsidDel="00000000" w:rsidR="00000000" w:rsidRPr="00000000">
        <w:rPr>
          <w:rtl w:val="0"/>
        </w:rPr>
        <w:t xml:space="preserve">  The contemporary landscape is defined by significant regulatory and platform-imposed friction, specifically the "Trade Lock" and "Balance Freeze" protocols. Standard assets are subject to a seven-day trade hold upon acquisition. Furthermore, recent updates across major third-party platforms have introduced a secondary seven-day "Balance Freeze"—a mandatory hold on funds post-sale to mitigate refund risks. This 14-day bottleneck effectively doubles the standard trade cycle, cutting annual capital velocity in half. Navigating this requires a structured, tiered approach to capital rotation to prevent assets from becoming "dead capital" during hold periods.Effective scaling in this sector necessitates a transition through structured capital tiers, where the strategy evolves from high-velocity turnover to sophisticated multi-platform arbitrage.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oxmg3b4mt9q9" w:id="2"/>
      <w:bookmarkEnd w:id="2"/>
      <w:r w:rsidDel="00000000" w:rsidR="00000000" w:rsidRPr="00000000">
        <w:rPr>
          <w:rtl w:val="0"/>
        </w:rPr>
        <w:t xml:space="preserve">2. Capital Tier Classification &amp; Performance Benchmarks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digital asset management, capital volume is the primary determinant of strategy. As a portfolio scales, the "liquidity premium" of common items diminishes relative to total bank size, requiring a pivot toward high-margin rare assets and sophisticated cross-platform arbitrage. Managers must recalibrate ROI expectations as they transition from high-growth micro-portfolios to capital-preservative macro-holdings.</w:t>
      </w:r>
    </w:p>
    <w:p w:rsidR="00000000" w:rsidDel="00000000" w:rsidP="00000000" w:rsidRDefault="00000000" w:rsidRPr="00000000" w14:paraId="00000006">
      <w:pPr>
        <w:pStyle w:val="Heading6"/>
        <w:rPr/>
      </w:pPr>
      <w:bookmarkStart w:colFirst="0" w:colLast="0" w:name="_i96lay9qpz8r" w:id="3"/>
      <w:bookmarkEnd w:id="3"/>
      <w:r w:rsidDel="00000000" w:rsidR="00000000" w:rsidRPr="00000000">
        <w:rPr>
          <w:rtl w:val="0"/>
        </w:rPr>
        <w:t xml:space="preserve">Operational Capital Tiers &amp; ROI Projections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Capital Tier,Financial Range,Primary Strategic Focus,Target Monthly ROI,Reinvestment Strategy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Low Tier,"$0 – $1,000",Steam Community Market (SCM) high-velocity rotation.,30% – 50%,100% (Total Compound)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Low-Middle Tier,"$1,000 – $5,000","Hybrid Strategy: SCM + External Liquidity (Buff163, CSFloat).",30% – 40%,80% Reinvestment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Middle Tier,"$5,000 – $50,000",External arbitrage; introduction of media-driven scaling.,30% sliding to 20%,70% Reinvestment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High Tier,"$50,000+",Capital preservation; diversification into fiat/real estate.,Variable (Preservation),Diversification / Team Scaling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The Scaling Pivot Point and "Media Cushioning"</w:t>
      </w:r>
      <w:r w:rsidDel="00000000" w:rsidR="00000000" w:rsidRPr="00000000">
        <w:rPr>
          <w:rtl w:val="0"/>
        </w:rPr>
        <w:t xml:space="preserve">  The $5,000 threshold represents a critical strategic inflection point. Beyond this volume, the Steam Community Market’s 13% transaction fee becomes a prohibitive drag on net returns. Managers must migrate to external marketplaces like Buff163 and CSFloat to access 2.0–2.5% commission structures. Furthermore, as capital grows, the risk of a "Community Toast" (CT) ban becomes an existential threat. Professional managers utilize "media-driven scaling"—building Telegram or YouTube presence—to "lay the straw" (cushion the fall). This creates a loyal buyer network and alternative liquidity channels that act as an insurance policy against platform-specific deplatforming.The successful management of these tiers depends entirely on the underlying asset mix and the speed at which those assets can be converted back to liquid balance.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czz9bj7g9h44" w:id="4"/>
      <w:bookmarkEnd w:id="4"/>
      <w:r w:rsidDel="00000000" w:rsidR="00000000" w:rsidRPr="00000000">
        <w:rPr>
          <w:rtl w:val="0"/>
        </w:rPr>
        <w:t xml:space="preserve">3. Portfolio Composition &amp; Liquidity Management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cornerstone of a resilient portfolio is the "Liquidity-to-Rare Ratio." Capital locked in illiquid assets is a non-performing exposure that halts the compounding effect. A professional manager must maintain a balance of high-velocity "liquids" and high-margin "rare" instruments to ensure the portfolio can withstand market corrections.</w:t>
      </w:r>
      <w:r w:rsidDel="00000000" w:rsidR="00000000" w:rsidRPr="00000000">
        <w:rPr>
          <w:b w:val="1"/>
          <w:bCs w:val="1"/>
          <w:rtl w:val="0"/>
        </w:rPr>
        <w:t xml:space="preserve">Core Asset Categories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Liquid Assets:</w:t>
      </w:r>
      <w:r w:rsidDel="00000000" w:rsidR="00000000" w:rsidRPr="00000000">
        <w:rPr>
          <w:rtl w:val="0"/>
        </w:rPr>
        <w:t xml:space="preserve">  High-volume skins with minimal price variance. Selection criteria: 5+ sales per day and a buy/sell spread below 13%. Beyond CS2, "Alpha" is found in PUBG and Rust skins; specifically, PUBG skirts offer consistent 5.5% weekly gains.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High-Margin "Rare" Assets:</w:t>
      </w:r>
      <w:r w:rsidDel="00000000" w:rsidR="00000000" w:rsidRPr="00000000">
        <w:rPr>
          <w:rtl w:val="0"/>
        </w:rPr>
        <w:t xml:space="preserve">  This category includes "Blue Gems" (Case Hardened patterns), Low-Float items (0.00x), and "Stickered" items (e.g., Katowice 2015). Blue Gems are evaluated on pattern density, with a significant premium for "solid blue on the tip of the blade" compared to less desirable "Blaze" patterns. Sticker integrity is paramount; extensions must be used to verify stickers are not scratched, as even a 1% scratch negates the collector's premium.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Instant-Liquidity Instruments (TF2 Keys):</w:t>
      </w:r>
      <w:r w:rsidDel="00000000" w:rsidR="00000000" w:rsidRPr="00000000">
        <w:rPr>
          <w:rtl w:val="0"/>
        </w:rPr>
        <w:t xml:space="preserve">  Team Fortress 2 keys are "no-hold" (instant) instruments. They serve as a vital bridge to bypass trade holds, allowing for immediate conversion to Steam balance at 115–120% of their fiat value.</w:t>
      </w:r>
      <w:r w:rsidDel="00000000" w:rsidR="00000000" w:rsidRPr="00000000">
        <w:rPr>
          <w:b w:val="1"/>
          <w:bCs w:val="1"/>
          <w:rtl w:val="0"/>
        </w:rPr>
        <w:t xml:space="preserve">Risk Allocation Guideline</w:t>
      </w:r>
      <w:r w:rsidDel="00000000" w:rsidR="00000000" w:rsidRPr="00000000">
        <w:rPr>
          <w:rtl w:val="0"/>
        </w:rPr>
        <w:t xml:space="preserve">  To hedge against systemic market downturns, a minimum of  </w:t>
      </w:r>
      <w:r w:rsidDel="00000000" w:rsidR="00000000" w:rsidRPr="00000000">
        <w:rPr>
          <w:b w:val="1"/>
          <w:bCs w:val="1"/>
          <w:rtl w:val="0"/>
        </w:rPr>
        <w:t xml:space="preserve">50% of the portfolio</w:t>
      </w:r>
      <w:r w:rsidDel="00000000" w:rsidR="00000000" w:rsidRPr="00000000">
        <w:rPr>
          <w:rtl w:val="0"/>
        </w:rPr>
        <w:t xml:space="preserve">  must remain in liquid assets. This ensures that even during a "Balance Freeze" or market stagnation, the manager retains the ability to rotate capital without significant slippage.With a balanced portfolio established, the manager must focus on the specific execution tactics that exploit market inefficiencies.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dsc3v4nl2j5k" w:id="5"/>
      <w:bookmarkEnd w:id="5"/>
      <w:r w:rsidDel="00000000" w:rsidR="00000000" w:rsidRPr="00000000">
        <w:rPr>
          <w:rtl w:val="0"/>
        </w:rPr>
        <w:t xml:space="preserve">4. Operational Execution: Trading &amp; Arbitrage Strategies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Strategic "Alpha" is generated via "Cross-Platform Arbitrage," primarily exploiting price discrepancies between the "Western" corridor (CSFloat, CSMoney) and the "Eastern" liquidity hub (Buff163).</w:t>
      </w:r>
      <w:r w:rsidDel="00000000" w:rsidR="00000000" w:rsidRPr="00000000">
        <w:rPr>
          <w:b w:val="1"/>
          <w:bCs w:val="1"/>
          <w:rtl w:val="0"/>
        </w:rPr>
        <w:t xml:space="preserve">Strategy: Liquid-to-Liquid (Capital Turnover)</w:t>
      </w:r>
      <w:r w:rsidDel="00000000" w:rsidR="00000000" w:rsidRPr="00000000">
        <w:rPr>
          <w:rtl w:val="0"/>
        </w:rPr>
        <w:t xml:space="preserve">  This strategy optimizes for volume. By acquiring liquids at a 10% discount on Western markets and selling at market value on Buff163, managers target an 8% net gain per cycle. Even with the current 14-day hold/freeze cycle, achieving two rotations per month yields a consistent  </w:t>
      </w:r>
      <w:r w:rsidDel="00000000" w:rsidR="00000000" w:rsidRPr="00000000">
        <w:rPr>
          <w:b w:val="1"/>
          <w:bCs w:val="1"/>
          <w:rtl w:val="0"/>
        </w:rPr>
        <w:t xml:space="preserve">16% monthly growth</w:t>
      </w:r>
      <w:r w:rsidDel="00000000" w:rsidR="00000000" w:rsidRPr="00000000">
        <w:rPr>
          <w:rtl w:val="0"/>
        </w:rPr>
        <w:t xml:space="preserve">  with minimal exposure to rare item volatility.</w:t>
      </w:r>
      <w:r w:rsidDel="00000000" w:rsidR="00000000" w:rsidRPr="00000000">
        <w:rPr>
          <w:b w:val="1"/>
          <w:bCs w:val="1"/>
          <w:rtl w:val="0"/>
        </w:rPr>
        <w:t xml:space="preserve">Strategy: Rare Item Arbitrage</w:t>
      </w:r>
      <w:r w:rsidDel="00000000" w:rsidR="00000000" w:rsidRPr="00000000">
        <w:rPr>
          <w:rtl w:val="0"/>
        </w:rPr>
        <w:t xml:space="preserve">  This requires deep pattern-specific knowledge. Evaluation focuses on the "asymmetric value" of specific listings—finding a solid blue tip Case Hardened or a low-float item listed at a default price. This strategy yields 30%+ margins but requires 1–2 months for realization.</w:t>
      </w:r>
      <w:r w:rsidDel="00000000" w:rsidR="00000000" w:rsidRPr="00000000">
        <w:rPr>
          <w:b w:val="1"/>
          <w:bCs w:val="1"/>
          <w:rtl w:val="0"/>
        </w:rPr>
        <w:t xml:space="preserve">The Technical Toolkit</w:t>
      </w:r>
      <w:r w:rsidDel="00000000" w:rsidR="00000000" w:rsidRPr="00000000">
        <w:rPr>
          <w:rtl w:val="0"/>
        </w:rPr>
        <w:t xml:space="preserve">  Professional execution requires real-time quantitative data. The following extensions are mandatory: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BetterFloat:</w:t>
      </w:r>
      <w:r w:rsidDel="00000000" w:rsidR="00000000" w:rsidRPr="00000000">
        <w:rPr>
          <w:rtl w:val="0"/>
        </w:rPr>
        <w:t xml:space="preserve">  Essential for viewing "Auto-buy/Buy-order" prices directly on listing pages to calculate instant profit potential.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BetterBuff:</w:t>
      </w:r>
      <w:r w:rsidDel="00000000" w:rsidR="00000000" w:rsidRPr="00000000">
        <w:rPr>
          <w:rtl w:val="0"/>
        </w:rPr>
        <w:t xml:space="preserve">  Used to track listing times and seller history to gauge market saturation.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CS2 Trader:</w:t>
      </w:r>
      <w:r w:rsidDel="00000000" w:rsidR="00000000" w:rsidRPr="00000000">
        <w:rPr>
          <w:rtl w:val="0"/>
        </w:rPr>
        <w:t xml:space="preserve">  For internal inventory management and automated slippage calculations.As returns are generated through these strategies, the focus must shift to defending the capital from external threats.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pvj4oq3lbb3l" w:id="6"/>
      <w:bookmarkEnd w:id="6"/>
      <w:r w:rsidDel="00000000" w:rsidR="00000000" w:rsidRPr="00000000">
        <w:rPr>
          <w:rtl w:val="0"/>
        </w:rPr>
        <w:t xml:space="preserve">5. Risk Mitigation &amp; Security Infrastructure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As capital density increases, the risk of a "Chain Ban" (CT) necessitates "Asset Decentralization." Centralizing $50,000 on a single account is a catastrophic failure of risk management.</w:t>
      </w:r>
      <w:r w:rsidDel="00000000" w:rsidR="00000000" w:rsidRPr="00000000">
        <w:rPr>
          <w:b w:val="1"/>
          <w:bCs w:val="1"/>
          <w:rtl w:val="0"/>
        </w:rPr>
        <w:t xml:space="preserve">Security Protocol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Account Isolation:</w:t>
      </w:r>
      <w:r w:rsidDel="00000000" w:rsidR="00000000" w:rsidRPr="00000000">
        <w:rPr>
          <w:rtl w:val="0"/>
        </w:rPr>
        <w:t xml:space="preserve">  Distribute capital into  $2,000–$ 3,000 blocks. Each account must be isolated using  </w:t>
      </w:r>
      <w:r w:rsidDel="00000000" w:rsidR="00000000" w:rsidRPr="00000000">
        <w:rPr>
          <w:b w:val="1"/>
          <w:bCs w:val="1"/>
          <w:rtl w:val="0"/>
        </w:rPr>
        <w:t xml:space="preserve">Anti-detect browsers (e.g., Dolphin, Octo)</w:t>
      </w:r>
      <w:r w:rsidDel="00000000" w:rsidR="00000000" w:rsidRPr="00000000">
        <w:rPr>
          <w:rtl w:val="0"/>
        </w:rPr>
        <w:t xml:space="preserve">  and dedicated  </w:t>
      </w:r>
      <w:r w:rsidDel="00000000" w:rsidR="00000000" w:rsidRPr="00000000">
        <w:rPr>
          <w:b w:val="1"/>
          <w:bCs w:val="1"/>
          <w:rtl w:val="0"/>
        </w:rPr>
        <w:t xml:space="preserve">Proxies</w:t>
      </w:r>
      <w:r w:rsidDel="00000000" w:rsidR="00000000" w:rsidRPr="00000000">
        <w:rPr>
          <w:rtl w:val="0"/>
        </w:rPr>
        <w:t xml:space="preserve">  to prevent IP-based chain bans.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Key Management:</w:t>
      </w:r>
      <w:r w:rsidDel="00000000" w:rsidR="00000000" w:rsidRPr="00000000">
        <w:rPr>
          <w:rtl w:val="0"/>
        </w:rPr>
        <w:t xml:space="preserve">  API keys should only be generated on original Steam domains to prevent "Trade Hijacking."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"Golden Ticket" Recovery:</w:t>
      </w:r>
      <w:r w:rsidDel="00000000" w:rsidR="00000000" w:rsidRPr="00000000">
        <w:rPr>
          <w:rtl w:val="0"/>
        </w:rPr>
        <w:t xml:space="preserve">  Managers must maintain a record of the  </w:t>
      </w:r>
      <w:r w:rsidDel="00000000" w:rsidR="00000000" w:rsidRPr="00000000">
        <w:rPr>
          <w:b w:val="1"/>
          <w:bCs w:val="1"/>
          <w:rtl w:val="0"/>
        </w:rPr>
        <w:t xml:space="preserve">first gift code</w:t>
      </w:r>
      <w:r w:rsidDel="00000000" w:rsidR="00000000" w:rsidRPr="00000000">
        <w:rPr>
          <w:rtl w:val="0"/>
        </w:rPr>
        <w:t xml:space="preserve">  activated on every account. This is the primary verification tool used by Steam Support to recover an account hit with "Red Text" (CT) or unauthorized access.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Verification Strategy:</w:t>
      </w:r>
      <w:r w:rsidDel="00000000" w:rsidR="00000000" w:rsidRPr="00000000">
        <w:rPr>
          <w:rtl w:val="0"/>
        </w:rPr>
        <w:t xml:space="preserve">  Stripe/KYC verification is mandatory for high-tier managers on platforms like CSFloat. Without it, a $2,000 balance/listing limit is imposed, effectively halting high-volume operations.</w:t>
      </w:r>
      <w:r w:rsidDel="00000000" w:rsidR="00000000" w:rsidRPr="00000000">
        <w:rPr>
          <w:b w:val="1"/>
          <w:bCs w:val="1"/>
          <w:rtl w:val="0"/>
        </w:rPr>
        <w:t xml:space="preserve">Anti-Scam Checklist</w:t>
      </w:r>
      <w:r w:rsidDel="00000000" w:rsidR="00000000" w:rsidRPr="00000000">
        <w:rPr>
          <w:rtl w:val="0"/>
        </w:rPr>
        <w:t xml:space="preserve">  Prior to any high-value trade confirmation: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counterparty's Steam Level and historical data.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 for "Red Text" warnings in the Steam Guard interface.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 extensions to validate sticker integrity (0% scratch) and exact float values to ensure no item-swapping has occurred.The final stage of the framework is the disciplined movement of digital gains into the fiat economy.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65qr646ftr1h" w:id="7"/>
      <w:bookmarkEnd w:id="7"/>
      <w:r w:rsidDel="00000000" w:rsidR="00000000" w:rsidRPr="00000000">
        <w:rPr>
          <w:rtl w:val="0"/>
        </w:rPr>
        <w:t xml:space="preserve">6. Capital Extraction &amp; Reinvestment Policy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professional operation is defined by "Profit Realization." Until digital balance is converted to fiat, it remains subject to platform risk and market volatility.</w:t>
      </w:r>
      <w:r w:rsidDel="00000000" w:rsidR="00000000" w:rsidRPr="00000000">
        <w:rPr>
          <w:b w:val="1"/>
          <w:bCs w:val="1"/>
          <w:rtl w:val="0"/>
        </w:rPr>
        <w:t xml:space="preserve">Withdrawal Thresholds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 Tier:</w:t>
      </w:r>
      <w:r w:rsidDel="00000000" w:rsidR="00000000" w:rsidRPr="00000000">
        <w:rPr>
          <w:rtl w:val="0"/>
        </w:rPr>
        <w:t xml:space="preserve">  0% withdrawal. Total reinvestment is required to reach the $1,000 efficiency threshold.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Middle Tier:</w:t>
      </w:r>
      <w:r w:rsidDel="00000000" w:rsidR="00000000" w:rsidRPr="00000000">
        <w:rPr>
          <w:rtl w:val="0"/>
        </w:rPr>
        <w:t xml:space="preserve">  20–30% withdrawal for utility; 70–80% reinvestment for scaling.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 Tier:</w:t>
      </w:r>
      <w:r w:rsidDel="00000000" w:rsidR="00000000" w:rsidRPr="00000000">
        <w:rPr>
          <w:rtl w:val="0"/>
        </w:rPr>
        <w:t xml:space="preserve">  Aggressive diversification into non-digital assets (Real Estate/Physical Businesses) to hedge against the existential risk of a Steam ecosystem collapse.</w:t>
      </w:r>
      <w:r w:rsidDel="00000000" w:rsidR="00000000" w:rsidRPr="00000000">
        <w:rPr>
          <w:b w:val="1"/>
          <w:bCs w:val="1"/>
          <w:rtl w:val="0"/>
        </w:rPr>
        <w:t xml:space="preserve">The "Net Zero Friction" Exit Path</w:t>
      </w:r>
      <w:r w:rsidDel="00000000" w:rsidR="00000000" w:rsidRPr="00000000">
        <w:rPr>
          <w:rtl w:val="0"/>
        </w:rPr>
        <w:t xml:space="preserve">  To exit the market without losing margin to fees, managers utilize the  </w:t>
      </w:r>
      <w:r w:rsidDel="00000000" w:rsidR="00000000" w:rsidRPr="00000000">
        <w:rPr>
          <w:b w:val="1"/>
          <w:bCs w:val="1"/>
          <w:rtl w:val="0"/>
        </w:rPr>
        <w:t xml:space="preserve">CSMoney Market method</w:t>
      </w:r>
      <w:r w:rsidDel="00000000" w:rsidR="00000000" w:rsidRPr="00000000">
        <w:rPr>
          <w:rtl w:val="0"/>
        </w:rPr>
        <w:t xml:space="preserve"> . The formula is calculated as follows: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 List assets at  </w:t>
      </w:r>
      <w:r w:rsidDel="00000000" w:rsidR="00000000" w:rsidRPr="00000000">
        <w:rPr>
          <w:b w:val="1"/>
          <w:bCs w:val="1"/>
          <w:rtl w:val="0"/>
        </w:rPr>
        <w:t xml:space="preserve">+4–5% over Buff163 prices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 Account for the  </w:t>
      </w:r>
      <w:r w:rsidDel="00000000" w:rsidR="00000000" w:rsidRPr="00000000">
        <w:rPr>
          <w:b w:val="1"/>
          <w:bCs w:val="1"/>
          <w:rtl w:val="0"/>
        </w:rPr>
        <w:t xml:space="preserve">3% sales commission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2% withdrawal fee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 A near 1:1 conversion (100% value retention) from digital balance to bank transfer. This offsets the standard friction of the fiat exit.</w:t>
      </w:r>
      <w:r w:rsidDel="00000000" w:rsidR="00000000" w:rsidRPr="00000000">
        <w:rPr>
          <w:b w:val="1"/>
          <w:bCs w:val="1"/>
          <w:rtl w:val="0"/>
        </w:rPr>
        <w:t xml:space="preserve">Long-Term Manifest</w:t>
      </w:r>
      <w:r w:rsidDel="00000000" w:rsidR="00000000" w:rsidRPr="00000000">
        <w:rPr>
          <w:rtl w:val="0"/>
        </w:rPr>
        <w:t xml:space="preserve">  The Steam economy rewards the clinical and the disciplined. Consistency, an insatiable hunger for market data, and psychological resilience during the 14-day trade/balance bottlenecks are the true multipliers of capital. In this market, the "hamsters" provide the liquidity; the strategists capture the value. Treat every pixel as a financial instrument, and never allow emotion to dictate a trade.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