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sj9zda5ai6d" w:id="0"/>
      <w:bookmarkEnd w:id="0"/>
      <w:r w:rsidDel="00000000" w:rsidR="00000000" w:rsidRPr="00000000">
        <w:rPr>
          <w:rtl w:val="0"/>
        </w:rPr>
        <w:t xml:space="preserve">Strategic Framework: Virtual Item Inventory &amp; Capital Tier Management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lrgoek1ckuax" w:id="1"/>
      <w:bookmarkEnd w:id="1"/>
      <w:r w:rsidDel="00000000" w:rsidR="00000000" w:rsidRPr="00000000">
        <w:rPr>
          <w:rtl w:val="0"/>
        </w:rPr>
        <w:t xml:space="preserve">1. The Taxonomy of Digital Asset Capital Tiers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high-frequency environment of digital asset trading, success is a product of rigorous classification and  </w:t>
      </w:r>
      <w:r w:rsidDel="00000000" w:rsidR="00000000" w:rsidRPr="00000000">
        <w:rPr>
          <w:b w:val="1"/>
          <w:bCs w:val="1"/>
          <w:rtl w:val="0"/>
        </w:rPr>
        <w:t xml:space="preserve">Capital Lifecycle Optimization</w:t>
      </w:r>
      <w:r w:rsidDel="00000000" w:rsidR="00000000" w:rsidRPr="00000000">
        <w:rPr>
          <w:rtl w:val="0"/>
        </w:rPr>
        <w:t xml:space="preserve"> . To align operational effort with capital efficiency, a tier-based framework is mandatory. Without this structure, managers succumb to the "labor trap"—spending excessive time on high-margin but low-scalability activities. Transitioning through these tiers requires a shift from manual "flipping" to sophisticated wealth management, where the primary objective evolves from labor-intensive accumulation to capital-intensive yield generation.The following table defines the four primary capital tiers utilized in institutional virtual item management:| Capital Tier | Value Range (USD) | Operational Goal | Target Monthly ROI | Primary Market Environment ||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Tier 1: Low</w:t>
      </w:r>
      <w:r w:rsidDel="00000000" w:rsidR="00000000" w:rsidRPr="00000000">
        <w:rPr>
          <w:rtl w:val="0"/>
        </w:rPr>
        <w:t xml:space="preserve"> | $0 – $1,000 | Capital Accumulation | 30% – 50% | SCM / DMarket / LootFarm || </w:t>
      </w:r>
      <w:r w:rsidDel="00000000" w:rsidR="00000000" w:rsidRPr="00000000">
        <w:rPr>
          <w:b w:val="1"/>
          <w:bCs w:val="1"/>
          <w:rtl w:val="0"/>
        </w:rPr>
        <w:t xml:space="preserve">Tier 2: Low-Mid</w:t>
      </w:r>
      <w:r w:rsidDel="00000000" w:rsidR="00000000" w:rsidRPr="00000000">
        <w:rPr>
          <w:rtl w:val="0"/>
        </w:rPr>
        <w:t xml:space="preserve"> | $1,000 – $5,000 | Portfolio Scaling | 20% – 40% | SCM &amp; Western P2P Markets || </w:t>
      </w:r>
      <w:r w:rsidDel="00000000" w:rsidR="00000000" w:rsidRPr="00000000">
        <w:rPr>
          <w:b w:val="1"/>
          <w:bCs w:val="1"/>
          <w:rtl w:val="0"/>
        </w:rPr>
        <w:t xml:space="preserve">Tier 3: Middle</w:t>
      </w:r>
      <w:r w:rsidDel="00000000" w:rsidR="00000000" w:rsidRPr="00000000">
        <w:rPr>
          <w:rtl w:val="0"/>
        </w:rPr>
        <w:t xml:space="preserve"> | $5,000 – $50,000 | Strategic Arbitrage | 15% – 20% | Buff163 / CSFloat / CSMoney || </w:t>
      </w:r>
      <w:r w:rsidDel="00000000" w:rsidR="00000000" w:rsidRPr="00000000">
        <w:rPr>
          <w:b w:val="1"/>
          <w:bCs w:val="1"/>
          <w:rtl w:val="0"/>
        </w:rPr>
        <w:t xml:space="preserve">Tier 4: High</w:t>
      </w:r>
      <w:r w:rsidDel="00000000" w:rsidR="00000000" w:rsidRPr="00000000">
        <w:rPr>
          <w:rtl w:val="0"/>
        </w:rPr>
        <w:t xml:space="preserve"> | $50,000+ | Institutionalization | 8% – 12% | Automated Systems / Media Equity |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n0tqmckwbc8p" w:id="2"/>
      <w:bookmarkEnd w:id="2"/>
      <w:r w:rsidDel="00000000" w:rsidR="00000000" w:rsidRPr="00000000">
        <w:rPr>
          <w:rtl w:val="0"/>
        </w:rPr>
        <w:t xml:space="preserve">The "So What?" of Tier Transitions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shift between these tiers represents a fundamental transformation in growth mechanics. In Tiers 1 and 2, growth is  </w:t>
      </w:r>
      <w:r w:rsidDel="00000000" w:rsidR="00000000" w:rsidRPr="00000000">
        <w:rPr>
          <w:b w:val="1"/>
          <w:bCs w:val="1"/>
          <w:rtl w:val="0"/>
        </w:rPr>
        <w:t xml:space="preserve">labor-intensive</w:t>
      </w:r>
      <w:r w:rsidDel="00000000" w:rsidR="00000000" w:rsidRPr="00000000">
        <w:rPr>
          <w:rtl w:val="0"/>
        </w:rPr>
        <w:t xml:space="preserve"> ; your primary resource is the time spent overcoming the "Opportunity Cost of Liquidity." As you cross the $5,000 threshold, the model becomes  </w:t>
      </w:r>
      <w:r w:rsidDel="00000000" w:rsidR="00000000" w:rsidRPr="00000000">
        <w:rPr>
          <w:b w:val="1"/>
          <w:bCs w:val="1"/>
          <w:rtl w:val="0"/>
        </w:rPr>
        <w:t xml:space="preserve">capital-intensive</w:t>
      </w:r>
      <w:r w:rsidDel="00000000" w:rsidR="00000000" w:rsidRPr="00000000">
        <w:rPr>
          <w:rtl w:val="0"/>
        </w:rPr>
        <w:t xml:space="preserve"> . Success is no longer driven by manual speed, but by liquidity access, platform verification status, and technological moats. Stagnation occurs when a manager fails to adapt their operational overhead to match their increasing capital velocity.To progress, a manager must first master the high-frequency tactical requirements of the entry-level accumulation phase.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pvqcrozbn0th" w:id="3"/>
      <w:bookmarkEnd w:id="3"/>
      <w:r w:rsidDel="00000000" w:rsidR="00000000" w:rsidRPr="00000000">
        <w:rPr>
          <w:rtl w:val="0"/>
        </w:rPr>
        <w:t xml:space="preserve">2. Tier 1 &amp; 2 Strategy: Yield Generation and Reinvestment Thresholds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During the "Bank Building" phase, the objective is to maximize capital velocity by overcoming the 7-day trade hold. Managers must focus on high-turnover assets to fuel the compound interest engine.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ed2dqescxgqi" w:id="4"/>
      <w:bookmarkEnd w:id="4"/>
      <w:r w:rsidDel="00000000" w:rsidR="00000000" w:rsidRPr="00000000">
        <w:rPr>
          <w:rtl w:val="0"/>
        </w:rPr>
        <w:t xml:space="preserve">The "Liquid-to-Liquid" Strategy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banks under $5,000, asset selection is the primary driver of ROI. Diversification into non-CS2 assets is critical to maintain steady turnover.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Asset Diversity:</w:t>
      </w:r>
      <w:r w:rsidDel="00000000" w:rsidR="00000000" w:rsidRPr="00000000">
        <w:rPr>
          <w:rtl w:val="0"/>
        </w:rPr>
        <w:t xml:space="preserve">  Incorporate  </w:t>
      </w:r>
      <w:r w:rsidDel="00000000" w:rsidR="00000000" w:rsidRPr="00000000">
        <w:rPr>
          <w:b w:val="1"/>
          <w:bCs w:val="1"/>
          <w:rtl w:val="0"/>
        </w:rPr>
        <w:t xml:space="preserve">PUBG and Rust</w:t>
      </w:r>
      <w:r w:rsidDel="00000000" w:rsidR="00000000" w:rsidRPr="00000000">
        <w:rPr>
          <w:rtl w:val="0"/>
        </w:rPr>
        <w:t xml:space="preserve">  skins. These markets often exhibit higher liquidity and more predictable price floors compared to the volatile CS2 environment.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 Volume:</w:t>
      </w:r>
      <w:r w:rsidDel="00000000" w:rsidR="00000000" w:rsidRPr="00000000">
        <w:rPr>
          <w:rtl w:val="0"/>
        </w:rPr>
        <w:t xml:space="preserve">  A minimum of 5 sales/day per item to ensure exit liquidity.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Margin Spread:</w:t>
      </w:r>
      <w:r w:rsidDel="00000000" w:rsidR="00000000" w:rsidRPr="00000000">
        <w:rPr>
          <w:rtl w:val="0"/>
        </w:rPr>
        <w:t xml:space="preserve">  Target a net 13% spread on the Steam Community Market (SCM) after fees.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Optimization:</w:t>
      </w:r>
      <w:r w:rsidDel="00000000" w:rsidR="00000000" w:rsidRPr="00000000">
        <w:rPr>
          <w:rtl w:val="0"/>
        </w:rPr>
        <w:t xml:space="preserve">  Use  </w:t>
      </w:r>
      <w:r w:rsidDel="00000000" w:rsidR="00000000" w:rsidRPr="00000000">
        <w:rPr>
          <w:b w:val="1"/>
          <w:bCs w:val="1"/>
          <w:rtl w:val="0"/>
        </w:rPr>
        <w:t xml:space="preserve">Steam Inventory Helper (SIH)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BetterFloat</w:t>
      </w:r>
      <w:r w:rsidDel="00000000" w:rsidR="00000000" w:rsidRPr="00000000">
        <w:rPr>
          <w:rtl w:val="0"/>
        </w:rPr>
        <w:t xml:space="preserve">  to calculate net margins and monitor market floors in real-time.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4xb1tdb2osax" w:id="5"/>
      <w:bookmarkEnd w:id="5"/>
      <w:r w:rsidDel="00000000" w:rsidR="00000000" w:rsidRPr="00000000">
        <w:rPr>
          <w:rtl w:val="0"/>
        </w:rPr>
        <w:t xml:space="preserve">Tactical Bypasses for Trade Holds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standard 7-day trade hold is a 100% reduction in capital velocity. Managers utilize two primary bypasses: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TF2 Key Method:</w:t>
      </w:r>
      <w:r w:rsidDel="00000000" w:rsidR="00000000" w:rsidRPr="00000000">
        <w:rPr>
          <w:rtl w:val="0"/>
        </w:rPr>
        <w:t xml:space="preserve">  Purchasing Team Fortress 2 Keys from external shops for fiat and selling them on the SCM. This provides an instant 15–20% "deposit bonus" and immediate Steam balance without the 7-day hold.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DMarket-to-LootFarm Loop:</w:t>
      </w:r>
      <w:r w:rsidDel="00000000" w:rsidR="00000000" w:rsidRPr="00000000">
        <w:rPr>
          <w:rtl w:val="0"/>
        </w:rPr>
        <w:t xml:space="preserve">  Utilizing third-party exchanges to swap items instantly. By identifying "unstable" or "overstock" items carefully, a manager can move capital between platforms with zero trade hold, facilitating multiple "circles" of profit per week.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7tqkhhyqxsf7" w:id="6"/>
      <w:bookmarkEnd w:id="6"/>
      <w:r w:rsidDel="00000000" w:rsidR="00000000" w:rsidRPr="00000000">
        <w:rPr>
          <w:rtl w:val="0"/>
        </w:rPr>
        <w:t xml:space="preserve">The Reinvestment Mandate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Tier 1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$0–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1,000):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100% reinvestment rate</w:t>
      </w:r>
      <w:r w:rsidDel="00000000" w:rsidR="00000000" w:rsidRPr="00000000">
        <w:rPr>
          <w:rtl w:val="0"/>
        </w:rPr>
        <w:t xml:space="preserve">  is mandatory. Profit extraction at this stage is a strategic failure that destroys the exponential growth curve.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Tier 2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$1,000–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5,000):</w:t>
      </w:r>
      <w:r w:rsidDel="00000000" w:rsidR="00000000" w:rsidRPr="00000000">
        <w:rPr>
          <w:rtl w:val="0"/>
        </w:rPr>
        <w:t xml:space="preserve">  Transition to the  </w:t>
      </w:r>
      <w:r w:rsidDel="00000000" w:rsidR="00000000" w:rsidRPr="00000000">
        <w:rPr>
          <w:b w:val="1"/>
          <w:bCs w:val="1"/>
          <w:rtl w:val="0"/>
        </w:rPr>
        <w:t xml:space="preserve">"70–80% Retention Rule."</w:t>
      </w:r>
      <w:r w:rsidDel="00000000" w:rsidR="00000000" w:rsidRPr="00000000">
        <w:rPr>
          <w:rtl w:val="0"/>
        </w:rPr>
        <w:t xml:space="preserve">  This allows for minor operational expenses while ensuring the core "engine" continues to scale.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jb8d88thvop5" w:id="7"/>
      <w:bookmarkEnd w:id="7"/>
      <w:r w:rsidDel="00000000" w:rsidR="00000000" w:rsidRPr="00000000">
        <w:rPr>
          <w:rtl w:val="0"/>
        </w:rPr>
        <w:t xml:space="preserve">3. Tier 3 Strategy: Platform Optimization &amp; Market Equilibrium Arbitrage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Middle-tier managers ( $5k–$ 50k) must move beyond the SCM to capture global liquidity and higher spreads. At this scale, the "14-day lockup" (7-day trade ban + 7-day balance freeze) becomes the primary risk to ROI.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fj6mvrpnor70" w:id="8"/>
      <w:bookmarkEnd w:id="8"/>
      <w:r w:rsidDel="00000000" w:rsidR="00000000" w:rsidRPr="00000000">
        <w:rPr>
          <w:rtl w:val="0"/>
        </w:rPr>
        <w:t xml:space="preserve">Platform Strategic Utility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Platform,Transaction Fees,Liquidity Speed,Strategic Niche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Buff163,2.5%,Extreme,Chinese Liquidity / Global Price Floor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CSFloat,2.0%,High,Rare Floats / Western P2P Spreads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CSMoney,3.0% – 5.0%,Moderate,Sticker Overpays / Instant Liquidity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avf9wy13xwsg" w:id="9"/>
      <w:bookmarkEnd w:id="9"/>
      <w:r w:rsidDel="00000000" w:rsidR="00000000" w:rsidRPr="00000000">
        <w:rPr>
          <w:rtl w:val="0"/>
        </w:rPr>
        <w:t xml:space="preserve">Market Equilibrium Arbitrage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Tier 3 strategy focuses on "Market Equilibrium Arbitrage" between Western P2P hubs (CSFloat) and Chinese liquidity centers (Buff163). While many assume a one-way flow, high-tier items like  </w:t>
      </w:r>
      <w:r w:rsidDel="00000000" w:rsidR="00000000" w:rsidRPr="00000000">
        <w:rPr>
          <w:b w:val="1"/>
          <w:bCs w:val="1"/>
          <w:rtl w:val="0"/>
        </w:rPr>
        <w:t xml:space="preserve">Paracord Dopplers</w:t>
      </w:r>
      <w:r w:rsidDel="00000000" w:rsidR="00000000" w:rsidRPr="00000000">
        <w:rPr>
          <w:rtl w:val="0"/>
        </w:rPr>
        <w:t xml:space="preserve">  or specific  </w:t>
      </w:r>
      <w:r w:rsidDel="00000000" w:rsidR="00000000" w:rsidRPr="00000000">
        <w:rPr>
          <w:b w:val="1"/>
          <w:bCs w:val="1"/>
          <w:rtl w:val="0"/>
        </w:rPr>
        <w:t xml:space="preserve">Fade</w:t>
      </w:r>
      <w:r w:rsidDel="00000000" w:rsidR="00000000" w:rsidRPr="00000000">
        <w:rPr>
          <w:rtl w:val="0"/>
        </w:rPr>
        <w:t xml:space="preserve">  percentages often sell for higher premiums on Western platforms. Strategic managers exploit these gaps, accounting for the 2.5% Buff fee and the CSFloat balance hold.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dgqj35llarp4" w:id="10"/>
      <w:bookmarkEnd w:id="10"/>
      <w:r w:rsidDel="00000000" w:rsidR="00000000" w:rsidRPr="00000000">
        <w:rPr>
          <w:rtl w:val="0"/>
        </w:rPr>
        <w:t xml:space="preserve">Verification as a Competitive Moat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Platform verification (KYC/Alipay/Stripe) acts as a strategic barrier to entry. The  </w:t>
      </w:r>
      <w:r w:rsidDel="00000000" w:rsidR="00000000" w:rsidRPr="00000000">
        <w:rPr>
          <w:b w:val="1"/>
          <w:bCs w:val="1"/>
          <w:rtl w:val="0"/>
        </w:rPr>
        <w:t xml:space="preserve">$110 Stripe/KYC fee</w:t>
      </w:r>
      <w:r w:rsidDel="00000000" w:rsidR="00000000" w:rsidRPr="00000000">
        <w:rPr>
          <w:rtl w:val="0"/>
        </w:rPr>
        <w:t xml:space="preserve">  and the necessity of verified Chinese payment rails filter out low-tier competition. Managers who invest in these "Institutional Moats" secure access to higher margins that hobbyists cannot reach.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tsbh2taczsyx" w:id="11"/>
      <w:bookmarkEnd w:id="11"/>
      <w:r w:rsidDel="00000000" w:rsidR="00000000" w:rsidRPr="00000000">
        <w:rPr>
          <w:rtl w:val="0"/>
        </w:rPr>
        <w:t xml:space="preserve">4. Tier 4 Strategy: Institutionalization and Business Automation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 the $50,000+ level, the role shifts from "Trader" to "Chief Investment Officer." The goal is an  </w:t>
      </w:r>
      <w:r w:rsidDel="00000000" w:rsidR="00000000" w:rsidRPr="00000000">
        <w:rPr>
          <w:b w:val="1"/>
          <w:bCs w:val="1"/>
          <w:rtl w:val="0"/>
        </w:rPr>
        <w:t xml:space="preserve">8–12% Risk-Adjusted Monthly Return</w:t>
      </w:r>
      <w:r w:rsidDel="00000000" w:rsidR="00000000" w:rsidRPr="00000000">
        <w:rPr>
          <w:rtl w:val="0"/>
        </w:rPr>
        <w:t xml:space="preserve">  through standardized systems.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9ggb8jl6vzz7" w:id="12"/>
      <w:bookmarkEnd w:id="12"/>
      <w:r w:rsidDel="00000000" w:rsidR="00000000" w:rsidRPr="00000000">
        <w:rPr>
          <w:rtl w:val="0"/>
        </w:rPr>
        <w:t xml:space="preserve">Blueprint for Operational Automation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SOP Implementation:</w:t>
      </w:r>
      <w:r w:rsidDel="00000000" w:rsidR="00000000" w:rsidRPr="00000000">
        <w:rPr>
          <w:rtl w:val="0"/>
        </w:rPr>
        <w:t xml:space="preserve">  Develop Standard Operating Procedures for hired "Inventory Assistants" to handle manual float checking and relisting (every 8 hours to maximize visibility).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 Equity:</w:t>
      </w:r>
      <w:r w:rsidDel="00000000" w:rsidR="00000000" w:rsidRPr="00000000">
        <w:rPr>
          <w:rtl w:val="0"/>
        </w:rPr>
        <w:t xml:space="preserve">  Cultivate a presence on Telegram or YouTube. This "Media Moat" functions as a low-cost acquisition channel and provides "Social Verification" that protects the account from automated flags.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n97zoecaur9f" w:id="13"/>
      <w:bookmarkEnd w:id="13"/>
      <w:r w:rsidDel="00000000" w:rsidR="00000000" w:rsidRPr="00000000">
        <w:rPr>
          <w:rtl w:val="0"/>
        </w:rPr>
        <w:t xml:space="preserve">The Diversification Protocol &amp; Safety Nets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Institutional managers must hedge against "Red Table" (Commercial Activity) risks: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Asset Realization:</w:t>
      </w:r>
      <w:r w:rsidDel="00000000" w:rsidR="00000000" w:rsidRPr="00000000">
        <w:rPr>
          <w:rtl w:val="0"/>
        </w:rPr>
        <w:t xml:space="preserve">  Move a percentage of "Oversized Profits" into real-world assets (Real Estate/Vehicles).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Media Safety Net:</w:t>
      </w:r>
      <w:r w:rsidDel="00000000" w:rsidR="00000000" w:rsidRPr="00000000">
        <w:rPr>
          <w:rtl w:val="0"/>
        </w:rPr>
        <w:t xml:space="preserve">  Public profiles are statistically more resilient to account-specific restrictions and provide a platform to appeal for support.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tlw29mwvn6uf" w:id="14"/>
      <w:bookmarkEnd w:id="14"/>
      <w:r w:rsidDel="00000000" w:rsidR="00000000" w:rsidRPr="00000000">
        <w:rPr>
          <w:rtl w:val="0"/>
        </w:rPr>
        <w:t xml:space="preserve">5. Risk Mitigation &amp; Security Infrastructure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Security is the single most important factor in capital preservation. In virtual economies, a single lapse results in total capital wipeout.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xghw1qp3fs" w:id="15"/>
      <w:bookmarkEnd w:id="15"/>
      <w:r w:rsidDel="00000000" w:rsidR="00000000" w:rsidRPr="00000000">
        <w:rPr>
          <w:rtl w:val="0"/>
        </w:rPr>
        <w:t xml:space="preserve">The Threat Matrix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Key "Redirect" Scams:</w:t>
      </w:r>
      <w:r w:rsidDel="00000000" w:rsidR="00000000" w:rsidRPr="00000000">
        <w:rPr>
          <w:rtl w:val="0"/>
        </w:rPr>
        <w:t xml:space="preserve">  Attackers use stolen API keys to cancel legitimate trades and recreate them with identical-looking scam accounts in the millisecond before confirmation.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 Revoke API keys weekly; verify account level and registration date on every trade.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Tables (Commercial Bans):</w:t>
      </w:r>
      <w:r w:rsidDel="00000000" w:rsidR="00000000" w:rsidRPr="00000000">
        <w:rPr>
          <w:rtl w:val="0"/>
        </w:rPr>
        <w:t xml:space="preserve">  Triggered by high volume or VPN usage.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Multi-account diversification.</w:t>
      </w:r>
      <w:r w:rsidDel="00000000" w:rsidR="00000000" w:rsidRPr="00000000">
        <w:rPr>
          <w:rtl w:val="0"/>
        </w:rPr>
        <w:t xml:space="preserve">  Split a $50k bank across 5–10 accounts using unique  </w:t>
      </w:r>
      <w:r w:rsidDel="00000000" w:rsidR="00000000" w:rsidRPr="00000000">
        <w:rPr>
          <w:b w:val="1"/>
          <w:bCs w:val="1"/>
          <w:rtl w:val="0"/>
        </w:rPr>
        <w:t xml:space="preserve">Gmail</w:t>
      </w:r>
      <w:r w:rsidDel="00000000" w:rsidR="00000000" w:rsidRPr="00000000">
        <w:rPr>
          <w:rtl w:val="0"/>
        </w:rPr>
        <w:t xml:space="preserve">  addresses (never temporary mail) and dedicated IPs/Antidetect browsers.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Phishing: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 "Single-email-per-account" rule and strict avoidance of "Tournament/Voting" links.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c6ucdz6bztl1" w:id="16"/>
      <w:bookmarkEnd w:id="16"/>
      <w:r w:rsidDel="00000000" w:rsidR="00000000" w:rsidRPr="00000000">
        <w:rPr>
          <w:rtl w:val="0"/>
        </w:rPr>
        <w:t xml:space="preserve">The "Ticket for Salvation" Protocol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restricted, managers must use specific procedural language with Steam Support. The core argument must be:  </w:t>
      </w:r>
      <w:r w:rsidDel="00000000" w:rsidR="00000000" w:rsidRPr="00000000">
        <w:rPr>
          <w:b w:val="1"/>
          <w:bCs w:val="1"/>
          <w:rtl w:val="0"/>
        </w:rPr>
        <w:t xml:space="preserve">"I am a collector of rare items that are unavailable on official Steam Community Market channels."</w:t>
      </w:r>
      <w:r w:rsidDel="00000000" w:rsidR="00000000" w:rsidRPr="00000000">
        <w:rPr>
          <w:rtl w:val="0"/>
        </w:rPr>
        <w:t xml:space="preserve">  Emphasizing "Collector Status" over "Commercial Intent" is the primary legal/procedural loophole for recovering restricted accounts.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g6bg4wev2c3g" w:id="17"/>
      <w:bookmarkEnd w:id="17"/>
      <w:r w:rsidDel="00000000" w:rsidR="00000000" w:rsidRPr="00000000">
        <w:rPr>
          <w:rtl w:val="0"/>
        </w:rPr>
        <w:t xml:space="preserve">6. Exit Strategies and Fiat Realization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"Liquidity Trap" is the final challenge—moving large inventories back to fiat without significant slippage.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3js48lkiscoo" w:id="18"/>
      <w:bookmarkEnd w:id="18"/>
      <w:r w:rsidDel="00000000" w:rsidR="00000000" w:rsidRPr="00000000">
        <w:rPr>
          <w:rtl w:val="0"/>
        </w:rPr>
        <w:t xml:space="preserve">The Optimal Cashout Path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CSMoney Market Advantage:</w:t>
      </w:r>
      <w:r w:rsidDel="00000000" w:rsidR="00000000" w:rsidRPr="00000000">
        <w:rPr>
          <w:rtl w:val="0"/>
        </w:rPr>
        <w:t xml:space="preserve">  For items over $1,000, commissions drop to  </w:t>
      </w:r>
      <w:r w:rsidDel="00000000" w:rsidR="00000000" w:rsidRPr="00000000">
        <w:rPr>
          <w:b w:val="1"/>
          <w:bCs w:val="1"/>
          <w:rtl w:val="0"/>
        </w:rPr>
        <w:t xml:space="preserve">3%</w:t>
      </w:r>
      <w:r w:rsidDel="00000000" w:rsidR="00000000" w:rsidRPr="00000000">
        <w:rPr>
          <w:rtl w:val="0"/>
        </w:rPr>
        <w:t xml:space="preserve"> . This platform allows for aggressive price testing with  </w:t>
      </w:r>
      <w:r w:rsidDel="00000000" w:rsidR="00000000" w:rsidRPr="00000000">
        <w:rPr>
          <w:b w:val="1"/>
          <w:bCs w:val="1"/>
          <w:rtl w:val="0"/>
        </w:rPr>
        <w:t xml:space="preserve">no trade-cancel penalties</w:t>
      </w:r>
      <w:r w:rsidDel="00000000" w:rsidR="00000000" w:rsidRPr="00000000">
        <w:rPr>
          <w:rtl w:val="0"/>
        </w:rPr>
        <w:t xml:space="preserve"> , unlike Buff or CSFloat.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Asset Selection for Exit:</w:t>
      </w:r>
      <w:r w:rsidDel="00000000" w:rsidR="00000000" w:rsidRPr="00000000">
        <w:rPr>
          <w:rtl w:val="0"/>
        </w:rPr>
        <w:t xml:space="preserve">  Utilize liquid "Royal" Agents or "Tiger Tooth" knives, which often sell on CSM Market at 104% of Buff price, effectively neutralizing withdrawal fees.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134vglzhx9f0" w:id="19"/>
      <w:bookmarkEnd w:id="19"/>
      <w:r w:rsidDel="00000000" w:rsidR="00000000" w:rsidRPr="00000000">
        <w:rPr>
          <w:rtl w:val="0"/>
        </w:rPr>
        <w:t xml:space="preserve">Exit Checklist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 Stability Check:</w:t>
      </w:r>
      <w:r w:rsidDel="00000000" w:rsidR="00000000" w:rsidRPr="00000000">
        <w:rPr>
          <w:rtl w:val="0"/>
        </w:rPr>
        <w:t xml:space="preserve">  Avoid "Panic Dumps" during price corrections; wait for the "crescent" recovery.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Progressive Liquidation:</w:t>
      </w:r>
      <w:r w:rsidDel="00000000" w:rsidR="00000000" w:rsidRPr="00000000">
        <w:rPr>
          <w:rtl w:val="0"/>
        </w:rPr>
        <w:t xml:space="preserve">  Batch items in small quantities to avoid crashing the price floor for your own inventory.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Withdrawal Verification:</w:t>
      </w:r>
      <w:r w:rsidDel="00000000" w:rsidR="00000000" w:rsidRPr="00000000">
        <w:rPr>
          <w:rtl w:val="0"/>
        </w:rPr>
        <w:t xml:space="preserve">  Ensure all KYC and withdrawal limits are cleared prior to listing high-value assets.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lzp8garjo2r" w:id="20"/>
      <w:bookmarkEnd w:id="20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framework transitions a portfolio from a $5 hobby to a $50,000+ institutional business. By adhering to capital-tier strategies, maintaining a security-first infrastructure, and optimizing for capital velocity, the virtual asset manager transforms digital collectibles into a scalable, high-yield investment vehicle.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