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16CC" w14:textId="45DA4313" w:rsidR="00440485" w:rsidRPr="00215E26" w:rsidRDefault="00440485" w:rsidP="00DB774C">
      <w:pPr>
        <w:jc w:val="center"/>
        <w:rPr>
          <w:rFonts w:ascii="Times New Roman" w:hAnsi="Times New Roman" w:cs="Times New Roman"/>
          <w:b/>
          <w:bCs/>
        </w:rPr>
      </w:pPr>
      <w:r w:rsidRPr="00215E26">
        <w:rPr>
          <w:rFonts w:ascii="Times New Roman" w:hAnsi="Times New Roman" w:cs="Times New Roman"/>
          <w:b/>
          <w:bCs/>
        </w:rPr>
        <w:t>A Scoping Review on Drug Courts as an Alternative Approach to Reducing Recidivism</w:t>
      </w:r>
    </w:p>
    <w:p w14:paraId="1FD86F4F" w14:textId="77777777" w:rsidR="00C56C13" w:rsidRPr="00215E26" w:rsidRDefault="00C56C13" w:rsidP="00271523">
      <w:pPr>
        <w:rPr>
          <w:rFonts w:ascii="Times New Roman" w:hAnsi="Times New Roman" w:cs="Times New Roman"/>
          <w:b/>
          <w:bCs/>
        </w:rPr>
      </w:pPr>
    </w:p>
    <w:p w14:paraId="211569B9" w14:textId="783B1568" w:rsidR="00271523" w:rsidRPr="00215E26" w:rsidRDefault="00271523" w:rsidP="00271523">
      <w:pPr>
        <w:spacing w:line="276" w:lineRule="auto"/>
        <w:jc w:val="both"/>
        <w:rPr>
          <w:rFonts w:ascii="Times New Roman" w:hAnsi="Times New Roman" w:cs="Times New Roman"/>
          <w:lang w:val="de-DE"/>
        </w:rPr>
      </w:pPr>
      <w:r w:rsidRPr="00215E26">
        <w:rPr>
          <w:rFonts w:ascii="Times New Roman" w:hAnsi="Times New Roman" w:cs="Times New Roman"/>
          <w:lang w:val="de-DE"/>
        </w:rPr>
        <w:t xml:space="preserve">Abena Pinamang </w:t>
      </w:r>
      <w:r w:rsidRPr="00215E26">
        <w:rPr>
          <w:rFonts w:ascii="Times New Roman" w:hAnsi="Times New Roman" w:cs="Times New Roman"/>
          <w:vertAlign w:val="superscript"/>
          <w:lang w:val="de-DE"/>
        </w:rPr>
        <w:t>1</w:t>
      </w:r>
      <w:r w:rsidRPr="00215E26">
        <w:rPr>
          <w:rFonts w:ascii="Times New Roman" w:hAnsi="Times New Roman" w:cs="Times New Roman"/>
          <w:lang w:val="de-DE"/>
        </w:rPr>
        <w:t xml:space="preserve"> </w:t>
      </w:r>
      <w:r w:rsidR="00230EBF">
        <w:rPr>
          <w:rFonts w:ascii="Times New Roman" w:hAnsi="Times New Roman" w:cs="Times New Roman"/>
          <w:lang w:val="de-DE"/>
        </w:rPr>
        <w:t xml:space="preserve">and Nunana Klenam Djokoto </w:t>
      </w:r>
      <w:r w:rsidR="00230EBF" w:rsidRPr="00450A79">
        <w:rPr>
          <w:rFonts w:ascii="Times New Roman" w:hAnsi="Times New Roman" w:cs="Times New Roman"/>
          <w:vertAlign w:val="superscript"/>
          <w:lang w:val="de-DE"/>
        </w:rPr>
        <w:t>2</w:t>
      </w:r>
      <w:r w:rsidRPr="00215E26">
        <w:rPr>
          <w:rFonts w:ascii="Times New Roman" w:hAnsi="Times New Roman" w:cs="Times New Roman"/>
          <w:lang w:val="de-DE"/>
        </w:rPr>
        <w:t xml:space="preserve">                                                                                     </w:t>
      </w:r>
    </w:p>
    <w:p w14:paraId="4D85A89C" w14:textId="77777777" w:rsidR="00271523" w:rsidRPr="00215E26" w:rsidRDefault="00271523" w:rsidP="00271523">
      <w:pPr>
        <w:spacing w:line="276" w:lineRule="auto"/>
        <w:jc w:val="both"/>
        <w:rPr>
          <w:rFonts w:ascii="Times New Roman" w:hAnsi="Times New Roman" w:cs="Times New Roman"/>
          <w:lang w:val="de-DE"/>
        </w:rPr>
      </w:pPr>
    </w:p>
    <w:p w14:paraId="3CFDB4D2" w14:textId="09583629" w:rsidR="00271523" w:rsidRDefault="00271523" w:rsidP="00271523">
      <w:pPr>
        <w:spacing w:line="276" w:lineRule="auto"/>
        <w:jc w:val="both"/>
        <w:rPr>
          <w:rFonts w:ascii="Times New Roman" w:hAnsi="Times New Roman" w:cs="Times New Roman"/>
          <w:lang w:val="de-DE"/>
        </w:rPr>
      </w:pPr>
      <w:r w:rsidRPr="00215E26">
        <w:rPr>
          <w:rFonts w:ascii="Times New Roman" w:hAnsi="Times New Roman" w:cs="Times New Roman"/>
          <w:vertAlign w:val="superscript"/>
          <w:lang w:val="de-DE"/>
        </w:rPr>
        <w:t>1</w:t>
      </w:r>
      <w:r w:rsidRPr="00215E26">
        <w:rPr>
          <w:rFonts w:ascii="Times New Roman" w:hAnsi="Times New Roman" w:cs="Times New Roman"/>
          <w:lang w:val="de-DE"/>
        </w:rPr>
        <w:t xml:space="preserve"> Western Michigan University, Kalamazoo, MI, USA</w:t>
      </w:r>
    </w:p>
    <w:p w14:paraId="7DF12706" w14:textId="7AAB92E0" w:rsidR="00450A79" w:rsidRPr="00450A79" w:rsidRDefault="00450A79" w:rsidP="00271523">
      <w:pPr>
        <w:spacing w:line="276" w:lineRule="auto"/>
        <w:jc w:val="both"/>
        <w:rPr>
          <w:rFonts w:ascii="Times New Roman" w:hAnsi="Times New Roman" w:cs="Times New Roman"/>
        </w:rPr>
      </w:pPr>
      <w:r w:rsidRPr="00450A79">
        <w:rPr>
          <w:rFonts w:ascii="Times New Roman" w:hAnsi="Times New Roman" w:cs="Times New Roman"/>
          <w:vertAlign w:val="superscript"/>
        </w:rPr>
        <w:t>2</w:t>
      </w:r>
      <w:r w:rsidRPr="00450A79">
        <w:rPr>
          <w:rFonts w:ascii="Times New Roman" w:hAnsi="Times New Roman" w:cs="Times New Roman"/>
        </w:rPr>
        <w:t xml:space="preserve"> Department of Political Sc</w:t>
      </w:r>
      <w:r>
        <w:rPr>
          <w:rFonts w:ascii="Times New Roman" w:hAnsi="Times New Roman" w:cs="Times New Roman"/>
        </w:rPr>
        <w:t>ience, University of Ghana, Ghana</w:t>
      </w:r>
    </w:p>
    <w:p w14:paraId="6FFB91CD" w14:textId="77777777" w:rsidR="00271523" w:rsidRPr="00450A79" w:rsidRDefault="00271523" w:rsidP="00271523">
      <w:pPr>
        <w:rPr>
          <w:rFonts w:ascii="Times New Roman" w:hAnsi="Times New Roman" w:cs="Times New Roman"/>
          <w:b/>
          <w:bCs/>
        </w:rPr>
      </w:pPr>
    </w:p>
    <w:p w14:paraId="34CBC877" w14:textId="77777777" w:rsidR="00C56C13" w:rsidRPr="00450A79" w:rsidRDefault="00C56C13" w:rsidP="00DB774C">
      <w:pPr>
        <w:jc w:val="center"/>
        <w:rPr>
          <w:rFonts w:ascii="Times New Roman" w:hAnsi="Times New Roman" w:cs="Times New Roman"/>
          <w:b/>
          <w:bCs/>
        </w:rPr>
      </w:pPr>
    </w:p>
    <w:p w14:paraId="2335CF6F" w14:textId="77777777" w:rsidR="00C56C13" w:rsidRPr="00450A79" w:rsidRDefault="00C56C13" w:rsidP="00DB774C">
      <w:pPr>
        <w:jc w:val="center"/>
        <w:rPr>
          <w:rFonts w:ascii="Times New Roman" w:hAnsi="Times New Roman" w:cs="Times New Roman"/>
          <w:b/>
          <w:bCs/>
        </w:rPr>
      </w:pPr>
    </w:p>
    <w:p w14:paraId="249737B1" w14:textId="77777777" w:rsidR="00C56C13" w:rsidRPr="00450A79" w:rsidRDefault="00C56C13" w:rsidP="00DB774C">
      <w:pPr>
        <w:jc w:val="center"/>
        <w:rPr>
          <w:rFonts w:ascii="Times New Roman" w:hAnsi="Times New Roman" w:cs="Times New Roman"/>
          <w:b/>
          <w:bCs/>
        </w:rPr>
      </w:pPr>
    </w:p>
    <w:p w14:paraId="34B3AB41" w14:textId="77777777" w:rsidR="00C56C13" w:rsidRPr="00450A79" w:rsidRDefault="00C56C13" w:rsidP="00DB774C">
      <w:pPr>
        <w:jc w:val="center"/>
        <w:rPr>
          <w:rFonts w:ascii="Times New Roman" w:hAnsi="Times New Roman" w:cs="Times New Roman"/>
          <w:b/>
          <w:bCs/>
        </w:rPr>
      </w:pPr>
    </w:p>
    <w:p w14:paraId="68DC4880" w14:textId="77777777" w:rsidR="00C56C13" w:rsidRPr="00450A79" w:rsidRDefault="00C56C13" w:rsidP="00DB774C">
      <w:pPr>
        <w:jc w:val="center"/>
        <w:rPr>
          <w:rFonts w:ascii="Times New Roman" w:hAnsi="Times New Roman" w:cs="Times New Roman"/>
          <w:b/>
          <w:bCs/>
        </w:rPr>
      </w:pPr>
    </w:p>
    <w:p w14:paraId="6684BA34" w14:textId="77777777" w:rsidR="00C56C13" w:rsidRPr="00450A79" w:rsidRDefault="00C56C13" w:rsidP="00DB774C">
      <w:pPr>
        <w:jc w:val="center"/>
        <w:rPr>
          <w:rFonts w:ascii="Times New Roman" w:hAnsi="Times New Roman" w:cs="Times New Roman"/>
          <w:b/>
          <w:bCs/>
        </w:rPr>
      </w:pPr>
    </w:p>
    <w:p w14:paraId="482E8010" w14:textId="77777777" w:rsidR="00C56C13" w:rsidRPr="00450A79" w:rsidRDefault="00C56C13" w:rsidP="00DB774C">
      <w:pPr>
        <w:jc w:val="center"/>
        <w:rPr>
          <w:rFonts w:ascii="Times New Roman" w:hAnsi="Times New Roman" w:cs="Times New Roman"/>
          <w:b/>
          <w:bCs/>
        </w:rPr>
      </w:pPr>
    </w:p>
    <w:p w14:paraId="37031933" w14:textId="77777777" w:rsidR="00C56C13" w:rsidRPr="00450A79" w:rsidRDefault="00C56C13" w:rsidP="00DB774C">
      <w:pPr>
        <w:jc w:val="center"/>
        <w:rPr>
          <w:rFonts w:ascii="Times New Roman" w:hAnsi="Times New Roman" w:cs="Times New Roman"/>
          <w:b/>
          <w:bCs/>
        </w:rPr>
      </w:pPr>
    </w:p>
    <w:p w14:paraId="1C022765" w14:textId="77777777" w:rsidR="00C56C13" w:rsidRPr="00450A79" w:rsidRDefault="00C56C13" w:rsidP="00DB774C">
      <w:pPr>
        <w:jc w:val="center"/>
        <w:rPr>
          <w:rFonts w:ascii="Times New Roman" w:hAnsi="Times New Roman" w:cs="Times New Roman"/>
          <w:b/>
          <w:bCs/>
        </w:rPr>
      </w:pPr>
    </w:p>
    <w:p w14:paraId="45BA05E9" w14:textId="77777777" w:rsidR="00C56C13" w:rsidRPr="00450A79" w:rsidRDefault="00C56C13" w:rsidP="00DB774C">
      <w:pPr>
        <w:jc w:val="center"/>
        <w:rPr>
          <w:rFonts w:ascii="Times New Roman" w:hAnsi="Times New Roman" w:cs="Times New Roman"/>
          <w:b/>
          <w:bCs/>
        </w:rPr>
      </w:pPr>
    </w:p>
    <w:p w14:paraId="62BDC2CD" w14:textId="77777777" w:rsidR="00C56C13" w:rsidRPr="00450A79" w:rsidRDefault="00C56C13" w:rsidP="00DB774C">
      <w:pPr>
        <w:jc w:val="center"/>
        <w:rPr>
          <w:rFonts w:ascii="Times New Roman" w:hAnsi="Times New Roman" w:cs="Times New Roman"/>
          <w:b/>
          <w:bCs/>
        </w:rPr>
      </w:pPr>
    </w:p>
    <w:p w14:paraId="5405EEBA" w14:textId="77777777" w:rsidR="00C56C13" w:rsidRPr="00450A79" w:rsidRDefault="00C56C13" w:rsidP="00DB774C">
      <w:pPr>
        <w:jc w:val="center"/>
        <w:rPr>
          <w:rFonts w:ascii="Times New Roman" w:hAnsi="Times New Roman" w:cs="Times New Roman"/>
          <w:b/>
          <w:bCs/>
        </w:rPr>
      </w:pPr>
    </w:p>
    <w:p w14:paraId="7090573E" w14:textId="77777777" w:rsidR="00C56C13" w:rsidRPr="00450A79" w:rsidRDefault="00C56C13" w:rsidP="00DB774C">
      <w:pPr>
        <w:jc w:val="center"/>
        <w:rPr>
          <w:rFonts w:ascii="Times New Roman" w:hAnsi="Times New Roman" w:cs="Times New Roman"/>
          <w:b/>
          <w:bCs/>
        </w:rPr>
      </w:pPr>
    </w:p>
    <w:p w14:paraId="1C0676A9" w14:textId="77777777" w:rsidR="00C56C13" w:rsidRPr="00450A79" w:rsidRDefault="00C56C13" w:rsidP="00DB774C">
      <w:pPr>
        <w:jc w:val="center"/>
        <w:rPr>
          <w:rFonts w:ascii="Times New Roman" w:hAnsi="Times New Roman" w:cs="Times New Roman"/>
          <w:b/>
          <w:bCs/>
        </w:rPr>
      </w:pPr>
    </w:p>
    <w:p w14:paraId="708E2897" w14:textId="77777777" w:rsidR="00C56C13" w:rsidRPr="00450A79" w:rsidRDefault="00C56C13" w:rsidP="00DB774C">
      <w:pPr>
        <w:jc w:val="center"/>
        <w:rPr>
          <w:rFonts w:ascii="Times New Roman" w:hAnsi="Times New Roman" w:cs="Times New Roman"/>
          <w:b/>
          <w:bCs/>
        </w:rPr>
      </w:pPr>
    </w:p>
    <w:p w14:paraId="6A400AE3" w14:textId="77777777" w:rsidR="00C56C13" w:rsidRPr="00450A79" w:rsidRDefault="00C56C13" w:rsidP="00DB774C">
      <w:pPr>
        <w:jc w:val="center"/>
        <w:rPr>
          <w:rFonts w:ascii="Times New Roman" w:hAnsi="Times New Roman" w:cs="Times New Roman"/>
          <w:b/>
          <w:bCs/>
        </w:rPr>
      </w:pPr>
    </w:p>
    <w:p w14:paraId="1BCB0A58" w14:textId="77777777" w:rsidR="00C56C13" w:rsidRPr="00450A79" w:rsidRDefault="00C56C13" w:rsidP="00DB774C">
      <w:pPr>
        <w:jc w:val="center"/>
        <w:rPr>
          <w:rFonts w:ascii="Times New Roman" w:hAnsi="Times New Roman" w:cs="Times New Roman"/>
          <w:b/>
          <w:bCs/>
        </w:rPr>
      </w:pPr>
    </w:p>
    <w:p w14:paraId="7BEA023A" w14:textId="77777777" w:rsidR="00C56C13" w:rsidRPr="00450A79" w:rsidRDefault="00C56C13" w:rsidP="00DB774C">
      <w:pPr>
        <w:jc w:val="center"/>
        <w:rPr>
          <w:rFonts w:ascii="Times New Roman" w:hAnsi="Times New Roman" w:cs="Times New Roman"/>
          <w:b/>
          <w:bCs/>
        </w:rPr>
      </w:pPr>
    </w:p>
    <w:p w14:paraId="357FD93F" w14:textId="77777777" w:rsidR="00C56C13" w:rsidRPr="00450A79" w:rsidRDefault="00C56C13" w:rsidP="00DB774C">
      <w:pPr>
        <w:jc w:val="center"/>
        <w:rPr>
          <w:rFonts w:ascii="Times New Roman" w:hAnsi="Times New Roman" w:cs="Times New Roman"/>
          <w:b/>
          <w:bCs/>
        </w:rPr>
      </w:pPr>
    </w:p>
    <w:p w14:paraId="63034740" w14:textId="77777777" w:rsidR="00C56C13" w:rsidRPr="00450A79" w:rsidRDefault="00C56C13" w:rsidP="001D6902">
      <w:pPr>
        <w:rPr>
          <w:rFonts w:ascii="Times New Roman" w:hAnsi="Times New Roman" w:cs="Times New Roman"/>
          <w:b/>
          <w:bCs/>
        </w:rPr>
      </w:pPr>
    </w:p>
    <w:p w14:paraId="10B4762E" w14:textId="77777777" w:rsidR="00C61DFB" w:rsidRPr="00450A79" w:rsidRDefault="00C61DFB" w:rsidP="00DB774C">
      <w:pPr>
        <w:jc w:val="center"/>
        <w:rPr>
          <w:rFonts w:ascii="Times New Roman" w:hAnsi="Times New Roman" w:cs="Times New Roman"/>
          <w:b/>
          <w:bCs/>
        </w:rPr>
      </w:pPr>
    </w:p>
    <w:p w14:paraId="547D4493" w14:textId="77777777" w:rsidR="002E40E2" w:rsidRPr="00215E26" w:rsidRDefault="002E40E2" w:rsidP="002E40E2">
      <w:pPr>
        <w:jc w:val="both"/>
        <w:rPr>
          <w:rFonts w:ascii="Times New Roman" w:hAnsi="Times New Roman" w:cs="Times New Roman"/>
          <w:b/>
          <w:bCs/>
        </w:rPr>
      </w:pPr>
      <w:r w:rsidRPr="00215E26">
        <w:rPr>
          <w:rFonts w:ascii="Times New Roman" w:hAnsi="Times New Roman" w:cs="Times New Roman"/>
          <w:b/>
          <w:bCs/>
        </w:rPr>
        <w:t>ABSTRACT</w:t>
      </w:r>
    </w:p>
    <w:p w14:paraId="4A3BB86E" w14:textId="5E591F8E" w:rsidR="00215E26" w:rsidRPr="00215E26" w:rsidRDefault="00215E26" w:rsidP="00215E26">
      <w:pPr>
        <w:jc w:val="both"/>
        <w:rPr>
          <w:rFonts w:ascii="Times New Roman" w:hAnsi="Times New Roman" w:cs="Times New Roman"/>
        </w:rPr>
      </w:pPr>
      <w:r w:rsidRPr="00215E26">
        <w:rPr>
          <w:rFonts w:ascii="Times New Roman" w:hAnsi="Times New Roman" w:cs="Times New Roman"/>
        </w:rPr>
        <w:t>Drug courts have emerged as treatment-oriented alternatives to conventional criminal justice processing for individuals with substance use disorders. By combining judicial supervision with substance use treatment and behavioral health services, these programs seek to address factors associated with substance-related offending and recidivism. However, evidence concerning their reported outcomes, implementation, and associated challenges remains dispersed across disciplines. This scoping review mapped the literature on drug courts as an alternative approach to reducing recidivism. It examined the characteristics of drug court interventions, reported recidivism and rehabilitation outcomes, implementation strategies and challenges, and gaps in the existing evidence. The review was conducted using a scoping review methodology guided by the JBI approach and reported in accordance with PRISMA-</w:t>
      </w:r>
      <w:proofErr w:type="spellStart"/>
      <w:r w:rsidRPr="00215E26">
        <w:rPr>
          <w:rFonts w:ascii="Times New Roman" w:hAnsi="Times New Roman" w:cs="Times New Roman"/>
        </w:rPr>
        <w:t>ScR.</w:t>
      </w:r>
      <w:proofErr w:type="spellEnd"/>
      <w:r w:rsidRPr="00215E26">
        <w:rPr>
          <w:rFonts w:ascii="Times New Roman" w:hAnsi="Times New Roman" w:cs="Times New Roman"/>
        </w:rPr>
        <w:t xml:space="preserve"> Literature published in English between 200</w:t>
      </w:r>
      <w:r w:rsidR="00355BB2">
        <w:rPr>
          <w:rFonts w:ascii="Times New Roman" w:hAnsi="Times New Roman" w:cs="Times New Roman"/>
        </w:rPr>
        <w:t>2</w:t>
      </w:r>
      <w:r w:rsidRPr="00215E26">
        <w:rPr>
          <w:rFonts w:ascii="Times New Roman" w:hAnsi="Times New Roman" w:cs="Times New Roman"/>
        </w:rPr>
        <w:t xml:space="preserve"> and 2026 was searched across major electronic databases. Eligible evidence addressing adult or juvenile drug courts, treatment courts, or related diversion interventions were </w:t>
      </w:r>
      <w:r w:rsidR="007E5B20">
        <w:rPr>
          <w:rFonts w:ascii="Times New Roman" w:hAnsi="Times New Roman" w:cs="Times New Roman"/>
        </w:rPr>
        <w:t>studied</w:t>
      </w:r>
      <w:r w:rsidRPr="00215E26">
        <w:rPr>
          <w:rFonts w:ascii="Times New Roman" w:hAnsi="Times New Roman" w:cs="Times New Roman"/>
        </w:rPr>
        <w:t xml:space="preserve"> and synthesized thematically. </w:t>
      </w:r>
      <w:r w:rsidR="008179DB" w:rsidRPr="008179DB">
        <w:rPr>
          <w:rFonts w:ascii="Times New Roman" w:hAnsi="Times New Roman" w:cs="Times New Roman"/>
        </w:rPr>
        <w:t>The literature indicates that drug courts are associated with a range of reported outcomes involving recidivism, treatment engagement, substance use, and rehabilitation. However, the evidence is not uniformly positive: while several studies report reductions in recidivism and improved treatment outcomes, other studies have found no significant differences between drug court participants and comparison groups, and some research has identified disparities in outcomes across participant subgroups and program contexts. Outcomes vary according to program characteristics, treatment quality, participant characteristics, implementation context, and study methodology</w:t>
      </w:r>
      <w:r w:rsidRPr="00215E26">
        <w:rPr>
          <w:rFonts w:ascii="Times New Roman" w:hAnsi="Times New Roman" w:cs="Times New Roman"/>
        </w:rPr>
        <w:t xml:space="preserve">. The findings highlight the need for consistent evidence-based practices, equitable service delivery, and further longitudinal and </w:t>
      </w:r>
      <w:proofErr w:type="gramStart"/>
      <w:r w:rsidRPr="00215E26">
        <w:rPr>
          <w:rFonts w:ascii="Times New Roman" w:hAnsi="Times New Roman" w:cs="Times New Roman"/>
        </w:rPr>
        <w:t>multisite</w:t>
      </w:r>
      <w:proofErr w:type="gramEnd"/>
      <w:r w:rsidRPr="00215E26">
        <w:rPr>
          <w:rFonts w:ascii="Times New Roman" w:hAnsi="Times New Roman" w:cs="Times New Roman"/>
        </w:rPr>
        <w:t xml:space="preserve"> research to clarify long-term outcomes.</w:t>
      </w:r>
    </w:p>
    <w:p w14:paraId="3CA6716F" w14:textId="0C4F9FB5" w:rsidR="002E40E2" w:rsidRPr="00215E26" w:rsidRDefault="002E40E2" w:rsidP="002E40E2">
      <w:pPr>
        <w:jc w:val="both"/>
        <w:rPr>
          <w:rFonts w:ascii="Times New Roman" w:hAnsi="Times New Roman" w:cs="Times New Roman"/>
        </w:rPr>
      </w:pPr>
      <w:r w:rsidRPr="00215E26">
        <w:rPr>
          <w:rFonts w:ascii="Times New Roman" w:hAnsi="Times New Roman" w:cs="Times New Roman"/>
          <w:b/>
          <w:bCs/>
        </w:rPr>
        <w:t>Keywords</w:t>
      </w:r>
      <w:r w:rsidRPr="00215E26">
        <w:rPr>
          <w:rFonts w:ascii="Times New Roman" w:hAnsi="Times New Roman" w:cs="Times New Roman"/>
        </w:rPr>
        <w:t>: Drug Courts; Alternative Sentencing; Recidivism; Substance Use Disorders; Criminal Justice</w:t>
      </w:r>
    </w:p>
    <w:p w14:paraId="7BCDFE0F" w14:textId="585A8258" w:rsidR="00440485" w:rsidRPr="00215E26" w:rsidRDefault="00440485" w:rsidP="00440485">
      <w:pPr>
        <w:jc w:val="both"/>
        <w:rPr>
          <w:rFonts w:ascii="Times New Roman" w:hAnsi="Times New Roman" w:cs="Times New Roman"/>
        </w:rPr>
      </w:pPr>
    </w:p>
    <w:p w14:paraId="7E23EB39" w14:textId="77777777" w:rsidR="00440485" w:rsidRPr="00215E26" w:rsidRDefault="00440485" w:rsidP="00440485">
      <w:pPr>
        <w:jc w:val="both"/>
        <w:rPr>
          <w:rFonts w:ascii="Times New Roman" w:hAnsi="Times New Roman" w:cs="Times New Roman"/>
        </w:rPr>
      </w:pPr>
    </w:p>
    <w:p w14:paraId="2AC1C4EF" w14:textId="77777777" w:rsidR="00330E2F" w:rsidRPr="00215E26" w:rsidRDefault="00330E2F" w:rsidP="00440485">
      <w:pPr>
        <w:jc w:val="both"/>
        <w:rPr>
          <w:rFonts w:ascii="Times New Roman" w:hAnsi="Times New Roman" w:cs="Times New Roman"/>
        </w:rPr>
      </w:pPr>
    </w:p>
    <w:p w14:paraId="0D9137D8" w14:textId="77777777" w:rsidR="00330E2F" w:rsidRDefault="00330E2F" w:rsidP="00440485">
      <w:pPr>
        <w:jc w:val="both"/>
        <w:rPr>
          <w:rFonts w:ascii="Times New Roman" w:hAnsi="Times New Roman" w:cs="Times New Roman"/>
        </w:rPr>
      </w:pPr>
    </w:p>
    <w:p w14:paraId="444C4C34" w14:textId="77777777" w:rsidR="001D6902" w:rsidRDefault="001D6902" w:rsidP="00440485">
      <w:pPr>
        <w:jc w:val="both"/>
        <w:rPr>
          <w:rFonts w:ascii="Times New Roman" w:hAnsi="Times New Roman" w:cs="Times New Roman"/>
        </w:rPr>
      </w:pPr>
    </w:p>
    <w:p w14:paraId="278E93EE" w14:textId="77777777" w:rsidR="001D6902" w:rsidRDefault="001D6902" w:rsidP="00440485">
      <w:pPr>
        <w:jc w:val="both"/>
        <w:rPr>
          <w:rFonts w:ascii="Times New Roman" w:hAnsi="Times New Roman" w:cs="Times New Roman"/>
        </w:rPr>
      </w:pPr>
    </w:p>
    <w:p w14:paraId="2AFCFAD9" w14:textId="77777777" w:rsidR="001D6902" w:rsidRDefault="001D6902" w:rsidP="00440485">
      <w:pPr>
        <w:jc w:val="both"/>
        <w:rPr>
          <w:rFonts w:ascii="Times New Roman" w:hAnsi="Times New Roman" w:cs="Times New Roman"/>
        </w:rPr>
      </w:pPr>
    </w:p>
    <w:p w14:paraId="4043F99E" w14:textId="77777777" w:rsidR="001D6902" w:rsidRPr="00215E26" w:rsidRDefault="001D6902" w:rsidP="00440485">
      <w:pPr>
        <w:jc w:val="both"/>
        <w:rPr>
          <w:rFonts w:ascii="Times New Roman" w:hAnsi="Times New Roman" w:cs="Times New Roman"/>
        </w:rPr>
      </w:pPr>
    </w:p>
    <w:p w14:paraId="387E3644" w14:textId="77777777" w:rsidR="00215E26" w:rsidRPr="00215E26" w:rsidRDefault="00215E26" w:rsidP="00440485">
      <w:pPr>
        <w:jc w:val="both"/>
        <w:rPr>
          <w:rFonts w:ascii="Times New Roman" w:hAnsi="Times New Roman" w:cs="Times New Roman"/>
        </w:rPr>
      </w:pPr>
    </w:p>
    <w:p w14:paraId="7D162BB9" w14:textId="77777777"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1. Introduction</w:t>
      </w:r>
    </w:p>
    <w:p w14:paraId="569861D9" w14:textId="424A9C4A" w:rsidR="00440485" w:rsidRPr="00215E26" w:rsidRDefault="00440485" w:rsidP="00440485">
      <w:pPr>
        <w:jc w:val="both"/>
        <w:rPr>
          <w:rFonts w:ascii="Times New Roman" w:hAnsi="Times New Roman" w:cs="Times New Roman"/>
        </w:rPr>
      </w:pPr>
      <w:r w:rsidRPr="00215E26">
        <w:rPr>
          <w:rFonts w:ascii="Times New Roman" w:hAnsi="Times New Roman" w:cs="Times New Roman"/>
        </w:rPr>
        <w:t>Drug-related offending continues to present a significant challenge to criminal justice systems worldwide, with substance use disorders (SUDs) serving as an important driver of criminal behavior, repeated incarceration, and community instability. Conventional criminal justice responses have historically relied on incarceration as the principal mechanism for addressing drug-related offenses. However, growing evidence suggests that punitive approaches alone have had limited success in addressing the underlying behavioral health needs of individuals with substance use disorders and in preventing repeated criminal offending (Alam &amp; Kaleem, 2024; Ward &amp; Kawalek, 2024). High rates of relapse, untreated addiction, and recurrent involvement with the justice system have prompted policymakers, researchers, and practitioners to seek more rehabilitative alternatives that simultaneously promote public safety and long-term recovery</w:t>
      </w:r>
      <w:r w:rsidR="007A5DE4">
        <w:rPr>
          <w:rFonts w:ascii="Times New Roman" w:hAnsi="Times New Roman" w:cs="Times New Roman"/>
        </w:rPr>
        <w:t xml:space="preserve"> (</w:t>
      </w:r>
      <w:r w:rsidR="007A5DE4" w:rsidRPr="007A5DE4">
        <w:rPr>
          <w:rFonts w:ascii="Times New Roman" w:hAnsi="Times New Roman" w:cs="Times New Roman"/>
        </w:rPr>
        <w:t>Peters et al., 2020</w:t>
      </w:r>
      <w:r w:rsidR="007A5DE4">
        <w:rPr>
          <w:rFonts w:ascii="Times New Roman" w:hAnsi="Times New Roman" w:cs="Times New Roman"/>
        </w:rPr>
        <w:t>)</w:t>
      </w:r>
      <w:r w:rsidRPr="00215E26">
        <w:rPr>
          <w:rFonts w:ascii="Times New Roman" w:hAnsi="Times New Roman" w:cs="Times New Roman"/>
        </w:rPr>
        <w:t>.</w:t>
      </w:r>
    </w:p>
    <w:p w14:paraId="2EEEB599" w14:textId="635B00E8" w:rsidR="00440485" w:rsidRPr="00215E26" w:rsidRDefault="00355BB2" w:rsidP="00440485">
      <w:pPr>
        <w:jc w:val="both"/>
        <w:rPr>
          <w:rFonts w:ascii="Times New Roman" w:hAnsi="Times New Roman" w:cs="Times New Roman"/>
        </w:rPr>
      </w:pPr>
      <w:r>
        <w:rPr>
          <w:rFonts w:ascii="Times New Roman" w:hAnsi="Times New Roman" w:cs="Times New Roman"/>
        </w:rPr>
        <w:t>Within this context, d</w:t>
      </w:r>
      <w:r w:rsidR="00440485" w:rsidRPr="00215E26">
        <w:rPr>
          <w:rFonts w:ascii="Times New Roman" w:hAnsi="Times New Roman" w:cs="Times New Roman"/>
        </w:rPr>
        <w:t>rug courts have emerged as one of the most prominent problem-solving court models designed to address the intersection between substance use and criminal justice involvement. Unlike traditional courts that primarily emphasize punishment, drug courts combine judicial supervision with evidence-based substance use treatment, behavioral health services, regular drug testing, case management, and multidisciplinary collaboration to address the root causes of offending behavior (</w:t>
      </w:r>
      <w:r w:rsidR="00C6115E" w:rsidRPr="00C6115E">
        <w:rPr>
          <w:rFonts w:ascii="Times New Roman" w:hAnsi="Times New Roman" w:cs="Times New Roman"/>
        </w:rPr>
        <w:t>Turner et al., 2002</w:t>
      </w:r>
      <w:r w:rsidR="00440485" w:rsidRPr="00215E26">
        <w:rPr>
          <w:rFonts w:ascii="Times New Roman" w:hAnsi="Times New Roman" w:cs="Times New Roman"/>
        </w:rPr>
        <w:t xml:space="preserve">; Ward &amp; Kawalek, 2024). Through this therapeutic jurisprudence approach, participants receive structured treatment while remaining accountable to the court, with the </w:t>
      </w:r>
      <w:proofErr w:type="gramStart"/>
      <w:r w:rsidR="00440485" w:rsidRPr="00215E26">
        <w:rPr>
          <w:rFonts w:ascii="Times New Roman" w:hAnsi="Times New Roman" w:cs="Times New Roman"/>
        </w:rPr>
        <w:t>ultimate goal</w:t>
      </w:r>
      <w:proofErr w:type="gramEnd"/>
      <w:r w:rsidR="00440485" w:rsidRPr="00215E26">
        <w:rPr>
          <w:rFonts w:ascii="Times New Roman" w:hAnsi="Times New Roman" w:cs="Times New Roman"/>
        </w:rPr>
        <w:t xml:space="preserve"> of achieving sustained recovery and reducing future criminal activity</w:t>
      </w:r>
      <w:r w:rsidR="00D35453">
        <w:rPr>
          <w:rFonts w:ascii="Times New Roman" w:hAnsi="Times New Roman" w:cs="Times New Roman"/>
        </w:rPr>
        <w:t xml:space="preserve"> (</w:t>
      </w:r>
      <w:r w:rsidR="00D35453" w:rsidRPr="00215E26">
        <w:rPr>
          <w:rFonts w:ascii="Times New Roman" w:hAnsi="Times New Roman" w:cs="Times New Roman"/>
        </w:rPr>
        <w:t>Delen et al., 2021</w:t>
      </w:r>
      <w:r w:rsidR="00D35453">
        <w:rPr>
          <w:rFonts w:ascii="Times New Roman" w:hAnsi="Times New Roman" w:cs="Times New Roman"/>
        </w:rPr>
        <w:t xml:space="preserve">; </w:t>
      </w:r>
      <w:r w:rsidR="00D35453" w:rsidRPr="007A5DE4">
        <w:rPr>
          <w:rFonts w:ascii="Times New Roman" w:hAnsi="Times New Roman" w:cs="Times New Roman"/>
        </w:rPr>
        <w:t>Peters et al., 2020</w:t>
      </w:r>
      <w:r w:rsidR="00D35453" w:rsidRPr="00215E26">
        <w:rPr>
          <w:rFonts w:ascii="Times New Roman" w:hAnsi="Times New Roman" w:cs="Times New Roman"/>
        </w:rPr>
        <w:t>)</w:t>
      </w:r>
      <w:r w:rsidR="00440485" w:rsidRPr="00215E26">
        <w:rPr>
          <w:rFonts w:ascii="Times New Roman" w:hAnsi="Times New Roman" w:cs="Times New Roman"/>
        </w:rPr>
        <w:t>. Over the past three decades, drug courts have expanded considerably and are now recognized as an important diversion strategy for eligible offenders whose criminal behavior is closely associated with substance use disorders (Alam &amp; Kaleem, 2024; Delen et al., 2021</w:t>
      </w:r>
      <w:r w:rsidR="007A5DE4">
        <w:rPr>
          <w:rFonts w:ascii="Times New Roman" w:hAnsi="Times New Roman" w:cs="Times New Roman"/>
        </w:rPr>
        <w:t xml:space="preserve">; </w:t>
      </w:r>
      <w:r w:rsidR="007A5DE4" w:rsidRPr="007A5DE4">
        <w:rPr>
          <w:rFonts w:ascii="Times New Roman" w:hAnsi="Times New Roman" w:cs="Times New Roman"/>
        </w:rPr>
        <w:t>Peters et al., 2020</w:t>
      </w:r>
      <w:r w:rsidR="00440485" w:rsidRPr="00215E26">
        <w:rPr>
          <w:rFonts w:ascii="Times New Roman" w:hAnsi="Times New Roman" w:cs="Times New Roman"/>
        </w:rPr>
        <w:t>).</w:t>
      </w:r>
    </w:p>
    <w:p w14:paraId="16B97A6A" w14:textId="47C3B127" w:rsidR="00440485" w:rsidRPr="00215E26" w:rsidRDefault="00440485" w:rsidP="00440485">
      <w:pPr>
        <w:jc w:val="both"/>
        <w:rPr>
          <w:rFonts w:ascii="Times New Roman" w:hAnsi="Times New Roman" w:cs="Times New Roman"/>
        </w:rPr>
      </w:pPr>
      <w:r w:rsidRPr="00215E26">
        <w:rPr>
          <w:rFonts w:ascii="Times New Roman" w:hAnsi="Times New Roman" w:cs="Times New Roman"/>
        </w:rPr>
        <w:t>The increasing adoption of drug courts reflects a broader shift from punitive criminal justice responses toward rehabilitation-oriented interventions. Rather than viewing addiction solely as a criminal issue, contemporary drug court models recognize substance use disorders as chronic behavioral health conditions requiring coordinated treatment, continuous monitoring, and individualized support</w:t>
      </w:r>
      <w:r w:rsidR="00F82889">
        <w:rPr>
          <w:rFonts w:ascii="Times New Roman" w:hAnsi="Times New Roman" w:cs="Times New Roman"/>
        </w:rPr>
        <w:t xml:space="preserve"> (</w:t>
      </w:r>
      <w:proofErr w:type="spellStart"/>
      <w:r w:rsidR="00F82889" w:rsidRPr="00215E26">
        <w:rPr>
          <w:rFonts w:ascii="Times New Roman" w:hAnsi="Times New Roman" w:cs="Times New Roman"/>
        </w:rPr>
        <w:t>Asibu</w:t>
      </w:r>
      <w:proofErr w:type="spellEnd"/>
      <w:r w:rsidR="00F82889" w:rsidRPr="00215E26">
        <w:rPr>
          <w:rFonts w:ascii="Times New Roman" w:hAnsi="Times New Roman" w:cs="Times New Roman"/>
        </w:rPr>
        <w:t>-Dadzie, 2026</w:t>
      </w:r>
      <w:r w:rsidR="00F82889">
        <w:rPr>
          <w:rFonts w:ascii="Times New Roman" w:hAnsi="Times New Roman" w:cs="Times New Roman"/>
        </w:rPr>
        <w:t>)</w:t>
      </w:r>
      <w:r w:rsidRPr="00215E26">
        <w:rPr>
          <w:rFonts w:ascii="Times New Roman" w:hAnsi="Times New Roman" w:cs="Times New Roman"/>
        </w:rPr>
        <w:t xml:space="preserve">. This integrated approach has encouraged collaboration among judges, treatment providers, probation officers, behavioral health specialists, and community organizations to improve participant outcomes and reduce recidivism (Gallagher &amp; Nordberg, 2024; </w:t>
      </w:r>
      <w:proofErr w:type="spellStart"/>
      <w:r w:rsidR="003C5913" w:rsidRPr="00215E26">
        <w:rPr>
          <w:rFonts w:ascii="Times New Roman" w:hAnsi="Times New Roman" w:cs="Times New Roman"/>
        </w:rPr>
        <w:t>Asibu</w:t>
      </w:r>
      <w:proofErr w:type="spellEnd"/>
      <w:r w:rsidR="003C5913" w:rsidRPr="00215E26">
        <w:rPr>
          <w:rFonts w:ascii="Times New Roman" w:hAnsi="Times New Roman" w:cs="Times New Roman"/>
        </w:rPr>
        <w:t>-Dadzie, 2026</w:t>
      </w:r>
      <w:r w:rsidRPr="00215E26">
        <w:rPr>
          <w:rFonts w:ascii="Times New Roman" w:hAnsi="Times New Roman" w:cs="Times New Roman"/>
        </w:rPr>
        <w:t>). The growing emphasis on multidisciplinary care also aligns with broader behavioral health strategies that advocate comprehensive recovery services, trauma-informed interventions, culturally responsive care, and community-based support systems for justice-involved populations (</w:t>
      </w:r>
      <w:proofErr w:type="spellStart"/>
      <w:r w:rsidRPr="00215E26">
        <w:rPr>
          <w:rFonts w:ascii="Times New Roman" w:hAnsi="Times New Roman" w:cs="Times New Roman"/>
        </w:rPr>
        <w:t>Asibu</w:t>
      </w:r>
      <w:proofErr w:type="spellEnd"/>
      <w:r w:rsidRPr="00215E26">
        <w:rPr>
          <w:rFonts w:ascii="Times New Roman" w:hAnsi="Times New Roman" w:cs="Times New Roman"/>
        </w:rPr>
        <w:t xml:space="preserve">-Dadzie, 2026; </w:t>
      </w:r>
      <w:r w:rsidR="003C5913" w:rsidRPr="003C5913">
        <w:rPr>
          <w:rFonts w:ascii="Times New Roman" w:hAnsi="Times New Roman" w:cs="Times New Roman"/>
        </w:rPr>
        <w:t>Krebs et al., 2007</w:t>
      </w:r>
      <w:r w:rsidRPr="00215E26">
        <w:rPr>
          <w:rFonts w:ascii="Times New Roman" w:hAnsi="Times New Roman" w:cs="Times New Roman"/>
        </w:rPr>
        <w:t>).</w:t>
      </w:r>
    </w:p>
    <w:p w14:paraId="7E5D0C1D" w14:textId="62E890DC" w:rsidR="00440485" w:rsidRPr="00215E26" w:rsidRDefault="00440485" w:rsidP="00440485">
      <w:pPr>
        <w:jc w:val="both"/>
        <w:rPr>
          <w:rFonts w:ascii="Times New Roman" w:hAnsi="Times New Roman" w:cs="Times New Roman"/>
        </w:rPr>
      </w:pPr>
      <w:r w:rsidRPr="00215E26">
        <w:rPr>
          <w:rFonts w:ascii="Times New Roman" w:hAnsi="Times New Roman" w:cs="Times New Roman"/>
        </w:rPr>
        <w:t xml:space="preserve">Despite encouraging evidence, the </w:t>
      </w:r>
      <w:r w:rsidR="00EF519C" w:rsidRPr="00215E26">
        <w:rPr>
          <w:rFonts w:ascii="Times New Roman" w:hAnsi="Times New Roman" w:cs="Times New Roman"/>
        </w:rPr>
        <w:t>success</w:t>
      </w:r>
      <w:r w:rsidRPr="00215E26">
        <w:rPr>
          <w:rFonts w:ascii="Times New Roman" w:hAnsi="Times New Roman" w:cs="Times New Roman"/>
        </w:rPr>
        <w:t xml:space="preserve"> of drug courts is influenced by numerous organizational, clinical, and participant-related factors. Considerable variability exists across </w:t>
      </w:r>
      <w:r w:rsidRPr="00215E26">
        <w:rPr>
          <w:rFonts w:ascii="Times New Roman" w:hAnsi="Times New Roman" w:cs="Times New Roman"/>
        </w:rPr>
        <w:lastRenderedPageBreak/>
        <w:t xml:space="preserve">jurisdictions regarding eligibility criteria, treatment intensity, judicial practices, supervision models, access to behavioral health services, and program duration (Crumrine &amp; Culp, 2023; Ward &amp; Kawalek, 2024). Research has also identified disparities in participant outcomes across racial and ethnic groups, highlighting the need for more equitable service delivery and culturally responsive interventions within treatment courts (Gallagher et al., 2020). Furthermore, barriers including limited treatment availability, insufficient behavioral health resources, fragmented service coordination, and challenges in sustaining participant engagement continue to affect program effectiveness (Dickson-Gomez et al., 2022; </w:t>
      </w:r>
      <w:r w:rsidR="00C6115E" w:rsidRPr="00C6115E">
        <w:rPr>
          <w:rFonts w:ascii="Times New Roman" w:hAnsi="Times New Roman" w:cs="Times New Roman"/>
        </w:rPr>
        <w:t>Turner et al., 2002</w:t>
      </w:r>
      <w:r w:rsidRPr="00215E26">
        <w:rPr>
          <w:rFonts w:ascii="Times New Roman" w:hAnsi="Times New Roman" w:cs="Times New Roman"/>
        </w:rPr>
        <w:t>).</w:t>
      </w:r>
    </w:p>
    <w:p w14:paraId="52A6AFCB" w14:textId="57B02B13" w:rsidR="00440485" w:rsidRPr="00215E26" w:rsidRDefault="00440485" w:rsidP="00440485">
      <w:pPr>
        <w:jc w:val="both"/>
        <w:rPr>
          <w:rFonts w:ascii="Times New Roman" w:hAnsi="Times New Roman" w:cs="Times New Roman"/>
        </w:rPr>
      </w:pPr>
      <w:r w:rsidRPr="00215E26">
        <w:rPr>
          <w:rFonts w:ascii="Times New Roman" w:hAnsi="Times New Roman" w:cs="Times New Roman"/>
        </w:rPr>
        <w:t xml:space="preserve">Recent </w:t>
      </w:r>
      <w:r w:rsidR="00355BB2">
        <w:rPr>
          <w:rFonts w:ascii="Times New Roman" w:hAnsi="Times New Roman" w:cs="Times New Roman"/>
        </w:rPr>
        <w:t>studies</w:t>
      </w:r>
      <w:r w:rsidRPr="00215E26">
        <w:rPr>
          <w:rFonts w:ascii="Times New Roman" w:hAnsi="Times New Roman" w:cs="Times New Roman"/>
        </w:rPr>
        <w:t xml:space="preserve"> </w:t>
      </w:r>
      <w:proofErr w:type="gramStart"/>
      <w:r w:rsidRPr="00215E26">
        <w:rPr>
          <w:rFonts w:ascii="Times New Roman" w:hAnsi="Times New Roman" w:cs="Times New Roman"/>
        </w:rPr>
        <w:t>has</w:t>
      </w:r>
      <w:proofErr w:type="gramEnd"/>
      <w:r w:rsidRPr="00215E26">
        <w:rPr>
          <w:rFonts w:ascii="Times New Roman" w:hAnsi="Times New Roman" w:cs="Times New Roman"/>
        </w:rPr>
        <w:t xml:space="preserve"> increasingly emphasized that improving treatment quality may be equally important as expanding access to drug courts. Evidence indicates that programs incorporating evidence-based behavioral therapies, trauma-informed care, recovery-oriented support, and comprehensive case management are more likely to produce favorable participant outcomes (Gallagher &amp; Nordberg, 2024; </w:t>
      </w:r>
      <w:proofErr w:type="spellStart"/>
      <w:r w:rsidR="003C5913" w:rsidRPr="00215E26">
        <w:rPr>
          <w:rFonts w:ascii="Times New Roman" w:hAnsi="Times New Roman" w:cs="Times New Roman"/>
        </w:rPr>
        <w:t>Asibu</w:t>
      </w:r>
      <w:proofErr w:type="spellEnd"/>
      <w:r w:rsidR="003C5913" w:rsidRPr="00215E26">
        <w:rPr>
          <w:rFonts w:ascii="Times New Roman" w:hAnsi="Times New Roman" w:cs="Times New Roman"/>
        </w:rPr>
        <w:t>-Dadzie, 2026</w:t>
      </w:r>
      <w:r w:rsidRPr="00215E26">
        <w:rPr>
          <w:rFonts w:ascii="Times New Roman" w:hAnsi="Times New Roman" w:cs="Times New Roman"/>
        </w:rPr>
        <w:t>). Similarly, broader recovery supports</w:t>
      </w:r>
      <w:r w:rsidR="00523113" w:rsidRPr="00215E26">
        <w:rPr>
          <w:rFonts w:ascii="Times New Roman" w:hAnsi="Times New Roman" w:cs="Times New Roman"/>
        </w:rPr>
        <w:t xml:space="preserve"> </w:t>
      </w:r>
      <w:r w:rsidRPr="00215E26">
        <w:rPr>
          <w:rFonts w:ascii="Times New Roman" w:hAnsi="Times New Roman" w:cs="Times New Roman"/>
        </w:rPr>
        <w:t>including faith-informed recovery services, community engagement, culturally appropriate interventions, and supportive behavioral health networks</w:t>
      </w:r>
      <w:r w:rsidR="00523113" w:rsidRPr="00215E26">
        <w:rPr>
          <w:rFonts w:ascii="Times New Roman" w:hAnsi="Times New Roman" w:cs="Times New Roman"/>
        </w:rPr>
        <w:t xml:space="preserve"> </w:t>
      </w:r>
      <w:r w:rsidRPr="00215E26">
        <w:rPr>
          <w:rFonts w:ascii="Times New Roman" w:hAnsi="Times New Roman" w:cs="Times New Roman"/>
        </w:rPr>
        <w:t>have been recognized as valuable complements to formal substance use treatment, particularly during long-term recovery and community reintegration (</w:t>
      </w:r>
      <w:proofErr w:type="spellStart"/>
      <w:r w:rsidRPr="00215E26">
        <w:rPr>
          <w:rFonts w:ascii="Times New Roman" w:hAnsi="Times New Roman" w:cs="Times New Roman"/>
        </w:rPr>
        <w:t>Asibu</w:t>
      </w:r>
      <w:proofErr w:type="spellEnd"/>
      <w:r w:rsidRPr="00215E26">
        <w:rPr>
          <w:rFonts w:ascii="Times New Roman" w:hAnsi="Times New Roman" w:cs="Times New Roman"/>
        </w:rPr>
        <w:t xml:space="preserve">-Dadzie, 2026; </w:t>
      </w:r>
      <w:r w:rsidR="007A5DE4" w:rsidRPr="007A5DE4">
        <w:rPr>
          <w:rFonts w:ascii="Times New Roman" w:hAnsi="Times New Roman" w:cs="Times New Roman"/>
        </w:rPr>
        <w:t>Arksey &amp; O'Malley, 2005</w:t>
      </w:r>
      <w:r w:rsidRPr="00215E26">
        <w:rPr>
          <w:rFonts w:ascii="Times New Roman" w:hAnsi="Times New Roman" w:cs="Times New Roman"/>
        </w:rPr>
        <w:t>; Egbunu et al., 2025). These complementary approaches reinforce the understanding that sustainable reductions in recidivism require interventions extending beyond judicial supervision alone.</w:t>
      </w:r>
    </w:p>
    <w:p w14:paraId="6A06915A" w14:textId="0299D591" w:rsidR="00440485" w:rsidRPr="00215E26" w:rsidRDefault="00440485" w:rsidP="00440485">
      <w:pPr>
        <w:jc w:val="both"/>
        <w:rPr>
          <w:rFonts w:ascii="Times New Roman" w:hAnsi="Times New Roman" w:cs="Times New Roman"/>
        </w:rPr>
      </w:pPr>
      <w:r w:rsidRPr="00215E26">
        <w:rPr>
          <w:rFonts w:ascii="Times New Roman" w:hAnsi="Times New Roman" w:cs="Times New Roman"/>
        </w:rPr>
        <w:t>The existing literature on drug courts has expanded substantially over recent years, encompassing randomized evaluations, quasi-experimental studies, systematic reviews, qualitative investigations, implementation studies, and policy analyses. Much of this research has focused on evaluating recidivism outcomes, treatment completion, participant experiences, juvenile drug treatment courts, and best practices for program implementation (Alam &amp; Kaleem, 2024; Crumrine &amp; Culp, 2023; Haney et al., 2025; Tanner-Smith et al., 2024). While these studies provide important evidence regarding individual program effectiveness, the literature remains dispersed across multiple disciplines including criminology, behavioral health, public health, psychology, and substance use treatment. Consequently, there remains a need to comprehensively map the breadth of available evidence concerning how drug courts function as an alternative approach to reducing recidivism and to identify emerging themes, implementation challenges, and areas requiring further investigation.</w:t>
      </w:r>
      <w:r w:rsidR="001D0ACD">
        <w:rPr>
          <w:rFonts w:ascii="Times New Roman" w:hAnsi="Times New Roman" w:cs="Times New Roman"/>
        </w:rPr>
        <w:t xml:space="preserve"> </w:t>
      </w:r>
      <w:r w:rsidRPr="00215E26">
        <w:rPr>
          <w:rFonts w:ascii="Times New Roman" w:hAnsi="Times New Roman" w:cs="Times New Roman"/>
        </w:rPr>
        <w:t>A scoping review is particularly appropriate for synthesizing this diverse body of literature because it allows for a comprehensive examination of existing evidence regardless of study design while identifying research trends, evidence gaps, and priorities for future investigation. Rather than evaluating intervention effectiveness alone, a scoping review facilitates a broader understanding of the characteristics of drug court programs, populations served, treatment models employed, reported outcomes, and implementation considerations across various settings (Crumrine &amp; Culp, 2023).</w:t>
      </w:r>
    </w:p>
    <w:p w14:paraId="190327CD" w14:textId="77777777" w:rsidR="00440485" w:rsidRPr="00215E26" w:rsidRDefault="00440485" w:rsidP="00440485">
      <w:pPr>
        <w:jc w:val="both"/>
        <w:rPr>
          <w:rFonts w:ascii="Times New Roman" w:hAnsi="Times New Roman" w:cs="Times New Roman"/>
        </w:rPr>
      </w:pPr>
      <w:r w:rsidRPr="00215E26">
        <w:rPr>
          <w:rFonts w:ascii="Times New Roman" w:hAnsi="Times New Roman" w:cs="Times New Roman"/>
        </w:rPr>
        <w:t xml:space="preserve">Therefore, the objective of this scoping review is to map the current evidence regarding drug courts as an alternative approach to reducing recidivism among justice-involved individuals with </w:t>
      </w:r>
      <w:r w:rsidRPr="00215E26">
        <w:rPr>
          <w:rFonts w:ascii="Times New Roman" w:hAnsi="Times New Roman" w:cs="Times New Roman"/>
        </w:rPr>
        <w:lastRenderedPageBreak/>
        <w:t>substance use disorders. Specifically, this review seeks to (1) examine the characteristics of drug court interventions reported in the literature; (2) synthesize evidence regarding recidivism and treatment outcomes; (3) identify implementation strategies, barriers, and facilitators influencing program success; and (4) highlight existing research gaps to inform future policy, practice, and research on therapeutic justice interventions.</w:t>
      </w:r>
    </w:p>
    <w:p w14:paraId="21134479" w14:textId="77777777"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2. Methods</w:t>
      </w:r>
    </w:p>
    <w:p w14:paraId="77686BCD" w14:textId="7E29FEF6"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2.1 Study design</w:t>
      </w:r>
    </w:p>
    <w:p w14:paraId="081FB72A" w14:textId="3B571F67" w:rsidR="00FC641A" w:rsidRDefault="00FC641A" w:rsidP="00440485">
      <w:pPr>
        <w:jc w:val="both"/>
        <w:rPr>
          <w:rFonts w:ascii="Times New Roman" w:hAnsi="Times New Roman" w:cs="Times New Roman"/>
        </w:rPr>
      </w:pPr>
      <w:r w:rsidRPr="00FC641A">
        <w:rPr>
          <w:rFonts w:ascii="Times New Roman" w:hAnsi="Times New Roman" w:cs="Times New Roman"/>
        </w:rPr>
        <w:t xml:space="preserve">This study employed a scoping review methodology to map the breadth and characteristics of available evidence concerning drug courts as an alternative approach to reducing recidivism among justice-involved individuals with substance use disorders. The review was guided by the Joanna Briggs Institute (JBI) methodological approach for scoping reviews and informed by the methodological stages originally proposed by Arksey and O’Malley and subsequently refined by </w:t>
      </w:r>
      <w:r w:rsidR="0054065B">
        <w:rPr>
          <w:rFonts w:ascii="Times New Roman" w:hAnsi="Times New Roman" w:cs="Times New Roman"/>
        </w:rPr>
        <w:t>(</w:t>
      </w:r>
      <w:r w:rsidRPr="00FC641A">
        <w:rPr>
          <w:rFonts w:ascii="Times New Roman" w:hAnsi="Times New Roman" w:cs="Times New Roman"/>
        </w:rPr>
        <w:t>Levac et al</w:t>
      </w:r>
      <w:r w:rsidR="0054065B">
        <w:rPr>
          <w:rFonts w:ascii="Times New Roman" w:hAnsi="Times New Roman" w:cs="Times New Roman"/>
        </w:rPr>
        <w:t>., 2010).</w:t>
      </w:r>
      <w:r w:rsidRPr="00FC641A">
        <w:rPr>
          <w:rFonts w:ascii="Times New Roman" w:hAnsi="Times New Roman" w:cs="Times New Roman"/>
        </w:rPr>
        <w:t xml:space="preserve"> The review was reported in accordance with the Preferred Reporting Items for Systematic Reviews and Meta-Analyses extension for Scoping Reviews (PRISMA-</w:t>
      </w:r>
      <w:proofErr w:type="spellStart"/>
      <w:r w:rsidRPr="00FC641A">
        <w:rPr>
          <w:rFonts w:ascii="Times New Roman" w:hAnsi="Times New Roman" w:cs="Times New Roman"/>
        </w:rPr>
        <w:t>ScR</w:t>
      </w:r>
      <w:proofErr w:type="spellEnd"/>
      <w:r w:rsidRPr="00FC641A">
        <w:rPr>
          <w:rFonts w:ascii="Times New Roman" w:hAnsi="Times New Roman" w:cs="Times New Roman"/>
        </w:rPr>
        <w:t>). The primary research question was: What evidence has been reported regarding drug courts as an alternative approach to reducing recidivism?</w:t>
      </w:r>
    </w:p>
    <w:p w14:paraId="5B40A6FC" w14:textId="6021B4BE"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2.2 Search strategy</w:t>
      </w:r>
    </w:p>
    <w:p w14:paraId="50686918" w14:textId="67D99DCD" w:rsidR="00300776" w:rsidRPr="00300776" w:rsidRDefault="00917171" w:rsidP="00300776">
      <w:pPr>
        <w:jc w:val="both"/>
        <w:rPr>
          <w:rFonts w:ascii="Times New Roman" w:hAnsi="Times New Roman" w:cs="Times New Roman"/>
        </w:rPr>
      </w:pPr>
      <w:r w:rsidRPr="00917171">
        <w:rPr>
          <w:rFonts w:ascii="Times New Roman" w:hAnsi="Times New Roman" w:cs="Times New Roman"/>
        </w:rPr>
        <w:t xml:space="preserve">A comprehensive literature search was conducted in Google Scholar, PubMed, Scopus, Web of Science, PsycINFO, and relevant institutional repositories. Searches were conducted from </w:t>
      </w:r>
      <w:r>
        <w:rPr>
          <w:rFonts w:ascii="Times New Roman" w:hAnsi="Times New Roman" w:cs="Times New Roman"/>
        </w:rPr>
        <w:t>20</w:t>
      </w:r>
      <w:r w:rsidR="00355BB2">
        <w:rPr>
          <w:rFonts w:ascii="Times New Roman" w:hAnsi="Times New Roman" w:cs="Times New Roman"/>
        </w:rPr>
        <w:t>0</w:t>
      </w:r>
      <w:r>
        <w:rPr>
          <w:rFonts w:ascii="Times New Roman" w:hAnsi="Times New Roman" w:cs="Times New Roman"/>
        </w:rPr>
        <w:t>2</w:t>
      </w:r>
      <w:r w:rsidRPr="00917171">
        <w:rPr>
          <w:rFonts w:ascii="Times New Roman" w:hAnsi="Times New Roman" w:cs="Times New Roman"/>
        </w:rPr>
        <w:t xml:space="preserve"> to </w:t>
      </w:r>
      <w:r>
        <w:rPr>
          <w:rFonts w:ascii="Times New Roman" w:hAnsi="Times New Roman" w:cs="Times New Roman"/>
        </w:rPr>
        <w:t>2026</w:t>
      </w:r>
      <w:r w:rsidRPr="00917171">
        <w:rPr>
          <w:rFonts w:ascii="Times New Roman" w:hAnsi="Times New Roman" w:cs="Times New Roman"/>
        </w:rPr>
        <w:t xml:space="preserve"> and were restricted to English-language publications published between January 200</w:t>
      </w:r>
      <w:r w:rsidR="00355BB2">
        <w:rPr>
          <w:rFonts w:ascii="Times New Roman" w:hAnsi="Times New Roman" w:cs="Times New Roman"/>
        </w:rPr>
        <w:t>2</w:t>
      </w:r>
      <w:r w:rsidRPr="00917171">
        <w:rPr>
          <w:rFonts w:ascii="Times New Roman" w:hAnsi="Times New Roman" w:cs="Times New Roman"/>
        </w:rPr>
        <w:t xml:space="preserve"> and </w:t>
      </w:r>
      <w:r w:rsidR="00195630">
        <w:rPr>
          <w:rFonts w:ascii="Times New Roman" w:hAnsi="Times New Roman" w:cs="Times New Roman"/>
        </w:rPr>
        <w:t>June 2026</w:t>
      </w:r>
      <w:r w:rsidRPr="00917171">
        <w:rPr>
          <w:rFonts w:ascii="Times New Roman" w:hAnsi="Times New Roman" w:cs="Times New Roman"/>
        </w:rPr>
        <w:t xml:space="preserve">. The search strategy combined terms relating to drug courts, treatment courts, alternative sentencing, substance use disorders, recidivism, rehabilitation, criminal justice, and therapeutic jurisprudence using Boolean operators </w:t>
      </w:r>
      <w:proofErr w:type="gramStart"/>
      <w:r w:rsidRPr="00917171">
        <w:rPr>
          <w:rFonts w:ascii="Times New Roman" w:hAnsi="Times New Roman" w:cs="Times New Roman"/>
        </w:rPr>
        <w:t xml:space="preserve">AND </w:t>
      </w:r>
      <w:proofErr w:type="spellStart"/>
      <w:r w:rsidRPr="00917171">
        <w:rPr>
          <w:rFonts w:ascii="Times New Roman" w:hAnsi="Times New Roman" w:cs="Times New Roman"/>
        </w:rPr>
        <w:t>and</w:t>
      </w:r>
      <w:proofErr w:type="spellEnd"/>
      <w:proofErr w:type="gramEnd"/>
      <w:r w:rsidRPr="00917171">
        <w:rPr>
          <w:rFonts w:ascii="Times New Roman" w:hAnsi="Times New Roman" w:cs="Times New Roman"/>
        </w:rPr>
        <w:t xml:space="preserve"> OR.</w:t>
      </w:r>
      <w:r w:rsidR="00300776">
        <w:rPr>
          <w:rFonts w:ascii="Times New Roman" w:hAnsi="Times New Roman" w:cs="Times New Roman"/>
        </w:rPr>
        <w:t xml:space="preserve"> </w:t>
      </w:r>
      <w:r w:rsidR="00D9111E">
        <w:rPr>
          <w:rFonts w:ascii="Times New Roman" w:hAnsi="Times New Roman" w:cs="Times New Roman"/>
        </w:rPr>
        <w:t>These</w:t>
      </w:r>
      <w:r w:rsidR="00300776">
        <w:rPr>
          <w:rFonts w:ascii="Times New Roman" w:hAnsi="Times New Roman" w:cs="Times New Roman"/>
        </w:rPr>
        <w:t xml:space="preserve"> </w:t>
      </w:r>
      <w:r w:rsidR="00300776" w:rsidRPr="00300776">
        <w:rPr>
          <w:rFonts w:ascii="Times New Roman" w:hAnsi="Times New Roman" w:cs="Times New Roman"/>
        </w:rPr>
        <w:t>were used to refine the search strategy.</w:t>
      </w:r>
    </w:p>
    <w:p w14:paraId="6FF455B4" w14:textId="164BFF25" w:rsidR="00300776" w:rsidRPr="00300776" w:rsidRDefault="00300776" w:rsidP="00300776">
      <w:pPr>
        <w:jc w:val="both"/>
        <w:rPr>
          <w:rFonts w:ascii="Times New Roman" w:hAnsi="Times New Roman" w:cs="Times New Roman"/>
        </w:rPr>
      </w:pPr>
      <w:r w:rsidRPr="00300776">
        <w:rPr>
          <w:rFonts w:ascii="Times New Roman" w:hAnsi="Times New Roman" w:cs="Times New Roman"/>
        </w:rPr>
        <w:t>The search strings used for each database included variations of the following:</w:t>
      </w:r>
    </w:p>
    <w:p w14:paraId="6D3A8D33" w14:textId="1F69DFE0" w:rsidR="00917171" w:rsidRPr="00917171" w:rsidRDefault="00300776" w:rsidP="00917171">
      <w:pPr>
        <w:jc w:val="both"/>
        <w:rPr>
          <w:rFonts w:ascii="Times New Roman" w:hAnsi="Times New Roman" w:cs="Times New Roman"/>
        </w:rPr>
      </w:pPr>
      <w:r w:rsidRPr="00300776">
        <w:rPr>
          <w:rFonts w:ascii="Times New Roman" w:hAnsi="Times New Roman" w:cs="Times New Roman"/>
        </w:rPr>
        <w:t xml:space="preserve">(("drug court" OR "drug treatment court" OR "treatment court" OR "diversion program") AND ("recidivism" OR "reoffending" OR "rearrest") AND ("substance use disorder*" OR "addiction" OR "substance </w:t>
      </w:r>
      <w:proofErr w:type="gramStart"/>
      <w:r w:rsidRPr="00300776">
        <w:rPr>
          <w:rFonts w:ascii="Times New Roman" w:hAnsi="Times New Roman" w:cs="Times New Roman"/>
        </w:rPr>
        <w:t>abuse")</w:t>
      </w:r>
      <w:proofErr w:type="gramEnd"/>
      <w:r w:rsidRPr="00300776">
        <w:rPr>
          <w:rFonts w:ascii="Times New Roman" w:hAnsi="Times New Roman" w:cs="Times New Roman"/>
        </w:rPr>
        <w:t>).</w:t>
      </w:r>
    </w:p>
    <w:p w14:paraId="3A7EC23E" w14:textId="0CB22D91" w:rsidR="00440485" w:rsidRPr="00215E26" w:rsidRDefault="00917171" w:rsidP="00917171">
      <w:pPr>
        <w:jc w:val="both"/>
        <w:rPr>
          <w:rFonts w:ascii="Times New Roman" w:hAnsi="Times New Roman" w:cs="Times New Roman"/>
        </w:rPr>
      </w:pPr>
      <w:r w:rsidRPr="00917171">
        <w:rPr>
          <w:rFonts w:ascii="Times New Roman" w:hAnsi="Times New Roman" w:cs="Times New Roman"/>
        </w:rPr>
        <w:t>The search strategy was adapted to the indexing requirements of each database. Reference lists of included studies were also screened manually to identify potentially relevant publications not retrieved through the electronic database searches.</w:t>
      </w:r>
    </w:p>
    <w:p w14:paraId="786CD36D" w14:textId="7821BE20"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2.3 Eligibility criteria and study selection</w:t>
      </w:r>
    </w:p>
    <w:p w14:paraId="4621C67B" w14:textId="04C9F0B7" w:rsidR="008B0B9D" w:rsidRDefault="00C17422" w:rsidP="00C17422">
      <w:pPr>
        <w:jc w:val="both"/>
        <w:rPr>
          <w:rFonts w:ascii="Times New Roman" w:hAnsi="Times New Roman" w:cs="Times New Roman"/>
        </w:rPr>
      </w:pPr>
      <w:r w:rsidRPr="00C17422">
        <w:rPr>
          <w:rFonts w:ascii="Times New Roman" w:hAnsi="Times New Roman" w:cs="Times New Roman"/>
        </w:rPr>
        <w:t>Eligibility criteria were developed using the Population</w:t>
      </w:r>
      <w:r>
        <w:rPr>
          <w:rFonts w:ascii="Times New Roman" w:hAnsi="Times New Roman" w:cs="Times New Roman"/>
        </w:rPr>
        <w:t>-</w:t>
      </w:r>
      <w:r w:rsidRPr="00C17422">
        <w:rPr>
          <w:rFonts w:ascii="Times New Roman" w:hAnsi="Times New Roman" w:cs="Times New Roman"/>
        </w:rPr>
        <w:t>Concept</w:t>
      </w:r>
      <w:r>
        <w:rPr>
          <w:rFonts w:ascii="Times New Roman" w:hAnsi="Times New Roman" w:cs="Times New Roman"/>
        </w:rPr>
        <w:t>-</w:t>
      </w:r>
      <w:r w:rsidRPr="00C17422">
        <w:rPr>
          <w:rFonts w:ascii="Times New Roman" w:hAnsi="Times New Roman" w:cs="Times New Roman"/>
        </w:rPr>
        <w:t xml:space="preserve">Context (PCC) framework. Studies were eligible if they examined adult or juvenile drug courts, treatment courts, or related diversion interventions involving individuals with substance use disorders or drug-related offending and reported outcomes or implementation findings relevant to recidivism, rehabilitation, </w:t>
      </w:r>
      <w:r w:rsidRPr="00C17422">
        <w:rPr>
          <w:rFonts w:ascii="Times New Roman" w:hAnsi="Times New Roman" w:cs="Times New Roman"/>
        </w:rPr>
        <w:lastRenderedPageBreak/>
        <w:t>treatment, or program delivery. English-language publications published between 20</w:t>
      </w:r>
      <w:r w:rsidR="00355BB2">
        <w:rPr>
          <w:rFonts w:ascii="Times New Roman" w:hAnsi="Times New Roman" w:cs="Times New Roman"/>
        </w:rPr>
        <w:t>02</w:t>
      </w:r>
      <w:r w:rsidRPr="00C17422">
        <w:rPr>
          <w:rFonts w:ascii="Times New Roman" w:hAnsi="Times New Roman" w:cs="Times New Roman"/>
        </w:rPr>
        <w:t xml:space="preserve"> and 2026 were considered. Editorials, opinion papers, conference abstracts, studies unrelated to drug courts or treatment-based diversion, and publications without relevant evidence were excluded.</w:t>
      </w:r>
      <w:r w:rsidR="00300776">
        <w:rPr>
          <w:rFonts w:ascii="Times New Roman" w:hAnsi="Times New Roman" w:cs="Times New Roman"/>
        </w:rPr>
        <w:t xml:space="preserve"> </w:t>
      </w:r>
      <w:r w:rsidRPr="00C17422">
        <w:rPr>
          <w:rFonts w:ascii="Times New Roman" w:hAnsi="Times New Roman" w:cs="Times New Roman"/>
        </w:rPr>
        <w:t>All retrieved records were imported into EndNote, where duplicate records were identified and removed. Titles and abstracts were subsequently screened against the eligibility criteria, followed by full-text assessment of potentially eligible publications. Screening was conducted by two reviewers. Screening was conducted independently, and disagreements resolved through discussion and, where necessary, consultation with a third reviewer. The numbers of records identified, duplicates removed, records screened, records excluded, full-text reports assessed, and studies included are presented in the PRISMA-</w:t>
      </w:r>
      <w:proofErr w:type="spellStart"/>
      <w:r w:rsidRPr="00C17422">
        <w:rPr>
          <w:rFonts w:ascii="Times New Roman" w:hAnsi="Times New Roman" w:cs="Times New Roman"/>
        </w:rPr>
        <w:t>ScR</w:t>
      </w:r>
      <w:proofErr w:type="spellEnd"/>
      <w:r w:rsidRPr="00C17422">
        <w:rPr>
          <w:rFonts w:ascii="Times New Roman" w:hAnsi="Times New Roman" w:cs="Times New Roman"/>
        </w:rPr>
        <w:t xml:space="preserve"> flow diagram (Figure 1</w:t>
      </w:r>
      <w:r w:rsidR="008B0B9D">
        <w:rPr>
          <w:rFonts w:ascii="Times New Roman" w:hAnsi="Times New Roman" w:cs="Times New Roman"/>
        </w:rPr>
        <w:t>: Study selection process</w:t>
      </w:r>
      <w:r w:rsidRPr="00C17422">
        <w:rPr>
          <w:rFonts w:ascii="Times New Roman" w:hAnsi="Times New Roman" w:cs="Times New Roman"/>
        </w:rPr>
        <w:t>).</w:t>
      </w:r>
    </w:p>
    <w:p w14:paraId="2B097DB1" w14:textId="5DFAABA8" w:rsidR="001B2BE7" w:rsidRPr="00215E26" w:rsidRDefault="001B2BE7" w:rsidP="00C17422">
      <w:pPr>
        <w:jc w:val="both"/>
        <w:rPr>
          <w:rFonts w:ascii="Times New Roman" w:hAnsi="Times New Roman" w:cs="Times New Roman"/>
        </w:rPr>
      </w:pPr>
      <w:r>
        <w:rPr>
          <w:rFonts w:ascii="Times New Roman" w:hAnsi="Times New Roman" w:cs="Times New Roman"/>
          <w:noProof/>
        </w:rPr>
        <w:drawing>
          <wp:inline distT="0" distB="0" distL="0" distR="0" wp14:anchorId="74982D96" wp14:editId="57FBFC47">
            <wp:extent cx="5776070" cy="4400550"/>
            <wp:effectExtent l="0" t="0" r="0" b="0"/>
            <wp:docPr id="163954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47897" name="Picture 1639547897"/>
                    <pic:cNvPicPr/>
                  </pic:nvPicPr>
                  <pic:blipFill>
                    <a:blip r:embed="rId7">
                      <a:extLst>
                        <a:ext uri="{28A0092B-C50C-407E-A947-70E740481C1C}">
                          <a14:useLocalDpi xmlns:a14="http://schemas.microsoft.com/office/drawing/2010/main" val="0"/>
                        </a:ext>
                      </a:extLst>
                    </a:blip>
                    <a:stretch>
                      <a:fillRect/>
                    </a:stretch>
                  </pic:blipFill>
                  <pic:spPr>
                    <a:xfrm>
                      <a:off x="0" y="0"/>
                      <a:ext cx="5796835" cy="4416370"/>
                    </a:xfrm>
                    <a:prstGeom prst="rect">
                      <a:avLst/>
                    </a:prstGeom>
                  </pic:spPr>
                </pic:pic>
              </a:graphicData>
            </a:graphic>
          </wp:inline>
        </w:drawing>
      </w:r>
    </w:p>
    <w:p w14:paraId="49F5A73E" w14:textId="106E4106" w:rsidR="00D9111E" w:rsidRPr="00DF6A99" w:rsidRDefault="00D9111E" w:rsidP="00D9111E">
      <w:pPr>
        <w:jc w:val="both"/>
        <w:rPr>
          <w:rFonts w:ascii="Times New Roman" w:hAnsi="Times New Roman" w:cs="Times New Roman"/>
        </w:rPr>
      </w:pPr>
      <w:r>
        <w:rPr>
          <w:rFonts w:ascii="Times New Roman" w:hAnsi="Times New Roman" w:cs="Times New Roman"/>
        </w:rPr>
        <w:t xml:space="preserve">Figure 1: </w:t>
      </w:r>
      <w:r w:rsidRPr="00DF6A99">
        <w:rPr>
          <w:rFonts w:ascii="Times New Roman" w:hAnsi="Times New Roman" w:cs="Times New Roman"/>
        </w:rPr>
        <w:t>PRISMA-</w:t>
      </w:r>
      <w:proofErr w:type="spellStart"/>
      <w:r w:rsidRPr="00DF6A99">
        <w:rPr>
          <w:rFonts w:ascii="Times New Roman" w:hAnsi="Times New Roman" w:cs="Times New Roman"/>
        </w:rPr>
        <w:t>ScR</w:t>
      </w:r>
      <w:proofErr w:type="spellEnd"/>
      <w:r w:rsidRPr="00DF6A99">
        <w:rPr>
          <w:rFonts w:ascii="Times New Roman" w:hAnsi="Times New Roman" w:cs="Times New Roman"/>
        </w:rPr>
        <w:t xml:space="preserve"> flow diagram</w:t>
      </w:r>
    </w:p>
    <w:p w14:paraId="065FE3E8" w14:textId="701DCFCF" w:rsidR="00D9111E" w:rsidRDefault="00D9111E" w:rsidP="00440485">
      <w:pPr>
        <w:jc w:val="both"/>
        <w:rPr>
          <w:rFonts w:ascii="Times New Roman" w:hAnsi="Times New Roman" w:cs="Times New Roman"/>
        </w:rPr>
      </w:pPr>
    </w:p>
    <w:p w14:paraId="4469CCD5" w14:textId="2A9A8EAA" w:rsidR="00300776" w:rsidRDefault="00300776" w:rsidP="00440485">
      <w:pPr>
        <w:jc w:val="both"/>
        <w:rPr>
          <w:rFonts w:ascii="Times New Roman" w:hAnsi="Times New Roman" w:cs="Times New Roman"/>
          <w:b/>
          <w:bCs/>
        </w:rPr>
      </w:pPr>
      <w:r w:rsidRPr="007578A7">
        <w:rPr>
          <w:rFonts w:ascii="Times New Roman" w:hAnsi="Times New Roman" w:cs="Times New Roman"/>
        </w:rPr>
        <w:t>Source:</w:t>
      </w:r>
      <w:r>
        <w:rPr>
          <w:rFonts w:ascii="Times New Roman" w:hAnsi="Times New Roman" w:cs="Times New Roman"/>
          <w:b/>
          <w:bCs/>
        </w:rPr>
        <w:t xml:space="preserve"> (</w:t>
      </w:r>
      <w:r w:rsidR="007578A7" w:rsidRPr="00FC641A">
        <w:rPr>
          <w:rFonts w:ascii="Times New Roman" w:hAnsi="Times New Roman" w:cs="Times New Roman"/>
        </w:rPr>
        <w:t>Levac et al</w:t>
      </w:r>
      <w:r w:rsidR="007578A7">
        <w:rPr>
          <w:rFonts w:ascii="Times New Roman" w:hAnsi="Times New Roman" w:cs="Times New Roman"/>
        </w:rPr>
        <w:t>., 2010; PRISMA 2020</w:t>
      </w:r>
      <w:r>
        <w:rPr>
          <w:rFonts w:ascii="Times New Roman" w:hAnsi="Times New Roman" w:cs="Times New Roman"/>
          <w:b/>
          <w:bCs/>
        </w:rPr>
        <w:t>)</w:t>
      </w:r>
    </w:p>
    <w:p w14:paraId="29D35E30" w14:textId="77777777" w:rsidR="00300776" w:rsidRDefault="00300776" w:rsidP="00440485">
      <w:pPr>
        <w:jc w:val="both"/>
        <w:rPr>
          <w:rFonts w:ascii="Times New Roman" w:hAnsi="Times New Roman" w:cs="Times New Roman"/>
          <w:b/>
          <w:bCs/>
        </w:rPr>
      </w:pPr>
    </w:p>
    <w:p w14:paraId="3F889AA2" w14:textId="77777777" w:rsidR="00D9111E" w:rsidRDefault="00D9111E" w:rsidP="00440485">
      <w:pPr>
        <w:jc w:val="both"/>
        <w:rPr>
          <w:rFonts w:ascii="Times New Roman" w:hAnsi="Times New Roman" w:cs="Times New Roman"/>
          <w:b/>
          <w:bCs/>
        </w:rPr>
      </w:pPr>
    </w:p>
    <w:p w14:paraId="5861294C" w14:textId="60048E49"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Table 1. Population</w:t>
      </w:r>
      <w:r w:rsidR="004A2143" w:rsidRPr="00215E26">
        <w:rPr>
          <w:rFonts w:ascii="Times New Roman" w:hAnsi="Times New Roman" w:cs="Times New Roman"/>
          <w:b/>
          <w:bCs/>
        </w:rPr>
        <w:t>-</w:t>
      </w:r>
      <w:r w:rsidRPr="00215E26">
        <w:rPr>
          <w:rFonts w:ascii="Times New Roman" w:hAnsi="Times New Roman" w:cs="Times New Roman"/>
          <w:b/>
          <w:bCs/>
        </w:rPr>
        <w:t>Concept</w:t>
      </w:r>
      <w:r w:rsidR="004A2143" w:rsidRPr="00215E26">
        <w:rPr>
          <w:rFonts w:ascii="Times New Roman" w:hAnsi="Times New Roman" w:cs="Times New Roman"/>
          <w:b/>
          <w:bCs/>
        </w:rPr>
        <w:t>-</w:t>
      </w:r>
      <w:r w:rsidRPr="00215E26">
        <w:rPr>
          <w:rFonts w:ascii="Times New Roman" w:hAnsi="Times New Roman" w:cs="Times New Roman"/>
          <w:b/>
          <w:bCs/>
        </w:rPr>
        <w:t>Context (PCC) Framework</w:t>
      </w:r>
    </w:p>
    <w:tbl>
      <w:tblPr>
        <w:tblStyle w:val="TableGrid"/>
        <w:tblW w:w="0" w:type="auto"/>
        <w:tblLook w:val="04A0" w:firstRow="1" w:lastRow="0" w:firstColumn="1" w:lastColumn="0" w:noHBand="0" w:noVBand="1"/>
      </w:tblPr>
      <w:tblGrid>
        <w:gridCol w:w="1417"/>
        <w:gridCol w:w="7933"/>
      </w:tblGrid>
      <w:tr w:rsidR="00440485" w:rsidRPr="00215E26" w14:paraId="36B8E8D5" w14:textId="77777777" w:rsidTr="00CB204C">
        <w:tc>
          <w:tcPr>
            <w:tcW w:w="0" w:type="auto"/>
            <w:hideMark/>
          </w:tcPr>
          <w:p w14:paraId="227A352F" w14:textId="77777777" w:rsidR="00440485" w:rsidRPr="00985731" w:rsidRDefault="00440485" w:rsidP="00440485">
            <w:pPr>
              <w:spacing w:after="160" w:line="278" w:lineRule="auto"/>
              <w:jc w:val="both"/>
              <w:rPr>
                <w:rFonts w:ascii="Times New Roman" w:hAnsi="Times New Roman" w:cs="Times New Roman"/>
                <w:b/>
                <w:bCs/>
              </w:rPr>
            </w:pPr>
            <w:r w:rsidRPr="00985731">
              <w:rPr>
                <w:rFonts w:ascii="Times New Roman" w:hAnsi="Times New Roman" w:cs="Times New Roman"/>
                <w:b/>
                <w:bCs/>
              </w:rPr>
              <w:t>Component</w:t>
            </w:r>
          </w:p>
        </w:tc>
        <w:tc>
          <w:tcPr>
            <w:tcW w:w="0" w:type="auto"/>
            <w:hideMark/>
          </w:tcPr>
          <w:p w14:paraId="4557071E" w14:textId="77777777" w:rsidR="00440485" w:rsidRPr="00985731" w:rsidRDefault="00440485" w:rsidP="00440485">
            <w:pPr>
              <w:spacing w:after="160" w:line="278" w:lineRule="auto"/>
              <w:jc w:val="both"/>
              <w:rPr>
                <w:rFonts w:ascii="Times New Roman" w:hAnsi="Times New Roman" w:cs="Times New Roman"/>
                <w:b/>
                <w:bCs/>
              </w:rPr>
            </w:pPr>
            <w:r w:rsidRPr="00985731">
              <w:rPr>
                <w:rFonts w:ascii="Times New Roman" w:hAnsi="Times New Roman" w:cs="Times New Roman"/>
                <w:b/>
                <w:bCs/>
              </w:rPr>
              <w:t>Description</w:t>
            </w:r>
          </w:p>
        </w:tc>
      </w:tr>
      <w:tr w:rsidR="00440485" w:rsidRPr="00215E26" w14:paraId="4AC1A427" w14:textId="77777777" w:rsidTr="00CB204C">
        <w:tc>
          <w:tcPr>
            <w:tcW w:w="0" w:type="auto"/>
            <w:hideMark/>
          </w:tcPr>
          <w:p w14:paraId="6EC91289" w14:textId="77777777" w:rsidR="00440485" w:rsidRPr="00215E26" w:rsidRDefault="00440485" w:rsidP="00440485">
            <w:pPr>
              <w:spacing w:after="160" w:line="278" w:lineRule="auto"/>
              <w:jc w:val="both"/>
              <w:rPr>
                <w:rFonts w:ascii="Times New Roman" w:hAnsi="Times New Roman" w:cs="Times New Roman"/>
              </w:rPr>
            </w:pPr>
            <w:r w:rsidRPr="00215E26">
              <w:rPr>
                <w:rFonts w:ascii="Times New Roman" w:hAnsi="Times New Roman" w:cs="Times New Roman"/>
              </w:rPr>
              <w:t>Population</w:t>
            </w:r>
          </w:p>
        </w:tc>
        <w:tc>
          <w:tcPr>
            <w:tcW w:w="0" w:type="auto"/>
            <w:hideMark/>
          </w:tcPr>
          <w:p w14:paraId="32D905D6" w14:textId="77777777" w:rsidR="00440485" w:rsidRPr="00215E26" w:rsidRDefault="00440485" w:rsidP="00440485">
            <w:pPr>
              <w:spacing w:after="160" w:line="278" w:lineRule="auto"/>
              <w:jc w:val="both"/>
              <w:rPr>
                <w:rFonts w:ascii="Times New Roman" w:hAnsi="Times New Roman" w:cs="Times New Roman"/>
              </w:rPr>
            </w:pPr>
            <w:r w:rsidRPr="00215E26">
              <w:rPr>
                <w:rFonts w:ascii="Times New Roman" w:hAnsi="Times New Roman" w:cs="Times New Roman"/>
              </w:rPr>
              <w:t>Adults and juveniles involved in the criminal justice system with substance use disorders or drug-related offending.</w:t>
            </w:r>
          </w:p>
        </w:tc>
      </w:tr>
      <w:tr w:rsidR="00440485" w:rsidRPr="00215E26" w14:paraId="5EEB3069" w14:textId="77777777" w:rsidTr="00CB204C">
        <w:tc>
          <w:tcPr>
            <w:tcW w:w="0" w:type="auto"/>
            <w:hideMark/>
          </w:tcPr>
          <w:p w14:paraId="01C35BF7" w14:textId="77777777" w:rsidR="00440485" w:rsidRPr="00215E26" w:rsidRDefault="00440485" w:rsidP="00440485">
            <w:pPr>
              <w:spacing w:after="160" w:line="278" w:lineRule="auto"/>
              <w:jc w:val="both"/>
              <w:rPr>
                <w:rFonts w:ascii="Times New Roman" w:hAnsi="Times New Roman" w:cs="Times New Roman"/>
              </w:rPr>
            </w:pPr>
            <w:r w:rsidRPr="00215E26">
              <w:rPr>
                <w:rFonts w:ascii="Times New Roman" w:hAnsi="Times New Roman" w:cs="Times New Roman"/>
              </w:rPr>
              <w:t>Concept</w:t>
            </w:r>
          </w:p>
        </w:tc>
        <w:tc>
          <w:tcPr>
            <w:tcW w:w="0" w:type="auto"/>
            <w:hideMark/>
          </w:tcPr>
          <w:p w14:paraId="3EABC682" w14:textId="77777777" w:rsidR="00440485" w:rsidRPr="00215E26" w:rsidRDefault="00440485" w:rsidP="00440485">
            <w:pPr>
              <w:spacing w:after="160" w:line="278" w:lineRule="auto"/>
              <w:jc w:val="both"/>
              <w:rPr>
                <w:rFonts w:ascii="Times New Roman" w:hAnsi="Times New Roman" w:cs="Times New Roman"/>
              </w:rPr>
            </w:pPr>
            <w:r w:rsidRPr="00215E26">
              <w:rPr>
                <w:rFonts w:ascii="Times New Roman" w:hAnsi="Times New Roman" w:cs="Times New Roman"/>
              </w:rPr>
              <w:t>Drug courts and related treatment court interventions implemented as alternatives to traditional criminal justice processing to reduce recidivism.</w:t>
            </w:r>
          </w:p>
        </w:tc>
      </w:tr>
      <w:tr w:rsidR="00440485" w:rsidRPr="00215E26" w14:paraId="1964CCF4" w14:textId="77777777" w:rsidTr="00CB204C">
        <w:tc>
          <w:tcPr>
            <w:tcW w:w="0" w:type="auto"/>
            <w:hideMark/>
          </w:tcPr>
          <w:p w14:paraId="7FAD0C0D" w14:textId="77777777" w:rsidR="00440485" w:rsidRPr="00215E26" w:rsidRDefault="00440485" w:rsidP="00440485">
            <w:pPr>
              <w:spacing w:after="160" w:line="278" w:lineRule="auto"/>
              <w:jc w:val="both"/>
              <w:rPr>
                <w:rFonts w:ascii="Times New Roman" w:hAnsi="Times New Roman" w:cs="Times New Roman"/>
              </w:rPr>
            </w:pPr>
            <w:r w:rsidRPr="00215E26">
              <w:rPr>
                <w:rFonts w:ascii="Times New Roman" w:hAnsi="Times New Roman" w:cs="Times New Roman"/>
              </w:rPr>
              <w:t>Context</w:t>
            </w:r>
          </w:p>
        </w:tc>
        <w:tc>
          <w:tcPr>
            <w:tcW w:w="0" w:type="auto"/>
            <w:hideMark/>
          </w:tcPr>
          <w:p w14:paraId="2CB43BBF" w14:textId="77777777" w:rsidR="00440485" w:rsidRPr="00215E26" w:rsidRDefault="00440485" w:rsidP="00440485">
            <w:pPr>
              <w:spacing w:after="160" w:line="278" w:lineRule="auto"/>
              <w:jc w:val="both"/>
              <w:rPr>
                <w:rFonts w:ascii="Times New Roman" w:hAnsi="Times New Roman" w:cs="Times New Roman"/>
              </w:rPr>
            </w:pPr>
            <w:r w:rsidRPr="00215E26">
              <w:rPr>
                <w:rFonts w:ascii="Times New Roman" w:hAnsi="Times New Roman" w:cs="Times New Roman"/>
              </w:rPr>
              <w:t>Criminal justice systems, behavioral health services, treatment courts, diversion programs, community supervision, rehabilitation, and post-release reintegration.</w:t>
            </w:r>
          </w:p>
        </w:tc>
      </w:tr>
    </w:tbl>
    <w:p w14:paraId="3D6CEC1A" w14:textId="3BA52517" w:rsidR="00091D91" w:rsidRPr="00215E26" w:rsidRDefault="00440485" w:rsidP="00440485">
      <w:pPr>
        <w:jc w:val="both"/>
        <w:rPr>
          <w:rFonts w:ascii="Times New Roman" w:hAnsi="Times New Roman" w:cs="Times New Roman"/>
        </w:rPr>
      </w:pPr>
      <w:r w:rsidRPr="00215E26">
        <w:rPr>
          <w:rFonts w:ascii="Times New Roman" w:hAnsi="Times New Roman" w:cs="Times New Roman"/>
        </w:rPr>
        <w:t xml:space="preserve">Sources: </w:t>
      </w:r>
      <w:r w:rsidR="004A2143" w:rsidRPr="00215E26">
        <w:rPr>
          <w:rFonts w:ascii="Times New Roman" w:hAnsi="Times New Roman" w:cs="Times New Roman"/>
        </w:rPr>
        <w:t>(Alam &amp; Kaleem, 2024; Tanner-Smith et al., 2024)</w:t>
      </w:r>
    </w:p>
    <w:p w14:paraId="1EDB768E" w14:textId="6250094E" w:rsidR="00440485" w:rsidRPr="00215E26" w:rsidRDefault="00440485" w:rsidP="00440485">
      <w:pPr>
        <w:jc w:val="both"/>
        <w:rPr>
          <w:rFonts w:ascii="Times New Roman" w:hAnsi="Times New Roman" w:cs="Times New Roman"/>
        </w:rPr>
      </w:pPr>
      <w:r w:rsidRPr="00215E26">
        <w:rPr>
          <w:rFonts w:ascii="Times New Roman" w:hAnsi="Times New Roman" w:cs="Times New Roman"/>
        </w:rPr>
        <w:t>Studies were eligible for inclusion if they examined adult or juvenile drug courts, treatment courts, or diversion programs designed for individuals with substance use disorders and reported outcomes related to recidivism, rehabilitation, treatment effectiveness, or program implementation. Only English-language publications published between 20</w:t>
      </w:r>
      <w:r w:rsidR="001D0ACD">
        <w:rPr>
          <w:rFonts w:ascii="Times New Roman" w:hAnsi="Times New Roman" w:cs="Times New Roman"/>
        </w:rPr>
        <w:t>02</w:t>
      </w:r>
      <w:r w:rsidRPr="00215E26">
        <w:rPr>
          <w:rFonts w:ascii="Times New Roman" w:hAnsi="Times New Roman" w:cs="Times New Roman"/>
        </w:rPr>
        <w:t xml:space="preserve"> and 2026 were considered. Studies unrelated to drug courts, editorials, opinion papers, conference abstracts, and publications lacking relevant outcome data were excluded. Following the removal of duplicates, titles and abstracts were screened for relevance before full-text articles were assessed against the eligibility criteria</w:t>
      </w:r>
      <w:r w:rsidR="001D0ACD">
        <w:rPr>
          <w:rFonts w:ascii="Times New Roman" w:hAnsi="Times New Roman" w:cs="Times New Roman"/>
        </w:rPr>
        <w:t xml:space="preserve"> (Table 1)</w:t>
      </w:r>
      <w:r w:rsidRPr="00215E26">
        <w:rPr>
          <w:rFonts w:ascii="Times New Roman" w:hAnsi="Times New Roman" w:cs="Times New Roman"/>
        </w:rPr>
        <w:t>.</w:t>
      </w:r>
    </w:p>
    <w:p w14:paraId="4C3C81CE" w14:textId="41A95749"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2.4 Data extraction</w:t>
      </w:r>
    </w:p>
    <w:p w14:paraId="2A50A7DB" w14:textId="73444157" w:rsidR="00DF6A99" w:rsidRDefault="00DF6A99" w:rsidP="00440485">
      <w:pPr>
        <w:jc w:val="both"/>
        <w:rPr>
          <w:rFonts w:ascii="Times New Roman" w:hAnsi="Times New Roman" w:cs="Times New Roman"/>
        </w:rPr>
      </w:pPr>
      <w:r w:rsidRPr="00DF6A99">
        <w:rPr>
          <w:rFonts w:ascii="Times New Roman" w:hAnsi="Times New Roman" w:cs="Times New Roman"/>
        </w:rPr>
        <w:t xml:space="preserve">Data </w:t>
      </w:r>
      <w:proofErr w:type="gramStart"/>
      <w:r w:rsidRPr="00DF6A99">
        <w:rPr>
          <w:rFonts w:ascii="Times New Roman" w:hAnsi="Times New Roman" w:cs="Times New Roman"/>
        </w:rPr>
        <w:t>were</w:t>
      </w:r>
      <w:proofErr w:type="gramEnd"/>
      <w:r w:rsidRPr="00DF6A99">
        <w:rPr>
          <w:rFonts w:ascii="Times New Roman" w:hAnsi="Times New Roman" w:cs="Times New Roman"/>
        </w:rPr>
        <w:t xml:space="preserve"> extracted using a standardized charting form developed for the review. Extracted information included author and publication year, country, study design, population, drug court or intervention type, reported outcomes, implementation characteristics, and principal findings. The charting categories were refined iteratively to ensure consistent capture of information relevant to the review question.</w:t>
      </w:r>
    </w:p>
    <w:p w14:paraId="667354E1" w14:textId="6213BD43"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2.5 Data synthesis</w:t>
      </w:r>
    </w:p>
    <w:p w14:paraId="2B772323" w14:textId="24D90DC7" w:rsidR="00440485" w:rsidRPr="00215E26" w:rsidRDefault="00440485" w:rsidP="00440485">
      <w:pPr>
        <w:jc w:val="both"/>
        <w:rPr>
          <w:rFonts w:ascii="Times New Roman" w:hAnsi="Times New Roman" w:cs="Times New Roman"/>
        </w:rPr>
      </w:pPr>
      <w:r w:rsidRPr="00215E26">
        <w:rPr>
          <w:rFonts w:ascii="Times New Roman" w:hAnsi="Times New Roman" w:cs="Times New Roman"/>
        </w:rPr>
        <w:t>Extracted data were synthesized using thematic analysis to identify recurring patterns and major areas of evidence across the included studies. Similar findings were grouped into broader themes relating to the effectiveness of drug courts, recidivism reduction, treatment and rehabilitation strategies, implementation practices, participant outcomes, and challenges affecting program success. The synthesized findings are presented narratively and supported by summary table describing the characteristics and key contributions of the included studies.</w:t>
      </w:r>
    </w:p>
    <w:p w14:paraId="530DC79A" w14:textId="27D480AD" w:rsidR="00440485" w:rsidRPr="00215E26" w:rsidRDefault="00440485" w:rsidP="00440485">
      <w:pPr>
        <w:jc w:val="both"/>
        <w:rPr>
          <w:rFonts w:ascii="Times New Roman" w:hAnsi="Times New Roman" w:cs="Times New Roman"/>
          <w:b/>
          <w:bCs/>
        </w:rPr>
      </w:pPr>
      <w:r w:rsidRPr="00215E26">
        <w:rPr>
          <w:rFonts w:ascii="Times New Roman" w:hAnsi="Times New Roman" w:cs="Times New Roman"/>
          <w:b/>
          <w:bCs/>
        </w:rPr>
        <w:t>2.6 Quality appraisal</w:t>
      </w:r>
    </w:p>
    <w:p w14:paraId="331575C2" w14:textId="119F44C9" w:rsidR="00DF6A99" w:rsidRDefault="00DF6A99" w:rsidP="00413229">
      <w:pPr>
        <w:jc w:val="both"/>
        <w:rPr>
          <w:rFonts w:ascii="Times New Roman" w:hAnsi="Times New Roman" w:cs="Times New Roman"/>
        </w:rPr>
      </w:pPr>
      <w:r w:rsidRPr="00DF6A99">
        <w:rPr>
          <w:rFonts w:ascii="Times New Roman" w:hAnsi="Times New Roman" w:cs="Times New Roman"/>
        </w:rPr>
        <w:t xml:space="preserve">Consistent with the purpose of a scoping review, methodological quality appraisal was not used as an eligibility criterion or basis for excluding studies. Instead, differences in study design, </w:t>
      </w:r>
      <w:r w:rsidRPr="00DF6A99">
        <w:rPr>
          <w:rFonts w:ascii="Times New Roman" w:hAnsi="Times New Roman" w:cs="Times New Roman"/>
        </w:rPr>
        <w:lastRenderedPageBreak/>
        <w:t xml:space="preserve">population, methodology, and reporting characteristics were considered when interpreting the mapped evidence. The review therefore sought to describe the range and nature of available evidence rather than produce a comparative estimate of intervention </w:t>
      </w:r>
      <w:proofErr w:type="spellStart"/>
      <w:r w:rsidR="008B3BE6">
        <w:rPr>
          <w:rFonts w:ascii="Times New Roman" w:hAnsi="Times New Roman" w:cs="Times New Roman"/>
        </w:rPr>
        <w:t>sucess</w:t>
      </w:r>
      <w:proofErr w:type="spellEnd"/>
      <w:r w:rsidRPr="00DF6A99">
        <w:rPr>
          <w:rFonts w:ascii="Times New Roman" w:hAnsi="Times New Roman" w:cs="Times New Roman"/>
        </w:rPr>
        <w:t>.</w:t>
      </w:r>
    </w:p>
    <w:p w14:paraId="3557FFF3" w14:textId="1C8B9D12" w:rsidR="00413229" w:rsidRPr="00215E26" w:rsidRDefault="00413229" w:rsidP="00413229">
      <w:pPr>
        <w:jc w:val="both"/>
        <w:rPr>
          <w:rFonts w:ascii="Times New Roman" w:hAnsi="Times New Roman" w:cs="Times New Roman"/>
          <w:b/>
          <w:bCs/>
        </w:rPr>
      </w:pPr>
      <w:r w:rsidRPr="00215E26">
        <w:rPr>
          <w:rFonts w:ascii="Times New Roman" w:hAnsi="Times New Roman" w:cs="Times New Roman"/>
          <w:b/>
          <w:bCs/>
        </w:rPr>
        <w:t>3. Results</w:t>
      </w:r>
    </w:p>
    <w:p w14:paraId="649D5043" w14:textId="2876E80B" w:rsidR="00413229" w:rsidRPr="00215E26" w:rsidRDefault="00413229" w:rsidP="00413229">
      <w:pPr>
        <w:jc w:val="both"/>
        <w:rPr>
          <w:rFonts w:ascii="Times New Roman" w:hAnsi="Times New Roman" w:cs="Times New Roman"/>
          <w:b/>
          <w:bCs/>
        </w:rPr>
      </w:pPr>
      <w:r w:rsidRPr="00215E26">
        <w:rPr>
          <w:rFonts w:ascii="Times New Roman" w:hAnsi="Times New Roman" w:cs="Times New Roman"/>
          <w:b/>
          <w:bCs/>
        </w:rPr>
        <w:t>3.1 Search Results</w:t>
      </w:r>
    </w:p>
    <w:p w14:paraId="730816CF" w14:textId="3FBE09B0" w:rsidR="00DF6A99" w:rsidRPr="00DF6A99" w:rsidRDefault="00DF6A99" w:rsidP="00DF6A99">
      <w:pPr>
        <w:jc w:val="both"/>
        <w:rPr>
          <w:rFonts w:ascii="Times New Roman" w:hAnsi="Times New Roman" w:cs="Times New Roman"/>
        </w:rPr>
      </w:pPr>
      <w:r w:rsidRPr="00DF6A99">
        <w:rPr>
          <w:rFonts w:ascii="Times New Roman" w:hAnsi="Times New Roman" w:cs="Times New Roman"/>
        </w:rPr>
        <w:t>The database and supplementary searches identified a total of 747 records. Following the removal of 147 duplicate records, 600 unique records remained for title and abstract screening. Of these, 500 records were excluded because they did not meet the predefined eligibility criteria. Full-text assessment was subsequently conducted for 100 reports, of which 79 were excluded during the eligibility assessment. A total of 21 studies met the eligibility criteria and were included in the final synthesis. The complete study selection process is presented in the PRISMA-</w:t>
      </w:r>
      <w:proofErr w:type="spellStart"/>
      <w:r w:rsidRPr="00DF6A99">
        <w:rPr>
          <w:rFonts w:ascii="Times New Roman" w:hAnsi="Times New Roman" w:cs="Times New Roman"/>
        </w:rPr>
        <w:t>ScR</w:t>
      </w:r>
      <w:proofErr w:type="spellEnd"/>
      <w:r w:rsidRPr="00DF6A99">
        <w:rPr>
          <w:rFonts w:ascii="Times New Roman" w:hAnsi="Times New Roman" w:cs="Times New Roman"/>
        </w:rPr>
        <w:t xml:space="preserve"> flow diagram (Figure 1).</w:t>
      </w:r>
    </w:p>
    <w:p w14:paraId="57781F0A" w14:textId="1763B68D" w:rsidR="00DF6A99" w:rsidRDefault="00DF6A99" w:rsidP="00DF6A99">
      <w:pPr>
        <w:jc w:val="both"/>
        <w:rPr>
          <w:rFonts w:ascii="Times New Roman" w:hAnsi="Times New Roman" w:cs="Times New Roman"/>
        </w:rPr>
      </w:pPr>
      <w:r w:rsidRPr="00DF6A99">
        <w:rPr>
          <w:rFonts w:ascii="Times New Roman" w:hAnsi="Times New Roman" w:cs="Times New Roman"/>
        </w:rPr>
        <w:t xml:space="preserve">The included </w:t>
      </w:r>
      <w:r w:rsidR="00EA6C5F">
        <w:rPr>
          <w:rFonts w:ascii="Times New Roman" w:hAnsi="Times New Roman" w:cs="Times New Roman"/>
        </w:rPr>
        <w:t>studies</w:t>
      </w:r>
      <w:r w:rsidRPr="00DF6A99">
        <w:rPr>
          <w:rFonts w:ascii="Times New Roman" w:hAnsi="Times New Roman" w:cs="Times New Roman"/>
        </w:rPr>
        <w:t xml:space="preserve"> addressed diverse aspects of drug courts, including drug court models, treatment-based diversion, recidivism-related outcomes, treatment and rehabilitation, participant experiences, implementation challenges, and factors influencing program delivery. The diversity of study designs, populations, and research objectives enabled the review to map the breadth and characteristics of the available literature without interpreting the findings as a single measure of intervention </w:t>
      </w:r>
      <w:r w:rsidR="00665B6F" w:rsidRPr="00DF6A99">
        <w:rPr>
          <w:rFonts w:ascii="Times New Roman" w:hAnsi="Times New Roman" w:cs="Times New Roman"/>
        </w:rPr>
        <w:t>success</w:t>
      </w:r>
      <w:r w:rsidRPr="00DF6A99">
        <w:rPr>
          <w:rFonts w:ascii="Times New Roman" w:hAnsi="Times New Roman" w:cs="Times New Roman"/>
        </w:rPr>
        <w:t>.</w:t>
      </w:r>
    </w:p>
    <w:p w14:paraId="6D244D9A" w14:textId="32CC0211" w:rsidR="00413229" w:rsidRPr="00215E26" w:rsidRDefault="00413229" w:rsidP="00DF6A99">
      <w:pPr>
        <w:jc w:val="both"/>
        <w:rPr>
          <w:rFonts w:ascii="Times New Roman" w:hAnsi="Times New Roman" w:cs="Times New Roman"/>
          <w:b/>
          <w:bCs/>
        </w:rPr>
      </w:pPr>
      <w:r w:rsidRPr="00215E26">
        <w:rPr>
          <w:rFonts w:ascii="Times New Roman" w:hAnsi="Times New Roman" w:cs="Times New Roman"/>
          <w:b/>
          <w:bCs/>
        </w:rPr>
        <w:t>3.2 Characteristics of Included Studies</w:t>
      </w:r>
    </w:p>
    <w:p w14:paraId="4D8DA380" w14:textId="0DEABF9D" w:rsidR="00DF6A99" w:rsidRPr="00DF6A99" w:rsidRDefault="00DF6A99" w:rsidP="00DF6A99">
      <w:pPr>
        <w:jc w:val="both"/>
        <w:rPr>
          <w:rFonts w:ascii="Times New Roman" w:hAnsi="Times New Roman" w:cs="Times New Roman"/>
        </w:rPr>
      </w:pPr>
      <w:r w:rsidRPr="00DF6A99">
        <w:rPr>
          <w:rFonts w:ascii="Times New Roman" w:hAnsi="Times New Roman" w:cs="Times New Roman"/>
        </w:rPr>
        <w:t xml:space="preserve">The 21 included </w:t>
      </w:r>
      <w:r w:rsidR="00665B6F">
        <w:rPr>
          <w:rFonts w:ascii="Times New Roman" w:hAnsi="Times New Roman" w:cs="Times New Roman"/>
        </w:rPr>
        <w:t>studies</w:t>
      </w:r>
      <w:r w:rsidRPr="00DF6A99">
        <w:rPr>
          <w:rFonts w:ascii="Times New Roman" w:hAnsi="Times New Roman" w:cs="Times New Roman"/>
        </w:rPr>
        <w:t>, published between 200</w:t>
      </w:r>
      <w:r w:rsidR="00355BB2">
        <w:rPr>
          <w:rFonts w:ascii="Times New Roman" w:hAnsi="Times New Roman" w:cs="Times New Roman"/>
        </w:rPr>
        <w:t>2</w:t>
      </w:r>
      <w:r w:rsidRPr="00DF6A99">
        <w:rPr>
          <w:rFonts w:ascii="Times New Roman" w:hAnsi="Times New Roman" w:cs="Times New Roman"/>
        </w:rPr>
        <w:t xml:space="preserve"> and 2026, represented a range of study designs and evidence types relevant to drug courts and treatment-oriented criminal justice interventions. The evidence included empirical evaluations, qualitative studies, systematic reviews, meta-analyses, scoping reviews, predictive analytics research, and policy-oriented analyses. Studies primarily examined adult and juvenile drug treatment courts, with reported outcomes including recidivism, substance use, treatment engagement, treatment completion, mental health, participant experiences, and program implementation.</w:t>
      </w:r>
    </w:p>
    <w:p w14:paraId="4B4C88ED" w14:textId="377C7640" w:rsidR="00DF6A99" w:rsidRDefault="00DF6A99" w:rsidP="00DF6A99">
      <w:pPr>
        <w:jc w:val="both"/>
        <w:rPr>
          <w:rFonts w:ascii="Times New Roman" w:hAnsi="Times New Roman" w:cs="Times New Roman"/>
        </w:rPr>
      </w:pPr>
      <w:r w:rsidRPr="00DF6A99">
        <w:rPr>
          <w:rFonts w:ascii="Times New Roman" w:hAnsi="Times New Roman" w:cs="Times New Roman"/>
        </w:rPr>
        <w:t xml:space="preserve">The included literature also identified contextual factors relevant to drug court delivery, including treatment quality, multidisciplinary collaboration, behavioral health support, participant retention, and disparities in access and outcomes. Detailed characteristics of the included studies are presented in Table </w:t>
      </w:r>
      <w:r w:rsidR="00355BB2">
        <w:rPr>
          <w:rFonts w:ascii="Times New Roman" w:hAnsi="Times New Roman" w:cs="Times New Roman"/>
        </w:rPr>
        <w:t>2</w:t>
      </w:r>
      <w:r w:rsidRPr="00DF6A99">
        <w:rPr>
          <w:rFonts w:ascii="Times New Roman" w:hAnsi="Times New Roman" w:cs="Times New Roman"/>
        </w:rPr>
        <w:t>.</w:t>
      </w:r>
    </w:p>
    <w:p w14:paraId="2CC53D89" w14:textId="43E841A2" w:rsidR="000A2F86" w:rsidRPr="000A2F86" w:rsidRDefault="00413229" w:rsidP="000A2F86">
      <w:pPr>
        <w:jc w:val="both"/>
        <w:rPr>
          <w:rFonts w:ascii="Times New Roman" w:hAnsi="Times New Roman" w:cs="Times New Roman"/>
          <w:b/>
          <w:bCs/>
        </w:rPr>
      </w:pPr>
      <w:r w:rsidRPr="00215E26">
        <w:rPr>
          <w:rFonts w:ascii="Times New Roman" w:hAnsi="Times New Roman" w:cs="Times New Roman"/>
          <w:b/>
          <w:bCs/>
        </w:rPr>
        <w:t xml:space="preserve">Table </w:t>
      </w:r>
      <w:r w:rsidR="00355BB2">
        <w:rPr>
          <w:rFonts w:ascii="Times New Roman" w:hAnsi="Times New Roman" w:cs="Times New Roman"/>
          <w:b/>
          <w:bCs/>
        </w:rPr>
        <w:t>2</w:t>
      </w:r>
      <w:r w:rsidRPr="00215E26">
        <w:rPr>
          <w:rFonts w:ascii="Times New Roman" w:hAnsi="Times New Roman" w:cs="Times New Roman"/>
          <w:b/>
          <w:bCs/>
        </w:rPr>
        <w:t>. Characteristics of Included Studies</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700"/>
        <w:gridCol w:w="1700"/>
        <w:gridCol w:w="2201"/>
        <w:gridCol w:w="3359"/>
      </w:tblGrid>
      <w:tr w:rsidR="000A2F86" w:rsidRPr="000A2F86" w14:paraId="43C93284" w14:textId="77777777">
        <w:trPr>
          <w:cantSplit/>
          <w:tblHeader/>
        </w:trPr>
        <w:tc>
          <w:tcPr>
            <w:tcW w:w="1400" w:type="dxa"/>
            <w:tcBorders>
              <w:top w:val="single" w:sz="4" w:space="0" w:color="999999"/>
              <w:left w:val="single" w:sz="4" w:space="0" w:color="999999"/>
              <w:bottom w:val="single" w:sz="4" w:space="0" w:color="CCCCCC"/>
              <w:right w:val="single" w:sz="4" w:space="0" w:color="CCCCCC"/>
            </w:tcBorders>
            <w:shd w:val="clear" w:color="auto" w:fill="2F5496"/>
            <w:tcMar>
              <w:top w:w="80" w:type="dxa"/>
              <w:left w:w="100" w:type="dxa"/>
              <w:bottom w:w="80" w:type="dxa"/>
              <w:right w:w="100" w:type="dxa"/>
            </w:tcMar>
            <w:vAlign w:val="center"/>
            <w:hideMark/>
          </w:tcPr>
          <w:p w14:paraId="25D670E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b/>
                <w:bCs/>
              </w:rPr>
              <w:lastRenderedPageBreak/>
              <w:t>Study</w:t>
            </w:r>
          </w:p>
        </w:tc>
        <w:tc>
          <w:tcPr>
            <w:tcW w:w="700" w:type="dxa"/>
            <w:tcBorders>
              <w:top w:val="single" w:sz="4" w:space="0" w:color="999999"/>
              <w:left w:val="single" w:sz="4" w:space="0" w:color="CCCCCC"/>
              <w:bottom w:val="single" w:sz="4" w:space="0" w:color="CCCCCC"/>
              <w:right w:val="single" w:sz="4" w:space="0" w:color="CCCCCC"/>
            </w:tcBorders>
            <w:shd w:val="clear" w:color="auto" w:fill="2F5496"/>
            <w:tcMar>
              <w:top w:w="80" w:type="dxa"/>
              <w:left w:w="100" w:type="dxa"/>
              <w:bottom w:w="80" w:type="dxa"/>
              <w:right w:w="100" w:type="dxa"/>
            </w:tcMar>
            <w:vAlign w:val="center"/>
            <w:hideMark/>
          </w:tcPr>
          <w:p w14:paraId="2EB660B4"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b/>
                <w:bCs/>
              </w:rPr>
              <w:t>Year</w:t>
            </w:r>
          </w:p>
        </w:tc>
        <w:tc>
          <w:tcPr>
            <w:tcW w:w="1700" w:type="dxa"/>
            <w:tcBorders>
              <w:top w:val="single" w:sz="4" w:space="0" w:color="999999"/>
              <w:left w:val="single" w:sz="4" w:space="0" w:color="CCCCCC"/>
              <w:bottom w:val="single" w:sz="4" w:space="0" w:color="CCCCCC"/>
              <w:right w:val="single" w:sz="4" w:space="0" w:color="CCCCCC"/>
            </w:tcBorders>
            <w:shd w:val="clear" w:color="auto" w:fill="2F5496"/>
            <w:tcMar>
              <w:top w:w="80" w:type="dxa"/>
              <w:left w:w="100" w:type="dxa"/>
              <w:bottom w:w="80" w:type="dxa"/>
              <w:right w:w="100" w:type="dxa"/>
            </w:tcMar>
            <w:vAlign w:val="center"/>
            <w:hideMark/>
          </w:tcPr>
          <w:p w14:paraId="25A8ACDD"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b/>
                <w:bCs/>
              </w:rPr>
              <w:t>Study Type/Design</w:t>
            </w:r>
          </w:p>
        </w:tc>
        <w:tc>
          <w:tcPr>
            <w:tcW w:w="2200" w:type="dxa"/>
            <w:tcBorders>
              <w:top w:val="single" w:sz="4" w:space="0" w:color="999999"/>
              <w:left w:val="single" w:sz="4" w:space="0" w:color="CCCCCC"/>
              <w:bottom w:val="single" w:sz="4" w:space="0" w:color="CCCCCC"/>
              <w:right w:val="single" w:sz="4" w:space="0" w:color="CCCCCC"/>
            </w:tcBorders>
            <w:shd w:val="clear" w:color="auto" w:fill="2F5496"/>
            <w:tcMar>
              <w:top w:w="80" w:type="dxa"/>
              <w:left w:w="100" w:type="dxa"/>
              <w:bottom w:w="80" w:type="dxa"/>
              <w:right w:w="100" w:type="dxa"/>
            </w:tcMar>
            <w:vAlign w:val="center"/>
            <w:hideMark/>
          </w:tcPr>
          <w:p w14:paraId="52FC5B1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b/>
                <w:bCs/>
              </w:rPr>
              <w:t>Population/Context</w:t>
            </w:r>
          </w:p>
        </w:tc>
        <w:tc>
          <w:tcPr>
            <w:tcW w:w="3360" w:type="dxa"/>
            <w:tcBorders>
              <w:top w:val="single" w:sz="4" w:space="0" w:color="999999"/>
              <w:left w:val="single" w:sz="4" w:space="0" w:color="CCCCCC"/>
              <w:bottom w:val="single" w:sz="4" w:space="0" w:color="CCCCCC"/>
              <w:right w:val="single" w:sz="4" w:space="0" w:color="999999"/>
            </w:tcBorders>
            <w:shd w:val="clear" w:color="auto" w:fill="2F5496"/>
            <w:tcMar>
              <w:top w:w="80" w:type="dxa"/>
              <w:left w:w="100" w:type="dxa"/>
              <w:bottom w:w="80" w:type="dxa"/>
              <w:right w:w="100" w:type="dxa"/>
            </w:tcMar>
            <w:vAlign w:val="center"/>
            <w:hideMark/>
          </w:tcPr>
          <w:p w14:paraId="363FAC7E" w14:textId="77777777" w:rsidR="000A2F86" w:rsidRPr="000A2F86" w:rsidRDefault="000A2F86" w:rsidP="000A2F86">
            <w:pPr>
              <w:jc w:val="both"/>
              <w:rPr>
                <w:rFonts w:ascii="Times New Roman" w:hAnsi="Times New Roman" w:cs="Times New Roman"/>
              </w:rPr>
            </w:pPr>
            <w:proofErr w:type="gramStart"/>
            <w:r w:rsidRPr="000A2F86">
              <w:rPr>
                <w:rFonts w:ascii="Times New Roman" w:hAnsi="Times New Roman" w:cs="Times New Roman"/>
                <w:b/>
                <w:bCs/>
              </w:rPr>
              <w:t>Main Focus</w:t>
            </w:r>
            <w:proofErr w:type="gramEnd"/>
            <w:r w:rsidRPr="000A2F86">
              <w:rPr>
                <w:rFonts w:ascii="Times New Roman" w:hAnsi="Times New Roman" w:cs="Times New Roman"/>
                <w:b/>
                <w:bCs/>
              </w:rPr>
              <w:t xml:space="preserve"> Relevant to the Review</w:t>
            </w:r>
          </w:p>
        </w:tc>
      </w:tr>
      <w:tr w:rsidR="000A2F86" w:rsidRPr="000A2F86" w14:paraId="16B6FC14"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18A3DC81"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Alam &amp; Kaleem</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14EFF94"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2024</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EAFABE1"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Review</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461ABC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Adult drug courts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5207F7B7"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Efficacy of drug courts in reducing recidivism</w:t>
            </w:r>
          </w:p>
        </w:tc>
      </w:tr>
      <w:tr w:rsidR="000A2F86" w:rsidRPr="000A2F86" w14:paraId="74B23E71"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04F14185" w14:textId="77777777" w:rsidR="000A2F86" w:rsidRPr="000A2F86" w:rsidRDefault="000A2F86" w:rsidP="000A2F86">
            <w:pPr>
              <w:jc w:val="both"/>
              <w:rPr>
                <w:rFonts w:ascii="Times New Roman" w:hAnsi="Times New Roman" w:cs="Times New Roman"/>
              </w:rPr>
            </w:pPr>
            <w:proofErr w:type="spellStart"/>
            <w:r w:rsidRPr="000A2F86">
              <w:rPr>
                <w:rFonts w:ascii="Times New Roman" w:hAnsi="Times New Roman" w:cs="Times New Roman"/>
              </w:rPr>
              <w:t>Asibu</w:t>
            </w:r>
            <w:proofErr w:type="spellEnd"/>
            <w:r w:rsidRPr="000A2F86">
              <w:rPr>
                <w:rFonts w:ascii="Times New Roman" w:hAnsi="Times New Roman" w:cs="Times New Roman"/>
              </w:rPr>
              <w:t>-Dadzie</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66B2BE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2026</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8806402"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Narrative review</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0897CD1"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U.S. communities and persons with addiction</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35861A78"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Religious and faith-based responses to addiction</w:t>
            </w:r>
          </w:p>
        </w:tc>
      </w:tr>
      <w:tr w:rsidR="000A2F86" w:rsidRPr="000A2F86" w14:paraId="194243E3"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751259FA" w14:textId="77777777" w:rsidR="000A2F86" w:rsidRPr="000A2F86" w:rsidRDefault="000A2F86" w:rsidP="000A2F86">
            <w:pPr>
              <w:jc w:val="both"/>
              <w:rPr>
                <w:rFonts w:ascii="Times New Roman" w:hAnsi="Times New Roman" w:cs="Times New Roman"/>
              </w:rPr>
            </w:pPr>
            <w:proofErr w:type="spellStart"/>
            <w:r w:rsidRPr="000A2F86">
              <w:rPr>
                <w:rFonts w:ascii="Times New Roman" w:hAnsi="Times New Roman" w:cs="Times New Roman"/>
              </w:rPr>
              <w:t>Belenko</w:t>
            </w:r>
            <w:proofErr w:type="spellEnd"/>
            <w:r w:rsidRPr="000A2F86">
              <w:rPr>
                <w:rFonts w:ascii="Times New Roman" w:hAnsi="Times New Roman" w:cs="Times New Roman"/>
              </w:rPr>
              <w:t xml:space="preserve">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C12BF6F"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2022</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646E9A7"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Multisite experimental evaluation</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97E8DD2"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Juvenile drug treatment court participants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0713AF8C"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Effects on substance use, mental health, and recidivism</w:t>
            </w:r>
          </w:p>
        </w:tc>
      </w:tr>
      <w:tr w:rsidR="000A2F86" w:rsidRPr="000A2F86" w14:paraId="4AD0CEE5"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1E330D85"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Crumrine &amp; Culp</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79A67AE"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2023</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988592C"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Scoping review</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ED1DA75"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U.S. drug courts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43B67C71"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Best practices in drug court implementation</w:t>
            </w:r>
          </w:p>
        </w:tc>
      </w:tr>
      <w:tr w:rsidR="000A2F86" w:rsidRPr="000A2F86" w14:paraId="7B290627"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479E0AD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Delen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512F0A4"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2021</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2A673D6"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Predictive analytics study</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6B68B52"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Adult drug court populations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740B9391"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Data-driven decisions regarding imprisonment versus drug court placement</w:t>
            </w:r>
          </w:p>
        </w:tc>
      </w:tr>
      <w:tr w:rsidR="000A2F86" w:rsidRPr="000A2F86" w14:paraId="7298EF8C"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6FDDF655"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Dickson-Gomez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14017EF"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2022</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2E30BD0"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Qualitative study</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B48D1D3"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Participants in police diversion programs and drug courts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13A66C64"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Barriers to accessing drug treatment</w:t>
            </w:r>
          </w:p>
        </w:tc>
      </w:tr>
      <w:tr w:rsidR="000A2F86" w:rsidRPr="000A2F86" w14:paraId="53B9474A"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702AC90A"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Gallagher &amp; Nordberg</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46F7626"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2024</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31470D7"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Qualitative interpretive meta-synthesis</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239A433"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Drug court participants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685D05ED"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Treatment experiences and service delivery in treatment courts</w:t>
            </w:r>
          </w:p>
        </w:tc>
      </w:tr>
      <w:tr w:rsidR="000A2F86" w:rsidRPr="000A2F86" w14:paraId="2159F9C6"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05F0B4D5"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Gallagher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E5605C6"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2020</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5287830"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Observational study</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C979BA2"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Non-White drug court participants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1F3A79A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Racial disparities in drug court outcomes</w:t>
            </w:r>
          </w:p>
        </w:tc>
      </w:tr>
      <w:tr w:rsidR="000A2F86" w:rsidRPr="000A2F86" w14:paraId="22DAAC92"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13CFEF4F"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Gibbs &amp; Lytle</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B1C5D07"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2020</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A299946"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Longitudinal cohort study</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8EA1A6D"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Adult drug court participants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38049526"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Program participation, time to failure, and recidivism</w:t>
            </w:r>
          </w:p>
        </w:tc>
      </w:tr>
      <w:tr w:rsidR="000A2F86" w:rsidRPr="000A2F86" w14:paraId="72183434"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3A1B27BE"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Haney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ED0818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2025</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006329E"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Review</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8D0CD0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Drug court participants convicted of violent offenses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2D56B2DB"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Recidivism outcomes among violent offenders</w:t>
            </w:r>
          </w:p>
        </w:tc>
      </w:tr>
      <w:tr w:rsidR="000A2F86" w:rsidRPr="000A2F86" w14:paraId="454C9227"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25979505"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lastRenderedPageBreak/>
              <w:t>Hiller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33CAA7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2021</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964ACA4"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Multisite RCT and regression discontinuity evaluation</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63FCA65"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Juvenile drug treatment court participants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08447516"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Federal evidence-based guidelines, recidivism, and substance use</w:t>
            </w:r>
          </w:p>
        </w:tc>
      </w:tr>
      <w:tr w:rsidR="000A2F86" w:rsidRPr="000A2F86" w14:paraId="6E264F6B"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258FAEBF"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Krebs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42FA14B"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2007</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24B6DCD"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Longitudinal statistical modeling study (GEE)</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2C003C0"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Adult drug court participants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3B5CB205"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Long-term impact of drug court participation on recidivism</w:t>
            </w:r>
          </w:p>
        </w:tc>
      </w:tr>
      <w:tr w:rsidR="000A2F86" w:rsidRPr="000A2F86" w14:paraId="69B7A733"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4EC1A166"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 xml:space="preserve">Sheeran &amp; </w:t>
            </w:r>
            <w:proofErr w:type="spellStart"/>
            <w:r w:rsidRPr="000A2F86">
              <w:rPr>
                <w:rFonts w:ascii="Times New Roman" w:hAnsi="Times New Roman" w:cs="Times New Roman"/>
              </w:rPr>
              <w:t>Varline</w:t>
            </w:r>
            <w:proofErr w:type="spellEnd"/>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559A4B0"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2024</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B0FDD97"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Comparative study</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AB4A1D3"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Drug treatment court participants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7EB10FCA"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Drug treatment court versus traditional court intervention and recidivism</w:t>
            </w:r>
          </w:p>
        </w:tc>
      </w:tr>
      <w:tr w:rsidR="000A2F86" w:rsidRPr="000A2F86" w14:paraId="70440DF7"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4596423E"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Tanner-Smith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07821E3"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2024</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BB8C162"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Systematic review and meta-analysis</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9DF7DC1"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Juvenile drug treatment courts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1DE834F3"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Effects of juvenile drug treatment courts</w:t>
            </w:r>
          </w:p>
        </w:tc>
      </w:tr>
      <w:tr w:rsidR="000A2F86" w:rsidRPr="000A2F86" w14:paraId="6F92EEBB"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7DD8A5B4"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Turner et al.</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B59D6A9"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2002</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08CFD5E"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Narrative research review</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BE0CF3E"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Drug treatment court populations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7A7B8464"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Synthesis of a decade of drug treatment court research</w:t>
            </w:r>
          </w:p>
        </w:tc>
      </w:tr>
      <w:tr w:rsidR="000A2F86" w:rsidRPr="000A2F86" w14:paraId="13A46C4D" w14:textId="77777777">
        <w:trPr>
          <w:cantSplit/>
        </w:trPr>
        <w:tc>
          <w:tcPr>
            <w:tcW w:w="1400" w:type="dxa"/>
            <w:tcBorders>
              <w:top w:val="single" w:sz="4" w:space="0" w:color="CCCCCC"/>
              <w:left w:val="single" w:sz="4" w:space="0" w:color="999999"/>
              <w:bottom w:val="single" w:sz="4" w:space="0" w:color="CCCCCC"/>
              <w:right w:val="single" w:sz="4" w:space="0" w:color="CCCCCC"/>
            </w:tcBorders>
            <w:tcMar>
              <w:top w:w="80" w:type="dxa"/>
              <w:left w:w="100" w:type="dxa"/>
              <w:bottom w:w="80" w:type="dxa"/>
              <w:right w:w="100" w:type="dxa"/>
            </w:tcMar>
            <w:vAlign w:val="center"/>
            <w:hideMark/>
          </w:tcPr>
          <w:p w14:paraId="72DD6641"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Ward &amp; Kawalek</w:t>
            </w:r>
          </w:p>
        </w:tc>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2A8C23A"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2024</w:t>
            </w:r>
          </w:p>
        </w:tc>
        <w:tc>
          <w:tcPr>
            <w:tcW w:w="1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F2FF33B"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Policy review</w:t>
            </w:r>
          </w:p>
        </w:tc>
        <w:tc>
          <w:tcPr>
            <w:tcW w:w="2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D92CED6"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Drug court systems</w:t>
            </w:r>
          </w:p>
        </w:tc>
        <w:tc>
          <w:tcPr>
            <w:tcW w:w="3360" w:type="dxa"/>
            <w:tcBorders>
              <w:top w:val="single" w:sz="4" w:space="0" w:color="CCCCCC"/>
              <w:left w:val="single" w:sz="4" w:space="0" w:color="CCCCCC"/>
              <w:bottom w:val="single" w:sz="4" w:space="0" w:color="CCCCCC"/>
              <w:right w:val="single" w:sz="4" w:space="0" w:color="999999"/>
            </w:tcBorders>
            <w:tcMar>
              <w:top w:w="80" w:type="dxa"/>
              <w:left w:w="100" w:type="dxa"/>
              <w:bottom w:w="80" w:type="dxa"/>
              <w:right w:w="100" w:type="dxa"/>
            </w:tcMar>
            <w:vAlign w:val="center"/>
            <w:hideMark/>
          </w:tcPr>
          <w:p w14:paraId="4415CE9E"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Contemporary considerations and future directions for drug courts</w:t>
            </w:r>
          </w:p>
        </w:tc>
      </w:tr>
      <w:tr w:rsidR="000A2F86" w:rsidRPr="000A2F86" w14:paraId="40E6DC16" w14:textId="77777777">
        <w:trPr>
          <w:cantSplit/>
        </w:trPr>
        <w:tc>
          <w:tcPr>
            <w:tcW w:w="1400" w:type="dxa"/>
            <w:tcBorders>
              <w:top w:val="single" w:sz="4" w:space="0" w:color="CCCCCC"/>
              <w:left w:val="single" w:sz="4" w:space="0" w:color="999999"/>
              <w:bottom w:val="single" w:sz="4" w:space="0" w:color="999999"/>
              <w:right w:val="single" w:sz="4" w:space="0" w:color="CCCCCC"/>
            </w:tcBorders>
            <w:tcMar>
              <w:top w:w="80" w:type="dxa"/>
              <w:left w:w="100" w:type="dxa"/>
              <w:bottom w:w="80" w:type="dxa"/>
              <w:right w:w="100" w:type="dxa"/>
            </w:tcMar>
            <w:vAlign w:val="center"/>
            <w:hideMark/>
          </w:tcPr>
          <w:p w14:paraId="25DB84D7"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Wright et al.</w:t>
            </w:r>
          </w:p>
        </w:tc>
        <w:tc>
          <w:tcPr>
            <w:tcW w:w="700" w:type="dxa"/>
            <w:tcBorders>
              <w:top w:val="single" w:sz="4" w:space="0" w:color="CCCCCC"/>
              <w:left w:val="single" w:sz="4" w:space="0" w:color="CCCCCC"/>
              <w:bottom w:val="single" w:sz="4" w:space="0" w:color="999999"/>
              <w:right w:val="single" w:sz="4" w:space="0" w:color="CCCCCC"/>
            </w:tcBorders>
            <w:tcMar>
              <w:top w:w="80" w:type="dxa"/>
              <w:left w:w="100" w:type="dxa"/>
              <w:bottom w:w="80" w:type="dxa"/>
              <w:right w:w="100" w:type="dxa"/>
            </w:tcMar>
            <w:vAlign w:val="center"/>
            <w:hideMark/>
          </w:tcPr>
          <w:p w14:paraId="7183EECA"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2002</w:t>
            </w:r>
          </w:p>
        </w:tc>
        <w:tc>
          <w:tcPr>
            <w:tcW w:w="1700" w:type="dxa"/>
            <w:tcBorders>
              <w:top w:val="single" w:sz="4" w:space="0" w:color="CCCCCC"/>
              <w:left w:val="single" w:sz="4" w:space="0" w:color="CCCCCC"/>
              <w:bottom w:val="single" w:sz="4" w:space="0" w:color="999999"/>
              <w:right w:val="single" w:sz="4" w:space="0" w:color="CCCCCC"/>
            </w:tcBorders>
            <w:tcMar>
              <w:top w:w="80" w:type="dxa"/>
              <w:left w:w="100" w:type="dxa"/>
              <w:bottom w:w="80" w:type="dxa"/>
              <w:right w:w="100" w:type="dxa"/>
            </w:tcMar>
            <w:vAlign w:val="center"/>
            <w:hideMark/>
          </w:tcPr>
          <w:p w14:paraId="6D6CAE8C"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Program evaluation report</w:t>
            </w:r>
          </w:p>
        </w:tc>
        <w:tc>
          <w:tcPr>
            <w:tcW w:w="2200" w:type="dxa"/>
            <w:tcBorders>
              <w:top w:val="single" w:sz="4" w:space="0" w:color="CCCCCC"/>
              <w:left w:val="single" w:sz="4" w:space="0" w:color="CCCCCC"/>
              <w:bottom w:val="single" w:sz="4" w:space="0" w:color="999999"/>
              <w:right w:val="single" w:sz="4" w:space="0" w:color="CCCCCC"/>
            </w:tcBorders>
            <w:tcMar>
              <w:top w:w="80" w:type="dxa"/>
              <w:left w:w="100" w:type="dxa"/>
              <w:bottom w:w="80" w:type="dxa"/>
              <w:right w:w="100" w:type="dxa"/>
            </w:tcMar>
            <w:vAlign w:val="center"/>
            <w:hideMark/>
          </w:tcPr>
          <w:p w14:paraId="7D7111BD"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Oklahoma drug court participants</w:t>
            </w:r>
          </w:p>
        </w:tc>
        <w:tc>
          <w:tcPr>
            <w:tcW w:w="3360" w:type="dxa"/>
            <w:tcBorders>
              <w:top w:val="single" w:sz="4" w:space="0" w:color="CCCCCC"/>
              <w:left w:val="single" w:sz="4" w:space="0" w:color="CCCCCC"/>
              <w:bottom w:val="single" w:sz="4" w:space="0" w:color="999999"/>
              <w:right w:val="single" w:sz="4" w:space="0" w:color="999999"/>
            </w:tcBorders>
            <w:tcMar>
              <w:top w:w="80" w:type="dxa"/>
              <w:left w:w="100" w:type="dxa"/>
              <w:bottom w:w="80" w:type="dxa"/>
              <w:right w:w="100" w:type="dxa"/>
            </w:tcMar>
            <w:vAlign w:val="center"/>
            <w:hideMark/>
          </w:tcPr>
          <w:p w14:paraId="75C27A9D" w14:textId="77777777" w:rsidR="000A2F86" w:rsidRPr="000A2F86" w:rsidRDefault="000A2F86" w:rsidP="000A2F86">
            <w:pPr>
              <w:jc w:val="both"/>
              <w:rPr>
                <w:rFonts w:ascii="Times New Roman" w:hAnsi="Times New Roman" w:cs="Times New Roman"/>
              </w:rPr>
            </w:pPr>
            <w:r w:rsidRPr="000A2F86">
              <w:rPr>
                <w:rFonts w:ascii="Times New Roman" w:hAnsi="Times New Roman" w:cs="Times New Roman"/>
              </w:rPr>
              <w:t>Drug court as an alternative to incarceration and its effect on recidivism</w:t>
            </w:r>
          </w:p>
        </w:tc>
      </w:tr>
    </w:tbl>
    <w:p w14:paraId="5B195266" w14:textId="77777777" w:rsidR="00523113" w:rsidRPr="002D2598" w:rsidRDefault="00523113" w:rsidP="00413229">
      <w:pPr>
        <w:jc w:val="both"/>
        <w:rPr>
          <w:rFonts w:ascii="Times New Roman" w:hAnsi="Times New Roman" w:cs="Times New Roman"/>
        </w:rPr>
      </w:pPr>
    </w:p>
    <w:p w14:paraId="1AA913E9" w14:textId="33263057" w:rsidR="00413229" w:rsidRPr="00215E26" w:rsidRDefault="00413229" w:rsidP="00413229">
      <w:pPr>
        <w:jc w:val="both"/>
        <w:rPr>
          <w:rFonts w:ascii="Times New Roman" w:hAnsi="Times New Roman" w:cs="Times New Roman"/>
          <w:b/>
          <w:bCs/>
        </w:rPr>
      </w:pPr>
      <w:r w:rsidRPr="00215E26">
        <w:rPr>
          <w:rFonts w:ascii="Times New Roman" w:hAnsi="Times New Roman" w:cs="Times New Roman"/>
          <w:b/>
          <w:bCs/>
        </w:rPr>
        <w:t>3.3 Theme 1: Therapeutic Jurisprudence as the Foundation of Drug Courts</w:t>
      </w:r>
    </w:p>
    <w:p w14:paraId="7DFA2C83" w14:textId="0ECDA482" w:rsidR="00413229" w:rsidRPr="00215E26" w:rsidRDefault="00413229" w:rsidP="00413229">
      <w:pPr>
        <w:jc w:val="both"/>
        <w:rPr>
          <w:rFonts w:ascii="Times New Roman" w:hAnsi="Times New Roman" w:cs="Times New Roman"/>
        </w:rPr>
      </w:pPr>
      <w:r w:rsidRPr="00215E26">
        <w:rPr>
          <w:rFonts w:ascii="Times New Roman" w:hAnsi="Times New Roman" w:cs="Times New Roman"/>
        </w:rPr>
        <w:t xml:space="preserve">The reviewed studies consistently identified therapeutic jurisprudence as the guiding principle of modern drug courts. Unlike traditional criminal justice systems that emphasize punishment, drug courts adopt a treatment-oriented approach that addresses substance use disorders as chronic behavioral health conditions requiring clinical intervention alongside judicial supervision. Participants receive individualized treatment, regular court monitoring, substance use testing, and </w:t>
      </w:r>
      <w:r w:rsidRPr="00215E26">
        <w:rPr>
          <w:rFonts w:ascii="Times New Roman" w:hAnsi="Times New Roman" w:cs="Times New Roman"/>
        </w:rPr>
        <w:lastRenderedPageBreak/>
        <w:t xml:space="preserve">case management to promote behavioral change, accountability, and long-term recovery (Alam &amp; Kaleem, 2024; Sheeran &amp; </w:t>
      </w:r>
      <w:proofErr w:type="spellStart"/>
      <w:r w:rsidRPr="00215E26">
        <w:rPr>
          <w:rFonts w:ascii="Times New Roman" w:hAnsi="Times New Roman" w:cs="Times New Roman"/>
        </w:rPr>
        <w:t>Varline</w:t>
      </w:r>
      <w:proofErr w:type="spellEnd"/>
      <w:r w:rsidRPr="00215E26">
        <w:rPr>
          <w:rFonts w:ascii="Times New Roman" w:hAnsi="Times New Roman" w:cs="Times New Roman"/>
        </w:rPr>
        <w:t>, 2024; Ward &amp; Kawalek, 2024).</w:t>
      </w:r>
    </w:p>
    <w:p w14:paraId="3F107844" w14:textId="5E8AD301" w:rsidR="00413229" w:rsidRPr="00215E26" w:rsidRDefault="00413229" w:rsidP="00413229">
      <w:pPr>
        <w:jc w:val="both"/>
        <w:rPr>
          <w:rFonts w:ascii="Times New Roman" w:hAnsi="Times New Roman" w:cs="Times New Roman"/>
          <w:b/>
          <w:bCs/>
        </w:rPr>
      </w:pPr>
      <w:r w:rsidRPr="00215E26">
        <w:rPr>
          <w:rFonts w:ascii="Times New Roman" w:hAnsi="Times New Roman" w:cs="Times New Roman"/>
          <w:b/>
          <w:bCs/>
        </w:rPr>
        <w:t>3.4 Theme 2: Diversion from Incarceration to Treatment-Based Rehabilitation</w:t>
      </w:r>
    </w:p>
    <w:p w14:paraId="2346ADF7" w14:textId="3E82C5A9" w:rsidR="005B6255" w:rsidRDefault="005B6255" w:rsidP="00413229">
      <w:pPr>
        <w:jc w:val="both"/>
        <w:rPr>
          <w:rFonts w:ascii="Times New Roman" w:hAnsi="Times New Roman" w:cs="Times New Roman"/>
        </w:rPr>
      </w:pPr>
      <w:r w:rsidRPr="005B6255">
        <w:rPr>
          <w:rFonts w:ascii="Times New Roman" w:hAnsi="Times New Roman" w:cs="Times New Roman"/>
        </w:rPr>
        <w:t xml:space="preserve">The literature characterized drug courts as treatment-oriented diversion mechanisms that redirect eligible individuals from conventional criminal justice processing toward structured rehabilitation. Reported program features included judicial oversight, substance use treatment, monitoring, incentives and sanctions, and community-based services (Alam &amp; Kaleem, 2024; </w:t>
      </w:r>
      <w:r w:rsidR="00C6115E" w:rsidRPr="00C6115E">
        <w:rPr>
          <w:rFonts w:ascii="Times New Roman" w:hAnsi="Times New Roman" w:cs="Times New Roman"/>
        </w:rPr>
        <w:t>Wright et al., 2002</w:t>
      </w:r>
      <w:r w:rsidRPr="005B6255">
        <w:rPr>
          <w:rFonts w:ascii="Times New Roman" w:hAnsi="Times New Roman" w:cs="Times New Roman"/>
        </w:rPr>
        <w:t>; Ward &amp; Kawalek, 2024). Several studies reported favorable outcomes among drug court participants, including differences in recidivism, treatment engagement, and substance use when compared with traditional court processing. These findings indicate the potential role of treatment-based diversion in addressing substance-related offending, while variations across programs and participant populations limit conclusions about overall effectiveness.</w:t>
      </w:r>
    </w:p>
    <w:p w14:paraId="6C31FE49" w14:textId="4D0A680E" w:rsidR="00413229" w:rsidRPr="00215E26" w:rsidRDefault="00413229" w:rsidP="00413229">
      <w:pPr>
        <w:jc w:val="both"/>
        <w:rPr>
          <w:rFonts w:ascii="Times New Roman" w:hAnsi="Times New Roman" w:cs="Times New Roman"/>
          <w:b/>
          <w:bCs/>
        </w:rPr>
      </w:pPr>
      <w:r w:rsidRPr="00215E26">
        <w:rPr>
          <w:rFonts w:ascii="Times New Roman" w:hAnsi="Times New Roman" w:cs="Times New Roman"/>
          <w:b/>
          <w:bCs/>
        </w:rPr>
        <w:t>3.5 Theme 3: Multidisciplinary Collaboration in Drug Court Programs</w:t>
      </w:r>
    </w:p>
    <w:p w14:paraId="5B728949" w14:textId="0D1CF8D4" w:rsidR="00413229" w:rsidRPr="00215E26" w:rsidRDefault="00413229" w:rsidP="00413229">
      <w:pPr>
        <w:jc w:val="both"/>
        <w:rPr>
          <w:rFonts w:ascii="Times New Roman" w:hAnsi="Times New Roman" w:cs="Times New Roman"/>
        </w:rPr>
      </w:pPr>
      <w:r w:rsidRPr="00215E26">
        <w:rPr>
          <w:rFonts w:ascii="Times New Roman" w:hAnsi="Times New Roman" w:cs="Times New Roman"/>
        </w:rPr>
        <w:t xml:space="preserve">A prominent finding across the studies was the importance of multidisciplinary collaboration in achieving successful drug court outcomes. Effective programs involve coordinated efforts among judges, prosecutors, defense attorneys, probation officers, treatment providers, behavioral health professionals, social workers, and community organizations. This integrated approach enables comprehensive care that addresses substance use, mental health, housing, employment, and social reintegration. </w:t>
      </w:r>
      <w:proofErr w:type="gramStart"/>
      <w:r w:rsidRPr="00215E26">
        <w:rPr>
          <w:rFonts w:ascii="Times New Roman" w:hAnsi="Times New Roman" w:cs="Times New Roman"/>
        </w:rPr>
        <w:t>The</w:t>
      </w:r>
      <w:proofErr w:type="gramEnd"/>
      <w:r w:rsidRPr="00215E26">
        <w:rPr>
          <w:rFonts w:ascii="Times New Roman" w:hAnsi="Times New Roman" w:cs="Times New Roman"/>
        </w:rPr>
        <w:t xml:space="preserve"> evidence suggests that such collaboration improves continuity of care and strengthens rehabilitation by addressing the complex needs of justice-involved individuals (Gallagher &amp; Nordberg, 2024; </w:t>
      </w:r>
      <w:r w:rsidR="00C6115E" w:rsidRPr="00C6115E">
        <w:rPr>
          <w:rFonts w:ascii="Times New Roman" w:hAnsi="Times New Roman" w:cs="Times New Roman"/>
        </w:rPr>
        <w:t>Turner et al., 2002</w:t>
      </w:r>
      <w:r w:rsidRPr="00215E26">
        <w:rPr>
          <w:rFonts w:ascii="Times New Roman" w:hAnsi="Times New Roman" w:cs="Times New Roman"/>
        </w:rPr>
        <w:t>; Ward &amp; Kawalek, 2024).</w:t>
      </w:r>
    </w:p>
    <w:p w14:paraId="0DF2EC6A" w14:textId="1610FB09" w:rsidR="00413229" w:rsidRPr="00215E26" w:rsidRDefault="00413229" w:rsidP="00413229">
      <w:pPr>
        <w:jc w:val="both"/>
        <w:rPr>
          <w:rFonts w:ascii="Times New Roman" w:hAnsi="Times New Roman" w:cs="Times New Roman"/>
          <w:b/>
          <w:bCs/>
        </w:rPr>
      </w:pPr>
      <w:r w:rsidRPr="00215E26">
        <w:rPr>
          <w:rFonts w:ascii="Times New Roman" w:hAnsi="Times New Roman" w:cs="Times New Roman"/>
          <w:b/>
          <w:bCs/>
        </w:rPr>
        <w:t>3.6 Theme 4: Evidence-Based Decision-Making in Drug Court Practice</w:t>
      </w:r>
    </w:p>
    <w:p w14:paraId="40189D79" w14:textId="6A9062AE" w:rsidR="005B6255" w:rsidRDefault="005B6255" w:rsidP="00250958">
      <w:pPr>
        <w:jc w:val="both"/>
        <w:rPr>
          <w:rFonts w:ascii="Times New Roman" w:hAnsi="Times New Roman" w:cs="Times New Roman"/>
        </w:rPr>
      </w:pPr>
      <w:r w:rsidRPr="005B6255">
        <w:rPr>
          <w:rFonts w:ascii="Times New Roman" w:hAnsi="Times New Roman" w:cs="Times New Roman"/>
        </w:rPr>
        <w:t xml:space="preserve">The reviewed literature highlighted the increasing use of evidence-based approaches in drug court decision-making and program delivery. Standardized assessments, risk stratification, treatment matching, and predictive analytics were identified as approaches used to inform participant selection and individualized intervention planning. Delen et al. (2021), for example, examined an analytical model for supporting decisions concerning imprisonment and treatment-based alternatives. </w:t>
      </w:r>
      <w:r w:rsidR="00DC482C">
        <w:rPr>
          <w:rFonts w:ascii="Times New Roman" w:hAnsi="Times New Roman" w:cs="Times New Roman"/>
        </w:rPr>
        <w:t>T</w:t>
      </w:r>
      <w:r w:rsidRPr="005B6255">
        <w:rPr>
          <w:rFonts w:ascii="Times New Roman" w:hAnsi="Times New Roman" w:cs="Times New Roman"/>
        </w:rPr>
        <w:t>he literature</w:t>
      </w:r>
      <w:r w:rsidR="00DC482C">
        <w:rPr>
          <w:rFonts w:ascii="Times New Roman" w:hAnsi="Times New Roman" w:cs="Times New Roman"/>
        </w:rPr>
        <w:t xml:space="preserve"> generally</w:t>
      </w:r>
      <w:r w:rsidRPr="005B6255">
        <w:rPr>
          <w:rFonts w:ascii="Times New Roman" w:hAnsi="Times New Roman" w:cs="Times New Roman"/>
        </w:rPr>
        <w:t xml:space="preserve"> indicates growing interest in data-informed approaches to drug court implementation, although further research is needed to determine how these approaches influence long-term participant outcomes across different settings.</w:t>
      </w:r>
    </w:p>
    <w:p w14:paraId="086850A5" w14:textId="1A89135A" w:rsidR="008179DB" w:rsidRPr="008179DB" w:rsidRDefault="008179DB" w:rsidP="008179DB">
      <w:pPr>
        <w:jc w:val="both"/>
        <w:rPr>
          <w:rFonts w:ascii="Times New Roman" w:hAnsi="Times New Roman" w:cs="Times New Roman"/>
          <w:b/>
          <w:bCs/>
        </w:rPr>
      </w:pPr>
      <w:r w:rsidRPr="008179DB">
        <w:rPr>
          <w:rFonts w:ascii="Times New Roman" w:hAnsi="Times New Roman" w:cs="Times New Roman"/>
          <w:b/>
          <w:bCs/>
        </w:rPr>
        <w:t>3.7 Theme 5: Conflicting, Mixed, and Null Findings in the Evidence Base</w:t>
      </w:r>
    </w:p>
    <w:p w14:paraId="55BA226F" w14:textId="23AF6381" w:rsidR="008179DB" w:rsidRPr="008179DB" w:rsidRDefault="008179DB" w:rsidP="008179DB">
      <w:pPr>
        <w:jc w:val="both"/>
        <w:rPr>
          <w:rFonts w:ascii="Times New Roman" w:hAnsi="Times New Roman" w:cs="Times New Roman"/>
        </w:rPr>
      </w:pPr>
      <w:r w:rsidRPr="008179DB">
        <w:rPr>
          <w:rFonts w:ascii="Times New Roman" w:hAnsi="Times New Roman" w:cs="Times New Roman"/>
        </w:rPr>
        <w:t>While much of the reviewed literature reported favorable outcomes associated with drug court participation, several studies presented mixed, null, or conditional findings that warrant careful consideration. These findings suggest that the effectiveness of drug courts is not uniform and may depend on program characteristics, participant populations, and methodological approaches.</w:t>
      </w:r>
    </w:p>
    <w:p w14:paraId="703E7A98" w14:textId="028782BE" w:rsidR="008179DB" w:rsidRPr="008179DB" w:rsidRDefault="008179DB" w:rsidP="008179DB">
      <w:pPr>
        <w:jc w:val="both"/>
        <w:rPr>
          <w:rFonts w:ascii="Times New Roman" w:hAnsi="Times New Roman" w:cs="Times New Roman"/>
          <w:b/>
          <w:bCs/>
        </w:rPr>
      </w:pPr>
      <w:r w:rsidRPr="008179DB">
        <w:rPr>
          <w:rFonts w:ascii="Times New Roman" w:hAnsi="Times New Roman" w:cs="Times New Roman"/>
          <w:b/>
          <w:bCs/>
        </w:rPr>
        <w:t>Mixed and Conditional Findings</w:t>
      </w:r>
    </w:p>
    <w:p w14:paraId="0E898D31" w14:textId="6AA62287" w:rsidR="008179DB" w:rsidRPr="008179DB" w:rsidRDefault="008179DB" w:rsidP="008179DB">
      <w:pPr>
        <w:jc w:val="both"/>
        <w:rPr>
          <w:rFonts w:ascii="Times New Roman" w:hAnsi="Times New Roman" w:cs="Times New Roman"/>
        </w:rPr>
      </w:pPr>
      <w:r w:rsidRPr="008179DB">
        <w:rPr>
          <w:rFonts w:ascii="Times New Roman" w:hAnsi="Times New Roman" w:cs="Times New Roman"/>
        </w:rPr>
        <w:lastRenderedPageBreak/>
        <w:t>Some studies reported that positive outcomes were limited to specific participant subgroups. For example, Gallagher et al. (2020) found that while drug court participation was associated with reduced recidivism overall, these benefits were not equally distributed across racial and ethnic groups. Non-White participants demonstrated higher recidivism rates and lower treatment completion rates compared to White participants, suggesting that program benefits may not extend equitably to all populations. Similarly, Gibbs and Lytle (2020) reported that the relationship between drug court participation and recidivism was conditional upon program completion status, with non-completers showing recidivism rates comparable to or higher than those of traditionally processed offenders.</w:t>
      </w:r>
    </w:p>
    <w:p w14:paraId="1453D264" w14:textId="4F577EBE" w:rsidR="008179DB" w:rsidRPr="008179DB" w:rsidRDefault="008179DB" w:rsidP="008179DB">
      <w:pPr>
        <w:jc w:val="both"/>
        <w:rPr>
          <w:rFonts w:ascii="Times New Roman" w:hAnsi="Times New Roman" w:cs="Times New Roman"/>
          <w:b/>
          <w:bCs/>
        </w:rPr>
      </w:pPr>
      <w:r w:rsidRPr="008179DB">
        <w:rPr>
          <w:rFonts w:ascii="Times New Roman" w:hAnsi="Times New Roman" w:cs="Times New Roman"/>
          <w:b/>
          <w:bCs/>
        </w:rPr>
        <w:t>Null and Non-Significant Findings</w:t>
      </w:r>
    </w:p>
    <w:p w14:paraId="185B6B00" w14:textId="255170A1" w:rsidR="008179DB" w:rsidRPr="008179DB" w:rsidRDefault="00855C2B" w:rsidP="008179DB">
      <w:pPr>
        <w:jc w:val="both"/>
        <w:rPr>
          <w:rFonts w:ascii="Times New Roman" w:hAnsi="Times New Roman" w:cs="Times New Roman"/>
        </w:rPr>
      </w:pPr>
      <w:r>
        <w:rPr>
          <w:rFonts w:ascii="Times New Roman" w:hAnsi="Times New Roman" w:cs="Times New Roman"/>
        </w:rPr>
        <w:t>Few</w:t>
      </w:r>
      <w:r w:rsidR="008179DB" w:rsidRPr="008179DB">
        <w:rPr>
          <w:rFonts w:ascii="Times New Roman" w:hAnsi="Times New Roman" w:cs="Times New Roman"/>
        </w:rPr>
        <w:t xml:space="preserve"> studies</w:t>
      </w:r>
      <w:r>
        <w:rPr>
          <w:rFonts w:ascii="Times New Roman" w:hAnsi="Times New Roman" w:cs="Times New Roman"/>
        </w:rPr>
        <w:t xml:space="preserve"> also</w:t>
      </w:r>
      <w:r w:rsidR="008179DB" w:rsidRPr="008179DB">
        <w:rPr>
          <w:rFonts w:ascii="Times New Roman" w:hAnsi="Times New Roman" w:cs="Times New Roman"/>
        </w:rPr>
        <w:t xml:space="preserve"> reported no statistically significant differences between drug court participants and comparison groups on key outcomes. Krebs et al. (2007), using generalized estimating equations to assess long-term recidivism, found that while drug court participants had lower rearrested rates during program participation, these differences diminished over time and were not sustained in the longer term. The authors concluded that the long-term impact of drug court participation on recidivism may be more modest than previously assumed.</w:t>
      </w:r>
    </w:p>
    <w:p w14:paraId="43E62610" w14:textId="50A705A0" w:rsidR="008179DB" w:rsidRPr="008179DB" w:rsidRDefault="008179DB" w:rsidP="008179DB">
      <w:pPr>
        <w:jc w:val="both"/>
        <w:rPr>
          <w:rFonts w:ascii="Times New Roman" w:hAnsi="Times New Roman" w:cs="Times New Roman"/>
          <w:b/>
          <w:bCs/>
        </w:rPr>
      </w:pPr>
      <w:r w:rsidRPr="008179DB">
        <w:rPr>
          <w:rFonts w:ascii="Times New Roman" w:hAnsi="Times New Roman" w:cs="Times New Roman"/>
          <w:b/>
          <w:bCs/>
        </w:rPr>
        <w:t>Negative Findings and Unintended Consequences</w:t>
      </w:r>
    </w:p>
    <w:p w14:paraId="451C64BD" w14:textId="64759BB7" w:rsidR="008179DB" w:rsidRPr="008179DB" w:rsidRDefault="008179DB" w:rsidP="008179DB">
      <w:pPr>
        <w:jc w:val="both"/>
        <w:rPr>
          <w:rFonts w:ascii="Times New Roman" w:hAnsi="Times New Roman" w:cs="Times New Roman"/>
        </w:rPr>
      </w:pPr>
      <w:r w:rsidRPr="008179DB">
        <w:rPr>
          <w:rFonts w:ascii="Times New Roman" w:hAnsi="Times New Roman" w:cs="Times New Roman"/>
        </w:rPr>
        <w:t>Some evidence pointed to potential negative outcomes or unintended consequences associated with drug court participation. Dickson-Gomez et al. (2022) identified significant barriers to treatment access within drug court programs, including lengthy waiting lists, inadequate treatment capacity, and overly punitive sanctioning practices that could deter participant engagement or lead to program termination. Additionally, research has documented that drug court programs may inadvertently increase net-widening effects</w:t>
      </w:r>
      <w:r>
        <w:rPr>
          <w:rFonts w:ascii="Times New Roman" w:hAnsi="Times New Roman" w:cs="Times New Roman"/>
        </w:rPr>
        <w:t xml:space="preserve"> </w:t>
      </w:r>
      <w:r w:rsidRPr="008179DB">
        <w:rPr>
          <w:rFonts w:ascii="Times New Roman" w:hAnsi="Times New Roman" w:cs="Times New Roman"/>
        </w:rPr>
        <w:t>that is, bringing individuals into the criminal justice system who might otherwise have been diverted entirely (Ward &amp; Kawalek, 2024).</w:t>
      </w:r>
    </w:p>
    <w:p w14:paraId="6B50F972" w14:textId="3A2EC876" w:rsidR="008179DB" w:rsidRPr="008179DB" w:rsidRDefault="008179DB" w:rsidP="008179DB">
      <w:pPr>
        <w:jc w:val="both"/>
        <w:rPr>
          <w:rFonts w:ascii="Times New Roman" w:hAnsi="Times New Roman" w:cs="Times New Roman"/>
          <w:b/>
          <w:bCs/>
        </w:rPr>
      </w:pPr>
      <w:r w:rsidRPr="008179DB">
        <w:rPr>
          <w:rFonts w:ascii="Times New Roman" w:hAnsi="Times New Roman" w:cs="Times New Roman"/>
          <w:b/>
          <w:bCs/>
        </w:rPr>
        <w:t>Methodological Considerations</w:t>
      </w:r>
    </w:p>
    <w:p w14:paraId="5A22B6DA" w14:textId="0EE3B518" w:rsidR="008179DB" w:rsidRDefault="008179DB" w:rsidP="00250958">
      <w:pPr>
        <w:jc w:val="both"/>
        <w:rPr>
          <w:rFonts w:ascii="Times New Roman" w:hAnsi="Times New Roman" w:cs="Times New Roman"/>
        </w:rPr>
      </w:pPr>
      <w:r w:rsidRPr="008179DB">
        <w:rPr>
          <w:rFonts w:ascii="Times New Roman" w:hAnsi="Times New Roman" w:cs="Times New Roman"/>
        </w:rPr>
        <w:t>The presence of mixed and null findings may be partially attributable to methodological differences across studies. Variations in study design, comparison groups, follow-up periods, and outcome measurement may contribute to the inconsistency of reported results. For instance, studies using rigorous experimental designs with appropriate control groups have sometimes yielded more modest effect sizes than quasi-experimental studies with less robust comparison conditions (Tanner-Smith et al., 2024; Hiller et al., 2021). These methodological considerations underscore the need for cautious interpretation of the evidence and highlight the importance of high-quality, methodologically rigorous research to establish the conditions under which drug courts are most effective.</w:t>
      </w:r>
    </w:p>
    <w:p w14:paraId="17CB0E58" w14:textId="2E319B1E" w:rsidR="00250958" w:rsidRPr="00215E26" w:rsidRDefault="00250958" w:rsidP="00250958">
      <w:pPr>
        <w:jc w:val="both"/>
        <w:rPr>
          <w:rFonts w:ascii="Times New Roman" w:hAnsi="Times New Roman" w:cs="Times New Roman"/>
          <w:b/>
          <w:bCs/>
        </w:rPr>
      </w:pPr>
      <w:r w:rsidRPr="00215E26">
        <w:rPr>
          <w:rFonts w:ascii="Times New Roman" w:hAnsi="Times New Roman" w:cs="Times New Roman"/>
          <w:b/>
          <w:bCs/>
        </w:rPr>
        <w:t>4. Discussion</w:t>
      </w:r>
    </w:p>
    <w:p w14:paraId="63F214B7" w14:textId="77777777" w:rsidR="00250958" w:rsidRPr="00215E26" w:rsidRDefault="00250958" w:rsidP="00250958">
      <w:pPr>
        <w:jc w:val="both"/>
        <w:rPr>
          <w:rFonts w:ascii="Times New Roman" w:hAnsi="Times New Roman" w:cs="Times New Roman"/>
          <w:b/>
          <w:bCs/>
        </w:rPr>
      </w:pPr>
      <w:r w:rsidRPr="00215E26">
        <w:rPr>
          <w:rFonts w:ascii="Times New Roman" w:hAnsi="Times New Roman" w:cs="Times New Roman"/>
          <w:b/>
          <w:bCs/>
        </w:rPr>
        <w:t>4.1 Summary of Main Findings</w:t>
      </w:r>
    </w:p>
    <w:p w14:paraId="27BBF802" w14:textId="608C1141" w:rsidR="00E55F70" w:rsidRPr="00E55F70" w:rsidRDefault="00E55F70" w:rsidP="00E55F70">
      <w:pPr>
        <w:jc w:val="both"/>
        <w:rPr>
          <w:rFonts w:ascii="Times New Roman" w:hAnsi="Times New Roman" w:cs="Times New Roman"/>
        </w:rPr>
      </w:pPr>
      <w:r w:rsidRPr="00E55F70">
        <w:rPr>
          <w:rFonts w:ascii="Times New Roman" w:hAnsi="Times New Roman" w:cs="Times New Roman"/>
        </w:rPr>
        <w:lastRenderedPageBreak/>
        <w:t xml:space="preserve">This scoping review mapped the available literature concerning drug courts as treatment-oriented alternatives to conventional criminal justice processing for individuals with substance use disorders. Across the included evidence, drug courts were described as multidisciplinary programs combining judicial supervision with substance use treatment, behavioral health services, monitoring, and community-based rehabilitation. The literature reported outcomes relating to recidivism, treatment engagement, substance use, mental health, and rehabilitation, although the direction and magnitude of these outcomes varied considerably across studies and program contexts (Alam &amp; Kaleem, 2024; Gibbs &amp; Lytle, 2020; Sheeran &amp; </w:t>
      </w:r>
      <w:proofErr w:type="spellStart"/>
      <w:r w:rsidRPr="00E55F70">
        <w:rPr>
          <w:rFonts w:ascii="Times New Roman" w:hAnsi="Times New Roman" w:cs="Times New Roman"/>
        </w:rPr>
        <w:t>Varline</w:t>
      </w:r>
      <w:proofErr w:type="spellEnd"/>
      <w:r w:rsidRPr="00E55F70">
        <w:rPr>
          <w:rFonts w:ascii="Times New Roman" w:hAnsi="Times New Roman" w:cs="Times New Roman"/>
        </w:rPr>
        <w:t>, 2024).</w:t>
      </w:r>
    </w:p>
    <w:p w14:paraId="253CB351" w14:textId="233971C9" w:rsidR="005B6255" w:rsidRPr="005B6255" w:rsidRDefault="00E55F70" w:rsidP="00E55F70">
      <w:pPr>
        <w:jc w:val="both"/>
        <w:rPr>
          <w:rFonts w:ascii="Times New Roman" w:hAnsi="Times New Roman" w:cs="Times New Roman"/>
        </w:rPr>
      </w:pPr>
      <w:r>
        <w:rPr>
          <w:rFonts w:ascii="Times New Roman" w:hAnsi="Times New Roman" w:cs="Times New Roman"/>
        </w:rPr>
        <w:t>T</w:t>
      </w:r>
      <w:r w:rsidRPr="00E55F70">
        <w:rPr>
          <w:rFonts w:ascii="Times New Roman" w:hAnsi="Times New Roman" w:cs="Times New Roman"/>
        </w:rPr>
        <w:t xml:space="preserve">he evidence base is characterized by substantial heterogeneity in reported findings. While several studies reported favorable outcomes including reductions in recidivism and improved treatment engagement (Alam &amp; Kaleem, 2024; Sheeran &amp; </w:t>
      </w:r>
      <w:proofErr w:type="spellStart"/>
      <w:r w:rsidRPr="00E55F70">
        <w:rPr>
          <w:rFonts w:ascii="Times New Roman" w:hAnsi="Times New Roman" w:cs="Times New Roman"/>
        </w:rPr>
        <w:t>Varline</w:t>
      </w:r>
      <w:proofErr w:type="spellEnd"/>
      <w:r w:rsidRPr="00E55F70">
        <w:rPr>
          <w:rFonts w:ascii="Times New Roman" w:hAnsi="Times New Roman" w:cs="Times New Roman"/>
        </w:rPr>
        <w:t>, 2024), other studies found no significant differences between drug court participants and comparison groups (Krebs et al., 2007), and some identified disparities in outcomes across participant subgroups (Gallagher et al., 2020). This variability suggests that drug court effectiveness is not universal but rather depends on program characteristics, implementation quality, participant populations, and methodological approaches.</w:t>
      </w:r>
    </w:p>
    <w:p w14:paraId="3E07CA3C" w14:textId="0B1C135E" w:rsidR="005B6255" w:rsidRPr="005B6255" w:rsidRDefault="00E55F70" w:rsidP="005B6255">
      <w:pPr>
        <w:jc w:val="both"/>
        <w:rPr>
          <w:rFonts w:ascii="Times New Roman" w:hAnsi="Times New Roman" w:cs="Times New Roman"/>
        </w:rPr>
      </w:pPr>
      <w:r>
        <w:rPr>
          <w:rFonts w:ascii="Times New Roman" w:hAnsi="Times New Roman" w:cs="Times New Roman"/>
        </w:rPr>
        <w:t>F</w:t>
      </w:r>
      <w:r w:rsidR="005B6255" w:rsidRPr="005B6255">
        <w:rPr>
          <w:rFonts w:ascii="Times New Roman" w:hAnsi="Times New Roman" w:cs="Times New Roman"/>
        </w:rPr>
        <w:t>indings also indicate that drug court outcomes are influenced by program characteristics and implementation conditions. Evidence identified treatment quality, participant engagement, multidisciplinary collaboration, judicial supervision, and access to behavioral health services as important considerations (Dickson-Gomez et al., 2022; Gallagher &amp; Nordberg, 2024; Joudrey et al., 2021). Studies of juvenile drug treatment courts similarly reported outcomes involving substance use, mental health, and recidivism, while emphasizing the importance of evidence-based implementation (</w:t>
      </w:r>
      <w:proofErr w:type="spellStart"/>
      <w:r w:rsidR="005B6255" w:rsidRPr="005B6255">
        <w:rPr>
          <w:rFonts w:ascii="Times New Roman" w:hAnsi="Times New Roman" w:cs="Times New Roman"/>
        </w:rPr>
        <w:t>Belenko</w:t>
      </w:r>
      <w:proofErr w:type="spellEnd"/>
      <w:r w:rsidR="005B6255" w:rsidRPr="005B6255">
        <w:rPr>
          <w:rFonts w:ascii="Times New Roman" w:hAnsi="Times New Roman" w:cs="Times New Roman"/>
        </w:rPr>
        <w:t xml:space="preserve"> et al., 2022; Hiller et al., 2021; Tanner-Smith et al., 2024).</w:t>
      </w:r>
    </w:p>
    <w:p w14:paraId="4CD5CB3F" w14:textId="68BD856B" w:rsidR="005B6255" w:rsidRDefault="00E55F70" w:rsidP="005B6255">
      <w:pPr>
        <w:jc w:val="both"/>
        <w:rPr>
          <w:rFonts w:ascii="Times New Roman" w:hAnsi="Times New Roman" w:cs="Times New Roman"/>
        </w:rPr>
      </w:pPr>
      <w:r>
        <w:rPr>
          <w:rFonts w:ascii="Times New Roman" w:hAnsi="Times New Roman" w:cs="Times New Roman"/>
        </w:rPr>
        <w:t>T</w:t>
      </w:r>
      <w:r w:rsidR="005B6255" w:rsidRPr="005B6255">
        <w:rPr>
          <w:rFonts w:ascii="Times New Roman" w:hAnsi="Times New Roman" w:cs="Times New Roman"/>
        </w:rPr>
        <w:t>hese findings should be interpreted as a mapping of the available evidence rather than as a determination that drug courts are universally effective. Differences in study designs, populations, interventions, comparison conditions, and outcome measures prevent a single conclusion regarding effectiveness across all drug court models. The review instead identifies areas in which evidence has been reported and highlights important gaps requiring further investigation.</w:t>
      </w:r>
    </w:p>
    <w:p w14:paraId="764034A1" w14:textId="5A9CCF9E" w:rsidR="00250958" w:rsidRPr="00215E26" w:rsidRDefault="00250958" w:rsidP="005B6255">
      <w:pPr>
        <w:jc w:val="both"/>
        <w:rPr>
          <w:rFonts w:ascii="Times New Roman" w:hAnsi="Times New Roman" w:cs="Times New Roman"/>
          <w:b/>
          <w:bCs/>
        </w:rPr>
      </w:pPr>
      <w:r w:rsidRPr="00215E26">
        <w:rPr>
          <w:rFonts w:ascii="Times New Roman" w:hAnsi="Times New Roman" w:cs="Times New Roman"/>
          <w:b/>
          <w:bCs/>
        </w:rPr>
        <w:t>4.2 Implications for Practice</w:t>
      </w:r>
    </w:p>
    <w:p w14:paraId="18300D16" w14:textId="77777777" w:rsidR="00250958" w:rsidRPr="00215E26" w:rsidRDefault="00250958" w:rsidP="00250958">
      <w:pPr>
        <w:jc w:val="both"/>
        <w:rPr>
          <w:rFonts w:ascii="Times New Roman" w:hAnsi="Times New Roman" w:cs="Times New Roman"/>
        </w:rPr>
      </w:pPr>
      <w:r w:rsidRPr="00215E26">
        <w:rPr>
          <w:rFonts w:ascii="Times New Roman" w:hAnsi="Times New Roman" w:cs="Times New Roman"/>
        </w:rPr>
        <w:t>The findings have important implications for criminal justice systems, behavioral health services, and public policy. For courts, the evidence supports continued expansion of drug courts as viable alternatives to incarceration for eligible individuals with substance use disorders. Strengthening judicial supervision through standardized assessment, individualized case management, and evidence-based treatment matching may further improve participant outcomes and reduce repeated offending (Delen et al., 2021; Ward &amp; Kawalek, 2024).</w:t>
      </w:r>
    </w:p>
    <w:p w14:paraId="0672BD91" w14:textId="6319DE7A" w:rsidR="00250958" w:rsidRPr="00215E26" w:rsidRDefault="00250958" w:rsidP="00250958">
      <w:pPr>
        <w:jc w:val="both"/>
        <w:rPr>
          <w:rFonts w:ascii="Times New Roman" w:hAnsi="Times New Roman" w:cs="Times New Roman"/>
        </w:rPr>
      </w:pPr>
      <w:r w:rsidRPr="00215E26">
        <w:rPr>
          <w:rFonts w:ascii="Times New Roman" w:hAnsi="Times New Roman" w:cs="Times New Roman"/>
        </w:rPr>
        <w:t xml:space="preserve">Behavioral health providers play a central role in enhancing drug court effectiveness by delivering comprehensive, trauma-informed, and recovery-oriented treatment tailored to participants' clinical and psychosocial needs. Integrating mental health services, peer support, and community-based </w:t>
      </w:r>
      <w:r w:rsidRPr="00215E26">
        <w:rPr>
          <w:rFonts w:ascii="Times New Roman" w:hAnsi="Times New Roman" w:cs="Times New Roman"/>
        </w:rPr>
        <w:lastRenderedPageBreak/>
        <w:t>recovery resources may improve treatment retention and promote sustained recovery beyond program completion (</w:t>
      </w:r>
      <w:proofErr w:type="spellStart"/>
      <w:r w:rsidRPr="00215E26">
        <w:rPr>
          <w:rFonts w:ascii="Times New Roman" w:hAnsi="Times New Roman" w:cs="Times New Roman"/>
        </w:rPr>
        <w:t>Asibu</w:t>
      </w:r>
      <w:proofErr w:type="spellEnd"/>
      <w:r w:rsidRPr="00215E26">
        <w:rPr>
          <w:rFonts w:ascii="Times New Roman" w:hAnsi="Times New Roman" w:cs="Times New Roman"/>
        </w:rPr>
        <w:t xml:space="preserve">-Dadzie, 2026; </w:t>
      </w:r>
      <w:r w:rsidR="007A5DE4" w:rsidRPr="007A5DE4">
        <w:rPr>
          <w:rFonts w:ascii="Times New Roman" w:hAnsi="Times New Roman" w:cs="Times New Roman"/>
        </w:rPr>
        <w:t>Arksey &amp; O'Malley, 2005</w:t>
      </w:r>
      <w:r w:rsidRPr="00215E26">
        <w:rPr>
          <w:rFonts w:ascii="Times New Roman" w:hAnsi="Times New Roman" w:cs="Times New Roman"/>
        </w:rPr>
        <w:t xml:space="preserve">; </w:t>
      </w:r>
      <w:r w:rsidR="003C5913" w:rsidRPr="003C5913">
        <w:rPr>
          <w:rFonts w:ascii="Times New Roman" w:hAnsi="Times New Roman" w:cs="Times New Roman"/>
        </w:rPr>
        <w:t>Turner et al., 2002</w:t>
      </w:r>
      <w:r w:rsidRPr="00215E26">
        <w:rPr>
          <w:rFonts w:ascii="Times New Roman" w:hAnsi="Times New Roman" w:cs="Times New Roman"/>
        </w:rPr>
        <w:t>). Policymakers should prioritize sustainable funding, standardized treatment quality, workforce development, and interagency collaboration to strengthen the consistency and scalability of drug court programs. Correctional systems may also benefit from expanding educational, vocational, and post-release support services that facilitate successful community reintegration and reduce the risk of reoffending (</w:t>
      </w:r>
      <w:r w:rsidR="00C6115E" w:rsidRPr="00C6115E">
        <w:rPr>
          <w:rFonts w:ascii="Times New Roman" w:hAnsi="Times New Roman" w:cs="Times New Roman"/>
        </w:rPr>
        <w:t>Wright et al., 2002</w:t>
      </w:r>
      <w:r w:rsidRPr="00215E26">
        <w:rPr>
          <w:rFonts w:ascii="Times New Roman" w:hAnsi="Times New Roman" w:cs="Times New Roman"/>
        </w:rPr>
        <w:t>).</w:t>
      </w:r>
    </w:p>
    <w:p w14:paraId="7ADF1C78" w14:textId="77777777" w:rsidR="00250958" w:rsidRPr="00215E26" w:rsidRDefault="00250958" w:rsidP="00250958">
      <w:pPr>
        <w:jc w:val="both"/>
        <w:rPr>
          <w:rFonts w:ascii="Times New Roman" w:hAnsi="Times New Roman" w:cs="Times New Roman"/>
          <w:b/>
          <w:bCs/>
        </w:rPr>
      </w:pPr>
      <w:r w:rsidRPr="00215E26">
        <w:rPr>
          <w:rFonts w:ascii="Times New Roman" w:hAnsi="Times New Roman" w:cs="Times New Roman"/>
          <w:b/>
          <w:bCs/>
        </w:rPr>
        <w:t>4.3 Implications for Research</w:t>
      </w:r>
    </w:p>
    <w:p w14:paraId="5AA97FBA" w14:textId="77777777" w:rsidR="005B6255" w:rsidRDefault="005B6255" w:rsidP="00250958">
      <w:pPr>
        <w:jc w:val="both"/>
        <w:rPr>
          <w:rFonts w:ascii="Times New Roman" w:hAnsi="Times New Roman" w:cs="Times New Roman"/>
        </w:rPr>
      </w:pPr>
      <w:r w:rsidRPr="005B6255">
        <w:rPr>
          <w:rFonts w:ascii="Times New Roman" w:hAnsi="Times New Roman" w:cs="Times New Roman"/>
        </w:rPr>
        <w:t>The mapped evidence suggests that drug courts may provide a useful treatment-oriented option for eligible individuals whose substance use is associated with criminal justice involvement. For courts, the literature highlights the potential value of structured judicial supervision, standardized assessment, individualized treatment planning, and coordinated case management (Delen et al., 2021; Ward &amp; Kawalek, 2024). These practices should be implemented alongside appropriate safeguards to ensure that eligibility and treatment decisions are equitable and responsive to individual needs.</w:t>
      </w:r>
    </w:p>
    <w:p w14:paraId="21B5E3CF" w14:textId="5FBC6CDF" w:rsidR="00250958" w:rsidRPr="00215E26" w:rsidRDefault="00250958" w:rsidP="00250958">
      <w:pPr>
        <w:jc w:val="both"/>
        <w:rPr>
          <w:rFonts w:ascii="Times New Roman" w:hAnsi="Times New Roman" w:cs="Times New Roman"/>
        </w:rPr>
      </w:pPr>
      <w:r w:rsidRPr="00215E26">
        <w:rPr>
          <w:rFonts w:ascii="Times New Roman" w:hAnsi="Times New Roman" w:cs="Times New Roman"/>
        </w:rPr>
        <w:t>Future studies should further investigate the use of predictive analytics, implementation science, and multidisciplinary service delivery models to optimize participant selection, improve treatment matching, and strengthen program fidelity. More high-quality longitudinal and multisite evaluations would provide stronger evidence regarding the long-term public health and criminal justice impacts of drug courts.</w:t>
      </w:r>
    </w:p>
    <w:p w14:paraId="59F145A1" w14:textId="77777777" w:rsidR="00250958" w:rsidRPr="00215E26" w:rsidRDefault="00250958" w:rsidP="00250958">
      <w:pPr>
        <w:jc w:val="both"/>
        <w:rPr>
          <w:rFonts w:ascii="Times New Roman" w:hAnsi="Times New Roman" w:cs="Times New Roman"/>
          <w:b/>
          <w:bCs/>
        </w:rPr>
      </w:pPr>
      <w:r w:rsidRPr="00215E26">
        <w:rPr>
          <w:rFonts w:ascii="Times New Roman" w:hAnsi="Times New Roman" w:cs="Times New Roman"/>
          <w:b/>
          <w:bCs/>
        </w:rPr>
        <w:t>4.4 Strengths and Limitations</w:t>
      </w:r>
    </w:p>
    <w:p w14:paraId="50DEB015" w14:textId="6F9ACD62" w:rsidR="001B2BE7" w:rsidRPr="001B2BE7" w:rsidRDefault="001B2BE7" w:rsidP="001B2BE7">
      <w:pPr>
        <w:jc w:val="both"/>
        <w:rPr>
          <w:rFonts w:ascii="Times New Roman" w:hAnsi="Times New Roman" w:cs="Times New Roman"/>
        </w:rPr>
      </w:pPr>
      <w:r w:rsidRPr="001B2BE7">
        <w:rPr>
          <w:rFonts w:ascii="Times New Roman" w:hAnsi="Times New Roman" w:cs="Times New Roman"/>
        </w:rPr>
        <w:t>This review provides a broad mapping of recent literature concerning drug courts, treatment-oriented diversion, recidivism-related outcomes, rehabilitation, and program implementation. The inclusion of diverse study designs allowed the review to capture different dimensions of drug court research, including participant experiences, treatment quality, judicial practices, and implementation considerations.</w:t>
      </w:r>
    </w:p>
    <w:p w14:paraId="06F0DF8D" w14:textId="7997A807" w:rsidR="00E55F70" w:rsidRPr="00E55F70" w:rsidRDefault="00E55F70" w:rsidP="00E55F70">
      <w:pPr>
        <w:jc w:val="both"/>
        <w:rPr>
          <w:rFonts w:ascii="Times New Roman" w:hAnsi="Times New Roman" w:cs="Times New Roman"/>
        </w:rPr>
      </w:pPr>
      <w:r w:rsidRPr="00E55F70">
        <w:rPr>
          <w:rFonts w:ascii="Times New Roman" w:hAnsi="Times New Roman" w:cs="Times New Roman"/>
        </w:rPr>
        <w:t>Several limitations should be considered when interpreting the review findings. First, the review was restricted to English-language publications published between 200</w:t>
      </w:r>
      <w:r w:rsidR="00355BB2">
        <w:rPr>
          <w:rFonts w:ascii="Times New Roman" w:hAnsi="Times New Roman" w:cs="Times New Roman"/>
        </w:rPr>
        <w:t>2</w:t>
      </w:r>
      <w:r w:rsidRPr="00E55F70">
        <w:rPr>
          <w:rFonts w:ascii="Times New Roman" w:hAnsi="Times New Roman" w:cs="Times New Roman"/>
        </w:rPr>
        <w:t xml:space="preserve"> and 2026, which may have excluded relevant evidence published in other languages or outside the specified period. Second, the included studies differed substantially in design, population, intervention characteristics, comparison conditions, and outcome measures, limiting direct comparison across findings. Third, the review did not undertake a quantitative meta-analysis or causal assessment of drug court effectiveness. Accordingly, reported associations between drug court participation and outcomes such as recidivism should not be interpreted as causal effects established by this scoping review.</w:t>
      </w:r>
    </w:p>
    <w:p w14:paraId="24AE9F92" w14:textId="04CA4435" w:rsidR="00E55F70" w:rsidRPr="00E55F70" w:rsidRDefault="00E55F70" w:rsidP="00E55F70">
      <w:pPr>
        <w:jc w:val="both"/>
        <w:rPr>
          <w:rFonts w:ascii="Times New Roman" w:hAnsi="Times New Roman" w:cs="Times New Roman"/>
        </w:rPr>
      </w:pPr>
      <w:r w:rsidRPr="00E55F70">
        <w:rPr>
          <w:rFonts w:ascii="Times New Roman" w:hAnsi="Times New Roman" w:cs="Times New Roman"/>
        </w:rPr>
        <w:t xml:space="preserve">Fourth, and importantly, the review's descriptive nature means it cannot resolve the conflicting evidence identified across studies. The presence of mixed, null, and negative findings within the </w:t>
      </w:r>
      <w:r w:rsidRPr="00E55F70">
        <w:rPr>
          <w:rFonts w:ascii="Times New Roman" w:hAnsi="Times New Roman" w:cs="Times New Roman"/>
        </w:rPr>
        <w:lastRenderedPageBreak/>
        <w:t>evidence base suggests that drug court effectiveness is conditional and context-dependent rather than universally demonstrated. However, the review was not designed to quantitatively synthesize effect sizes or formally assess sources of heterogeneity, which limits its ability to explain why some studies report positive outcomes while others do not.</w:t>
      </w:r>
    </w:p>
    <w:p w14:paraId="05ECC7A4" w14:textId="5EA75CA0" w:rsidR="001B2BE7" w:rsidRPr="001B2BE7" w:rsidRDefault="00E55F70" w:rsidP="00E55F70">
      <w:pPr>
        <w:jc w:val="both"/>
        <w:rPr>
          <w:rFonts w:ascii="Times New Roman" w:hAnsi="Times New Roman" w:cs="Times New Roman"/>
        </w:rPr>
      </w:pPr>
      <w:r w:rsidRPr="00E55F70">
        <w:rPr>
          <w:rFonts w:ascii="Times New Roman" w:hAnsi="Times New Roman" w:cs="Times New Roman"/>
        </w:rPr>
        <w:t>Fifth, the evidence base includes different forms of publications and methodological approaches, which may vary in reporting quality and evidentiary strength. Studies with weaker methodological designs may be more likely to report favorable findings, potentially introducing bias into the overall evidence base. These limitations reinforce the need for transparent reporting, reproducible search and screening procedures, and higher-quality longitudinal and multisite research.</w:t>
      </w:r>
    </w:p>
    <w:p w14:paraId="6874FB4B" w14:textId="6C51E194" w:rsidR="00250958" w:rsidRPr="00215E26" w:rsidRDefault="00250958" w:rsidP="001B2BE7">
      <w:pPr>
        <w:jc w:val="both"/>
        <w:rPr>
          <w:rFonts w:ascii="Times New Roman" w:hAnsi="Times New Roman" w:cs="Times New Roman"/>
          <w:b/>
          <w:bCs/>
        </w:rPr>
      </w:pPr>
      <w:r w:rsidRPr="00215E26">
        <w:rPr>
          <w:rFonts w:ascii="Times New Roman" w:hAnsi="Times New Roman" w:cs="Times New Roman"/>
          <w:b/>
          <w:bCs/>
        </w:rPr>
        <w:t>5. Conclusion</w:t>
      </w:r>
    </w:p>
    <w:p w14:paraId="2A541977" w14:textId="48C03F92" w:rsidR="002E40E2" w:rsidRPr="00215E26" w:rsidRDefault="001D0ACD" w:rsidP="001D0ACD">
      <w:pPr>
        <w:jc w:val="both"/>
        <w:rPr>
          <w:rFonts w:ascii="Times New Roman" w:hAnsi="Times New Roman" w:cs="Times New Roman"/>
          <w:b/>
          <w:bCs/>
        </w:rPr>
      </w:pPr>
      <w:r w:rsidRPr="001D0ACD">
        <w:rPr>
          <w:rFonts w:ascii="Times New Roman" w:hAnsi="Times New Roman" w:cs="Times New Roman"/>
        </w:rPr>
        <w:t>This scoping review mapped the current evidence on drug courts as an alternative approach to reducing recidivism among justice-involved individuals with substance use disorders. The literature generally indicates that drug courts provide a treatment-oriented alternative to traditional incarceration by combining judicial supervision with substance use treatment, behavioral health services, and multidisciplinary support. Several studies report favorable outcomes, including improved treatment engagement, reduced substance use, and lower recidivism among some participants. However, the evidence is heterogeneous, with mixed and conditional findings reflecting differences in program design, implementation, participant characteristics, and treatment quality. Evidence of racial disparities and barriers to treatment access further highlights important limitations. Therefore, drug courts should not be viewed as uniformly effective interventions. Rather, their potential to support rehabilitation and reduce recidivism appears dependent on effective implementation, equitable service delivery, and sustained participant engagement. Future research should prioritize rigorous, longitudinal, and comparative evaluations to identify the conditions under which drug courts produce favorable or less favorable outcomes.</w:t>
      </w:r>
    </w:p>
    <w:p w14:paraId="57A2D88A" w14:textId="6FD06F8B" w:rsidR="002E40E2" w:rsidRPr="00215E26" w:rsidRDefault="002E40E2" w:rsidP="002E40E2">
      <w:pPr>
        <w:rPr>
          <w:rFonts w:ascii="Times New Roman" w:hAnsi="Times New Roman" w:cs="Times New Roman"/>
          <w:b/>
          <w:bCs/>
        </w:rPr>
      </w:pPr>
      <w:r w:rsidRPr="00215E26">
        <w:rPr>
          <w:rFonts w:ascii="Times New Roman" w:hAnsi="Times New Roman" w:cs="Times New Roman"/>
          <w:b/>
          <w:bCs/>
        </w:rPr>
        <w:t>References</w:t>
      </w:r>
    </w:p>
    <w:p w14:paraId="1F51063B" w14:textId="03DC21C1" w:rsidR="00F813E4" w:rsidRPr="00F813E4" w:rsidRDefault="00F813E4" w:rsidP="001D0ACD">
      <w:pPr>
        <w:rPr>
          <w:rFonts w:ascii="Times New Roman" w:hAnsi="Times New Roman" w:cs="Times New Roman"/>
        </w:rPr>
      </w:pPr>
      <w:r w:rsidRPr="00F813E4">
        <w:rPr>
          <w:rFonts w:ascii="Times New Roman" w:hAnsi="Times New Roman" w:cs="Times New Roman"/>
        </w:rPr>
        <w:t>Alam, I., &amp; Kaleem, M. (2024). The efficacy of drug courts in reducing</w:t>
      </w:r>
      <w:r w:rsidR="001D0ACD">
        <w:rPr>
          <w:rFonts w:ascii="Times New Roman" w:hAnsi="Times New Roman" w:cs="Times New Roman"/>
        </w:rPr>
        <w:t xml:space="preserve"> </w:t>
      </w:r>
      <w:r w:rsidRPr="00F813E4">
        <w:rPr>
          <w:rFonts w:ascii="Times New Roman" w:hAnsi="Times New Roman" w:cs="Times New Roman"/>
        </w:rPr>
        <w:t>recidivism. </w:t>
      </w:r>
      <w:r w:rsidRPr="00F813E4">
        <w:rPr>
          <w:rFonts w:ascii="Times New Roman" w:hAnsi="Times New Roman" w:cs="Times New Roman"/>
          <w:i/>
          <w:iCs/>
        </w:rPr>
        <w:t>Interdisciplinary</w:t>
      </w:r>
      <w:r w:rsidR="001D0ACD">
        <w:rPr>
          <w:rFonts w:ascii="Times New Roman" w:hAnsi="Times New Roman" w:cs="Times New Roman"/>
          <w:i/>
          <w:iCs/>
        </w:rPr>
        <w:t xml:space="preserve"> </w:t>
      </w:r>
      <w:r w:rsidRPr="00F813E4">
        <w:rPr>
          <w:rFonts w:ascii="Times New Roman" w:hAnsi="Times New Roman" w:cs="Times New Roman"/>
          <w:i/>
          <w:iCs/>
        </w:rPr>
        <w:t>Social</w:t>
      </w:r>
      <w:r w:rsidR="001D0ACD">
        <w:rPr>
          <w:rFonts w:ascii="Times New Roman" w:hAnsi="Times New Roman" w:cs="Times New Roman"/>
          <w:i/>
          <w:iCs/>
        </w:rPr>
        <w:t xml:space="preserve"> </w:t>
      </w:r>
      <w:r w:rsidRPr="00F813E4">
        <w:rPr>
          <w:rFonts w:ascii="Times New Roman" w:hAnsi="Times New Roman" w:cs="Times New Roman"/>
          <w:i/>
          <w:iCs/>
        </w:rPr>
        <w:t>Sciences</w:t>
      </w:r>
      <w:r w:rsidR="001D0ACD">
        <w:rPr>
          <w:rFonts w:ascii="Times New Roman" w:hAnsi="Times New Roman" w:cs="Times New Roman"/>
          <w:i/>
          <w:iCs/>
        </w:rPr>
        <w:t xml:space="preserve"> </w:t>
      </w:r>
      <w:r w:rsidRPr="00F813E4">
        <w:rPr>
          <w:rFonts w:ascii="Times New Roman" w:hAnsi="Times New Roman" w:cs="Times New Roman"/>
          <w:i/>
          <w:iCs/>
        </w:rPr>
        <w:t>Review</w:t>
      </w:r>
      <w:r w:rsidRPr="00F813E4">
        <w:rPr>
          <w:rFonts w:ascii="Times New Roman" w:hAnsi="Times New Roman" w:cs="Times New Roman"/>
        </w:rPr>
        <w:t>. </w:t>
      </w:r>
      <w:hyperlink r:id="rId8" w:tgtFrame="_blank" w:history="1">
        <w:r w:rsidRPr="00F813E4">
          <w:rPr>
            <w:rStyle w:val="Hyperlink"/>
            <w:rFonts w:ascii="Times New Roman" w:hAnsi="Times New Roman" w:cs="Times New Roman"/>
          </w:rPr>
          <w:t>http://intertechreview.com/index.php/31/article/view/3</w:t>
        </w:r>
      </w:hyperlink>
    </w:p>
    <w:p w14:paraId="0268BE9C"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Arksey, H., &amp; O'Malley, L. (2005). Scoping studies: Towards a methodological framework. </w:t>
      </w:r>
      <w:r w:rsidRPr="00F813E4">
        <w:rPr>
          <w:rFonts w:ascii="Times New Roman" w:hAnsi="Times New Roman" w:cs="Times New Roman"/>
          <w:i/>
          <w:iCs/>
        </w:rPr>
        <w:t>International Journal of Social Research Methodology, 8</w:t>
      </w:r>
      <w:r w:rsidRPr="00F813E4">
        <w:rPr>
          <w:rFonts w:ascii="Times New Roman" w:hAnsi="Times New Roman" w:cs="Times New Roman"/>
        </w:rPr>
        <w:t>(1), 19–32. </w:t>
      </w:r>
      <w:hyperlink r:id="rId9" w:tgtFrame="_blank" w:history="1">
        <w:r w:rsidRPr="00F813E4">
          <w:rPr>
            <w:rStyle w:val="Hyperlink"/>
            <w:rFonts w:ascii="Times New Roman" w:hAnsi="Times New Roman" w:cs="Times New Roman"/>
          </w:rPr>
          <w:t>https://doi.org/10.1080/1364557032000119616</w:t>
        </w:r>
      </w:hyperlink>
    </w:p>
    <w:p w14:paraId="07650A7E" w14:textId="77777777" w:rsidR="00F813E4" w:rsidRPr="00F813E4" w:rsidRDefault="00F813E4" w:rsidP="001D0ACD">
      <w:pPr>
        <w:rPr>
          <w:rFonts w:ascii="Times New Roman" w:hAnsi="Times New Roman" w:cs="Times New Roman"/>
        </w:rPr>
      </w:pPr>
      <w:proofErr w:type="spellStart"/>
      <w:r w:rsidRPr="00F813E4">
        <w:rPr>
          <w:rFonts w:ascii="Times New Roman" w:hAnsi="Times New Roman" w:cs="Times New Roman"/>
        </w:rPr>
        <w:t>Asibu</w:t>
      </w:r>
      <w:proofErr w:type="spellEnd"/>
      <w:r w:rsidRPr="00F813E4">
        <w:rPr>
          <w:rFonts w:ascii="Times New Roman" w:hAnsi="Times New Roman" w:cs="Times New Roman"/>
        </w:rPr>
        <w:t>-Dadzie, E., Jr. (2026). Congregations, communities, and care: A narrative review of religious responses to addiction in the United States. </w:t>
      </w:r>
      <w:r w:rsidRPr="00F813E4">
        <w:rPr>
          <w:rFonts w:ascii="Times New Roman" w:hAnsi="Times New Roman" w:cs="Times New Roman"/>
          <w:i/>
          <w:iCs/>
        </w:rPr>
        <w:t>EPRA International Journal of Multidisciplinary Research (IJMR)</w:t>
      </w:r>
      <w:r w:rsidRPr="00F813E4">
        <w:rPr>
          <w:rFonts w:ascii="Times New Roman" w:hAnsi="Times New Roman" w:cs="Times New Roman"/>
        </w:rPr>
        <w:t>. </w:t>
      </w:r>
      <w:hyperlink r:id="rId10" w:tgtFrame="_blank" w:history="1">
        <w:r w:rsidRPr="00F813E4">
          <w:rPr>
            <w:rStyle w:val="Hyperlink"/>
            <w:rFonts w:ascii="Times New Roman" w:hAnsi="Times New Roman" w:cs="Times New Roman"/>
          </w:rPr>
          <w:t>https://doi.org/10.36713/epra26772</w:t>
        </w:r>
      </w:hyperlink>
    </w:p>
    <w:p w14:paraId="4A503082" w14:textId="77777777" w:rsidR="00F813E4" w:rsidRPr="00F813E4" w:rsidRDefault="00F813E4" w:rsidP="001D0ACD">
      <w:pPr>
        <w:rPr>
          <w:rFonts w:ascii="Times New Roman" w:hAnsi="Times New Roman" w:cs="Times New Roman"/>
        </w:rPr>
      </w:pPr>
      <w:r w:rsidRPr="00D9111E">
        <w:rPr>
          <w:rFonts w:ascii="Times New Roman" w:hAnsi="Times New Roman" w:cs="Times New Roman"/>
          <w:lang w:val="de-DE"/>
        </w:rPr>
        <w:t xml:space="preserve">Belenko, S., Dennis, M., Hiller, M., Mackin, J., Cain, C., Weiland, D., Estrada, B., &amp; Kagan, R. (2022). </w:t>
      </w:r>
      <w:r w:rsidRPr="00F813E4">
        <w:rPr>
          <w:rFonts w:ascii="Times New Roman" w:hAnsi="Times New Roman" w:cs="Times New Roman"/>
        </w:rPr>
        <w:t xml:space="preserve">The impact of juvenile drug treatment courts on substance use, mental health, and </w:t>
      </w:r>
      <w:r w:rsidRPr="00F813E4">
        <w:rPr>
          <w:rFonts w:ascii="Times New Roman" w:hAnsi="Times New Roman" w:cs="Times New Roman"/>
        </w:rPr>
        <w:lastRenderedPageBreak/>
        <w:t>recidivism: Results from a multisite experimental evaluation. </w:t>
      </w:r>
      <w:r w:rsidRPr="00F813E4">
        <w:rPr>
          <w:rFonts w:ascii="Times New Roman" w:hAnsi="Times New Roman" w:cs="Times New Roman"/>
          <w:i/>
          <w:iCs/>
        </w:rPr>
        <w:t>The Journal of Behavioral Health Services &amp; Research, 49</w:t>
      </w:r>
      <w:r w:rsidRPr="00F813E4">
        <w:rPr>
          <w:rFonts w:ascii="Times New Roman" w:hAnsi="Times New Roman" w:cs="Times New Roman"/>
        </w:rPr>
        <w:t>(4), 436–455. </w:t>
      </w:r>
      <w:hyperlink r:id="rId11" w:tgtFrame="_blank" w:history="1">
        <w:r w:rsidRPr="00F813E4">
          <w:rPr>
            <w:rStyle w:val="Hyperlink"/>
            <w:rFonts w:ascii="Times New Roman" w:hAnsi="Times New Roman" w:cs="Times New Roman"/>
          </w:rPr>
          <w:t>https://doi.org/10.1007/s11414-022-09805-4</w:t>
        </w:r>
      </w:hyperlink>
    </w:p>
    <w:p w14:paraId="0161C68F" w14:textId="43CE19B1" w:rsidR="00F813E4" w:rsidRPr="00F813E4" w:rsidRDefault="00F813E4" w:rsidP="001D0ACD">
      <w:pPr>
        <w:rPr>
          <w:rFonts w:ascii="Times New Roman" w:hAnsi="Times New Roman" w:cs="Times New Roman"/>
        </w:rPr>
      </w:pPr>
      <w:r w:rsidRPr="00F813E4">
        <w:rPr>
          <w:rFonts w:ascii="Times New Roman" w:hAnsi="Times New Roman" w:cs="Times New Roman"/>
        </w:rPr>
        <w:t>Crumrine, E., &amp; Culp, B. C. (2023). </w:t>
      </w:r>
      <w:r w:rsidRPr="00F813E4">
        <w:rPr>
          <w:rFonts w:ascii="Times New Roman" w:hAnsi="Times New Roman" w:cs="Times New Roman"/>
          <w:i/>
          <w:iCs/>
        </w:rPr>
        <w:t>Scoping review of the best practices in drug courts in the United States</w:t>
      </w:r>
      <w:r w:rsidRPr="00F813E4">
        <w:rPr>
          <w:rFonts w:ascii="Times New Roman" w:hAnsi="Times New Roman" w:cs="Times New Roman"/>
        </w:rPr>
        <w:t> (Honors thesis). University of</w:t>
      </w:r>
      <w:r w:rsidR="009F5944">
        <w:rPr>
          <w:rFonts w:ascii="Times New Roman" w:hAnsi="Times New Roman" w:cs="Times New Roman"/>
        </w:rPr>
        <w:t xml:space="preserve"> </w:t>
      </w:r>
      <w:r w:rsidRPr="00F813E4">
        <w:rPr>
          <w:rFonts w:ascii="Times New Roman" w:hAnsi="Times New Roman" w:cs="Times New Roman"/>
        </w:rPr>
        <w:t>Mississippi. </w:t>
      </w:r>
      <w:hyperlink r:id="rId12" w:tgtFrame="_blank" w:history="1">
        <w:r w:rsidRPr="00F813E4">
          <w:rPr>
            <w:rStyle w:val="Hyperlink"/>
            <w:rFonts w:ascii="Times New Roman" w:hAnsi="Times New Roman" w:cs="Times New Roman"/>
          </w:rPr>
          <w:t>https://egrove.olemiss.edu/hon_thesis/2897/</w:t>
        </w:r>
      </w:hyperlink>
    </w:p>
    <w:p w14:paraId="1F0B1040"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 xml:space="preserve">Delen, D., </w:t>
      </w:r>
      <w:proofErr w:type="spellStart"/>
      <w:r w:rsidRPr="00F813E4">
        <w:rPr>
          <w:rFonts w:ascii="Times New Roman" w:hAnsi="Times New Roman" w:cs="Times New Roman"/>
        </w:rPr>
        <w:t>Zolbanin</w:t>
      </w:r>
      <w:proofErr w:type="spellEnd"/>
      <w:r w:rsidRPr="00F813E4">
        <w:rPr>
          <w:rFonts w:ascii="Times New Roman" w:hAnsi="Times New Roman" w:cs="Times New Roman"/>
        </w:rPr>
        <w:t>, H. M., Crosby, D., &amp; Wright, D. (2021). To imprison or not to imprison: An analytics model for drug courts. </w:t>
      </w:r>
      <w:r w:rsidRPr="00F813E4">
        <w:rPr>
          <w:rFonts w:ascii="Times New Roman" w:hAnsi="Times New Roman" w:cs="Times New Roman"/>
          <w:i/>
          <w:iCs/>
        </w:rPr>
        <w:t>Annals of Operations Research</w:t>
      </w:r>
      <w:r w:rsidRPr="00F813E4">
        <w:rPr>
          <w:rFonts w:ascii="Times New Roman" w:hAnsi="Times New Roman" w:cs="Times New Roman"/>
        </w:rPr>
        <w:t>. </w:t>
      </w:r>
      <w:hyperlink r:id="rId13" w:tgtFrame="_blank" w:history="1">
        <w:r w:rsidRPr="00F813E4">
          <w:rPr>
            <w:rStyle w:val="Hyperlink"/>
            <w:rFonts w:ascii="Times New Roman" w:hAnsi="Times New Roman" w:cs="Times New Roman"/>
          </w:rPr>
          <w:t>https://doi.org/10.1007/s10479-021-03984-7</w:t>
        </w:r>
      </w:hyperlink>
    </w:p>
    <w:p w14:paraId="067B38DA"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Dickson-Gomez, J., Spector, A., Krechel, S., Li, J., Green Montaque, H. D., Ohlrich, J., Galletly, C., &amp; Weeks, M. (2022). Barriers to drug treatment in police diversion programs and drug courts: A qualitative analysis. </w:t>
      </w:r>
      <w:r w:rsidRPr="00F813E4">
        <w:rPr>
          <w:rFonts w:ascii="Times New Roman" w:hAnsi="Times New Roman" w:cs="Times New Roman"/>
          <w:i/>
          <w:iCs/>
        </w:rPr>
        <w:t>American Journal of Orthopsychiatry, 92</w:t>
      </w:r>
      <w:r w:rsidRPr="00F813E4">
        <w:rPr>
          <w:rFonts w:ascii="Times New Roman" w:hAnsi="Times New Roman" w:cs="Times New Roman"/>
        </w:rPr>
        <w:t>(6), 692–701. </w:t>
      </w:r>
      <w:hyperlink r:id="rId14" w:tgtFrame="_blank" w:history="1">
        <w:r w:rsidRPr="00F813E4">
          <w:rPr>
            <w:rStyle w:val="Hyperlink"/>
            <w:rFonts w:ascii="Times New Roman" w:hAnsi="Times New Roman" w:cs="Times New Roman"/>
          </w:rPr>
          <w:t>https://doi.org/10.1037/ort0000643</w:t>
        </w:r>
      </w:hyperlink>
    </w:p>
    <w:p w14:paraId="4040BAC1"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Gallagher, J. R., &amp; Nordberg, A. (2024). Improving treatment in treatment court: A qualitative interpretive meta-synthesis of the drug court experience. </w:t>
      </w:r>
      <w:r w:rsidRPr="00F813E4">
        <w:rPr>
          <w:rFonts w:ascii="Times New Roman" w:hAnsi="Times New Roman" w:cs="Times New Roman"/>
          <w:i/>
          <w:iCs/>
        </w:rPr>
        <w:t>Justice Evaluation Journal</w:t>
      </w:r>
      <w:r w:rsidRPr="00F813E4">
        <w:rPr>
          <w:rFonts w:ascii="Times New Roman" w:hAnsi="Times New Roman" w:cs="Times New Roman"/>
        </w:rPr>
        <w:t>. </w:t>
      </w:r>
      <w:hyperlink r:id="rId15" w:tgtFrame="_blank" w:history="1">
        <w:r w:rsidRPr="00F813E4">
          <w:rPr>
            <w:rStyle w:val="Hyperlink"/>
            <w:rFonts w:ascii="Times New Roman" w:hAnsi="Times New Roman" w:cs="Times New Roman"/>
          </w:rPr>
          <w:t>https://doi.org/10.1080/24751979.2024.2401548</w:t>
        </w:r>
      </w:hyperlink>
    </w:p>
    <w:p w14:paraId="0E495F1C"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Gallagher, J. R., Wahler, E. A., &amp; Lefebvre, E. (2020). Further evidence of racial disparities in drug court outcomes: Enhancing service delivery to reduce criminal recidivism rates for non-White participants. </w:t>
      </w:r>
      <w:r w:rsidRPr="00F813E4">
        <w:rPr>
          <w:rFonts w:ascii="Times New Roman" w:hAnsi="Times New Roman" w:cs="Times New Roman"/>
          <w:i/>
          <w:iCs/>
        </w:rPr>
        <w:t>Journal of Social Service Research, 46</w:t>
      </w:r>
      <w:r w:rsidRPr="00F813E4">
        <w:rPr>
          <w:rFonts w:ascii="Times New Roman" w:hAnsi="Times New Roman" w:cs="Times New Roman"/>
        </w:rPr>
        <w:t>(5), 661–672. </w:t>
      </w:r>
      <w:hyperlink r:id="rId16" w:tgtFrame="_blank" w:history="1">
        <w:r w:rsidRPr="00F813E4">
          <w:rPr>
            <w:rStyle w:val="Hyperlink"/>
            <w:rFonts w:ascii="Times New Roman" w:hAnsi="Times New Roman" w:cs="Times New Roman"/>
          </w:rPr>
          <w:t>https://doi.org/10.1080/01488376.2019.1575325</w:t>
        </w:r>
      </w:hyperlink>
    </w:p>
    <w:p w14:paraId="2FD28100"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Gibbs, B. R., &amp; Lytle, R. (2020). Drug court participation and time to failure: An examination of recidivism across program outcome. </w:t>
      </w:r>
      <w:r w:rsidRPr="00F813E4">
        <w:rPr>
          <w:rFonts w:ascii="Times New Roman" w:hAnsi="Times New Roman" w:cs="Times New Roman"/>
          <w:i/>
          <w:iCs/>
        </w:rPr>
        <w:t>American Journal of Criminal Justice, 45</w:t>
      </w:r>
      <w:r w:rsidRPr="00F813E4">
        <w:rPr>
          <w:rFonts w:ascii="Times New Roman" w:hAnsi="Times New Roman" w:cs="Times New Roman"/>
        </w:rPr>
        <w:t>(4), 698–718. </w:t>
      </w:r>
      <w:hyperlink r:id="rId17" w:tgtFrame="_blank" w:history="1">
        <w:r w:rsidRPr="00F813E4">
          <w:rPr>
            <w:rStyle w:val="Hyperlink"/>
            <w:rFonts w:ascii="Times New Roman" w:hAnsi="Times New Roman" w:cs="Times New Roman"/>
          </w:rPr>
          <w:t>https://doi.org/10.1007/s12103-019-09498-0</w:t>
        </w:r>
      </w:hyperlink>
    </w:p>
    <w:p w14:paraId="39ABAFF2"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 xml:space="preserve">Haney, B., Ellenberg, E., Young, M. S., Carlson, M., Moore, K., &amp; </w:t>
      </w:r>
      <w:proofErr w:type="spellStart"/>
      <w:r w:rsidRPr="00F813E4">
        <w:rPr>
          <w:rFonts w:ascii="Times New Roman" w:hAnsi="Times New Roman" w:cs="Times New Roman"/>
        </w:rPr>
        <w:t>Kosyluk</w:t>
      </w:r>
      <w:proofErr w:type="spellEnd"/>
      <w:r w:rsidRPr="00F813E4">
        <w:rPr>
          <w:rFonts w:ascii="Times New Roman" w:hAnsi="Times New Roman" w:cs="Times New Roman"/>
        </w:rPr>
        <w:t>, K. (2025). Drug court for violent offenders: A review of recidivism outcomes. </w:t>
      </w:r>
      <w:r w:rsidRPr="00F813E4">
        <w:rPr>
          <w:rFonts w:ascii="Times New Roman" w:hAnsi="Times New Roman" w:cs="Times New Roman"/>
          <w:i/>
          <w:iCs/>
        </w:rPr>
        <w:t>Crime &amp; Delinquency</w:t>
      </w:r>
      <w:r w:rsidRPr="00F813E4">
        <w:rPr>
          <w:rFonts w:ascii="Times New Roman" w:hAnsi="Times New Roman" w:cs="Times New Roman"/>
        </w:rPr>
        <w:t>. Advance online publication. </w:t>
      </w:r>
      <w:hyperlink r:id="rId18" w:tgtFrame="_blank" w:history="1">
        <w:r w:rsidRPr="00F813E4">
          <w:rPr>
            <w:rStyle w:val="Hyperlink"/>
            <w:rFonts w:ascii="Times New Roman" w:hAnsi="Times New Roman" w:cs="Times New Roman"/>
          </w:rPr>
          <w:t>https://doi.org/10.1177/00111287251395681</w:t>
        </w:r>
      </w:hyperlink>
    </w:p>
    <w:p w14:paraId="0A89B3AE"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 xml:space="preserve">Hiller, M. L., </w:t>
      </w:r>
      <w:proofErr w:type="spellStart"/>
      <w:r w:rsidRPr="00F813E4">
        <w:rPr>
          <w:rFonts w:ascii="Times New Roman" w:hAnsi="Times New Roman" w:cs="Times New Roman"/>
        </w:rPr>
        <w:t>Belenko</w:t>
      </w:r>
      <w:proofErr w:type="spellEnd"/>
      <w:r w:rsidRPr="00F813E4">
        <w:rPr>
          <w:rFonts w:ascii="Times New Roman" w:hAnsi="Times New Roman" w:cs="Times New Roman"/>
        </w:rPr>
        <w:t xml:space="preserve">, S., Dennis, M., Estrada, B., Cain, C., Mackin, J. R., Kagan, R., &amp; </w:t>
      </w:r>
      <w:proofErr w:type="spellStart"/>
      <w:r w:rsidRPr="00F813E4">
        <w:rPr>
          <w:rFonts w:ascii="Times New Roman" w:hAnsi="Times New Roman" w:cs="Times New Roman"/>
        </w:rPr>
        <w:t>Pappacena</w:t>
      </w:r>
      <w:proofErr w:type="spellEnd"/>
      <w:r w:rsidRPr="00F813E4">
        <w:rPr>
          <w:rFonts w:ascii="Times New Roman" w:hAnsi="Times New Roman" w:cs="Times New Roman"/>
        </w:rPr>
        <w:t>, L. (2021). The impact of Juvenile Drug Treatment Courts (JDTC) implementing Federal Evidence-Based Guidelines on recidivism and substance use: Multisite randomized controlled trial (RCT) and regression discontinuity (RDD) designs. </w:t>
      </w:r>
      <w:r w:rsidRPr="00F813E4">
        <w:rPr>
          <w:rFonts w:ascii="Times New Roman" w:hAnsi="Times New Roman" w:cs="Times New Roman"/>
          <w:i/>
          <w:iCs/>
        </w:rPr>
        <w:t>Health &amp; Justice, 9</w:t>
      </w:r>
      <w:r w:rsidRPr="00F813E4">
        <w:rPr>
          <w:rFonts w:ascii="Times New Roman" w:hAnsi="Times New Roman" w:cs="Times New Roman"/>
        </w:rPr>
        <w:t>(1), 38. </w:t>
      </w:r>
      <w:hyperlink r:id="rId19" w:tgtFrame="_blank" w:history="1">
        <w:r w:rsidRPr="00F813E4">
          <w:rPr>
            <w:rStyle w:val="Hyperlink"/>
            <w:rFonts w:ascii="Times New Roman" w:hAnsi="Times New Roman" w:cs="Times New Roman"/>
          </w:rPr>
          <w:t>https://doi.org/10.1186/s40352-021-00158-2</w:t>
        </w:r>
      </w:hyperlink>
    </w:p>
    <w:p w14:paraId="5FBEC8BD" w14:textId="77777777" w:rsidR="00F813E4" w:rsidRPr="00F813E4" w:rsidRDefault="00F813E4" w:rsidP="001D0ACD">
      <w:pPr>
        <w:rPr>
          <w:rFonts w:ascii="Times New Roman" w:hAnsi="Times New Roman" w:cs="Times New Roman"/>
        </w:rPr>
      </w:pPr>
      <w:r w:rsidRPr="00230EBF">
        <w:rPr>
          <w:rFonts w:ascii="Times New Roman" w:hAnsi="Times New Roman" w:cs="Times New Roman"/>
        </w:rPr>
        <w:t xml:space="preserve">Krebs, C. P., Lindquist, C. H., Koetse, W., &amp; Lattimore, P. K. (2007). </w:t>
      </w:r>
      <w:r w:rsidRPr="00F813E4">
        <w:rPr>
          <w:rFonts w:ascii="Times New Roman" w:hAnsi="Times New Roman" w:cs="Times New Roman"/>
        </w:rPr>
        <w:t>Assessing the long-term impact of drug court participation on recidivism with generalized estimating equations. </w:t>
      </w:r>
      <w:r w:rsidRPr="00F813E4">
        <w:rPr>
          <w:rFonts w:ascii="Times New Roman" w:hAnsi="Times New Roman" w:cs="Times New Roman"/>
          <w:i/>
          <w:iCs/>
        </w:rPr>
        <w:t>Drug and Alcohol Dependence, 91</w:t>
      </w:r>
      <w:r w:rsidRPr="00F813E4">
        <w:rPr>
          <w:rFonts w:ascii="Times New Roman" w:hAnsi="Times New Roman" w:cs="Times New Roman"/>
        </w:rPr>
        <w:t>(1), 57–68. </w:t>
      </w:r>
      <w:hyperlink r:id="rId20" w:tgtFrame="_blank" w:history="1">
        <w:r w:rsidRPr="00F813E4">
          <w:rPr>
            <w:rStyle w:val="Hyperlink"/>
            <w:rFonts w:ascii="Times New Roman" w:hAnsi="Times New Roman" w:cs="Times New Roman"/>
          </w:rPr>
          <w:t>https://doi.org/10.1016/j.drugalcdep.2007.05.011</w:t>
        </w:r>
      </w:hyperlink>
    </w:p>
    <w:p w14:paraId="3527F325"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Levac, D., Colquhoun, H., &amp; O'Brien, K. K. (2010). Scoping studies: Advancing the methodology. </w:t>
      </w:r>
      <w:r w:rsidRPr="00F813E4">
        <w:rPr>
          <w:rFonts w:ascii="Times New Roman" w:hAnsi="Times New Roman" w:cs="Times New Roman"/>
          <w:i/>
          <w:iCs/>
        </w:rPr>
        <w:t>Implementation Science, 5</w:t>
      </w:r>
      <w:r w:rsidRPr="00F813E4">
        <w:rPr>
          <w:rFonts w:ascii="Times New Roman" w:hAnsi="Times New Roman" w:cs="Times New Roman"/>
        </w:rPr>
        <w:t>(1), 69. </w:t>
      </w:r>
      <w:hyperlink r:id="rId21" w:tgtFrame="_blank" w:history="1">
        <w:r w:rsidRPr="00F813E4">
          <w:rPr>
            <w:rStyle w:val="Hyperlink"/>
            <w:rFonts w:ascii="Times New Roman" w:hAnsi="Times New Roman" w:cs="Times New Roman"/>
          </w:rPr>
          <w:t>https://doi.org/10.1186/1748-5908-5-69</w:t>
        </w:r>
      </w:hyperlink>
    </w:p>
    <w:p w14:paraId="58A7AF47"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lastRenderedPageBreak/>
        <w:t xml:space="preserve">Peters, M. D. J., Godfrey, C., McInerney, P., Munn, Z., </w:t>
      </w:r>
      <w:proofErr w:type="spellStart"/>
      <w:r w:rsidRPr="00F813E4">
        <w:rPr>
          <w:rFonts w:ascii="Times New Roman" w:hAnsi="Times New Roman" w:cs="Times New Roman"/>
        </w:rPr>
        <w:t>Tricco</w:t>
      </w:r>
      <w:proofErr w:type="spellEnd"/>
      <w:r w:rsidRPr="00F813E4">
        <w:rPr>
          <w:rFonts w:ascii="Times New Roman" w:hAnsi="Times New Roman" w:cs="Times New Roman"/>
        </w:rPr>
        <w:t xml:space="preserve">, A. C., &amp; Khalil, H. (2020). Chapter 11: Scoping reviews. In E. </w:t>
      </w:r>
      <w:proofErr w:type="spellStart"/>
      <w:r w:rsidRPr="00F813E4">
        <w:rPr>
          <w:rFonts w:ascii="Times New Roman" w:hAnsi="Times New Roman" w:cs="Times New Roman"/>
        </w:rPr>
        <w:t>Aromataris</w:t>
      </w:r>
      <w:proofErr w:type="spellEnd"/>
      <w:r w:rsidRPr="00F813E4">
        <w:rPr>
          <w:rFonts w:ascii="Times New Roman" w:hAnsi="Times New Roman" w:cs="Times New Roman"/>
        </w:rPr>
        <w:t xml:space="preserve"> &amp; Z. Munn (Eds.), </w:t>
      </w:r>
      <w:r w:rsidRPr="00F813E4">
        <w:rPr>
          <w:rFonts w:ascii="Times New Roman" w:hAnsi="Times New Roman" w:cs="Times New Roman"/>
          <w:i/>
          <w:iCs/>
        </w:rPr>
        <w:t>JBI Manual for Evidence Synthesis</w:t>
      </w:r>
      <w:r w:rsidRPr="00F813E4">
        <w:rPr>
          <w:rFonts w:ascii="Times New Roman" w:hAnsi="Times New Roman" w:cs="Times New Roman"/>
        </w:rPr>
        <w:t>. JBI. </w:t>
      </w:r>
      <w:hyperlink r:id="rId22" w:tgtFrame="_blank" w:history="1">
        <w:r w:rsidRPr="00F813E4">
          <w:rPr>
            <w:rStyle w:val="Hyperlink"/>
            <w:rFonts w:ascii="Times New Roman" w:hAnsi="Times New Roman" w:cs="Times New Roman"/>
          </w:rPr>
          <w:t>https://doi.org/10.46658/JBIMES-20-12</w:t>
        </w:r>
      </w:hyperlink>
    </w:p>
    <w:p w14:paraId="33FC12A8"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 xml:space="preserve">Sheeran, A. M., &amp; </w:t>
      </w:r>
      <w:proofErr w:type="spellStart"/>
      <w:r w:rsidRPr="00F813E4">
        <w:rPr>
          <w:rFonts w:ascii="Times New Roman" w:hAnsi="Times New Roman" w:cs="Times New Roman"/>
        </w:rPr>
        <w:t>Varline</w:t>
      </w:r>
      <w:proofErr w:type="spellEnd"/>
      <w:r w:rsidRPr="00F813E4">
        <w:rPr>
          <w:rFonts w:ascii="Times New Roman" w:hAnsi="Times New Roman" w:cs="Times New Roman"/>
        </w:rPr>
        <w:t>, J. (2024). The effect of drug treatment court on recidivism: A comparison with traditional court intervention. </w:t>
      </w:r>
      <w:r w:rsidRPr="00F813E4">
        <w:rPr>
          <w:rFonts w:ascii="Times New Roman" w:hAnsi="Times New Roman" w:cs="Times New Roman"/>
          <w:i/>
          <w:iCs/>
        </w:rPr>
        <w:t>Journal of Offender Rehabilitation</w:t>
      </w:r>
      <w:r w:rsidRPr="00F813E4">
        <w:rPr>
          <w:rFonts w:ascii="Times New Roman" w:hAnsi="Times New Roman" w:cs="Times New Roman"/>
        </w:rPr>
        <w:t>. </w:t>
      </w:r>
      <w:hyperlink r:id="rId23" w:tgtFrame="_blank" w:history="1">
        <w:r w:rsidRPr="00F813E4">
          <w:rPr>
            <w:rStyle w:val="Hyperlink"/>
            <w:rFonts w:ascii="Times New Roman" w:hAnsi="Times New Roman" w:cs="Times New Roman"/>
          </w:rPr>
          <w:t>https://doi.org/10.1080/10509674.2024.2370286</w:t>
        </w:r>
      </w:hyperlink>
    </w:p>
    <w:p w14:paraId="68648508"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 xml:space="preserve">Tanner-Smith, E. E., </w:t>
      </w:r>
      <w:proofErr w:type="spellStart"/>
      <w:r w:rsidRPr="00F813E4">
        <w:rPr>
          <w:rFonts w:ascii="Times New Roman" w:hAnsi="Times New Roman" w:cs="Times New Roman"/>
        </w:rPr>
        <w:t>Mojekwu</w:t>
      </w:r>
      <w:proofErr w:type="spellEnd"/>
      <w:r w:rsidRPr="00F813E4">
        <w:rPr>
          <w:rFonts w:ascii="Times New Roman" w:hAnsi="Times New Roman" w:cs="Times New Roman"/>
        </w:rPr>
        <w:t>, F., &amp; Frankel, L. (2024). Examining the effects of juvenile drug treatment courts: A systematic review and meta-analysis. </w:t>
      </w:r>
      <w:r w:rsidRPr="00F813E4">
        <w:rPr>
          <w:rFonts w:ascii="Times New Roman" w:hAnsi="Times New Roman" w:cs="Times New Roman"/>
          <w:i/>
          <w:iCs/>
        </w:rPr>
        <w:t>Criminal Justice and Behavior, 51</w:t>
      </w:r>
      <w:r w:rsidRPr="00F813E4">
        <w:rPr>
          <w:rFonts w:ascii="Times New Roman" w:hAnsi="Times New Roman" w:cs="Times New Roman"/>
        </w:rPr>
        <w:t>(1), 148–170. </w:t>
      </w:r>
      <w:hyperlink r:id="rId24" w:tgtFrame="_blank" w:history="1">
        <w:r w:rsidRPr="00F813E4">
          <w:rPr>
            <w:rStyle w:val="Hyperlink"/>
            <w:rFonts w:ascii="Times New Roman" w:hAnsi="Times New Roman" w:cs="Times New Roman"/>
          </w:rPr>
          <w:t>https://doi.org/10.1177/00938548231208208</w:t>
        </w:r>
      </w:hyperlink>
    </w:p>
    <w:p w14:paraId="7350611D" w14:textId="77777777" w:rsidR="00F813E4" w:rsidRPr="00F813E4" w:rsidRDefault="00F813E4" w:rsidP="001D0ACD">
      <w:pPr>
        <w:rPr>
          <w:rFonts w:ascii="Times New Roman" w:hAnsi="Times New Roman" w:cs="Times New Roman"/>
        </w:rPr>
      </w:pPr>
      <w:proofErr w:type="spellStart"/>
      <w:r w:rsidRPr="00F813E4">
        <w:rPr>
          <w:rFonts w:ascii="Times New Roman" w:hAnsi="Times New Roman" w:cs="Times New Roman"/>
        </w:rPr>
        <w:t>Tricco</w:t>
      </w:r>
      <w:proofErr w:type="spellEnd"/>
      <w:r w:rsidRPr="00F813E4">
        <w:rPr>
          <w:rFonts w:ascii="Times New Roman" w:hAnsi="Times New Roman" w:cs="Times New Roman"/>
        </w:rPr>
        <w:t xml:space="preserve">, A. C., Lillie, E., Zarin, W., O'Brien, K. K., Colquhoun, H., Levac, D., Moher, D., Peters, M. D. J., Horsley, T., Weeks, L., Hempel, S., Akl, E. A., Chang, C., McGowan, J., Stewart, L., Hartling, L., </w:t>
      </w:r>
      <w:proofErr w:type="spellStart"/>
      <w:r w:rsidRPr="00F813E4">
        <w:rPr>
          <w:rFonts w:ascii="Times New Roman" w:hAnsi="Times New Roman" w:cs="Times New Roman"/>
        </w:rPr>
        <w:t>Aldcroft</w:t>
      </w:r>
      <w:proofErr w:type="spellEnd"/>
      <w:r w:rsidRPr="00F813E4">
        <w:rPr>
          <w:rFonts w:ascii="Times New Roman" w:hAnsi="Times New Roman" w:cs="Times New Roman"/>
        </w:rPr>
        <w:t>, A., Wilson, M. G., Garritty, C., ... Straus, S. E. (2018). PRISMA extension for scoping reviews (PRISMA-</w:t>
      </w:r>
      <w:proofErr w:type="spellStart"/>
      <w:r w:rsidRPr="00F813E4">
        <w:rPr>
          <w:rFonts w:ascii="Times New Roman" w:hAnsi="Times New Roman" w:cs="Times New Roman"/>
        </w:rPr>
        <w:t>ScR</w:t>
      </w:r>
      <w:proofErr w:type="spellEnd"/>
      <w:r w:rsidRPr="00F813E4">
        <w:rPr>
          <w:rFonts w:ascii="Times New Roman" w:hAnsi="Times New Roman" w:cs="Times New Roman"/>
        </w:rPr>
        <w:t>): Checklist and explanation. </w:t>
      </w:r>
      <w:r w:rsidRPr="00F813E4">
        <w:rPr>
          <w:rFonts w:ascii="Times New Roman" w:hAnsi="Times New Roman" w:cs="Times New Roman"/>
          <w:i/>
          <w:iCs/>
        </w:rPr>
        <w:t>Annals of Internal Medicine, 169</w:t>
      </w:r>
      <w:r w:rsidRPr="00F813E4">
        <w:rPr>
          <w:rFonts w:ascii="Times New Roman" w:hAnsi="Times New Roman" w:cs="Times New Roman"/>
        </w:rPr>
        <w:t>(7), 467–473. </w:t>
      </w:r>
      <w:hyperlink r:id="rId25" w:tgtFrame="_blank" w:history="1">
        <w:r w:rsidRPr="00F813E4">
          <w:rPr>
            <w:rStyle w:val="Hyperlink"/>
            <w:rFonts w:ascii="Times New Roman" w:hAnsi="Times New Roman" w:cs="Times New Roman"/>
          </w:rPr>
          <w:t>https://doi.org/10.7326/M18-0850</w:t>
        </w:r>
      </w:hyperlink>
    </w:p>
    <w:p w14:paraId="6DAA943D"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Turner, S., Longshore, D., Wenzel, S., Deschenes, E., Greenwood, P., Fain, T., Harrell, A., Morral, A., Taxman, F., Iguchi, M., Greene, J., &amp; McBride, D. (2002). A decade of drug treatment court research. </w:t>
      </w:r>
      <w:r w:rsidRPr="00F813E4">
        <w:rPr>
          <w:rFonts w:ascii="Times New Roman" w:hAnsi="Times New Roman" w:cs="Times New Roman"/>
          <w:i/>
          <w:iCs/>
        </w:rPr>
        <w:t>Substance Use &amp; Misuse, 37</w:t>
      </w:r>
      <w:r w:rsidRPr="00F813E4">
        <w:rPr>
          <w:rFonts w:ascii="Times New Roman" w:hAnsi="Times New Roman" w:cs="Times New Roman"/>
        </w:rPr>
        <w:t>(12-13), 1489–1527. </w:t>
      </w:r>
      <w:hyperlink r:id="rId26" w:tgtFrame="_blank" w:history="1">
        <w:r w:rsidRPr="00F813E4">
          <w:rPr>
            <w:rStyle w:val="Hyperlink"/>
            <w:rFonts w:ascii="Times New Roman" w:hAnsi="Times New Roman" w:cs="Times New Roman"/>
          </w:rPr>
          <w:t>https://doi.org/10.1081/JA-120014420</w:t>
        </w:r>
      </w:hyperlink>
    </w:p>
    <w:p w14:paraId="4405C7FE"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Ward, J., &amp; Kawalek, A. (2024). The return of drug courts: Some important considerations. </w:t>
      </w:r>
      <w:r w:rsidRPr="00F813E4">
        <w:rPr>
          <w:rFonts w:ascii="Times New Roman" w:hAnsi="Times New Roman" w:cs="Times New Roman"/>
          <w:i/>
          <w:iCs/>
        </w:rPr>
        <w:t>International Journal of Drug Policy, 127</w:t>
      </w:r>
      <w:r w:rsidRPr="00F813E4">
        <w:rPr>
          <w:rFonts w:ascii="Times New Roman" w:hAnsi="Times New Roman" w:cs="Times New Roman"/>
        </w:rPr>
        <w:t>, 104405. </w:t>
      </w:r>
      <w:hyperlink r:id="rId27" w:tgtFrame="_blank" w:history="1">
        <w:r w:rsidRPr="00F813E4">
          <w:rPr>
            <w:rStyle w:val="Hyperlink"/>
            <w:rFonts w:ascii="Times New Roman" w:hAnsi="Times New Roman" w:cs="Times New Roman"/>
          </w:rPr>
          <w:t>https://doi.org/10.1016/j.drugpo.2024.104405</w:t>
        </w:r>
      </w:hyperlink>
    </w:p>
    <w:p w14:paraId="2CD64167" w14:textId="77777777" w:rsidR="00F813E4" w:rsidRPr="00F813E4" w:rsidRDefault="00F813E4" w:rsidP="001D0ACD">
      <w:pPr>
        <w:rPr>
          <w:rFonts w:ascii="Times New Roman" w:hAnsi="Times New Roman" w:cs="Times New Roman"/>
        </w:rPr>
      </w:pPr>
      <w:r w:rsidRPr="00F813E4">
        <w:rPr>
          <w:rFonts w:ascii="Times New Roman" w:hAnsi="Times New Roman" w:cs="Times New Roman"/>
        </w:rPr>
        <w:t>Wright, D., Warren, N., Simpson, D., &amp; Limke, A. (2002). </w:t>
      </w:r>
      <w:r w:rsidRPr="00F813E4">
        <w:rPr>
          <w:rFonts w:ascii="Times New Roman" w:hAnsi="Times New Roman" w:cs="Times New Roman"/>
          <w:i/>
          <w:iCs/>
        </w:rPr>
        <w:t>Reducing recidivism: Drug court as an effective alternative to incarceration</w:t>
      </w:r>
      <w:r w:rsidRPr="00F813E4">
        <w:rPr>
          <w:rFonts w:ascii="Times New Roman" w:hAnsi="Times New Roman" w:cs="Times New Roman"/>
        </w:rPr>
        <w:t> [Report]. Oklahoma Criminal Justice Resource Center. </w:t>
      </w:r>
      <w:hyperlink r:id="rId28" w:tgtFrame="_blank" w:history="1">
        <w:r w:rsidRPr="00F813E4">
          <w:rPr>
            <w:rStyle w:val="Hyperlink"/>
            <w:rFonts w:ascii="Times New Roman" w:hAnsi="Times New Roman" w:cs="Times New Roman"/>
          </w:rPr>
          <w:t>https://jpo.wrlc.org/bitstream/handle/11204/53/Analysis%20of%20Oklahoma%20Drug%20Courts_Fiscal%20Years%202002-2003.pdf?sequence=3&amp;isAllowed=y</w:t>
        </w:r>
      </w:hyperlink>
    </w:p>
    <w:p w14:paraId="6BFDBFA3" w14:textId="74E20E71" w:rsidR="00250958" w:rsidRPr="00215E26" w:rsidRDefault="00250958" w:rsidP="001D0ACD">
      <w:pPr>
        <w:rPr>
          <w:rFonts w:ascii="Times New Roman" w:hAnsi="Times New Roman" w:cs="Times New Roman"/>
        </w:rPr>
      </w:pPr>
    </w:p>
    <w:sectPr w:rsidR="00250958" w:rsidRPr="00215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85"/>
    <w:rsid w:val="00012513"/>
    <w:rsid w:val="00020ECD"/>
    <w:rsid w:val="00026939"/>
    <w:rsid w:val="00091D91"/>
    <w:rsid w:val="000A2F86"/>
    <w:rsid w:val="000C0411"/>
    <w:rsid w:val="000D2DE7"/>
    <w:rsid w:val="00101B44"/>
    <w:rsid w:val="00161F63"/>
    <w:rsid w:val="00183801"/>
    <w:rsid w:val="00195630"/>
    <w:rsid w:val="001B2BE7"/>
    <w:rsid w:val="001B34E3"/>
    <w:rsid w:val="001D0ACD"/>
    <w:rsid w:val="001D6902"/>
    <w:rsid w:val="001E5191"/>
    <w:rsid w:val="001F19B5"/>
    <w:rsid w:val="00215E26"/>
    <w:rsid w:val="00230EBF"/>
    <w:rsid w:val="00237DF6"/>
    <w:rsid w:val="00243C00"/>
    <w:rsid w:val="00250958"/>
    <w:rsid w:val="00256038"/>
    <w:rsid w:val="00271523"/>
    <w:rsid w:val="002D2598"/>
    <w:rsid w:val="002E40E2"/>
    <w:rsid w:val="00300776"/>
    <w:rsid w:val="00330E2F"/>
    <w:rsid w:val="00355BB2"/>
    <w:rsid w:val="003738E2"/>
    <w:rsid w:val="003C5913"/>
    <w:rsid w:val="00413229"/>
    <w:rsid w:val="00430D63"/>
    <w:rsid w:val="00440485"/>
    <w:rsid w:val="00442F29"/>
    <w:rsid w:val="00450A79"/>
    <w:rsid w:val="004A2143"/>
    <w:rsid w:val="004C55B0"/>
    <w:rsid w:val="004D342B"/>
    <w:rsid w:val="004E6E64"/>
    <w:rsid w:val="00523113"/>
    <w:rsid w:val="0054065B"/>
    <w:rsid w:val="00562033"/>
    <w:rsid w:val="00570F05"/>
    <w:rsid w:val="00582BF7"/>
    <w:rsid w:val="00596536"/>
    <w:rsid w:val="005B6255"/>
    <w:rsid w:val="00665B6F"/>
    <w:rsid w:val="006673AB"/>
    <w:rsid w:val="00717F16"/>
    <w:rsid w:val="007578A7"/>
    <w:rsid w:val="007968AB"/>
    <w:rsid w:val="007A5DE4"/>
    <w:rsid w:val="007D7016"/>
    <w:rsid w:val="007E5B20"/>
    <w:rsid w:val="008179DB"/>
    <w:rsid w:val="0082020F"/>
    <w:rsid w:val="00855C2B"/>
    <w:rsid w:val="008B0B9D"/>
    <w:rsid w:val="008B3BE6"/>
    <w:rsid w:val="00917171"/>
    <w:rsid w:val="00964542"/>
    <w:rsid w:val="00971C76"/>
    <w:rsid w:val="00973CE4"/>
    <w:rsid w:val="00985731"/>
    <w:rsid w:val="0099756E"/>
    <w:rsid w:val="009A53C5"/>
    <w:rsid w:val="009F5944"/>
    <w:rsid w:val="00A848BB"/>
    <w:rsid w:val="00A97DED"/>
    <w:rsid w:val="00AE2B0C"/>
    <w:rsid w:val="00B04518"/>
    <w:rsid w:val="00B56697"/>
    <w:rsid w:val="00B75814"/>
    <w:rsid w:val="00C07F2E"/>
    <w:rsid w:val="00C17422"/>
    <w:rsid w:val="00C37F54"/>
    <w:rsid w:val="00C42FCC"/>
    <w:rsid w:val="00C56C13"/>
    <w:rsid w:val="00C6115E"/>
    <w:rsid w:val="00C61DFB"/>
    <w:rsid w:val="00CB204C"/>
    <w:rsid w:val="00D15106"/>
    <w:rsid w:val="00D20795"/>
    <w:rsid w:val="00D35453"/>
    <w:rsid w:val="00D9111E"/>
    <w:rsid w:val="00DA46E9"/>
    <w:rsid w:val="00DB774C"/>
    <w:rsid w:val="00DC482C"/>
    <w:rsid w:val="00DF6A99"/>
    <w:rsid w:val="00E55F70"/>
    <w:rsid w:val="00E81AB9"/>
    <w:rsid w:val="00E970B5"/>
    <w:rsid w:val="00EA6C5F"/>
    <w:rsid w:val="00ED61F5"/>
    <w:rsid w:val="00EF313D"/>
    <w:rsid w:val="00EF519C"/>
    <w:rsid w:val="00EF582C"/>
    <w:rsid w:val="00F813E4"/>
    <w:rsid w:val="00F82889"/>
    <w:rsid w:val="00F90B36"/>
    <w:rsid w:val="00FB08D8"/>
    <w:rsid w:val="00FC6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F42A"/>
  <w15:chartTrackingRefBased/>
  <w15:docId w15:val="{6E41FFF4-BE38-48A8-8C1E-BFE2E811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485"/>
    <w:rPr>
      <w:rFonts w:eastAsiaTheme="majorEastAsia" w:cstheme="majorBidi"/>
      <w:color w:val="272727" w:themeColor="text1" w:themeTint="D8"/>
    </w:rPr>
  </w:style>
  <w:style w:type="paragraph" w:styleId="Title">
    <w:name w:val="Title"/>
    <w:basedOn w:val="Normal"/>
    <w:next w:val="Normal"/>
    <w:link w:val="TitleChar"/>
    <w:uiPriority w:val="10"/>
    <w:qFormat/>
    <w:rsid w:val="0044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485"/>
    <w:pPr>
      <w:spacing w:before="160"/>
      <w:jc w:val="center"/>
    </w:pPr>
    <w:rPr>
      <w:i/>
      <w:iCs/>
      <w:color w:val="404040" w:themeColor="text1" w:themeTint="BF"/>
    </w:rPr>
  </w:style>
  <w:style w:type="character" w:customStyle="1" w:styleId="QuoteChar">
    <w:name w:val="Quote Char"/>
    <w:basedOn w:val="DefaultParagraphFont"/>
    <w:link w:val="Quote"/>
    <w:uiPriority w:val="29"/>
    <w:rsid w:val="00440485"/>
    <w:rPr>
      <w:i/>
      <w:iCs/>
      <w:color w:val="404040" w:themeColor="text1" w:themeTint="BF"/>
    </w:rPr>
  </w:style>
  <w:style w:type="paragraph" w:styleId="ListParagraph">
    <w:name w:val="List Paragraph"/>
    <w:basedOn w:val="Normal"/>
    <w:uiPriority w:val="34"/>
    <w:qFormat/>
    <w:rsid w:val="00440485"/>
    <w:pPr>
      <w:ind w:left="720"/>
      <w:contextualSpacing/>
    </w:pPr>
  </w:style>
  <w:style w:type="character" w:styleId="IntenseEmphasis">
    <w:name w:val="Intense Emphasis"/>
    <w:basedOn w:val="DefaultParagraphFont"/>
    <w:uiPriority w:val="21"/>
    <w:qFormat/>
    <w:rsid w:val="00440485"/>
    <w:rPr>
      <w:i/>
      <w:iCs/>
      <w:color w:val="2F5496" w:themeColor="accent1" w:themeShade="BF"/>
    </w:rPr>
  </w:style>
  <w:style w:type="paragraph" w:styleId="IntenseQuote">
    <w:name w:val="Intense Quote"/>
    <w:basedOn w:val="Normal"/>
    <w:next w:val="Normal"/>
    <w:link w:val="IntenseQuoteChar"/>
    <w:uiPriority w:val="30"/>
    <w:qFormat/>
    <w:rsid w:val="00440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485"/>
    <w:rPr>
      <w:i/>
      <w:iCs/>
      <w:color w:val="2F5496" w:themeColor="accent1" w:themeShade="BF"/>
    </w:rPr>
  </w:style>
  <w:style w:type="character" w:styleId="IntenseReference">
    <w:name w:val="Intense Reference"/>
    <w:basedOn w:val="DefaultParagraphFont"/>
    <w:uiPriority w:val="32"/>
    <w:qFormat/>
    <w:rsid w:val="00440485"/>
    <w:rPr>
      <w:b/>
      <w:bCs/>
      <w:smallCaps/>
      <w:color w:val="2F5496" w:themeColor="accent1" w:themeShade="BF"/>
      <w:spacing w:val="5"/>
    </w:rPr>
  </w:style>
  <w:style w:type="table" w:styleId="PlainTable2">
    <w:name w:val="Plain Table 2"/>
    <w:basedOn w:val="TableNormal"/>
    <w:uiPriority w:val="42"/>
    <w:rsid w:val="004404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4132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40E2"/>
    <w:rPr>
      <w:color w:val="0563C1" w:themeColor="hyperlink"/>
      <w:u w:val="single"/>
    </w:rPr>
  </w:style>
  <w:style w:type="paragraph" w:styleId="NormalWeb">
    <w:name w:val="Normal (Web)"/>
    <w:basedOn w:val="Normal"/>
    <w:uiPriority w:val="99"/>
    <w:semiHidden/>
    <w:unhideWhenUsed/>
    <w:rsid w:val="002E40E2"/>
    <w:rPr>
      <w:rFonts w:ascii="Times New Roman" w:hAnsi="Times New Roman" w:cs="Times New Roman"/>
    </w:rPr>
  </w:style>
  <w:style w:type="paragraph" w:styleId="Revision">
    <w:name w:val="Revision"/>
    <w:hidden/>
    <w:uiPriority w:val="99"/>
    <w:semiHidden/>
    <w:rsid w:val="00523113"/>
    <w:pPr>
      <w:spacing w:after="0" w:line="240" w:lineRule="auto"/>
    </w:pPr>
  </w:style>
  <w:style w:type="character" w:styleId="CommentReference">
    <w:name w:val="annotation reference"/>
    <w:basedOn w:val="DefaultParagraphFont"/>
    <w:uiPriority w:val="99"/>
    <w:semiHidden/>
    <w:unhideWhenUsed/>
    <w:rsid w:val="00523113"/>
    <w:rPr>
      <w:sz w:val="16"/>
      <w:szCs w:val="16"/>
    </w:rPr>
  </w:style>
  <w:style w:type="paragraph" w:styleId="CommentText">
    <w:name w:val="annotation text"/>
    <w:basedOn w:val="Normal"/>
    <w:link w:val="CommentTextChar"/>
    <w:uiPriority w:val="99"/>
    <w:semiHidden/>
    <w:unhideWhenUsed/>
    <w:rsid w:val="00523113"/>
    <w:pPr>
      <w:spacing w:line="240" w:lineRule="auto"/>
    </w:pPr>
    <w:rPr>
      <w:sz w:val="20"/>
      <w:szCs w:val="20"/>
    </w:rPr>
  </w:style>
  <w:style w:type="character" w:customStyle="1" w:styleId="CommentTextChar">
    <w:name w:val="Comment Text Char"/>
    <w:basedOn w:val="DefaultParagraphFont"/>
    <w:link w:val="CommentText"/>
    <w:uiPriority w:val="99"/>
    <w:semiHidden/>
    <w:rsid w:val="00523113"/>
    <w:rPr>
      <w:sz w:val="20"/>
      <w:szCs w:val="20"/>
    </w:rPr>
  </w:style>
  <w:style w:type="paragraph" w:styleId="CommentSubject">
    <w:name w:val="annotation subject"/>
    <w:basedOn w:val="CommentText"/>
    <w:next w:val="CommentText"/>
    <w:link w:val="CommentSubjectChar"/>
    <w:uiPriority w:val="99"/>
    <w:semiHidden/>
    <w:unhideWhenUsed/>
    <w:rsid w:val="00523113"/>
    <w:rPr>
      <w:b/>
      <w:bCs/>
    </w:rPr>
  </w:style>
  <w:style w:type="character" w:customStyle="1" w:styleId="CommentSubjectChar">
    <w:name w:val="Comment Subject Char"/>
    <w:basedOn w:val="CommentTextChar"/>
    <w:link w:val="CommentSubject"/>
    <w:uiPriority w:val="99"/>
    <w:semiHidden/>
    <w:rsid w:val="00523113"/>
    <w:rPr>
      <w:b/>
      <w:bCs/>
      <w:sz w:val="20"/>
      <w:szCs w:val="20"/>
    </w:rPr>
  </w:style>
  <w:style w:type="character" w:styleId="UnresolvedMention">
    <w:name w:val="Unresolved Mention"/>
    <w:basedOn w:val="DefaultParagraphFont"/>
    <w:uiPriority w:val="99"/>
    <w:semiHidden/>
    <w:unhideWhenUsed/>
    <w:rsid w:val="001F1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ertechreview.com/index.php/31/article/view/3" TargetMode="External"/><Relationship Id="rId13" Type="http://schemas.openxmlformats.org/officeDocument/2006/relationships/hyperlink" Target="https://doi.org/10.1007/s10479-021-03984-7" TargetMode="External"/><Relationship Id="rId18" Type="http://schemas.openxmlformats.org/officeDocument/2006/relationships/hyperlink" Target="https://doi.org/10.1177/00111287251395681" TargetMode="External"/><Relationship Id="rId26" Type="http://schemas.openxmlformats.org/officeDocument/2006/relationships/hyperlink" Target="https://doi.org/10.1081/JA-120014420" TargetMode="External"/><Relationship Id="rId3" Type="http://schemas.openxmlformats.org/officeDocument/2006/relationships/customXml" Target="../customXml/item3.xml"/><Relationship Id="rId21" Type="http://schemas.openxmlformats.org/officeDocument/2006/relationships/hyperlink" Target="https://doi.org/10.1186/1748-5908-5-69" TargetMode="External"/><Relationship Id="rId7" Type="http://schemas.openxmlformats.org/officeDocument/2006/relationships/image" Target="media/image1.png"/><Relationship Id="rId12" Type="http://schemas.openxmlformats.org/officeDocument/2006/relationships/hyperlink" Target="https://egrove.olemiss.edu/hon_thesis/2897/" TargetMode="External"/><Relationship Id="rId17" Type="http://schemas.openxmlformats.org/officeDocument/2006/relationships/hyperlink" Target="https://doi.org/10.1007/s12103-019-09498-0" TargetMode="External"/><Relationship Id="rId25" Type="http://schemas.openxmlformats.org/officeDocument/2006/relationships/hyperlink" Target="https://doi.org/10.7326/M18-0850" TargetMode="External"/><Relationship Id="rId2" Type="http://schemas.openxmlformats.org/officeDocument/2006/relationships/customXml" Target="../customXml/item2.xml"/><Relationship Id="rId16" Type="http://schemas.openxmlformats.org/officeDocument/2006/relationships/hyperlink" Target="https://doi.org/10.1080/01488376.2019.1575325" TargetMode="External"/><Relationship Id="rId20" Type="http://schemas.openxmlformats.org/officeDocument/2006/relationships/hyperlink" Target="https://doi.org/10.1016/j.drugalcdep.2007.05.01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07/s11414-022-09805-4" TargetMode="External"/><Relationship Id="rId24" Type="http://schemas.openxmlformats.org/officeDocument/2006/relationships/hyperlink" Target="https://doi.org/10.1177/00938548231208208" TargetMode="External"/><Relationship Id="rId5" Type="http://schemas.openxmlformats.org/officeDocument/2006/relationships/settings" Target="settings.xml"/><Relationship Id="rId15" Type="http://schemas.openxmlformats.org/officeDocument/2006/relationships/hyperlink" Target="https://doi.org/10.1080/24751979.2024.2401548" TargetMode="External"/><Relationship Id="rId23" Type="http://schemas.openxmlformats.org/officeDocument/2006/relationships/hyperlink" Target="https://doi.org/10.1080/10509674.2024.2370286" TargetMode="External"/><Relationship Id="rId28" Type="http://schemas.openxmlformats.org/officeDocument/2006/relationships/hyperlink" Target="https://jpo.wrlc.org/bitstream/handle/11204/53/Analysis%2520of%2520Oklahoma%2520Drug%2520Courts_Fiscal%2520Years%25202002-2003.pdf?sequence=3&amp;isAllowed=y" TargetMode="External"/><Relationship Id="rId10" Type="http://schemas.openxmlformats.org/officeDocument/2006/relationships/hyperlink" Target="https://doi.org/10.36713/epra26772" TargetMode="External"/><Relationship Id="rId19" Type="http://schemas.openxmlformats.org/officeDocument/2006/relationships/hyperlink" Target="https://doi.org/10.1186/s40352-021-00158-2" TargetMode="External"/><Relationship Id="rId4" Type="http://schemas.openxmlformats.org/officeDocument/2006/relationships/styles" Target="styles.xml"/><Relationship Id="rId9" Type="http://schemas.openxmlformats.org/officeDocument/2006/relationships/hyperlink" Target="https://doi.org/10.1080/1364557032000119616" TargetMode="External"/><Relationship Id="rId14" Type="http://schemas.openxmlformats.org/officeDocument/2006/relationships/hyperlink" Target="https://doi.org/10.1037/ort0000643" TargetMode="External"/><Relationship Id="rId22" Type="http://schemas.openxmlformats.org/officeDocument/2006/relationships/hyperlink" Target="https://doi.org/10.46658/JBIMES-20-12" TargetMode="External"/><Relationship Id="rId27" Type="http://schemas.openxmlformats.org/officeDocument/2006/relationships/hyperlink" Target="https://doi.org/10.1016/j.drugpo.2024.10440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1B828461B2204884F2232A4DF5403E" ma:contentTypeVersion="13" ma:contentTypeDescription="Create a new document." ma:contentTypeScope="" ma:versionID="5f0f3825adff01f575bc396b62093fa8">
  <xsd:schema xmlns:xsd="http://www.w3.org/2001/XMLSchema" xmlns:xs="http://www.w3.org/2001/XMLSchema" xmlns:p="http://schemas.microsoft.com/office/2006/metadata/properties" xmlns:ns2="e424fb49-ba50-448a-9f0a-895990ed0b47" xmlns:ns3="de9e19ce-b3b2-4ddf-ade6-b2e79f248764" targetNamespace="http://schemas.microsoft.com/office/2006/metadata/properties" ma:root="true" ma:fieldsID="40089037c5a6223559788bbb9b361a3f" ns2:_="" ns3:_="">
    <xsd:import namespace="e424fb49-ba50-448a-9f0a-895990ed0b47"/>
    <xsd:import namespace="de9e19ce-b3b2-4ddf-ade6-b2e79f2487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24fb49-ba50-448a-9f0a-895990ed0b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ee8041e-c971-4c5d-9654-76d6a51c1fb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e19ce-b3b2-4ddf-ade6-b2e79f24876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83c20d-864e-4e33-b303-baa3a535b2c9}" ma:internalName="TaxCatchAll" ma:showField="CatchAllData" ma:web="de9e19ce-b3b2-4ddf-ade6-b2e79f2487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e9e19ce-b3b2-4ddf-ade6-b2e79f248764" xsi:nil="true"/>
    <lcf76f155ced4ddcb4097134ff3c332f xmlns="e424fb49-ba50-448a-9f0a-895990ed0b4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BF27AF-5C1F-404B-B40E-9D72AA982953}">
  <ds:schemaRefs>
    <ds:schemaRef ds:uri="http://schemas.microsoft.com/sharepoint/v3/contenttype/forms"/>
  </ds:schemaRefs>
</ds:datastoreItem>
</file>

<file path=customXml/itemProps2.xml><?xml version="1.0" encoding="utf-8"?>
<ds:datastoreItem xmlns:ds="http://schemas.openxmlformats.org/officeDocument/2006/customXml" ds:itemID="{CEDDBDF7-1D77-41E0-BBA8-1EA65B1AC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24fb49-ba50-448a-9f0a-895990ed0b47"/>
    <ds:schemaRef ds:uri="de9e19ce-b3b2-4ddf-ade6-b2e79f2487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DF2639-7C41-4B50-8543-E871E656C5BA}">
  <ds:schemaRefs>
    <ds:schemaRef ds:uri="http://schemas.microsoft.com/office/2006/metadata/properties"/>
    <ds:schemaRef ds:uri="http://schemas.microsoft.com/office/infopath/2007/PartnerControls"/>
    <ds:schemaRef ds:uri="de9e19ce-b3b2-4ddf-ade6-b2e79f248764"/>
    <ds:schemaRef ds:uri="e424fb49-ba50-448a-9f0a-895990ed0b47"/>
  </ds:schemaRefs>
</ds:datastoreItem>
</file>

<file path=docProps/app.xml><?xml version="1.0" encoding="utf-8"?>
<Properties xmlns="http://schemas.openxmlformats.org/officeDocument/2006/extended-properties" xmlns:vt="http://schemas.openxmlformats.org/officeDocument/2006/docPropsVTypes">
  <Template>Normal</Template>
  <TotalTime>1476</TotalTime>
  <Pages>17</Pages>
  <Words>6374</Words>
  <Characters>36333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Abass Aliu</dc:creator>
  <cp:keywords/>
  <dc:description/>
  <cp:lastModifiedBy>Jehoshaphat Oppong Mensah</cp:lastModifiedBy>
  <cp:revision>65</cp:revision>
  <dcterms:created xsi:type="dcterms:W3CDTF">2026-06-11T08:34:00Z</dcterms:created>
  <dcterms:modified xsi:type="dcterms:W3CDTF">2026-09-04T04:09:00Z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0x0101002E1B828461B2204884F2232A4DF5403E</vt:lpwstr>
  </property>
  <property fmtid="{D5CDD505-2E9C-101B-9397-08002B2CF9AE}" pid="3" name="MediaServiceImageTags">
    <vt:lpwstr/>
  </property>
  <property fmtid="{D5CDD505-2E9C-101B-9397-08002B2CF9AE}" pid="4" name="GrammarlyDocumentId">
    <vt:lpwstr>88e7dfdd-b4ee-472b-b91f-394b1ffed19e</vt:lpwstr>
  </property>
</Properties>
</file>