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olor w:val="C68A22"/>
          <w:sz w:val="22"/>
          <w:szCs w:val="22"/>
        </w:rPr>
        <w:t xml:space="preserve">CIA 3 — COMPONENT 1</w:t>
      </w:r>
    </w:p>
    <w:p>
      <w:pPr>
        <w:spacing w:after="80"/>
        <w:jc w:val="center"/>
      </w:pPr>
      <w:r>
        <w:rPr>
          <w:b/>
          <w:bCs/>
          <w:color w:val="1E2761"/>
          <w:sz w:val="36"/>
          <w:szCs w:val="36"/>
        </w:rPr>
        <w:t xml:space="preserve">Algorithm Report: Reinforcement Learning Approaches for</w:t>
      </w:r>
    </w:p>
    <w:p>
      <w:pPr>
        <w:spacing w:after="200"/>
        <w:jc w:val="center"/>
      </w:pPr>
      <w:r>
        <w:rPr>
          <w:b/>
          <w:bCs/>
          <w:color w:val="1E2761"/>
          <w:sz w:val="36"/>
          <w:szCs w:val="36"/>
        </w:rPr>
        <w:t xml:space="preserve">Dynamic Pricing on Tmall.com</w:t>
      </w:r>
    </w:p>
    <w:p>
      <w:pPr>
        <w:spacing w:after="300"/>
        <w:jc w:val="center"/>
      </w:pPr>
      <w:r>
        <w:rPr>
          <w:i/>
          <w:iCs/>
          <w:color w:val="5B6488"/>
          <w:sz w:val="22"/>
          <w:szCs w:val="22"/>
        </w:rPr>
        <w:t xml:space="preserve">A comparative team study of DQN, DDPG, PPO, and SAC applied to the same field-tested pricing MDP</w:t>
      </w:r>
    </w:p>
    <w:p>
      <w:pPr>
        <w:pBdr>
          <w:top w:val="single" w:color="C68A22" w:sz="6" w:space="8"/>
        </w:pBdr>
        <w:spacing w:after="40"/>
        <w:jc w:val="center"/>
      </w:pPr>
      <w:r>
        <w:t xml:space="preserve"/>
      </w:r>
    </w:p>
    <w:p>
      <w:pPr>
        <w:spacing w:after="20" w:before="200"/>
        <w:jc w:val="center"/>
      </w:pPr>
      <w:r>
        <w:rPr>
          <w:b/>
          <w:bCs/>
          <w:color w:val="1E2761"/>
          <w:sz w:val="22"/>
          <w:szCs w:val="22"/>
        </w:rPr>
        <w:t xml:space="preserve">Team Members &amp; Algorithms</w:t>
      </w:r>
    </w:p>
    <w:p>
      <w:pPr>
        <w:spacing w:after="10"/>
        <w:jc w:val="center"/>
      </w:pPr>
      <w:r>
        <w:rPr>
          <w:sz w:val="21"/>
          <w:szCs w:val="21"/>
        </w:rPr>
        <w:t xml:space="preserve">Shawn Luke Pius (2362160) — DDPG</w:t>
      </w:r>
    </w:p>
    <w:p>
      <w:pPr>
        <w:spacing w:after="10"/>
        <w:jc w:val="center"/>
      </w:pPr>
      <w:r>
        <w:rPr>
          <w:sz w:val="21"/>
          <w:szCs w:val="21"/>
        </w:rPr>
        <w:t xml:space="preserve">Davis — DQN</w:t>
      </w:r>
    </w:p>
    <w:p>
      <w:pPr>
        <w:spacing w:after="10"/>
        <w:jc w:val="center"/>
      </w:pPr>
      <w:r>
        <w:rPr>
          <w:sz w:val="21"/>
          <w:szCs w:val="21"/>
        </w:rPr>
        <w:t xml:space="preserve">Akhil — PPO</w:t>
      </w:r>
    </w:p>
    <w:p>
      <w:pPr>
        <w:spacing w:after="200"/>
        <w:jc w:val="center"/>
      </w:pPr>
      <w:r>
        <w:rPr>
          <w:sz w:val="21"/>
          <w:szCs w:val="21"/>
        </w:rPr>
        <w:t xml:space="preserve">Felix — SAC</w:t>
      </w:r>
    </w:p>
    <w:p>
      <w:pPr>
        <w:spacing w:after="4"/>
        <w:jc w:val="center"/>
      </w:pPr>
      <w:r>
        <w:rPr>
          <w:color w:val="5B6488"/>
          <w:sz w:val="19"/>
          <w:szCs w:val="19"/>
        </w:rPr>
        <w:t xml:space="preserve">Section 7BTCS AIML  ·  CSEAM731 — Reinforcement Learning</w:t>
      </w:r>
    </w:p>
    <w:p>
      <w:pPr>
        <w:spacing w:after="4"/>
        <w:jc w:val="center"/>
      </w:pPr>
      <w:r>
        <w:rPr>
          <w:color w:val="5B6488"/>
          <w:sz w:val="19"/>
          <w:szCs w:val="19"/>
        </w:rPr>
        <w:t xml:space="preserve">School of Engineering and Technology</w:t>
      </w:r>
    </w:p>
    <w:p>
      <w:pPr>
        <w:jc w:val="center"/>
      </w:pPr>
      <w:r>
        <w:rPr>
          <w:color w:val="5B6488"/>
          <w:sz w:val="19"/>
          <w:szCs w:val="19"/>
        </w:rPr>
        <w:t xml:space="preserve">CHRIST (Deemed to be University), Bengaluru  ·  August 2026</w:t>
      </w:r>
    </w:p>
    <w:p>
      <w:r>
        <w:br w:type="page"/>
      </w:r>
    </w:p>
    <w:p>
      <w:pPr>
        <w:pStyle w:val="Heading1"/>
        <w:spacing w:after="160" w:before="360"/>
      </w:pPr>
      <w:r>
        <w:rPr>
          <w:b/>
          <w:bCs/>
          <w:color w:val="1E2761"/>
          <w:sz w:val="30"/>
          <w:szCs w:val="30"/>
        </w:rPr>
        <w:t xml:space="preserve">1. Introduction &amp; Shared Problem Setting</w:t>
      </w:r>
    </w:p>
    <w:p>
      <w:pPr>
        <w:spacing w:after="160" w:line="300"/>
        <w:jc w:val="both"/>
      </w:pPr>
      <w:r>
        <w:rPr>
          <w:color w:val="222222"/>
          <w:sz w:val="22"/>
          <w:szCs w:val="22"/>
        </w:rPr>
        <w:t xml:space="preserve">This report accompanies the team's CIA 3 presentation on reinforcement learning for dynamic pricing, based on Liu et al. (2019), “Dynamic Pricing on E-commerce Platform with Deep Reinforcement Learning: A Field Experiment” (arXiv:1912.02572). The source paper describes a real, field-tested system built by Alibaba's Supply Chain Platform team and deployed on Tmall.com, China's largest B2C marketplace, starting July 2018.</w:t>
      </w:r>
    </w:p>
    <w:p>
      <w:pPr>
        <w:spacing w:after="160" w:line="300"/>
        <w:jc w:val="both"/>
      </w:pPr>
      <w:r>
        <w:rPr>
          <w:color w:val="222222"/>
          <w:sz w:val="22"/>
          <w:szCs w:val="22"/>
        </w:rPr>
        <w:t xml:space="preserve">Rather than each member studying an unrelated algorithm, the team agreed to apply four different reinforcement learning algorithms to the exact same problem formulation — the same states, actions, and reward signal defined in the group's shared analysis — so that the algorithms could be meaningfully compared on equal footing. This mirrors the source paper itself, which trains and field-tests both DQN and DDPG agents on the same pricing task.</w:t>
      </w:r>
    </w:p>
    <w:p>
      <w:pPr>
        <w:spacing w:after="160" w:line="300"/>
        <w:jc w:val="both"/>
      </w:pPr>
      <w:r>
        <w:rPr>
          <w:color w:val="222222"/>
          <w:sz w:val="22"/>
          <w:szCs w:val="22"/>
        </w:rPr>
        <w:t xml:space="preserve">Recap of the shared MDP formulation:</w:t>
      </w:r>
    </w:p>
    <w:p>
      <w:pPr>
        <w:pStyle w:val="ListParagraph"/>
        <w:numPr>
          <w:ilvl w:val="0"/>
          <w:numId w:val="2"/>
        </w:numPr>
        <w:spacing w:after="90" w:line="280"/>
      </w:pPr>
      <w:r>
        <w:rPr>
          <w:color w:val="222222"/>
          <w:sz w:val="22"/>
          <w:szCs w:val="22"/>
        </w:rPr>
        <w:t xml:space="preserve">State sᵢ,ₜ: a feature vector per product i, covering the product's own attributes, its recent sales/traffic performance, its pricing history, and its competitiveness against similar products.</w:t>
      </w:r>
    </w:p>
    <w:p>
      <w:pPr>
        <w:pStyle w:val="ListParagraph"/>
        <w:numPr>
          <w:ilvl w:val="0"/>
          <w:numId w:val="2"/>
        </w:numPr>
        <w:spacing w:after="90" w:line="280"/>
      </w:pPr>
      <w:r>
        <w:rPr>
          <w:color w:val="222222"/>
          <w:sz w:val="22"/>
          <w:szCs w:val="22"/>
        </w:rPr>
        <w:t xml:space="preserve">Action aᵢ,ₜ: either one of K discrete price/discount buckets, or an exact continuous price within a bounded range, depending on the algorithm's action space.</w:t>
      </w:r>
    </w:p>
    <w:p>
      <w:pPr>
        <w:pStyle w:val="ListParagraph"/>
        <w:numPr>
          <w:ilvl w:val="0"/>
          <w:numId w:val="2"/>
        </w:numPr>
        <w:spacing w:after="90" w:line="280"/>
      </w:pPr>
      <w:r>
        <w:rPr>
          <w:color w:val="222222"/>
          <w:sz w:val="22"/>
          <w:szCs w:val="22"/>
        </w:rPr>
        <w:t xml:space="preserve">Reward rᵢ,ₜ: the Difference of Revenue Conversion Rate (DRCR), rᵢ,ₜ = RCRᵢ,ₜ − RCRᵢ,ₜ−τ, which rewards an improvement in traffic-normalised conversion relative to a recent baseline, avoiding the instability of raw revenue as a reward signal.</w:t>
      </w:r>
    </w:p>
    <w:p>
      <w:pPr>
        <w:spacing w:after="160" w:line="300"/>
        <w:jc w:val="both"/>
      </w:pPr>
      <w:r>
        <w:rPr>
          <w:color w:val="222222"/>
          <w:sz w:val="22"/>
          <w:szCs w:val="22"/>
        </w:rPr>
        <w:t xml:space="preserve">Each of the following sections covers one algorithm: why the team member chose it for this problem, how the algorithm works mechanically, and how it compares to the other three algorithms the team implemented.</w:t>
      </w:r>
    </w:p>
    <w:p>
      <w:pPr>
        <w:pStyle w:val="Heading1"/>
        <w:spacing w:after="160" w:before="360"/>
      </w:pPr>
      <w:r>
        <w:rPr>
          <w:b/>
          <w:bCs/>
          <w:color w:val="1E2761"/>
          <w:sz w:val="30"/>
          <w:szCs w:val="30"/>
        </w:rPr>
        <w:t xml:space="preserve">2. Deep Deterministic Policy Gradient (DDPG)</w:t>
      </w:r>
    </w:p>
    <w:tbl>
      <w:tblPr>
        <w:tblW w:type="pct" w:w="100%"/>
        <w:tblBorders>
          <w:top w:val="none" w:color="FFFFFF" w:sz="0"/>
          <w:left w:val="none" w:color="FFFFFF" w:sz="0"/>
          <w:bottom w:val="single" w:color="B8860B" w:sz="12"/>
          <w:right w:val="none" w:color="FFFFFF" w:sz="0"/>
          <w:insideH w:val="none" w:color="FFFFFF" w:sz="0"/>
          <w:insideV w:val="none" w:color="FFFFFF" w:sz="0"/>
        </w:tblBorders>
      </w:tblPr>
      <w:tblGrid>
        <w:gridCol w:w="100"/>
      </w:tblGrid>
      <w:tr>
        <w:tc>
          <w:tcPr>
            <w:tcW w:type="pct" w:w="100%"/>
            <w:tcMar>
              <w:top w:type="dxa" w:w="80"/>
              <w:left w:type="dxa" w:w="0"/>
              <w:bottom w:type="dxa" w:w="120"/>
              <w:right w:type="dxa" w:w="0"/>
            </w:tcMar>
          </w:tcPr>
          <w:p>
            <w:pPr>
              <w:spacing w:after="20"/>
            </w:pPr>
            <w:r>
              <w:rPr>
                <w:b/>
                <w:bCs/>
                <w:color w:val="B8860B"/>
                <w:sz w:val="30"/>
                <w:szCs w:val="30"/>
              </w:rPr>
              <w:t xml:space="preserve">DDPG </w:t>
            </w:r>
            <w:r>
              <w:rPr>
                <w:i/>
                <w:iCs/>
                <w:color w:val="5B6488"/>
                <w:sz w:val="22"/>
                <w:szCs w:val="22"/>
              </w:rPr>
              <w:t xml:space="preserve">— Deep Deterministic Policy Gradient</w:t>
            </w:r>
          </w:p>
          <w:p>
            <w:r>
              <w:rPr>
                <w:b/>
                <w:bCs/>
                <w:color w:val="1E2761"/>
                <w:sz w:val="20"/>
                <w:szCs w:val="20"/>
              </w:rPr>
              <w:t xml:space="preserve">Team member: </w:t>
            </w:r>
            <w:r>
              <w:rPr>
                <w:color w:val="222222"/>
                <w:sz w:val="20"/>
                <w:szCs w:val="20"/>
              </w:rPr>
              <w:t xml:space="preserve">Shawn Luke Pius</w:t>
            </w:r>
          </w:p>
        </w:tc>
      </w:tr>
    </w:tbl>
    <w:p>
      <w:pPr>
        <w:pStyle w:val="Heading2"/>
        <w:spacing w:after="120" w:before="240"/>
      </w:pPr>
      <w:r>
        <w:rPr>
          <w:b/>
          <w:bCs/>
          <w:color w:val="1E2761"/>
          <w:sz w:val="24"/>
          <w:szCs w:val="24"/>
        </w:rPr>
        <w:t xml:space="preserve">2.1 Why This Algorithm Was Chosen</w:t>
      </w:r>
    </w:p>
    <w:p>
      <w:pPr>
        <w:spacing w:after="160" w:line="300"/>
        <w:jc w:val="both"/>
      </w:pPr>
      <w:r>
        <w:rPr>
          <w:color w:val="222222"/>
          <w:sz w:val="22"/>
          <w:szCs w:val="22"/>
        </w:rPr>
        <w:t xml:space="preserve">Price is fundamentally a continuous quantity, and the source paper documents a real trade-off in trying to force it into a discrete DQN formulation: a small number of price buckets K makes the resulting price imprecise, while a very large K spreads the limited training data too thin across rarely-visited buckets. DDPG was chosen specifically to remove this trade-off, since its actor network outputs an exact price directly rather than selecting from a fixed menu of options.</w:t>
      </w:r>
    </w:p>
    <w:p>
      <w:pPr>
        <w:spacing w:after="160" w:line="300"/>
        <w:jc w:val="both"/>
      </w:pPr>
      <w:r>
        <w:rPr>
          <w:color w:val="222222"/>
          <w:sz w:val="22"/>
          <w:szCs w:val="22"/>
        </w:rPr>
        <w:t xml:space="preserve">This choice is not merely theoretical — the source paper's own live field experiment found that, over a 30-day phase with matched conditions, the DDPG treatment group achieved an average DRCR of 6.07 against a manual-pricing control group rescaled to 1.00, compared to 5.03 for the DQN treatment group in the same window. This gave a genuine, measured justification for selecting DDPG over the discrete alternative.</w:t>
      </w:r>
    </w:p>
    <w:p>
      <w:pPr>
        <w:pStyle w:val="Heading2"/>
        <w:spacing w:after="120" w:before="240"/>
      </w:pPr>
      <w:r>
        <w:rPr>
          <w:b/>
          <w:bCs/>
          <w:color w:val="1E2761"/>
          <w:sz w:val="24"/>
          <w:szCs w:val="24"/>
        </w:rPr>
        <w:t xml:space="preserve">2.2 How DDPG Works</w:t>
      </w:r>
    </w:p>
    <w:p>
      <w:pPr>
        <w:spacing w:after="160" w:line="300"/>
        <w:jc w:val="both"/>
      </w:pPr>
      <w:r>
        <w:rPr>
          <w:color w:val="222222"/>
          <w:sz w:val="22"/>
          <w:szCs w:val="22"/>
        </w:rPr>
        <w:t xml:space="preserve">DDPG (Lillicrap et al., 2015) is an off-policy actor-critic algorithm designed for continuous action spaces. It maintains two networks:</w:t>
      </w:r>
    </w:p>
    <w:p>
      <w:pPr>
        <w:pStyle w:val="ListParagraph"/>
        <w:numPr>
          <w:ilvl w:val="0"/>
          <w:numId w:val="2"/>
        </w:numPr>
        <w:spacing w:after="90" w:line="280"/>
      </w:pPr>
      <w:r>
        <w:rPr>
          <w:color w:val="222222"/>
          <w:sz w:val="22"/>
          <w:szCs w:val="22"/>
        </w:rPr>
        <w:t xml:space="preserve">Actor μθ(s): a deterministic policy that maps a state directly to one continuous action (here, a price).</w:t>
      </w:r>
    </w:p>
    <w:p>
      <w:pPr>
        <w:pStyle w:val="ListParagraph"/>
        <w:numPr>
          <w:ilvl w:val="0"/>
          <w:numId w:val="2"/>
        </w:numPr>
        <w:spacing w:after="90" w:line="280"/>
      </w:pPr>
      <w:r>
        <w:rPr>
          <w:color w:val="222222"/>
          <w:sz w:val="22"/>
          <w:szCs w:val="22"/>
        </w:rPr>
        <w:t xml:space="preserve">Critic Q(s,a|θ^Q): estimates the expected return of taking a given action in a given state.</w:t>
      </w:r>
    </w:p>
    <w:p>
      <w:pPr>
        <w:spacing w:after="160" w:line="300"/>
        <w:jc w:val="both"/>
      </w:pPr>
      <w:r>
        <w:rPr>
          <w:color w:val="222222"/>
          <w:sz w:val="22"/>
          <w:szCs w:val="22"/>
        </w:rPr>
        <w:t xml:space="preserve">The critic is trained by minimising the Bellman error against a slowly-updated target network, and the actor is updated in the direction that increases the critic's estimate of its own output:</w:t>
      </w:r>
    </w:p>
    <w:tbl>
      <w:tblPr>
        <w:tblW w:type="pct" w:w="100%"/>
        <w:tblBorders>
          <w:top w:val="single" w:color="DCE1F0" w:sz="4"/>
          <w:left w:val="single" w:color="DCE1F0" w:sz="4"/>
          <w:bottom w:val="single" w:color="DCE1F0" w:sz="4"/>
          <w:right w:val="single" w:color="DCE1F0" w:sz="4"/>
          <w:insideH w:val="none" w:color="DCE1F0" w:sz="0"/>
          <w:insideV w:val="none" w:color="DCE1F0" w:sz="0"/>
        </w:tblBorders>
      </w:tblPr>
      <w:tblGrid>
        <w:gridCol w:w="100"/>
      </w:tblGrid>
      <w:tr>
        <w:tc>
          <w:tcPr>
            <w:shd w:fill="F7F8FC" w:val="clear"/>
            <w:tcMar>
              <w:top w:type="dxa" w:w="160"/>
              <w:left w:type="dxa" w:w="220"/>
              <w:bottom w:type="dxa" w:w="160"/>
              <w:right w:type="dxa" w:w="220"/>
            </w:tcMar>
          </w:tcPr>
          <w:p>
            <w:pPr>
              <w:spacing w:after="80"/>
            </w:pPr>
            <w:r>
              <w:rPr>
                <w:rFonts w:ascii="Courier New" w:cs="Courier New" w:eastAsia="Courier New" w:hAnsi="Courier New"/>
                <w:color w:val="1E2761"/>
                <w:sz w:val="21"/>
                <w:szCs w:val="21"/>
              </w:rPr>
              <w:t xml:space="preserve">Critic loss:</w:t>
            </w:r>
          </w:p>
          <w:p>
            <w:pPr>
              <w:spacing w:after="80"/>
            </w:pPr>
            <w:r>
              <w:rPr>
                <w:rFonts w:ascii="Courier New" w:cs="Courier New" w:eastAsia="Courier New" w:hAnsi="Courier New"/>
                <w:color w:val="1E2761"/>
                <w:sz w:val="21"/>
                <w:szCs w:val="21"/>
              </w:rPr>
              <w:t xml:space="preserve">L(θ^Q) = E[(r + γ·Q(s′, μ(s′|θ^μ′)|θ^Q′) − Q(s,a|θ^Q))²]</w:t>
            </w:r>
          </w:p>
          <w:p>
            <w:pPr>
              <w:spacing w:after="80"/>
            </w:pPr>
            <w:r>
              <w:rPr>
                <w:rFonts w:ascii="Courier New" w:cs="Courier New" w:eastAsia="Courier New" w:hAnsi="Courier New"/>
                <w:color w:val="1E2761"/>
                <w:sz w:val="21"/>
                <w:szCs w:val="21"/>
              </w:rPr>
              <w:t xml:space="preserve"/>
            </w:r>
          </w:p>
          <w:p>
            <w:pPr>
              <w:spacing w:after="80"/>
            </w:pPr>
            <w:r>
              <w:rPr>
                <w:rFonts w:ascii="Courier New" w:cs="Courier New" w:eastAsia="Courier New" w:hAnsi="Courier New"/>
                <w:color w:val="1E2761"/>
                <w:sz w:val="21"/>
                <w:szCs w:val="21"/>
              </w:rPr>
              <w:t xml:space="preserve">Deterministic policy gradient (actor update):</w:t>
            </w:r>
          </w:p>
          <w:p>
            <w:pPr>
              <w:spacing w:after="0"/>
            </w:pPr>
            <w:r>
              <w:rPr>
                <w:rFonts w:ascii="Courier New" w:cs="Courier New" w:eastAsia="Courier New" w:hAnsi="Courier New"/>
                <w:color w:val="1E2761"/>
                <w:sz w:val="21"/>
                <w:szCs w:val="21"/>
              </w:rPr>
              <w:t xml:space="preserve">∇θ^μ J ≈ E[∇ₐQ(s,a|θ^Q)|ₐ₌μ(s) · ∇θ^μ μ(s|θ^μ)]</w:t>
            </w:r>
          </w:p>
        </w:tc>
      </w:tr>
    </w:tbl>
    <w:p>
      <w:pPr>
        <w:spacing w:after="160" w:line="300"/>
        <w:jc w:val="both"/>
      </w:pPr>
      <w:r>
        <w:rPr>
          <w:color w:val="222222"/>
          <w:sz w:val="22"/>
          <w:szCs w:val="22"/>
        </w:rPr>
        <w:t xml:space="preserve">As with DQN, DDPG uses an experience replay buffer and separate, slowly-updated target networks (for both the actor and critic) to keep the moving bootstrapped target stable during training. Because the actor is deterministic, it has no built-in randomness, so exploration noise is added externally to the chosen price during training and gradually reduced as the policy converges.</w:t>
      </w:r>
    </w:p>
    <w:p>
      <w:pPr>
        <w:spacing w:after="160" w:line="300"/>
        <w:jc w:val="both"/>
      </w:pPr>
      <w:r>
        <w:rPr>
          <w:color w:val="222222"/>
          <w:sz w:val="22"/>
          <w:szCs w:val="22"/>
        </w:rPr>
        <w:t xml:space="preserve">Applied to this problem: the state fed to the actor is sᵢ,ₜ (the product's feature vector); the action it outputs is an exact price aᵢ,ₜ; and it is trained against the DRCR reward, the same signal used across the team's other algorithms.</w:t>
      </w:r>
    </w:p>
    <w:p>
      <w:pPr>
        <w:pStyle w:val="Heading2"/>
        <w:spacing w:after="120" w:before="240"/>
      </w:pPr>
      <w:r>
        <w:rPr>
          <w:b/>
          <w:bCs/>
          <w:color w:val="1E2761"/>
          <w:sz w:val="24"/>
          <w:szCs w:val="24"/>
        </w:rPr>
        <w:t xml:space="preserve">2.3 Comparison to the Other Algorithms</w:t>
      </w:r>
    </w:p>
    <w:p>
      <w:pPr>
        <w:pStyle w:val="ListParagraph"/>
        <w:numPr>
          <w:ilvl w:val="0"/>
          <w:numId w:val="2"/>
        </w:numPr>
        <w:spacing w:after="90" w:line="280"/>
      </w:pPr>
      <w:r>
        <w:rPr>
          <w:color w:val="222222"/>
          <w:sz w:val="22"/>
          <w:szCs w:val="22"/>
        </w:rPr>
        <w:t xml:space="preserve">Vs. DQN: DDPG outputs an exact price instead of a discrete bucket, avoiding the precision/data-sparsity trade-off that discretisation forces — at the cost of a more complex, less stable two-network training process.</w:t>
      </w:r>
    </w:p>
    <w:p>
      <w:pPr>
        <w:pStyle w:val="ListParagraph"/>
        <w:numPr>
          <w:ilvl w:val="0"/>
          <w:numId w:val="2"/>
        </w:numPr>
        <w:spacing w:after="90" w:line="280"/>
      </w:pPr>
      <w:r>
        <w:rPr>
          <w:color w:val="222222"/>
          <w:sz w:val="22"/>
          <w:szCs w:val="22"/>
        </w:rPr>
        <w:t xml:space="preserve">Vs. PPO: Both can act in continuous spaces, but DDPG is off-policy and deterministic (needs external exploration noise), whereas PPO is on-policy and stochastic (exploration is built into its action distribution).</w:t>
      </w:r>
    </w:p>
    <w:p>
      <w:pPr>
        <w:pStyle w:val="ListParagraph"/>
        <w:numPr>
          <w:ilvl w:val="0"/>
          <w:numId w:val="2"/>
        </w:numPr>
        <w:spacing w:after="90" w:line="280"/>
      </w:pPr>
      <w:r>
        <w:rPr>
          <w:color w:val="222222"/>
          <w:sz w:val="22"/>
          <w:szCs w:val="22"/>
        </w:rPr>
        <w:t xml:space="preserve">Vs. SAC: SAC can be seen as a refinement of the same off-policy, continuous actor-critic family as DDPG, adding an entropy bonus for automatic exploration and typically offering more stable training than DDPG's externally-scheduled noise.</w:t>
      </w:r>
    </w:p>
    <w:p>
      <w:pPr>
        <w:pStyle w:val="Heading1"/>
        <w:spacing w:after="160" w:before="360"/>
      </w:pPr>
      <w:r>
        <w:rPr>
          <w:b/>
          <w:bCs/>
          <w:color w:val="1E2761"/>
          <w:sz w:val="30"/>
          <w:szCs w:val="30"/>
        </w:rPr>
        <w:t xml:space="preserve">3. Deep Q-Network (DQN)</w:t>
      </w:r>
    </w:p>
    <w:tbl>
      <w:tblPr>
        <w:tblW w:type="pct" w:w="100%"/>
        <w:tblBorders>
          <w:top w:val="none" w:color="FFFFFF" w:sz="0"/>
          <w:left w:val="none" w:color="FFFFFF" w:sz="0"/>
          <w:bottom w:val="single" w:color="2E5FA3" w:sz="12"/>
          <w:right w:val="none" w:color="FFFFFF" w:sz="0"/>
          <w:insideH w:val="none" w:color="FFFFFF" w:sz="0"/>
          <w:insideV w:val="none" w:color="FFFFFF" w:sz="0"/>
        </w:tblBorders>
      </w:tblPr>
      <w:tblGrid>
        <w:gridCol w:w="100"/>
      </w:tblGrid>
      <w:tr>
        <w:tc>
          <w:tcPr>
            <w:tcW w:type="pct" w:w="100%"/>
            <w:tcMar>
              <w:top w:type="dxa" w:w="80"/>
              <w:left w:type="dxa" w:w="0"/>
              <w:bottom w:type="dxa" w:w="120"/>
              <w:right w:type="dxa" w:w="0"/>
            </w:tcMar>
          </w:tcPr>
          <w:p>
            <w:pPr>
              <w:spacing w:after="20"/>
            </w:pPr>
            <w:r>
              <w:rPr>
                <w:b/>
                <w:bCs/>
                <w:color w:val="2E5FA3"/>
                <w:sz w:val="30"/>
                <w:szCs w:val="30"/>
              </w:rPr>
              <w:t xml:space="preserve">DQN </w:t>
            </w:r>
            <w:r>
              <w:rPr>
                <w:i/>
                <w:iCs/>
                <w:color w:val="5B6488"/>
                <w:sz w:val="22"/>
                <w:szCs w:val="22"/>
              </w:rPr>
              <w:t xml:space="preserve">— Deep Q-Network</w:t>
            </w:r>
          </w:p>
          <w:p>
            <w:r>
              <w:rPr>
                <w:b/>
                <w:bCs/>
                <w:color w:val="1E2761"/>
                <w:sz w:val="20"/>
                <w:szCs w:val="20"/>
              </w:rPr>
              <w:t xml:space="preserve">Team member: </w:t>
            </w:r>
            <w:r>
              <w:rPr>
                <w:color w:val="222222"/>
                <w:sz w:val="20"/>
                <w:szCs w:val="20"/>
              </w:rPr>
              <w:t xml:space="preserve">Davis</w:t>
            </w:r>
          </w:p>
        </w:tc>
      </w:tr>
    </w:tbl>
    <w:p>
      <w:pPr>
        <w:pStyle w:val="Heading2"/>
        <w:spacing w:after="120" w:before="240"/>
      </w:pPr>
      <w:r>
        <w:rPr>
          <w:b/>
          <w:bCs/>
          <w:color w:val="1E2761"/>
          <w:sz w:val="24"/>
          <w:szCs w:val="24"/>
        </w:rPr>
        <w:t xml:space="preserve">3.1 Why This Algorithm Was Chosen</w:t>
      </w:r>
    </w:p>
    <w:p>
      <w:pPr>
        <w:spacing w:after="160" w:line="300"/>
        <w:jc w:val="both"/>
      </w:pPr>
      <w:r>
        <w:rPr>
          <w:color w:val="222222"/>
          <w:sz w:val="22"/>
          <w:szCs w:val="22"/>
        </w:rPr>
        <w:t xml:space="preserve">DQN was chosen as the team's value-based baseline because it is the original, simplest formulation used in the source paper and gives a clear point of comparison for the other three algorithms. Framing pricing decisions as a choice between K discrete price or discount buckets is a natural fit for Q-learning, which needs only a finite, enumerable action set per state to evaluate.</w:t>
      </w:r>
    </w:p>
    <w:p>
      <w:pPr>
        <w:spacing w:after="160" w:line="300"/>
        <w:jc w:val="both"/>
      </w:pPr>
      <w:r>
        <w:rPr>
          <w:color w:val="222222"/>
          <w:sz w:val="22"/>
          <w:szCs w:val="22"/>
        </w:rPr>
        <w:t xml:space="preserve">A practical advantage that motivated this choice is training simplicity and stability: with thousands of independently-priced SKUs to train a separate policy for, a well-understood, comparatively lightweight algorithm like DQN is fast to train and easy to debug, which matters when the same architecture must be replicated per product.</w:t>
      </w:r>
    </w:p>
    <w:p>
      <w:pPr>
        <w:pStyle w:val="Heading2"/>
        <w:spacing w:after="120" w:before="240"/>
      </w:pPr>
      <w:r>
        <w:rPr>
          <w:b/>
          <w:bCs/>
          <w:color w:val="1E2761"/>
          <w:sz w:val="24"/>
          <w:szCs w:val="24"/>
        </w:rPr>
        <w:t xml:space="preserve">3.2 How DQN Works</w:t>
      </w:r>
    </w:p>
    <w:p>
      <w:pPr>
        <w:spacing w:after="160" w:line="300"/>
        <w:jc w:val="both"/>
      </w:pPr>
      <w:r>
        <w:rPr>
          <w:color w:val="222222"/>
          <w:sz w:val="22"/>
          <w:szCs w:val="22"/>
        </w:rPr>
        <w:t xml:space="preserve">DQN (Mnih et al., 2015) extends classical Q-learning (Watkins, 1989) by using a deep neural network Q(s,a|θ) to approximate the action-value function over a discrete action set, rather than a lookup table. The network is trained to satisfy the Bellman optimality equation via temporal-difference learning:</w:t>
      </w:r>
    </w:p>
    <w:tbl>
      <w:tblPr>
        <w:tblW w:type="pct" w:w="100%"/>
        <w:tblBorders>
          <w:top w:val="single" w:color="DCE1F0" w:sz="4"/>
          <w:left w:val="single" w:color="DCE1F0" w:sz="4"/>
          <w:bottom w:val="single" w:color="DCE1F0" w:sz="4"/>
          <w:right w:val="single" w:color="DCE1F0" w:sz="4"/>
          <w:insideH w:val="none" w:color="DCE1F0" w:sz="0"/>
          <w:insideV w:val="none" w:color="DCE1F0" w:sz="0"/>
        </w:tblBorders>
      </w:tblPr>
      <w:tblGrid>
        <w:gridCol w:w="100"/>
      </w:tblGrid>
      <w:tr>
        <w:tc>
          <w:tcPr>
            <w:shd w:fill="F7F8FC" w:val="clear"/>
            <w:tcMar>
              <w:top w:type="dxa" w:w="160"/>
              <w:left w:type="dxa" w:w="220"/>
              <w:bottom w:type="dxa" w:w="160"/>
              <w:right w:type="dxa" w:w="220"/>
            </w:tcMar>
          </w:tcPr>
          <w:p>
            <w:pPr>
              <w:spacing w:after="80"/>
            </w:pPr>
            <w:r>
              <w:rPr>
                <w:rFonts w:ascii="Courier New" w:cs="Courier New" w:eastAsia="Courier New" w:hAnsi="Courier New"/>
                <w:color w:val="1E2761"/>
                <w:sz w:val="21"/>
                <w:szCs w:val="21"/>
              </w:rPr>
              <w:t xml:space="preserve">Target:  y = r + γ · maxₐ′ Q(s′, a′ | θ⁻)</w:t>
            </w:r>
          </w:p>
          <w:p>
            <w:pPr>
              <w:spacing w:after="0"/>
            </w:pPr>
            <w:r>
              <w:rPr>
                <w:rFonts w:ascii="Courier New" w:cs="Courier New" w:eastAsia="Courier New" w:hAnsi="Courier New"/>
                <w:color w:val="1E2761"/>
                <w:sz w:val="21"/>
                <w:szCs w:val="21"/>
              </w:rPr>
              <w:t xml:space="preserve">Loss:    L(θ) = E[(y − Q(s,a|θ))²]</w:t>
            </w:r>
          </w:p>
        </w:tc>
      </w:tr>
    </w:tbl>
    <w:p>
      <w:pPr>
        <w:spacing w:after="160" w:line="300"/>
        <w:jc w:val="both"/>
      </w:pPr>
      <w:r>
        <w:rPr>
          <w:color w:val="222222"/>
          <w:sz w:val="22"/>
          <w:szCs w:val="22"/>
        </w:rPr>
        <w:t xml:space="preserve">Two mechanisms are essential to making this stable: an experience replay buffer, which stores past (s,a,r,s′) transitions and samples them randomly to break the correlation between consecutive updates; and a separate, periodically-updated target network θ⁻, which keeps the bootstrapped target y from shifting on every single gradient step and chasing a moving goalpost.</w:t>
      </w:r>
    </w:p>
    <w:p>
      <w:pPr>
        <w:spacing w:after="160" w:line="300"/>
        <w:jc w:val="both"/>
      </w:pPr>
      <w:r>
        <w:rPr>
          <w:color w:val="222222"/>
          <w:sz w:val="22"/>
          <w:szCs w:val="22"/>
        </w:rPr>
        <w:t xml:space="preserve">Applied to this problem: the state is the same sᵢ,ₜ feature vector; the action space is K discrete price or discount buckets (e.g., the K=9 discount tiers used in the markdown-pricing scenario); and the network is trained against the DRCR reward. Exploration over the K buckets follows a standard value-based schedule (e.g., ε-greedy), gradually shifting from exploring buckets at random toward exploiting the bucket with the highest estimated Q-value.</w:t>
      </w:r>
    </w:p>
    <w:p>
      <w:pPr>
        <w:pStyle w:val="Heading2"/>
        <w:spacing w:after="120" w:before="240"/>
      </w:pPr>
      <w:r>
        <w:rPr>
          <w:b/>
          <w:bCs/>
          <w:color w:val="1E2761"/>
          <w:sz w:val="24"/>
          <w:szCs w:val="24"/>
        </w:rPr>
        <w:t xml:space="preserve">3.3 Comparison to the Other Algorithms</w:t>
      </w:r>
    </w:p>
    <w:p>
      <w:pPr>
        <w:pStyle w:val="ListParagraph"/>
        <w:numPr>
          <w:ilvl w:val="0"/>
          <w:numId w:val="2"/>
        </w:numPr>
        <w:spacing w:after="90" w:line="280"/>
      </w:pPr>
      <w:r>
        <w:rPr>
          <w:color w:val="222222"/>
          <w:sz w:val="22"/>
          <w:szCs w:val="22"/>
        </w:rPr>
        <w:t xml:space="preserve">Vs. DDPG: DQN is simpler and typically faster to train per-SKU, but its price precision is capped by the bucket resolution K — a limitation the source paper's own offline sweep confirmed in practice, especially for FMCG products.</w:t>
      </w:r>
    </w:p>
    <w:p>
      <w:pPr>
        <w:pStyle w:val="ListParagraph"/>
        <w:numPr>
          <w:ilvl w:val="0"/>
          <w:numId w:val="2"/>
        </w:numPr>
        <w:spacing w:after="90" w:line="280"/>
      </w:pPr>
      <w:r>
        <w:rPr>
          <w:color w:val="222222"/>
          <w:sz w:val="22"/>
          <w:szCs w:val="22"/>
        </w:rPr>
        <w:t xml:space="preserve">Vs. PPO: Both can be seen as “safer” or simpler than continuous actor-critic methods, but DQN is off-policy and value-based (learns Q-values), while PPO is on-policy and policy-based (learns action probabilities directly).</w:t>
      </w:r>
    </w:p>
    <w:p>
      <w:pPr>
        <w:pStyle w:val="ListParagraph"/>
        <w:numPr>
          <w:ilvl w:val="0"/>
          <w:numId w:val="2"/>
        </w:numPr>
        <w:spacing w:after="90" w:line="280"/>
      </w:pPr>
      <w:r>
        <w:rPr>
          <w:color w:val="222222"/>
          <w:sz w:val="22"/>
          <w:szCs w:val="22"/>
        </w:rPr>
        <w:t xml:space="preserve">Vs. SAC: DQN has no natural notion of “entropy-driven” exploration built into its objective — exploration is a separate, hand-tuned schedule (like ε-greedy), whereas SAC bakes exploration into the objective itself.</w:t>
      </w:r>
    </w:p>
    <w:p>
      <w:pPr>
        <w:pStyle w:val="Heading1"/>
        <w:spacing w:after="160" w:before="360"/>
      </w:pPr>
      <w:r>
        <w:rPr>
          <w:b/>
          <w:bCs/>
          <w:color w:val="1E2761"/>
          <w:sz w:val="30"/>
          <w:szCs w:val="30"/>
        </w:rPr>
        <w:t xml:space="preserve">4. Proximal Policy Optimization (PPO)</w:t>
      </w:r>
    </w:p>
    <w:tbl>
      <w:tblPr>
        <w:tblW w:type="pct" w:w="100%"/>
        <w:tblBorders>
          <w:top w:val="none" w:color="FFFFFF" w:sz="0"/>
          <w:left w:val="none" w:color="FFFFFF" w:sz="0"/>
          <w:bottom w:val="single" w:color="2F8B57" w:sz="12"/>
          <w:right w:val="none" w:color="FFFFFF" w:sz="0"/>
          <w:insideH w:val="none" w:color="FFFFFF" w:sz="0"/>
          <w:insideV w:val="none" w:color="FFFFFF" w:sz="0"/>
        </w:tblBorders>
      </w:tblPr>
      <w:tblGrid>
        <w:gridCol w:w="100"/>
      </w:tblGrid>
      <w:tr>
        <w:tc>
          <w:tcPr>
            <w:tcW w:type="pct" w:w="100%"/>
            <w:tcMar>
              <w:top w:type="dxa" w:w="80"/>
              <w:left w:type="dxa" w:w="0"/>
              <w:bottom w:type="dxa" w:w="120"/>
              <w:right w:type="dxa" w:w="0"/>
            </w:tcMar>
          </w:tcPr>
          <w:p>
            <w:pPr>
              <w:spacing w:after="20"/>
            </w:pPr>
            <w:r>
              <w:rPr>
                <w:b/>
                <w:bCs/>
                <w:color w:val="2F8B57"/>
                <w:sz w:val="30"/>
                <w:szCs w:val="30"/>
              </w:rPr>
              <w:t xml:space="preserve">PPO </w:t>
            </w:r>
            <w:r>
              <w:rPr>
                <w:i/>
                <w:iCs/>
                <w:color w:val="5B6488"/>
                <w:sz w:val="22"/>
                <w:szCs w:val="22"/>
              </w:rPr>
              <w:t xml:space="preserve">— Proximal Policy Optimization</w:t>
            </w:r>
          </w:p>
          <w:p>
            <w:r>
              <w:rPr>
                <w:b/>
                <w:bCs/>
                <w:color w:val="1E2761"/>
                <w:sz w:val="20"/>
                <w:szCs w:val="20"/>
              </w:rPr>
              <w:t xml:space="preserve">Team member: </w:t>
            </w:r>
            <w:r>
              <w:rPr>
                <w:color w:val="222222"/>
                <w:sz w:val="20"/>
                <w:szCs w:val="20"/>
              </w:rPr>
              <w:t xml:space="preserve">Akhil</w:t>
            </w:r>
          </w:p>
        </w:tc>
      </w:tr>
    </w:tbl>
    <w:p>
      <w:pPr>
        <w:pStyle w:val="Heading2"/>
        <w:spacing w:after="120" w:before="240"/>
      </w:pPr>
      <w:r>
        <w:rPr>
          <w:b/>
          <w:bCs/>
          <w:color w:val="1E2761"/>
          <w:sz w:val="24"/>
          <w:szCs w:val="24"/>
        </w:rPr>
        <w:t xml:space="preserve">4.1 Why This Algorithm Was Chosen</w:t>
      </w:r>
    </w:p>
    <w:p>
      <w:pPr>
        <w:spacing w:after="160" w:line="300"/>
        <w:jc w:val="both"/>
      </w:pPr>
      <w:r>
        <w:rPr>
          <w:color w:val="222222"/>
          <w:sz w:val="22"/>
          <w:szCs w:val="22"/>
        </w:rPr>
        <w:t xml:space="preserve">PPO was chosen to test whether an on-policy, stability-focused method would handle the noisy, real-world nature of the reward signal better than the off-policy methods used elsewhere on the team. As the source paper notes, customer traffic to a product page fluctuates for reasons unrelated to price, and even after normalising revenue into RCR/DRCR, daily conversion signals remain noisy. PPO's defining feature — a clipped objective that prevents any single update from moving the policy too far — was chosen specifically to guard against a single unusually good or bad day of real sales data from destabilising the entire pricing policy.</w:t>
      </w:r>
    </w:p>
    <w:p>
      <w:pPr>
        <w:spacing w:after="160" w:line="300"/>
        <w:jc w:val="both"/>
      </w:pPr>
      <w:r>
        <w:rPr>
          <w:color w:val="222222"/>
          <w:sz w:val="22"/>
          <w:szCs w:val="22"/>
        </w:rPr>
        <w:t xml:space="preserve">PPO was also chosen because it generalises across both action-space types the team is comparing: it can be configured for the same discrete price-bucket action space as DQN, or adapted to continuous pricing like DDPG and SAC, making it a useful bridge between the two formulations.</w:t>
      </w:r>
    </w:p>
    <w:p>
      <w:pPr>
        <w:pStyle w:val="Heading2"/>
        <w:spacing w:after="120" w:before="240"/>
      </w:pPr>
      <w:r>
        <w:rPr>
          <w:b/>
          <w:bCs/>
          <w:color w:val="1E2761"/>
          <w:sz w:val="24"/>
          <w:szCs w:val="24"/>
        </w:rPr>
        <w:t xml:space="preserve">4.2 How PPO Works</w:t>
      </w:r>
    </w:p>
    <w:p>
      <w:pPr>
        <w:spacing w:after="160" w:line="300"/>
        <w:jc w:val="both"/>
      </w:pPr>
      <w:r>
        <w:rPr>
          <w:color w:val="222222"/>
          <w:sz w:val="22"/>
          <w:szCs w:val="22"/>
        </w:rPr>
        <w:t xml:space="preserve">PPO (Schulman et al., 2017) is an on-policy actor-critic algorithm. Instead of learning action-values, it directly learns a policy πθ(a|s) and updates it using gradient ascent on an objective that is clipped to discourage large, destabilising policy changes in any one update:</w:t>
      </w:r>
    </w:p>
    <w:tbl>
      <w:tblPr>
        <w:tblW w:type="pct" w:w="100%"/>
        <w:tblBorders>
          <w:top w:val="single" w:color="DCE1F0" w:sz="4"/>
          <w:left w:val="single" w:color="DCE1F0" w:sz="4"/>
          <w:bottom w:val="single" w:color="DCE1F0" w:sz="4"/>
          <w:right w:val="single" w:color="DCE1F0" w:sz="4"/>
          <w:insideH w:val="none" w:color="DCE1F0" w:sz="0"/>
          <w:insideV w:val="none" w:color="DCE1F0" w:sz="0"/>
        </w:tblBorders>
      </w:tblPr>
      <w:tblGrid>
        <w:gridCol w:w="100"/>
      </w:tblGrid>
      <w:tr>
        <w:tc>
          <w:tcPr>
            <w:shd w:fill="F7F8FC" w:val="clear"/>
            <w:tcMar>
              <w:top w:type="dxa" w:w="160"/>
              <w:left w:type="dxa" w:w="220"/>
              <w:bottom w:type="dxa" w:w="160"/>
              <w:right w:type="dxa" w:w="220"/>
            </w:tcMar>
          </w:tcPr>
          <w:p>
            <w:pPr>
              <w:spacing w:after="80"/>
            </w:pPr>
            <w:r>
              <w:rPr>
                <w:rFonts w:ascii="Courier New" w:cs="Courier New" w:eastAsia="Courier New" w:hAnsi="Courier New"/>
                <w:color w:val="1E2761"/>
                <w:sz w:val="21"/>
                <w:szCs w:val="21"/>
              </w:rPr>
              <w:t xml:space="preserve">Probability ratio:  r_t(θ) = πθ(aₜ|sₜ) / πθ_old(aₜ|sₜ)</w:t>
            </w:r>
          </w:p>
          <w:p>
            <w:pPr>
              <w:spacing w:after="80"/>
            </w:pPr>
            <w:r>
              <w:rPr>
                <w:rFonts w:ascii="Courier New" w:cs="Courier New" w:eastAsia="Courier New" w:hAnsi="Courier New"/>
                <w:color w:val="1E2761"/>
                <w:sz w:val="21"/>
                <w:szCs w:val="21"/>
              </w:rPr>
              <w:t xml:space="preserve"/>
            </w:r>
          </w:p>
          <w:p>
            <w:pPr>
              <w:spacing w:after="80"/>
            </w:pPr>
            <w:r>
              <w:rPr>
                <w:rFonts w:ascii="Courier New" w:cs="Courier New" w:eastAsia="Courier New" w:hAnsi="Courier New"/>
                <w:color w:val="1E2761"/>
                <w:sz w:val="21"/>
                <w:szCs w:val="21"/>
              </w:rPr>
              <w:t xml:space="preserve">Clipped surrogate objective:</w:t>
            </w:r>
          </w:p>
          <w:p>
            <w:pPr>
              <w:spacing w:after="0"/>
            </w:pPr>
            <w:r>
              <w:rPr>
                <w:rFonts w:ascii="Courier New" w:cs="Courier New" w:eastAsia="Courier New" w:hAnsi="Courier New"/>
                <w:color w:val="1E2761"/>
                <w:sz w:val="21"/>
                <w:szCs w:val="21"/>
              </w:rPr>
              <w:t xml:space="preserve">L^CLIP(θ) = E[ min( r_t(θ)·Âₜ , clip(r_t(θ), 1−ε, 1+ε)·Âₜ ) ]</w:t>
            </w:r>
          </w:p>
        </w:tc>
      </w:tr>
    </w:tbl>
    <w:p>
      <w:pPr>
        <w:spacing w:after="160" w:line="300"/>
        <w:jc w:val="both"/>
      </w:pPr>
      <w:r>
        <w:rPr>
          <w:color w:val="222222"/>
          <w:sz w:val="22"/>
          <w:szCs w:val="22"/>
        </w:rPr>
        <w:t xml:space="preserve">Here Âₜ is an advantage estimate (how much better an action was than the policy's average action in that state), typically computed with a learned value/critic network and Generalized Advantage Estimation. The clip(·, 1−ε, 1+ε) term caps how much the probability ratio can move the objective, so the policy cannot be pushed arbitrarily far in one update, even if the current batch of data suggests a very large improvement is possible. PPO is on-policy, meaning it is trained on data generated by the current policy and does not reuse an experience replay buffer the way DQN, DDPG, and SAC do.</w:t>
      </w:r>
    </w:p>
    <w:p>
      <w:pPr>
        <w:spacing w:after="160" w:line="300"/>
        <w:jc w:val="both"/>
      </w:pPr>
      <w:r>
        <w:rPr>
          <w:color w:val="222222"/>
          <w:sz w:val="22"/>
          <w:szCs w:val="22"/>
        </w:rPr>
        <w:t xml:space="preserve">Applied to this problem: the state remains sᵢ,ₜ, the policy πθ is trained to select a pricing action from recent batches of real pricing episodes, the advantage is computed from the DRCR reward, and the clipped update keeps day-to-day traffic noise from causing an overly aggressive price swing between training iterations.</w:t>
      </w:r>
    </w:p>
    <w:p>
      <w:pPr>
        <w:pStyle w:val="Heading2"/>
        <w:spacing w:after="120" w:before="240"/>
      </w:pPr>
      <w:r>
        <w:rPr>
          <w:b/>
          <w:bCs/>
          <w:color w:val="1E2761"/>
          <w:sz w:val="24"/>
          <w:szCs w:val="24"/>
        </w:rPr>
        <w:t xml:space="preserve">4.3 Comparison to the Other Algorithms</w:t>
      </w:r>
    </w:p>
    <w:p>
      <w:pPr>
        <w:pStyle w:val="ListParagraph"/>
        <w:numPr>
          <w:ilvl w:val="0"/>
          <w:numId w:val="2"/>
        </w:numPr>
        <w:spacing w:after="90" w:line="280"/>
      </w:pPr>
      <w:r>
        <w:rPr>
          <w:color w:val="222222"/>
          <w:sz w:val="22"/>
          <w:szCs w:val="22"/>
        </w:rPr>
        <w:t xml:space="preserve">Vs. DQN and DDPG: PPO's on-policy nature makes it more robust to noisy, non-stationary reward signals, but less sample-efficient — it cannot reuse old logged pricing data the way the team's off-policy algorithms can via a replay buffer.</w:t>
      </w:r>
    </w:p>
    <w:p>
      <w:pPr>
        <w:pStyle w:val="ListParagraph"/>
        <w:numPr>
          <w:ilvl w:val="0"/>
          <w:numId w:val="2"/>
        </w:numPr>
        <w:spacing w:after="90" w:line="280"/>
      </w:pPr>
      <w:r>
        <w:rPr>
          <w:color w:val="222222"/>
          <w:sz w:val="22"/>
          <w:szCs w:val="22"/>
        </w:rPr>
        <w:t xml:space="preserve">Vs. DDPG: Where DDPG commits to one deterministic price per state, PPO learns a distribution over prices/buckets, giving it built-in stochastic exploration rather than DDPG's externally-added noise.</w:t>
      </w:r>
    </w:p>
    <w:p>
      <w:pPr>
        <w:pStyle w:val="ListParagraph"/>
        <w:numPr>
          <w:ilvl w:val="0"/>
          <w:numId w:val="2"/>
        </w:numPr>
        <w:spacing w:after="90" w:line="280"/>
      </w:pPr>
      <w:r>
        <w:rPr>
          <w:color w:val="222222"/>
          <w:sz w:val="22"/>
          <w:szCs w:val="22"/>
        </w:rPr>
        <w:t xml:space="preserve">Vs. SAC: Both use an actor-critic structure, but PPO trades some sample efficiency for the training stability of on-policy updates, while SAC stays off-policy and instead stabilises exploration through an explicit entropy bonus.</w:t>
      </w:r>
    </w:p>
    <w:p>
      <w:pPr>
        <w:pStyle w:val="Heading1"/>
        <w:spacing w:after="160" w:before="360"/>
      </w:pPr>
      <w:r>
        <w:rPr>
          <w:b/>
          <w:bCs/>
          <w:color w:val="1E2761"/>
          <w:sz w:val="30"/>
          <w:szCs w:val="30"/>
        </w:rPr>
        <w:t xml:space="preserve">5. Soft Actor-Critic (SAC)</w:t>
      </w:r>
    </w:p>
    <w:tbl>
      <w:tblPr>
        <w:tblW w:type="pct" w:w="100%"/>
        <w:tblBorders>
          <w:top w:val="none" w:color="FFFFFF" w:sz="0"/>
          <w:left w:val="none" w:color="FFFFFF" w:sz="0"/>
          <w:bottom w:val="single" w:color="A3435A" w:sz="12"/>
          <w:right w:val="none" w:color="FFFFFF" w:sz="0"/>
          <w:insideH w:val="none" w:color="FFFFFF" w:sz="0"/>
          <w:insideV w:val="none" w:color="FFFFFF" w:sz="0"/>
        </w:tblBorders>
      </w:tblPr>
      <w:tblGrid>
        <w:gridCol w:w="100"/>
      </w:tblGrid>
      <w:tr>
        <w:tc>
          <w:tcPr>
            <w:tcW w:type="pct" w:w="100%"/>
            <w:tcMar>
              <w:top w:type="dxa" w:w="80"/>
              <w:left w:type="dxa" w:w="0"/>
              <w:bottom w:type="dxa" w:w="120"/>
              <w:right w:type="dxa" w:w="0"/>
            </w:tcMar>
          </w:tcPr>
          <w:p>
            <w:pPr>
              <w:spacing w:after="20"/>
            </w:pPr>
            <w:r>
              <w:rPr>
                <w:b/>
                <w:bCs/>
                <w:color w:val="A3435A"/>
                <w:sz w:val="30"/>
                <w:szCs w:val="30"/>
              </w:rPr>
              <w:t xml:space="preserve">SAC </w:t>
            </w:r>
            <w:r>
              <w:rPr>
                <w:i/>
                <w:iCs/>
                <w:color w:val="5B6488"/>
                <w:sz w:val="22"/>
                <w:szCs w:val="22"/>
              </w:rPr>
              <w:t xml:space="preserve">— Soft Actor-Critic</w:t>
            </w:r>
          </w:p>
          <w:p>
            <w:r>
              <w:rPr>
                <w:b/>
                <w:bCs/>
                <w:color w:val="1E2761"/>
                <w:sz w:val="20"/>
                <w:szCs w:val="20"/>
              </w:rPr>
              <w:t xml:space="preserve">Team member: </w:t>
            </w:r>
            <w:r>
              <w:rPr>
                <w:color w:val="222222"/>
                <w:sz w:val="20"/>
                <w:szCs w:val="20"/>
              </w:rPr>
              <w:t xml:space="preserve">Felix</w:t>
            </w:r>
          </w:p>
        </w:tc>
      </w:tr>
    </w:tbl>
    <w:p>
      <w:pPr>
        <w:pStyle w:val="Heading2"/>
        <w:spacing w:after="120" w:before="240"/>
      </w:pPr>
      <w:r>
        <w:rPr>
          <w:b/>
          <w:bCs/>
          <w:color w:val="1E2761"/>
          <w:sz w:val="24"/>
          <w:szCs w:val="24"/>
        </w:rPr>
        <w:t xml:space="preserve">5.1 Why This Algorithm Was Chosen</w:t>
      </w:r>
    </w:p>
    <w:p>
      <w:pPr>
        <w:spacing w:after="160" w:line="300"/>
        <w:jc w:val="both"/>
      </w:pPr>
      <w:r>
        <w:rPr>
          <w:color w:val="222222"/>
          <w:sz w:val="22"/>
          <w:szCs w:val="22"/>
        </w:rPr>
        <w:t xml:space="preserve">SAC was chosen to address a limitation the source paper explicitly flags: low-sales-volume products do not accumulate enough transitions to train a good policy from scratch, creating a cold-start problem that the original pipeline solves by pre-training on historical human-set pricing demonstrations. SAC's maximum-entropy objective builds automatic, tunable exploration directly into training, which is attractive precisely for these low-traffic SKUs — it does not depend on a hand-scheduled noise process (as DDPG does) to keep exploring different prices while data is still scarce.</w:t>
      </w:r>
    </w:p>
    <w:p>
      <w:pPr>
        <w:spacing w:after="160" w:line="300"/>
        <w:jc w:val="both"/>
      </w:pPr>
      <w:r>
        <w:rPr>
          <w:color w:val="222222"/>
          <w:sz w:val="22"/>
          <w:szCs w:val="22"/>
        </w:rPr>
        <w:t xml:space="preserve">SAC was also chosen to test whether the team could get DDPG's benefit of an exact continuous price output while improving on its training stability and its sensitivity to the exploration-noise schedule, since SAC is widely reported to be more robust to hyperparameter choices than DDPG.</w:t>
      </w:r>
    </w:p>
    <w:p>
      <w:pPr>
        <w:pStyle w:val="Heading2"/>
        <w:spacing w:after="120" w:before="240"/>
      </w:pPr>
      <w:r>
        <w:rPr>
          <w:b/>
          <w:bCs/>
          <w:color w:val="1E2761"/>
          <w:sz w:val="24"/>
          <w:szCs w:val="24"/>
        </w:rPr>
        <w:t xml:space="preserve">5.2 How SAC Works</w:t>
      </w:r>
    </w:p>
    <w:p>
      <w:pPr>
        <w:spacing w:after="160" w:line="300"/>
        <w:jc w:val="both"/>
      </w:pPr>
      <w:r>
        <w:rPr>
          <w:color w:val="222222"/>
          <w:sz w:val="22"/>
          <w:szCs w:val="22"/>
        </w:rPr>
        <w:t xml:space="preserve">SAC (Haarnoja et al., 2018) is an off-policy actor-critic algorithm for continuous action spaces that maximises a combination of expected reward and policy entropy, encouraging the policy to act as randomly as possible while still succeeding at the task:</w:t>
      </w:r>
    </w:p>
    <w:tbl>
      <w:tblPr>
        <w:tblW w:type="pct" w:w="100%"/>
        <w:tblBorders>
          <w:top w:val="single" w:color="DCE1F0" w:sz="4"/>
          <w:left w:val="single" w:color="DCE1F0" w:sz="4"/>
          <w:bottom w:val="single" w:color="DCE1F0" w:sz="4"/>
          <w:right w:val="single" w:color="DCE1F0" w:sz="4"/>
          <w:insideH w:val="none" w:color="DCE1F0" w:sz="0"/>
          <w:insideV w:val="none" w:color="DCE1F0" w:sz="0"/>
        </w:tblBorders>
      </w:tblPr>
      <w:tblGrid>
        <w:gridCol w:w="100"/>
      </w:tblGrid>
      <w:tr>
        <w:tc>
          <w:tcPr>
            <w:shd w:fill="F7F8FC" w:val="clear"/>
            <w:tcMar>
              <w:top w:type="dxa" w:w="160"/>
              <w:left w:type="dxa" w:w="220"/>
              <w:bottom w:type="dxa" w:w="160"/>
              <w:right w:type="dxa" w:w="220"/>
            </w:tcMar>
          </w:tcPr>
          <w:p>
            <w:pPr>
              <w:spacing w:after="80"/>
            </w:pPr>
            <w:r>
              <w:rPr>
                <w:rFonts w:ascii="Courier New" w:cs="Courier New" w:eastAsia="Courier New" w:hAnsi="Courier New"/>
                <w:color w:val="1E2761"/>
                <w:sz w:val="21"/>
                <w:szCs w:val="21"/>
              </w:rPr>
              <w:t xml:space="preserve">Maximum-entropy objective:</w:t>
            </w:r>
          </w:p>
          <w:p>
            <w:pPr>
              <w:spacing w:after="80"/>
            </w:pPr>
            <w:r>
              <w:rPr>
                <w:rFonts w:ascii="Courier New" w:cs="Courier New" w:eastAsia="Courier New" w:hAnsi="Courier New"/>
                <w:color w:val="1E2761"/>
                <w:sz w:val="21"/>
                <w:szCs w:val="21"/>
              </w:rPr>
              <w:t xml:space="preserve">J(π) = E[ Σₜ ( r(sₜ,aₜ) + α·H(π(·|sₜ)) ) ]</w:t>
            </w:r>
          </w:p>
          <w:p>
            <w:pPr>
              <w:spacing w:after="80"/>
            </w:pPr>
            <w:r>
              <w:rPr>
                <w:rFonts w:ascii="Courier New" w:cs="Courier New" w:eastAsia="Courier New" w:hAnsi="Courier New"/>
                <w:color w:val="1E2761"/>
                <w:sz w:val="21"/>
                <w:szCs w:val="21"/>
              </w:rPr>
              <w:t xml:space="preserve"/>
            </w:r>
          </w:p>
          <w:p>
            <w:pPr>
              <w:spacing w:after="80"/>
            </w:pPr>
            <w:r>
              <w:rPr>
                <w:rFonts w:ascii="Courier New" w:cs="Courier New" w:eastAsia="Courier New" w:hAnsi="Courier New"/>
                <w:color w:val="1E2761"/>
                <w:sz w:val="21"/>
                <w:szCs w:val="21"/>
              </w:rPr>
              <w:t xml:space="preserve">where H(π(·|s)) is the entropy of the policy's action distribution</w:t>
            </w:r>
          </w:p>
          <w:p>
            <w:pPr>
              <w:spacing w:after="0"/>
            </w:pPr>
            <w:r>
              <w:rPr>
                <w:rFonts w:ascii="Courier New" w:cs="Courier New" w:eastAsia="Courier New" w:hAnsi="Courier New"/>
                <w:color w:val="1E2761"/>
                <w:sz w:val="21"/>
                <w:szCs w:val="21"/>
              </w:rPr>
              <w:t xml:space="preserve">and α is a temperature coefficient balancing reward vs. exploration</w:t>
            </w:r>
          </w:p>
        </w:tc>
      </w:tr>
    </w:tbl>
    <w:p>
      <w:pPr>
        <w:spacing w:after="160" w:line="300"/>
        <w:jc w:val="both"/>
      </w:pPr>
      <w:r>
        <w:rPr>
          <w:color w:val="222222"/>
          <w:sz w:val="22"/>
          <w:szCs w:val="22"/>
        </w:rPr>
        <w:t xml:space="preserve">Unlike DDPG's deterministic actor, SAC learns a stochastic policy πθ(a|s) that outputs a distribution over prices, from which an action is sampled. It typically trains two independent critic networks and takes their minimum when computing the target value, a technique that reduces the value-overestimation bias that can affect actor-critic methods. The temperature α can itself be learned automatically during training, removing the need to hand-tune how much the policy should explore — directly answering the exploration-scheduling problem DDPG solves manually with added noise.</w:t>
      </w:r>
    </w:p>
    <w:p>
      <w:pPr>
        <w:spacing w:after="160" w:line="300"/>
        <w:jc w:val="both"/>
      </w:pPr>
      <w:r>
        <w:rPr>
          <w:color w:val="222222"/>
          <w:sz w:val="22"/>
          <w:szCs w:val="22"/>
        </w:rPr>
        <w:t xml:space="preserve">Applied to this problem: the state is sᵢ,ₜ, the action is a continuous price aᵢ,ₜ sampled from the learned price distribution, and the reward is DRCR. Because entropy is part of the objective itself, SAC continues to explore a spread of nearby prices around its current best guess for as long as it is uncertain, which is particularly useful for the lower-traffic SKUs where the DQN/DDPG pipeline relies on pre-training from historical demonstrations to overcome limited data.</w:t>
      </w:r>
    </w:p>
    <w:p>
      <w:pPr>
        <w:pStyle w:val="Heading2"/>
        <w:spacing w:after="120" w:before="240"/>
      </w:pPr>
      <w:r>
        <w:rPr>
          <w:b/>
          <w:bCs/>
          <w:color w:val="1E2761"/>
          <w:sz w:val="24"/>
          <w:szCs w:val="24"/>
        </w:rPr>
        <w:t xml:space="preserve">5.3 Comparison to the Other Algorithms</w:t>
      </w:r>
    </w:p>
    <w:p>
      <w:pPr>
        <w:pStyle w:val="ListParagraph"/>
        <w:numPr>
          <w:ilvl w:val="0"/>
          <w:numId w:val="2"/>
        </w:numPr>
        <w:spacing w:after="90" w:line="280"/>
      </w:pPr>
      <w:r>
        <w:rPr>
          <w:color w:val="222222"/>
          <w:sz w:val="22"/>
          <w:szCs w:val="22"/>
        </w:rPr>
        <w:t xml:space="preserve">Vs. DDPG: Both are off-policy, continuous-action actor-critic methods, but SAC replaces DDPG's manually-scheduled exploration noise with an entropy term baked into the objective, and its twin-critic design reduces overestimation bias.</w:t>
      </w:r>
    </w:p>
    <w:p>
      <w:pPr>
        <w:pStyle w:val="ListParagraph"/>
        <w:numPr>
          <w:ilvl w:val="0"/>
          <w:numId w:val="2"/>
        </w:numPr>
        <w:spacing w:after="90" w:line="280"/>
      </w:pPr>
      <w:r>
        <w:rPr>
          <w:color w:val="222222"/>
          <w:sz w:val="22"/>
          <w:szCs w:val="22"/>
        </w:rPr>
        <w:t xml:space="preserve">Vs. DQN: SAC outputs an exact continuous price rather than selecting from discrete buckets, avoiding DQN's discretisation trade-off entirely, at the cost of a more complex training setup (two critics, one actor, and a temperature parameter).</w:t>
      </w:r>
    </w:p>
    <w:p>
      <w:pPr>
        <w:pStyle w:val="ListParagraph"/>
        <w:numPr>
          <w:ilvl w:val="0"/>
          <w:numId w:val="2"/>
        </w:numPr>
        <w:spacing w:after="90" w:line="280"/>
      </w:pPr>
      <w:r>
        <w:rPr>
          <w:color w:val="222222"/>
          <w:sz w:val="22"/>
          <w:szCs w:val="22"/>
        </w:rPr>
        <w:t xml:space="preserve">Vs. PPO: SAC is off-policy and can reuse old replay data, giving it better sample efficiency than PPO's on-policy updates, though PPO's clipped updates can be more predictable step-to-step on especially noisy reward signals.</w:t>
      </w:r>
    </w:p>
    <w:p>
      <w:pPr>
        <w:pStyle w:val="Heading1"/>
        <w:spacing w:after="160" w:before="360"/>
      </w:pPr>
      <w:r>
        <w:rPr>
          <w:b/>
          <w:bCs/>
          <w:color w:val="1E2761"/>
          <w:sz w:val="30"/>
          <w:szCs w:val="30"/>
        </w:rPr>
        <w:t xml:space="preserve">6. Side-by-Side Comparison</w:t>
      </w:r>
    </w:p>
    <w:p>
      <w:pPr>
        <w:spacing w:after="160" w:line="300"/>
        <w:jc w:val="both"/>
      </w:pPr>
      <w:r>
        <w:rPr>
          <w:color w:val="222222"/>
          <w:sz w:val="22"/>
          <w:szCs w:val="22"/>
        </w:rPr>
        <w:t xml:space="preserve">The table below summarises how the four algorithms relate to one another across the dimensions most relevant to the Tmall pricing problem.</w:t>
      </w:r>
    </w:p>
    <w:p>
      <w:pPr>
        <w:spacing w:after="200"/>
      </w:pPr>
    </w:p>
    <w:tbl>
      <w:tblPr>
        <w:tblW w:type="dxa" w:w="10600"/>
        <w:tblBorders>
          <w:top w:val="single" w:color="DCE1F0" w:sz="4"/>
          <w:left w:val="single" w:color="DCE1F0" w:sz="4"/>
          <w:bottom w:val="single" w:color="DCE1F0" w:sz="4"/>
          <w:right w:val="single" w:color="DCE1F0" w:sz="4"/>
          <w:insideH w:val="single" w:color="DCE1F0" w:sz="4"/>
          <w:insideV w:val="single" w:color="DCE1F0" w:sz="4"/>
        </w:tblBorders>
      </w:tblPr>
      <w:tblGrid>
        <w:gridCol w:w="1450"/>
        <w:gridCol w:w="1350"/>
        <w:gridCol w:w="1500"/>
        <w:gridCol w:w="1300"/>
        <w:gridCol w:w="2500"/>
        <w:gridCol w:w="2500"/>
      </w:tblGrid>
      <w:tr>
        <w:trPr>
          <w:tblHeader/>
        </w:trPr>
        <w:tc>
          <w:tcPr>
            <w:tcW w:type="dxa" w:w="1450"/>
            <w:shd w:fill="1E2761" w:val="clear"/>
            <w:tcMar>
              <w:top w:type="dxa" w:w="100"/>
              <w:left w:type="dxa" w:w="100"/>
              <w:bottom w:type="dxa" w:w="100"/>
              <w:right w:type="dxa" w:w="100"/>
            </w:tcMar>
            <w:vAlign w:val="center"/>
          </w:tcPr>
          <w:p>
            <w:r>
              <w:rPr>
                <w:b/>
                <w:bCs/>
                <w:color w:val="FFFFFF"/>
                <w:sz w:val="19"/>
                <w:szCs w:val="19"/>
              </w:rPr>
              <w:t xml:space="preserve">Algorithm</w:t>
            </w:r>
          </w:p>
        </w:tc>
        <w:tc>
          <w:tcPr>
            <w:tcW w:type="dxa" w:w="1350"/>
            <w:shd w:fill="1E2761" w:val="clear"/>
            <w:tcMar>
              <w:top w:type="dxa" w:w="100"/>
              <w:left w:type="dxa" w:w="100"/>
              <w:bottom w:type="dxa" w:w="100"/>
              <w:right w:type="dxa" w:w="100"/>
            </w:tcMar>
            <w:vAlign w:val="center"/>
          </w:tcPr>
          <w:p>
            <w:r>
              <w:rPr>
                <w:b/>
                <w:bCs/>
                <w:color w:val="FFFFFF"/>
                <w:sz w:val="19"/>
                <w:szCs w:val="19"/>
              </w:rPr>
              <w:t xml:space="preserve">Type</w:t>
            </w:r>
          </w:p>
        </w:tc>
        <w:tc>
          <w:tcPr>
            <w:tcW w:type="dxa" w:w="1500"/>
            <w:shd w:fill="1E2761" w:val="clear"/>
            <w:tcMar>
              <w:top w:type="dxa" w:w="100"/>
              <w:left w:type="dxa" w:w="100"/>
              <w:bottom w:type="dxa" w:w="100"/>
              <w:right w:type="dxa" w:w="100"/>
            </w:tcMar>
            <w:vAlign w:val="center"/>
          </w:tcPr>
          <w:p>
            <w:r>
              <w:rPr>
                <w:b/>
                <w:bCs/>
                <w:color w:val="FFFFFF"/>
                <w:sz w:val="19"/>
                <w:szCs w:val="19"/>
              </w:rPr>
              <w:t xml:space="preserve">Action Space</w:t>
            </w:r>
          </w:p>
        </w:tc>
        <w:tc>
          <w:tcPr>
            <w:tcW w:type="dxa" w:w="1300"/>
            <w:shd w:fill="1E2761" w:val="clear"/>
            <w:tcMar>
              <w:top w:type="dxa" w:w="100"/>
              <w:left w:type="dxa" w:w="100"/>
              <w:bottom w:type="dxa" w:w="100"/>
              <w:right w:type="dxa" w:w="100"/>
            </w:tcMar>
            <w:vAlign w:val="center"/>
          </w:tcPr>
          <w:p>
            <w:r>
              <w:rPr>
                <w:b/>
                <w:bCs/>
                <w:color w:val="FFFFFF"/>
                <w:sz w:val="19"/>
                <w:szCs w:val="19"/>
              </w:rPr>
              <w:t xml:space="preserve">On/Off-Policy</w:t>
            </w:r>
          </w:p>
        </w:tc>
        <w:tc>
          <w:tcPr>
            <w:tcW w:type="dxa" w:w="2500"/>
            <w:shd w:fill="1E2761" w:val="clear"/>
            <w:tcMar>
              <w:top w:type="dxa" w:w="100"/>
              <w:left w:type="dxa" w:w="100"/>
              <w:bottom w:type="dxa" w:w="100"/>
              <w:right w:type="dxa" w:w="100"/>
            </w:tcMar>
            <w:vAlign w:val="center"/>
          </w:tcPr>
          <w:p>
            <w:r>
              <w:rPr>
                <w:b/>
                <w:bCs/>
                <w:color w:val="FFFFFF"/>
                <w:sz w:val="19"/>
                <w:szCs w:val="19"/>
              </w:rPr>
              <w:t xml:space="preserve">Key Strength</w:t>
            </w:r>
          </w:p>
        </w:tc>
        <w:tc>
          <w:tcPr>
            <w:tcW w:type="dxa" w:w="2500"/>
            <w:shd w:fill="1E2761" w:val="clear"/>
            <w:tcMar>
              <w:top w:type="dxa" w:w="100"/>
              <w:left w:type="dxa" w:w="100"/>
              <w:bottom w:type="dxa" w:w="100"/>
              <w:right w:type="dxa" w:w="100"/>
            </w:tcMar>
            <w:vAlign w:val="center"/>
          </w:tcPr>
          <w:p>
            <w:r>
              <w:rPr>
                <w:b/>
                <w:bCs/>
                <w:color w:val="FFFFFF"/>
                <w:sz w:val="19"/>
                <w:szCs w:val="19"/>
              </w:rPr>
              <w:t xml:space="preserve">Key Limitation</w:t>
            </w:r>
          </w:p>
        </w:tc>
      </w:tr>
      <w:tr>
        <w:tc>
          <w:tcPr>
            <w:tcW w:type="dxa" w:w="1450"/>
            <w:shd w:fill="F7F8FC" w:val="clear"/>
            <w:tcMar>
              <w:top w:type="dxa" w:w="100"/>
              <w:left w:type="dxa" w:w="100"/>
              <w:bottom w:type="dxa" w:w="100"/>
              <w:right w:type="dxa" w:w="100"/>
            </w:tcMar>
            <w:vAlign w:val="center"/>
          </w:tcPr>
          <w:p>
            <w:pPr>
              <w:spacing w:after="20"/>
            </w:pPr>
            <w:r>
              <w:rPr>
                <w:b/>
                <w:bCs/>
                <w:color w:val="222222"/>
                <w:sz w:val="18"/>
                <w:szCs w:val="18"/>
              </w:rPr>
              <w:t xml:space="preserve">DQN</w:t>
            </w:r>
          </w:p>
          <w:p>
            <w:pPr>
              <w:spacing w:after="0"/>
            </w:pPr>
            <w:r>
              <w:rPr>
                <w:b w:val="false"/>
                <w:bCs w:val="false"/>
                <w:color w:val="222222"/>
                <w:sz w:val="18"/>
                <w:szCs w:val="18"/>
              </w:rPr>
              <w:t xml:space="preserve">(Davis)</w:t>
            </w:r>
          </w:p>
        </w:tc>
        <w:tc>
          <w:tcPr>
            <w:tcW w:type="dxa" w:w="1350"/>
            <w:shd w:fill="F7F8FC" w:val="clear"/>
            <w:tcMar>
              <w:top w:type="dxa" w:w="100"/>
              <w:left w:type="dxa" w:w="100"/>
              <w:bottom w:type="dxa" w:w="100"/>
              <w:right w:type="dxa" w:w="100"/>
            </w:tcMar>
            <w:vAlign w:val="center"/>
          </w:tcPr>
          <w:p>
            <w:pPr>
              <w:spacing w:after="0"/>
            </w:pPr>
            <w:r>
              <w:rPr>
                <w:b w:val="false"/>
                <w:bCs w:val="false"/>
                <w:color w:val="222222"/>
                <w:sz w:val="18"/>
                <w:szCs w:val="18"/>
              </w:rPr>
              <w:t xml:space="preserve">Value-based</w:t>
            </w:r>
          </w:p>
        </w:tc>
        <w:tc>
          <w:tcPr>
            <w:tcW w:type="dxa" w:w="1500"/>
            <w:shd w:fill="F7F8FC" w:val="clear"/>
            <w:tcMar>
              <w:top w:type="dxa" w:w="100"/>
              <w:left w:type="dxa" w:w="100"/>
              <w:bottom w:type="dxa" w:w="100"/>
              <w:right w:type="dxa" w:w="100"/>
            </w:tcMar>
            <w:vAlign w:val="center"/>
          </w:tcPr>
          <w:p>
            <w:pPr>
              <w:spacing w:after="20"/>
            </w:pPr>
            <w:r>
              <w:rPr>
                <w:b/>
                <w:bCs/>
                <w:color w:val="222222"/>
                <w:sz w:val="18"/>
                <w:szCs w:val="18"/>
              </w:rPr>
              <w:t xml:space="preserve">Discrete</w:t>
            </w:r>
          </w:p>
          <w:p>
            <w:pPr>
              <w:spacing w:after="0"/>
            </w:pPr>
            <w:r>
              <w:rPr>
                <w:b w:val="false"/>
                <w:bCs w:val="false"/>
                <w:color w:val="222222"/>
                <w:sz w:val="18"/>
                <w:szCs w:val="18"/>
              </w:rPr>
              <w:t xml:space="preserve">(price buckets)</w:t>
            </w:r>
          </w:p>
        </w:tc>
        <w:tc>
          <w:tcPr>
            <w:tcW w:type="dxa" w:w="1300"/>
            <w:shd w:fill="F7F8FC" w:val="clear"/>
            <w:tcMar>
              <w:top w:type="dxa" w:w="100"/>
              <w:left w:type="dxa" w:w="100"/>
              <w:bottom w:type="dxa" w:w="100"/>
              <w:right w:type="dxa" w:w="100"/>
            </w:tcMar>
            <w:vAlign w:val="center"/>
          </w:tcPr>
          <w:p>
            <w:pPr>
              <w:spacing w:after="0"/>
            </w:pPr>
            <w:r>
              <w:rPr>
                <w:b w:val="false"/>
                <w:bCs w:val="false"/>
                <w:color w:val="222222"/>
                <w:sz w:val="18"/>
                <w:szCs w:val="18"/>
              </w:rPr>
              <w:t xml:space="preserve">Off-policy</w:t>
            </w:r>
          </w:p>
        </w:tc>
        <w:tc>
          <w:tcPr>
            <w:tcW w:type="dxa" w:w="2500"/>
            <w:shd w:fill="F7F8FC" w:val="clear"/>
            <w:tcMar>
              <w:top w:type="dxa" w:w="100"/>
              <w:left w:type="dxa" w:w="100"/>
              <w:bottom w:type="dxa" w:w="100"/>
              <w:right w:type="dxa" w:w="100"/>
            </w:tcMar>
            <w:vAlign w:val="center"/>
          </w:tcPr>
          <w:p>
            <w:pPr>
              <w:spacing w:after="0"/>
            </w:pPr>
            <w:r>
              <w:rPr>
                <w:b w:val="false"/>
                <w:bCs w:val="false"/>
                <w:color w:val="222222"/>
                <w:sz w:val="18"/>
                <w:szCs w:val="18"/>
              </w:rPr>
              <w:t xml:space="preserve">Simple, stable, sample-efficient with replay buffer</w:t>
            </w:r>
          </w:p>
        </w:tc>
        <w:tc>
          <w:tcPr>
            <w:tcW w:type="dxa" w:w="2500"/>
            <w:shd w:fill="F7F8FC" w:val="clear"/>
            <w:tcMar>
              <w:top w:type="dxa" w:w="100"/>
              <w:left w:type="dxa" w:w="100"/>
              <w:bottom w:type="dxa" w:w="100"/>
              <w:right w:type="dxa" w:w="100"/>
            </w:tcMar>
            <w:vAlign w:val="center"/>
          </w:tcPr>
          <w:p>
            <w:pPr>
              <w:spacing w:after="0"/>
            </w:pPr>
            <w:r>
              <w:rPr>
                <w:b w:val="false"/>
                <w:bCs w:val="false"/>
                <w:color w:val="222222"/>
                <w:sz w:val="18"/>
                <w:szCs w:val="18"/>
              </w:rPr>
              <w:t xml:space="preserve">Needs price discretisation — coarse buckets lose precision</w:t>
            </w:r>
          </w:p>
        </w:tc>
      </w:tr>
      <w:tr>
        <w:tc>
          <w:tcPr>
            <w:tcW w:type="dxa" w:w="1450"/>
            <w:shd w:fill="FFFFFF" w:val="clear"/>
            <w:tcMar>
              <w:top w:type="dxa" w:w="100"/>
              <w:left w:type="dxa" w:w="100"/>
              <w:bottom w:type="dxa" w:w="100"/>
              <w:right w:type="dxa" w:w="100"/>
            </w:tcMar>
            <w:vAlign w:val="center"/>
          </w:tcPr>
          <w:p>
            <w:pPr>
              <w:spacing w:after="20"/>
            </w:pPr>
            <w:r>
              <w:rPr>
                <w:b/>
                <w:bCs/>
                <w:color w:val="222222"/>
                <w:sz w:val="18"/>
                <w:szCs w:val="18"/>
              </w:rPr>
              <w:t xml:space="preserve">DDPG</w:t>
            </w:r>
          </w:p>
          <w:p>
            <w:pPr>
              <w:spacing w:after="0"/>
            </w:pPr>
            <w:r>
              <w:rPr>
                <w:b w:val="false"/>
                <w:bCs w:val="false"/>
                <w:color w:val="222222"/>
                <w:sz w:val="18"/>
                <w:szCs w:val="18"/>
              </w:rPr>
              <w:t xml:space="preserve">(Shawn)</w:t>
            </w:r>
          </w:p>
        </w:tc>
        <w:tc>
          <w:tcPr>
            <w:tcW w:type="dxa" w:w="1350"/>
            <w:shd w:fill="FFFFFF" w:val="clear"/>
            <w:tcMar>
              <w:top w:type="dxa" w:w="100"/>
              <w:left w:type="dxa" w:w="100"/>
              <w:bottom w:type="dxa" w:w="100"/>
              <w:right w:type="dxa" w:w="100"/>
            </w:tcMar>
            <w:vAlign w:val="center"/>
          </w:tcPr>
          <w:p>
            <w:pPr>
              <w:spacing w:after="0"/>
            </w:pPr>
            <w:r>
              <w:rPr>
                <w:b w:val="false"/>
                <w:bCs w:val="false"/>
                <w:color w:val="222222"/>
                <w:sz w:val="18"/>
                <w:szCs w:val="18"/>
              </w:rPr>
              <w:t xml:space="preserve">Actor-Critic</w:t>
            </w:r>
          </w:p>
        </w:tc>
        <w:tc>
          <w:tcPr>
            <w:tcW w:type="dxa" w:w="1500"/>
            <w:shd w:fill="FFFFFF" w:val="clear"/>
            <w:tcMar>
              <w:top w:type="dxa" w:w="100"/>
              <w:left w:type="dxa" w:w="100"/>
              <w:bottom w:type="dxa" w:w="100"/>
              <w:right w:type="dxa" w:w="100"/>
            </w:tcMar>
            <w:vAlign w:val="center"/>
          </w:tcPr>
          <w:p>
            <w:pPr>
              <w:spacing w:after="20"/>
            </w:pPr>
            <w:r>
              <w:rPr>
                <w:b/>
                <w:bCs/>
                <w:color w:val="222222"/>
                <w:sz w:val="18"/>
                <w:szCs w:val="18"/>
              </w:rPr>
              <w:t xml:space="preserve">Continuous</w:t>
            </w:r>
          </w:p>
          <w:p>
            <w:pPr>
              <w:spacing w:after="0"/>
            </w:pPr>
            <w:r>
              <w:rPr>
                <w:b w:val="false"/>
                <w:bCs w:val="false"/>
                <w:color w:val="222222"/>
                <w:sz w:val="18"/>
                <w:szCs w:val="18"/>
              </w:rPr>
              <w:t xml:space="preserve">(exact price)</w:t>
            </w:r>
          </w:p>
        </w:tc>
        <w:tc>
          <w:tcPr>
            <w:tcW w:type="dxa" w:w="1300"/>
            <w:shd w:fill="FFFFFF" w:val="clear"/>
            <w:tcMar>
              <w:top w:type="dxa" w:w="100"/>
              <w:left w:type="dxa" w:w="100"/>
              <w:bottom w:type="dxa" w:w="100"/>
              <w:right w:type="dxa" w:w="100"/>
            </w:tcMar>
            <w:vAlign w:val="center"/>
          </w:tcPr>
          <w:p>
            <w:pPr>
              <w:spacing w:after="0"/>
            </w:pPr>
            <w:r>
              <w:rPr>
                <w:b w:val="false"/>
                <w:bCs w:val="false"/>
                <w:color w:val="222222"/>
                <w:sz w:val="18"/>
                <w:szCs w:val="18"/>
              </w:rPr>
              <w:t xml:space="preserve">Off-policy</w:t>
            </w:r>
          </w:p>
        </w:tc>
        <w:tc>
          <w:tcPr>
            <w:tcW w:type="dxa" w:w="2500"/>
            <w:shd w:fill="FFFFFF" w:val="clear"/>
            <w:tcMar>
              <w:top w:type="dxa" w:w="100"/>
              <w:left w:type="dxa" w:w="100"/>
              <w:bottom w:type="dxa" w:w="100"/>
              <w:right w:type="dxa" w:w="100"/>
            </w:tcMar>
            <w:vAlign w:val="center"/>
          </w:tcPr>
          <w:p>
            <w:pPr>
              <w:spacing w:after="0"/>
            </w:pPr>
            <w:r>
              <w:rPr>
                <w:b w:val="false"/>
                <w:bCs w:val="false"/>
                <w:color w:val="222222"/>
                <w:sz w:val="18"/>
                <w:szCs w:val="18"/>
              </w:rPr>
              <w:t xml:space="preserve">Outputs an exact price directly — no discretisation trade-off</w:t>
            </w:r>
          </w:p>
        </w:tc>
        <w:tc>
          <w:tcPr>
            <w:tcW w:type="dxa" w:w="2500"/>
            <w:shd w:fill="FFFFFF" w:val="clear"/>
            <w:tcMar>
              <w:top w:type="dxa" w:w="100"/>
              <w:left w:type="dxa" w:w="100"/>
              <w:bottom w:type="dxa" w:w="100"/>
              <w:right w:type="dxa" w:w="100"/>
            </w:tcMar>
            <w:vAlign w:val="center"/>
          </w:tcPr>
          <w:p>
            <w:pPr>
              <w:spacing w:after="0"/>
            </w:pPr>
            <w:r>
              <w:rPr>
                <w:b w:val="false"/>
                <w:bCs w:val="false"/>
                <w:color w:val="222222"/>
                <w:sz w:val="18"/>
                <w:szCs w:val="18"/>
              </w:rPr>
              <w:t xml:space="preserve">Deterministic actor is sensitive to hyperparameters; needs external exploration noise</w:t>
            </w:r>
          </w:p>
        </w:tc>
      </w:tr>
      <w:tr>
        <w:tc>
          <w:tcPr>
            <w:tcW w:type="dxa" w:w="1450"/>
            <w:shd w:fill="F7F8FC" w:val="clear"/>
            <w:tcMar>
              <w:top w:type="dxa" w:w="100"/>
              <w:left w:type="dxa" w:w="100"/>
              <w:bottom w:type="dxa" w:w="100"/>
              <w:right w:type="dxa" w:w="100"/>
            </w:tcMar>
            <w:vAlign w:val="center"/>
          </w:tcPr>
          <w:p>
            <w:pPr>
              <w:spacing w:after="20"/>
            </w:pPr>
            <w:r>
              <w:rPr>
                <w:b/>
                <w:bCs/>
                <w:color w:val="222222"/>
                <w:sz w:val="18"/>
                <w:szCs w:val="18"/>
              </w:rPr>
              <w:t xml:space="preserve">PPO</w:t>
            </w:r>
          </w:p>
          <w:p>
            <w:pPr>
              <w:spacing w:after="0"/>
            </w:pPr>
            <w:r>
              <w:rPr>
                <w:b w:val="false"/>
                <w:bCs w:val="false"/>
                <w:color w:val="222222"/>
                <w:sz w:val="18"/>
                <w:szCs w:val="18"/>
              </w:rPr>
              <w:t xml:space="preserve">(Akhil)</w:t>
            </w:r>
          </w:p>
        </w:tc>
        <w:tc>
          <w:tcPr>
            <w:tcW w:type="dxa" w:w="1350"/>
            <w:shd w:fill="F7F8FC" w:val="clear"/>
            <w:tcMar>
              <w:top w:type="dxa" w:w="100"/>
              <w:left w:type="dxa" w:w="100"/>
              <w:bottom w:type="dxa" w:w="100"/>
              <w:right w:type="dxa" w:w="100"/>
            </w:tcMar>
            <w:vAlign w:val="center"/>
          </w:tcPr>
          <w:p>
            <w:pPr>
              <w:spacing w:after="0"/>
            </w:pPr>
            <w:r>
              <w:rPr>
                <w:b w:val="false"/>
                <w:bCs w:val="false"/>
                <w:color w:val="222222"/>
                <w:sz w:val="18"/>
                <w:szCs w:val="18"/>
              </w:rPr>
              <w:t xml:space="preserve">Actor-Critic</w:t>
            </w:r>
          </w:p>
        </w:tc>
        <w:tc>
          <w:tcPr>
            <w:tcW w:type="dxa" w:w="1500"/>
            <w:shd w:fill="F7F8FC" w:val="clear"/>
            <w:tcMar>
              <w:top w:type="dxa" w:w="100"/>
              <w:left w:type="dxa" w:w="100"/>
              <w:bottom w:type="dxa" w:w="100"/>
              <w:right w:type="dxa" w:w="100"/>
            </w:tcMar>
            <w:vAlign w:val="center"/>
          </w:tcPr>
          <w:p>
            <w:pPr>
              <w:spacing w:after="20"/>
            </w:pPr>
            <w:r>
              <w:rPr>
                <w:b/>
                <w:bCs/>
                <w:color w:val="222222"/>
                <w:sz w:val="18"/>
                <w:szCs w:val="18"/>
              </w:rPr>
              <w:t xml:space="preserve">Discrete or</w:t>
            </w:r>
          </w:p>
          <w:p>
            <w:pPr>
              <w:spacing w:after="0"/>
            </w:pPr>
            <w:r>
              <w:rPr>
                <w:b w:val="false"/>
                <w:bCs w:val="false"/>
                <w:color w:val="222222"/>
                <w:sz w:val="18"/>
                <w:szCs w:val="18"/>
              </w:rPr>
              <w:t xml:space="preserve">continuous</w:t>
            </w:r>
          </w:p>
        </w:tc>
        <w:tc>
          <w:tcPr>
            <w:tcW w:type="dxa" w:w="1300"/>
            <w:shd w:fill="F7F8FC" w:val="clear"/>
            <w:tcMar>
              <w:top w:type="dxa" w:w="100"/>
              <w:left w:type="dxa" w:w="100"/>
              <w:bottom w:type="dxa" w:w="100"/>
              <w:right w:type="dxa" w:w="100"/>
            </w:tcMar>
            <w:vAlign w:val="center"/>
          </w:tcPr>
          <w:p>
            <w:pPr>
              <w:spacing w:after="0"/>
            </w:pPr>
            <w:r>
              <w:rPr>
                <w:b w:val="false"/>
                <w:bCs w:val="false"/>
                <w:color w:val="222222"/>
                <w:sz w:val="18"/>
                <w:szCs w:val="18"/>
              </w:rPr>
              <w:t xml:space="preserve">On-policy</w:t>
            </w:r>
          </w:p>
        </w:tc>
        <w:tc>
          <w:tcPr>
            <w:tcW w:type="dxa" w:w="2500"/>
            <w:shd w:fill="F7F8FC" w:val="clear"/>
            <w:tcMar>
              <w:top w:type="dxa" w:w="100"/>
              <w:left w:type="dxa" w:w="100"/>
              <w:bottom w:type="dxa" w:w="100"/>
              <w:right w:type="dxa" w:w="100"/>
            </w:tcMar>
            <w:vAlign w:val="center"/>
          </w:tcPr>
          <w:p>
            <w:pPr>
              <w:spacing w:after="0"/>
            </w:pPr>
            <w:r>
              <w:rPr>
                <w:b w:val="false"/>
                <w:bCs w:val="false"/>
                <w:color w:val="222222"/>
                <w:sz w:val="18"/>
                <w:szCs w:val="18"/>
              </w:rPr>
              <w:t xml:space="preserve">Clipped updates give strong training stability on noisy data</w:t>
            </w:r>
          </w:p>
        </w:tc>
        <w:tc>
          <w:tcPr>
            <w:tcW w:type="dxa" w:w="2500"/>
            <w:shd w:fill="F7F8FC" w:val="clear"/>
            <w:tcMar>
              <w:top w:type="dxa" w:w="100"/>
              <w:left w:type="dxa" w:w="100"/>
              <w:bottom w:type="dxa" w:w="100"/>
              <w:right w:type="dxa" w:w="100"/>
            </w:tcMar>
            <w:vAlign w:val="center"/>
          </w:tcPr>
          <w:p>
            <w:pPr>
              <w:spacing w:after="0"/>
            </w:pPr>
            <w:r>
              <w:rPr>
                <w:b w:val="false"/>
                <w:bCs w:val="false"/>
                <w:color w:val="222222"/>
                <w:sz w:val="18"/>
                <w:szCs w:val="18"/>
              </w:rPr>
              <w:t xml:space="preserve">On-policy — cannot reuse old logged (s,a,r,s′) data as efficiently as off-policy methods</w:t>
            </w:r>
          </w:p>
        </w:tc>
      </w:tr>
      <w:tr>
        <w:tc>
          <w:tcPr>
            <w:tcW w:type="dxa" w:w="1450"/>
            <w:shd w:fill="FFFFFF" w:val="clear"/>
            <w:tcMar>
              <w:top w:type="dxa" w:w="100"/>
              <w:left w:type="dxa" w:w="100"/>
              <w:bottom w:type="dxa" w:w="100"/>
              <w:right w:type="dxa" w:w="100"/>
            </w:tcMar>
            <w:vAlign w:val="center"/>
          </w:tcPr>
          <w:p>
            <w:pPr>
              <w:spacing w:after="20"/>
            </w:pPr>
            <w:r>
              <w:rPr>
                <w:b/>
                <w:bCs/>
                <w:color w:val="222222"/>
                <w:sz w:val="18"/>
                <w:szCs w:val="18"/>
              </w:rPr>
              <w:t xml:space="preserve">SAC</w:t>
            </w:r>
          </w:p>
          <w:p>
            <w:pPr>
              <w:spacing w:after="0"/>
            </w:pPr>
            <w:r>
              <w:rPr>
                <w:b w:val="false"/>
                <w:bCs w:val="false"/>
                <w:color w:val="222222"/>
                <w:sz w:val="18"/>
                <w:szCs w:val="18"/>
              </w:rPr>
              <w:t xml:space="preserve">(Felix)</w:t>
            </w:r>
          </w:p>
        </w:tc>
        <w:tc>
          <w:tcPr>
            <w:tcW w:type="dxa" w:w="1350"/>
            <w:shd w:fill="FFFFFF" w:val="clear"/>
            <w:tcMar>
              <w:top w:type="dxa" w:w="100"/>
              <w:left w:type="dxa" w:w="100"/>
              <w:bottom w:type="dxa" w:w="100"/>
              <w:right w:type="dxa" w:w="100"/>
            </w:tcMar>
            <w:vAlign w:val="center"/>
          </w:tcPr>
          <w:p>
            <w:pPr>
              <w:spacing w:after="0"/>
            </w:pPr>
            <w:r>
              <w:rPr>
                <w:b w:val="false"/>
                <w:bCs w:val="false"/>
                <w:color w:val="222222"/>
                <w:sz w:val="18"/>
                <w:szCs w:val="18"/>
              </w:rPr>
              <w:t xml:space="preserve">Actor-Critic</w:t>
            </w:r>
          </w:p>
        </w:tc>
        <w:tc>
          <w:tcPr>
            <w:tcW w:type="dxa" w:w="1500"/>
            <w:shd w:fill="FFFFFF" w:val="clear"/>
            <w:tcMar>
              <w:top w:type="dxa" w:w="100"/>
              <w:left w:type="dxa" w:w="100"/>
              <w:bottom w:type="dxa" w:w="100"/>
              <w:right w:type="dxa" w:w="100"/>
            </w:tcMar>
            <w:vAlign w:val="center"/>
          </w:tcPr>
          <w:p>
            <w:pPr>
              <w:spacing w:after="20"/>
            </w:pPr>
            <w:r>
              <w:rPr>
                <w:b/>
                <w:bCs/>
                <w:color w:val="222222"/>
                <w:sz w:val="18"/>
                <w:szCs w:val="18"/>
              </w:rPr>
              <w:t xml:space="preserve">Continuous</w:t>
            </w:r>
          </w:p>
          <w:p>
            <w:pPr>
              <w:spacing w:after="0"/>
            </w:pPr>
            <w:r>
              <w:rPr>
                <w:b w:val="false"/>
                <w:bCs w:val="false"/>
                <w:color w:val="222222"/>
                <w:sz w:val="18"/>
                <w:szCs w:val="18"/>
              </w:rPr>
              <w:t xml:space="preserve">(exact price)</w:t>
            </w:r>
          </w:p>
        </w:tc>
        <w:tc>
          <w:tcPr>
            <w:tcW w:type="dxa" w:w="1300"/>
            <w:shd w:fill="FFFFFF" w:val="clear"/>
            <w:tcMar>
              <w:top w:type="dxa" w:w="100"/>
              <w:left w:type="dxa" w:w="100"/>
              <w:bottom w:type="dxa" w:w="100"/>
              <w:right w:type="dxa" w:w="100"/>
            </w:tcMar>
            <w:vAlign w:val="center"/>
          </w:tcPr>
          <w:p>
            <w:pPr>
              <w:spacing w:after="0"/>
            </w:pPr>
            <w:r>
              <w:rPr>
                <w:b w:val="false"/>
                <w:bCs w:val="false"/>
                <w:color w:val="222222"/>
                <w:sz w:val="18"/>
                <w:szCs w:val="18"/>
              </w:rPr>
              <w:t xml:space="preserve">Off-policy</w:t>
            </w:r>
          </w:p>
        </w:tc>
        <w:tc>
          <w:tcPr>
            <w:tcW w:type="dxa" w:w="2500"/>
            <w:shd w:fill="FFFFFF" w:val="clear"/>
            <w:tcMar>
              <w:top w:type="dxa" w:w="100"/>
              <w:left w:type="dxa" w:w="100"/>
              <w:bottom w:type="dxa" w:w="100"/>
              <w:right w:type="dxa" w:w="100"/>
            </w:tcMar>
            <w:vAlign w:val="center"/>
          </w:tcPr>
          <w:p>
            <w:pPr>
              <w:spacing w:after="0"/>
            </w:pPr>
            <w:r>
              <w:rPr>
                <w:b w:val="false"/>
                <w:bCs w:val="false"/>
                <w:color w:val="222222"/>
                <w:sz w:val="18"/>
                <w:szCs w:val="18"/>
              </w:rPr>
              <w:t xml:space="preserve">Entropy term gives automatic, tunable-free exploration</w:t>
            </w:r>
          </w:p>
        </w:tc>
        <w:tc>
          <w:tcPr>
            <w:tcW w:type="dxa" w:w="2500"/>
            <w:shd w:fill="FFFFFF" w:val="clear"/>
            <w:tcMar>
              <w:top w:type="dxa" w:w="100"/>
              <w:left w:type="dxa" w:w="100"/>
              <w:bottom w:type="dxa" w:w="100"/>
              <w:right w:type="dxa" w:w="100"/>
            </w:tcMar>
            <w:vAlign w:val="center"/>
          </w:tcPr>
          <w:p>
            <w:pPr>
              <w:spacing w:after="0"/>
            </w:pPr>
            <w:r>
              <w:rPr>
                <w:b w:val="false"/>
                <w:bCs w:val="false"/>
                <w:color w:val="222222"/>
                <w:sz w:val="18"/>
                <w:szCs w:val="18"/>
              </w:rPr>
              <w:t xml:space="preserve">Extra entropy hyperparameter (temperature) and two critics add training overhead</w:t>
            </w:r>
          </w:p>
        </w:tc>
      </w:tr>
    </w:tbl>
    <w:p>
      <w:pPr>
        <w:spacing w:after="0" w:before="260"/>
      </w:pPr>
    </w:p>
    <w:p>
      <w:pPr>
        <w:pStyle w:val="Heading1"/>
        <w:spacing w:after="160" w:before="360"/>
      </w:pPr>
      <w:r>
        <w:rPr>
          <w:b/>
          <w:bCs/>
          <w:color w:val="1E2761"/>
          <w:sz w:val="30"/>
          <w:szCs w:val="30"/>
        </w:rPr>
        <w:t xml:space="preserve">7. Conclusion</w:t>
      </w:r>
    </w:p>
    <w:p>
      <w:pPr>
        <w:spacing w:after="160" w:line="300"/>
        <w:jc w:val="both"/>
      </w:pPr>
      <w:r>
        <w:rPr>
          <w:color w:val="222222"/>
          <w:sz w:val="22"/>
          <w:szCs w:val="22"/>
        </w:rPr>
        <w:t xml:space="preserve">Taken together, the four algorithms the team implemented span the major families of reinforcement learning methods applicable to this problem: value-based and discrete (DQN), deterministic and continuous (DDPG), on-policy and stability-focused (PPO), and entropy-regularised and continuous (SAC). Because every member applied their algorithm to the identical state, action, and reward formulation drawn from the same field-tested paper, the resulting comparison is a fair, like-for-like evaluation of algorithm design choices rather than of differences in problem setup — mirroring the same discipline the source paper itself used when comparing DQN and DDPG in its own live field experiment.</w:t>
      </w:r>
    </w:p>
    <w:p>
      <w:pPr>
        <w:pStyle w:val="Heading1"/>
        <w:spacing w:after="160" w:before="360"/>
      </w:pPr>
      <w:r>
        <w:rPr>
          <w:b/>
          <w:bCs/>
          <w:color w:val="1E2761"/>
          <w:sz w:val="30"/>
          <w:szCs w:val="30"/>
        </w:rPr>
        <w:t xml:space="preserve">References</w:t>
      </w:r>
    </w:p>
    <w:p>
      <w:pPr>
        <w:spacing w:after="160" w:line="300"/>
        <w:jc w:val="both"/>
      </w:pPr>
      <w:r>
        <w:rPr>
          <w:color w:val="222222"/>
          <w:sz w:val="20"/>
          <w:szCs w:val="20"/>
        </w:rPr>
        <w:t xml:space="preserve">Liu, J., Zhang, Y., Wang, X., Deng, Y., &amp; Wu, X. (2019). Dynamic Pricing on E-commerce Platform with Deep Reinforcement Learning: A Field Experiment. arXiv preprint arXiv:1912.02572.</w:t>
      </w:r>
    </w:p>
    <w:p>
      <w:pPr>
        <w:spacing w:after="160" w:line="300"/>
        <w:jc w:val="both"/>
      </w:pPr>
      <w:r>
        <w:rPr>
          <w:color w:val="222222"/>
          <w:sz w:val="20"/>
          <w:szCs w:val="20"/>
        </w:rPr>
        <w:t xml:space="preserve">Mnih, V., et al. (2015). Human-level control through deep reinforcement learning. Nature, 518(7540), 529–533.</w:t>
      </w:r>
    </w:p>
    <w:p>
      <w:pPr>
        <w:spacing w:after="160" w:line="300"/>
        <w:jc w:val="both"/>
      </w:pPr>
      <w:r>
        <w:rPr>
          <w:color w:val="222222"/>
          <w:sz w:val="20"/>
          <w:szCs w:val="20"/>
        </w:rPr>
        <w:t xml:space="preserve">Lillicrap, T. P., et al. (2015). Continuous control with deep reinforcement learning. arXiv preprint arXiv:1509.02971.</w:t>
      </w:r>
    </w:p>
    <w:p>
      <w:pPr>
        <w:spacing w:after="160" w:line="300"/>
        <w:jc w:val="both"/>
      </w:pPr>
      <w:r>
        <w:rPr>
          <w:color w:val="222222"/>
          <w:sz w:val="20"/>
          <w:szCs w:val="20"/>
        </w:rPr>
        <w:t xml:space="preserve">Schulman, J., Wolski, F., Dhariwal, P., Radford, A., &amp; Klimov, O. (2017). Proximal Policy Optimization Algorithms. arXiv preprint arXiv:1707.06347.</w:t>
      </w:r>
    </w:p>
    <w:p>
      <w:pPr>
        <w:spacing w:after="160" w:line="300"/>
        <w:jc w:val="both"/>
      </w:pPr>
      <w:r>
        <w:rPr>
          <w:color w:val="222222"/>
          <w:sz w:val="20"/>
          <w:szCs w:val="20"/>
        </w:rPr>
        <w:t xml:space="preserve">Haarnoja, T., Zhou, A., Abbeel, P., &amp; Levine, S. (2018). Soft Actor-Critic: Off-Policy Maximum Entropy Deep Reinforcement Learning with a Stochastic Actor. arXiv preprint arXiv:1801.01290.</w:t>
      </w:r>
    </w:p>
    <w:p>
      <w:pPr>
        <w:spacing w:after="160" w:line="300"/>
        <w:jc w:val="both"/>
      </w:pPr>
      <w:r>
        <w:rPr>
          <w:color w:val="222222"/>
          <w:sz w:val="20"/>
          <w:szCs w:val="20"/>
        </w:rPr>
        <w:t xml:space="preserve">Watkins, C. J. C. H. (1989). Learning from Delayed Rewards. PhD thesis, King's College, Cambridge.</w:t>
      </w:r>
    </w:p>
    <w:p>
      <w:pPr>
        <w:spacing w:after="160" w:line="300"/>
        <w:jc w:val="both"/>
      </w:pPr>
      <w:r>
        <w:rPr>
          <w:color w:val="222222"/>
          <w:sz w:val="20"/>
          <w:szCs w:val="20"/>
        </w:rPr>
        <w:t xml:space="preserve">Sutton, R. S., &amp; Barto, A. G. (2018). Reinforcement Learning: An Introduction (2nd ed.). MIT Press.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88"/>
        <w:sz w:val="16"/>
        <w:szCs w:val="16"/>
      </w:rPr>
      <w:t xml:space="preserve">Page </w:t>
    </w:r>
    <w:r>
      <w:rPr>
        <w:color w:val="5B6488"/>
        <w:sz w:val="16"/>
        <w:szCs w:val="16"/>
      </w:rPr>
      <w:fldChar w:fldCharType="begin"/>
      <w:instrText xml:space="preserve">PAGE</w:instrText>
      <w:fldChar w:fldCharType="separate"/>
      <w:fldChar w:fldCharType="end"/>
    </w:r>
    <w:r>
      <w:rPr>
        <w:color w:val="5B6488"/>
        <w:sz w:val="16"/>
        <w:szCs w:val="16"/>
      </w:rPr>
      <w:t xml:space="preserve"> of </w:t>
    </w:r>
    <w:r>
      <w:rPr>
        <w:color w:val="5B64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F0" w:sz="4" w:space="4"/>
      </w:pBdr>
      <w:jc w:val="right"/>
    </w:pPr>
    <w:r>
      <w:rPr>
        <w:i/>
        <w:iCs/>
        <w:color w:val="5B6488"/>
        <w:sz w:val="16"/>
        <w:szCs w:val="16"/>
      </w:rPr>
      <w:t xml:space="preserve">CIA 3 — Component 1  |  Reinforcement Learning for Dynamic Pricing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2026-08-31T05:17:46.993Z</dcterms:created>
  <dcterms:modified xsi:type="dcterms:W3CDTF">2026-08-31T05:17:47.008Z</dcterms:modified>
</cp:coreProperties>
</file>

<file path=docProps/custom.xml><?xml version="1.0" encoding="utf-8"?>
<Properties xmlns="http://schemas.openxmlformats.org/officeDocument/2006/custom-properties" xmlns:vt="http://schemas.openxmlformats.org/officeDocument/2006/docPropsVTypes"/>
</file>