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E53" w:rsidRDefault="004D182B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如何用社会人格学方法提高销售业绩</w:t>
      </w:r>
      <w:r>
        <w:rPr>
          <w:rFonts w:ascii="SimSun" w:eastAsia="SimSun" w:hAnsi="SimSun" w:cs="SimSun"/>
          <w:sz w:val="24"/>
          <w:szCs w:val="24"/>
        </w:rPr>
        <w:t> 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贸易是商业的推动力，而销售人员是贸易的关键。销售人员不仅要了解产品，还要能够与消费者建立良好的关系，影响他们对公司的印象。因此，招聘合适的销售人员是提高销售业绩的重要步骤。</w:t>
      </w:r>
      <w:r>
        <w:rPr>
          <w:rFonts w:ascii="SimSun" w:eastAsia="SimSun" w:hAnsi="SimSun" w:cs="SimSun"/>
          <w:sz w:val="24"/>
          <w:szCs w:val="24"/>
        </w:rPr>
        <w:t> 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社会人格学是一种基于心理类型的筛选方法，可以帮助雇主找到适合特定职位的候选人。社会人格学认为，人类有</w:t>
      </w:r>
      <w:r>
        <w:rPr>
          <w:rFonts w:ascii="SimSun" w:eastAsia="SimSun" w:hAnsi="SimSun" w:cs="SimSun"/>
          <w:sz w:val="24"/>
          <w:szCs w:val="24"/>
        </w:rPr>
        <w:t>16</w:t>
      </w:r>
      <w:r>
        <w:rPr>
          <w:rFonts w:ascii="SimSun" w:eastAsia="SimSun" w:hAnsi="SimSun" w:cs="SimSun"/>
          <w:sz w:val="24"/>
          <w:szCs w:val="24"/>
        </w:rPr>
        <w:t>种不同的心理类型，每种类型在处理信息流上都有强项弱项。选择与自己强项相匹配的职业，可以提高工作效率和满意度，避免神经紧张和自尊低落。</w:t>
      </w:r>
      <w:r>
        <w:rPr>
          <w:rFonts w:ascii="SimSun" w:eastAsia="SimSun" w:hAnsi="SimSun" w:cs="SimSun"/>
          <w:sz w:val="24"/>
          <w:szCs w:val="24"/>
        </w:rPr>
        <w:t> 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社会人格学方法对雇主和求职者都有益处。雇主可以减少招聘错误和培训成本，求职者可以找到自己喜欢并擅长的职业。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外倾型喜欢扩展活动范围，探索新领域和机会，但不擅长深入和专注。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内倾型喜欢深入研究材料，解决复杂问题，思考潜在原因，但不擅长与人交流、管理大型团队或项目。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逻辑型喜</w:t>
      </w:r>
      <w:r>
        <w:rPr>
          <w:rFonts w:ascii="SimSun" w:eastAsia="SimSun" w:hAnsi="SimSun" w:cs="SimSun"/>
          <w:sz w:val="24"/>
          <w:szCs w:val="24"/>
        </w:rPr>
        <w:t>欢抽象、分析、形式逻辑思维，擅长处理符号系统，分析、整理和结构化信息，具有清醒的头脑、理智的判断、实用和具体的做事方法，但不擅长与人交流、保持联系、举行会议、谈判、与客户打交道。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伦理型喜欢与人交往，了解他人的感受和经历，能够设身处地，说服、支持、鼓舞乐观、产生影响等，擅长客户服务、销售、谈判等工作，但不擅长就产品的技术特性（特别是复杂技术）向客户提供咨询。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实感型喜欢稳定的环境，可靠、稳定，喜欢经过验证的、熟悉的方法，倾向于完善自己的技能，完成已经开始的事情，仔细研究细节，执行力强且认真，以清醒、现实的态</w:t>
      </w:r>
      <w:r>
        <w:rPr>
          <w:rFonts w:ascii="SimSun" w:eastAsia="SimSun" w:hAnsi="SimSun" w:cs="SimSun"/>
          <w:sz w:val="24"/>
          <w:szCs w:val="24"/>
        </w:rPr>
        <w:t>度对待事物，但可能会陷入细节之中，对新事物持怀疑态度，不喜欢匆忙，在速度方面会输给他人。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直觉型喜欢快速完成工作、不确定性、风险、不明确情况和不稳定环境，能够预测事件的发展，找到解决问题的非常规途径，预见新的机会和情况发展中的意外转折，反应迅速，工作速度快，能够压缩时间，从而弥补遗漏，最不喜欢单调、例行公事的工作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理性型喜欢规划，渴望有条不紊、可预测的活动，对突然变化和不确定情况反应消极。他们努力按顺序完成任务。最好不要打扰他们，让他们从一件事情转移到另一件事情。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非理性型喜欢不确定情况，在极端条件下反而</w:t>
      </w:r>
      <w:r>
        <w:rPr>
          <w:rFonts w:ascii="SimSun" w:eastAsia="SimSun" w:hAnsi="SimSun" w:cs="SimSun"/>
          <w:sz w:val="24"/>
          <w:szCs w:val="24"/>
        </w:rPr>
        <w:t>感觉自在。他们能够灵活地调整行为以适应变化的环境，轻松地从一件事情转移到另一件事情，可以同时做几件事情。他们需要选择的自由，能够根据情况进行定位。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哪种类型最适合担任销售员？</w:t>
      </w:r>
      <w:r>
        <w:rPr>
          <w:rFonts w:ascii="SimSun" w:eastAsia="SimSun" w:hAnsi="SimSun" w:cs="SimSun"/>
          <w:sz w:val="24"/>
          <w:szCs w:val="24"/>
        </w:rPr>
        <w:br/>
      </w:r>
      <w:r>
        <w:rPr>
          <w:rFonts w:ascii="SimSun" w:eastAsia="SimSun" w:hAnsi="SimSun" w:cs="SimSun"/>
          <w:sz w:val="24"/>
          <w:szCs w:val="24"/>
        </w:rPr>
        <w:t>取决于他们销售的产品和服务的特点。不同的类型有不同的优势和弱点，也适应不同的工作环境和方式。表</w:t>
      </w:r>
      <w:r>
        <w:rPr>
          <w:rFonts w:ascii="SimSun" w:eastAsia="SimSun" w:hAnsi="SimSun" w:cs="SimSun"/>
          <w:sz w:val="24"/>
          <w:szCs w:val="24"/>
        </w:rPr>
        <w:t>1</w:t>
      </w:r>
      <w:r>
        <w:rPr>
          <w:rFonts w:ascii="SimSun" w:eastAsia="SimSun" w:hAnsi="SimSun" w:cs="SimSun"/>
          <w:sz w:val="24"/>
          <w:szCs w:val="24"/>
        </w:rPr>
        <w:t>显示了各种类型在不同销售行业中的大致分布，表</w:t>
      </w:r>
      <w:r>
        <w:rPr>
          <w:rFonts w:ascii="SimSun" w:eastAsia="SimSun" w:hAnsi="SimSun" w:cs="SimSun"/>
          <w:sz w:val="24"/>
          <w:szCs w:val="24"/>
        </w:rPr>
        <w:t>2</w:t>
      </w:r>
      <w:r>
        <w:rPr>
          <w:rFonts w:ascii="SimSun" w:eastAsia="SimSun" w:hAnsi="SimSun" w:cs="SimSun"/>
          <w:sz w:val="24"/>
          <w:szCs w:val="24"/>
        </w:rPr>
        <w:t>显示了各种类型在哪些情况和领域中可能会遇到问题。</w:t>
      </w:r>
      <w:r>
        <w:rPr>
          <w:rFonts w:ascii="SimSun" w:eastAsia="SimSun" w:hAnsi="SimSun" w:cs="SimSun"/>
          <w:sz w:val="24"/>
          <w:szCs w:val="24"/>
        </w:rPr>
        <w:t> </w:t>
      </w:r>
      <w:r>
        <w:rPr>
          <w:rFonts w:ascii="SimSun" w:eastAsia="SimSun" w:hAnsi="SimSun" w:cs="SimSun"/>
          <w:sz w:val="24"/>
          <w:szCs w:val="24"/>
        </w:rPr>
        <w:t>社会人格学可以用于提供公司咨询和培训服务，可以分析现有员工和候选人的类型，提供关于每个人的详细信息，帮助调整职责范围和职位说明。公司也可以培训自</w:t>
      </w:r>
      <w:r>
        <w:rPr>
          <w:rFonts w:ascii="SimSun" w:eastAsia="SimSun" w:hAnsi="SimSun" w:cs="SimSun"/>
          <w:sz w:val="24"/>
          <w:szCs w:val="24"/>
        </w:rPr>
        <w:t>己的人力资源部门和部门经理掌握社会人格学判型的基础知识。最好是双管齐下，专业社会人格学家提供外包判型和内部培训服务。培训计划可包括深入研究社会人格学的课程，为高层管理人员提供的基础课程，为公司管理层提供的介绍性讲座和培训。也可远程培训，通过互联网学习社会人格学的理论工具和实践方式。</w:t>
      </w:r>
    </w:p>
    <w:p w:rsidR="00EB3E53" w:rsidRDefault="00EB3E53">
      <w:pPr>
        <w:rPr>
          <w:rFonts w:ascii="SimSun" w:eastAsia="SimSun" w:hAnsi="SimSun" w:cs="SimSun"/>
          <w:sz w:val="24"/>
          <w:szCs w:val="24"/>
        </w:rPr>
      </w:pPr>
    </w:p>
    <w:p w:rsidR="00EB3E53" w:rsidRDefault="004D182B">
      <w:pPr>
        <w:rPr>
          <w:rFonts w:ascii="Roboto" w:hAnsi="Roboto"/>
          <w:b/>
          <w:bCs/>
          <w:color w:val="FF0000"/>
          <w:u w:val="single"/>
        </w:rPr>
      </w:pPr>
      <w:r>
        <w:rPr>
          <w:rFonts w:ascii="Roboto" w:hAnsi="Roboto" w:hint="eastAsia"/>
          <w:b/>
          <w:bCs/>
          <w:color w:val="FF0000"/>
          <w:u w:val="single"/>
        </w:rPr>
        <w:t>表</w:t>
      </w:r>
      <w:r>
        <w:rPr>
          <w:rFonts w:ascii="Roboto" w:hAnsi="Roboto" w:hint="eastAsia"/>
          <w:b/>
          <w:bCs/>
          <w:color w:val="FF0000"/>
          <w:u w:val="single"/>
        </w:rPr>
        <w:t>1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470"/>
        <w:gridCol w:w="2853"/>
        <w:gridCol w:w="2963"/>
      </w:tblGrid>
      <w:tr w:rsidR="00EB3E53">
        <w:tc>
          <w:tcPr>
            <w:tcW w:w="1490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b/>
                <w:bCs/>
                <w:color w:val="FF0000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b/>
                <w:bCs/>
                <w:color w:val="FF0000"/>
                <w:sz w:val="20"/>
                <w:szCs w:val="21"/>
              </w:rPr>
              <w:t>销售岗位</w:t>
            </w:r>
          </w:p>
        </w:tc>
        <w:tc>
          <w:tcPr>
            <w:tcW w:w="1721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b/>
                <w:bCs/>
                <w:color w:val="FF0000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b/>
                <w:bCs/>
                <w:color w:val="FF0000"/>
                <w:sz w:val="20"/>
                <w:szCs w:val="21"/>
              </w:rPr>
              <w:t>岗位所需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b/>
                <w:bCs/>
                <w:color w:val="FF0000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b/>
                <w:bCs/>
                <w:color w:val="FF0000"/>
                <w:sz w:val="20"/>
                <w:szCs w:val="21"/>
              </w:rPr>
              <w:t>推荐类型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街头推销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伦理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ESI/ESE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食品销售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伦理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ESE/SEI/ESI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服装销售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伦理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ESE/SEI/ESI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礼服销售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SEE/ESI/ESE/LSE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家具销售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ESI/ESE/SEE/LSE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家具定制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ESI/ESE/SEE/LSE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古玩销售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直觉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ESE/ESI/ILI/IEI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汽车销售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LSE/SLI/SLE/LSI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化妆品销售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LSE/ESE/SEI/ESI/SLI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家用电器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LSE/SLI/LSI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计算机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LSE/SLI/LSI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软件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LSE/ILI/SLI/ILE/LIE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银行贷款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LSE/ILI/LIE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股票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直觉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ILI/LIE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房地产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实感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LSE/SLI/ESI/LIE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创新项目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直觉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逻辑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外倾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ILE/LIE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党派宣传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直觉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伦理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SEI/ESI/IEI/ILE</w:t>
            </w:r>
          </w:p>
        </w:tc>
      </w:tr>
      <w:tr w:rsidR="00EB3E53">
        <w:tc>
          <w:tcPr>
            <w:tcW w:w="1490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广告促销</w:t>
            </w:r>
          </w:p>
        </w:tc>
        <w:tc>
          <w:tcPr>
            <w:tcW w:w="1721" w:type="pct"/>
            <w:vAlign w:val="center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直觉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/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外倾</w:t>
            </w:r>
          </w:p>
        </w:tc>
        <w:tc>
          <w:tcPr>
            <w:tcW w:w="1788" w:type="pct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11111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202122"/>
                <w:sz w:val="20"/>
                <w:szCs w:val="20"/>
                <w:shd w:val="clear" w:color="auto" w:fill="FFFFFF"/>
              </w:rPr>
              <w:t>ILE/EIE/IEE</w:t>
            </w:r>
          </w:p>
        </w:tc>
      </w:tr>
    </w:tbl>
    <w:p w:rsidR="00EB3E53" w:rsidRDefault="00EB3E53">
      <w:pPr>
        <w:rPr>
          <w:rFonts w:ascii="Roboto" w:hAnsi="Roboto"/>
          <w:b/>
          <w:bCs/>
          <w:color w:val="FF0000"/>
          <w:u w:val="single"/>
        </w:rPr>
      </w:pPr>
    </w:p>
    <w:p w:rsidR="00EB3E53" w:rsidRDefault="004D182B">
      <w:pPr>
        <w:rPr>
          <w:rFonts w:ascii="霞鹜尚智黑" w:eastAsia="霞鹜尚智黑" w:hAnsi="霞鹜尚智黑" w:cs="霞鹜尚智黑"/>
          <w:b/>
          <w:bCs/>
          <w:color w:val="FF0000"/>
          <w:sz w:val="20"/>
          <w:szCs w:val="21"/>
          <w:u w:val="single"/>
        </w:rPr>
      </w:pPr>
      <w:r>
        <w:rPr>
          <w:rFonts w:ascii="霞鹜尚智黑" w:eastAsia="霞鹜尚智黑" w:hAnsi="霞鹜尚智黑" w:cs="霞鹜尚智黑" w:hint="eastAsia"/>
          <w:b/>
          <w:bCs/>
          <w:color w:val="FF0000"/>
          <w:sz w:val="20"/>
          <w:szCs w:val="21"/>
          <w:u w:val="single"/>
        </w:rPr>
        <w:t>表</w:t>
      </w:r>
      <w:r>
        <w:rPr>
          <w:rFonts w:ascii="霞鹜尚智黑" w:eastAsia="霞鹜尚智黑" w:hAnsi="霞鹜尚智黑" w:cs="霞鹜尚智黑" w:hint="eastAsia"/>
          <w:b/>
          <w:bCs/>
          <w:color w:val="FF0000"/>
          <w:sz w:val="20"/>
          <w:szCs w:val="21"/>
          <w:u w:val="singl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EB3E53">
        <w:tc>
          <w:tcPr>
            <w:tcW w:w="1129" w:type="dxa"/>
            <w:tcBorders>
              <w:bottom w:val="single" w:sz="4" w:space="0" w:color="auto"/>
            </w:tcBorders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FF0000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FF0000"/>
                <w:sz w:val="20"/>
                <w:szCs w:val="21"/>
              </w:rPr>
              <w:t>人格</w:t>
            </w:r>
            <w:r>
              <w:rPr>
                <w:rFonts w:ascii="霞鹜尚智黑" w:eastAsia="霞鹜尚智黑" w:hAnsi="霞鹜尚智黑" w:cs="霞鹜尚智黑" w:hint="eastAsia"/>
                <w:color w:val="FF0000"/>
                <w:sz w:val="20"/>
                <w:szCs w:val="21"/>
              </w:rPr>
              <w:t>类型</w:t>
            </w:r>
          </w:p>
        </w:tc>
        <w:tc>
          <w:tcPr>
            <w:tcW w:w="7167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FF0000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FF0000"/>
                <w:sz w:val="20"/>
                <w:szCs w:val="21"/>
              </w:rPr>
              <w:t>不适合的工作领域</w:t>
            </w:r>
          </w:p>
        </w:tc>
      </w:tr>
      <w:tr w:rsidR="00EB3E53">
        <w:tc>
          <w:tcPr>
            <w:tcW w:w="1129" w:type="dxa"/>
            <w:tcBorders>
              <w:top w:val="single" w:sz="4" w:space="0" w:color="auto"/>
            </w:tcBorders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SLE/ILE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与客户（特别是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客户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投诉）打交道，通过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  <w:highlight w:val="yellow"/>
              </w:rPr>
              <w:t>冷联系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推广产品。</w:t>
            </w:r>
          </w:p>
        </w:tc>
      </w:tr>
      <w:tr w:rsidR="00EB3E53">
        <w:tc>
          <w:tcPr>
            <w:tcW w:w="1129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SEI/IEI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财务管理，处理证券、存款、贷款、房地产、商业组织。</w:t>
            </w:r>
          </w:p>
        </w:tc>
      </w:tr>
      <w:tr w:rsidR="00EB3E53">
        <w:tc>
          <w:tcPr>
            <w:tcW w:w="1129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ESE/LSE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需要预测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业务流程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的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工作，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股票交易、时间管理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类工作，工作时间不固定或要求随叫随到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的工作。</w:t>
            </w:r>
          </w:p>
        </w:tc>
      </w:tr>
      <w:tr w:rsidR="00EB3E53">
        <w:tc>
          <w:tcPr>
            <w:tcW w:w="1129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LII/EII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需要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使用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武力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、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施加压力和采取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侵略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式策略的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领域。</w:t>
            </w:r>
          </w:p>
        </w:tc>
      </w:tr>
      <w:tr w:rsidR="00EB3E53">
        <w:tc>
          <w:tcPr>
            <w:tcW w:w="1129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EIE/LIE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医药美妆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、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公共餐饮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、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人畜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照顾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、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家庭组织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、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装修设计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、</w:t>
            </w: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服装顾问</w:t>
            </w:r>
          </w:p>
        </w:tc>
      </w:tr>
      <w:tr w:rsidR="00EB3E53">
        <w:tc>
          <w:tcPr>
            <w:tcW w:w="1129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LSI/ESI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需要快速做出决定并承担高度责任的情况；在数据不足的情况下工作。</w:t>
            </w:r>
          </w:p>
        </w:tc>
      </w:tr>
      <w:tr w:rsidR="00EB3E53">
        <w:tc>
          <w:tcPr>
            <w:tcW w:w="1129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SEE/IEE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准备合同，执行文件。</w:t>
            </w:r>
          </w:p>
        </w:tc>
      </w:tr>
      <w:tr w:rsidR="00EB3E53">
        <w:tc>
          <w:tcPr>
            <w:tcW w:w="1129" w:type="dxa"/>
          </w:tcPr>
          <w:p w:rsidR="00EB3E53" w:rsidRDefault="004D182B">
            <w:pPr>
              <w:jc w:val="center"/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000000" w:themeColor="text1"/>
                <w:sz w:val="20"/>
                <w:szCs w:val="21"/>
              </w:rPr>
              <w:t>ILI/SLI</w:t>
            </w:r>
          </w:p>
        </w:tc>
        <w:tc>
          <w:tcPr>
            <w:tcW w:w="7167" w:type="dxa"/>
          </w:tcPr>
          <w:p w:rsidR="00EB3E53" w:rsidRDefault="004D182B">
            <w:pPr>
              <w:rPr>
                <w:rFonts w:ascii="霞鹜尚智黑" w:eastAsia="霞鹜尚智黑" w:hAnsi="霞鹜尚智黑" w:cs="霞鹜尚智黑"/>
                <w:color w:val="000000" w:themeColor="text1"/>
                <w:sz w:val="20"/>
                <w:szCs w:val="21"/>
              </w:rPr>
            </w:pPr>
            <w:r>
              <w:rPr>
                <w:rFonts w:ascii="霞鹜尚智黑" w:eastAsia="霞鹜尚智黑" w:hAnsi="霞鹜尚智黑" w:cs="霞鹜尚智黑" w:hint="eastAsia"/>
                <w:color w:val="111111"/>
                <w:sz w:val="20"/>
                <w:szCs w:val="21"/>
              </w:rPr>
              <w:t>通过冷联系吸引客户，促销，组织节日。</w:t>
            </w:r>
          </w:p>
        </w:tc>
      </w:tr>
    </w:tbl>
    <w:p w:rsidR="00EB3E53" w:rsidRDefault="004D182B">
      <w:pPr>
        <w:rPr>
          <w:rFonts w:ascii="霞鹜尚智黑" w:eastAsia="霞鹜尚智黑" w:hAnsi="霞鹜尚智黑" w:cs="霞鹜尚智黑"/>
          <w:sz w:val="20"/>
          <w:szCs w:val="21"/>
        </w:rPr>
      </w:pPr>
      <w:r>
        <w:rPr>
          <w:rFonts w:ascii="霞鹜尚智黑" w:eastAsia="霞鹜尚智黑" w:hAnsi="霞鹜尚智黑" w:cs="霞鹜尚智黑" w:hint="eastAsia"/>
          <w:b/>
          <w:bCs/>
          <w:color w:val="FF0000"/>
          <w:sz w:val="20"/>
          <w:szCs w:val="21"/>
        </w:rPr>
        <w:t>冷联系：</w:t>
      </w:r>
      <w:r>
        <w:rPr>
          <w:rFonts w:ascii="霞鹜尚智黑" w:eastAsia="霞鹜尚智黑" w:hAnsi="霞鹜尚智黑" w:cs="霞鹜尚智黑" w:hint="eastAsia"/>
          <w:sz w:val="20"/>
          <w:szCs w:val="21"/>
        </w:rPr>
        <w:t>无预先交流地与陌生人联系，获取信息或推广产品；通常通过电话拜访，因为失败率高，成本低。冷联系难以建立连接和共同信息，传递价值困难，是销售最大的挑战</w:t>
      </w:r>
      <w:r>
        <w:rPr>
          <w:rFonts w:ascii="霞鹜尚智黑" w:eastAsia="霞鹜尚智黑" w:hAnsi="霞鹜尚智黑" w:cs="霞鹜尚智黑" w:hint="eastAsia"/>
          <w:sz w:val="20"/>
          <w:szCs w:val="21"/>
        </w:rPr>
        <w:t>。</w:t>
      </w:r>
    </w:p>
    <w:sectPr w:rsidR="00EB3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霞鹜尚智黑">
    <w:altName w:val="Microsoft YaHei"/>
    <w:charset w:val="86"/>
    <w:family w:val="auto"/>
    <w:pitch w:val="default"/>
    <w:sig w:usb0="80000283" w:usb1="0A4F0410" w:usb2="04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UwYTVjYzBhYjg4OTI4YTczOTM4OTBkMzY3NWJjMjAifQ=="/>
  </w:docVars>
  <w:rsids>
    <w:rsidRoot w:val="00EF5D5D"/>
    <w:rsid w:val="00005D27"/>
    <w:rsid w:val="00006209"/>
    <w:rsid w:val="00007C31"/>
    <w:rsid w:val="00011E59"/>
    <w:rsid w:val="00020325"/>
    <w:rsid w:val="00051917"/>
    <w:rsid w:val="00054790"/>
    <w:rsid w:val="00077C12"/>
    <w:rsid w:val="00082713"/>
    <w:rsid w:val="00082A51"/>
    <w:rsid w:val="00086682"/>
    <w:rsid w:val="000A389B"/>
    <w:rsid w:val="000A612D"/>
    <w:rsid w:val="000B527A"/>
    <w:rsid w:val="000D0FEA"/>
    <w:rsid w:val="000E0CEE"/>
    <w:rsid w:val="000F232D"/>
    <w:rsid w:val="0010706C"/>
    <w:rsid w:val="00113380"/>
    <w:rsid w:val="00124FCD"/>
    <w:rsid w:val="00127F9E"/>
    <w:rsid w:val="0013058A"/>
    <w:rsid w:val="00131888"/>
    <w:rsid w:val="00133770"/>
    <w:rsid w:val="00154F98"/>
    <w:rsid w:val="00161C94"/>
    <w:rsid w:val="001718B1"/>
    <w:rsid w:val="001827A2"/>
    <w:rsid w:val="00193E98"/>
    <w:rsid w:val="001A33C9"/>
    <w:rsid w:val="001A7C0A"/>
    <w:rsid w:val="001B0FF2"/>
    <w:rsid w:val="001B231B"/>
    <w:rsid w:val="001B5767"/>
    <w:rsid w:val="001C1A9C"/>
    <w:rsid w:val="001D01D3"/>
    <w:rsid w:val="001D2B58"/>
    <w:rsid w:val="001E00D6"/>
    <w:rsid w:val="002060A2"/>
    <w:rsid w:val="002125EC"/>
    <w:rsid w:val="002207DD"/>
    <w:rsid w:val="0022292E"/>
    <w:rsid w:val="00225A44"/>
    <w:rsid w:val="002467BF"/>
    <w:rsid w:val="002558BA"/>
    <w:rsid w:val="0025751E"/>
    <w:rsid w:val="00261183"/>
    <w:rsid w:val="0027238D"/>
    <w:rsid w:val="00276675"/>
    <w:rsid w:val="00287A5E"/>
    <w:rsid w:val="0029088D"/>
    <w:rsid w:val="0029093D"/>
    <w:rsid w:val="002A1F95"/>
    <w:rsid w:val="002A35A6"/>
    <w:rsid w:val="002B0941"/>
    <w:rsid w:val="002B4EDC"/>
    <w:rsid w:val="002B6FBF"/>
    <w:rsid w:val="002C17CC"/>
    <w:rsid w:val="002C47F5"/>
    <w:rsid w:val="002C4A6F"/>
    <w:rsid w:val="002D7FC6"/>
    <w:rsid w:val="002E321C"/>
    <w:rsid w:val="002F11A5"/>
    <w:rsid w:val="003000DE"/>
    <w:rsid w:val="00303DC1"/>
    <w:rsid w:val="00306A5E"/>
    <w:rsid w:val="00312EB1"/>
    <w:rsid w:val="00313B70"/>
    <w:rsid w:val="00316E30"/>
    <w:rsid w:val="00327C6F"/>
    <w:rsid w:val="00334DE1"/>
    <w:rsid w:val="00344EA3"/>
    <w:rsid w:val="00356075"/>
    <w:rsid w:val="00386E1A"/>
    <w:rsid w:val="00387F9E"/>
    <w:rsid w:val="003961BA"/>
    <w:rsid w:val="00397F63"/>
    <w:rsid w:val="003A064B"/>
    <w:rsid w:val="003C4BE8"/>
    <w:rsid w:val="003D3278"/>
    <w:rsid w:val="003D5E9D"/>
    <w:rsid w:val="003D5F17"/>
    <w:rsid w:val="003E320F"/>
    <w:rsid w:val="003E3C2B"/>
    <w:rsid w:val="003F54BB"/>
    <w:rsid w:val="003F60BE"/>
    <w:rsid w:val="0043017E"/>
    <w:rsid w:val="004308E5"/>
    <w:rsid w:val="00430927"/>
    <w:rsid w:val="0043499F"/>
    <w:rsid w:val="00437B5E"/>
    <w:rsid w:val="00451DFC"/>
    <w:rsid w:val="00453F6F"/>
    <w:rsid w:val="00453FCE"/>
    <w:rsid w:val="0046566B"/>
    <w:rsid w:val="004714FA"/>
    <w:rsid w:val="00473A6F"/>
    <w:rsid w:val="00482C8B"/>
    <w:rsid w:val="00483162"/>
    <w:rsid w:val="0049217B"/>
    <w:rsid w:val="004A7827"/>
    <w:rsid w:val="004B7826"/>
    <w:rsid w:val="004D182B"/>
    <w:rsid w:val="004D1CE6"/>
    <w:rsid w:val="004D7DB1"/>
    <w:rsid w:val="004E2151"/>
    <w:rsid w:val="004E65AB"/>
    <w:rsid w:val="004E77F5"/>
    <w:rsid w:val="004F2EB8"/>
    <w:rsid w:val="005200E2"/>
    <w:rsid w:val="005544AF"/>
    <w:rsid w:val="005577E1"/>
    <w:rsid w:val="005770D6"/>
    <w:rsid w:val="00586A37"/>
    <w:rsid w:val="00587E19"/>
    <w:rsid w:val="00592FA1"/>
    <w:rsid w:val="005A19FB"/>
    <w:rsid w:val="005B041E"/>
    <w:rsid w:val="005B18EB"/>
    <w:rsid w:val="005B473F"/>
    <w:rsid w:val="005C1834"/>
    <w:rsid w:val="005C6DCB"/>
    <w:rsid w:val="005D0924"/>
    <w:rsid w:val="005D24E1"/>
    <w:rsid w:val="005D4998"/>
    <w:rsid w:val="005E29E5"/>
    <w:rsid w:val="005E4765"/>
    <w:rsid w:val="005F4A5A"/>
    <w:rsid w:val="00611655"/>
    <w:rsid w:val="0066434B"/>
    <w:rsid w:val="00687977"/>
    <w:rsid w:val="0069097D"/>
    <w:rsid w:val="00695BD0"/>
    <w:rsid w:val="006A19BC"/>
    <w:rsid w:val="006A4E80"/>
    <w:rsid w:val="006F7F5B"/>
    <w:rsid w:val="0070128D"/>
    <w:rsid w:val="0071563F"/>
    <w:rsid w:val="00723B92"/>
    <w:rsid w:val="00735EEB"/>
    <w:rsid w:val="00737C13"/>
    <w:rsid w:val="007472CF"/>
    <w:rsid w:val="00765C0D"/>
    <w:rsid w:val="00770D5A"/>
    <w:rsid w:val="007758D3"/>
    <w:rsid w:val="007915E2"/>
    <w:rsid w:val="007A38F6"/>
    <w:rsid w:val="007A744C"/>
    <w:rsid w:val="007B2E7A"/>
    <w:rsid w:val="007C058D"/>
    <w:rsid w:val="007C14F2"/>
    <w:rsid w:val="007C3C66"/>
    <w:rsid w:val="007C5951"/>
    <w:rsid w:val="007D03DD"/>
    <w:rsid w:val="007D3E30"/>
    <w:rsid w:val="007E0EFB"/>
    <w:rsid w:val="007F759E"/>
    <w:rsid w:val="0080472A"/>
    <w:rsid w:val="008112F8"/>
    <w:rsid w:val="00813649"/>
    <w:rsid w:val="0081533B"/>
    <w:rsid w:val="00822974"/>
    <w:rsid w:val="00830A7C"/>
    <w:rsid w:val="00860286"/>
    <w:rsid w:val="008619CF"/>
    <w:rsid w:val="00867D80"/>
    <w:rsid w:val="00874937"/>
    <w:rsid w:val="0088498D"/>
    <w:rsid w:val="00886347"/>
    <w:rsid w:val="00894A6B"/>
    <w:rsid w:val="00895E1B"/>
    <w:rsid w:val="008A1304"/>
    <w:rsid w:val="008B101F"/>
    <w:rsid w:val="008B294E"/>
    <w:rsid w:val="008B3FDF"/>
    <w:rsid w:val="008D0EDA"/>
    <w:rsid w:val="008E0775"/>
    <w:rsid w:val="008E2E1B"/>
    <w:rsid w:val="008E74F3"/>
    <w:rsid w:val="0090286B"/>
    <w:rsid w:val="009051AD"/>
    <w:rsid w:val="009070DE"/>
    <w:rsid w:val="00916E86"/>
    <w:rsid w:val="00917BD2"/>
    <w:rsid w:val="0092503F"/>
    <w:rsid w:val="009331C2"/>
    <w:rsid w:val="0093361C"/>
    <w:rsid w:val="00944F37"/>
    <w:rsid w:val="0095701D"/>
    <w:rsid w:val="00957031"/>
    <w:rsid w:val="00962149"/>
    <w:rsid w:val="0097140C"/>
    <w:rsid w:val="009A10EE"/>
    <w:rsid w:val="009A4ABE"/>
    <w:rsid w:val="009B14D1"/>
    <w:rsid w:val="009B2843"/>
    <w:rsid w:val="009C0BFE"/>
    <w:rsid w:val="009C7A77"/>
    <w:rsid w:val="00A01249"/>
    <w:rsid w:val="00A269EE"/>
    <w:rsid w:val="00A46C19"/>
    <w:rsid w:val="00A5272A"/>
    <w:rsid w:val="00A60980"/>
    <w:rsid w:val="00A651B0"/>
    <w:rsid w:val="00A72FCF"/>
    <w:rsid w:val="00A80865"/>
    <w:rsid w:val="00A8560D"/>
    <w:rsid w:val="00A91663"/>
    <w:rsid w:val="00AA51CD"/>
    <w:rsid w:val="00AB02F6"/>
    <w:rsid w:val="00AB2743"/>
    <w:rsid w:val="00AB6A6C"/>
    <w:rsid w:val="00AC013F"/>
    <w:rsid w:val="00AD01FB"/>
    <w:rsid w:val="00AD0B6B"/>
    <w:rsid w:val="00AD590B"/>
    <w:rsid w:val="00AD687C"/>
    <w:rsid w:val="00AD6B45"/>
    <w:rsid w:val="00AE47F4"/>
    <w:rsid w:val="00AF37FA"/>
    <w:rsid w:val="00B134AC"/>
    <w:rsid w:val="00B21B04"/>
    <w:rsid w:val="00B22C5C"/>
    <w:rsid w:val="00B25AD6"/>
    <w:rsid w:val="00B25C4B"/>
    <w:rsid w:val="00B25F76"/>
    <w:rsid w:val="00B31CA4"/>
    <w:rsid w:val="00B34050"/>
    <w:rsid w:val="00B40980"/>
    <w:rsid w:val="00B43579"/>
    <w:rsid w:val="00B550BD"/>
    <w:rsid w:val="00B5788C"/>
    <w:rsid w:val="00B61CFB"/>
    <w:rsid w:val="00B7739C"/>
    <w:rsid w:val="00B86080"/>
    <w:rsid w:val="00B87652"/>
    <w:rsid w:val="00B90D9C"/>
    <w:rsid w:val="00B9210B"/>
    <w:rsid w:val="00B93557"/>
    <w:rsid w:val="00BA0F98"/>
    <w:rsid w:val="00BA21BC"/>
    <w:rsid w:val="00BA777D"/>
    <w:rsid w:val="00BB1969"/>
    <w:rsid w:val="00BC3AE7"/>
    <w:rsid w:val="00BD33B7"/>
    <w:rsid w:val="00BE6F1B"/>
    <w:rsid w:val="00BE7E47"/>
    <w:rsid w:val="00C00FC3"/>
    <w:rsid w:val="00C07DD8"/>
    <w:rsid w:val="00C12F53"/>
    <w:rsid w:val="00C13DE6"/>
    <w:rsid w:val="00C244A1"/>
    <w:rsid w:val="00C257A8"/>
    <w:rsid w:val="00C2682D"/>
    <w:rsid w:val="00C34292"/>
    <w:rsid w:val="00C54842"/>
    <w:rsid w:val="00C5772E"/>
    <w:rsid w:val="00C62BD6"/>
    <w:rsid w:val="00C67BC8"/>
    <w:rsid w:val="00C77FA9"/>
    <w:rsid w:val="00C93678"/>
    <w:rsid w:val="00CC34E1"/>
    <w:rsid w:val="00CD4B92"/>
    <w:rsid w:val="00CE6267"/>
    <w:rsid w:val="00D031F5"/>
    <w:rsid w:val="00D33F14"/>
    <w:rsid w:val="00D807D0"/>
    <w:rsid w:val="00D95D8E"/>
    <w:rsid w:val="00DA1ABE"/>
    <w:rsid w:val="00DB36C0"/>
    <w:rsid w:val="00DC5EB4"/>
    <w:rsid w:val="00DD0B73"/>
    <w:rsid w:val="00DD78FB"/>
    <w:rsid w:val="00DE32A2"/>
    <w:rsid w:val="00DE65F5"/>
    <w:rsid w:val="00DF3CE8"/>
    <w:rsid w:val="00E001BF"/>
    <w:rsid w:val="00E07EB3"/>
    <w:rsid w:val="00E117E4"/>
    <w:rsid w:val="00E16A6D"/>
    <w:rsid w:val="00E17BDE"/>
    <w:rsid w:val="00E30F89"/>
    <w:rsid w:val="00E36CB8"/>
    <w:rsid w:val="00E40437"/>
    <w:rsid w:val="00E4499B"/>
    <w:rsid w:val="00E51F07"/>
    <w:rsid w:val="00E52FAF"/>
    <w:rsid w:val="00E641E4"/>
    <w:rsid w:val="00E67FDB"/>
    <w:rsid w:val="00E759A8"/>
    <w:rsid w:val="00E75C97"/>
    <w:rsid w:val="00E81BB7"/>
    <w:rsid w:val="00E9184E"/>
    <w:rsid w:val="00EA0E1D"/>
    <w:rsid w:val="00EA6D9C"/>
    <w:rsid w:val="00EB3E53"/>
    <w:rsid w:val="00EB4245"/>
    <w:rsid w:val="00EB4973"/>
    <w:rsid w:val="00EB735E"/>
    <w:rsid w:val="00ED40CE"/>
    <w:rsid w:val="00ED6F20"/>
    <w:rsid w:val="00EE00EE"/>
    <w:rsid w:val="00EE0842"/>
    <w:rsid w:val="00EF5D5D"/>
    <w:rsid w:val="00F113B6"/>
    <w:rsid w:val="00F1411F"/>
    <w:rsid w:val="00F42B63"/>
    <w:rsid w:val="00F53B6B"/>
    <w:rsid w:val="00F54B38"/>
    <w:rsid w:val="00F552F9"/>
    <w:rsid w:val="00F61A17"/>
    <w:rsid w:val="00F87C80"/>
    <w:rsid w:val="00FA6C54"/>
    <w:rsid w:val="00FA6CC4"/>
    <w:rsid w:val="00FB45A9"/>
    <w:rsid w:val="00FD75C8"/>
    <w:rsid w:val="00FE2A07"/>
    <w:rsid w:val="116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7D08A5D-9A01-9247-9147-2731465D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vision1">
    <w:name w:val="Revision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9E170-7E8A-4A8E-965C-AC75AFDF66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新慧纪</dc:creator>
  <cp:lastModifiedBy>伊尔特林 蓝砂</cp:lastModifiedBy>
  <cp:revision>2</cp:revision>
  <dcterms:created xsi:type="dcterms:W3CDTF">2023-07-05T03:44:00Z</dcterms:created>
  <dcterms:modified xsi:type="dcterms:W3CDTF">2023-07-05T03:44:00Z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2052-12.1.0.15009</vt:lpwstr>
  </property>
  <property fmtid="{D5CDD505-2E9C-101B-9397-08002B2CF9AE}" pid="3" name="ICV">
    <vt:lpwstr>0DE08A674A47458DA0197B3BADF89556_13</vt:lpwstr>
  </property>
</Properties>
</file>