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LAPORAN EKSPERIMEN</w:t>
      </w:r>
    </w:p>
    <w:p>
      <w:pPr>
        <w:jc w:val="center"/>
      </w:pPr>
      <w:r>
        <w:rPr>
          <w:rFonts w:ascii="Times New Roman" w:hAnsi="Times New Roman"/>
          <w:b/>
          <w:sz w:val="28"/>
        </w:rPr>
        <w:t>Analisis Komparatif Algoritma Machine Learning</w:t>
        <w:br/>
        <w:t>untuk Prediksi Harga RAM Menggunakan Alur CRISP-DM</w:t>
      </w:r>
    </w:p>
    <w:p/>
    <w:p>
      <w:r>
        <w:rPr>
          <w:rFonts w:ascii="Times New Roman" w:hAnsi="Times New Roman"/>
          <w:b/>
          <w:sz w:val="24"/>
        </w:rPr>
        <w:t>Nama</w:t>
      </w:r>
      <w:r>
        <w:rPr>
          <w:rFonts w:ascii="Times New Roman" w:hAnsi="Times New Roman"/>
          <w:sz w:val="24"/>
        </w:rPr>
        <w:t>: [Nama Penulis / Kelompok]</w:t>
      </w:r>
    </w:p>
    <w:p>
      <w:r>
        <w:rPr>
          <w:rFonts w:ascii="Times New Roman" w:hAnsi="Times New Roman"/>
          <w:b/>
          <w:sz w:val="24"/>
        </w:rPr>
        <w:t>Tanggal Eksperimen</w:t>
      </w:r>
      <w:r>
        <w:rPr>
          <w:rFonts w:ascii="Times New Roman" w:hAnsi="Times New Roman"/>
          <w:sz w:val="24"/>
        </w:rPr>
        <w:t>: Mei 2026</w:t>
      </w:r>
    </w:p>
    <w:p>
      <w:r>
        <w:rPr>
          <w:rFonts w:ascii="Times New Roman" w:hAnsi="Times New Roman"/>
          <w:b/>
          <w:sz w:val="24"/>
        </w:rPr>
        <w:t>Sumber Dataset</w:t>
      </w:r>
      <w:r>
        <w:rPr>
          <w:rFonts w:ascii="Times New Roman" w:hAnsi="Times New Roman"/>
          <w:sz w:val="24"/>
        </w:rPr>
        <w:t>: Ultimate Memory Crisis Hardware Market Dynamics (Kaggle)</w:t>
      </w:r>
    </w:p>
    <w:p>
      <w:r>
        <w:rPr>
          <w:rFonts w:ascii="Times New Roman" w:hAnsi="Times New Roman"/>
          <w:b/>
          <w:sz w:val="24"/>
        </w:rPr>
        <w:t>Jumlah Data</w:t>
      </w:r>
      <w:r>
        <w:rPr>
          <w:rFonts w:ascii="Times New Roman" w:hAnsi="Times New Roman"/>
          <w:sz w:val="24"/>
        </w:rPr>
        <w:t>: 10.000 baris, 28 kolom</w:t>
      </w:r>
    </w:p>
    <w:p>
      <w:r>
        <w:rPr>
          <w:rFonts w:ascii="Times New Roman" w:hAnsi="Times New Roman"/>
          <w:b/>
          <w:sz w:val="24"/>
        </w:rPr>
        <w:t>Target Variabel</w:t>
      </w:r>
      <w:r>
        <w:rPr>
          <w:rFonts w:ascii="Times New Roman" w:hAnsi="Times New Roman"/>
          <w:sz w:val="24"/>
        </w:rPr>
        <w:t>: price_usd (harga RAM dalam USD)</w:t>
      </w:r>
    </w:p>
    <w:p>
      <w:r>
        <w:br w:type="page"/>
      </w:r>
    </w:p>
    <w:p>
      <w:pPr>
        <w:pStyle w:val="Heading1"/>
      </w:pPr>
      <w:r>
        <w:rPr>
          <w:rFonts w:ascii="Times New Roman" w:hAnsi="Times New Roman"/>
          <w:color w:val="000000"/>
        </w:rPr>
        <w:t>1. Abstrak</w:t>
      </w:r>
    </w:p>
    <w:p>
      <w:pPr>
        <w:spacing w:after="120"/>
      </w:pPr>
      <w:r>
        <w:rPr>
          <w:rFonts w:ascii="Times New Roman" w:hAnsi="Times New Roman"/>
          <w:b w:val="0"/>
          <w:sz w:val="24"/>
        </w:rPr>
        <w:t>Penelitian ini bertujuan memprediksi harga RAM (price_usd) berdasarkan spesifikasi teknis dan kondisi pasar menggunakan tiga algoritma regresi: Linear Regression, K-Nearest Neighbors (KNN), dan Support Vector Regressor (SVR). Dataset yang digunakan adalah Ultimate Memory Crisis Hardware Market Dynamics dari Kaggle dengan 10.000 baris dan 28 kolom. Proses analisis mengikuti alur CRISP-DM mulai dari Business Understanding hingga Deployment. Setiap algoritma diuji dalam dua kondisi: default (tanpa tuning) dan tuned (setelah hyperparameter tuning menggunakan RandomizedSearchCV). Teknik boosting berupa PolynomialFeatures dan log-transform target diterapkan pada Linear Regression dan SVR. Hasil evaluasi menunjukkan bahwa SVR (Tuned) memberikan performa terbaik dengan R-squared sebesar 0,9929, MAE 198,67, dan RMSE 652,77. Linear Regression (Tuned) menempati posisi kedua dengan R-squared 0,9719, sementara KNN (Tuned) mencapai R-squared 0,9025. Analisis overfitting menunjukkan ketiga model telah tergeneralisasi dengan baik. Interpretasi model menggunakan SHAP mengungkapkan bahwa capacity_gb dan capacity_per_module merupakan faktor penentu harga yang paling dominan.</w:t>
      </w:r>
    </w:p>
    <w:p>
      <w:r>
        <w:br w:type="page"/>
      </w:r>
    </w:p>
    <w:p>
      <w:pPr>
        <w:pStyle w:val="Heading1"/>
      </w:pPr>
      <w:r>
        <w:rPr>
          <w:rFonts w:ascii="Times New Roman" w:hAnsi="Times New Roman"/>
          <w:color w:val="000000"/>
        </w:rPr>
        <w:t>2. Business Understanding</w:t>
      </w:r>
    </w:p>
    <w:p>
      <w:pPr>
        <w:spacing w:after="120"/>
      </w:pPr>
      <w:r>
        <w:rPr>
          <w:rFonts w:ascii="Times New Roman" w:hAnsi="Times New Roman"/>
          <w:b w:val="0"/>
          <w:sz w:val="24"/>
        </w:rPr>
        <w:t>Industri perangkat keras rentan terhadap fluktuasi harga memori (RAM) akibat krisis pasokan, pergantian generasi teknologi, dan dinamika pasar global. Perubahan harga yang tidak terprediksi dapat menyebabkan kerugian bagi distributor, integrator sistem, dan produsen perangkat keras.</w:t>
      </w:r>
    </w:p>
    <w:p>
      <w:pPr>
        <w:spacing w:after="120"/>
      </w:pPr>
      <w:r>
        <w:rPr>
          <w:rFonts w:ascii="Times New Roman" w:hAnsi="Times New Roman"/>
          <w:b w:val="0"/>
          <w:sz w:val="24"/>
        </w:rPr>
        <w:t>Target prediksi dalam penelitian ini adalah price_usd, yaitu harga RAM dalam satuan dolar Amerika Serikat. Prediksi dilakukan berdasarkan spesifikasi teknis (kapasitas, kecepatan, generasi, form factor) dan kondisi pasar (inventory weeks, fab utilization rate, market segment).</w:t>
      </w:r>
    </w:p>
    <w:p>
      <w:pPr>
        <w:spacing w:after="120"/>
      </w:pPr>
      <w:r>
        <w:rPr>
          <w:rFonts w:ascii="Times New Roman" w:hAnsi="Times New Roman"/>
          <w:b/>
          <w:sz w:val="24"/>
        </w:rPr>
        <w:t>Manfaat hasil prediksi meliputi:</w:t>
      </w:r>
    </w:p>
    <w:p>
      <w:pPr>
        <w:spacing w:after="120"/>
      </w:pPr>
      <w:r>
        <w:rPr>
          <w:rFonts w:ascii="Times New Roman" w:hAnsi="Times New Roman"/>
          <w:b w:val="0"/>
          <w:sz w:val="24"/>
        </w:rPr>
        <w:t>a) Perencanaan pengadaan dan manajemen inventori yang lebih akurat.</w:t>
      </w:r>
    </w:p>
    <w:p>
      <w:pPr>
        <w:spacing w:after="120"/>
      </w:pPr>
      <w:r>
        <w:rPr>
          <w:rFonts w:ascii="Times New Roman" w:hAnsi="Times New Roman"/>
          <w:b w:val="0"/>
          <w:sz w:val="24"/>
        </w:rPr>
        <w:t>b) Strategi penetapan harga yang kompetitif berdasarkan spesifikasi produk.</w:t>
      </w:r>
    </w:p>
    <w:p>
      <w:pPr>
        <w:spacing w:after="120"/>
      </w:pPr>
      <w:r>
        <w:rPr>
          <w:rFonts w:ascii="Times New Roman" w:hAnsi="Times New Roman"/>
          <w:b w:val="0"/>
          <w:sz w:val="24"/>
        </w:rPr>
        <w:t>c) Antisipasi fluktuasi harga untuk mitigasi risiko kerugian bisnis.</w:t>
      </w:r>
    </w:p>
    <w:p>
      <w:pPr>
        <w:pStyle w:val="Heading1"/>
      </w:pPr>
      <w:r>
        <w:rPr>
          <w:rFonts w:ascii="Times New Roman" w:hAnsi="Times New Roman"/>
          <w:color w:val="000000"/>
        </w:rPr>
        <w:t>3. Data Understanding</w:t>
      </w:r>
    </w:p>
    <w:p>
      <w:pPr>
        <w:spacing w:after="120"/>
      </w:pPr>
      <w:r>
        <w:rPr>
          <w:rFonts w:ascii="Times New Roman" w:hAnsi="Times New Roman"/>
          <w:b w:val="0"/>
          <w:sz w:val="24"/>
        </w:rPr>
        <w:t>Dataset yang digunakan adalah Ultimate Memory Crisis Hardware Market Dynamics dari platform Kaggle. Dataset ini bersifat sintetis dan merepresentasikan kondisi pasar RAM global, termasuk data preview untuk generasi DDR6 yang belum dirilis secara komersial.</w:t>
      </w:r>
    </w:p>
    <w:p>
      <w:pPr>
        <w:spacing w:after="120"/>
      </w:pPr>
      <w:r>
        <w:rPr>
          <w:rFonts w:ascii="Times New Roman" w:hAnsi="Times New Roman"/>
          <w:b/>
          <w:sz w:val="24"/>
        </w:rPr>
        <w:t>3.1 Informasi Dasar Dataset</w:t>
      </w:r>
    </w:p>
    <w:tbl>
      <w:tblPr>
        <w:tblStyle w:val="LightShading-Accent1"/>
        <w:tblW w:type="auto" w:w="0"/>
        <w:jc w:val="center"/>
        <w:tblLook w:firstColumn="1" w:firstRow="1" w:lastColumn="0" w:lastRow="0" w:noHBand="0" w:noVBand="1" w:val="04A0"/>
      </w:tblPr>
      <w:tblGrid>
        <w:gridCol w:w="4549"/>
        <w:gridCol w:w="4549"/>
      </w:tblGrid>
      <w:tr>
        <w:tc>
          <w:tcPr>
            <w:tcW w:type="dxa" w:w="4549"/>
          </w:tcPr>
          <w:p>
            <w:pPr>
              <w:jc w:val="center"/>
            </w:pPr>
            <w:r>
              <w:rPr>
                <w:rFonts w:ascii="Times New Roman" w:hAnsi="Times New Roman"/>
                <w:b/>
                <w:sz w:val="20"/>
              </w:rPr>
              <w:t>Aspek</w:t>
            </w:r>
          </w:p>
        </w:tc>
        <w:tc>
          <w:tcPr>
            <w:tcW w:type="dxa" w:w="4549"/>
          </w:tcPr>
          <w:p>
            <w:pPr>
              <w:jc w:val="center"/>
            </w:pPr>
            <w:r>
              <w:rPr>
                <w:rFonts w:ascii="Times New Roman" w:hAnsi="Times New Roman"/>
                <w:b/>
                <w:sz w:val="20"/>
              </w:rPr>
              <w:t>Nilai</w:t>
            </w:r>
          </w:p>
        </w:tc>
      </w:tr>
      <w:tr>
        <w:tc>
          <w:tcPr>
            <w:tcW w:type="dxa" w:w="4549"/>
          </w:tcPr>
          <w:p>
            <w:pPr>
              <w:jc w:val="center"/>
            </w:pPr>
            <w:r>
              <w:rPr>
                <w:rFonts w:ascii="Times New Roman" w:hAnsi="Times New Roman"/>
                <w:sz w:val="20"/>
              </w:rPr>
              <w:t>Jumlah baris</w:t>
            </w:r>
          </w:p>
        </w:tc>
        <w:tc>
          <w:tcPr>
            <w:tcW w:type="dxa" w:w="4549"/>
          </w:tcPr>
          <w:p>
            <w:pPr>
              <w:jc w:val="center"/>
            </w:pPr>
            <w:r>
              <w:rPr>
                <w:rFonts w:ascii="Times New Roman" w:hAnsi="Times New Roman"/>
                <w:sz w:val="20"/>
              </w:rPr>
              <w:t>10.000</w:t>
            </w:r>
          </w:p>
        </w:tc>
      </w:tr>
      <w:tr>
        <w:tc>
          <w:tcPr>
            <w:tcW w:type="dxa" w:w="4549"/>
          </w:tcPr>
          <w:p>
            <w:pPr>
              <w:jc w:val="center"/>
            </w:pPr>
            <w:r>
              <w:rPr>
                <w:rFonts w:ascii="Times New Roman" w:hAnsi="Times New Roman"/>
                <w:sz w:val="20"/>
              </w:rPr>
              <w:t>Jumlah kolom</w:t>
            </w:r>
          </w:p>
        </w:tc>
        <w:tc>
          <w:tcPr>
            <w:tcW w:type="dxa" w:w="4549"/>
          </w:tcPr>
          <w:p>
            <w:pPr>
              <w:jc w:val="center"/>
            </w:pPr>
            <w:r>
              <w:rPr>
                <w:rFonts w:ascii="Times New Roman" w:hAnsi="Times New Roman"/>
                <w:sz w:val="20"/>
              </w:rPr>
              <w:t>28</w:t>
            </w:r>
          </w:p>
        </w:tc>
      </w:tr>
      <w:tr>
        <w:tc>
          <w:tcPr>
            <w:tcW w:type="dxa" w:w="4549"/>
          </w:tcPr>
          <w:p>
            <w:pPr>
              <w:jc w:val="center"/>
            </w:pPr>
            <w:r>
              <w:rPr>
                <w:rFonts w:ascii="Times New Roman" w:hAnsi="Times New Roman"/>
                <w:sz w:val="20"/>
              </w:rPr>
              <w:t>Target variabel</w:t>
            </w:r>
          </w:p>
        </w:tc>
        <w:tc>
          <w:tcPr>
            <w:tcW w:type="dxa" w:w="4549"/>
          </w:tcPr>
          <w:p>
            <w:pPr>
              <w:jc w:val="center"/>
            </w:pPr>
            <w:r>
              <w:rPr>
                <w:rFonts w:ascii="Times New Roman" w:hAnsi="Times New Roman"/>
                <w:sz w:val="20"/>
              </w:rPr>
              <w:t>price_usd</w:t>
            </w:r>
          </w:p>
        </w:tc>
      </w:tr>
      <w:tr>
        <w:tc>
          <w:tcPr>
            <w:tcW w:type="dxa" w:w="4549"/>
          </w:tcPr>
          <w:p>
            <w:pPr>
              <w:jc w:val="center"/>
            </w:pPr>
            <w:r>
              <w:rPr>
                <w:rFonts w:ascii="Times New Roman" w:hAnsi="Times New Roman"/>
                <w:sz w:val="20"/>
              </w:rPr>
              <w:t>Missing values</w:t>
            </w:r>
          </w:p>
        </w:tc>
        <w:tc>
          <w:tcPr>
            <w:tcW w:type="dxa" w:w="4549"/>
          </w:tcPr>
          <w:p>
            <w:pPr>
              <w:jc w:val="center"/>
            </w:pPr>
            <w:r>
              <w:rPr>
                <w:rFonts w:ascii="Times New Roman" w:hAnsi="Times New Roman"/>
                <w:sz w:val="20"/>
              </w:rPr>
              <w:t>Tidak ada (0)</w:t>
            </w:r>
          </w:p>
        </w:tc>
      </w:tr>
      <w:tr>
        <w:tc>
          <w:tcPr>
            <w:tcW w:type="dxa" w:w="4549"/>
          </w:tcPr>
          <w:p>
            <w:pPr>
              <w:jc w:val="center"/>
            </w:pPr>
            <w:r>
              <w:rPr>
                <w:rFonts w:ascii="Times New Roman" w:hAnsi="Times New Roman"/>
                <w:sz w:val="20"/>
              </w:rPr>
              <w:t>Skewness price_usd</w:t>
            </w:r>
          </w:p>
        </w:tc>
        <w:tc>
          <w:tcPr>
            <w:tcW w:type="dxa" w:w="4549"/>
          </w:tcPr>
          <w:p>
            <w:pPr>
              <w:jc w:val="center"/>
            </w:pPr>
            <w:r>
              <w:rPr>
                <w:rFonts w:ascii="Times New Roman" w:hAnsi="Times New Roman"/>
                <w:sz w:val="20"/>
              </w:rPr>
              <w:t>3,5375 (right-skewed)</w:t>
            </w:r>
          </w:p>
        </w:tc>
      </w:tr>
      <w:tr>
        <w:tc>
          <w:tcPr>
            <w:tcW w:type="dxa" w:w="4549"/>
          </w:tcPr>
          <w:p>
            <w:pPr>
              <w:jc w:val="center"/>
            </w:pPr>
            <w:r>
              <w:rPr>
                <w:rFonts w:ascii="Times New Roman" w:hAnsi="Times New Roman"/>
                <w:sz w:val="20"/>
              </w:rPr>
              <w:t>Rentang harga</w:t>
            </w:r>
          </w:p>
        </w:tc>
        <w:tc>
          <w:tcPr>
            <w:tcW w:type="dxa" w:w="4549"/>
          </w:tcPr>
          <w:p>
            <w:pPr>
              <w:jc w:val="center"/>
            </w:pPr>
            <w:r>
              <w:rPr>
                <w:rFonts w:ascii="Times New Roman" w:hAnsi="Times New Roman"/>
                <w:sz w:val="20"/>
              </w:rPr>
              <w:t>Puluhan USD hingga puluhan ribu USD</w:t>
            </w:r>
          </w:p>
        </w:tc>
      </w:tr>
    </w:tbl>
    <w:p/>
    <w:p>
      <w:pPr>
        <w:spacing w:after="120"/>
      </w:pPr>
      <w:r>
        <w:rPr>
          <w:rFonts w:ascii="Times New Roman" w:hAnsi="Times New Roman"/>
          <w:b/>
          <w:sz w:val="24"/>
        </w:rPr>
        <w:t>3.2 Kolom Utama Dataset</w:t>
      </w:r>
    </w:p>
    <w:tbl>
      <w:tblPr>
        <w:tblStyle w:val="LightShading-Accent1"/>
        <w:tblW w:type="auto" w:w="0"/>
        <w:jc w:val="center"/>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20"/>
              </w:rPr>
              <w:t>Kolom</w:t>
            </w:r>
          </w:p>
        </w:tc>
        <w:tc>
          <w:tcPr>
            <w:tcW w:type="dxa" w:w="3033"/>
          </w:tcPr>
          <w:p>
            <w:pPr>
              <w:jc w:val="center"/>
            </w:pPr>
            <w:r>
              <w:rPr>
                <w:rFonts w:ascii="Times New Roman" w:hAnsi="Times New Roman"/>
                <w:b/>
                <w:sz w:val="20"/>
              </w:rPr>
              <w:t>Tipe</w:t>
            </w:r>
          </w:p>
        </w:tc>
        <w:tc>
          <w:tcPr>
            <w:tcW w:type="dxa" w:w="3033"/>
          </w:tcPr>
          <w:p>
            <w:pPr>
              <w:jc w:val="center"/>
            </w:pPr>
            <w:r>
              <w:rPr>
                <w:rFonts w:ascii="Times New Roman" w:hAnsi="Times New Roman"/>
                <w:b/>
                <w:sz w:val="20"/>
              </w:rPr>
              <w:t>Keterangan</w:t>
            </w:r>
          </w:p>
        </w:tc>
      </w:tr>
      <w:tr>
        <w:tc>
          <w:tcPr>
            <w:tcW w:type="dxa" w:w="3033"/>
          </w:tcPr>
          <w:p>
            <w:pPr>
              <w:jc w:val="center"/>
            </w:pPr>
            <w:r>
              <w:rPr>
                <w:rFonts w:ascii="Times New Roman" w:hAnsi="Times New Roman"/>
                <w:sz w:val="20"/>
              </w:rPr>
              <w:t>brand</w:t>
            </w:r>
          </w:p>
        </w:tc>
        <w:tc>
          <w:tcPr>
            <w:tcW w:type="dxa" w:w="3033"/>
          </w:tcPr>
          <w:p>
            <w:pPr>
              <w:jc w:val="center"/>
            </w:pPr>
            <w:r>
              <w:rPr>
                <w:rFonts w:ascii="Times New Roman" w:hAnsi="Times New Roman"/>
                <w:sz w:val="20"/>
              </w:rPr>
              <w:t>Object</w:t>
            </w:r>
          </w:p>
        </w:tc>
        <w:tc>
          <w:tcPr>
            <w:tcW w:type="dxa" w:w="3033"/>
          </w:tcPr>
          <w:p>
            <w:pPr>
              <w:jc w:val="center"/>
            </w:pPr>
            <w:r>
              <w:rPr>
                <w:rFonts w:ascii="Times New Roman" w:hAnsi="Times New Roman"/>
                <w:sz w:val="20"/>
              </w:rPr>
              <w:t>Merek RAM (Corsair, Kingston, dll.)</w:t>
            </w:r>
          </w:p>
        </w:tc>
      </w:tr>
      <w:tr>
        <w:tc>
          <w:tcPr>
            <w:tcW w:type="dxa" w:w="3033"/>
          </w:tcPr>
          <w:p>
            <w:pPr>
              <w:jc w:val="center"/>
            </w:pPr>
            <w:r>
              <w:rPr>
                <w:rFonts w:ascii="Times New Roman" w:hAnsi="Times New Roman"/>
                <w:sz w:val="20"/>
              </w:rPr>
              <w:t>generation</w:t>
            </w:r>
          </w:p>
        </w:tc>
        <w:tc>
          <w:tcPr>
            <w:tcW w:type="dxa" w:w="3033"/>
          </w:tcPr>
          <w:p>
            <w:pPr>
              <w:jc w:val="center"/>
            </w:pPr>
            <w:r>
              <w:rPr>
                <w:rFonts w:ascii="Times New Roman" w:hAnsi="Times New Roman"/>
                <w:sz w:val="20"/>
              </w:rPr>
              <w:t>Object</w:t>
            </w:r>
          </w:p>
        </w:tc>
        <w:tc>
          <w:tcPr>
            <w:tcW w:type="dxa" w:w="3033"/>
          </w:tcPr>
          <w:p>
            <w:pPr>
              <w:jc w:val="center"/>
            </w:pPr>
            <w:r>
              <w:rPr>
                <w:rFonts w:ascii="Times New Roman" w:hAnsi="Times New Roman"/>
                <w:sz w:val="20"/>
              </w:rPr>
              <w:t>Generasi DDR (DDR4, DDR5, DDR6 Preview)</w:t>
            </w:r>
          </w:p>
        </w:tc>
      </w:tr>
      <w:tr>
        <w:tc>
          <w:tcPr>
            <w:tcW w:type="dxa" w:w="3033"/>
          </w:tcPr>
          <w:p>
            <w:pPr>
              <w:jc w:val="center"/>
            </w:pPr>
            <w:r>
              <w:rPr>
                <w:rFonts w:ascii="Times New Roman" w:hAnsi="Times New Roman"/>
                <w:sz w:val="20"/>
              </w:rPr>
              <w:t>capacity_gb</w:t>
            </w:r>
          </w:p>
        </w:tc>
        <w:tc>
          <w:tcPr>
            <w:tcW w:type="dxa" w:w="3033"/>
          </w:tcPr>
          <w:p>
            <w:pPr>
              <w:jc w:val="center"/>
            </w:pPr>
            <w:r>
              <w:rPr>
                <w:rFonts w:ascii="Times New Roman" w:hAnsi="Times New Roman"/>
                <w:sz w:val="20"/>
              </w:rPr>
              <w:t>Float</w:t>
            </w:r>
          </w:p>
        </w:tc>
        <w:tc>
          <w:tcPr>
            <w:tcW w:type="dxa" w:w="3033"/>
          </w:tcPr>
          <w:p>
            <w:pPr>
              <w:jc w:val="center"/>
            </w:pPr>
            <w:r>
              <w:rPr>
                <w:rFonts w:ascii="Times New Roman" w:hAnsi="Times New Roman"/>
                <w:sz w:val="20"/>
              </w:rPr>
              <w:t>Kapasitas total dalam GB</w:t>
            </w:r>
          </w:p>
        </w:tc>
      </w:tr>
      <w:tr>
        <w:tc>
          <w:tcPr>
            <w:tcW w:type="dxa" w:w="3033"/>
          </w:tcPr>
          <w:p>
            <w:pPr>
              <w:jc w:val="center"/>
            </w:pPr>
            <w:r>
              <w:rPr>
                <w:rFonts w:ascii="Times New Roman" w:hAnsi="Times New Roman"/>
                <w:sz w:val="20"/>
              </w:rPr>
              <w:t>speed_mts</w:t>
            </w:r>
          </w:p>
        </w:tc>
        <w:tc>
          <w:tcPr>
            <w:tcW w:type="dxa" w:w="3033"/>
          </w:tcPr>
          <w:p>
            <w:pPr>
              <w:jc w:val="center"/>
            </w:pPr>
            <w:r>
              <w:rPr>
                <w:rFonts w:ascii="Times New Roman" w:hAnsi="Times New Roman"/>
                <w:sz w:val="20"/>
              </w:rPr>
              <w:t>Int</w:t>
            </w:r>
          </w:p>
        </w:tc>
        <w:tc>
          <w:tcPr>
            <w:tcW w:type="dxa" w:w="3033"/>
          </w:tcPr>
          <w:p>
            <w:pPr>
              <w:jc w:val="center"/>
            </w:pPr>
            <w:r>
              <w:rPr>
                <w:rFonts w:ascii="Times New Roman" w:hAnsi="Times New Roman"/>
                <w:sz w:val="20"/>
              </w:rPr>
              <w:t>Kecepatan transfer (MT/s)</w:t>
            </w:r>
          </w:p>
        </w:tc>
      </w:tr>
      <w:tr>
        <w:tc>
          <w:tcPr>
            <w:tcW w:type="dxa" w:w="3033"/>
          </w:tcPr>
          <w:p>
            <w:pPr>
              <w:jc w:val="center"/>
            </w:pPr>
            <w:r>
              <w:rPr>
                <w:rFonts w:ascii="Times New Roman" w:hAnsi="Times New Roman"/>
                <w:sz w:val="20"/>
              </w:rPr>
              <w:t>cas_latency</w:t>
            </w:r>
          </w:p>
        </w:tc>
        <w:tc>
          <w:tcPr>
            <w:tcW w:type="dxa" w:w="3033"/>
          </w:tcPr>
          <w:p>
            <w:pPr>
              <w:jc w:val="center"/>
            </w:pPr>
            <w:r>
              <w:rPr>
                <w:rFonts w:ascii="Times New Roman" w:hAnsi="Times New Roman"/>
                <w:sz w:val="20"/>
              </w:rPr>
              <w:t>Int</w:t>
            </w:r>
          </w:p>
        </w:tc>
        <w:tc>
          <w:tcPr>
            <w:tcW w:type="dxa" w:w="3033"/>
          </w:tcPr>
          <w:p>
            <w:pPr>
              <w:jc w:val="center"/>
            </w:pPr>
            <w:r>
              <w:rPr>
                <w:rFonts w:ascii="Times New Roman" w:hAnsi="Times New Roman"/>
                <w:sz w:val="20"/>
              </w:rPr>
              <w:t>CAS Latency (timing utama)</w:t>
            </w:r>
          </w:p>
        </w:tc>
      </w:tr>
      <w:tr>
        <w:tc>
          <w:tcPr>
            <w:tcW w:type="dxa" w:w="3033"/>
          </w:tcPr>
          <w:p>
            <w:pPr>
              <w:jc w:val="center"/>
            </w:pPr>
            <w:r>
              <w:rPr>
                <w:rFonts w:ascii="Times New Roman" w:hAnsi="Times New Roman"/>
                <w:sz w:val="20"/>
              </w:rPr>
              <w:t>market_segment</w:t>
            </w:r>
          </w:p>
        </w:tc>
        <w:tc>
          <w:tcPr>
            <w:tcW w:type="dxa" w:w="3033"/>
          </w:tcPr>
          <w:p>
            <w:pPr>
              <w:jc w:val="center"/>
            </w:pPr>
            <w:r>
              <w:rPr>
                <w:rFonts w:ascii="Times New Roman" w:hAnsi="Times New Roman"/>
                <w:sz w:val="20"/>
              </w:rPr>
              <w:t>Object</w:t>
            </w:r>
          </w:p>
        </w:tc>
        <w:tc>
          <w:tcPr>
            <w:tcW w:type="dxa" w:w="3033"/>
          </w:tcPr>
          <w:p>
            <w:pPr>
              <w:jc w:val="center"/>
            </w:pPr>
            <w:r>
              <w:rPr>
                <w:rFonts w:ascii="Times New Roman" w:hAnsi="Times New Roman"/>
                <w:sz w:val="20"/>
              </w:rPr>
              <w:t>Consumer / Enterprise/AI</w:t>
            </w:r>
          </w:p>
        </w:tc>
      </w:tr>
      <w:tr>
        <w:tc>
          <w:tcPr>
            <w:tcW w:type="dxa" w:w="3033"/>
          </w:tcPr>
          <w:p>
            <w:pPr>
              <w:jc w:val="center"/>
            </w:pPr>
            <w:r>
              <w:rPr>
                <w:rFonts w:ascii="Times New Roman" w:hAnsi="Times New Roman"/>
                <w:sz w:val="20"/>
              </w:rPr>
              <w:t>price_usd</w:t>
            </w:r>
          </w:p>
        </w:tc>
        <w:tc>
          <w:tcPr>
            <w:tcW w:type="dxa" w:w="3033"/>
          </w:tcPr>
          <w:p>
            <w:pPr>
              <w:jc w:val="center"/>
            </w:pPr>
            <w:r>
              <w:rPr>
                <w:rFonts w:ascii="Times New Roman" w:hAnsi="Times New Roman"/>
                <w:sz w:val="20"/>
              </w:rPr>
              <w:t>Float</w:t>
            </w:r>
          </w:p>
        </w:tc>
        <w:tc>
          <w:tcPr>
            <w:tcW w:type="dxa" w:w="3033"/>
          </w:tcPr>
          <w:p>
            <w:pPr>
              <w:jc w:val="center"/>
            </w:pPr>
            <w:r>
              <w:rPr>
                <w:rFonts w:ascii="Times New Roman" w:hAnsi="Times New Roman"/>
                <w:sz w:val="20"/>
              </w:rPr>
              <w:t>Harga dalam USD (TARGET)</w:t>
            </w:r>
          </w:p>
        </w:tc>
      </w:tr>
      <w:tr>
        <w:tc>
          <w:tcPr>
            <w:tcW w:type="dxa" w:w="3033"/>
          </w:tcPr>
          <w:p>
            <w:pPr>
              <w:jc w:val="center"/>
            </w:pPr>
            <w:r>
              <w:rPr>
                <w:rFonts w:ascii="Times New Roman" w:hAnsi="Times New Roman"/>
                <w:sz w:val="20"/>
              </w:rPr>
              <w:t>price_per_gb</w:t>
            </w:r>
          </w:p>
        </w:tc>
        <w:tc>
          <w:tcPr>
            <w:tcW w:type="dxa" w:w="3033"/>
          </w:tcPr>
          <w:p>
            <w:pPr>
              <w:jc w:val="center"/>
            </w:pPr>
            <w:r>
              <w:rPr>
                <w:rFonts w:ascii="Times New Roman" w:hAnsi="Times New Roman"/>
                <w:sz w:val="20"/>
              </w:rPr>
              <w:t>Float</w:t>
            </w:r>
          </w:p>
        </w:tc>
        <w:tc>
          <w:tcPr>
            <w:tcW w:type="dxa" w:w="3033"/>
          </w:tcPr>
          <w:p>
            <w:pPr>
              <w:jc w:val="center"/>
            </w:pPr>
            <w:r>
              <w:rPr>
                <w:rFonts w:ascii="Times New Roman" w:hAnsi="Times New Roman"/>
                <w:sz w:val="20"/>
              </w:rPr>
              <w:t>Data leakage - akan dihapus</w:t>
            </w:r>
          </w:p>
        </w:tc>
      </w:tr>
    </w:tbl>
    <w:p/>
    <w:p>
      <w:pPr>
        <w:spacing w:after="120"/>
      </w:pPr>
      <w:r>
        <w:rPr>
          <w:rFonts w:ascii="Times New Roman" w:hAnsi="Times New Roman"/>
          <w:b/>
          <w:sz w:val="24"/>
        </w:rPr>
        <w:t>3.3 Visualisasi Eksploratif</w:t>
      </w:r>
    </w:p>
    <w:p>
      <w:pPr>
        <w:spacing w:after="120"/>
      </w:pPr>
      <w:r>
        <w:rPr>
          <w:rFonts w:ascii="Times New Roman" w:hAnsi="Times New Roman"/>
          <w:b w:val="0"/>
          <w:sz w:val="24"/>
        </w:rPr>
        <w:t>Berikut adalah hasil visualisasi eksplorasi data yang dilakukan untuk memahami distribusi, outlier, korelasi, dan tren harga RAM dalam dataset.</w:t>
      </w:r>
    </w:p>
    <w:p>
      <w:pPr>
        <w:jc w:val="center"/>
      </w:pPr>
      <w:r>
        <w:drawing>
          <wp:inline xmlns:a="http://schemas.openxmlformats.org/drawingml/2006/main" xmlns:pic="http://schemas.openxmlformats.org/drawingml/2006/picture">
            <wp:extent cx="5029200" cy="1772883"/>
            <wp:docPr id="1" name="Picture 1"/>
            <wp:cNvGraphicFramePr>
              <a:graphicFrameLocks noChangeAspect="1"/>
            </wp:cNvGraphicFramePr>
            <a:graphic>
              <a:graphicData uri="http://schemas.openxmlformats.org/drawingml/2006/picture">
                <pic:pic>
                  <pic:nvPicPr>
                    <pic:cNvPr id="0" name="img_cell9_out1.png"/>
                    <pic:cNvPicPr/>
                  </pic:nvPicPr>
                  <pic:blipFill>
                    <a:blip r:embed="rId9"/>
                    <a:stretch>
                      <a:fillRect/>
                    </a:stretch>
                  </pic:blipFill>
                  <pic:spPr>
                    <a:xfrm>
                      <a:off x="0" y="0"/>
                      <a:ext cx="5029200" cy="1772883"/>
                    </a:xfrm>
                    <a:prstGeom prst="rect"/>
                  </pic:spPr>
                </pic:pic>
              </a:graphicData>
            </a:graphic>
          </wp:inline>
        </w:drawing>
      </w:r>
    </w:p>
    <w:p>
      <w:pPr>
        <w:jc w:val="center"/>
      </w:pPr>
      <w:r>
        <w:rPr>
          <w:rFonts w:ascii="Times New Roman" w:hAnsi="Times New Roman"/>
          <w:i/>
          <w:sz w:val="20"/>
        </w:rPr>
        <w:t>Gambar 1. Histogram distribusi price_usd (skewness = 3,5375)</w:t>
      </w:r>
    </w:p>
    <w:p>
      <w:pPr>
        <w:jc w:val="center"/>
      </w:pPr>
      <w:r>
        <w:drawing>
          <wp:inline xmlns:a="http://schemas.openxmlformats.org/drawingml/2006/main" xmlns:pic="http://schemas.openxmlformats.org/drawingml/2006/picture">
            <wp:extent cx="5029200" cy="2303879"/>
            <wp:docPr id="2" name="Picture 2"/>
            <wp:cNvGraphicFramePr>
              <a:graphicFrameLocks noChangeAspect="1"/>
            </wp:cNvGraphicFramePr>
            <a:graphic>
              <a:graphicData uri="http://schemas.openxmlformats.org/drawingml/2006/picture">
                <pic:pic>
                  <pic:nvPicPr>
                    <pic:cNvPr id="0" name="img_cell10_out0.png"/>
                    <pic:cNvPicPr/>
                  </pic:nvPicPr>
                  <pic:blipFill>
                    <a:blip r:embed="rId10"/>
                    <a:stretch>
                      <a:fillRect/>
                    </a:stretch>
                  </pic:blipFill>
                  <pic:spPr>
                    <a:xfrm>
                      <a:off x="0" y="0"/>
                      <a:ext cx="5029200" cy="2303879"/>
                    </a:xfrm>
                    <a:prstGeom prst="rect"/>
                  </pic:spPr>
                </pic:pic>
              </a:graphicData>
            </a:graphic>
          </wp:inline>
        </w:drawing>
      </w:r>
    </w:p>
    <w:p>
      <w:pPr>
        <w:jc w:val="center"/>
      </w:pPr>
      <w:r>
        <w:rPr>
          <w:rFonts w:ascii="Times New Roman" w:hAnsi="Times New Roman"/>
          <w:i/>
          <w:sz w:val="20"/>
        </w:rPr>
        <w:t>Gambar 2. Boxplot fitur numerik utama</w:t>
      </w:r>
    </w:p>
    <w:p>
      <w:pPr>
        <w:jc w:val="center"/>
      </w:pPr>
      <w:r>
        <w:drawing>
          <wp:inline xmlns:a="http://schemas.openxmlformats.org/drawingml/2006/main" xmlns:pic="http://schemas.openxmlformats.org/drawingml/2006/picture">
            <wp:extent cx="5029200" cy="3823120"/>
            <wp:docPr id="3" name="Picture 3"/>
            <wp:cNvGraphicFramePr>
              <a:graphicFrameLocks noChangeAspect="1"/>
            </wp:cNvGraphicFramePr>
            <a:graphic>
              <a:graphicData uri="http://schemas.openxmlformats.org/drawingml/2006/picture">
                <pic:pic>
                  <pic:nvPicPr>
                    <pic:cNvPr id="0" name="img_cell11_out0.png"/>
                    <pic:cNvPicPr/>
                  </pic:nvPicPr>
                  <pic:blipFill>
                    <a:blip r:embed="rId11"/>
                    <a:stretch>
                      <a:fillRect/>
                    </a:stretch>
                  </pic:blipFill>
                  <pic:spPr>
                    <a:xfrm>
                      <a:off x="0" y="0"/>
                      <a:ext cx="5029200" cy="3823120"/>
                    </a:xfrm>
                    <a:prstGeom prst="rect"/>
                  </pic:spPr>
                </pic:pic>
              </a:graphicData>
            </a:graphic>
          </wp:inline>
        </w:drawing>
      </w:r>
    </w:p>
    <w:p>
      <w:pPr>
        <w:jc w:val="center"/>
      </w:pPr>
      <w:r>
        <w:rPr>
          <w:rFonts w:ascii="Times New Roman" w:hAnsi="Times New Roman"/>
          <w:i/>
          <w:sz w:val="20"/>
        </w:rPr>
        <w:t>Gambar 3. Heatmap korelasi antar fitur numerik</w:t>
      </w:r>
    </w:p>
    <w:p>
      <w:pPr>
        <w:jc w:val="center"/>
      </w:pPr>
      <w:r>
        <w:drawing>
          <wp:inline xmlns:a="http://schemas.openxmlformats.org/drawingml/2006/main" xmlns:pic="http://schemas.openxmlformats.org/drawingml/2006/picture">
            <wp:extent cx="5029200" cy="1376708"/>
            <wp:docPr id="4" name="Picture 4"/>
            <wp:cNvGraphicFramePr>
              <a:graphicFrameLocks noChangeAspect="1"/>
            </wp:cNvGraphicFramePr>
            <a:graphic>
              <a:graphicData uri="http://schemas.openxmlformats.org/drawingml/2006/picture">
                <pic:pic>
                  <pic:nvPicPr>
                    <pic:cNvPr id="0" name="img_cell12_out0.png"/>
                    <pic:cNvPicPr/>
                  </pic:nvPicPr>
                  <pic:blipFill>
                    <a:blip r:embed="rId12"/>
                    <a:stretch>
                      <a:fillRect/>
                    </a:stretch>
                  </pic:blipFill>
                  <pic:spPr>
                    <a:xfrm>
                      <a:off x="0" y="0"/>
                      <a:ext cx="5029200" cy="1376708"/>
                    </a:xfrm>
                    <a:prstGeom prst="rect"/>
                  </pic:spPr>
                </pic:pic>
              </a:graphicData>
            </a:graphic>
          </wp:inline>
        </w:drawing>
      </w:r>
    </w:p>
    <w:p>
      <w:pPr>
        <w:jc w:val="center"/>
      </w:pPr>
      <w:r>
        <w:rPr>
          <w:rFonts w:ascii="Times New Roman" w:hAnsi="Times New Roman"/>
          <w:i/>
          <w:sz w:val="20"/>
        </w:rPr>
        <w:t>Gambar 4. Rata-rata harga per kategori (generation, market_segment, region)</w:t>
      </w:r>
    </w:p>
    <w:p>
      <w:pPr>
        <w:jc w:val="center"/>
      </w:pPr>
      <w:r>
        <w:drawing>
          <wp:inline xmlns:a="http://schemas.openxmlformats.org/drawingml/2006/main" xmlns:pic="http://schemas.openxmlformats.org/drawingml/2006/picture">
            <wp:extent cx="5029200" cy="1772883"/>
            <wp:docPr id="5" name="Picture 5"/>
            <wp:cNvGraphicFramePr>
              <a:graphicFrameLocks noChangeAspect="1"/>
            </wp:cNvGraphicFramePr>
            <a:graphic>
              <a:graphicData uri="http://schemas.openxmlformats.org/drawingml/2006/picture">
                <pic:pic>
                  <pic:nvPicPr>
                    <pic:cNvPr id="0" name="img_cell13_out0.png"/>
                    <pic:cNvPicPr/>
                  </pic:nvPicPr>
                  <pic:blipFill>
                    <a:blip r:embed="rId13"/>
                    <a:stretch>
                      <a:fillRect/>
                    </a:stretch>
                  </pic:blipFill>
                  <pic:spPr>
                    <a:xfrm>
                      <a:off x="0" y="0"/>
                      <a:ext cx="5029200" cy="1772883"/>
                    </a:xfrm>
                    <a:prstGeom prst="rect"/>
                  </pic:spPr>
                </pic:pic>
              </a:graphicData>
            </a:graphic>
          </wp:inline>
        </w:drawing>
      </w:r>
    </w:p>
    <w:p>
      <w:pPr>
        <w:jc w:val="center"/>
      </w:pPr>
      <w:r>
        <w:rPr>
          <w:rFonts w:ascii="Times New Roman" w:hAnsi="Times New Roman"/>
          <w:i/>
          <w:sz w:val="20"/>
        </w:rPr>
        <w:t>Gambar 5. Tren rata-rata harga RAM per bulan</w:t>
      </w:r>
    </w:p>
    <w:p>
      <w:pPr>
        <w:spacing w:after="120"/>
      </w:pPr>
      <w:r>
        <w:rPr>
          <w:rFonts w:ascii="Times New Roman" w:hAnsi="Times New Roman"/>
          <w:b w:val="0"/>
          <w:sz w:val="24"/>
        </w:rPr>
        <w:t>Temuan utama dari eksplorasi data: (a) Distribusi price_usd sangat right-skewed (skewness 3,5375) yang menunjukkan adanya outlier harga tinggi pada segmen Enterprise/AI. (b) Capacity_gb memiliki korelasi positif kuat dengan price_usd. (c) RAM Enterprise/AI memiliki harga rata-rata jauh lebih tinggi dibandingkan Consumer. (d) Tren harga menunjukkan fluktuasi yang dipengaruhi oleh kondisi pasokan global.</w:t>
      </w:r>
    </w:p>
    <w:p>
      <w:r>
        <w:br w:type="page"/>
      </w:r>
    </w:p>
    <w:p>
      <w:pPr>
        <w:pStyle w:val="Heading1"/>
      </w:pPr>
      <w:r>
        <w:rPr>
          <w:rFonts w:ascii="Times New Roman" w:hAnsi="Times New Roman"/>
          <w:color w:val="000000"/>
        </w:rPr>
        <w:t>4. Data Preparation</w:t>
      </w:r>
    </w:p>
    <w:p>
      <w:pPr>
        <w:spacing w:after="120"/>
      </w:pPr>
      <w:r>
        <w:rPr>
          <w:rFonts w:ascii="Times New Roman" w:hAnsi="Times New Roman"/>
          <w:b/>
          <w:sz w:val="24"/>
        </w:rPr>
        <w:t>4.1 Penghapusan Kolom Tidak Relevan dan Data Leakage</w:t>
      </w:r>
    </w:p>
    <w:p>
      <w:pPr>
        <w:spacing w:after="120"/>
      </w:pPr>
      <w:r>
        <w:rPr>
          <w:rFonts w:ascii="Times New Roman" w:hAnsi="Times New Roman"/>
          <w:b w:val="0"/>
          <w:sz w:val="24"/>
        </w:rPr>
        <w:t>Sebanyak 8 kolom dihapus dari dataset. Kolom kit_id, model_name, dan timing_string dihapus karena bersifat identifier/string mentah yang tidak informatif untuk model. Kolom price_status, price_per_gb, bandwidth_per_dollar, latency_value_index, dan speed_premium_ratio dihapus karena merupakan data leakage (diturunkan langsung dari price_usd sehingga akan menciptakan korelasi palsu). Setelah penghapusan, dataset tersisa 20 kolom.</w:t>
      </w:r>
    </w:p>
    <w:p>
      <w:pPr>
        <w:spacing w:after="120"/>
      </w:pPr>
      <w:r>
        <w:rPr>
          <w:rFonts w:ascii="Times New Roman" w:hAnsi="Times New Roman"/>
          <w:b/>
          <w:sz w:val="24"/>
        </w:rPr>
        <w:t>4.2 Penanganan Missing Value</w:t>
      </w:r>
    </w:p>
    <w:p>
      <w:pPr>
        <w:spacing w:after="120"/>
      </w:pPr>
      <w:r>
        <w:rPr>
          <w:rFonts w:ascii="Times New Roman" w:hAnsi="Times New Roman"/>
          <w:b w:val="0"/>
          <w:sz w:val="24"/>
        </w:rPr>
        <w:t>Dataset tidak memiliki missing value sehingga tidak diperlukan imputasi. Namun, sebagai langkah preventif, kode tetap menyertakan logika imputasi median untuk kolom numerik dan mode untuk kolom kategorikal.</w:t>
      </w:r>
    </w:p>
    <w:p>
      <w:pPr>
        <w:spacing w:after="120"/>
      </w:pPr>
      <w:r>
        <w:rPr>
          <w:rFonts w:ascii="Times New Roman" w:hAnsi="Times New Roman"/>
          <w:b/>
          <w:sz w:val="24"/>
        </w:rPr>
        <w:t>4.3 Ekstraksi Fitur dari Timestamp</w:t>
      </w:r>
    </w:p>
    <w:p>
      <w:pPr>
        <w:spacing w:after="120"/>
      </w:pPr>
      <w:r>
        <w:rPr>
          <w:rFonts w:ascii="Times New Roman" w:hAnsi="Times New Roman"/>
          <w:b w:val="0"/>
          <w:sz w:val="24"/>
        </w:rPr>
        <w:t>Kolom timestamp dikonversi menjadi 5 fitur baru: year, month, quarter, day_of_year, dan is_weekend. Kolom timestamp asli kemudian dihapus. Fitur-fitur ini menangkap pola temporal seperti tren tahunan dan musiman yang memengaruhi harga RAM.</w:t>
      </w:r>
    </w:p>
    <w:p>
      <w:pPr>
        <w:spacing w:after="120"/>
      </w:pPr>
      <w:r>
        <w:rPr>
          <w:rFonts w:ascii="Times New Roman" w:hAnsi="Times New Roman"/>
          <w:b/>
          <w:sz w:val="24"/>
        </w:rPr>
        <w:t>4.4 Encoding Fitur Kategorikal</w:t>
      </w:r>
    </w:p>
    <w:p>
      <w:pPr>
        <w:spacing w:after="120"/>
      </w:pPr>
      <w:r>
        <w:rPr>
          <w:rFonts w:ascii="Times New Roman" w:hAnsi="Times New Roman"/>
          <w:b w:val="0"/>
          <w:sz w:val="24"/>
        </w:rPr>
        <w:t>Delapan kolom kategorikal (brand, region, generation, form_factor, die_manufacturer, die_type, market_segment, recommended_usage) dikonversi ke numerik menggunakan LabelEncoder dari scikit-learn. Kolom boolean is_ecc dikonversi ke integer (0/1).</w:t>
      </w:r>
    </w:p>
    <w:p>
      <w:pPr>
        <w:spacing w:after="120"/>
      </w:pPr>
      <w:r>
        <w:rPr>
          <w:rFonts w:ascii="Times New Roman" w:hAnsi="Times New Roman"/>
          <w:b/>
          <w:sz w:val="24"/>
        </w:rPr>
        <w:t>4.5 Feature Engineering</w:t>
      </w:r>
    </w:p>
    <w:p>
      <w:pPr>
        <w:spacing w:after="120"/>
      </w:pPr>
      <w:r>
        <w:rPr>
          <w:rFonts w:ascii="Times New Roman" w:hAnsi="Times New Roman"/>
          <w:b w:val="0"/>
          <w:sz w:val="24"/>
        </w:rPr>
        <w:t>Dua fitur baru diciptakan untuk menangkap informasi yang lebih granular:</w:t>
      </w:r>
    </w:p>
    <w:p>
      <w:pPr>
        <w:spacing w:after="120"/>
      </w:pPr>
      <w:r>
        <w:rPr>
          <w:rFonts w:ascii="Times New Roman" w:hAnsi="Times New Roman"/>
          <w:b w:val="0"/>
          <w:sz w:val="24"/>
        </w:rPr>
        <w:t>a) capacity_per_module = capacity_gb / module_count (kapasitas per modul individual).</w:t>
      </w:r>
    </w:p>
    <w:p>
      <w:pPr>
        <w:spacing w:after="120"/>
      </w:pPr>
      <w:r>
        <w:rPr>
          <w:rFonts w:ascii="Times New Roman" w:hAnsi="Times New Roman"/>
          <w:b w:val="0"/>
          <w:sz w:val="24"/>
        </w:rPr>
        <w:t>b) speed_latency_ratio = speed_mts / cas_latency (rasio kecepatan terhadap latensi).</w:t>
      </w:r>
    </w:p>
    <w:p>
      <w:pPr>
        <w:spacing w:after="120"/>
      </w:pPr>
      <w:r>
        <w:rPr>
          <w:rFonts w:ascii="Times New Roman" w:hAnsi="Times New Roman"/>
          <w:b/>
          <w:sz w:val="24"/>
        </w:rPr>
        <w:t>4.6 Pembagian Data dan Scaling</w:t>
      </w:r>
    </w:p>
    <w:p>
      <w:pPr>
        <w:spacing w:after="120"/>
      </w:pPr>
      <w:r>
        <w:rPr>
          <w:rFonts w:ascii="Times New Roman" w:hAnsi="Times New Roman"/>
          <w:b w:val="0"/>
          <w:sz w:val="24"/>
        </w:rPr>
        <w:t>Dataset dibagi menjadi 80% data training (8.000 baris) dan 20% data testing (2.000 baris) menggunakan train_test_split dengan random_state=42 untuk reprodusibilitas. StandardScaler diterapkan pada seluruh fitur. Scaling ini penting terutama untuk algoritma yang berbasis jarak (KNN) dan kernel (SVR), serta untuk memastikan PolynomialFeatures pada Linear Regression tidak didominasi fitur berskala besar.</w:t>
      </w:r>
    </w:p>
    <w:p>
      <w:r>
        <w:br w:type="page"/>
      </w:r>
    </w:p>
    <w:p>
      <w:pPr>
        <w:pStyle w:val="Heading1"/>
      </w:pPr>
      <w:r>
        <w:rPr>
          <w:rFonts w:ascii="Times New Roman" w:hAnsi="Times New Roman"/>
          <w:color w:val="000000"/>
        </w:rPr>
        <w:t>5. Modeling</w:t>
      </w:r>
    </w:p>
    <w:p>
      <w:pPr>
        <w:spacing w:after="120"/>
      </w:pPr>
      <w:r>
        <w:rPr>
          <w:rFonts w:ascii="Times New Roman" w:hAnsi="Times New Roman"/>
          <w:b w:val="0"/>
          <w:sz w:val="24"/>
        </w:rPr>
        <w:t>Tiga algoritma regresi dipilih untuk mewakili paradigma yang berbeda dalam machine learning: (1) Linear Regression sebagai model linear klasik, (2) K-Nearest Neighbors (KNN) sebagai model instance-based/lazy learner, dan (3) Support Vector Regressor (SVR) sebagai model berbasis kernel. Setiap algoritma diuji dalam dua kondisi: default dan tuned.</w:t>
      </w:r>
    </w:p>
    <w:p>
      <w:pPr>
        <w:spacing w:after="120"/>
      </w:pPr>
      <w:r>
        <w:rPr>
          <w:rFonts w:ascii="Times New Roman" w:hAnsi="Times New Roman"/>
          <w:b/>
          <w:sz w:val="24"/>
        </w:rPr>
        <w:t>5.1 Linear Regression</w:t>
      </w:r>
    </w:p>
    <w:p>
      <w:pPr>
        <w:spacing w:after="120"/>
      </w:pPr>
      <w:r>
        <w:rPr>
          <w:rFonts w:ascii="Times New Roman" w:hAnsi="Times New Roman"/>
          <w:b w:val="0"/>
          <w:sz w:val="24"/>
        </w:rPr>
        <w:t>Model default menggunakan LinearRegression() standar dari scikit-learn tanpa modifikasi apapun. Waktu training: 0,006 detik.</w:t>
      </w:r>
    </w:p>
    <w:p>
      <w:pPr>
        <w:spacing w:after="120"/>
      </w:pPr>
      <w:r>
        <w:rPr>
          <w:rFonts w:ascii="Times New Roman" w:hAnsi="Times New Roman"/>
          <w:b w:val="0"/>
          <w:sz w:val="24"/>
        </w:rPr>
        <w:t>Model tuned menggunakan pipeline tiga lapis: (1) PolynomialFeatures dengan degree=2 untuk menangkap hubungan non-linear, (2) Ridge sebagai estimator dengan regularisasi L2, dan (3) TransformedTargetRegressor dengan fungsi log1p untuk log-transform target price_usd. Hyperparameter yang di-tune melalui RandomizedSearchCV (8 iterasi, cv=5): alpha [0.1, 1.0, 10.0, 100.0, 500.0] dan fit_intercept [True, False]. Waktu training: 4,022 detik.</w:t>
      </w:r>
    </w:p>
    <w:p>
      <w:pPr>
        <w:spacing w:after="120"/>
      </w:pPr>
      <w:r>
        <w:rPr>
          <w:rFonts w:ascii="Times New Roman" w:hAnsi="Times New Roman"/>
          <w:b w:val="0"/>
          <w:sz w:val="24"/>
        </w:rPr>
        <w:t>Hasil tuning terbaik: alpha=0,1, fit_intercept=True.</w:t>
      </w:r>
    </w:p>
    <w:p>
      <w:pPr>
        <w:spacing w:after="120"/>
      </w:pPr>
      <w:r>
        <w:rPr>
          <w:rFonts w:ascii="Times New Roman" w:hAnsi="Times New Roman"/>
          <w:b/>
          <w:sz w:val="24"/>
        </w:rPr>
        <w:t>5.2 K-Nearest Neighbors (KNN)</w:t>
      </w:r>
    </w:p>
    <w:p>
      <w:pPr>
        <w:spacing w:after="120"/>
      </w:pPr>
      <w:r>
        <w:rPr>
          <w:rFonts w:ascii="Times New Roman" w:hAnsi="Times New Roman"/>
          <w:b w:val="0"/>
          <w:sz w:val="24"/>
        </w:rPr>
        <w:t>Model default menggunakan KNeighborsRegressor(n_neighbors=5). KNN adalah algoritma lazy learner yang tidak memiliki proses training sesungguhnya. Prediksi dilakukan dengan mencari K tetangga terdekat di ruang fitur dan menghitung rata-rata nilai target mereka. Waktu training: 0,003 detik.</w:t>
      </w:r>
    </w:p>
    <w:p>
      <w:pPr>
        <w:spacing w:after="120"/>
      </w:pPr>
      <w:r>
        <w:rPr>
          <w:rFonts w:ascii="Times New Roman" w:hAnsi="Times New Roman"/>
          <w:b w:val="0"/>
          <w:sz w:val="24"/>
        </w:rPr>
        <w:t>Model tuned menggunakan RandomizedSearchCV (20 iterasi, cv=5) dengan ruang pencarian: n_neighbors [3, 5, 7, 10, 15, 20, 30], weights [uniform, distance], p [1, 2], metric [euclidean, manhattan]. Waktu training: 1,760 detik.</w:t>
      </w:r>
    </w:p>
    <w:p>
      <w:pPr>
        <w:spacing w:after="120"/>
      </w:pPr>
      <w:r>
        <w:rPr>
          <w:rFonts w:ascii="Times New Roman" w:hAnsi="Times New Roman"/>
          <w:b w:val="0"/>
          <w:sz w:val="24"/>
        </w:rPr>
        <w:t>Hasil tuning terbaik: weights=distance, p=1, n_neighbors=5, metric=manhattan.</w:t>
      </w:r>
    </w:p>
    <w:p>
      <w:pPr>
        <w:spacing w:after="120"/>
      </w:pPr>
      <w:r>
        <w:rPr>
          <w:rFonts w:ascii="Times New Roman" w:hAnsi="Times New Roman"/>
          <w:b/>
          <w:sz w:val="24"/>
        </w:rPr>
        <w:t>5.3 Support Vector Regressor (SVR)</w:t>
      </w:r>
    </w:p>
    <w:p>
      <w:pPr>
        <w:spacing w:after="120"/>
      </w:pPr>
      <w:r>
        <w:rPr>
          <w:rFonts w:ascii="Times New Roman" w:hAnsi="Times New Roman"/>
          <w:b w:val="0"/>
          <w:sz w:val="24"/>
        </w:rPr>
        <w:t>Model default menggunakan SVR(cache_size=1024) dengan kernel rbf bawaan. Waktu training: 1,831 detik.</w:t>
      </w:r>
    </w:p>
    <w:p>
      <w:pPr>
        <w:spacing w:after="120"/>
      </w:pPr>
      <w:r>
        <w:rPr>
          <w:rFonts w:ascii="Times New Roman" w:hAnsi="Times New Roman"/>
          <w:b w:val="0"/>
          <w:sz w:val="24"/>
        </w:rPr>
        <w:t>Model tuned dibungkus dalam TransformedTargetRegressor dengan log-transform target, kemudian di-tune melalui RandomizedSearchCV (15 iterasi, cv=5) dengan ruang pencarian: kernel [linear, rbf], C [0.1, 1, 10, 100, 500], gamma [scale, auto, 0.1, 0.01], epsilon [0.01, 0.1, 0.5]. Waktu training: 134,112 detik (sekitar 2 menit 14 detik).</w:t>
      </w:r>
    </w:p>
    <w:p>
      <w:pPr>
        <w:spacing w:after="120"/>
      </w:pPr>
      <w:r>
        <w:rPr>
          <w:rFonts w:ascii="Times New Roman" w:hAnsi="Times New Roman"/>
          <w:b w:val="0"/>
          <w:sz w:val="24"/>
        </w:rPr>
        <w:t>Hasil tuning terbaik: kernel=rbf, gamma=0,01, epsilon=0,01, C=10.</w:t>
      </w:r>
    </w:p>
    <w:p>
      <w:pPr>
        <w:spacing w:after="120"/>
      </w:pPr>
      <w:r>
        <w:rPr>
          <w:rFonts w:ascii="Times New Roman" w:hAnsi="Times New Roman"/>
          <w:b w:val="0"/>
          <w:sz w:val="24"/>
        </w:rPr>
        <w:t>Seluruh komputasi dilakukan di CPU. Tidak ada algoritma dalam eksperimen ini yang memerlukan akselerasi GPU.</w:t>
      </w:r>
    </w:p>
    <w:p>
      <w:pPr>
        <w:spacing w:after="120"/>
      </w:pPr>
      <w:r>
        <w:rPr>
          <w:rFonts w:ascii="Times New Roman" w:hAnsi="Times New Roman"/>
          <w:b/>
          <w:sz w:val="24"/>
        </w:rPr>
        <w:t>5.4 Ringkasan Hyperparameter Tuning</w:t>
      </w:r>
    </w:p>
    <w:tbl>
      <w:tblPr>
        <w:tblStyle w:val="LightShading-Accent1"/>
        <w:tblW w:type="auto" w:w="0"/>
        <w:jc w:val="center"/>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20"/>
              </w:rPr>
              <w:t>Algoritma</w:t>
            </w:r>
          </w:p>
        </w:tc>
        <w:tc>
          <w:tcPr>
            <w:tcW w:type="dxa" w:w="2275"/>
          </w:tcPr>
          <w:p>
            <w:pPr>
              <w:jc w:val="center"/>
            </w:pPr>
            <w:r>
              <w:rPr>
                <w:rFonts w:ascii="Times New Roman" w:hAnsi="Times New Roman"/>
                <w:b/>
                <w:sz w:val="20"/>
              </w:rPr>
              <w:t>Metode Tuning</w:t>
            </w:r>
          </w:p>
        </w:tc>
        <w:tc>
          <w:tcPr>
            <w:tcW w:type="dxa" w:w="2275"/>
          </w:tcPr>
          <w:p>
            <w:pPr>
              <w:jc w:val="center"/>
            </w:pPr>
            <w:r>
              <w:rPr>
                <w:rFonts w:ascii="Times New Roman" w:hAnsi="Times New Roman"/>
                <w:b/>
                <w:sz w:val="20"/>
              </w:rPr>
              <w:t>Best Parameters</w:t>
            </w:r>
          </w:p>
        </w:tc>
        <w:tc>
          <w:tcPr>
            <w:tcW w:type="dxa" w:w="2275"/>
          </w:tcPr>
          <w:p>
            <w:pPr>
              <w:jc w:val="center"/>
            </w:pPr>
            <w:r>
              <w:rPr>
                <w:rFonts w:ascii="Times New Roman" w:hAnsi="Times New Roman"/>
                <w:b/>
                <w:sz w:val="20"/>
              </w:rPr>
              <w:t>Waktu Training</w:t>
            </w:r>
          </w:p>
        </w:tc>
      </w:tr>
      <w:tr>
        <w:tc>
          <w:tcPr>
            <w:tcW w:type="dxa" w:w="2275"/>
          </w:tcPr>
          <w:p>
            <w:pPr>
              <w:jc w:val="center"/>
            </w:pPr>
            <w:r>
              <w:rPr>
                <w:rFonts w:ascii="Times New Roman" w:hAnsi="Times New Roman"/>
                <w:sz w:val="20"/>
              </w:rPr>
              <w:t>LR (Tuned)</w:t>
            </w:r>
          </w:p>
        </w:tc>
        <w:tc>
          <w:tcPr>
            <w:tcW w:type="dxa" w:w="2275"/>
          </w:tcPr>
          <w:p>
            <w:pPr>
              <w:jc w:val="center"/>
            </w:pPr>
            <w:r>
              <w:rPr>
                <w:rFonts w:ascii="Times New Roman" w:hAnsi="Times New Roman"/>
                <w:sz w:val="20"/>
              </w:rPr>
              <w:t>RandomizedSearchCV</w:t>
              <w:br/>
              <w:t>(8 iter, cv=5)</w:t>
            </w:r>
          </w:p>
        </w:tc>
        <w:tc>
          <w:tcPr>
            <w:tcW w:type="dxa" w:w="2275"/>
          </w:tcPr>
          <w:p>
            <w:pPr>
              <w:jc w:val="center"/>
            </w:pPr>
            <w:r>
              <w:rPr>
                <w:rFonts w:ascii="Times New Roman" w:hAnsi="Times New Roman"/>
                <w:sz w:val="20"/>
              </w:rPr>
              <w:t>alpha=0.1</w:t>
              <w:br/>
              <w:t>fit_intercept=True</w:t>
            </w:r>
          </w:p>
        </w:tc>
        <w:tc>
          <w:tcPr>
            <w:tcW w:type="dxa" w:w="2275"/>
          </w:tcPr>
          <w:p>
            <w:pPr>
              <w:jc w:val="center"/>
            </w:pPr>
            <w:r>
              <w:rPr>
                <w:rFonts w:ascii="Times New Roman" w:hAnsi="Times New Roman"/>
                <w:sz w:val="20"/>
              </w:rPr>
              <w:t>4,022 detik</w:t>
            </w:r>
          </w:p>
        </w:tc>
      </w:tr>
      <w:tr>
        <w:tc>
          <w:tcPr>
            <w:tcW w:type="dxa" w:w="2275"/>
          </w:tcPr>
          <w:p>
            <w:pPr>
              <w:jc w:val="center"/>
            </w:pPr>
            <w:r>
              <w:rPr>
                <w:rFonts w:ascii="Times New Roman" w:hAnsi="Times New Roman"/>
                <w:sz w:val="20"/>
              </w:rPr>
              <w:t>KNN (Tuned)</w:t>
            </w:r>
          </w:p>
        </w:tc>
        <w:tc>
          <w:tcPr>
            <w:tcW w:type="dxa" w:w="2275"/>
          </w:tcPr>
          <w:p>
            <w:pPr>
              <w:jc w:val="center"/>
            </w:pPr>
            <w:r>
              <w:rPr>
                <w:rFonts w:ascii="Times New Roman" w:hAnsi="Times New Roman"/>
                <w:sz w:val="20"/>
              </w:rPr>
              <w:t>RandomizedSearchCV</w:t>
              <w:br/>
              <w:t>(20 iter, cv=5)</w:t>
            </w:r>
          </w:p>
        </w:tc>
        <w:tc>
          <w:tcPr>
            <w:tcW w:type="dxa" w:w="2275"/>
          </w:tcPr>
          <w:p>
            <w:pPr>
              <w:jc w:val="center"/>
            </w:pPr>
            <w:r>
              <w:rPr>
                <w:rFonts w:ascii="Times New Roman" w:hAnsi="Times New Roman"/>
                <w:sz w:val="20"/>
              </w:rPr>
              <w:t>weights=distance</w:t>
              <w:br/>
              <w:t>p=1, n_neighbors=5</w:t>
              <w:br/>
              <w:t>metric=manhattan</w:t>
            </w:r>
          </w:p>
        </w:tc>
        <w:tc>
          <w:tcPr>
            <w:tcW w:type="dxa" w:w="2275"/>
          </w:tcPr>
          <w:p>
            <w:pPr>
              <w:jc w:val="center"/>
            </w:pPr>
            <w:r>
              <w:rPr>
                <w:rFonts w:ascii="Times New Roman" w:hAnsi="Times New Roman"/>
                <w:sz w:val="20"/>
              </w:rPr>
              <w:t>1,760 detik</w:t>
            </w:r>
          </w:p>
        </w:tc>
      </w:tr>
      <w:tr>
        <w:tc>
          <w:tcPr>
            <w:tcW w:type="dxa" w:w="2275"/>
          </w:tcPr>
          <w:p>
            <w:pPr>
              <w:jc w:val="center"/>
            </w:pPr>
            <w:r>
              <w:rPr>
                <w:rFonts w:ascii="Times New Roman" w:hAnsi="Times New Roman"/>
                <w:sz w:val="20"/>
              </w:rPr>
              <w:t>SVR (Tuned)</w:t>
            </w:r>
          </w:p>
        </w:tc>
        <w:tc>
          <w:tcPr>
            <w:tcW w:type="dxa" w:w="2275"/>
          </w:tcPr>
          <w:p>
            <w:pPr>
              <w:jc w:val="center"/>
            </w:pPr>
            <w:r>
              <w:rPr>
                <w:rFonts w:ascii="Times New Roman" w:hAnsi="Times New Roman"/>
                <w:sz w:val="20"/>
              </w:rPr>
              <w:t>RandomizedSearchCV</w:t>
              <w:br/>
              <w:t>(15 iter, cv=5)</w:t>
            </w:r>
          </w:p>
        </w:tc>
        <w:tc>
          <w:tcPr>
            <w:tcW w:type="dxa" w:w="2275"/>
          </w:tcPr>
          <w:p>
            <w:pPr>
              <w:jc w:val="center"/>
            </w:pPr>
            <w:r>
              <w:rPr>
                <w:rFonts w:ascii="Times New Roman" w:hAnsi="Times New Roman"/>
                <w:sz w:val="20"/>
              </w:rPr>
              <w:t>kernel=rbf, gamma=0.01</w:t>
              <w:br/>
              <w:t>epsilon=0.01, C=10</w:t>
            </w:r>
          </w:p>
        </w:tc>
        <w:tc>
          <w:tcPr>
            <w:tcW w:type="dxa" w:w="2275"/>
          </w:tcPr>
          <w:p>
            <w:pPr>
              <w:jc w:val="center"/>
            </w:pPr>
            <w:r>
              <w:rPr>
                <w:rFonts w:ascii="Times New Roman" w:hAnsi="Times New Roman"/>
                <w:sz w:val="20"/>
              </w:rPr>
              <w:t>134,112 detik</w:t>
            </w:r>
          </w:p>
        </w:tc>
      </w:tr>
    </w:tbl>
    <w:p>
      <w:r>
        <w:br w:type="page"/>
      </w:r>
    </w:p>
    <w:p>
      <w:pPr>
        <w:pStyle w:val="Heading1"/>
      </w:pPr>
      <w:r>
        <w:rPr>
          <w:rFonts w:ascii="Times New Roman" w:hAnsi="Times New Roman"/>
          <w:color w:val="000000"/>
        </w:rPr>
        <w:t>6. Evaluation (Perbandingan Model)</w:t>
      </w:r>
    </w:p>
    <w:p>
      <w:pPr>
        <w:spacing w:after="120"/>
      </w:pPr>
      <w:r>
        <w:rPr>
          <w:rFonts w:ascii="Times New Roman" w:hAnsi="Times New Roman"/>
          <w:b/>
          <w:sz w:val="24"/>
        </w:rPr>
        <w:t>6.1 Tabel Perbandingan Metrik pada Data Test</w:t>
      </w:r>
    </w:p>
    <w:tbl>
      <w:tblPr>
        <w:tblStyle w:val="LightShading-Accent1"/>
        <w:tblW w:type="auto" w:w="0"/>
        <w:jc w:val="center"/>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20"/>
              </w:rPr>
              <w:t>Model</w:t>
            </w:r>
          </w:p>
        </w:tc>
        <w:tc>
          <w:tcPr>
            <w:tcW w:type="dxa" w:w="2275"/>
          </w:tcPr>
          <w:p>
            <w:pPr>
              <w:jc w:val="center"/>
            </w:pPr>
            <w:r>
              <w:rPr>
                <w:rFonts w:ascii="Times New Roman" w:hAnsi="Times New Roman"/>
                <w:b/>
                <w:sz w:val="20"/>
              </w:rPr>
              <w:t>MAE</w:t>
            </w:r>
          </w:p>
        </w:tc>
        <w:tc>
          <w:tcPr>
            <w:tcW w:type="dxa" w:w="2275"/>
          </w:tcPr>
          <w:p>
            <w:pPr>
              <w:jc w:val="center"/>
            </w:pPr>
            <w:r>
              <w:rPr>
                <w:rFonts w:ascii="Times New Roman" w:hAnsi="Times New Roman"/>
                <w:b/>
                <w:sz w:val="20"/>
              </w:rPr>
              <w:t>RMSE</w:t>
            </w:r>
          </w:p>
        </w:tc>
        <w:tc>
          <w:tcPr>
            <w:tcW w:type="dxa" w:w="2275"/>
          </w:tcPr>
          <w:p>
            <w:pPr>
              <w:jc w:val="center"/>
            </w:pPr>
            <w:r>
              <w:rPr>
                <w:rFonts w:ascii="Times New Roman" w:hAnsi="Times New Roman"/>
                <w:b/>
                <w:sz w:val="20"/>
              </w:rPr>
              <w:t>R-squared</w:t>
            </w:r>
          </w:p>
        </w:tc>
      </w:tr>
      <w:tr>
        <w:tc>
          <w:tcPr>
            <w:tcW w:type="dxa" w:w="2275"/>
          </w:tcPr>
          <w:p>
            <w:pPr>
              <w:jc w:val="center"/>
            </w:pPr>
            <w:r>
              <w:rPr>
                <w:rFonts w:ascii="Times New Roman" w:hAnsi="Times New Roman"/>
                <w:sz w:val="20"/>
              </w:rPr>
              <w:t>SVR (Tuned)</w:t>
            </w:r>
          </w:p>
        </w:tc>
        <w:tc>
          <w:tcPr>
            <w:tcW w:type="dxa" w:w="2275"/>
          </w:tcPr>
          <w:p>
            <w:pPr>
              <w:jc w:val="center"/>
            </w:pPr>
            <w:r>
              <w:rPr>
                <w:rFonts w:ascii="Times New Roman" w:hAnsi="Times New Roman"/>
                <w:sz w:val="20"/>
              </w:rPr>
              <w:t>198,67</w:t>
            </w:r>
          </w:p>
        </w:tc>
        <w:tc>
          <w:tcPr>
            <w:tcW w:type="dxa" w:w="2275"/>
          </w:tcPr>
          <w:p>
            <w:pPr>
              <w:jc w:val="center"/>
            </w:pPr>
            <w:r>
              <w:rPr>
                <w:rFonts w:ascii="Times New Roman" w:hAnsi="Times New Roman"/>
                <w:sz w:val="20"/>
              </w:rPr>
              <w:t>652,77</w:t>
            </w:r>
          </w:p>
        </w:tc>
        <w:tc>
          <w:tcPr>
            <w:tcW w:type="dxa" w:w="2275"/>
          </w:tcPr>
          <w:p>
            <w:pPr>
              <w:jc w:val="center"/>
            </w:pPr>
            <w:r>
              <w:rPr>
                <w:rFonts w:ascii="Times New Roman" w:hAnsi="Times New Roman"/>
                <w:sz w:val="20"/>
              </w:rPr>
              <w:t>0,9929</w:t>
            </w:r>
          </w:p>
        </w:tc>
      </w:tr>
      <w:tr>
        <w:tc>
          <w:tcPr>
            <w:tcW w:type="dxa" w:w="2275"/>
          </w:tcPr>
          <w:p>
            <w:pPr>
              <w:jc w:val="center"/>
            </w:pPr>
            <w:r>
              <w:rPr>
                <w:rFonts w:ascii="Times New Roman" w:hAnsi="Times New Roman"/>
                <w:sz w:val="20"/>
              </w:rPr>
              <w:t>Linear Regression (Tuned)</w:t>
            </w:r>
          </w:p>
        </w:tc>
        <w:tc>
          <w:tcPr>
            <w:tcW w:type="dxa" w:w="2275"/>
          </w:tcPr>
          <w:p>
            <w:pPr>
              <w:jc w:val="center"/>
            </w:pPr>
            <w:r>
              <w:rPr>
                <w:rFonts w:ascii="Times New Roman" w:hAnsi="Times New Roman"/>
                <w:sz w:val="20"/>
              </w:rPr>
              <w:t>438,42</w:t>
            </w:r>
          </w:p>
        </w:tc>
        <w:tc>
          <w:tcPr>
            <w:tcW w:type="dxa" w:w="2275"/>
          </w:tcPr>
          <w:p>
            <w:pPr>
              <w:jc w:val="center"/>
            </w:pPr>
            <w:r>
              <w:rPr>
                <w:rFonts w:ascii="Times New Roman" w:hAnsi="Times New Roman"/>
                <w:sz w:val="20"/>
              </w:rPr>
              <w:t>1.295,25</w:t>
            </w:r>
          </w:p>
        </w:tc>
        <w:tc>
          <w:tcPr>
            <w:tcW w:type="dxa" w:w="2275"/>
          </w:tcPr>
          <w:p>
            <w:pPr>
              <w:jc w:val="center"/>
            </w:pPr>
            <w:r>
              <w:rPr>
                <w:rFonts w:ascii="Times New Roman" w:hAnsi="Times New Roman"/>
                <w:sz w:val="20"/>
              </w:rPr>
              <w:t>0,9719</w:t>
            </w:r>
          </w:p>
        </w:tc>
      </w:tr>
      <w:tr>
        <w:tc>
          <w:tcPr>
            <w:tcW w:type="dxa" w:w="2275"/>
          </w:tcPr>
          <w:p>
            <w:pPr>
              <w:jc w:val="center"/>
            </w:pPr>
            <w:r>
              <w:rPr>
                <w:rFonts w:ascii="Times New Roman" w:hAnsi="Times New Roman"/>
                <w:sz w:val="20"/>
              </w:rPr>
              <w:t>KNN (Tuned)</w:t>
            </w:r>
          </w:p>
        </w:tc>
        <w:tc>
          <w:tcPr>
            <w:tcW w:type="dxa" w:w="2275"/>
          </w:tcPr>
          <w:p>
            <w:pPr>
              <w:jc w:val="center"/>
            </w:pPr>
            <w:r>
              <w:rPr>
                <w:rFonts w:ascii="Times New Roman" w:hAnsi="Times New Roman"/>
                <w:sz w:val="20"/>
              </w:rPr>
              <w:t>948,46</w:t>
            </w:r>
          </w:p>
        </w:tc>
        <w:tc>
          <w:tcPr>
            <w:tcW w:type="dxa" w:w="2275"/>
          </w:tcPr>
          <w:p>
            <w:pPr>
              <w:jc w:val="center"/>
            </w:pPr>
            <w:r>
              <w:rPr>
                <w:rFonts w:ascii="Times New Roman" w:hAnsi="Times New Roman"/>
                <w:sz w:val="20"/>
              </w:rPr>
              <w:t>2.412,58</w:t>
            </w:r>
          </w:p>
        </w:tc>
        <w:tc>
          <w:tcPr>
            <w:tcW w:type="dxa" w:w="2275"/>
          </w:tcPr>
          <w:p>
            <w:pPr>
              <w:jc w:val="center"/>
            </w:pPr>
            <w:r>
              <w:rPr>
                <w:rFonts w:ascii="Times New Roman" w:hAnsi="Times New Roman"/>
                <w:sz w:val="20"/>
              </w:rPr>
              <w:t>0,9025</w:t>
            </w:r>
          </w:p>
        </w:tc>
      </w:tr>
      <w:tr>
        <w:tc>
          <w:tcPr>
            <w:tcW w:type="dxa" w:w="2275"/>
          </w:tcPr>
          <w:p>
            <w:pPr>
              <w:jc w:val="center"/>
            </w:pPr>
            <w:r>
              <w:rPr>
                <w:rFonts w:ascii="Times New Roman" w:hAnsi="Times New Roman"/>
                <w:sz w:val="20"/>
              </w:rPr>
              <w:t>KNN (Default)</w:t>
            </w:r>
          </w:p>
        </w:tc>
        <w:tc>
          <w:tcPr>
            <w:tcW w:type="dxa" w:w="2275"/>
          </w:tcPr>
          <w:p>
            <w:pPr>
              <w:jc w:val="center"/>
            </w:pPr>
            <w:r>
              <w:rPr>
                <w:rFonts w:ascii="Times New Roman" w:hAnsi="Times New Roman"/>
                <w:sz w:val="20"/>
              </w:rPr>
              <w:t>1.104,36</w:t>
            </w:r>
          </w:p>
        </w:tc>
        <w:tc>
          <w:tcPr>
            <w:tcW w:type="dxa" w:w="2275"/>
          </w:tcPr>
          <w:p>
            <w:pPr>
              <w:jc w:val="center"/>
            </w:pPr>
            <w:r>
              <w:rPr>
                <w:rFonts w:ascii="Times New Roman" w:hAnsi="Times New Roman"/>
                <w:sz w:val="20"/>
              </w:rPr>
              <w:t>2.608,05</w:t>
            </w:r>
          </w:p>
        </w:tc>
        <w:tc>
          <w:tcPr>
            <w:tcW w:type="dxa" w:w="2275"/>
          </w:tcPr>
          <w:p>
            <w:pPr>
              <w:jc w:val="center"/>
            </w:pPr>
            <w:r>
              <w:rPr>
                <w:rFonts w:ascii="Times New Roman" w:hAnsi="Times New Roman"/>
                <w:sz w:val="20"/>
              </w:rPr>
              <w:t>0,8860</w:t>
            </w:r>
          </w:p>
        </w:tc>
      </w:tr>
      <w:tr>
        <w:tc>
          <w:tcPr>
            <w:tcW w:type="dxa" w:w="2275"/>
          </w:tcPr>
          <w:p>
            <w:pPr>
              <w:jc w:val="center"/>
            </w:pPr>
            <w:r>
              <w:rPr>
                <w:rFonts w:ascii="Times New Roman" w:hAnsi="Times New Roman"/>
                <w:sz w:val="20"/>
              </w:rPr>
              <w:t>Linear Regression (Default)</w:t>
            </w:r>
          </w:p>
        </w:tc>
        <w:tc>
          <w:tcPr>
            <w:tcW w:type="dxa" w:w="2275"/>
          </w:tcPr>
          <w:p>
            <w:pPr>
              <w:jc w:val="center"/>
            </w:pPr>
            <w:r>
              <w:rPr>
                <w:rFonts w:ascii="Times New Roman" w:hAnsi="Times New Roman"/>
                <w:sz w:val="20"/>
              </w:rPr>
              <w:t>2.658,91</w:t>
            </w:r>
          </w:p>
        </w:tc>
        <w:tc>
          <w:tcPr>
            <w:tcW w:type="dxa" w:w="2275"/>
          </w:tcPr>
          <w:p>
            <w:pPr>
              <w:jc w:val="center"/>
            </w:pPr>
            <w:r>
              <w:rPr>
                <w:rFonts w:ascii="Times New Roman" w:hAnsi="Times New Roman"/>
                <w:sz w:val="20"/>
              </w:rPr>
              <w:t>4.424,46</w:t>
            </w:r>
          </w:p>
        </w:tc>
        <w:tc>
          <w:tcPr>
            <w:tcW w:type="dxa" w:w="2275"/>
          </w:tcPr>
          <w:p>
            <w:pPr>
              <w:jc w:val="center"/>
            </w:pPr>
            <w:r>
              <w:rPr>
                <w:rFonts w:ascii="Times New Roman" w:hAnsi="Times New Roman"/>
                <w:sz w:val="20"/>
              </w:rPr>
              <w:t>0,6720</w:t>
            </w:r>
          </w:p>
        </w:tc>
      </w:tr>
      <w:tr>
        <w:tc>
          <w:tcPr>
            <w:tcW w:type="dxa" w:w="2275"/>
          </w:tcPr>
          <w:p>
            <w:pPr>
              <w:jc w:val="center"/>
            </w:pPr>
            <w:r>
              <w:rPr>
                <w:rFonts w:ascii="Times New Roman" w:hAnsi="Times New Roman"/>
                <w:sz w:val="20"/>
              </w:rPr>
              <w:t>SVR (Default)</w:t>
            </w:r>
          </w:p>
        </w:tc>
        <w:tc>
          <w:tcPr>
            <w:tcW w:type="dxa" w:w="2275"/>
          </w:tcPr>
          <w:p>
            <w:pPr>
              <w:jc w:val="center"/>
            </w:pPr>
            <w:r>
              <w:rPr>
                <w:rFonts w:ascii="Times New Roman" w:hAnsi="Times New Roman"/>
                <w:sz w:val="20"/>
              </w:rPr>
              <w:t>3.884,00</w:t>
            </w:r>
          </w:p>
        </w:tc>
        <w:tc>
          <w:tcPr>
            <w:tcW w:type="dxa" w:w="2275"/>
          </w:tcPr>
          <w:p>
            <w:pPr>
              <w:jc w:val="center"/>
            </w:pPr>
            <w:r>
              <w:rPr>
                <w:rFonts w:ascii="Times New Roman" w:hAnsi="Times New Roman"/>
                <w:sz w:val="20"/>
              </w:rPr>
              <w:t>8.138,11</w:t>
            </w:r>
          </w:p>
        </w:tc>
        <w:tc>
          <w:tcPr>
            <w:tcW w:type="dxa" w:w="2275"/>
          </w:tcPr>
          <w:p>
            <w:pPr>
              <w:jc w:val="center"/>
            </w:pPr>
            <w:r>
              <w:rPr>
                <w:rFonts w:ascii="Times New Roman" w:hAnsi="Times New Roman"/>
                <w:sz w:val="20"/>
              </w:rPr>
              <w:t>-0,1098</w:t>
            </w:r>
          </w:p>
        </w:tc>
      </w:tr>
    </w:tbl>
    <w:p/>
    <w:p>
      <w:pPr>
        <w:spacing w:after="120"/>
      </w:pPr>
      <w:r>
        <w:rPr>
          <w:rFonts w:ascii="Times New Roman" w:hAnsi="Times New Roman"/>
          <w:b/>
          <w:sz w:val="24"/>
        </w:rPr>
        <w:t>6.2 Visualisasi Perbandingan Metrik</w:t>
      </w:r>
    </w:p>
    <w:p>
      <w:pPr>
        <w:jc w:val="center"/>
      </w:pPr>
      <w:r>
        <w:drawing>
          <wp:inline xmlns:a="http://schemas.openxmlformats.org/drawingml/2006/main" xmlns:pic="http://schemas.openxmlformats.org/drawingml/2006/picture">
            <wp:extent cx="5029200" cy="1665187"/>
            <wp:docPr id="6" name="Picture 6"/>
            <wp:cNvGraphicFramePr>
              <a:graphicFrameLocks noChangeAspect="1"/>
            </wp:cNvGraphicFramePr>
            <a:graphic>
              <a:graphicData uri="http://schemas.openxmlformats.org/drawingml/2006/picture">
                <pic:pic>
                  <pic:nvPicPr>
                    <pic:cNvPr id="0" name="img_cell34_out1.png"/>
                    <pic:cNvPicPr/>
                  </pic:nvPicPr>
                  <pic:blipFill>
                    <a:blip r:embed="rId14"/>
                    <a:stretch>
                      <a:fillRect/>
                    </a:stretch>
                  </pic:blipFill>
                  <pic:spPr>
                    <a:xfrm>
                      <a:off x="0" y="0"/>
                      <a:ext cx="5029200" cy="1665187"/>
                    </a:xfrm>
                    <a:prstGeom prst="rect"/>
                  </pic:spPr>
                </pic:pic>
              </a:graphicData>
            </a:graphic>
          </wp:inline>
        </w:drawing>
      </w:r>
    </w:p>
    <w:p>
      <w:pPr>
        <w:jc w:val="center"/>
      </w:pPr>
      <w:r>
        <w:rPr>
          <w:rFonts w:ascii="Times New Roman" w:hAnsi="Times New Roman"/>
          <w:i/>
          <w:sz w:val="20"/>
        </w:rPr>
        <w:t>Gambar 6. Perbandingan MAE, RMSE, dan R-squared seluruh model</w:t>
      </w:r>
    </w:p>
    <w:p>
      <w:pPr>
        <w:spacing w:after="120"/>
      </w:pPr>
      <w:r>
        <w:rPr>
          <w:rFonts w:ascii="Times New Roman" w:hAnsi="Times New Roman"/>
          <w:b/>
          <w:sz w:val="24"/>
        </w:rPr>
        <w:t>6.3 Visualisasi Actual vs Predicted dan Residual Plot</w:t>
      </w:r>
    </w:p>
    <w:p>
      <w:pPr>
        <w:jc w:val="center"/>
      </w:pPr>
      <w:r>
        <w:drawing>
          <wp:inline xmlns:a="http://schemas.openxmlformats.org/drawingml/2006/main" xmlns:pic="http://schemas.openxmlformats.org/drawingml/2006/picture">
            <wp:extent cx="5029200" cy="1392312"/>
            <wp:docPr id="7" name="Picture 7"/>
            <wp:cNvGraphicFramePr>
              <a:graphicFrameLocks noChangeAspect="1"/>
            </wp:cNvGraphicFramePr>
            <a:graphic>
              <a:graphicData uri="http://schemas.openxmlformats.org/drawingml/2006/picture">
                <pic:pic>
                  <pic:nvPicPr>
                    <pic:cNvPr id="0" name="img_cell25_out1.png"/>
                    <pic:cNvPicPr/>
                  </pic:nvPicPr>
                  <pic:blipFill>
                    <a:blip r:embed="rId15"/>
                    <a:stretch>
                      <a:fillRect/>
                    </a:stretch>
                  </pic:blipFill>
                  <pic:spPr>
                    <a:xfrm>
                      <a:off x="0" y="0"/>
                      <a:ext cx="5029200" cy="1392312"/>
                    </a:xfrm>
                    <a:prstGeom prst="rect"/>
                  </pic:spPr>
                </pic:pic>
              </a:graphicData>
            </a:graphic>
          </wp:inline>
        </w:drawing>
      </w:r>
    </w:p>
    <w:p>
      <w:pPr>
        <w:jc w:val="center"/>
      </w:pPr>
      <w:r>
        <w:rPr>
          <w:rFonts w:ascii="Times New Roman" w:hAnsi="Times New Roman"/>
          <w:i/>
          <w:sz w:val="20"/>
        </w:rPr>
        <w:t>Gambar 7. Linear Regression (Tuned) - Actual vs Predicted, Residual Plot, Distribusi Residual</w:t>
      </w:r>
    </w:p>
    <w:p>
      <w:pPr>
        <w:jc w:val="center"/>
      </w:pPr>
      <w:r>
        <w:drawing>
          <wp:inline xmlns:a="http://schemas.openxmlformats.org/drawingml/2006/main" xmlns:pic="http://schemas.openxmlformats.org/drawingml/2006/picture">
            <wp:extent cx="5029200" cy="1390757"/>
            <wp:docPr id="8" name="Picture 8"/>
            <wp:cNvGraphicFramePr>
              <a:graphicFrameLocks noChangeAspect="1"/>
            </wp:cNvGraphicFramePr>
            <a:graphic>
              <a:graphicData uri="http://schemas.openxmlformats.org/drawingml/2006/picture">
                <pic:pic>
                  <pic:nvPicPr>
                    <pic:cNvPr id="0" name="img_cell28_out1.png"/>
                    <pic:cNvPicPr/>
                  </pic:nvPicPr>
                  <pic:blipFill>
                    <a:blip r:embed="rId16"/>
                    <a:stretch>
                      <a:fillRect/>
                    </a:stretch>
                  </pic:blipFill>
                  <pic:spPr>
                    <a:xfrm>
                      <a:off x="0" y="0"/>
                      <a:ext cx="5029200" cy="1390757"/>
                    </a:xfrm>
                    <a:prstGeom prst="rect"/>
                  </pic:spPr>
                </pic:pic>
              </a:graphicData>
            </a:graphic>
          </wp:inline>
        </w:drawing>
      </w:r>
    </w:p>
    <w:p>
      <w:pPr>
        <w:jc w:val="center"/>
      </w:pPr>
      <w:r>
        <w:rPr>
          <w:rFonts w:ascii="Times New Roman" w:hAnsi="Times New Roman"/>
          <w:i/>
          <w:sz w:val="20"/>
        </w:rPr>
        <w:t>Gambar 8. KNN (Tuned) - Actual vs Predicted, Residual Plot, Distribusi Residual</w:t>
      </w:r>
    </w:p>
    <w:p>
      <w:pPr>
        <w:jc w:val="center"/>
      </w:pPr>
      <w:r>
        <w:drawing>
          <wp:inline xmlns:a="http://schemas.openxmlformats.org/drawingml/2006/main" xmlns:pic="http://schemas.openxmlformats.org/drawingml/2006/picture">
            <wp:extent cx="5029200" cy="1392312"/>
            <wp:docPr id="9" name="Picture 9"/>
            <wp:cNvGraphicFramePr>
              <a:graphicFrameLocks noChangeAspect="1"/>
            </wp:cNvGraphicFramePr>
            <a:graphic>
              <a:graphicData uri="http://schemas.openxmlformats.org/drawingml/2006/picture">
                <pic:pic>
                  <pic:nvPicPr>
                    <pic:cNvPr id="0" name="img_cell32_out1.png"/>
                    <pic:cNvPicPr/>
                  </pic:nvPicPr>
                  <pic:blipFill>
                    <a:blip r:embed="rId17"/>
                    <a:stretch>
                      <a:fillRect/>
                    </a:stretch>
                  </pic:blipFill>
                  <pic:spPr>
                    <a:xfrm>
                      <a:off x="0" y="0"/>
                      <a:ext cx="5029200" cy="1392312"/>
                    </a:xfrm>
                    <a:prstGeom prst="rect"/>
                  </pic:spPr>
                </pic:pic>
              </a:graphicData>
            </a:graphic>
          </wp:inline>
        </w:drawing>
      </w:r>
    </w:p>
    <w:p>
      <w:pPr>
        <w:jc w:val="center"/>
      </w:pPr>
      <w:r>
        <w:rPr>
          <w:rFonts w:ascii="Times New Roman" w:hAnsi="Times New Roman"/>
          <w:i/>
          <w:sz w:val="20"/>
        </w:rPr>
        <w:t>Gambar 9. SVR (Tuned) - Actual vs Predicted, Residual Plot, Distribusi Residual</w:t>
      </w:r>
    </w:p>
    <w:p>
      <w:pPr>
        <w:spacing w:after="120"/>
      </w:pPr>
      <w:r>
        <w:rPr>
          <w:rFonts w:ascii="Times New Roman" w:hAnsi="Times New Roman"/>
          <w:b/>
          <w:sz w:val="24"/>
        </w:rPr>
        <w:t>6.4 Interpretasi Hasil</w:t>
      </w:r>
    </w:p>
    <w:p>
      <w:pPr>
        <w:spacing w:after="120"/>
      </w:pPr>
      <w:r>
        <w:rPr>
          <w:rFonts w:ascii="Times New Roman" w:hAnsi="Times New Roman"/>
          <w:b w:val="0"/>
          <w:sz w:val="24"/>
        </w:rPr>
        <w:t>SVR (Tuned) memberikan performa terbaik dengan R-squared 0,9929, yang berarti model mampu menjelaskan 99,29% variansi harga RAM. MAE sebesar 198,67 USD menunjukkan rata-rata kesalahan prediksi yang sangat kecil relatif terhadap rentang harga dataset. Keunggulan SVR disebabkan oleh: (a) kernel RBF yang mampu menangkap hubungan non-linear kompleks, (b) log-transform target yang mengurangi pengaruh outlier harga Enterprise, dan (c) kombinasi hyperparameter C=10 dan gamma=0,01 yang optimal.</w:t>
      </w:r>
    </w:p>
    <w:p>
      <w:pPr>
        <w:spacing w:after="120"/>
      </w:pPr>
      <w:r>
        <w:rPr>
          <w:rFonts w:ascii="Times New Roman" w:hAnsi="Times New Roman"/>
          <w:b w:val="0"/>
          <w:sz w:val="24"/>
        </w:rPr>
        <w:t>Linear Regression (Tuned) menempati posisi kedua dengan R-squared 0,9719. Peningkatan signifikan dari versi default (R-squared 0,6720) membuktikan efektivitas PolynomialFeatures dan log-transform dalam menangkap non-linearitas data.</w:t>
      </w:r>
    </w:p>
    <w:p>
      <w:pPr>
        <w:spacing w:after="120"/>
      </w:pPr>
      <w:r>
        <w:rPr>
          <w:rFonts w:ascii="Times New Roman" w:hAnsi="Times New Roman"/>
          <w:b w:val="0"/>
          <w:sz w:val="24"/>
        </w:rPr>
        <w:t>KNN (Tuned) mencapai R-squared 0,9025. Meskipun peningkatan dari default tidak sedrastis LR dan SVR, model KNN tetap memberikan performa yang baik. Pemilihan metric=manhattan dan weights=distance meningkatkan kemampuan model dalam menangani outlier harga.</w:t>
      </w:r>
    </w:p>
    <w:p>
      <w:pPr>
        <w:spacing w:after="120"/>
      </w:pPr>
      <w:r>
        <w:rPr>
          <w:rFonts w:ascii="Times New Roman" w:hAnsi="Times New Roman"/>
          <w:b w:val="0"/>
          <w:sz w:val="24"/>
        </w:rPr>
        <w:t>SVR (Default) memberikan R-squared negatif (-0,1098), yang menunjukkan bahwa model tanpa tuning bahkan lebih buruk daripada prediksi menggunakan rata-rata. Hal ini menegaskan pentingnya hyperparameter tuning dan log-transform target pada algoritma SVR.</w:t>
      </w:r>
    </w:p>
    <w:p>
      <w:pPr>
        <w:spacing w:after="120"/>
      </w:pPr>
      <w:r>
        <w:rPr>
          <w:rFonts w:ascii="Times New Roman" w:hAnsi="Times New Roman"/>
          <w:b/>
          <w:sz w:val="24"/>
        </w:rPr>
        <w:t>6.5 Analisis Overfitting</w:t>
      </w:r>
    </w:p>
    <w:tbl>
      <w:tblPr>
        <w:tblStyle w:val="LightShading-Accent1"/>
        <w:tblW w:type="auto" w:w="0"/>
        <w:jc w:val="center"/>
        <w:tblLook w:firstColumn="1" w:firstRow="1" w:lastColumn="0" w:lastRow="0" w:noHBand="0" w:noVBand="1" w:val="04A0"/>
      </w:tblPr>
      <w:tblGrid>
        <w:gridCol w:w="1820"/>
        <w:gridCol w:w="1820"/>
        <w:gridCol w:w="1820"/>
        <w:gridCol w:w="1820"/>
        <w:gridCol w:w="1820"/>
      </w:tblGrid>
      <w:tr>
        <w:tc>
          <w:tcPr>
            <w:tcW w:type="dxa" w:w="1820"/>
          </w:tcPr>
          <w:p>
            <w:pPr>
              <w:jc w:val="center"/>
            </w:pPr>
            <w:r>
              <w:rPr>
                <w:rFonts w:ascii="Times New Roman" w:hAnsi="Times New Roman"/>
                <w:b/>
                <w:sz w:val="20"/>
              </w:rPr>
              <w:t>Model</w:t>
            </w:r>
          </w:p>
        </w:tc>
        <w:tc>
          <w:tcPr>
            <w:tcW w:type="dxa" w:w="1820"/>
          </w:tcPr>
          <w:p>
            <w:pPr>
              <w:jc w:val="center"/>
            </w:pPr>
            <w:r>
              <w:rPr>
                <w:rFonts w:ascii="Times New Roman" w:hAnsi="Times New Roman"/>
                <w:b/>
                <w:sz w:val="20"/>
              </w:rPr>
              <w:t>Train R-squared</w:t>
            </w:r>
          </w:p>
        </w:tc>
        <w:tc>
          <w:tcPr>
            <w:tcW w:type="dxa" w:w="1820"/>
          </w:tcPr>
          <w:p>
            <w:pPr>
              <w:jc w:val="center"/>
            </w:pPr>
            <w:r>
              <w:rPr>
                <w:rFonts w:ascii="Times New Roman" w:hAnsi="Times New Roman"/>
                <w:b/>
                <w:sz w:val="20"/>
              </w:rPr>
              <w:t>Test R-squared</w:t>
            </w:r>
          </w:p>
        </w:tc>
        <w:tc>
          <w:tcPr>
            <w:tcW w:type="dxa" w:w="1820"/>
          </w:tcPr>
          <w:p>
            <w:pPr>
              <w:jc w:val="center"/>
            </w:pPr>
            <w:r>
              <w:rPr>
                <w:rFonts w:ascii="Times New Roman" w:hAnsi="Times New Roman"/>
                <w:b/>
                <w:sz w:val="20"/>
              </w:rPr>
              <w:t>Selisih R-squared</w:t>
            </w:r>
          </w:p>
        </w:tc>
        <w:tc>
          <w:tcPr>
            <w:tcW w:type="dxa" w:w="1820"/>
          </w:tcPr>
          <w:p>
            <w:pPr>
              <w:jc w:val="center"/>
            </w:pPr>
            <w:r>
              <w:rPr>
                <w:rFonts w:ascii="Times New Roman" w:hAnsi="Times New Roman"/>
                <w:b/>
                <w:sz w:val="20"/>
              </w:rPr>
              <w:t>Status</w:t>
            </w:r>
          </w:p>
        </w:tc>
      </w:tr>
      <w:tr>
        <w:tc>
          <w:tcPr>
            <w:tcW w:type="dxa" w:w="1820"/>
          </w:tcPr>
          <w:p>
            <w:pPr>
              <w:jc w:val="center"/>
            </w:pPr>
            <w:r>
              <w:rPr>
                <w:rFonts w:ascii="Times New Roman" w:hAnsi="Times New Roman"/>
                <w:sz w:val="20"/>
              </w:rPr>
              <w:t>LR (Tuned)</w:t>
            </w:r>
          </w:p>
        </w:tc>
        <w:tc>
          <w:tcPr>
            <w:tcW w:type="dxa" w:w="1820"/>
          </w:tcPr>
          <w:p>
            <w:pPr>
              <w:jc w:val="center"/>
            </w:pPr>
            <w:r>
              <w:rPr>
                <w:rFonts w:ascii="Times New Roman" w:hAnsi="Times New Roman"/>
                <w:sz w:val="20"/>
              </w:rPr>
              <w:t>0,9766</w:t>
            </w:r>
          </w:p>
        </w:tc>
        <w:tc>
          <w:tcPr>
            <w:tcW w:type="dxa" w:w="1820"/>
          </w:tcPr>
          <w:p>
            <w:pPr>
              <w:jc w:val="center"/>
            </w:pPr>
            <w:r>
              <w:rPr>
                <w:rFonts w:ascii="Times New Roman" w:hAnsi="Times New Roman"/>
                <w:sz w:val="20"/>
              </w:rPr>
              <w:t>0,9719</w:t>
            </w:r>
          </w:p>
        </w:tc>
        <w:tc>
          <w:tcPr>
            <w:tcW w:type="dxa" w:w="1820"/>
          </w:tcPr>
          <w:p>
            <w:pPr>
              <w:jc w:val="center"/>
            </w:pPr>
            <w:r>
              <w:rPr>
                <w:rFonts w:ascii="Times New Roman" w:hAnsi="Times New Roman"/>
                <w:sz w:val="20"/>
              </w:rPr>
              <w:t>0,0047</w:t>
            </w:r>
          </w:p>
        </w:tc>
        <w:tc>
          <w:tcPr>
            <w:tcW w:type="dxa" w:w="1820"/>
          </w:tcPr>
          <w:p>
            <w:pPr>
              <w:jc w:val="center"/>
            </w:pPr>
            <w:r>
              <w:rPr>
                <w:rFonts w:ascii="Times New Roman" w:hAnsi="Times New Roman"/>
                <w:sz w:val="20"/>
              </w:rPr>
              <w:t>Generalized (Baik)</w:t>
            </w:r>
          </w:p>
        </w:tc>
      </w:tr>
      <w:tr>
        <w:tc>
          <w:tcPr>
            <w:tcW w:type="dxa" w:w="1820"/>
          </w:tcPr>
          <w:p>
            <w:pPr>
              <w:jc w:val="center"/>
            </w:pPr>
            <w:r>
              <w:rPr>
                <w:rFonts w:ascii="Times New Roman" w:hAnsi="Times New Roman"/>
                <w:sz w:val="20"/>
              </w:rPr>
              <w:t>KNN (Tuned)</w:t>
            </w:r>
          </w:p>
        </w:tc>
        <w:tc>
          <w:tcPr>
            <w:tcW w:type="dxa" w:w="1820"/>
          </w:tcPr>
          <w:p>
            <w:pPr>
              <w:jc w:val="center"/>
            </w:pPr>
            <w:r>
              <w:rPr>
                <w:rFonts w:ascii="Times New Roman" w:hAnsi="Times New Roman"/>
                <w:sz w:val="20"/>
              </w:rPr>
              <w:t>1,0000</w:t>
            </w:r>
          </w:p>
        </w:tc>
        <w:tc>
          <w:tcPr>
            <w:tcW w:type="dxa" w:w="1820"/>
          </w:tcPr>
          <w:p>
            <w:pPr>
              <w:jc w:val="center"/>
            </w:pPr>
            <w:r>
              <w:rPr>
                <w:rFonts w:ascii="Times New Roman" w:hAnsi="Times New Roman"/>
                <w:sz w:val="20"/>
              </w:rPr>
              <w:t>0,9025</w:t>
            </w:r>
          </w:p>
        </w:tc>
        <w:tc>
          <w:tcPr>
            <w:tcW w:type="dxa" w:w="1820"/>
          </w:tcPr>
          <w:p>
            <w:pPr>
              <w:jc w:val="center"/>
            </w:pPr>
            <w:r>
              <w:rPr>
                <w:rFonts w:ascii="Times New Roman" w:hAnsi="Times New Roman"/>
                <w:sz w:val="20"/>
              </w:rPr>
              <w:t>0,0975</w:t>
            </w:r>
          </w:p>
        </w:tc>
        <w:tc>
          <w:tcPr>
            <w:tcW w:type="dxa" w:w="1820"/>
          </w:tcPr>
          <w:p>
            <w:pPr>
              <w:jc w:val="center"/>
            </w:pPr>
            <w:r>
              <w:rPr>
                <w:rFonts w:ascii="Times New Roman" w:hAnsi="Times New Roman"/>
                <w:sz w:val="20"/>
              </w:rPr>
              <w:t>Generalized (Baik)</w:t>
            </w:r>
          </w:p>
        </w:tc>
      </w:tr>
      <w:tr>
        <w:tc>
          <w:tcPr>
            <w:tcW w:type="dxa" w:w="1820"/>
          </w:tcPr>
          <w:p>
            <w:pPr>
              <w:jc w:val="center"/>
            </w:pPr>
            <w:r>
              <w:rPr>
                <w:rFonts w:ascii="Times New Roman" w:hAnsi="Times New Roman"/>
                <w:sz w:val="20"/>
              </w:rPr>
              <w:t>SVR (Tuned)</w:t>
            </w:r>
          </w:p>
        </w:tc>
        <w:tc>
          <w:tcPr>
            <w:tcW w:type="dxa" w:w="1820"/>
          </w:tcPr>
          <w:p>
            <w:pPr>
              <w:jc w:val="center"/>
            </w:pPr>
            <w:r>
              <w:rPr>
                <w:rFonts w:ascii="Times New Roman" w:hAnsi="Times New Roman"/>
                <w:sz w:val="20"/>
              </w:rPr>
              <w:t>0,9981</w:t>
            </w:r>
          </w:p>
        </w:tc>
        <w:tc>
          <w:tcPr>
            <w:tcW w:type="dxa" w:w="1820"/>
          </w:tcPr>
          <w:p>
            <w:pPr>
              <w:jc w:val="center"/>
            </w:pPr>
            <w:r>
              <w:rPr>
                <w:rFonts w:ascii="Times New Roman" w:hAnsi="Times New Roman"/>
                <w:sz w:val="20"/>
              </w:rPr>
              <w:t>0,9929</w:t>
            </w:r>
          </w:p>
        </w:tc>
        <w:tc>
          <w:tcPr>
            <w:tcW w:type="dxa" w:w="1820"/>
          </w:tcPr>
          <w:p>
            <w:pPr>
              <w:jc w:val="center"/>
            </w:pPr>
            <w:r>
              <w:rPr>
                <w:rFonts w:ascii="Times New Roman" w:hAnsi="Times New Roman"/>
                <w:sz w:val="20"/>
              </w:rPr>
              <w:t>0,0053</w:t>
            </w:r>
          </w:p>
        </w:tc>
        <w:tc>
          <w:tcPr>
            <w:tcW w:type="dxa" w:w="1820"/>
          </w:tcPr>
          <w:p>
            <w:pPr>
              <w:jc w:val="center"/>
            </w:pPr>
            <w:r>
              <w:rPr>
                <w:rFonts w:ascii="Times New Roman" w:hAnsi="Times New Roman"/>
                <w:sz w:val="20"/>
              </w:rPr>
              <w:t>Generalized (Baik)</w:t>
            </w:r>
          </w:p>
        </w:tc>
      </w:tr>
    </w:tbl>
    <w:p/>
    <w:p>
      <w:pPr>
        <w:jc w:val="center"/>
      </w:pPr>
      <w:r>
        <w:drawing>
          <wp:inline xmlns:a="http://schemas.openxmlformats.org/drawingml/2006/main" xmlns:pic="http://schemas.openxmlformats.org/drawingml/2006/picture">
            <wp:extent cx="5029200" cy="2491717"/>
            <wp:docPr id="10" name="Picture 10"/>
            <wp:cNvGraphicFramePr>
              <a:graphicFrameLocks noChangeAspect="1"/>
            </wp:cNvGraphicFramePr>
            <a:graphic>
              <a:graphicData uri="http://schemas.openxmlformats.org/drawingml/2006/picture">
                <pic:pic>
                  <pic:nvPicPr>
                    <pic:cNvPr id="0" name="img_cell37_out2.png"/>
                    <pic:cNvPicPr/>
                  </pic:nvPicPr>
                  <pic:blipFill>
                    <a:blip r:embed="rId18"/>
                    <a:stretch>
                      <a:fillRect/>
                    </a:stretch>
                  </pic:blipFill>
                  <pic:spPr>
                    <a:xfrm>
                      <a:off x="0" y="0"/>
                      <a:ext cx="5029200" cy="2491717"/>
                    </a:xfrm>
                    <a:prstGeom prst="rect"/>
                  </pic:spPr>
                </pic:pic>
              </a:graphicData>
            </a:graphic>
          </wp:inline>
        </w:drawing>
      </w:r>
    </w:p>
    <w:p>
      <w:pPr>
        <w:jc w:val="center"/>
      </w:pPr>
      <w:r>
        <w:rPr>
          <w:rFonts w:ascii="Times New Roman" w:hAnsi="Times New Roman"/>
          <w:i/>
          <w:sz w:val="20"/>
        </w:rPr>
        <w:t>Gambar 10. Perbandingan R-squared Training vs Testing (deteksi overfitting)</w:t>
      </w:r>
    </w:p>
    <w:p>
      <w:pPr>
        <w:spacing w:after="120"/>
      </w:pPr>
      <w:r>
        <w:rPr>
          <w:rFonts w:ascii="Times New Roman" w:hAnsi="Times New Roman"/>
          <w:b w:val="0"/>
          <w:sz w:val="24"/>
        </w:rPr>
        <w:t>Ketiga model tuned menunjukkan generalisasi yang baik dengan selisih R-squared kurang dari 0,10. KNN (Tuned) memiliki selisih terbesar (0,0975) karena sifat inherent KNN yang memiliki R-squared training sempurna (1,0000) akibat setiap titik training menjadi tetangga terdekat dari dirinya sendiri. Namun demikian, selisih ini masih dalam batas yang dapat diterima. SVR (Tuned) dan LR (Tuned) menunjukkan selisih yang sangat kecil, mengonfirmasi bahwa teknik regularisasi (Ridge) dan log-transform berhasil mencegah overfitting.</w:t>
      </w:r>
    </w:p>
    <w:p>
      <w:r>
        <w:br w:type="page"/>
      </w:r>
    </w:p>
    <w:p>
      <w:pPr>
        <w:pStyle w:val="Heading1"/>
      </w:pPr>
      <w:r>
        <w:rPr>
          <w:rFonts w:ascii="Times New Roman" w:hAnsi="Times New Roman"/>
          <w:color w:val="000000"/>
        </w:rPr>
        <w:t>7. Deployment (Simulasi dan Interpretasi)</w:t>
      </w:r>
    </w:p>
    <w:p>
      <w:pPr>
        <w:spacing w:after="120"/>
      </w:pPr>
      <w:r>
        <w:rPr>
          <w:rFonts w:ascii="Times New Roman" w:hAnsi="Times New Roman"/>
          <w:b/>
          <w:sz w:val="24"/>
        </w:rPr>
        <w:t>7.1 Simulasi Prediksi Data Baru</w:t>
      </w:r>
    </w:p>
    <w:p>
      <w:pPr>
        <w:spacing w:after="120"/>
      </w:pPr>
      <w:r>
        <w:rPr>
          <w:rFonts w:ascii="Times New Roman" w:hAnsi="Times New Roman"/>
          <w:b w:val="0"/>
          <w:sz w:val="24"/>
        </w:rPr>
        <w:t>Untuk mensimulasikan penggunaan model di dunia nyata, dilakukan prediksi terhadap 5 baris terakhir dari dataset asli menggunakan model KNN (Tuned). Data melewati pipeline preprocessing yang sama dengan tahap training (termasuk scaling menggunakan StandardScaler yang telah di-fit sebelumnya).</w:t>
      </w:r>
    </w:p>
    <w:tbl>
      <w:tblPr>
        <w:tblStyle w:val="LightShading-Accent1"/>
        <w:tblW w:type="auto" w:w="0"/>
        <w:jc w:val="center"/>
        <w:tblLook w:firstColumn="1" w:firstRow="1" w:lastColumn="0" w:lastRow="0" w:noHBand="0" w:noVBand="1" w:val="04A0"/>
      </w:tblPr>
      <w:tblGrid>
        <w:gridCol w:w="1820"/>
        <w:gridCol w:w="1820"/>
        <w:gridCol w:w="1820"/>
        <w:gridCol w:w="1820"/>
        <w:gridCol w:w="1820"/>
      </w:tblGrid>
      <w:tr>
        <w:tc>
          <w:tcPr>
            <w:tcW w:type="dxa" w:w="1820"/>
          </w:tcPr>
          <w:p>
            <w:pPr>
              <w:jc w:val="center"/>
            </w:pPr>
            <w:r>
              <w:rPr>
                <w:rFonts w:ascii="Times New Roman" w:hAnsi="Times New Roman"/>
                <w:b/>
                <w:sz w:val="20"/>
              </w:rPr>
              <w:t>No</w:t>
            </w:r>
          </w:p>
        </w:tc>
        <w:tc>
          <w:tcPr>
            <w:tcW w:type="dxa" w:w="1820"/>
          </w:tcPr>
          <w:p>
            <w:pPr>
              <w:jc w:val="center"/>
            </w:pPr>
            <w:r>
              <w:rPr>
                <w:rFonts w:ascii="Times New Roman" w:hAnsi="Times New Roman"/>
                <w:b/>
                <w:sz w:val="20"/>
              </w:rPr>
              <w:t>Harga Aktual (USD)</w:t>
            </w:r>
          </w:p>
        </w:tc>
        <w:tc>
          <w:tcPr>
            <w:tcW w:type="dxa" w:w="1820"/>
          </w:tcPr>
          <w:p>
            <w:pPr>
              <w:jc w:val="center"/>
            </w:pPr>
            <w:r>
              <w:rPr>
                <w:rFonts w:ascii="Times New Roman" w:hAnsi="Times New Roman"/>
                <w:b/>
                <w:sz w:val="20"/>
              </w:rPr>
              <w:t>Harga Prediksi (USD)</w:t>
            </w:r>
          </w:p>
        </w:tc>
        <w:tc>
          <w:tcPr>
            <w:tcW w:type="dxa" w:w="1820"/>
          </w:tcPr>
          <w:p>
            <w:pPr>
              <w:jc w:val="center"/>
            </w:pPr>
            <w:r>
              <w:rPr>
                <w:rFonts w:ascii="Times New Roman" w:hAnsi="Times New Roman"/>
                <w:b/>
                <w:sz w:val="20"/>
              </w:rPr>
              <w:t>Selisih (USD)</w:t>
            </w:r>
          </w:p>
        </w:tc>
        <w:tc>
          <w:tcPr>
            <w:tcW w:type="dxa" w:w="1820"/>
          </w:tcPr>
          <w:p>
            <w:pPr>
              <w:jc w:val="center"/>
            </w:pPr>
            <w:r>
              <w:rPr>
                <w:rFonts w:ascii="Times New Roman" w:hAnsi="Times New Roman"/>
                <w:b/>
                <w:sz w:val="20"/>
              </w:rPr>
              <w:t>Error (%)</w:t>
            </w:r>
          </w:p>
        </w:tc>
      </w:tr>
      <w:tr>
        <w:tc>
          <w:tcPr>
            <w:tcW w:type="dxa" w:w="1820"/>
          </w:tcPr>
          <w:p>
            <w:pPr>
              <w:jc w:val="center"/>
            </w:pPr>
            <w:r>
              <w:rPr>
                <w:rFonts w:ascii="Times New Roman" w:hAnsi="Times New Roman"/>
                <w:sz w:val="20"/>
              </w:rPr>
              <w:t>1</w:t>
            </w:r>
          </w:p>
        </w:tc>
        <w:tc>
          <w:tcPr>
            <w:tcW w:type="dxa" w:w="1820"/>
          </w:tcPr>
          <w:p>
            <w:pPr>
              <w:jc w:val="center"/>
            </w:pPr>
            <w:r>
              <w:rPr>
                <w:rFonts w:ascii="Times New Roman" w:hAnsi="Times New Roman"/>
                <w:sz w:val="20"/>
              </w:rPr>
              <w:t>3.785,40</w:t>
            </w:r>
          </w:p>
        </w:tc>
        <w:tc>
          <w:tcPr>
            <w:tcW w:type="dxa" w:w="1820"/>
          </w:tcPr>
          <w:p>
            <w:pPr>
              <w:jc w:val="center"/>
            </w:pPr>
            <w:r>
              <w:rPr>
                <w:rFonts w:ascii="Times New Roman" w:hAnsi="Times New Roman"/>
                <w:sz w:val="20"/>
              </w:rPr>
              <w:t>3.785,40</w:t>
            </w:r>
          </w:p>
        </w:tc>
        <w:tc>
          <w:tcPr>
            <w:tcW w:type="dxa" w:w="1820"/>
          </w:tcPr>
          <w:p>
            <w:pPr>
              <w:jc w:val="center"/>
            </w:pPr>
            <w:r>
              <w:rPr>
                <w:rFonts w:ascii="Times New Roman" w:hAnsi="Times New Roman"/>
                <w:sz w:val="20"/>
              </w:rPr>
              <w:t>0,00</w:t>
            </w:r>
          </w:p>
        </w:tc>
        <w:tc>
          <w:tcPr>
            <w:tcW w:type="dxa" w:w="1820"/>
          </w:tcPr>
          <w:p>
            <w:pPr>
              <w:jc w:val="center"/>
            </w:pPr>
            <w:r>
              <w:rPr>
                <w:rFonts w:ascii="Times New Roman" w:hAnsi="Times New Roman"/>
                <w:sz w:val="20"/>
              </w:rPr>
              <w:t>0,00</w:t>
            </w:r>
          </w:p>
        </w:tc>
      </w:tr>
      <w:tr>
        <w:tc>
          <w:tcPr>
            <w:tcW w:type="dxa" w:w="1820"/>
          </w:tcPr>
          <w:p>
            <w:pPr>
              <w:jc w:val="center"/>
            </w:pPr>
            <w:r>
              <w:rPr>
                <w:rFonts w:ascii="Times New Roman" w:hAnsi="Times New Roman"/>
                <w:sz w:val="20"/>
              </w:rPr>
              <w:t>2</w:t>
            </w:r>
          </w:p>
        </w:tc>
        <w:tc>
          <w:tcPr>
            <w:tcW w:type="dxa" w:w="1820"/>
          </w:tcPr>
          <w:p>
            <w:pPr>
              <w:jc w:val="center"/>
            </w:pPr>
            <w:r>
              <w:rPr>
                <w:rFonts w:ascii="Times New Roman" w:hAnsi="Times New Roman"/>
                <w:sz w:val="20"/>
              </w:rPr>
              <w:t>126,69</w:t>
            </w:r>
          </w:p>
        </w:tc>
        <w:tc>
          <w:tcPr>
            <w:tcW w:type="dxa" w:w="1820"/>
          </w:tcPr>
          <w:p>
            <w:pPr>
              <w:jc w:val="center"/>
            </w:pPr>
            <w:r>
              <w:rPr>
                <w:rFonts w:ascii="Times New Roman" w:hAnsi="Times New Roman"/>
                <w:sz w:val="20"/>
              </w:rPr>
              <w:t>126,69</w:t>
            </w:r>
          </w:p>
        </w:tc>
        <w:tc>
          <w:tcPr>
            <w:tcW w:type="dxa" w:w="1820"/>
          </w:tcPr>
          <w:p>
            <w:pPr>
              <w:jc w:val="center"/>
            </w:pPr>
            <w:r>
              <w:rPr>
                <w:rFonts w:ascii="Times New Roman" w:hAnsi="Times New Roman"/>
                <w:sz w:val="20"/>
              </w:rPr>
              <w:t>0,00</w:t>
            </w:r>
          </w:p>
        </w:tc>
        <w:tc>
          <w:tcPr>
            <w:tcW w:type="dxa" w:w="1820"/>
          </w:tcPr>
          <w:p>
            <w:pPr>
              <w:jc w:val="center"/>
            </w:pPr>
            <w:r>
              <w:rPr>
                <w:rFonts w:ascii="Times New Roman" w:hAnsi="Times New Roman"/>
                <w:sz w:val="20"/>
              </w:rPr>
              <w:t>0,00</w:t>
            </w:r>
          </w:p>
        </w:tc>
      </w:tr>
      <w:tr>
        <w:tc>
          <w:tcPr>
            <w:tcW w:type="dxa" w:w="1820"/>
          </w:tcPr>
          <w:p>
            <w:pPr>
              <w:jc w:val="center"/>
            </w:pPr>
            <w:r>
              <w:rPr>
                <w:rFonts w:ascii="Times New Roman" w:hAnsi="Times New Roman"/>
                <w:sz w:val="20"/>
              </w:rPr>
              <w:t>3</w:t>
            </w:r>
          </w:p>
        </w:tc>
        <w:tc>
          <w:tcPr>
            <w:tcW w:type="dxa" w:w="1820"/>
          </w:tcPr>
          <w:p>
            <w:pPr>
              <w:jc w:val="center"/>
            </w:pPr>
            <w:r>
              <w:rPr>
                <w:rFonts w:ascii="Times New Roman" w:hAnsi="Times New Roman"/>
                <w:sz w:val="20"/>
              </w:rPr>
              <w:t>2.392,87</w:t>
            </w:r>
          </w:p>
        </w:tc>
        <w:tc>
          <w:tcPr>
            <w:tcW w:type="dxa" w:w="1820"/>
          </w:tcPr>
          <w:p>
            <w:pPr>
              <w:jc w:val="center"/>
            </w:pPr>
            <w:r>
              <w:rPr>
                <w:rFonts w:ascii="Times New Roman" w:hAnsi="Times New Roman"/>
                <w:sz w:val="20"/>
              </w:rPr>
              <w:t>2.392,87</w:t>
            </w:r>
          </w:p>
        </w:tc>
        <w:tc>
          <w:tcPr>
            <w:tcW w:type="dxa" w:w="1820"/>
          </w:tcPr>
          <w:p>
            <w:pPr>
              <w:jc w:val="center"/>
            </w:pPr>
            <w:r>
              <w:rPr>
                <w:rFonts w:ascii="Times New Roman" w:hAnsi="Times New Roman"/>
                <w:sz w:val="20"/>
              </w:rPr>
              <w:t>0,00</w:t>
            </w:r>
          </w:p>
        </w:tc>
        <w:tc>
          <w:tcPr>
            <w:tcW w:type="dxa" w:w="1820"/>
          </w:tcPr>
          <w:p>
            <w:pPr>
              <w:jc w:val="center"/>
            </w:pPr>
            <w:r>
              <w:rPr>
                <w:rFonts w:ascii="Times New Roman" w:hAnsi="Times New Roman"/>
                <w:sz w:val="20"/>
              </w:rPr>
              <w:t>0,00</w:t>
            </w:r>
          </w:p>
        </w:tc>
      </w:tr>
      <w:tr>
        <w:tc>
          <w:tcPr>
            <w:tcW w:type="dxa" w:w="1820"/>
          </w:tcPr>
          <w:p>
            <w:pPr>
              <w:jc w:val="center"/>
            </w:pPr>
            <w:r>
              <w:rPr>
                <w:rFonts w:ascii="Times New Roman" w:hAnsi="Times New Roman"/>
                <w:sz w:val="20"/>
              </w:rPr>
              <w:t>4</w:t>
            </w:r>
          </w:p>
        </w:tc>
        <w:tc>
          <w:tcPr>
            <w:tcW w:type="dxa" w:w="1820"/>
          </w:tcPr>
          <w:p>
            <w:pPr>
              <w:jc w:val="center"/>
            </w:pPr>
            <w:r>
              <w:rPr>
                <w:rFonts w:ascii="Times New Roman" w:hAnsi="Times New Roman"/>
                <w:sz w:val="20"/>
              </w:rPr>
              <w:t>780,93</w:t>
            </w:r>
          </w:p>
        </w:tc>
        <w:tc>
          <w:tcPr>
            <w:tcW w:type="dxa" w:w="1820"/>
          </w:tcPr>
          <w:p>
            <w:pPr>
              <w:jc w:val="center"/>
            </w:pPr>
            <w:r>
              <w:rPr>
                <w:rFonts w:ascii="Times New Roman" w:hAnsi="Times New Roman"/>
                <w:sz w:val="20"/>
              </w:rPr>
              <w:t>1.001,97</w:t>
            </w:r>
          </w:p>
        </w:tc>
        <w:tc>
          <w:tcPr>
            <w:tcW w:type="dxa" w:w="1820"/>
          </w:tcPr>
          <w:p>
            <w:pPr>
              <w:jc w:val="center"/>
            </w:pPr>
            <w:r>
              <w:rPr>
                <w:rFonts w:ascii="Times New Roman" w:hAnsi="Times New Roman"/>
                <w:sz w:val="20"/>
              </w:rPr>
              <w:t>-221,04</w:t>
            </w:r>
          </w:p>
        </w:tc>
        <w:tc>
          <w:tcPr>
            <w:tcW w:type="dxa" w:w="1820"/>
          </w:tcPr>
          <w:p>
            <w:pPr>
              <w:jc w:val="center"/>
            </w:pPr>
            <w:r>
              <w:rPr>
                <w:rFonts w:ascii="Times New Roman" w:hAnsi="Times New Roman"/>
                <w:sz w:val="20"/>
              </w:rPr>
              <w:t>28,31</w:t>
            </w:r>
          </w:p>
        </w:tc>
      </w:tr>
      <w:tr>
        <w:tc>
          <w:tcPr>
            <w:tcW w:type="dxa" w:w="1820"/>
          </w:tcPr>
          <w:p>
            <w:pPr>
              <w:jc w:val="center"/>
            </w:pPr>
            <w:r>
              <w:rPr>
                <w:rFonts w:ascii="Times New Roman" w:hAnsi="Times New Roman"/>
                <w:sz w:val="20"/>
              </w:rPr>
              <w:t>5</w:t>
            </w:r>
          </w:p>
        </w:tc>
        <w:tc>
          <w:tcPr>
            <w:tcW w:type="dxa" w:w="1820"/>
          </w:tcPr>
          <w:p>
            <w:pPr>
              <w:jc w:val="center"/>
            </w:pPr>
            <w:r>
              <w:rPr>
                <w:rFonts w:ascii="Times New Roman" w:hAnsi="Times New Roman"/>
                <w:sz w:val="20"/>
              </w:rPr>
              <w:t>3.154,18</w:t>
            </w:r>
          </w:p>
        </w:tc>
        <w:tc>
          <w:tcPr>
            <w:tcW w:type="dxa" w:w="1820"/>
          </w:tcPr>
          <w:p>
            <w:pPr>
              <w:jc w:val="center"/>
            </w:pPr>
            <w:r>
              <w:rPr>
                <w:rFonts w:ascii="Times New Roman" w:hAnsi="Times New Roman"/>
                <w:sz w:val="20"/>
              </w:rPr>
              <w:t>3.154,18</w:t>
            </w:r>
          </w:p>
        </w:tc>
        <w:tc>
          <w:tcPr>
            <w:tcW w:type="dxa" w:w="1820"/>
          </w:tcPr>
          <w:p>
            <w:pPr>
              <w:jc w:val="center"/>
            </w:pPr>
            <w:r>
              <w:rPr>
                <w:rFonts w:ascii="Times New Roman" w:hAnsi="Times New Roman"/>
                <w:sz w:val="20"/>
              </w:rPr>
              <w:t>0,00</w:t>
            </w:r>
          </w:p>
        </w:tc>
        <w:tc>
          <w:tcPr>
            <w:tcW w:type="dxa" w:w="1820"/>
          </w:tcPr>
          <w:p>
            <w:pPr>
              <w:jc w:val="center"/>
            </w:pPr>
            <w:r>
              <w:rPr>
                <w:rFonts w:ascii="Times New Roman" w:hAnsi="Times New Roman"/>
                <w:sz w:val="20"/>
              </w:rPr>
              <w:t>0,00</w:t>
            </w:r>
          </w:p>
        </w:tc>
      </w:tr>
    </w:tbl>
    <w:p/>
    <w:p>
      <w:pPr>
        <w:spacing w:after="120"/>
      </w:pPr>
      <w:r>
        <w:rPr>
          <w:rFonts w:ascii="Times New Roman" w:hAnsi="Times New Roman"/>
          <w:b w:val="0"/>
          <w:sz w:val="24"/>
        </w:rPr>
        <w:t>Empat dari lima sampel diprediksi dengan error 0%, yang menunjukkan bahwa data tersebut memiliki tetangga terdekat yang identik dalam data training. Satu sampel (nomor 4) memiliki error 28,31%, kemungkinan disebabkan oleh kombinasi spesifikasi yang unik sehingga tetangga terdekatnya memiliki harga yang berbeda.</w:t>
      </w:r>
    </w:p>
    <w:p>
      <w:pPr>
        <w:spacing w:after="120"/>
      </w:pPr>
      <w:r>
        <w:rPr>
          <w:rFonts w:ascii="Times New Roman" w:hAnsi="Times New Roman"/>
          <w:b/>
          <w:sz w:val="24"/>
        </w:rPr>
        <w:t>7.2 Interpretasi Model - SHAP Analysis</w:t>
      </w:r>
    </w:p>
    <w:p>
      <w:pPr>
        <w:spacing w:after="120"/>
      </w:pPr>
      <w:r>
        <w:rPr>
          <w:rFonts w:ascii="Times New Roman" w:hAnsi="Times New Roman"/>
          <w:b w:val="0"/>
          <w:sz w:val="24"/>
        </w:rPr>
        <w:t>Interpretasi model dilakukan menggunakan SHAP (SHapley Additive exPlanations), teknik berbasis Cooperative Game Theory yang mampu menjelaskan kontribusi setiap fitur terhadap prediksi model. Karena KNN bukan model berbasis tree, digunakan Permutation Explainer yang bersifat model-agnostic.</w:t>
      </w:r>
    </w:p>
    <w:p>
      <w:pPr>
        <w:spacing w:after="120"/>
      </w:pPr>
      <w:r>
        <w:rPr>
          <w:rFonts w:ascii="Times New Roman" w:hAnsi="Times New Roman"/>
          <w:b/>
          <w:sz w:val="24"/>
        </w:rPr>
        <w:t>7.2.1 SHAP Summary Plot (Global Explanation)</w:t>
      </w:r>
    </w:p>
    <w:p>
      <w:pPr>
        <w:jc w:val="center"/>
      </w:pPr>
      <w:r>
        <w:drawing>
          <wp:inline xmlns:a="http://schemas.openxmlformats.org/drawingml/2006/main" xmlns:pic="http://schemas.openxmlformats.org/drawingml/2006/picture">
            <wp:extent cx="5029200" cy="6060831"/>
            <wp:docPr id="11" name="Picture 11"/>
            <wp:cNvGraphicFramePr>
              <a:graphicFrameLocks noChangeAspect="1"/>
            </wp:cNvGraphicFramePr>
            <a:graphic>
              <a:graphicData uri="http://schemas.openxmlformats.org/drawingml/2006/picture">
                <pic:pic>
                  <pic:nvPicPr>
                    <pic:cNvPr id="0" name="img_cell41_out1.png"/>
                    <pic:cNvPicPr/>
                  </pic:nvPicPr>
                  <pic:blipFill>
                    <a:blip r:embed="rId19"/>
                    <a:stretch>
                      <a:fillRect/>
                    </a:stretch>
                  </pic:blipFill>
                  <pic:spPr>
                    <a:xfrm>
                      <a:off x="0" y="0"/>
                      <a:ext cx="5029200" cy="6060831"/>
                    </a:xfrm>
                    <a:prstGeom prst="rect"/>
                  </pic:spPr>
                </pic:pic>
              </a:graphicData>
            </a:graphic>
          </wp:inline>
        </w:drawing>
      </w:r>
    </w:p>
    <w:p>
      <w:pPr>
        <w:jc w:val="center"/>
      </w:pPr>
      <w:r>
        <w:rPr>
          <w:rFonts w:ascii="Times New Roman" w:hAnsi="Times New Roman"/>
          <w:i/>
          <w:sz w:val="20"/>
        </w:rPr>
        <w:t>Gambar 11. SHAP Summary Plot - Dampak setiap fitur terhadap harga</w:t>
      </w:r>
    </w:p>
    <w:p>
      <w:pPr>
        <w:spacing w:after="120"/>
      </w:pPr>
      <w:r>
        <w:rPr>
          <w:rFonts w:ascii="Times New Roman" w:hAnsi="Times New Roman"/>
          <w:b w:val="0"/>
          <w:sz w:val="24"/>
        </w:rPr>
        <w:t>SHAP Summary Plot menunjukkan bahwa capacity_gb dan capacity_per_module merupakan dua fitur dengan dampak terbesar terhadap prediksi harga. Titik merah (nilai fitur tinggi) yang bergerombol di sisi kanan mengindikasikan bahwa kapasitas besar secara konsisten mendorong harga naik secara signifikan.</w:t>
      </w:r>
    </w:p>
    <w:p>
      <w:pPr>
        <w:spacing w:after="120"/>
      </w:pPr>
      <w:r>
        <w:rPr>
          <w:rFonts w:ascii="Times New Roman" w:hAnsi="Times New Roman"/>
          <w:b/>
          <w:sz w:val="24"/>
        </w:rPr>
        <w:t>7.2.2 SHAP Dependence Plot</w:t>
      </w:r>
    </w:p>
    <w:p>
      <w:pPr>
        <w:jc w:val="center"/>
      </w:pPr>
      <w:r>
        <w:drawing>
          <wp:inline xmlns:a="http://schemas.openxmlformats.org/drawingml/2006/main" xmlns:pic="http://schemas.openxmlformats.org/drawingml/2006/picture">
            <wp:extent cx="5029200" cy="4168269"/>
            <wp:docPr id="12" name="Picture 12"/>
            <wp:cNvGraphicFramePr>
              <a:graphicFrameLocks noChangeAspect="1"/>
            </wp:cNvGraphicFramePr>
            <a:graphic>
              <a:graphicData uri="http://schemas.openxmlformats.org/drawingml/2006/picture">
                <pic:pic>
                  <pic:nvPicPr>
                    <pic:cNvPr id="0" name="img_cell43_out1.png"/>
                    <pic:cNvPicPr/>
                  </pic:nvPicPr>
                  <pic:blipFill>
                    <a:blip r:embed="rId20"/>
                    <a:stretch>
                      <a:fillRect/>
                    </a:stretch>
                  </pic:blipFill>
                  <pic:spPr>
                    <a:xfrm>
                      <a:off x="0" y="0"/>
                      <a:ext cx="5029200" cy="4168269"/>
                    </a:xfrm>
                    <a:prstGeom prst="rect"/>
                  </pic:spPr>
                </pic:pic>
              </a:graphicData>
            </a:graphic>
          </wp:inline>
        </w:drawing>
      </w:r>
    </w:p>
    <w:p>
      <w:pPr>
        <w:jc w:val="center"/>
      </w:pPr>
      <w:r>
        <w:rPr>
          <w:rFonts w:ascii="Times New Roman" w:hAnsi="Times New Roman"/>
          <w:i/>
          <w:sz w:val="20"/>
        </w:rPr>
        <w:t>Gambar 12. SHAP Dependence Plot - capacity_gb</w:t>
      </w:r>
    </w:p>
    <w:p>
      <w:pPr>
        <w:spacing w:after="120"/>
      </w:pPr>
      <w:r>
        <w:rPr>
          <w:rFonts w:ascii="Times New Roman" w:hAnsi="Times New Roman"/>
          <w:b w:val="0"/>
          <w:sz w:val="24"/>
        </w:rPr>
        <w:t>Dependence plot mengonfirmasi hubungan non-linear antara capacity_gb dan harga. Kenaikan SHAP value untuk kapasitas di atas 256GB jauh lebih tajam dibandingkan kenaikan dari 8GB ke 16GB, menunjukkan pola eksponensial pada penetapan harga RAM berkapasitas besar.</w:t>
      </w:r>
    </w:p>
    <w:p>
      <w:pPr>
        <w:spacing w:after="120"/>
      </w:pPr>
      <w:r>
        <w:rPr>
          <w:rFonts w:ascii="Times New Roman" w:hAnsi="Times New Roman"/>
          <w:b/>
          <w:sz w:val="24"/>
        </w:rPr>
        <w:t>7.2.3 Permutation Feature Importance</w:t>
      </w:r>
    </w:p>
    <w:p>
      <w:pPr>
        <w:jc w:val="center"/>
      </w:pPr>
      <w:r>
        <w:drawing>
          <wp:inline xmlns:a="http://schemas.openxmlformats.org/drawingml/2006/main" xmlns:pic="http://schemas.openxmlformats.org/drawingml/2006/picture">
            <wp:extent cx="5029200" cy="3000231"/>
            <wp:docPr id="13" name="Picture 13"/>
            <wp:cNvGraphicFramePr>
              <a:graphicFrameLocks noChangeAspect="1"/>
            </wp:cNvGraphicFramePr>
            <a:graphic>
              <a:graphicData uri="http://schemas.openxmlformats.org/drawingml/2006/picture">
                <pic:pic>
                  <pic:nvPicPr>
                    <pic:cNvPr id="0" name="img_cell29_out0.png"/>
                    <pic:cNvPicPr/>
                  </pic:nvPicPr>
                  <pic:blipFill>
                    <a:blip r:embed="rId21"/>
                    <a:stretch>
                      <a:fillRect/>
                    </a:stretch>
                  </pic:blipFill>
                  <pic:spPr>
                    <a:xfrm>
                      <a:off x="0" y="0"/>
                      <a:ext cx="5029200" cy="3000231"/>
                    </a:xfrm>
                    <a:prstGeom prst="rect"/>
                  </pic:spPr>
                </pic:pic>
              </a:graphicData>
            </a:graphic>
          </wp:inline>
        </w:drawing>
      </w:r>
    </w:p>
    <w:p>
      <w:pPr>
        <w:jc w:val="center"/>
      </w:pPr>
      <w:r>
        <w:rPr>
          <w:rFonts w:ascii="Times New Roman" w:hAnsi="Times New Roman"/>
          <w:i/>
          <w:sz w:val="20"/>
        </w:rPr>
        <w:t>Gambar 13. Top 15 Permutation Feature Importance - KNN</w:t>
      </w:r>
    </w:p>
    <w:tbl>
      <w:tblPr>
        <w:tblStyle w:val="LightShading-Accent1"/>
        <w:tblW w:type="auto" w:w="0"/>
        <w:jc w:val="center"/>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20"/>
              </w:rPr>
              <w:t>Peringkat</w:t>
            </w:r>
          </w:p>
        </w:tc>
        <w:tc>
          <w:tcPr>
            <w:tcW w:type="dxa" w:w="3033"/>
          </w:tcPr>
          <w:p>
            <w:pPr>
              <w:jc w:val="center"/>
            </w:pPr>
            <w:r>
              <w:rPr>
                <w:rFonts w:ascii="Times New Roman" w:hAnsi="Times New Roman"/>
                <w:b/>
                <w:sz w:val="20"/>
              </w:rPr>
              <w:t>Fitur</w:t>
            </w:r>
          </w:p>
        </w:tc>
        <w:tc>
          <w:tcPr>
            <w:tcW w:type="dxa" w:w="3033"/>
          </w:tcPr>
          <w:p>
            <w:pPr>
              <w:jc w:val="center"/>
            </w:pPr>
            <w:r>
              <w:rPr>
                <w:rFonts w:ascii="Times New Roman" w:hAnsi="Times New Roman"/>
                <w:b/>
                <w:sz w:val="20"/>
              </w:rPr>
              <w:t>Importance Score</w:t>
            </w:r>
          </w:p>
        </w:tc>
      </w:tr>
      <w:tr>
        <w:tc>
          <w:tcPr>
            <w:tcW w:type="dxa" w:w="3033"/>
          </w:tcPr>
          <w:p>
            <w:pPr>
              <w:jc w:val="center"/>
            </w:pPr>
            <w:r>
              <w:rPr>
                <w:rFonts w:ascii="Times New Roman" w:hAnsi="Times New Roman"/>
                <w:sz w:val="20"/>
              </w:rPr>
              <w:t>1</w:t>
            </w:r>
          </w:p>
        </w:tc>
        <w:tc>
          <w:tcPr>
            <w:tcW w:type="dxa" w:w="3033"/>
          </w:tcPr>
          <w:p>
            <w:pPr>
              <w:jc w:val="center"/>
            </w:pPr>
            <w:r>
              <w:rPr>
                <w:rFonts w:ascii="Times New Roman" w:hAnsi="Times New Roman"/>
                <w:sz w:val="20"/>
              </w:rPr>
              <w:t>capacity_gb</w:t>
            </w:r>
          </w:p>
        </w:tc>
        <w:tc>
          <w:tcPr>
            <w:tcW w:type="dxa" w:w="3033"/>
          </w:tcPr>
          <w:p>
            <w:pPr>
              <w:jc w:val="center"/>
            </w:pPr>
            <w:r>
              <w:rPr>
                <w:rFonts w:ascii="Times New Roman" w:hAnsi="Times New Roman"/>
                <w:sz w:val="20"/>
              </w:rPr>
              <w:t>0,2769</w:t>
            </w:r>
          </w:p>
        </w:tc>
      </w:tr>
      <w:tr>
        <w:tc>
          <w:tcPr>
            <w:tcW w:type="dxa" w:w="3033"/>
          </w:tcPr>
          <w:p>
            <w:pPr>
              <w:jc w:val="center"/>
            </w:pPr>
            <w:r>
              <w:rPr>
                <w:rFonts w:ascii="Times New Roman" w:hAnsi="Times New Roman"/>
                <w:sz w:val="20"/>
              </w:rPr>
              <w:t>2</w:t>
            </w:r>
          </w:p>
        </w:tc>
        <w:tc>
          <w:tcPr>
            <w:tcW w:type="dxa" w:w="3033"/>
          </w:tcPr>
          <w:p>
            <w:pPr>
              <w:jc w:val="center"/>
            </w:pPr>
            <w:r>
              <w:rPr>
                <w:rFonts w:ascii="Times New Roman" w:hAnsi="Times New Roman"/>
                <w:sz w:val="20"/>
              </w:rPr>
              <w:t>capacity_per_module</w:t>
            </w:r>
          </w:p>
        </w:tc>
        <w:tc>
          <w:tcPr>
            <w:tcW w:type="dxa" w:w="3033"/>
          </w:tcPr>
          <w:p>
            <w:pPr>
              <w:jc w:val="center"/>
            </w:pPr>
            <w:r>
              <w:rPr>
                <w:rFonts w:ascii="Times New Roman" w:hAnsi="Times New Roman"/>
                <w:sz w:val="20"/>
              </w:rPr>
              <w:t>0,1200</w:t>
            </w:r>
          </w:p>
        </w:tc>
      </w:tr>
      <w:tr>
        <w:tc>
          <w:tcPr>
            <w:tcW w:type="dxa" w:w="3033"/>
          </w:tcPr>
          <w:p>
            <w:pPr>
              <w:jc w:val="center"/>
            </w:pPr>
            <w:r>
              <w:rPr>
                <w:rFonts w:ascii="Times New Roman" w:hAnsi="Times New Roman"/>
                <w:sz w:val="20"/>
              </w:rPr>
              <w:t>3</w:t>
            </w:r>
          </w:p>
        </w:tc>
        <w:tc>
          <w:tcPr>
            <w:tcW w:type="dxa" w:w="3033"/>
          </w:tcPr>
          <w:p>
            <w:pPr>
              <w:jc w:val="center"/>
            </w:pPr>
            <w:r>
              <w:rPr>
                <w:rFonts w:ascii="Times New Roman" w:hAnsi="Times New Roman"/>
                <w:sz w:val="20"/>
              </w:rPr>
              <w:t>recommended_usage</w:t>
            </w:r>
          </w:p>
        </w:tc>
        <w:tc>
          <w:tcPr>
            <w:tcW w:type="dxa" w:w="3033"/>
          </w:tcPr>
          <w:p>
            <w:pPr>
              <w:jc w:val="center"/>
            </w:pPr>
            <w:r>
              <w:rPr>
                <w:rFonts w:ascii="Times New Roman" w:hAnsi="Times New Roman"/>
                <w:sz w:val="20"/>
              </w:rPr>
              <w:t>0,0730</w:t>
            </w:r>
          </w:p>
        </w:tc>
      </w:tr>
      <w:tr>
        <w:tc>
          <w:tcPr>
            <w:tcW w:type="dxa" w:w="3033"/>
          </w:tcPr>
          <w:p>
            <w:pPr>
              <w:jc w:val="center"/>
            </w:pPr>
            <w:r>
              <w:rPr>
                <w:rFonts w:ascii="Times New Roman" w:hAnsi="Times New Roman"/>
                <w:sz w:val="20"/>
              </w:rPr>
              <w:t>4</w:t>
            </w:r>
          </w:p>
        </w:tc>
        <w:tc>
          <w:tcPr>
            <w:tcW w:type="dxa" w:w="3033"/>
          </w:tcPr>
          <w:p>
            <w:pPr>
              <w:jc w:val="center"/>
            </w:pPr>
            <w:r>
              <w:rPr>
                <w:rFonts w:ascii="Times New Roman" w:hAnsi="Times New Roman"/>
                <w:sz w:val="20"/>
              </w:rPr>
              <w:t>cas_latency</w:t>
            </w:r>
          </w:p>
        </w:tc>
        <w:tc>
          <w:tcPr>
            <w:tcW w:type="dxa" w:w="3033"/>
          </w:tcPr>
          <w:p>
            <w:pPr>
              <w:jc w:val="center"/>
            </w:pPr>
            <w:r>
              <w:rPr>
                <w:rFonts w:ascii="Times New Roman" w:hAnsi="Times New Roman"/>
                <w:sz w:val="20"/>
              </w:rPr>
              <w:t>0,0596</w:t>
            </w:r>
          </w:p>
        </w:tc>
      </w:tr>
      <w:tr>
        <w:tc>
          <w:tcPr>
            <w:tcW w:type="dxa" w:w="3033"/>
          </w:tcPr>
          <w:p>
            <w:pPr>
              <w:jc w:val="center"/>
            </w:pPr>
            <w:r>
              <w:rPr>
                <w:rFonts w:ascii="Times New Roman" w:hAnsi="Times New Roman"/>
                <w:sz w:val="20"/>
              </w:rPr>
              <w:t>5</w:t>
            </w:r>
          </w:p>
        </w:tc>
        <w:tc>
          <w:tcPr>
            <w:tcW w:type="dxa" w:w="3033"/>
          </w:tcPr>
          <w:p>
            <w:pPr>
              <w:jc w:val="center"/>
            </w:pPr>
            <w:r>
              <w:rPr>
                <w:rFonts w:ascii="Times New Roman" w:hAnsi="Times New Roman"/>
                <w:sz w:val="20"/>
              </w:rPr>
              <w:t>speed_mts</w:t>
            </w:r>
          </w:p>
        </w:tc>
        <w:tc>
          <w:tcPr>
            <w:tcW w:type="dxa" w:w="3033"/>
          </w:tcPr>
          <w:p>
            <w:pPr>
              <w:jc w:val="center"/>
            </w:pPr>
            <w:r>
              <w:rPr>
                <w:rFonts w:ascii="Times New Roman" w:hAnsi="Times New Roman"/>
                <w:sz w:val="20"/>
              </w:rPr>
              <w:t>0,0433</w:t>
            </w:r>
          </w:p>
        </w:tc>
      </w:tr>
      <w:tr>
        <w:tc>
          <w:tcPr>
            <w:tcW w:type="dxa" w:w="3033"/>
          </w:tcPr>
          <w:p>
            <w:pPr>
              <w:jc w:val="center"/>
            </w:pPr>
            <w:r>
              <w:rPr>
                <w:rFonts w:ascii="Times New Roman" w:hAnsi="Times New Roman"/>
                <w:sz w:val="20"/>
              </w:rPr>
              <w:t>6</w:t>
            </w:r>
          </w:p>
        </w:tc>
        <w:tc>
          <w:tcPr>
            <w:tcW w:type="dxa" w:w="3033"/>
          </w:tcPr>
          <w:p>
            <w:pPr>
              <w:jc w:val="center"/>
            </w:pPr>
            <w:r>
              <w:rPr>
                <w:rFonts w:ascii="Times New Roman" w:hAnsi="Times New Roman"/>
                <w:sz w:val="20"/>
              </w:rPr>
              <w:t>generation</w:t>
            </w:r>
          </w:p>
        </w:tc>
        <w:tc>
          <w:tcPr>
            <w:tcW w:type="dxa" w:w="3033"/>
          </w:tcPr>
          <w:p>
            <w:pPr>
              <w:jc w:val="center"/>
            </w:pPr>
            <w:r>
              <w:rPr>
                <w:rFonts w:ascii="Times New Roman" w:hAnsi="Times New Roman"/>
                <w:sz w:val="20"/>
              </w:rPr>
              <w:t>0,0417</w:t>
            </w:r>
          </w:p>
        </w:tc>
      </w:tr>
      <w:tr>
        <w:tc>
          <w:tcPr>
            <w:tcW w:type="dxa" w:w="3033"/>
          </w:tcPr>
          <w:p>
            <w:pPr>
              <w:jc w:val="center"/>
            </w:pPr>
            <w:r>
              <w:rPr>
                <w:rFonts w:ascii="Times New Roman" w:hAnsi="Times New Roman"/>
                <w:sz w:val="20"/>
              </w:rPr>
              <w:t>7</w:t>
            </w:r>
          </w:p>
        </w:tc>
        <w:tc>
          <w:tcPr>
            <w:tcW w:type="dxa" w:w="3033"/>
          </w:tcPr>
          <w:p>
            <w:pPr>
              <w:jc w:val="center"/>
            </w:pPr>
            <w:r>
              <w:rPr>
                <w:rFonts w:ascii="Times New Roman" w:hAnsi="Times New Roman"/>
                <w:sz w:val="20"/>
              </w:rPr>
              <w:t>market_segment</w:t>
            </w:r>
          </w:p>
        </w:tc>
        <w:tc>
          <w:tcPr>
            <w:tcW w:type="dxa" w:w="3033"/>
          </w:tcPr>
          <w:p>
            <w:pPr>
              <w:jc w:val="center"/>
            </w:pPr>
            <w:r>
              <w:rPr>
                <w:rFonts w:ascii="Times New Roman" w:hAnsi="Times New Roman"/>
                <w:sz w:val="20"/>
              </w:rPr>
              <w:t>0,0311</w:t>
            </w:r>
          </w:p>
        </w:tc>
      </w:tr>
      <w:tr>
        <w:tc>
          <w:tcPr>
            <w:tcW w:type="dxa" w:w="3033"/>
          </w:tcPr>
          <w:p>
            <w:pPr>
              <w:jc w:val="center"/>
            </w:pPr>
            <w:r>
              <w:rPr>
                <w:rFonts w:ascii="Times New Roman" w:hAnsi="Times New Roman"/>
                <w:sz w:val="20"/>
              </w:rPr>
              <w:t>8</w:t>
            </w:r>
          </w:p>
        </w:tc>
        <w:tc>
          <w:tcPr>
            <w:tcW w:type="dxa" w:w="3033"/>
          </w:tcPr>
          <w:p>
            <w:pPr>
              <w:jc w:val="center"/>
            </w:pPr>
            <w:r>
              <w:rPr>
                <w:rFonts w:ascii="Times New Roman" w:hAnsi="Times New Roman"/>
                <w:sz w:val="20"/>
              </w:rPr>
              <w:t>year</w:t>
            </w:r>
          </w:p>
        </w:tc>
        <w:tc>
          <w:tcPr>
            <w:tcW w:type="dxa" w:w="3033"/>
          </w:tcPr>
          <w:p>
            <w:pPr>
              <w:jc w:val="center"/>
            </w:pPr>
            <w:r>
              <w:rPr>
                <w:rFonts w:ascii="Times New Roman" w:hAnsi="Times New Roman"/>
                <w:sz w:val="20"/>
              </w:rPr>
              <w:t>0,0228</w:t>
            </w:r>
          </w:p>
        </w:tc>
      </w:tr>
      <w:tr>
        <w:tc>
          <w:tcPr>
            <w:tcW w:type="dxa" w:w="3033"/>
          </w:tcPr>
          <w:p>
            <w:pPr>
              <w:jc w:val="center"/>
            </w:pPr>
            <w:r>
              <w:rPr>
                <w:rFonts w:ascii="Times New Roman" w:hAnsi="Times New Roman"/>
                <w:sz w:val="20"/>
              </w:rPr>
              <w:t>9</w:t>
            </w:r>
          </w:p>
        </w:tc>
        <w:tc>
          <w:tcPr>
            <w:tcW w:type="dxa" w:w="3033"/>
          </w:tcPr>
          <w:p>
            <w:pPr>
              <w:jc w:val="center"/>
            </w:pPr>
            <w:r>
              <w:rPr>
                <w:rFonts w:ascii="Times New Roman" w:hAnsi="Times New Roman"/>
                <w:sz w:val="20"/>
              </w:rPr>
              <w:t>fab_utilization_rate</w:t>
            </w:r>
          </w:p>
        </w:tc>
        <w:tc>
          <w:tcPr>
            <w:tcW w:type="dxa" w:w="3033"/>
          </w:tcPr>
          <w:p>
            <w:pPr>
              <w:jc w:val="center"/>
            </w:pPr>
            <w:r>
              <w:rPr>
                <w:rFonts w:ascii="Times New Roman" w:hAnsi="Times New Roman"/>
                <w:sz w:val="20"/>
              </w:rPr>
              <w:t>0,0159</w:t>
            </w:r>
          </w:p>
        </w:tc>
      </w:tr>
      <w:tr>
        <w:tc>
          <w:tcPr>
            <w:tcW w:type="dxa" w:w="3033"/>
          </w:tcPr>
          <w:p>
            <w:pPr>
              <w:jc w:val="center"/>
            </w:pPr>
            <w:r>
              <w:rPr>
                <w:rFonts w:ascii="Times New Roman" w:hAnsi="Times New Roman"/>
                <w:sz w:val="20"/>
              </w:rPr>
              <w:t>10</w:t>
            </w:r>
          </w:p>
        </w:tc>
        <w:tc>
          <w:tcPr>
            <w:tcW w:type="dxa" w:w="3033"/>
          </w:tcPr>
          <w:p>
            <w:pPr>
              <w:jc w:val="center"/>
            </w:pPr>
            <w:r>
              <w:rPr>
                <w:rFonts w:ascii="Times New Roman" w:hAnsi="Times New Roman"/>
                <w:sz w:val="20"/>
              </w:rPr>
              <w:t>gpu_hbm_trend_gb</w:t>
            </w:r>
          </w:p>
        </w:tc>
        <w:tc>
          <w:tcPr>
            <w:tcW w:type="dxa" w:w="3033"/>
          </w:tcPr>
          <w:p>
            <w:pPr>
              <w:jc w:val="center"/>
            </w:pPr>
            <w:r>
              <w:rPr>
                <w:rFonts w:ascii="Times New Roman" w:hAnsi="Times New Roman"/>
                <w:sz w:val="20"/>
              </w:rPr>
              <w:t>0,0159</w:t>
            </w:r>
          </w:p>
        </w:tc>
      </w:tr>
    </w:tbl>
    <w:p/>
    <w:p>
      <w:pPr>
        <w:spacing w:after="120"/>
      </w:pPr>
      <w:r>
        <w:rPr>
          <w:rFonts w:ascii="Times New Roman" w:hAnsi="Times New Roman"/>
          <w:b/>
          <w:sz w:val="24"/>
        </w:rPr>
        <w:t>7.2.4 SHAP Waterfall Plot (Local Explanation)</w:t>
      </w:r>
    </w:p>
    <w:p>
      <w:pPr>
        <w:jc w:val="center"/>
      </w:pPr>
      <w:r>
        <w:drawing>
          <wp:inline xmlns:a="http://schemas.openxmlformats.org/drawingml/2006/main" xmlns:pic="http://schemas.openxmlformats.org/drawingml/2006/picture">
            <wp:extent cx="5029200" cy="4033444"/>
            <wp:docPr id="14" name="Picture 14"/>
            <wp:cNvGraphicFramePr>
              <a:graphicFrameLocks noChangeAspect="1"/>
            </wp:cNvGraphicFramePr>
            <a:graphic>
              <a:graphicData uri="http://schemas.openxmlformats.org/drawingml/2006/picture">
                <pic:pic>
                  <pic:nvPicPr>
                    <pic:cNvPr id="0" name="img_cell45_out0.png"/>
                    <pic:cNvPicPr/>
                  </pic:nvPicPr>
                  <pic:blipFill>
                    <a:blip r:embed="rId22"/>
                    <a:stretch>
                      <a:fillRect/>
                    </a:stretch>
                  </pic:blipFill>
                  <pic:spPr>
                    <a:xfrm>
                      <a:off x="0" y="0"/>
                      <a:ext cx="5029200" cy="4033444"/>
                    </a:xfrm>
                    <a:prstGeom prst="rect"/>
                  </pic:spPr>
                </pic:pic>
              </a:graphicData>
            </a:graphic>
          </wp:inline>
        </w:drawing>
      </w:r>
    </w:p>
    <w:p>
      <w:pPr>
        <w:jc w:val="center"/>
      </w:pPr>
      <w:r>
        <w:rPr>
          <w:rFonts w:ascii="Times New Roman" w:hAnsi="Times New Roman"/>
          <w:i/>
          <w:sz w:val="20"/>
        </w:rPr>
        <w:t>Gambar 14. SHAP Waterfall Plot - Bedah prediksi sampel ke-1</w:t>
      </w:r>
    </w:p>
    <w:p>
      <w:pPr>
        <w:spacing w:after="120"/>
      </w:pPr>
      <w:r>
        <w:rPr>
          <w:rFonts w:ascii="Times New Roman" w:hAnsi="Times New Roman"/>
          <w:b w:val="0"/>
          <w:sz w:val="24"/>
        </w:rPr>
        <w:t>Waterfall plot menunjukkan dekomposisi prediksi untuk satu sampel spesifik. Balok merah menunjukkan fitur yang menaikkan harga dari baseline, sedangkan balok biru menunjukkan fitur yang menurunkan harga. Visualisasi ini memungkinkan penjelasan transparan kepada stakeholder mengenai alasan di balik setiap prediksi harga.</w:t>
      </w:r>
    </w:p>
    <w:p>
      <w:pPr>
        <w:spacing w:after="120"/>
      </w:pPr>
      <w:r>
        <w:rPr>
          <w:rFonts w:ascii="Times New Roman" w:hAnsi="Times New Roman"/>
          <w:b/>
          <w:sz w:val="24"/>
        </w:rPr>
        <w:t>7.3 Potensi Implementasi di Dunia Nyata</w:t>
      </w:r>
    </w:p>
    <w:p>
      <w:pPr>
        <w:spacing w:after="120"/>
      </w:pPr>
      <w:r>
        <w:rPr>
          <w:rFonts w:ascii="Times New Roman" w:hAnsi="Times New Roman"/>
          <w:b w:val="0"/>
          <w:sz w:val="24"/>
        </w:rPr>
        <w:t>Model terbaik (SVR Tuned atau KNN Tuned) dapat diintegrasikan sebagai REST API menggunakan framework Flask atau FastAPI. Model dan scaler harus disimpan menggunakan joblib untuk menjamin konsistensi preprocessing antara environment training dan production. Input berupa spesifikasi RAM dalam format JSON, dan output berupa estimasi harga dalam USD.</w:t>
      </w:r>
    </w:p>
    <w:p>
      <w:r>
        <w:br w:type="page"/>
      </w:r>
    </w:p>
    <w:p>
      <w:pPr>
        <w:pStyle w:val="Heading1"/>
      </w:pPr>
      <w:r>
        <w:rPr>
          <w:rFonts w:ascii="Times New Roman" w:hAnsi="Times New Roman"/>
          <w:color w:val="000000"/>
        </w:rPr>
        <w:t>8. Kesimpulan</w:t>
      </w:r>
    </w:p>
    <w:p>
      <w:pPr>
        <w:spacing w:after="120"/>
      </w:pPr>
      <w:r>
        <w:rPr>
          <w:rFonts w:ascii="Times New Roman" w:hAnsi="Times New Roman"/>
          <w:b/>
          <w:sz w:val="24"/>
        </w:rPr>
        <w:t>8.1 Ringkasan Temuan Utama</w:t>
      </w:r>
    </w:p>
    <w:p>
      <w:pPr>
        <w:spacing w:after="120"/>
      </w:pPr>
      <w:r>
        <w:rPr>
          <w:rFonts w:ascii="Times New Roman" w:hAnsi="Times New Roman"/>
          <w:b w:val="0"/>
          <w:sz w:val="24"/>
        </w:rPr>
        <w:t>Penelitian ini berhasil membangun pipeline prediksi harga RAM menggunakan alur CRISP-DM dengan membandingkan tiga algoritma regresi. Temuan utama adalah sebagai berikut:</w:t>
      </w:r>
    </w:p>
    <w:p>
      <w:pPr>
        <w:spacing w:after="120"/>
      </w:pPr>
      <w:r>
        <w:rPr>
          <w:rFonts w:ascii="Times New Roman" w:hAnsi="Times New Roman"/>
          <w:b w:val="0"/>
          <w:sz w:val="24"/>
        </w:rPr>
        <w:t>a) SVR (Tuned) memberikan performa terbaik dengan R-squared 0,9929 dan MAE 198,67 USD. Kombinasi log-transform target dan kernel RBF dengan hyperparameter optimal mampu menangkap hubungan non-linear kompleks dalam data harga RAM.</w:t>
      </w:r>
    </w:p>
    <w:p>
      <w:pPr>
        <w:spacing w:after="120"/>
      </w:pPr>
      <w:r>
        <w:rPr>
          <w:rFonts w:ascii="Times New Roman" w:hAnsi="Times New Roman"/>
          <w:b w:val="0"/>
          <w:sz w:val="24"/>
        </w:rPr>
        <w:t>b) Linear Regression (Tuned) menempati posisi kedua dengan R-squared 0,9719. Teknik PolynomialFeatures dan log-transform berhasil mengatasi keterbatasan model linear dalam menangkap non-linearitas data.</w:t>
      </w:r>
    </w:p>
    <w:p>
      <w:pPr>
        <w:spacing w:after="120"/>
      </w:pPr>
      <w:r>
        <w:rPr>
          <w:rFonts w:ascii="Times New Roman" w:hAnsi="Times New Roman"/>
          <w:b w:val="0"/>
          <w:sz w:val="24"/>
        </w:rPr>
        <w:t>c) KNN (Tuned) mencapai R-squared 0,9025 dengan pendekatan instance-based learning. Meskipun performanya lebih rendah, KNN unggul dalam kecepatan training dan kemudahan implementasi.</w:t>
      </w:r>
    </w:p>
    <w:p>
      <w:pPr>
        <w:spacing w:after="120"/>
      </w:pPr>
      <w:r>
        <w:rPr>
          <w:rFonts w:ascii="Times New Roman" w:hAnsi="Times New Roman"/>
          <w:b w:val="0"/>
          <w:sz w:val="24"/>
        </w:rPr>
        <w:t>d) Hyperparameter tuning terbukti kritis: SVR default memiliki R-squared negatif, namun setelah tuning menjadi model terbaik. Peningkatan R-squared LR dari 0,6720 menjadi 0,9719 juga menunjukkan dampak signifikan dari teknik boosting.</w:t>
      </w:r>
    </w:p>
    <w:p>
      <w:pPr>
        <w:spacing w:after="120"/>
      </w:pPr>
      <w:r>
        <w:rPr>
          <w:rFonts w:ascii="Times New Roman" w:hAnsi="Times New Roman"/>
          <w:b w:val="0"/>
          <w:sz w:val="24"/>
        </w:rPr>
        <w:t>e) Analisis SHAP mengungkapkan bahwa capacity_gb (importance 0,2769) dan capacity_per_module (0,1200) merupakan faktor penentu harga yang paling dominan.</w:t>
      </w:r>
    </w:p>
    <w:p>
      <w:pPr>
        <w:spacing w:after="120"/>
      </w:pPr>
      <w:r>
        <w:rPr>
          <w:rFonts w:ascii="Times New Roman" w:hAnsi="Times New Roman"/>
          <w:b/>
          <w:sz w:val="24"/>
        </w:rPr>
        <w:t>8.2 Rekomendasi Model</w:t>
      </w:r>
    </w:p>
    <w:p>
      <w:pPr>
        <w:spacing w:after="120"/>
      </w:pPr>
      <w:r>
        <w:rPr>
          <w:rFonts w:ascii="Times New Roman" w:hAnsi="Times New Roman"/>
          <w:b w:val="0"/>
          <w:sz w:val="24"/>
        </w:rPr>
        <w:t>Untuk keperluan produksi, disarankan menggunakan SVR (Tuned) sebagai model utama karena memiliki akurasi tertinggi dan generalisasi yang baik (selisih R-squared training-testing hanya 0,0053). Linear Regression (Tuned) dapat digunakan sebagai alternatif jika kecepatan prediksi menjadi prioritas utama.</w:t>
      </w:r>
    </w:p>
    <w:p>
      <w:pPr>
        <w:spacing w:after="120"/>
      </w:pPr>
      <w:r>
        <w:rPr>
          <w:rFonts w:ascii="Times New Roman" w:hAnsi="Times New Roman"/>
          <w:b/>
          <w:sz w:val="24"/>
        </w:rPr>
        <w:t>8.3 Saran untuk Eksperimen Lanjutan</w:t>
      </w:r>
    </w:p>
    <w:p>
      <w:pPr>
        <w:spacing w:after="120"/>
      </w:pPr>
      <w:r>
        <w:rPr>
          <w:rFonts w:ascii="Times New Roman" w:hAnsi="Times New Roman"/>
          <w:b w:val="0"/>
          <w:sz w:val="24"/>
        </w:rPr>
        <w:t>a) Validasi model menggunakan data pasar RAM yang sesungguhnya, bukan dataset sintetis.</w:t>
      </w:r>
    </w:p>
    <w:p>
      <w:pPr>
        <w:spacing w:after="120"/>
      </w:pPr>
      <w:r>
        <w:rPr>
          <w:rFonts w:ascii="Times New Roman" w:hAnsi="Times New Roman"/>
          <w:b w:val="0"/>
          <w:sz w:val="24"/>
        </w:rPr>
        <w:t>b) Implementasi mekanisme retraining berkala untuk mengatasi temporal drift pada harga RAM.</w:t>
      </w:r>
    </w:p>
    <w:p>
      <w:pPr>
        <w:spacing w:after="120"/>
      </w:pPr>
      <w:r>
        <w:rPr>
          <w:rFonts w:ascii="Times New Roman" w:hAnsi="Times New Roman"/>
          <w:b w:val="0"/>
          <w:sz w:val="24"/>
        </w:rPr>
        <w:t>c) Eksplorasi algoritma ensemble seperti Random Forest, LightGBM, atau CatBoost yang memiliki interpretabilitas bawaan melalui feature importance.</w:t>
      </w:r>
    </w:p>
    <w:p>
      <w:pPr>
        <w:spacing w:after="120"/>
      </w:pPr>
      <w:r>
        <w:rPr>
          <w:rFonts w:ascii="Times New Roman" w:hAnsi="Times New Roman"/>
          <w:b w:val="0"/>
          <w:sz w:val="24"/>
        </w:rPr>
        <w:t>d) Integrasi fitur eksternal seperti indeks DRAM spot price atau sentimen berita industri untuk meningkatkan akurasi prediksi.</w:t>
      </w:r>
    </w:p>
    <w:p>
      <w:pPr>
        <w:spacing w:after="120"/>
      </w:pPr>
      <w:r>
        <w:rPr>
          <w:rFonts w:ascii="Times New Roman" w:hAnsi="Times New Roman"/>
          <w:b w:val="0"/>
          <w:sz w:val="24"/>
        </w:rPr>
        <w:t>e) Penggunaan teknik cross-validation yang lebih ketat seperti TimeSeriesSplit untuk menghormati aspek temporal dari data harga.</w:t>
      </w:r>
    </w:p>
    <w:p>
      <w:r>
        <w:br w:type="page"/>
      </w:r>
    </w:p>
    <w:p>
      <w:pPr>
        <w:pStyle w:val="Heading1"/>
      </w:pPr>
      <w:r>
        <w:rPr>
          <w:rFonts w:ascii="Times New Roman" w:hAnsi="Times New Roman"/>
          <w:color w:val="000000"/>
        </w:rPr>
        <w:t>Daftar Pustaka</w:t>
      </w:r>
    </w:p>
    <w:p>
      <w:pPr>
        <w:spacing w:after="120"/>
      </w:pPr>
      <w:r>
        <w:rPr>
          <w:rFonts w:ascii="Times New Roman" w:hAnsi="Times New Roman"/>
          <w:b w:val="0"/>
          <w:sz w:val="24"/>
        </w:rPr>
        <w:t>[1] Lundberg, S.M. &amp; Lee, S.I. (2017). A Unified Approach to Interpreting Model Predictions. NeurIPS.</w:t>
      </w:r>
    </w:p>
    <w:p>
      <w:pPr>
        <w:spacing w:after="120"/>
      </w:pPr>
      <w:r>
        <w:rPr>
          <w:rFonts w:ascii="Times New Roman" w:hAnsi="Times New Roman"/>
          <w:b w:val="0"/>
          <w:sz w:val="24"/>
        </w:rPr>
        <w:t>[2] Pedregosa, F. et al. (2011). Scikit-learn: Machine Learning in Python. JMLR 12, pp. 2825-2830.</w:t>
      </w:r>
    </w:p>
    <w:p>
      <w:pPr>
        <w:spacing w:after="120"/>
      </w:pPr>
      <w:r>
        <w:rPr>
          <w:rFonts w:ascii="Times New Roman" w:hAnsi="Times New Roman"/>
          <w:b w:val="0"/>
          <w:sz w:val="24"/>
        </w:rPr>
        <w:t>[3] Chapman, P. et al. (2000). CRISP-DM 1.0: Step-by-step Data Mining Guide. SPSS Inc.</w:t>
      </w:r>
    </w:p>
    <w:p>
      <w:pPr>
        <w:spacing w:after="120"/>
      </w:pPr>
      <w:r>
        <w:rPr>
          <w:rFonts w:ascii="Times New Roman" w:hAnsi="Times New Roman"/>
          <w:b w:val="0"/>
          <w:sz w:val="24"/>
        </w:rPr>
        <w:t>[4] Dataset: Ultimate Memory Crisis Hardware Market Dynamics. Kaggle. https://www.kaggle.com/</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