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64748B"/>
          <w:sz w:val="24"/>
          <w:szCs w:val="24"/>
        </w:rPr>
        <w:t xml:space="preserve">SERVIÇO DE OBRAS SOCIAIS</w:t>
      </w:r>
    </w:p>
    <w:p>
      <w:pPr>
        <w:spacing w:after="0" w:before="480"/>
        <w:jc w:val="center"/>
      </w:pPr>
      <w:r>
        <w:rPr>
          <w:b/>
          <w:bCs/>
          <w:color w:val="1A3A4A"/>
          <w:sz w:val="72"/>
          <w:szCs w:val="72"/>
        </w:rPr>
        <w:t xml:space="preserve">SIGU</w:t>
      </w:r>
    </w:p>
    <w:p>
      <w:pPr>
        <w:spacing w:after="0" w:before="120"/>
        <w:jc w:val="center"/>
      </w:pPr>
      <w:r>
        <w:rPr>
          <w:color w:val="3E4095"/>
          <w:sz w:val="28"/>
          <w:szCs w:val="28"/>
        </w:rPr>
        <w:t xml:space="preserve">Sistema Integrado de Gerenciamento de Usuários</w:t>
      </w:r>
    </w:p>
    <w:p>
      <w:pPr>
        <w:spacing w:after="0" w:before="900"/>
        <w:jc w:val="center"/>
      </w:pPr>
      <w:r>
        <w:rPr>
          <w:b/>
          <w:bCs/>
          <w:color w:val="1A3A4A"/>
          <w:sz w:val="26"/>
          <w:szCs w:val="26"/>
        </w:rPr>
        <w:t xml:space="preserve">DOCUMENTO DE ARQUITETURA E DESIGN</w:t>
      </w:r>
    </w:p>
    <w:p>
      <w:pPr>
        <w:spacing w:after="0" w:before="120"/>
        <w:jc w:val="center"/>
      </w:pPr>
      <w:r>
        <w:rPr>
          <w:i/>
          <w:iCs/>
          <w:color w:val="64748B"/>
          <w:sz w:val="22"/>
          <w:szCs w:val="22"/>
        </w:rPr>
        <w:t xml:space="preserve">Software Architecture and Design Document</w:t>
      </w:r>
    </w:p>
    <w:p>
      <w:pPr>
        <w:spacing w:after="0" w:before="1800"/>
        <w:jc w:val="center"/>
      </w:pPr>
      <w:r>
        <w:rPr>
          <w:color w:val="64748B"/>
          <w:sz w:val="22"/>
          <w:szCs w:val="22"/>
        </w:rPr>
        <w:t xml:space="preserve">Versão 1.0</w:t>
      </w:r>
    </w:p>
    <w:p>
      <w:pPr>
        <w:spacing w:before="80"/>
        <w:jc w:val="center"/>
      </w:pPr>
      <w:r>
        <w:rPr>
          <w:color w:val="64748B"/>
          <w:sz w:val="22"/>
          <w:szCs w:val="22"/>
        </w:rPr>
        <w:t xml:space="preserve">02 de agosto de 2026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4A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4A"/>
          <w:sz w:val="30"/>
          <w:szCs w:val="30"/>
        </w:rPr>
        <w:t xml:space="preserve">1. Introdução</w:t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1.1. Propósito</w:t>
      </w:r>
    </w:p>
    <w:p>
      <w:pPr>
        <w:spacing w:after="120" w:line="276"/>
      </w:pPr>
      <w:r>
        <w:rPr>
          <w:sz w:val="21"/>
          <w:szCs w:val="21"/>
        </w:rPr>
        <w:t xml:space="preserve">Este documento descreve a arquitetura e as decisões de projeto do SIGU — Sistema Integrado de Gerenciamento de Usuários, desenvolvido para o Serviço de Obras Sociais (SOS). Apresenta a organização do sistema em camadas e componentes, a sua distribuição física nos provedores de hospedagem, o modelo de dados e a justificativa das principais escolhas técnicas.</w:t>
      </w:r>
    </w:p>
    <w:p>
      <w:pPr>
        <w:spacing w:after="120" w:line="276"/>
      </w:pPr>
      <w:r>
        <w:rPr>
          <w:sz w:val="21"/>
          <w:szCs w:val="21"/>
        </w:rPr>
        <w:t xml:space="preserve">Destina-se à equipe de desenvolvimento e manutenção, a quem venha a assumir a evolução do sistema e à coordenação do SOS, no que se refere às consequências operacionais das decisões adotadas. Enquanto o Documento de Especificação de Requisitos responde o que o sistema faz, este documento responde como ele foi construído e por quê.</w:t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1.2. Escopo</w:t>
      </w:r>
    </w:p>
    <w:p>
      <w:pPr>
        <w:spacing w:after="120" w:line="276"/>
      </w:pPr>
      <w:r>
        <w:rPr>
          <w:sz w:val="21"/>
          <w:szCs w:val="21"/>
        </w:rPr>
        <w:t xml:space="preserve">O documento cobre a totalidade do sistema em operação: a aplicação web executada no navegador, o servidor de aplicação que expõe a API e o banco de dados relacional. Estão descritos os componentes de cada camada, os contratos entre elas, a estrutura de dados e o processo de publicação.</w:t>
      </w:r>
    </w:p>
    <w:p>
      <w:pPr>
        <w:spacing w:after="120" w:line="276"/>
      </w:pPr>
      <w:r>
        <w:rPr>
          <w:sz w:val="21"/>
          <w:szCs w:val="21"/>
        </w:rPr>
        <w:t xml:space="preserve">Não fazem parte do escopo os procedimentos operacionais de uso do sistema, objeto do manual do usuário, nem o planejamento de entregas, objeto do backlog do produto.</w:t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1.3. Documentos relacionados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Documento</w:t>
            </w:r>
          </w:p>
        </w:tc>
        <w:tc>
          <w:tcPr>
            <w:tcW w:type="dxa" w:w="58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Relação com este documento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SIGU — Documento de Especificação de Requisitos de Software (SRS), versão 1.0</w:t>
            </w:r>
          </w:p>
        </w:tc>
        <w:tc>
          <w:tcPr>
            <w:tcW w:type="dxa" w:w="5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Define os requisitos funcionais (RF) e não funcionais (RNF) referenciados ao longo deste documento. A seção 8 relaciona requisitos e componentes.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Backlog do Produto — SOS, versão 4.0, de 15 de junho de 2026</w:t>
            </w:r>
          </w:p>
        </w:tc>
        <w:tc>
          <w:tcPr>
            <w:tcW w:type="dxa" w:w="5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 as necessidades levantadas junto à instituição, cuja rastreabilidade consta do documento de requisitos.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Código-fonte do repositório sos-core-system</w:t>
            </w:r>
          </w:p>
        </w:tc>
        <w:tc>
          <w:tcPr>
            <w:tcW w:type="dxa" w:w="5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Fonte de todas as informações técnicas apresentadas. Em caso de divergência, prevalece o código.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1.4. Convenções adotadas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As decisões de projeto são identificadas pelo prefixo DEC seguido de numeração sequencial, e apresentadas em fichas com contexto, alternativas, decisão, justificativa e consequências.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As referências a requisitos utilizam os identificadores RF e RNF do documento de especificação de requisitos.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Nomes de arquivos, tabelas, colunas e caminhos da API são apresentados exatamente como constam do código-fonte, em inglês; o texto explicativo permanece em português.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 termo unidade designa o centro de convivência do SOS e corresponde, no banco de dados, à entidade programs.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4A"/>
          <w:sz w:val="30"/>
          <w:szCs w:val="30"/>
        </w:rPr>
        <w:t xml:space="preserve">2. Visão geral da arquitetura</w:t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2.1. Estilo arquitetural</w:t>
      </w:r>
    </w:p>
    <w:p>
      <w:pPr>
        <w:spacing w:after="120" w:line="276"/>
      </w:pPr>
      <w:r>
        <w:rPr>
          <w:sz w:val="21"/>
          <w:szCs w:val="21"/>
        </w:rPr>
        <w:t xml:space="preserve">O SIGU adota arquitetura cliente-servidor organizada em três camadas fisicamente separadas. A camada de apresentação é uma aplicação de página única executada no navegador; a camada de aplicação é um servidor Node.js que expõe uma API HTTP; a camada de dados é um banco PostgreSQL gerenciado. Cada camada comunica-se apenas com a camada imediatamente seguinte: o navegador nunca acessa o banco, e o banco nunca inicia comunicação com a aplicação.</w:t>
      </w:r>
    </w:p>
    <w:p>
      <w:pPr>
        <w:spacing w:after="120" w:line="276"/>
      </w:pPr>
      <w:r>
        <w:rPr>
          <w:sz w:val="21"/>
          <w:szCs w:val="21"/>
        </w:rPr>
        <w:t xml:space="preserve">As duas fronteiras entre camadas são explícitas e verificáveis. Entre navegador e servidor trafega JSON sobre HTTPS, com autenticação por token assinado enviado no cabeçalho de autorização. Entre servidor e banco, a comunicação usa credencial de serviço mantida exclusivamente no ambiente do servidor. Essa separação é o que permite afirmar que toda regra de acesso é aplicada em um ponto único e não pode ser contornada pelo cliente.</w:t>
      </w:r>
    </w:p>
    <w:p>
      <w:pPr>
        <w:spacing w:after="120" w:line="276"/>
      </w:pPr>
      <w:r>
        <w:rPr>
          <w:sz w:val="21"/>
          <w:szCs w:val="21"/>
        </w:rPr>
        <w:t xml:space="preserve">A escolha do estilo, com as alternativas consideradas, está registrada na decisão DEC-01.</w:t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2.2. Princípios arquiteturais</w:t>
      </w:r>
    </w:p>
    <w:p>
      <w:pPr>
        <w:spacing w:after="120" w:line="276"/>
      </w:pPr>
      <w:r>
        <w:rPr>
          <w:sz w:val="21"/>
          <w:szCs w:val="21"/>
        </w:rPr>
        <w:t xml:space="preserve">Os princípios a seguir orientaram a construção do sistema e explicam a maior parte das decisões registradas na seção 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Autoridade no servidor: toda decisão de acesso — perfil, unidade e propriedade do dado — é verificada no servidor a cada requisição. A interface esconde o que o usuário não pode usar, mas essa ocultação é conveniência, nunca controle.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Isolamento por unidade: a unidade é dimensão obrigatória de leitura e de gravação. O identificador da unidade ativa e a relação de unidades permitidas viajam dentro do token de autenticação e são resolvidos no servidor, não aceitos livremente do cliente.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Separação por responsabilidade: rotas declaram o contrato e as permissões, controladores concentram a regra de negócio, modelos concentram o acesso a dados. Nenhuma consulta ao banco é escrita fora dos modelos.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Preservação do histórico: registros que sustentam o histórico socioassistencial são desativados, não apagados. A exclusão física existe, é excepcional e restrita ao perfil Administrador.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Operações repetíveis: o lançamento de presença e os scripts de migração podem ser executados mais de uma vez sobre o mesmo estado sem duplicar ou corromper dados.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Simplicidade deliberada: dado o porte da instituição — três unidades e algumas dezenas de operadores —, prefere-se a solução direta e legível à solução genérica. Camadas e abstrações só entram quando há problema concreto a resolver.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Falha antecipada: a ausência de configuração essencial interrompe a inicialização do servidor, em vez de produzir erro no primeiro uso.</w:t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2.3. Camadas e responsabilidades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500"/>
        <w:gridCol w:w="4600"/>
        <w:gridCol w:w="3538"/>
      </w:tblGrid>
      <w:tr>
        <w:trPr>
          <w:tblHeader/>
        </w:trPr>
        <w:tc>
          <w:tcPr>
            <w:tcW w:type="dxa" w:w="15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Camada</w:t>
            </w:r>
          </w:p>
        </w:tc>
        <w:tc>
          <w:tcPr>
            <w:tcW w:type="dxa" w:w="46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35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Tecnologias</w:t>
            </w:r>
          </w:p>
        </w:tc>
      </w:tr>
      <w:t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Apresentação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Renderizar as telas, validar entradas de forma preliminar, manter o estado de sessão e gerar as exportações em PDF e XLSX no próprio navegador.</w:t>
            </w:r>
          </w:p>
        </w:tc>
        <w:tc>
          <w:tcPr>
            <w:tcW w:type="dxa" w:w="3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18, React Router 6, Tailwind CSS 4, Recharts, jsPDF, html2canvas-pro, SheetJS, Vite 5</w:t>
            </w:r>
          </w:p>
        </w:tc>
      </w:tr>
      <w:t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 a API HTTP, autenticar e autorizar, aplicar as regras de negócio, resolver o escopo de unidade e registrar a trilha de auditoria.</w:t>
            </w:r>
          </w:p>
        </w:tc>
        <w:tc>
          <w:tcPr>
            <w:tcW w:type="dxa" w:w="3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Node.js, Express 5, jsonwebtoken, bcrypt, helmet, cors, morgan, express-rate-limit</w:t>
            </w:r>
          </w:p>
        </w:tc>
      </w:tr>
      <w:t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Dados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Persistir os dados, garantir chaves, unicidade e integridade referencial e manter os carimbos de atualização por gatilho.</w:t>
            </w:r>
          </w:p>
        </w:tc>
        <w:tc>
          <w:tcPr>
            <w:tcW w:type="dxa" w:w="3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gerenciado pela plataforma Supabase, acessado pela biblioteca @supabase/supabase-js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2.4. Padrões de design utilizados</w:t>
      </w:r>
    </w:p>
    <w:p>
      <w:pPr>
        <w:spacing w:after="120" w:line="276"/>
      </w:pPr>
      <w:r>
        <w:rPr>
          <w:sz w:val="21"/>
          <w:szCs w:val="21"/>
        </w:rPr>
        <w:t xml:space="preserve">Os padrões abaixo estão efetivamente aplicados no código. A relação não é exaustiva do repertório disponível, e sim descritiva do que foi adotado.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Padrão</w:t>
            </w:r>
          </w:p>
        </w:tc>
        <w:tc>
          <w:tcPr>
            <w:tcW w:type="dxa" w:w="67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Aplicação no sistema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Camadas (Layered Architecture)</w:t>
            </w:r>
          </w:p>
        </w:tc>
        <w:tc>
          <w:tcPr>
            <w:tcW w:type="dxa" w:w="6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servidor separa rotas, middlewares, controladores, modelos e utilitários; a dependência flui sempre em uma direção, de rota para modelo.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Model-View-Controller (variante web)</w:t>
            </w:r>
          </w:p>
        </w:tc>
        <w:tc>
          <w:tcPr>
            <w:tcW w:type="dxa" w:w="6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Controladores em server/src/controllers tratam a requisição e aplicam a regra; modelos em server/src/models encapsulam o acesso ao banco; a visão é a aplicação React, separada fisicamente.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Cadeia de responsabilidade (middleware)</w:t>
            </w:r>
          </w:p>
        </w:tc>
        <w:tc>
          <w:tcPr>
            <w:tcW w:type="dxa" w:w="6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 requisição atravessa a sequência helmet → cors → morgan → parser JSON → limitador de requisições → autenticação → autorização → controlador → tratador de erros.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 Controller</w:t>
            </w:r>
          </w:p>
        </w:tc>
        <w:tc>
          <w:tcPr>
            <w:tcW w:type="dxa" w:w="6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Um único roteador raiz (server/src/routes/index.js) agrega os roteadores de módulo sob o prefixo /api.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Mapper simplificado</w:t>
            </w:r>
          </w:p>
        </w:tc>
        <w:tc>
          <w:tcPr>
            <w:tcW w:type="dxa" w:w="6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Os modelos convertem entre o formato da API e o formato das tabelas, incluindo a normalização de listas e a projeção fixa de colunas.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Interceptor</w:t>
            </w:r>
          </w:p>
        </w:tc>
        <w:tc>
          <w:tcPr>
            <w:tcW w:type="dxa" w:w="6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camada Axios do cliente injeta o token e o identificador de unidade em toda requisição e trata globalmente a resposta 401, limpando a sessão e redirecionando ao login.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Fachada de serviço</w:t>
            </w:r>
          </w:p>
        </w:tc>
        <w:tc>
          <w:tcPr>
            <w:tcW w:type="dxa" w:w="6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 arquivo em client/src/services expõe funções de domínio (listar, criar, atualizar) e esconde dos componentes o caminho, o verbo e o formato do envelope de resposta.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Contexto/Provedor</w:t>
            </w:r>
          </w:p>
        </w:tc>
        <w:tc>
          <w:tcPr>
            <w:tcW w:type="dxa" w:w="6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AuthContext concentra sessão, perfil, unidade ativa e unidades disponíveis, evitando propagação manual desses dados pela árvore de componentes.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Envelope de resposta uniforme</w:t>
            </w:r>
          </w:p>
        </w:tc>
        <w:tc>
          <w:tcPr>
            <w:tcW w:type="dxa" w:w="6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ApiResponse padroniza o corpo de todas as respostas em { success, message, data } ou { success, message, errors }.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Instância única de conexão</w:t>
            </w:r>
          </w:p>
        </w:tc>
        <w:tc>
          <w:tcPr>
            <w:tcW w:type="dxa" w:w="6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cliente Supabase é criado uma única vez em server/src/config/database.js e reutilizado por todos os modelos.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Rota protegida</w:t>
            </w:r>
          </w:p>
        </w:tc>
        <w:tc>
          <w:tcPr>
            <w:tcW w:type="dxa" w:w="6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componente ProtectedRoute condiciona a renderização de cada página à existência de sessão válida.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2.5. Ciclo de vida de uma requisição</w:t>
      </w:r>
    </w:p>
    <w:p>
      <w:pPr>
        <w:spacing w:after="120" w:line="276"/>
      </w:pPr>
      <w:r>
        <w:rPr>
          <w:sz w:val="21"/>
          <w:szCs w:val="21"/>
        </w:rPr>
        <w:t xml:space="preserve">Toda requisição dirigida à API atravessa a mesma cadeia de middlewares antes de alcançar o controlador. A ordem importa: a limitação de requisições precede a autenticação, que precede a verificação de perfil, que precede a regra de negócio.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Etapa</w:t>
            </w:r>
          </w:p>
        </w:tc>
        <w:tc>
          <w:tcPr>
            <w:tcW w:type="dxa" w:w="70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helmet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Aplica cabeçalhos de segurança HTTP a todas as respostas.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Aceita apenas as origens declaradas em configuração; a ausência da configuração libera todas as origens e emite aviso na inicialização.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morgan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 as requisições no log do servidor.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express.json e express.urlencoded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Interpretam o corpo da requisição.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apiLimiter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Limita a quinhentas requisições por origem a cada quinze minutos.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loginLimiter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Limita a dez tentativas malsucedidas de autenticação por origem a cada quinze minutos; autenticações bem-sucedidas não são contadas.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Verifica a assinatura e a validade do token e publica na requisição o identificador do usuário, o perfil, a unidade ativa e as unidades permitidas.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authorize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Recusa a requisição quando o perfil não consta da relação declarada na rota.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errorHandler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Traduz erros do banco em mensagens compreensíveis e suprime detalhes técnicos fora do ambiente de desenvolvimento.</w:t>
            </w:r>
          </w:p>
        </w:tc>
      </w:tr>
    </w:tbl>
    <w:p>
      <w:pPr>
        <w:spacing w:after="200" w:line="276"/>
      </w:pPr>
      <w:r>
        <w:rPr>
          <w:sz w:val="21"/>
          <w:szCs w:val="21"/>
        </w:rPr>
        <w:t xml:space="preserve">Alcançado o controlador, a unidade efetiva da requisição é resolvida pelo utilitário programContext: os perfis Administrador e Equipe Sede podem indicá-la na requisição, desde que conste da relação de unidades permitidas gravada no token; os demais perfis operam obrigatoriamente sobre a unidade ativa do token. A resposta é montada pelo utilitário ApiResponse, que padroniza o envelope devolvido ao cliente.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4A"/>
          <w:sz w:val="30"/>
          <w:szCs w:val="30"/>
        </w:rPr>
        <w:t xml:space="preserve">3. Diagramas arquiteturais</w:t>
      </w:r>
    </w:p>
    <w:p>
      <w:pPr>
        <w:spacing w:after="120" w:line="276"/>
      </w:pPr>
      <w:r>
        <w:rPr>
          <w:sz w:val="21"/>
          <w:szCs w:val="21"/>
        </w:rPr>
        <w:t xml:space="preserve">Os diagramas desta seção representam o sistema em três perspectivas complementares: a organização lógica dos componentes, a sua distribuição física nos provedores de hospedagem e a estrutura das entidades no banco de dados.</w:t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3.1. Diagrama de componentes</w:t>
      </w:r>
    </w:p>
    <w:p>
      <w:pPr>
        <w:spacing w:after="120" w:line="276"/>
      </w:pPr>
      <w:r>
        <w:rPr>
          <w:sz w:val="21"/>
          <w:szCs w:val="21"/>
        </w:rPr>
        <w:t xml:space="preserve">O diagrama apresenta os componentes de cada camada e as suas interações, com destaque para as duas fronteiras de comunicação.</w:t>
      </w:r>
    </w:p>
    <w:p>
      <w:pPr>
        <w:spacing w:after="80" w:before="160"/>
        <w:jc w:val="center"/>
      </w:pPr>
      <w:r>
        <w:drawing>
          <wp:inline distT="0" distB="0" distL="0" distR="0">
            <wp:extent cx="440055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1 — Diagrama de componentes do SIGU.</w:t>
      </w:r>
    </w:p>
    <w:p>
      <w:r>
        <w:br w:type="page"/>
      </w:r>
    </w:p>
    <w:p>
      <w:pPr>
        <w:pStyle w:val="Heading3"/>
        <w:spacing w:after="120" w:before="220"/>
      </w:pPr>
      <w:r>
        <w:rPr>
          <w:b/>
          <w:bCs/>
          <w:color w:val="1A3A4A"/>
          <w:sz w:val="22"/>
          <w:szCs w:val="22"/>
        </w:rPr>
        <w:t xml:space="preserve">3.1.1. Componentes da camada de apresentação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5000"/>
        <w:gridCol w:w="2738"/>
      </w:tblGrid>
      <w:tr>
        <w:trPr>
          <w:tblHeader/>
        </w:trPr>
        <w:tc>
          <w:tcPr>
            <w:tcW w:type="dxa" w:w="19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0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7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Localização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Páginas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Telas do sistema: Login, Início, Assistidos, Formulário de assistido, Turmas, Lista de Presença, Relatórios e Funcionários.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client/src/pages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Componentes de interface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Elementos reutilizáveis: Navbar, Avatar, MaskedValue (mascaramento de dados sensíveis), DeltaBadge, DashboardFilters, ProtectedRoute e os primitivos button, card e input.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client/src/components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Contexto de autenticação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Guarda sessão, perfil, unidade ativa e unidades disponíveis; expõe as operações de entrada, saída e troca de unidade; persiste o estado em localStorage.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client/src/contexts/AuthContext.jsx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Camada de serviços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Uma fachada por domínio — auth, user, program, student, classGroup e attendance — sobre a instância Axios compartilhada.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client/src/services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Instância HTTP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 Axios com URL base configurável, tempo limite de dez segundos e os interceptores de requisição e de resposta.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client/src/services/api.js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Bibliotecas de apoio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analytics (agregações do painel), studentExport (ficha em PDF e planilha do assistido), pdfBranding (identidade visual dos documentos emitidos) e utils.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client/src/lib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Constantes de domínio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Rótulos e valores de turmas, períodos e dias da semana compartilhados entre formulários e listagens.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client/src/constants, client/src/pages/students/studentForm.js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1A3A4A"/>
          <w:sz w:val="22"/>
          <w:szCs w:val="22"/>
        </w:rPr>
        <w:t xml:space="preserve">3.1.2. Componentes da camada de aplicação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5000"/>
        <w:gridCol w:w="2738"/>
      </w:tblGrid>
      <w:tr>
        <w:trPr>
          <w:tblHeader/>
        </w:trPr>
        <w:tc>
          <w:tcPr>
            <w:tcW w:type="dxa" w:w="19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0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7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Localização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Ponto de entrada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Carrega o arquivo de ambiente, valida as variáveis obrigatórias e sobe o servidor na porta informada pelo provedor.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server/index.js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Aplicação Express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Monta a cadeia de middlewares, publica a rota de verificação de saúde, registra o roteador raiz e o tratador de erros.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server/src/app.js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Middlewares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 (verificação do token), authorize (perfis permitidos), rateLimiter (limites de login e de API), errorHandler (tradução de erros) e validate.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server/src/middleware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Roteadores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Um roteador por domínio, agregados sob /api: auth, users, programs, students, class-groups e attendance.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server/src/routes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Controladores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Regras de negócio de cada domínio: validação de campos, resolução da unidade efetiva, montagem da resposta e chamada aos modelos.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server/src/controllers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Modelos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Acesso a dados: Student, ClassGroup, Attendance, User e AuditLog. Concentram as consultas e a projeção de colunas.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server/src/models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Utilitários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ApiResponse (envelope), jwtUtils (emissão e verificação de token), programContext (resolução da unidade), roles (perfis), classGroup (normalização de período, dias e faixa etária) e slugify.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server/src/utils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(instância do cliente Supabase) e validateEnv (verificação das variáveis de ambiente na inicialização).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server/src/config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Esquema completo, scripts de migração numerados, carga inicial e script de reinicialização.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server/src/database</w:t>
            </w:r>
          </w:p>
        </w:tc>
      </w:tr>
    </w:tbl>
    <w:p>
      <w:pPr>
        <w:spacing w:after="200" w:line="276"/>
      </w:pPr>
      <w:r>
        <w:rPr>
          <w:sz w:val="21"/>
          <w:szCs w:val="21"/>
        </w:rPr>
        <w:t xml:space="preserve">A dependência entre os componentes do servidor flui em uma única direção: rotas dependem de middlewares e de controladores; controladores dependem de modelos e de utilitários; modelos dependem apenas da configuração de banco. Nenhuma consulta ao banco de dados é escrita fora dos modelos, o que mantém em um único lugar a projeção de colunas e o formato dos dados devolvidos pela API.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3.2. Diagrama de implantação</w:t>
      </w:r>
    </w:p>
    <w:p>
      <w:pPr>
        <w:spacing w:after="120" w:line="276"/>
      </w:pPr>
      <w:r>
        <w:rPr>
          <w:sz w:val="21"/>
          <w:szCs w:val="21"/>
        </w:rPr>
        <w:t xml:space="preserve">A interface e o servidor são publicados em provedores distintos, ambos disparados pela integração de código na branch principal do repositório. O banco de dados é gerenciado por um terceiro provedor.</w:t>
      </w:r>
    </w:p>
    <w:p>
      <w:pPr>
        <w:spacing w:after="80" w:before="160"/>
        <w:jc w:val="center"/>
      </w:pPr>
      <w:r>
        <w:drawing>
          <wp:inline distT="0" distB="0" distL="0" distR="0">
            <wp:extent cx="440055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2 — Diagrama de implantação do SIGU.</w:t>
      </w:r>
    </w:p>
    <w:p>
      <w:pPr>
        <w:pStyle w:val="Heading3"/>
        <w:spacing w:after="120" w:before="220"/>
      </w:pPr>
      <w:r>
        <w:rPr>
          <w:b/>
          <w:bCs/>
          <w:color w:val="1A3A4A"/>
          <w:sz w:val="22"/>
          <w:szCs w:val="22"/>
        </w:rPr>
        <w:t xml:space="preserve">3.2.1. Nós de implantação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700"/>
        <w:gridCol w:w="4400"/>
        <w:gridCol w:w="3538"/>
      </w:tblGrid>
      <w:tr>
        <w:trPr>
          <w:tblHeader/>
        </w:trPr>
        <w:tc>
          <w:tcPr>
            <w:tcW w:type="dxa" w:w="17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Nó</w:t>
            </w:r>
          </w:p>
        </w:tc>
        <w:tc>
          <w:tcPr>
            <w:tcW w:type="dxa" w:w="44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Conteúdo</w:t>
            </w:r>
          </w:p>
        </w:tc>
        <w:tc>
          <w:tcPr>
            <w:tcW w:type="dxa" w:w="35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Configuração relevante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Estação de trabalho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Navegador web executando a aplicação React. A sessão — token, dados do usuário e unidade ativa — fica em localStorage.</w:t>
            </w:r>
          </w:p>
        </w:tc>
        <w:tc>
          <w:tcPr>
            <w:tcW w:type="dxa" w:w="3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Nenhum requisito além de navegador atualizado e acesso à internet.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Artefatos estáticos gerados pelo comando de build do Vite: HTML, CSS e JavaScript, distribuídos por rede de entrega de conteúdo.</w:t>
            </w:r>
          </w:p>
        </w:tc>
        <w:tc>
          <w:tcPr>
            <w:tcW w:type="dxa" w:w="3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Reescrita de todas as rotas para a raiz, necessária ao roteamento no cliente; variável VITE_API_URL apontando para a API.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Render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Processo único Node.js executando a API Express, com diretório-raiz do serviço apontado para server.</w:t>
            </w:r>
          </w:p>
        </w:tc>
        <w:tc>
          <w:tcPr>
            <w:tcW w:type="dxa" w:w="3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Comando de instalação npm install e de execução npm start; porta atribuída pelo provedor; variáveis de ambiente definidas no painel.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Instância PostgreSQL gerenciada, com backups do provedor. Única fonte de dados da aplicação.</w:t>
            </w:r>
          </w:p>
        </w:tc>
        <w:tc>
          <w:tcPr>
            <w:tcW w:type="dxa" w:w="3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Acesso pelo servidor por credencial de serviço; a chave nunca é distribuída ao navegador.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Repositório do código-fonte. A integração na branch principal dispara a publicação automática da interface e da API.</w:t>
            </w:r>
          </w:p>
        </w:tc>
        <w:tc>
          <w:tcPr>
            <w:tcW w:type="dxa" w:w="3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Publicação contínua por gatilho de repositório; as migrações de banco não são executadas por esse gatilho.</w:t>
            </w:r>
          </w:p>
        </w:tc>
      </w:tr>
    </w:tbl>
    <w:p>
      <w:r>
        <w:br w:type="page"/>
      </w:r>
    </w:p>
    <w:p>
      <w:pPr>
        <w:pStyle w:val="Heading3"/>
        <w:spacing w:after="120" w:before="220"/>
      </w:pPr>
      <w:r>
        <w:rPr>
          <w:b/>
          <w:bCs/>
          <w:color w:val="1A3A4A"/>
          <w:sz w:val="22"/>
          <w:szCs w:val="22"/>
        </w:rPr>
        <w:t xml:space="preserve">3.2.2. Configuração por variáveis de ambiente</w:t>
      </w:r>
    </w:p>
    <w:p>
      <w:pPr>
        <w:spacing w:after="120" w:line="276"/>
      </w:pPr>
      <w:r>
        <w:rPr>
          <w:sz w:val="21"/>
          <w:szCs w:val="21"/>
        </w:rPr>
        <w:t xml:space="preserve">Nenhum endereço, credencial ou segredo é gravado no código-fonte. A configuração de cada ambiente é fornecida por variáveis, verificadas na inicialização do servidor: a ausência de item crítico interrompe a subida do processo, em vez de produzir falha no primeiro uso.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0"/>
        <w:gridCol w:w="1200"/>
        <w:gridCol w:w="6038"/>
      </w:tblGrid>
      <w:tr>
        <w:trPr>
          <w:tblHeader/>
        </w:trPr>
        <w:tc>
          <w:tcPr>
            <w:tcW w:type="dxa" w:w="24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Variável</w:t>
            </w:r>
          </w:p>
        </w:tc>
        <w:tc>
          <w:tcPr>
            <w:tcW w:type="dxa" w:w="12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Onde</w:t>
            </w:r>
          </w:p>
        </w:tc>
        <w:tc>
          <w:tcPr>
            <w:tcW w:type="dxa" w:w="60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Servidor</w:t>
            </w:r>
          </w:p>
        </w:tc>
        <w:tc>
          <w:tcPr>
            <w:tcW w:type="dxa" w:w="6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Segredo de assinatura dos tokens. Obrigatório em qualquer ambiente; a ausência impede a inicialização.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Servidor</w:t>
            </w:r>
          </w:p>
        </w:tc>
        <w:tc>
          <w:tcPr>
            <w:tcW w:type="dxa" w:w="6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Prazo de validade do token. Padrão de sete dias quando não informado.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Servidor</w:t>
            </w:r>
          </w:p>
        </w:tc>
        <w:tc>
          <w:tcPr>
            <w:tcW w:type="dxa" w:w="6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Endereço da instância do banco. Obrigatório em produção.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Servidor</w:t>
            </w:r>
          </w:p>
        </w:tc>
        <w:tc>
          <w:tcPr>
            <w:tcW w:type="dxa" w:w="6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Credencial de serviço do banco. Obrigatória em produção e restrita ao servidor.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CORS_ORIGIN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Servidor</w:t>
            </w:r>
          </w:p>
        </w:tc>
        <w:tc>
          <w:tcPr>
            <w:tcW w:type="dxa" w:w="6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Relação de origens autorizadas, separadas por vírgula. Sem esse valor, todas as origens são aceitas — situação aceitável apenas em desenvolvimento.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TRUST_PROXY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Servidor</w:t>
            </w:r>
          </w:p>
        </w:tc>
        <w:tc>
          <w:tcPr>
            <w:tcW w:type="dxa" w:w="6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Habilita a leitura do endereço real do cliente quando a aplicação está atrás de proxy reverso, condição para o correto funcionamento dos limitadores.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Servidor</w:t>
            </w:r>
          </w:p>
        </w:tc>
        <w:tc>
          <w:tcPr>
            <w:tcW w:type="dxa" w:w="6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Porta de escuta. Em produção é atribuída pelo provedor de hospedagem.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NODE_ENV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Servidor</w:t>
            </w:r>
          </w:p>
        </w:tc>
        <w:tc>
          <w:tcPr>
            <w:tcW w:type="dxa" w:w="6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Ambiente de execução. Em produção, suprime detalhes técnicos nas mensagens de erro devolvidas ao cliente.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Interface</w:t>
            </w:r>
          </w:p>
        </w:tc>
        <w:tc>
          <w:tcPr>
            <w:tcW w:type="dxa" w:w="6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Endereço base da API. Em desenvolvimento, o valor padrão aponta para a porta local 3000.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1A3A4A"/>
          <w:sz w:val="22"/>
          <w:szCs w:val="22"/>
        </w:rPr>
        <w:t xml:space="preserve">3.2.3. Ambientes</w:t>
      </w:r>
    </w:p>
    <w:p>
      <w:pPr>
        <w:spacing w:after="120" w:line="276"/>
      </w:pPr>
      <w:r>
        <w:rPr>
          <w:sz w:val="21"/>
          <w:szCs w:val="21"/>
        </w:rPr>
        <w:t xml:space="preserve">O desenvolvimento executa a interface e o servidor na própria estação de trabalho, com o empacotador encaminhando ao servidor local as chamadas dirigidas à API. A produção executa cada parte no respectivo provedor.</w:t>
      </w:r>
    </w:p>
    <w:p>
      <w:pPr>
        <w:spacing w:after="200" w:line="276"/>
      </w:pPr>
      <w:r>
        <w:rPr>
          <w:sz w:val="21"/>
          <w:szCs w:val="21"/>
        </w:rPr>
        <w:t xml:space="preserve">Os dois ambientes compartilham a mesma instância de banco de dados. A consequência é direta e precisa ser considerada em qualquer alteração de estrutura: uma migração aplicada durante o desenvolvimento produz efeito imediato em produção, e dados criados em testes locais são dados reais da base. A separação das instâncias é a evolução recomendada assim que houver disponibilidade para mantê-las.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3.3. Diagrama de entidade-relacionamento</w:t>
      </w:r>
    </w:p>
    <w:p>
      <w:pPr>
        <w:spacing w:after="120" w:line="276"/>
      </w:pPr>
      <w:r>
        <w:rPr>
          <w:sz w:val="21"/>
          <w:szCs w:val="21"/>
        </w:rPr>
        <w:t xml:space="preserve">O diagrama apresenta as entidades do banco de dados, as chaves e os relacionamentos, com a respectiva cardinalidade. O detalhamento coluna a coluna está na seção 5.</w:t>
      </w:r>
    </w:p>
    <w:p>
      <w:pPr>
        <w:spacing w:after="80" w:before="160"/>
        <w:jc w:val="center"/>
      </w:pPr>
      <w:r>
        <w:drawing>
          <wp:inline distT="0" distB="0" distL="0" distR="0">
            <wp:extent cx="44005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3 — Modelo entidade-relacionamento do SIGU.</w:t>
      </w:r>
    </w:p>
    <w:p>
      <w:pPr>
        <w:pStyle w:val="Heading3"/>
        <w:spacing w:after="120" w:before="220"/>
      </w:pPr>
      <w:r>
        <w:rPr>
          <w:b/>
          <w:bCs/>
          <w:color w:val="1A3A4A"/>
          <w:sz w:val="22"/>
          <w:szCs w:val="22"/>
        </w:rPr>
        <w:t xml:space="preserve">3.3.1. Relacionamentos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1700"/>
        <w:gridCol w:w="5338"/>
      </w:tblGrid>
      <w:tr>
        <w:trPr>
          <w:tblHeader/>
        </w:trPr>
        <w:tc>
          <w:tcPr>
            <w:tcW w:type="dxa" w:w="26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17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53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Regra associada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 — user_programs — programs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 para N</w:t>
            </w:r>
          </w:p>
        </w:tc>
        <w:tc>
          <w:tcPr>
            <w:tcW w:type="dxa" w:w="5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Define as unidades que o funcionário pode acessar. A remoção do funcionário ou da unidade remove o vínculo em cascata.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programs — class_groups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 para N</w:t>
            </w:r>
          </w:p>
        </w:tc>
        <w:tc>
          <w:tcPr>
            <w:tcW w:type="dxa" w:w="5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turma pertence a uma unidade e é identificada, dentro dela, por um valor único.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programs — students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 para N</w:t>
            </w:r>
          </w:p>
        </w:tc>
        <w:tc>
          <w:tcPr>
            <w:tcW w:type="dxa" w:w="5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assistido pertence a uma unidade, que determina o escopo de acesso ao seu registro.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class_groups — students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 para N, por valor</w:t>
            </w:r>
          </w:p>
        </w:tc>
        <w:tc>
          <w:tcPr>
            <w:tcW w:type="dxa" w:w="5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Vínculo estabelecido pelo identificador textual da turma, sem chave estrangeira declarada (DEC-09).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programs — attendance_sessions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 para N</w:t>
            </w:r>
          </w:p>
        </w:tc>
        <w:tc>
          <w:tcPr>
            <w:tcW w:type="dxa" w:w="5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lista de presença pertence a uma unidade.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 — attendance_sessions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 para N</w:t>
            </w:r>
          </w:p>
        </w:tc>
        <w:tc>
          <w:tcPr>
            <w:tcW w:type="dxa" w:w="5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 o funcionário responsável pelo lançamento.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attendance_sessions — attendance_records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 para N</w:t>
            </w:r>
          </w:p>
        </w:tc>
        <w:tc>
          <w:tcPr>
            <w:tcW w:type="dxa" w:w="5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Os registros são removidos em cascata com a lista.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 — attendance_records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 para N</w:t>
            </w:r>
          </w:p>
        </w:tc>
        <w:tc>
          <w:tcPr>
            <w:tcW w:type="dxa" w:w="5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exclusão definitiva do assistido remove os registros de presença em cascata.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 — student_notes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 para N</w:t>
            </w:r>
          </w:p>
        </w:tc>
        <w:tc>
          <w:tcPr>
            <w:tcW w:type="dxa" w:w="5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Anotações datadas sobre o assistido; estrutura prevista e ainda não utilizada.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 — student_notes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 para N</w:t>
            </w:r>
          </w:p>
        </w:tc>
        <w:tc>
          <w:tcPr>
            <w:tcW w:type="dxa" w:w="5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 a autoria da anotação.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4A"/>
          <w:sz w:val="30"/>
          <w:szCs w:val="30"/>
        </w:rPr>
        <w:t xml:space="preserve">4. Decisões de design</w:t>
      </w:r>
    </w:p>
    <w:p>
      <w:pPr>
        <w:spacing w:after="120" w:line="276"/>
      </w:pPr>
      <w:r>
        <w:rPr>
          <w:sz w:val="21"/>
          <w:szCs w:val="21"/>
        </w:rPr>
        <w:t xml:space="preserve">Esta seção registra as decisões que moldaram o sistema, no formato adotado para registros de decisão de arquitetura. O objetivo é preservar a justificativa e, sobretudo, as consequências assumidas — inclusive as desfavoráveis —, de modo que uma revisão futura possa reavaliar a escolha conhecendo o contexto em que foi tomada.</w:t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4.1. DEC-01 — Arquitetura cliente-servidor em três camadas com aplicação de página única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7338"/>
      </w:tblGrid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DEC-01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Contexto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sistema precisa ser acessado de computadores das unidades e de dispositivos móveis, sem instalação local, e a interface exige interações ricas: formulário em etapas, listas filtráveis, lançamento de presença e painéis analíticos.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Aplicação monolítica com páginas renderizadas no servidor; aplicação desktop instalada nas unidades.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Decisão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Adotar uma aplicação de página única no navegador, consumindo uma API HTTP própria, com banco de dados relacional gerenciado como terceira camada.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separação permite publicar interface e servidor de forma independente, elimina a instalação nas unidades e concentra as regras de negócio em um único ponto verificável. A interação intensa das telas de cadastro e de presença é melhor atendida por estado mantido no navegador.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Exige controle de acesso rigoroso no servidor, já que o cliente é integralmente inspecionável. Introduz duas publicações distintas, que precisam permanecer compatíveis entre si.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4.2. DEC-02 — React com Vite na camada de apresentação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7338"/>
      </w:tblGrid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DEC-02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Contexto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interface possui telas com muitos campos, listas com filtros aplicados sobre dados já carregados e componentes reaproveitados entre páginas.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Vue, Angular ou renderização no servidor com mecanismo de modelos.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Decisão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Construir a interface em React 18, empacotada por Vite 5, com roteamento pelo React Router 6.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Domínio prévio da equipe, ecossistema maduro para os recursos exigidos — gráficos, geração de PDF e leitura de planilhas — e ciclo de desenvolvimento rápido, com recarga imediata durante a edição.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pacote final concentra-se em poucos arquivos grandes, o que gera aviso de tamanho no empacotamento. A divisão por rota permanece disponível como otimização futura, caso o tempo de carga se torne relevante.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4.3. DEC-03 — Node.js com Express na camada de aplicação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7338"/>
      </w:tblGrid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DEC-03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Contexto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API precisa expor operações de leitura e gravação sobre sete entidades, com autenticação, autorização e limitação de requisições.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Frameworks de maior porte, com injeção de dependências e estrutura imposta; funções sem servidor.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Decisão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Utilizar Node.js com Express 5, organizando o código em rotas, middlewares, controladores, modelos e utilitários.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Mesma linguagem da interface, o que reduz o custo de contexto para a equipe; o modelo de middlewares expressa com clareza a cadeia de segurança; a estrutura em pastas é suficiente para o porte do sistema, sem o peso de um framework opinativo.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disciplina de camadas depende de convenção, não de imposição do framework. A ausência de tipagem estática transfere para os testes e para a revisão a verificação de contratos.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4.4. DEC-04 — PostgreSQL gerenciado pela plataforma Supabase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7338"/>
      </w:tblGrid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DEC-04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Contexto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instituição não dispõe de equipe de infraestrutura para administrar um servidor de banco de dados, e o modelo de dados é claramente relacional: unidades, turmas, assistidos e presenças com integridade referencial.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Banco relacional auto-hospedado; banco de documentos; planilhas compartilhadas, como no processo anterior.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Decisão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Adotar PostgreSQL provido pela Supabase, com acesso pelo servidor por meio da biblioteca oficial do provedor.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 banco relacional completo — chaves estrangeiras, restrições de unicidade, tipos de arranjo e JSONB, gatilhos — com backup, monitoramento e disponibilidade a cargo do provedor, sem custo de administração para a instituição.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 dependência de um provedor específico, mitigada pelo uso de SQL padrão nos esquemas e migrações. As consultas são escritas na interface fluente da biblioteca, o que limita construções complexas e exige composição no código quando um relatório demanda agregações.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4.5. DEC-05 — Acesso ao banco exclusivamente pelo servidor, com credencial de serviço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7338"/>
      </w:tblGrid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DEC-05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Contexto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plataforma de dados permite que o navegador consulte o banco diretamente, com as permissões controladas por políticas de segurança em nível de linha.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Acesso direto do navegador ao banco, com políticas de segurança em nível de linha; modelo híbrido, com leituras diretas e gravações pela API.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Decisão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Concentrar todo o acesso ao banco no servidor, que utiliza credencial de serviço; o navegador comunica-se apenas com a API.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As regras de acesso do sistema combinam perfil, unidade ativa e relação de unidades permitidas, e mudam junto com regras de negócio — validação de turma, escopo de relatório, preservação de histórico. Mantê-las no código da aplicação, em um único ponto, é mais simples de verificar e testar do que traduzi-las em políticas declarativas no banco.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credencial de serviço dá acesso irrestrito ao banco e precisa permanecer exclusivamente no ambiente do servidor. Como consequência direta, nenhuma falha de autorização da aplicação é contida por uma segunda barreira no banco, o que eleva a importância dos testes de segregação por unidade.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4.6. DEC-06 — Autenticação própria com token assinado e hash de senha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7338"/>
      </w:tblGrid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DEC-06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Contexto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sistema precisa autenticar funcionários e transportar, junto da identidade, o perfil de acesso e o escopo de unidade.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Serviço de autenticação da própria plataforma de dados; provedor externo de identidade.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Decisão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autenticação própria, com senhas armazenadas em hash bcrypt e sessão representada por token assinado, válido por sete dias.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token carrega dados específicos do domínio — unidade ativa e unidades permitidas — que um serviço genérico não modelaria naturalmente. A solução também mantém o cadastro de funcionários na mesma base das demais entidades, com vínculo direto às unidades.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Recursos como recuperação de senha por autoatendimento, verificação de endereço eletrônico e segundo fator não existem e precisariam ser construídos. A revogação imediata de sessão não é possível: a desativação de um funcionário passa a valer na próxima autenticação, pois o token permanece válido até expirar.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4.7. DEC-07 — Escopo de unidade transportado no token e resolvido no servidor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7338"/>
      </w:tblGrid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DEC-07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Contexto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 requisição precisa saber sobre qual unidade opera, e o usuário não pode alcançar unidades às quais não está vinculado. Perfis institucionais alternam de unidade durante o uso.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os vínculos do usuário no banco a cada requisição; confiar no identificador de unidade enviado pelo cliente.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Decisão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Gravar no token a unidade ativa e a relação de unidades permitidas. Uma função única resolve a unidade efetiva: os perfis Administrador e Equipe Sede podem indicá-la na requisição, e os perfis de unidade utilizam obrigatoriamente o valor do token. A troca de unidade emite um token novo, após verificar a permissão.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Evita uma consulta adicional ao banco por requisição e mantém a decisão em um único ponto do código, o que reduz o risco de divergência entre módulos. O valor enviado pelo cliente nunca é aceito sem confronto com a relação assinada no token.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Alterações no vínculo de um funcionário com unidades só produzem efeito após nova autenticação. O token torna-se maior, sem impacto prático no volume de requisições do sistema.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4.8. DEC-08 — Separação em rotas, controladores e modelos, sem camada de serviço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7338"/>
      </w:tblGrid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DEC-08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Contexto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regra de negócio precisa ficar isolada do transporte HTTP e do acesso a dados, mas o sistema tem porte reduzido e uma equipe pequena.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Acrescentar uma camada de serviço entre controladores e modelos; concentrar regra e consulta nos próprios roteadores.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Decisão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Manter três camadas no servidor: rotas declaram caminho, autenticação e perfis; controladores concentram a regra; modelos concentram o acesso a dados.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Três camadas já garantem que nenhuma consulta ao banco seja escrita fora dos modelos e que a permissão fique visível na declaração da rota. Uma quarta camada acrescentaria indireção sem benefício no volume atual de regras.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Controladores concentram bastante lógica e tendem a crescer, especialmente no domínio de assistidos. Caso alguma regra passe a ser compartilhada entre módulos, a extração para uma camada de serviço será o próximo passo natural.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4.9. DEC-09 — Vínculo entre assistido e turma por identificador textual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7338"/>
      </w:tblGrid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DEC-09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Contexto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Turmas são criadas e renomeadas pelas próprias unidades, e o histórico de presença precisa continuar legível mesmo quando uma turma é reorganizada.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Chave estrangeira de students para class_groups; tabela de associação entre assistido e turma.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Decisão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Gravar em students.class_group e em attendance_sessions.class_group o identificador textual da turma, sem chave estrangeira declarada; a integridade é assegurada pela aplicação, que impede a exclusão de turma com vínculos.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Preserva a leitura do histórico independentemente de alterações posteriores no cadastro de turmas e simplifica a listagem de presença, que trabalha com o identificador da turma sem exigir junção adicional.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banco não impede, por si só, um valor sem turma correspondente; a consistência depende da validação na aplicação e da regra que bloqueia a exclusão de turmas em uso. É a restrição mais relevante do modelo e está sinalizada no diagrama entidade-relacionamento.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4.10. DEC-10 — Lançamento de presença idempotente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7338"/>
      </w:tblGrid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DEC-10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Contexto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lista de presença é lançada em dispositivos móveis, com conexão instável, e frequentemente corrigida no mesmo dia. Envios repetidos são esperados.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Criar sempre uma nova lista e considerar a mais recente; bloquear o segundo envio do mesmo dia.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Decisão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Definir restrição de unicidade sobre unidade, data, turma e período. O servidor busca a lista existente ou a cria, e substitui integralmente os registros daquela lista a cada envio.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Torna o reenvio seguro por construção: repetir a operação leva ao mesmo estado final. A substituição integral evita registros órfãos quando um assistido é retirado da lista durante a correção.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correção sobrescreve o lançamento anterior, sem versionamento — o sistema guarda o estado atual da lista, não a sua evolução. A substituição não ocorre em transação única: uma falha entre a remoção e a inserção pode deixar a lista vazia, situação recuperável pelo reenvio.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4.11. DEC-11 — Desativação como padrão e exclusão física restrita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7338"/>
      </w:tblGrid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DEC-11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Contexto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Assistidos deixam de frequentar as unidades, mas o histórico de frequência e o cadastro precisam permanecer disponíveis para prestação de contas e para eventual retorno da pessoa ao serviço.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Excluir o registro; mover para tabela de arquivo morto.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Decisão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Utilizar o campo is_active como marcador de situação. A listagem filtra por situação, e a exclusão definitiva — que remove em cascata o histórico de presença — é restrita ao perfil Administrador, com confirmação explícita.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Mantém histórico, relatórios e trilha de auditoria íntegros, com custo mínimo de implementação. A restrição de perfil reconhece que a exclusão é irreversível e não deve estar ao alcance da operação diária.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 consulta precisa considerar a situação do registro; a listagem de presença carrega apenas assistidos ativos, admitindo os inativos que já constem da lista consultada. A base cresce indefinidamente, o que é irrelevante na escala do sistema.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4.12. DEC-12 — Listas de composição familiar e de autorizados em campo JSONB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7338"/>
      </w:tblGrid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DEC-12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Contexto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composição familiar e as pessoas autorizadas a retirar o assistido são listas de tamanho variável, sempre lidas e gravadas junto com o cadastro, sem consulta independente.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Tabelas próprias com chave estrangeira para o assistido.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Decisão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Armazenar as duas listas em colunas JSONB de students, com registros de estrutura fixa: nome, documento, telefone, parentesco e observação.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As listas não são consultadas fora do contexto do assistido nem participam de relatórios agregados. Manter tudo em uma única linha simplifica a leitura, a gravação e o formulário, que envia o cadastro completo em uma operação.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há integridade garantida pelo banco sobre o conteúdo das listas; a normalização é feita na aplicação, que descarta itens sem nome. Uma consulta futura do tipo "quem está autorizado a retirar em todas as unidades" exigiria migração para tabela própria.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4.13. DEC-13 — Exportações geradas no navegador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7338"/>
      </w:tblGrid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DEC-13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Contexto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sistema emite ficha individual do assistido, relação de assistidos e relatórios operacionais e analíticos, em PDF e em planilha.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Gerar os documentos no servidor e devolvê-los prontos.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Decisão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Gerar os documentos no próprio navegador, a partir dos dados já carregados, com jsPDF e html2canvas-pro para PDF e SheetJS para planilha.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Elimina processamento pesado no servidor, que é único e compartilhado por todas as unidades, e permite que o documento reproduza exatamente o que está em tela, com a identidade visual aplicada.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tempo de geração depende do equipamento do usuário; o relatório consolidado, que percorre várias unidades, exibe indicação de progresso. As bibliotecas de exportação aumentam o tamanho do pacote da interface.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4.14. DEC-14 — Migrações em arquivos SQL numerados, aplicadas manualmente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7338"/>
      </w:tblGrid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DEC-14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Contexto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esquema evolui a cada nova funcionalidade, e o mesmo banco atende aos ambientes de desenvolvimento e de produção.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Ferramenta de migração com controle automático de versão; execução automática durante a publicação.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Decisão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Manter arquivos SQL numerados em server/src/database/migrations, escritos de forma idempotente, aplicados manualmente pelo administrador no console da plataforma de dados.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Torna cada alteração explícita e revisável e evita que uma publicação de código altere a estrutura do banco sem supervisão — cuidado necessário porque a mesma instância atende aos dois ambientes.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aplicação de uma migração é passo manual e pode ser esquecida, causando divergência entre o código publicado e a estrutura do banco. O sistema não registra quais migrações já foram aplicadas, o que é compensado pela escrita idempotente de cada script.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4.15. DEC-15 — Publicação separada da interface e da API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7338"/>
      </w:tblGrid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DEC-15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Contexto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interface é um conjunto de arquivos estáticos; a API é um processo em execução contínua. As necessidades de hospedagem são distintas.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Servir os arquivos estáticos pelo próprio servidor Express, em publicação única.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Decisão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Publicar a interface em provedor de hospedagem estática com rede de entrega de conteúdo e a API em provedor de contêineres, ambos disparados pela integração na branch principal.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interface passa a ser entregue de servidores próximos ao usuário, sem consumir o processo da API; cada parte escala e é atualizada de forma independente.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Exige configuração explícita de origens permitidas e do endereço da API, além de reescrita de rotas no provedor estático para que o roteamento no cliente funcione. Uma configuração incorreta de diretório-raiz no provedor da API impede a inicialização do serviço — falha já observada e corrigida durante a implantação.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4.16. DEC-16 — Trilha de auditoria não bloqueante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7338"/>
      </w:tblGrid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DEC-16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Contexto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Eventos de autenticação, troca de unidade e gravação de presença precisam ser registrados, sem que uma falha no registro impeça a operação do usuário.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Gravação obrigatória em transação com a operação de negócio.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Decisão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cada evento no log da aplicação e tentar persistir em tabela de auditoria; falhas na persistência geram aviso no log do servidor e não interrompem a requisição.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registro é instrumento de acompanhamento, não requisito de consistência do dado. Uma indisponibilidade do destino de auditoria não deve impedir o lançamento de uma lista de presença.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trilha persistida pode ficar incompleta. Enquanto a tabela de auditoria não estiver criada no banco, o registro existe apenas no log do servidor, com a retenção oferecida pelo provedor de hospedagem.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4A"/>
          <w:sz w:val="30"/>
          <w:szCs w:val="30"/>
        </w:rPr>
        <w:t xml:space="preserve">5. Estrutura de dados</w:t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5.1. Visão geral do modelo</w:t>
      </w:r>
    </w:p>
    <w:p>
      <w:pPr>
        <w:spacing w:after="120" w:line="276"/>
      </w:pPr>
      <w:r>
        <w:rPr>
          <w:sz w:val="21"/>
          <w:szCs w:val="21"/>
        </w:rPr>
        <w:t xml:space="preserve">O modelo é relacional e normalizado, com oito tabelas. A entidade programs é a raiz do escopo de acesso: users vincula-se a ela por tabela de associação, e class_groups, students e attendance_sessions referenciam-na diretamente. Praticamente toda consulta do sistema é filtrada por essa coluna.</w:t>
      </w:r>
    </w:p>
    <w:p>
      <w:pPr>
        <w:spacing w:after="120" w:line="276"/>
      </w:pPr>
      <w:r>
        <w:rPr>
          <w:sz w:val="21"/>
          <w:szCs w:val="21"/>
        </w:rPr>
        <w:t xml:space="preserve">Duas construções fogem à normalização estrita, por decisão registrada: o vínculo entre assistido e turma, feito por identificador textual e não por chave estrangeira (DEC-09), e as listas de composição familiar e de pessoas autorizadas, armazenadas em colunas JSONB do próprio assistido (DEC-12).</w:t>
      </w:r>
    </w:p>
    <w:p>
      <w:pPr>
        <w:spacing w:after="120" w:line="276"/>
      </w:pPr>
      <w:r>
        <w:rPr>
          <w:sz w:val="21"/>
          <w:szCs w:val="21"/>
        </w:rPr>
        <w:t xml:space="preserve">Todos os identificadores são do tipo uuid, gerados pelo banco por meio da extensão pgcrypto. Datas de criação e de atualização utilizam o tipo timestamptz, com fuso horário.</w:t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5.2. Dicionário de dados</w:t>
      </w:r>
    </w:p>
    <w:p>
      <w:pPr>
        <w:spacing w:after="120" w:line="276"/>
      </w:pPr>
      <w:r>
        <w:rPr>
          <w:sz w:val="21"/>
          <w:szCs w:val="21"/>
        </w:rPr>
        <w:t xml:space="preserve">As tabelas a seguir descrevem cada coluna do banco de dados, na ordem em que constam do esquema.</w:t>
      </w:r>
    </w:p>
    <w:p>
      <w:pPr>
        <w:pStyle w:val="Heading3"/>
        <w:spacing w:after="120" w:before="220"/>
      </w:pPr>
      <w:r>
        <w:rPr>
          <w:b/>
          <w:bCs/>
          <w:color w:val="1A3A4A"/>
          <w:sz w:val="22"/>
          <w:szCs w:val="22"/>
        </w:rPr>
        <w:t xml:space="preserve">5.2.1. programs</w:t>
      </w:r>
    </w:p>
    <w:p>
      <w:pPr>
        <w:spacing w:after="120" w:line="276"/>
      </w:pPr>
      <w:r>
        <w:rPr>
          <w:sz w:val="21"/>
          <w:szCs w:val="21"/>
        </w:rPr>
        <w:t xml:space="preserve">Unidades do SOS. É a raiz do escopo de acesso: praticamente toda consulta do sistema é filtrada por esta entidade.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500"/>
        <w:gridCol w:w="2400"/>
        <w:gridCol w:w="4738"/>
      </w:tblGrid>
      <w:tr>
        <w:trPr>
          <w:tblHeader/>
        </w:trPr>
        <w:tc>
          <w:tcPr>
            <w:tcW w:type="dxa" w:w="25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Coluna</w:t>
            </w:r>
          </w:p>
        </w:tc>
        <w:tc>
          <w:tcPr>
            <w:tcW w:type="dxa" w:w="24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Tipo e restrições</w:t>
            </w:r>
          </w:p>
        </w:tc>
        <w:tc>
          <w:tcPr>
            <w:tcW w:type="dxa" w:w="47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uuid, chave primária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Identificador gerado pelo banco.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text, único,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 da unidade: SEMEAR, VIVER ou SONHAR.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 apresentado na interface.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age_range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Público atendido pela unidade.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Identificação do local.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de criação do registro.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1A3A4A"/>
          <w:sz w:val="22"/>
          <w:szCs w:val="22"/>
        </w:rPr>
        <w:t xml:space="preserve">5.2.2. users</w:t>
      </w:r>
    </w:p>
    <w:p>
      <w:pPr>
        <w:spacing w:after="120" w:line="276"/>
      </w:pPr>
      <w:r>
        <w:rPr>
          <w:sz w:val="21"/>
          <w:szCs w:val="21"/>
        </w:rPr>
        <w:t xml:space="preserve">Funcionários com acesso ao sistema.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500"/>
        <w:gridCol w:w="2400"/>
        <w:gridCol w:w="4738"/>
      </w:tblGrid>
      <w:tr>
        <w:trPr>
          <w:tblHeader/>
        </w:trPr>
        <w:tc>
          <w:tcPr>
            <w:tcW w:type="dxa" w:w="25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Coluna</w:t>
            </w:r>
          </w:p>
        </w:tc>
        <w:tc>
          <w:tcPr>
            <w:tcW w:type="dxa" w:w="24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Tipo e restrições</w:t>
            </w:r>
          </w:p>
        </w:tc>
        <w:tc>
          <w:tcPr>
            <w:tcW w:type="dxa" w:w="47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uuid, chave primária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Identificador gerado pelo banco.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full_name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 do funcionário.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text, único,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Endereço eletrônico, utilizado como credencial de acesso.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Hash bcrypt da senha. A senha em texto puro nunca é armazenada.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text, obrigatório, com restrição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Perfil de acesso: admin, sede, coordenador, tecnico ou assistente.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Situação do funcionário. Inativos são recusados na autenticação.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Carimbos de criação e de atualização; o segundo é mantido por gatilho.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1A3A4A"/>
          <w:sz w:val="22"/>
          <w:szCs w:val="22"/>
        </w:rPr>
        <w:t xml:space="preserve">5.2.3. user_programs</w:t>
      </w:r>
    </w:p>
    <w:p>
      <w:pPr>
        <w:spacing w:after="120" w:line="276"/>
      </w:pPr>
      <w:r>
        <w:rPr>
          <w:sz w:val="21"/>
          <w:szCs w:val="21"/>
        </w:rPr>
        <w:t xml:space="preserve">Vínculo entre funcionário e unidades. Define o alcance dos perfis de unidade e alimenta a relação de unidades permitidas gravada no token.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500"/>
        <w:gridCol w:w="2400"/>
        <w:gridCol w:w="4738"/>
      </w:tblGrid>
      <w:tr>
        <w:trPr>
          <w:tblHeader/>
        </w:trPr>
        <w:tc>
          <w:tcPr>
            <w:tcW w:type="dxa" w:w="25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Coluna</w:t>
            </w:r>
          </w:p>
        </w:tc>
        <w:tc>
          <w:tcPr>
            <w:tcW w:type="dxa" w:w="24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Tipo e restrições</w:t>
            </w:r>
          </w:p>
        </w:tc>
        <w:tc>
          <w:tcPr>
            <w:tcW w:type="dxa" w:w="47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uuid, chave estrangeira para users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Funcionário vinculado. A remoção do funcionário remove o vínculo em cascata.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program_id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uuid, chave estrangeira para programs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 vinculada. A remoção da unidade remove o vínculo em cascata.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do vínculo.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Chave primária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composta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par (user_id, program_id) impede vínculo duplicado.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1A3A4A"/>
          <w:sz w:val="22"/>
          <w:szCs w:val="22"/>
        </w:rPr>
        <w:t xml:space="preserve">5.2.4. class_groups</w:t>
      </w:r>
    </w:p>
    <w:p>
      <w:pPr>
        <w:spacing w:after="120" w:line="276"/>
      </w:pPr>
      <w:r>
        <w:rPr>
          <w:sz w:val="21"/>
          <w:szCs w:val="21"/>
        </w:rPr>
        <w:t xml:space="preserve">Turmas de cada unidade, conforme o cronograma de grupos do SCFV.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500"/>
        <w:gridCol w:w="2400"/>
        <w:gridCol w:w="4738"/>
      </w:tblGrid>
      <w:tr>
        <w:trPr>
          <w:tblHeader/>
        </w:trPr>
        <w:tc>
          <w:tcPr>
            <w:tcW w:type="dxa" w:w="25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Coluna</w:t>
            </w:r>
          </w:p>
        </w:tc>
        <w:tc>
          <w:tcPr>
            <w:tcW w:type="dxa" w:w="24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Tipo e restrições</w:t>
            </w:r>
          </w:p>
        </w:tc>
        <w:tc>
          <w:tcPr>
            <w:tcW w:type="dxa" w:w="47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uuid, chave primária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Identificador gerado pelo banco.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program_id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uuid, chave estrangeira para programs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 à qual a turma pertence.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slug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Identificador textual da turma, derivado do nome. É o valor referenciado por assistidos e listas de presença.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 da turma apresentado na interface.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int,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Ordem de apresentação dentro da unidade.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period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Período de funcionamento: manha ou tarde.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weekdays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text[],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Dias de encontro, entre seg, ter, qua, qui, sex, sab e dom. Padrão: arranjo vazio.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age_range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Faixa etária atendida, como "6 a 8 anos" ou "60+".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de criação do registro.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Unicidade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(program_id, slug)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Impede duas turmas com o mesmo identificador na mesma unidade.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1A3A4A"/>
          <w:sz w:val="22"/>
          <w:szCs w:val="22"/>
        </w:rPr>
        <w:t xml:space="preserve">5.2.5. students</w:t>
      </w:r>
    </w:p>
    <w:p>
      <w:pPr>
        <w:spacing w:after="120" w:line="276"/>
      </w:pPr>
      <w:r>
        <w:rPr>
          <w:sz w:val="21"/>
          <w:szCs w:val="21"/>
        </w:rPr>
        <w:t xml:space="preserve">Assistidos. É a entidade central do sistema, com cinquenta e cinco colunas organizadas em blocos temáticos que correspondem às etapas do formulário de cadastro.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500"/>
        <w:gridCol w:w="2400"/>
        <w:gridCol w:w="4738"/>
      </w:tblGrid>
      <w:tr>
        <w:trPr>
          <w:tblHeader/>
        </w:trPr>
        <w:tc>
          <w:tcPr>
            <w:tcW w:type="dxa" w:w="25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Coluna</w:t>
            </w:r>
          </w:p>
        </w:tc>
        <w:tc>
          <w:tcPr>
            <w:tcW w:type="dxa" w:w="24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Tipo e restrições</w:t>
            </w:r>
          </w:p>
        </w:tc>
        <w:tc>
          <w:tcPr>
            <w:tcW w:type="dxa" w:w="47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uuid, chave primária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Identificador gerado pelo banco.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full_name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 completo. Único campo de preenchimento obrigatório no cadastro.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birth_date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de nascimento; base para o cálculo da idade.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nis_user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Número de Identificação Social do assistido, apresentado de forma mascarada na interface.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color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Cor ou raça autodeclarada.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cpf_cns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CPF ou Cartão Nacional de Saúde.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is_allergic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 existência de alergia.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allergy_details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Descrição da alergia.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shoe_size, clothing_size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Numeração de calçado e tamanho de vestuário, utilizados em doações e atividades.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has_health_issues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 problema de saúde.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health_issues_details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Descrição do problema de saúde.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has_disability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 deficiência.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disability_details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Descrição da deficiência.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school_name, school_grade, school_shift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Escola, série e turno de estudo.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address_street, address_neighborhood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Logradouro e bairro.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address_reference, address_extra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Ponto de referência e complemento.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guardian_name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 do responsável.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guardian_cpf, guardian_nis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Documentos do responsável.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guardian_phone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Telefone de contato do responsável.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guardian_relationship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Grau de parentesco do responsável.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guardian_workplace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 de trabalho do responsável.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family_benefit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 recebimento de benefício social pela família.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family_benefit_details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Descrição do benefício recebido.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family_members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Composição familiar, em lista de objetos.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authorized_pickups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Pessoas autorizadas a retirar o assistido na unidade, em lista de objetos.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cras_status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Situação do vínculo com o CRAS.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cras_link_reason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Motivo do encaminhamento ou do vínculo.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cras_referral_agency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Órgão que realizou o encaminhamento.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cras_technician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Técnico de referência no CRAS.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scfv_insertion_date, scfv_update_date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 de inserção e de atualização no SCFV.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scfv_frequency_days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text[]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Dias de frequência acordados.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scfv_shift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text[]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Turnos de participação.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scfv_group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Grupo do SCFV informado no cadastro.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scfv_instructor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Instrutor responsável.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scfv_boarding, scfv_disembarkation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Pontos de embarque e desembarque no transporte.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sisc_link_date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da vinculação registrada no SISC.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sisc_group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Grupo informado no SISC; a divergência em relação à turma é sinalizada na interface.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advisor_notes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Observações do técnico de referência.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enrollment_code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text, único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 de matrícula do assistido.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contact_phone, allergies, medical_notes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Colunas legadas das primeiras versões, substituídas pelos campos específicos e não utilizadas pela versão atual.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program_id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uuid, chave estrangeira,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 do assistido. Determina o escopo de acesso ao registro.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class_group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Identificador textual da turma, correspondente a class_groups.slug, sem chave estrangeira declarada.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Situação do assistido. A desativação preserva cadastro e histórico.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Carimbos de criação e de atualização; o segundo é mantido por gatilho. O primeiro sustenta a indicação de tempo de vínculo.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1A3A4A"/>
          <w:sz w:val="22"/>
          <w:szCs w:val="22"/>
        </w:rPr>
        <w:t xml:space="preserve">5.2.6. attendance_sessions</w:t>
      </w:r>
    </w:p>
    <w:p>
      <w:pPr>
        <w:spacing w:after="120" w:line="276"/>
      </w:pPr>
      <w:r>
        <w:rPr>
          <w:sz w:val="21"/>
          <w:szCs w:val="21"/>
        </w:rPr>
        <w:t xml:space="preserve">Lista de presença de uma turma em uma data e período. Cada lista é única por unidade, data, turma e período.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500"/>
        <w:gridCol w:w="2400"/>
        <w:gridCol w:w="4738"/>
      </w:tblGrid>
      <w:tr>
        <w:trPr>
          <w:tblHeader/>
        </w:trPr>
        <w:tc>
          <w:tcPr>
            <w:tcW w:type="dxa" w:w="25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Coluna</w:t>
            </w:r>
          </w:p>
        </w:tc>
        <w:tc>
          <w:tcPr>
            <w:tcW w:type="dxa" w:w="24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Tipo e restrições</w:t>
            </w:r>
          </w:p>
        </w:tc>
        <w:tc>
          <w:tcPr>
            <w:tcW w:type="dxa" w:w="47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uuid, chave primária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Identificador gerado pelo banco.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program_id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uuid, chave estrangeira,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 da lista.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attendance_date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do encontro.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class_group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Identificador textual da turma. Listas sem turma definida gravam texto vazio, e não nulo, para que a restrição de unicidade continue válida.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period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Período do encontro, com o mesmo tratamento de texto vazio.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uuid, chave estrangeira para users,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Funcionário que efetuou o lançamento.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Momento do lançamento.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Unicidade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(program_id, attendance_date, class_group, period)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Restrição que sustenta o comportamento idempotente do lançamento.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1A3A4A"/>
          <w:sz w:val="22"/>
          <w:szCs w:val="22"/>
        </w:rPr>
        <w:t xml:space="preserve">5.2.7. attendance_records</w:t>
      </w:r>
    </w:p>
    <w:p>
      <w:pPr>
        <w:spacing w:after="120" w:line="276"/>
      </w:pPr>
      <w:r>
        <w:rPr>
          <w:sz w:val="21"/>
          <w:szCs w:val="21"/>
        </w:rPr>
        <w:t xml:space="preserve">Situação individual de cada assistido em uma lista de presença.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500"/>
        <w:gridCol w:w="2400"/>
        <w:gridCol w:w="4738"/>
      </w:tblGrid>
      <w:tr>
        <w:trPr>
          <w:tblHeader/>
        </w:trPr>
        <w:tc>
          <w:tcPr>
            <w:tcW w:type="dxa" w:w="25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Coluna</w:t>
            </w:r>
          </w:p>
        </w:tc>
        <w:tc>
          <w:tcPr>
            <w:tcW w:type="dxa" w:w="24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Tipo e restrições</w:t>
            </w:r>
          </w:p>
        </w:tc>
        <w:tc>
          <w:tcPr>
            <w:tcW w:type="dxa" w:w="47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uuid, chave estrangeira para attendance_sessions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à qual o registro pertence. A remoção da lista remove os registros em cascata.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uuid, chave estrangeira para students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Assistido. A exclusão definitiva do assistido remove os registros em cascata.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text, obrigatório, com restrição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Situação do assistido: present ou absent.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Observação pontual sobre a falta ou a presença.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Momento da gravação.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Chave primária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composta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par (session_id, student_id) impede dois registros do mesmo assistido na mesma lista.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1A3A4A"/>
          <w:sz w:val="22"/>
          <w:szCs w:val="22"/>
        </w:rPr>
        <w:t xml:space="preserve">5.2.8. student_notes</w:t>
      </w:r>
    </w:p>
    <w:p>
      <w:pPr>
        <w:spacing w:after="120" w:line="276"/>
      </w:pPr>
      <w:r>
        <w:rPr>
          <w:sz w:val="21"/>
          <w:szCs w:val="21"/>
        </w:rPr>
        <w:t xml:space="preserve">Anotações datadas sobre o assistido, com autoria identificada. Estrutura prevista no esquema e ainda não utilizada pela versão atual, que registra as observações do técnico na coluna advisor_notes do assistido.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500"/>
        <w:gridCol w:w="2400"/>
        <w:gridCol w:w="4738"/>
      </w:tblGrid>
      <w:tr>
        <w:trPr>
          <w:tblHeader/>
        </w:trPr>
        <w:tc>
          <w:tcPr>
            <w:tcW w:type="dxa" w:w="25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Coluna</w:t>
            </w:r>
          </w:p>
        </w:tc>
        <w:tc>
          <w:tcPr>
            <w:tcW w:type="dxa" w:w="24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Tipo e restrições</w:t>
            </w:r>
          </w:p>
        </w:tc>
        <w:tc>
          <w:tcPr>
            <w:tcW w:type="dxa" w:w="47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uuid, chave primária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Identificador gerado pelo banco.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uuid, chave estrangeira para students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Assistido a que se refere a anotação.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author_user_id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uuid, chave estrangeira para users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Autor da anotação.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note_text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text, obrigatório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Conteúdo da anotação.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da anotação.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5.3. Estruturas em JSONB</w:t>
      </w:r>
    </w:p>
    <w:p>
      <w:pPr>
        <w:spacing w:after="120" w:line="276"/>
      </w:pPr>
      <w:r>
        <w:rPr>
          <w:sz w:val="21"/>
          <w:szCs w:val="21"/>
        </w:rPr>
        <w:t xml:space="preserve">As duas colunas JSONB armazenam listas de objetos de estrutura fixa, definida pelo formulário de cadastro e normalizada pela aplicação antes da gravação.</w:t>
      </w:r>
    </w:p>
    <w:p>
      <w:pPr>
        <w:pStyle w:val="Heading3"/>
        <w:spacing w:after="120" w:before="220"/>
      </w:pPr>
      <w:r>
        <w:rPr>
          <w:b/>
          <w:bCs/>
          <w:color w:val="1A3A4A"/>
          <w:sz w:val="22"/>
          <w:szCs w:val="22"/>
        </w:rPr>
        <w:t xml:space="preserve">students.family_members</w:t>
      </w:r>
    </w:p>
    <w:p>
      <w:pPr>
        <w:spacing w:after="120" w:line="276"/>
      </w:pPr>
      <w:r>
        <w:rPr>
          <w:sz w:val="21"/>
          <w:szCs w:val="21"/>
        </w:rPr>
        <w:t xml:space="preserve">Composição familiar do assistido. Itens inteiramente vazios são descartados antes da gravação.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Campo</w:t>
            </w:r>
          </w:p>
        </w:tc>
        <w:tc>
          <w:tcPr>
            <w:tcW w:type="dxa" w:w="74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 do familiar.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Grau de parentesco em relação ao assistido.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Idade declarada.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education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Escolaridade.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ethnicity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Cor ou raça autodeclarada.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1A3A4A"/>
          <w:sz w:val="22"/>
          <w:szCs w:val="22"/>
        </w:rPr>
        <w:t xml:space="preserve">students.authorized_pickups</w:t>
      </w:r>
    </w:p>
    <w:p>
      <w:pPr>
        <w:spacing w:after="120" w:line="276"/>
      </w:pPr>
      <w:r>
        <w:rPr>
          <w:sz w:val="21"/>
          <w:szCs w:val="21"/>
        </w:rPr>
        <w:t xml:space="preserve">Pessoas autorizadas a retirar o assistido na unidade, incluindo quem não integra a família. Itens sem nome preenchido são descartados antes da gravação.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Campo</w:t>
            </w:r>
          </w:p>
        </w:tc>
        <w:tc>
          <w:tcPr>
            <w:tcW w:type="dxa" w:w="74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 da pessoa autorizada.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Documento de identificação apresentado na retirada.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Telefone de contato.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Vínculo com o assistido.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Observação sobre a autorização, como restrição de dias ou horários.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5.4. Índices</w:t>
      </w:r>
    </w:p>
    <w:p>
      <w:pPr>
        <w:spacing w:after="120" w:line="276"/>
      </w:pPr>
      <w:r>
        <w:rPr>
          <w:sz w:val="21"/>
          <w:szCs w:val="21"/>
        </w:rPr>
        <w:t xml:space="preserve">Os índices acompanham os caminhos de consulta efetivamente utilizados pelo sistema.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2600"/>
        <w:gridCol w:w="4438"/>
      </w:tblGrid>
      <w:tr>
        <w:trPr>
          <w:tblHeader/>
        </w:trPr>
        <w:tc>
          <w:tcPr>
            <w:tcW w:type="dxa" w:w="26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Índice</w:t>
            </w:r>
          </w:p>
        </w:tc>
        <w:tc>
          <w:tcPr>
            <w:tcW w:type="dxa" w:w="26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Colunas</w:t>
            </w:r>
          </w:p>
        </w:tc>
        <w:tc>
          <w:tcPr>
            <w:tcW w:type="dxa" w:w="44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idx_users_email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users(email)</w:t>
            </w:r>
          </w:p>
        </w:tc>
        <w:tc>
          <w:tcPr>
            <w:tcW w:type="dxa" w:w="4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Acelera a busca por endereço eletrônico durante a autenticação.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idx_students_program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students(program_id)</w:t>
            </w:r>
          </w:p>
        </w:tc>
        <w:tc>
          <w:tcPr>
            <w:tcW w:type="dxa" w:w="4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Sustenta a listagem de assistidos por unidade, consulta mais frequente do sistema.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idx_students_program_class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students(program_id, class_group)</w:t>
            </w:r>
          </w:p>
        </w:tc>
        <w:tc>
          <w:tcPr>
            <w:tcW w:type="dxa" w:w="4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Sustenta a montagem da lista de presença, que seleciona assistidos por unidade e turma.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idx_class_groups_program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class_groups(program_id)</w:t>
            </w:r>
          </w:p>
        </w:tc>
        <w:tc>
          <w:tcPr>
            <w:tcW w:type="dxa" w:w="4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Sustenta a listagem de turmas da unidade.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idx_notes_student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student_notes(student_id)</w:t>
            </w:r>
          </w:p>
        </w:tc>
        <w:tc>
          <w:tcPr>
            <w:tcW w:type="dxa" w:w="4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Sustenta a consulta de anotações de um assistido.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idx_attendance_program_date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attendance_sessions(program_id, attendance_date)</w:t>
            </w:r>
          </w:p>
        </w:tc>
        <w:tc>
          <w:tcPr>
            <w:tcW w:type="dxa" w:w="4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Sustenta o histórico de listas de presença e os relatórios por período.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5.5. Gatilhos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Objeto</w:t>
            </w:r>
          </w:p>
        </w:tc>
        <w:tc>
          <w:tcPr>
            <w:tcW w:type="dxa" w:w="70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set_updated_at()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Função em PL/pgSQL que atribui o momento atual à coluna updated_at.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trg_users_updated_at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Executa a função antes de cada atualização em users.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trg_students_updated_at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Executa a função antes de cada atualização em students.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5.6. Evolução do esquema</w:t>
      </w:r>
    </w:p>
    <w:p>
      <w:pPr>
        <w:spacing w:after="120" w:line="276"/>
      </w:pPr>
      <w:r>
        <w:rPr>
          <w:sz w:val="21"/>
          <w:szCs w:val="21"/>
        </w:rPr>
        <w:t xml:space="preserve">A estrutura do banco evolui por meio de arquivos SQL numerados, escritos de forma idempotente e aplicados manualmente pelo administrador (DEC-14). O arquivo schema.sql descreve o estado completo do banco e é utilizado na criação de um ambiente novo; os arquivos de migração descrevem as alterações incrementais aplicadas a um banco já existente.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Arquivo</w:t>
            </w:r>
          </w:p>
        </w:tc>
        <w:tc>
          <w:tcPr>
            <w:tcW w:type="dxa" w:w="64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schema.sql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Esquema completo do banco, com tabelas, índices, gatilhos e carga inicial de unidades e turmas. Utilizado na criação de um ambiente novo.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002-students-class-group.sql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Introduz a coluna de turma no cadastro de assistidos.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003-class-groups.sql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 a tabela de turmas e migra os valores existentes.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003-students-class-group-null.sql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Permite assistido sem turma definida.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004-students-profile-fields.sql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Acrescenta os campos de identificação, saúde, escola, endereço, responsável e composição familiar.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005-students-advisor-notes.sql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Acrescenta as observações do técnico de referência.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006-referrals.sql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 a estrutura da ficha de encaminhamento. A funcionalidade foi retirada da interface por decisão da instituição; a tabela permanece no histórico de migrações e não é utilizada pela versão atual.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007-class-groups-schedule.sql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Acrescenta período, dias da semana e faixa etária às turmas e cadastra as trinta e oito turmas do cronograma do SCFV.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008-class-groups-backfill.sql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Preenche período, dias e faixa etária de turmas já existentes, sem sobrescrever ajustes feitos pelas unidades.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009-students-authorized-pickups.sql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Acrescenta a lista de pessoas autorizadas a retirar o assistido.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010-students-sisc.sql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Acrescenta a data de vinculação e o grupo registrados no SISC.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011-users-roles-tecnico-assistente.sql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Amplia a restrição de perfis para incluir Técnico e Assistente.</w:t>
            </w:r>
          </w:p>
        </w:tc>
      </w:tr>
    </w:tbl>
    <w:p>
      <w:pPr>
        <w:spacing w:after="200" w:line="276"/>
      </w:pPr>
      <w:r>
        <w:rPr>
          <w:sz w:val="21"/>
          <w:szCs w:val="21"/>
        </w:rPr>
        <w:t xml:space="preserve">A numeração 003 aparece em dois arquivos, resultado de alterações desenvolvidas em paralelo; como ambos são idempotentes e independentes entre si, a ordem de aplicação não altera o resultado.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4A"/>
          <w:sz w:val="30"/>
          <w:szCs w:val="30"/>
        </w:rPr>
        <w:t xml:space="preserve">6. Interface da API</w:t>
      </w:r>
    </w:p>
    <w:p>
      <w:pPr>
        <w:spacing w:after="120" w:line="276"/>
      </w:pPr>
      <w:r>
        <w:rPr>
          <w:sz w:val="21"/>
          <w:szCs w:val="21"/>
        </w:rPr>
        <w:t xml:space="preserve">A API é o único contrato entre a camada de apresentação e o restante do sistema. Todas as operações devolvem JSON no envelope padronizado { success, message, data }, e todas exigem autenticação, com exceção da verificação de saúde, da relação de unidades e da própria autenticação.</w:t>
      </w:r>
    </w:p>
    <w:p>
      <w:pPr>
        <w:spacing w:after="120" w:line="276"/>
      </w:pPr>
      <w:r>
        <w:rPr>
          <w:sz w:val="21"/>
          <w:szCs w:val="21"/>
        </w:rPr>
        <w:t xml:space="preserve">A coluna de perfis indica a autorização verificada no servidor. Quando a operação está disponível a todos os perfis, o alcance dos dados permanece limitado às unidades do usuário, conforme descrito na seção 2.5.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2000"/>
        <w:gridCol w:w="4538"/>
      </w:tblGrid>
      <w:tr>
        <w:trPr>
          <w:tblHeader/>
        </w:trPr>
        <w:tc>
          <w:tcPr>
            <w:tcW w:type="dxa" w:w="31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Operação</w:t>
            </w:r>
          </w:p>
        </w:tc>
        <w:tc>
          <w:tcPr>
            <w:tcW w:type="dxa" w:w="20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Perfis</w:t>
            </w:r>
          </w:p>
        </w:tc>
        <w:tc>
          <w:tcPr>
            <w:tcW w:type="dxa" w:w="45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Público</w:t>
            </w:r>
          </w:p>
        </w:tc>
        <w:tc>
          <w:tcPr>
            <w:tcW w:type="dxa" w:w="4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Verificação de disponibilidade utilizada pelo provedor de hospedagem.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/api/programs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Público</w:t>
            </w:r>
          </w:p>
        </w:tc>
        <w:tc>
          <w:tcPr>
            <w:tcW w:type="dxa" w:w="4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Relação de unidades, consumida pela tela de entrada antes da autenticação.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Público, com limite de tentativas</w:t>
            </w:r>
          </w:p>
        </w:tc>
        <w:tc>
          <w:tcPr>
            <w:tcW w:type="dxa" w:w="4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Autentica o funcionário e devolve token, dados do usuário, unidade ativa e unidades disponíveis.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Cadastra funcionário com perfil e unidades vinculadas.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/api/auth/me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4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Devolve os dados da sessão corrente.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/api/auth/switch-program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4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Troca a unidade ativa, verificando a permissão e emitindo token novo.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/api/users, GET /api/users/:id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 e Equipe Sede</w:t>
            </w:r>
          </w:p>
        </w:tc>
        <w:tc>
          <w:tcPr>
            <w:tcW w:type="dxa" w:w="4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 a funcionários.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POST, PUT, DELETE /api/users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Manutenção de funcionários, perfis e unidades vinculadas.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/api/students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os perfis</w:t>
            </w:r>
          </w:p>
        </w:tc>
        <w:tc>
          <w:tcPr>
            <w:tcW w:type="dxa" w:w="4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os assistidos da unidade em escopo, com filtro opcional por situação.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GET, POST, PUT /api/students/:id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os perfis</w:t>
            </w:r>
          </w:p>
        </w:tc>
        <w:tc>
          <w:tcPr>
            <w:tcW w:type="dxa" w:w="4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Consulta, cadastro e edição de assistido.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/api/students/:id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Exclusão definitiva, com remoção em cascata do histórico de presença.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GET, POST, PUT, DELETE /api/class-groups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os perfis</w:t>
            </w:r>
          </w:p>
        </w:tc>
        <w:tc>
          <w:tcPr>
            <w:tcW w:type="dxa" w:w="4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Manutenção das turmas da unidade em escopo.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/api/attendance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os perfis</w:t>
            </w:r>
          </w:p>
        </w:tc>
        <w:tc>
          <w:tcPr>
            <w:tcW w:type="dxa" w:w="4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 a lista de presença de uma turma, data e período.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/api/attendance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os perfis</w:t>
            </w:r>
          </w:p>
        </w:tc>
        <w:tc>
          <w:tcPr>
            <w:tcW w:type="dxa" w:w="4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Lança ou atualiza a lista de presença, de forma idempotente.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/api/attendance/sessions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os perfis</w:t>
            </w:r>
          </w:p>
        </w:tc>
        <w:tc>
          <w:tcPr>
            <w:tcW w:type="dxa" w:w="4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Histórico de listas de presença, com totais de presenças e faltas.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/api/attendance/sessions/:id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os perfis</w:t>
            </w:r>
          </w:p>
        </w:tc>
        <w:tc>
          <w:tcPr>
            <w:tcW w:type="dxa" w:w="4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Detalhe de uma lista, com os assistidos e as respectivas situações.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/api/attendance/sessions/bulk-detail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os perfis</w:t>
            </w:r>
          </w:p>
        </w:tc>
        <w:tc>
          <w:tcPr>
            <w:tcW w:type="dxa" w:w="4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Detalhe de várias listas em um intervalo de datas, utilizado pelos relatórios.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4A"/>
          <w:sz w:val="30"/>
          <w:szCs w:val="30"/>
        </w:rPr>
        <w:t xml:space="preserve">7. Organização do código-fonte</w:t>
      </w:r>
    </w:p>
    <w:p>
      <w:pPr>
        <w:spacing w:after="120" w:line="276"/>
      </w:pPr>
      <w:r>
        <w:rPr>
          <w:sz w:val="21"/>
          <w:szCs w:val="21"/>
        </w:rPr>
        <w:t xml:space="preserve">O repositório reúne, em um único versionamento, a interface e o servidor, cada qual com o seu próprio conjunto de dependências e o seu próprio ciclo de publicação. A estrutura reflete diretamente as camadas descritas na seção 2.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sos-core-system/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client/                     interface web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src/components/         componentes reutilizáveis e primitivos de interface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src/contexts/           contexto de autenticação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src/hooks/              ganchos compartilhados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src/lib/                exportações, identidade visual e agregações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src/pages/              telas do sistema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src/services/           fachadas de acesso à API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└── vite.config.js          empacotamento e proxy de desenvolvimento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server/                     API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index.js                ponto de entrada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src/app.js              cadeia de middlewares e roteador raiz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src/config/             conexão com o banco e validação de ambiente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src/controllers/        regras de negócio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src/database/           esquema, migrações e carga inicial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src/middleware/         autenticação, autorização, limites e erros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src/models/             acesso a dados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src/routes/             contratos da API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src/utils/              utilitários compartilhados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└── tests/                  testes automatizados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docs/                       documentação do projeto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└── vercel.json                 reescrita de rotas da interface</w:t>
      </w:r>
    </w:p>
    <w:p>
      <w:pPr>
        <w:spacing w:after="200"/>
      </w:pPr>
    </w:p>
    <w:p>
      <w:pPr>
        <w:spacing w:after="120" w:line="276"/>
      </w:pPr>
      <w:r>
        <w:rPr>
          <w:sz w:val="21"/>
          <w:szCs w:val="21"/>
        </w:rPr>
        <w:t xml:space="preserve">Os testes automatizados residem em server/tests e são executados por comando único. Cobrem o comportamento da API e, em especial, a segregação de dados por unidade — verificação relevante porque, conforme a decisão DEC-05, essa separação é garantida exclusivamente pelo código da aplicação.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4A"/>
          <w:sz w:val="30"/>
          <w:szCs w:val="30"/>
        </w:rPr>
        <w:t xml:space="preserve">8. Rastreabilidade entre requisitos e arquitetura</w:t>
      </w:r>
    </w:p>
    <w:p>
      <w:pPr>
        <w:spacing w:after="120" w:line="276"/>
      </w:pPr>
      <w:r>
        <w:rPr>
          <w:sz w:val="21"/>
          <w:szCs w:val="21"/>
        </w:rPr>
        <w:t xml:space="preserve">A tabela relaciona os requisitos especificados no documento de requisitos aos componentes que os realizam e às decisões de projeto que os condicionam. Serve para avaliar o impacto de uma alteração antes de executá-la.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4500"/>
        <w:gridCol w:w="2138"/>
      </w:tblGrid>
      <w:tr>
        <w:trPr>
          <w:tblHeader/>
        </w:trPr>
        <w:tc>
          <w:tcPr>
            <w:tcW w:type="dxa" w:w="30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Requisitos</w:t>
            </w:r>
          </w:p>
        </w:tc>
        <w:tc>
          <w:tcPr>
            <w:tcW w:type="dxa" w:w="45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Componentes envolvidos</w:t>
            </w:r>
          </w:p>
        </w:tc>
        <w:tc>
          <w:tcPr>
            <w:tcW w:type="dxa" w:w="21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Decisões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RF-01, RF-02, RF-03 — Autenticação e unidade ativa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AuthController, jwtUtils, middleware auth, AuthContext, ProtectedRoute</w:t>
            </w:r>
          </w:p>
        </w:tc>
        <w:tc>
          <w:tcPr>
            <w:tcW w:type="dxa" w:w="21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DEC-06, DEC-07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RF-04 a RF-09 — Gestão de assistidos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StudentController, modelo Student, StudentFormPage, Students, tabela students</w:t>
            </w:r>
          </w:p>
        </w:tc>
        <w:tc>
          <w:tcPr>
            <w:tcW w:type="dxa" w:w="21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DEC-11, DEC-12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RF-10, RF-11 — Gestão de turmas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ClassGroupController, modelo ClassGroup, utilitário classGroup, TurmasPage, tabela class_groups</w:t>
            </w:r>
          </w:p>
        </w:tc>
        <w:tc>
          <w:tcPr>
            <w:tcW w:type="dxa" w:w="21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DEC-09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RF-12, RF-13 — Lista de presença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AttendanceController, modelo Attendance, página Attendance, tabelas attendance_sessions e attendance_records</w:t>
            </w:r>
          </w:p>
        </w:tc>
        <w:tc>
          <w:tcPr>
            <w:tcW w:type="dxa" w:w="21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DEC-10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RF-14, RF-15 — Registro no SISC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StudentController, colunas sisc_link_date e sisc_group, alerta de divergência na interface</w:t>
            </w:r>
          </w:p>
        </w:tc>
        <w:tc>
          <w:tcPr>
            <w:tcW w:type="dxa" w:w="21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RF-16 a RF-19 — Exportações e relatórios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studentExport, pdfBranding, analytics, página Reports</w:t>
            </w:r>
          </w:p>
        </w:tc>
        <w:tc>
          <w:tcPr>
            <w:tcW w:type="dxa" w:w="21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DEC-13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RF-20, RF-21 — Administração de funcionários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UserController, modelo User, página UserManagement, tabelas users e user_programs</w:t>
            </w:r>
          </w:p>
        </w:tc>
        <w:tc>
          <w:tcPr>
            <w:tcW w:type="dxa" w:w="21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DEC-06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RF-22 — Trilha de auditoria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Modelo AuditLog, chamado por AuthController e AttendanceController</w:t>
            </w:r>
          </w:p>
        </w:tc>
        <w:tc>
          <w:tcPr>
            <w:tcW w:type="dxa" w:w="21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DEC-16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RNF-01 a RNF-10 — Segurança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Cadeia de middlewares, validateEnv, programContext, roles, MaskedValue</w:t>
            </w:r>
          </w:p>
        </w:tc>
        <w:tc>
          <w:tcPr>
            <w:tcW w:type="dxa" w:w="21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DEC-05, DEC-07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RNF-19 a RNF-23 — Confiabilidade e integridade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Restrições de unicidade, gatilhos, migrações numeradas, regra de bloqueio de exclusão de turma</w:t>
            </w:r>
          </w:p>
        </w:tc>
        <w:tc>
          <w:tcPr>
            <w:tcW w:type="dxa" w:w="21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DEC-10, DEC-11, DEC-14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8.1. Pontos de atenção para a evolução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Instâncias de banco separadas para desenvolvimento e produção: hoje compartilhadas, o que torna qualquer teste local uma operação sobre dados reais.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Criação da tabela de auditoria no banco: enquanto não existir, a trilha permanece apenas no log do servidor, sujeita à retenção do provedor (DEC-16).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Registro das migrações já aplicadas: a ausência de controle depende da escrita idempotente de cada script e da disciplina do administrador (DEC-14).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Revogação imediata de sessão: a desativação de um funcionário só produz efeito quando o token expira (DEC-06).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Divisão do pacote da interface por rota, caso o tempo de carga inicial se torne perceptível nas unidades (DEC-02).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Remoção das estruturas não utilizadas — tabela referrals e colunas legadas de students — após confirmação de que nenhum dado relevante depende delas.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Serviço de Obras Sociais  ·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6"/>
      </w:pBdr>
      <w:spacing w:after="80"/>
      <w:jc w:val="right"/>
    </w:pPr>
    <w:r>
      <w:rPr>
        <w:color w:val="64748B"/>
        <w:sz w:val="16"/>
        <w:szCs w:val="16"/>
      </w:rPr>
      <w:t xml:space="preserve">SIGU — Documento de Arquitetura 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b119c810e5164275e81adba8ebb5e8052d2136.png"/><Relationship Id="rId10" Type="http://schemas.openxmlformats.org/officeDocument/2006/relationships/image" Target="media/5b513b2c0ce465446f56371d4c9e27ce04a8620d.png"/><Relationship Id="rId11" Type="http://schemas.openxmlformats.org/officeDocument/2006/relationships/image" Target="media/b675a1313bfeb34e257904714652788e9ee6780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SIGU — Documento de Arquitetura e Design</dc:title>
  <dc:creator>Serviço de Obras Sociais</dc:creator>
  <dc:description>Arquitetura, decisões de projeto e modelo de dados do SIGU</dc:description>
  <cp:lastModifiedBy>Un-named</cp:lastModifiedBy>
  <cp:revision>1</cp:revision>
  <dcterms:created xsi:type="dcterms:W3CDTF">2026-08-02T17:08:28.525Z</dcterms:created>
  <dcterms:modified xsi:type="dcterms:W3CDTF">2026-08-02T17:08:28.525Z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