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64748B"/>
          <w:sz w:val="24"/>
          <w:szCs w:val="24"/>
        </w:rPr>
        <w:t xml:space="preserve">SERVIÇO DE OBRAS SOCIAIS</w:t>
      </w:r>
    </w:p>
    <w:p>
      <w:pPr>
        <w:spacing w:after="0" w:before="480"/>
        <w:jc w:val="center"/>
      </w:pPr>
      <w:r>
        <w:rPr>
          <w:b/>
          <w:bCs/>
          <w:color w:val="1A3A4A"/>
          <w:sz w:val="72"/>
          <w:szCs w:val="72"/>
        </w:rPr>
        <w:t xml:space="preserve">SIGU</w:t>
      </w:r>
    </w:p>
    <w:p>
      <w:pPr>
        <w:spacing w:after="0" w:before="120"/>
        <w:jc w:val="center"/>
      </w:pPr>
      <w:r>
        <w:rPr>
          <w:color w:val="3E4095"/>
          <w:sz w:val="28"/>
          <w:szCs w:val="28"/>
        </w:rPr>
        <w:t xml:space="preserve">Sistema Integrado de Gerenciamento de Usuários</w:t>
      </w:r>
    </w:p>
    <w:p>
      <w:pPr>
        <w:spacing w:after="0" w:before="900"/>
        <w:jc w:val="center"/>
      </w:pPr>
      <w:r>
        <w:rPr>
          <w:b/>
          <w:bCs/>
          <w:color w:val="1A3A4A"/>
          <w:sz w:val="26"/>
          <w:szCs w:val="26"/>
        </w:rPr>
        <w:t xml:space="preserve">MANUAL TÉCNICO E GUIA DE IMPLANTAÇÃO</w:t>
      </w:r>
    </w:p>
    <w:p>
      <w:pPr>
        <w:spacing w:after="0" w:before="1800"/>
        <w:jc w:val="center"/>
      </w:pPr>
      <w:r>
        <w:rPr>
          <w:color w:val="64748B"/>
          <w:sz w:val="22"/>
          <w:szCs w:val="22"/>
        </w:rPr>
        <w:t xml:space="preserve">Versão 1.0</w:t>
      </w:r>
    </w:p>
    <w:p>
      <w:pPr>
        <w:spacing w:before="80"/>
        <w:jc w:val="center"/>
      </w:pPr>
      <w:r>
        <w:rPr>
          <w:color w:val="64748B"/>
          <w:sz w:val="22"/>
          <w:szCs w:val="22"/>
        </w:rPr>
        <w:t xml:space="preserve">02 de agosto de 2026</w:t>
      </w: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1. Visão geral</w:t>
      </w:r>
    </w:p>
    <w:p>
      <w:pPr>
        <w:spacing w:after="120" w:line="276"/>
      </w:pPr>
      <w:r>
        <w:rPr>
          <w:sz w:val="21"/>
          <w:szCs w:val="21"/>
        </w:rPr>
        <w:t xml:space="preserve">Este documento reúne as informações necessárias para instalar, publicar e manter o SIGU — Sistema Integrado de Gerenciamento de Usuários do Serviço de Obras Sociais (SOS). Destina-se a desenvolvedores e à equipe de TI responsável pelo ambiente.</w:t>
      </w:r>
    </w:p>
    <w:p>
      <w:pPr>
        <w:spacing w:after="120" w:line="276"/>
      </w:pPr>
      <w:r>
        <w:rPr>
          <w:sz w:val="21"/>
          <w:szCs w:val="21"/>
        </w:rPr>
        <w:t xml:space="preserve">O SIGU é composto por três partes independentes: uma interface web em React, publicada como arquivos estáticos; uma API em Node.js com Express, executada como processo contínuo; e um banco PostgreSQL gerenciado pela plataforma Supabase. A arquitetura e as decisões de projeto estão detalhadas no Documento de Arquitetura e Design; aqui trata-se apenas da operação.</w:t>
      </w:r>
    </w:p>
    <w:p>
      <w:pPr>
        <w:spacing w:after="70" w:before="140"/>
        <w:jc w:val="center"/>
      </w:pPr>
      <w:r>
        <w:drawing>
          <wp:inline distT="0" distB="0" distL="0" distR="0">
            <wp:extent cx="409575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 — Distribuição dos componentes em produção.</w:t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2. Requisitos de ambiente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2.1. Software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Item</w:t>
            </w:r>
          </w:p>
        </w:tc>
        <w:tc>
          <w:tcPr>
            <w:tcW w:type="dxa" w:w="74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Versão / observação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18 LTS ou superior (validado em Node 24). Exigido para desenvolvimento e para o contêiner da API.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9 ou superior, distribuído com o Node.js.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Git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versão recente, para clonar e publicar.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Fornecido pela Supabase; não é instalado localmente. Requer a extensão pgcrypto, habilitada pelo próprio script de esquema.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Navegador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Chrome, Edge, Firefox ou Safari atualizados, para uso e verificação.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Indiferente. O desenvolvimento é feito em Windows; a API executa em contêiner Linux no provedor.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2.2. Serviços externos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00"/>
        <w:gridCol w:w="4000"/>
        <w:gridCol w:w="4138"/>
      </w:tblGrid>
      <w:tr>
        <w:trPr>
          <w:tblHeader/>
        </w:trPr>
        <w:tc>
          <w:tcPr>
            <w:tcW w:type="dxa" w:w="15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Serviço</w:t>
            </w:r>
          </w:p>
        </w:tc>
        <w:tc>
          <w:tcPr>
            <w:tcW w:type="dxa" w:w="4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Função</w:t>
            </w:r>
          </w:p>
        </w:tc>
        <w:tc>
          <w:tcPr>
            <w:tcW w:type="dxa" w:w="41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Plano em uso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PostgreSQL gerenciado, com backups do provedor.</w:t>
            </w:r>
          </w:p>
        </w:tc>
        <w:tc>
          <w:tcPr>
            <w:tcW w:type="dxa" w:w="4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instância, compartilhada por desenvolvimento e produção.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Render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Hospedagem da API em contêiner Node.js.</w:t>
            </w:r>
          </w:p>
        </w:tc>
        <w:tc>
          <w:tcPr>
            <w:tcW w:type="dxa" w:w="4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Serviço web único, porta atribuída pelo provedor.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Hospedagem estática da interface, com CDN.</w:t>
            </w:r>
          </w:p>
        </w:tc>
        <w:tc>
          <w:tcPr>
            <w:tcW w:type="dxa" w:w="4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Projeto ligado ao repositório.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Repositório e gatilho de publicação.</w:t>
            </w:r>
          </w:p>
        </w:tc>
        <w:tc>
          <w:tcPr>
            <w:tcW w:type="dxa" w:w="4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 na branch main dispara Vercel e Render.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2.3. Hardware e rede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Estação de desenvolvimento: qualquer equipamento capaz de executar Node.js e um navegador; 8 GB de memória são confortáveis. Não há requisito de servidor local — toda a infraestrutura de produção é gerenciada pelos provedores.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Saída HTTPS na porta 443 para os domínios dos três provedores. Nenhuma porta de entrada precisa ser aberta na rede da instituição.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Portas locais em desenvolvimento: 3000 (API) e 5173 (interface).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 origens autorizadas a consumir a API são declaradas na variável CORS_ORIGIN; nenhum outro domínio é aceito.</w:t>
      </w: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3. Instalação e configuração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3.1. Ambiente de desenvolvimento</w:t>
      </w:r>
    </w:p>
    <w:p>
      <w:pPr>
        <w:spacing w:after="120" w:line="276"/>
      </w:pPr>
      <w:r>
        <w:rPr>
          <w:sz w:val="21"/>
          <w:szCs w:val="21"/>
        </w:rPr>
        <w:t xml:space="preserve">Clone o repositório e instale as dependências da raiz, do servidor e da interface:</w:t>
      </w:r>
    </w:p>
    <w:tbl>
      <w:tblPr>
        <w:tblW w:type="dxa" w:w="9638"/>
        <w:tblBorders>
          <w:top w:val="single" w:color="E2E8F0" w:sz="4"/>
          <w:left w:val="single" w:color="94A3B8" w:sz="12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8FAFC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git clone &lt;url-do-repositorio&gt; sos-core-system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cd sos-core-system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npm run install:all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Crie os arquivos de ambiente a partir dos modelos versionados e preencha os valores:</w:t>
      </w:r>
    </w:p>
    <w:tbl>
      <w:tblPr>
        <w:tblW w:type="dxa" w:w="9638"/>
        <w:tblBorders>
          <w:top w:val="single" w:color="E2E8F0" w:sz="4"/>
          <w:left w:val="single" w:color="94A3B8" w:sz="12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8FAFC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64748B"/>
                <w:sz w:val="18"/>
                <w:szCs w:val="18"/>
              </w:rPr>
              <w:t xml:space="preserve"># na raiz do projeto (usado pela API)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copy .env.example .env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64748B"/>
                <w:sz w:val="18"/>
                <w:szCs w:val="18"/>
              </w:rPr>
              <w:t xml:space="preserve"># na pasta client (usado pela interface)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copy client\.env.example client\.env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Suba os dois processos, em terminais separados:</w:t>
      </w:r>
    </w:p>
    <w:tbl>
      <w:tblPr>
        <w:tblW w:type="dxa" w:w="9638"/>
        <w:tblBorders>
          <w:top w:val="single" w:color="E2E8F0" w:sz="4"/>
          <w:left w:val="single" w:color="94A3B8" w:sz="12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8FAFC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npm run dev:server    # API em http://localhost:3000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npm run dev:client    # interface em http://localhost:5173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Em desenvolvimento, o empacotador encaminha as chamadas iniciadas por /api ao servidor local, o que dispensa configuração adicional de CORS.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3.2. Variáveis de ambiente da API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1400"/>
        <w:gridCol w:w="5238"/>
      </w:tblGrid>
      <w:tr>
        <w:trPr>
          <w:tblHeader/>
        </w:trPr>
        <w:tc>
          <w:tcPr>
            <w:tcW w:type="dxa" w:w="3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Variável</w:t>
            </w:r>
          </w:p>
        </w:tc>
        <w:tc>
          <w:tcPr>
            <w:tcW w:type="dxa" w:w="1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52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JWT_SECRET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Segredo de assinatura dos tokens. Sem ele o servidor não inicia. Use valor aleatório de 32 caracteres ou mais em produção.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JWT_EXPIRES_IN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Validade do token. Padrão: 7d.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Em produção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Endereço da instância do banco.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Em produção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Credencial de serviço do banco. Restrita ao servidor.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CORS_ORIGIN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Origens autorizadas, separadas por vírgula. Sem valor, todas as origens são aceitas — apenas para desenvolvimento.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TRUST_PROXY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Em produção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Habilita a leitura do IP real atrás do proxy do provedor; sem ela os limitadores de requisição enxergam um único IP.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 de escuta. Em produção é atribuída pelo provedor.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NODE_ENV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Defina production para suprimir detalhes técnicos nas mensagens de erro.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3.3. Variáveis de ambiente da interface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Variável</w:t>
            </w:r>
          </w:p>
        </w:tc>
        <w:tc>
          <w:tcPr>
            <w:tcW w:type="dxa" w:w="70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Endereço base da API, incluindo o sufixo /api. Padrão em desenvolvimento: http://localhost:3000/api. Em produção, o endereço público do serviço no Render.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Variáveis iniciadas por VITE_ são incorporadas ao pacote gerado e ficam visíveis no navegador. Nunca coloque segredos nelas — em particular, a credencial de serviço do banco.</w:t>
      </w:r>
    </w:p>
    <w:p>
      <w:r>
        <w:br w:type="page"/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3.4. Banco de dados</w:t>
      </w:r>
    </w:p>
    <w:p>
      <w:pPr>
        <w:spacing w:after="120" w:line="276"/>
      </w:pPr>
      <w:r>
        <w:rPr>
          <w:sz w:val="21"/>
          <w:szCs w:val="21"/>
        </w:rPr>
        <w:t xml:space="preserve">Os scripts ficam em server/src/database e são aplicados manualmente pelo editor SQL da Supabase, nesta ordem: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800"/>
        <w:gridCol w:w="2600"/>
        <w:gridCol w:w="6238"/>
      </w:tblGrid>
      <w:tr>
        <w:trPr>
          <w:tblHeader/>
        </w:trPr>
        <w:tc>
          <w:tcPr>
            <w:tcW w:type="dxa" w:w="8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Ordem</w:t>
            </w:r>
          </w:p>
        </w:tc>
        <w:tc>
          <w:tcPr>
            <w:tcW w:type="dxa" w:w="26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Arquivo</w:t>
            </w:r>
          </w:p>
        </w:tc>
        <w:tc>
          <w:tcPr>
            <w:tcW w:type="dxa" w:w="62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Quando aplicar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schema.sql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Ambiente novo. Cria tabelas, índices, gatilhos e a carga inicial de unidades e das 38 turmas do cronograma do SCFV.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seed.sql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Ambiente novo. Cria o usuário administrador inicial e o vincula a todas as unidades. Troque a senha padrão logo após o primeiro acesso.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migrations/002 … 011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já existente. Aplicar em ordem numérica, uma vez cada; os scripts são idempotentes e podem ser reexecutados sem efeito colateral.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Não há controle automático de versão do esquema: registre em algum lugar as migrações já aplicadas. Toda migração nova deve seguir o mesmo padrão idempotente (if not exists, on conflict do nothing).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3.5. Publicação da API (Render)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70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Root Directory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install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start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Health Check Path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/health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Variáveis de ambiente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Todas as da seção 3.2, definidas no painel do serviço.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O diretório-raiz apontado para server é obrigatório: sem ele, a instalação de dependências e a execução ocorrem na raiz do repositório e o processo não encontra o ponto de entrada. Essa falha já ocorreu na implantação inicial.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3.6. Publicação da interface (Vercel)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70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Root Directory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Framework Preset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build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 Directory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Variáveis de ambiente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VITE_API_URL apontando para o endereço público da API.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O arquivo vercel.json, na raiz do repositório, reescreve todas as rotas para a raiz — necessário para que o roteamento no cliente funcione em recarregamentos de página. Se o projeto na Vercel apontar o diretório-raiz para client, replique esse arquivo dentro de client, senão a reescrita não é aplicada.</w:t>
      </w:r>
    </w:p>
    <w:p>
      <w:pPr>
        <w:spacing w:after="120" w:line="276"/>
      </w:pPr>
      <w:r>
        <w:rPr>
          <w:sz w:val="21"/>
          <w:szCs w:val="21"/>
        </w:rPr>
        <w:t xml:space="preserve">Depois de publicar, acrescente o domínio da interface à variável CORS_ORIGIN da API e reinicie o serviço.</w:t>
      </w: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4. Estrutura do código</w:t>
      </w:r>
    </w:p>
    <w:p>
      <w:pPr>
        <w:spacing w:after="120" w:line="276"/>
      </w:pPr>
      <w:r>
        <w:rPr>
          <w:sz w:val="21"/>
          <w:szCs w:val="21"/>
        </w:rPr>
        <w:t xml:space="preserve">O repositório reúne as duas aplicações, cada uma com o seu próprio package.json e ciclo de publicação.</w:t>
      </w:r>
    </w:p>
    <w:tbl>
      <w:tblPr>
        <w:tblW w:type="dxa" w:w="9638"/>
        <w:tblBorders>
          <w:top w:val="single" w:color="E2E8F0" w:sz="4"/>
          <w:left w:val="single" w:color="94A3B8" w:sz="12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8FAFC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sos-core-system/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├── client/                  interface React + Vite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└── src/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    ├── components/      componentes reutilizáveis e primitivos de UI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    ├── contexts/        AuthContext (sessão, perfil, unidade ativa)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    ├── hooks/           ganchos compartilhados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    ├── lib/             exportações PDF/XLSX, identidade visual, análises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    ├── pages/           telas do sistema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    └── services/        fachadas de acesso à API (Axios)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├── server/                  API Node.js + Express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├── index.js             ponto de entrada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├── src/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│   ├── app.js           cadeia de middlewares e roteador raiz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│   ├── config/          cliente Supabase e validação de ambiente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│   ├── controllers/     regras de negócio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│   ├── database/        schema.sql, seed.sql e migrations/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│   ├── middleware/      auth, authorize, rateLimiter, errorHandler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│   ├── models/          acesso a dados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│   ├── routes/          contratos da API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│   └── utils/           ApiResponse, jwtUtils, programContext, roles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│   └── tests/               testes automatizados (Jest + Supertest)</w:t>
            </w:r>
          </w:p>
          <w:p>
            <w:pPr>
              <w:spacing w:after="4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├── docs/                    documentação do projeto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└── vercel.json              reescrita de rotas da interface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A dependência entre as camadas do servidor flui em uma única direção — rotas, controladores, modelos — e nenhuma consulta ao banco é escrita fora dos modelos. Ao acrescentar um domínio novo, crie o arquivo correspondente em cada uma das três pastas e registre o roteador em src/routes/index.js.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4.1. Arquivos de referência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Arquivo</w:t>
            </w:r>
          </w:p>
        </w:tc>
        <w:tc>
          <w:tcPr>
            <w:tcW w:type="dxa" w:w="62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Por que importa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server/src/app.js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Ordem da cadeia de middlewares. Qualquer proteção nova entra aqui.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server/src/utils/roles.js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Definição única dos perfis de acesso, usada por rotas e controladores.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server/src/utils/programContext.js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Resolução da unidade efetiva da requisição — ponto central do isolamento por unidade.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server/src/config/validateEnv.js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Variáveis obrigatórias verificadas na inicialização.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client/src/services/api.js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Instância Axios, injeção do token e tratamento global de 401.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client/src/contexts/AuthContext.jsx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de sessão, perfil e unidade ativa no navegador.</w:t>
            </w:r>
          </w:p>
        </w:tc>
      </w:tr>
    </w:tbl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5. Scripts de build e implantação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1400"/>
        <w:gridCol w:w="5638"/>
      </w:tblGrid>
      <w:tr>
        <w:trPr>
          <w:tblHeader/>
        </w:trPr>
        <w:tc>
          <w:tcPr>
            <w:tcW w:type="dxa" w:w="26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Comando</w:t>
            </w:r>
          </w:p>
        </w:tc>
        <w:tc>
          <w:tcPr>
            <w:tcW w:type="dxa" w:w="1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Onde</w:t>
            </w:r>
          </w:p>
        </w:tc>
        <w:tc>
          <w:tcPr>
            <w:tcW w:type="dxa" w:w="56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install:all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raiz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Instala as dependências da raiz, do servidor e da interface.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dev:server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raiz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Sobe a API com recarga automática (nodemon).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dev:client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raiz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Sobe a interface em modo de desenvolvimento.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build:client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raiz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os arquivos estáticos da interface em client/dist.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test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raiz ou server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Executa a suíte de testes com relatório de cobertura.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seed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raiz ou server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inicial programática. Apaga usuários, unidades e vínculos antes de recriar — não usar em produção.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start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Executa a API em modo de produção. Comando usado pelo provedor.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5.1. Fluxo de publicação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Trabalhe em branch própria e abra pull request para main.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Antes de integrar, execute npm test e npm run build:client localmente.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 a alteração exigir mudança de esquema, aplique a migração no banco antes de integrar o código — a mesma instância atende aos dois ambientes.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integração em main dispara automaticamente a publicação na Vercel e no Render, de forma independente.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Depois da publicação, confirme /health na API e faça um login de verificação na interface.</w:t>
      </w: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6. Manutenção e suporte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6.1. Monitoramento e logs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2500"/>
        <w:gridCol w:w="5238"/>
      </w:tblGrid>
      <w:tr>
        <w:trPr>
          <w:tblHeader/>
        </w:trPr>
        <w:tc>
          <w:tcPr>
            <w:tcW w:type="dxa" w:w="19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Recurso</w:t>
            </w:r>
          </w:p>
        </w:tc>
        <w:tc>
          <w:tcPr>
            <w:tcW w:type="dxa" w:w="25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Onde consultar</w:t>
            </w:r>
          </w:p>
        </w:tc>
        <w:tc>
          <w:tcPr>
            <w:tcW w:type="dxa" w:w="52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 que mostra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Navegador ou monitor externo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 que o processo está no ar; responde status, mensagem e horário.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da API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do Render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Requisições registradas pelo morgan, erros capturados pelo errorHandler e eventos de auditoria (LOGIN, SWITCH_PROGRAM, gravação de presença).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de build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do Render e da Vercel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Falhas de instalação de dependências ou de empacotamento.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da Supabase</w:t>
            </w:r>
          </w:p>
        </w:tc>
        <w:tc>
          <w:tcPr>
            <w:tcW w:type="dxa" w:w="5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Consultas, uso de espaço e backups.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A trilha de auditoria tenta gravar na tabela audit_logs e, na falta dela, registra apenas no log do servidor, com aviso. Criar essa tabela é a melhoria recomendada para tornar a trilha consultável.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6.2. Rotina de atualização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Aplique a migração de banco, quando houver, antes de publicar o código que depende dela.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Publique pela integração em main e acompanhe os logs até o serviço responder em /health.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Verifique o login, o lançamento de uma lista de presença e uma exportação — é o caminho mínimo que exercita as três camadas.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Para reverter, republique o commit anterior no provedor. Alterações de banco não são revertidas automaticamente: escreva o script de reversão quando a migração for destrutiva.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6.3. Falhas mais comuns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2400"/>
        <w:gridCol w:w="4738"/>
      </w:tblGrid>
      <w:tr>
        <w:trPr>
          <w:tblHeader/>
        </w:trPr>
        <w:tc>
          <w:tcPr>
            <w:tcW w:type="dxa" w:w="25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Sintoma</w:t>
            </w:r>
          </w:p>
        </w:tc>
        <w:tc>
          <w:tcPr>
            <w:tcW w:type="dxa" w:w="2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47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Correção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não inicia; log indica módulo não encontrado.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Diretório-raiz do serviço não aponta para server.</w:t>
            </w:r>
          </w:p>
        </w:tc>
        <w:tc>
          <w:tcPr>
            <w:tcW w:type="dxa" w:w="4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Ajuste Root Directory para server no painel do Render.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Servidor encerra na inicialização com erro de configuração.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Variável obrigatória ausente.</w:t>
            </w:r>
          </w:p>
        </w:tc>
        <w:tc>
          <w:tcPr>
            <w:tcW w:type="dxa" w:w="4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Confira JWT_SECRET e, em produção, as credenciais da Supabase.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abre, mas nenhuma requisição funciona.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CORS_ORIGIN sem o domínio da interface, ou VITE_API_URL incorreta.</w:t>
            </w:r>
          </w:p>
        </w:tc>
        <w:tc>
          <w:tcPr>
            <w:tcW w:type="dxa" w:w="4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Acerte as duas variáveis e reinicie o serviço.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novos não aparecem em produção.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Migração não aplicada no banco.</w:t>
            </w:r>
          </w:p>
        </w:tc>
        <w:tc>
          <w:tcPr>
            <w:tcW w:type="dxa" w:w="4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Aplique o script pendente no editor SQL da Supabase.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 deslogados com frequência.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expirado ou JWT_SECRET alterado.</w:t>
            </w:r>
          </w:p>
        </w:tc>
        <w:tc>
          <w:tcPr>
            <w:tcW w:type="dxa" w:w="4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Ajuste JWT_EXPIRES_IN; lembre que trocar o segredo invalida todas as sessões.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Recarregar uma rota interna devolve 404.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Reescrita de rotas ausente na Vercel.</w:t>
            </w:r>
          </w:p>
        </w:tc>
        <w:tc>
          <w:tcPr>
            <w:tcW w:type="dxa" w:w="4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Garanta o vercel.json no diretório-raiz configurado no projeto.</w:t>
            </w:r>
          </w:p>
        </w:tc>
      </w:tr>
    </w:tbl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7. Considerações de segurança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7.1. Proteções implementadas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Proteção</w:t>
            </w:r>
          </w:p>
        </w:tc>
        <w:tc>
          <w:tcPr>
            <w:tcW w:type="dxa" w:w="72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Como funciona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Senhas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Armazenadas apenas como hash bcrypt; nunca trafegam nem são gravadas em texto puro.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assinado (JWT) com validade padrão de sete dias, verificado a cada requisição.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Autorização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verificado no servidor em toda rota; a ocultação de itens na interface é apenas conveniência.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Isolamento por unidade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 ativa e unidades permitidas viajam no token; valores enviados pelo cliente são sempre confrontados com essa relação.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Limitação de requisições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Dez tentativas malsucedidas de login por origem a cada quinze minutos; quinhentas requisições no mesmo intervalo para a API.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Cabeçalhos e origens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helmet aplica cabeçalhos de segurança; cors aceita apenas as origens declaradas.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Mensagens de erro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Fora do ambiente de desenvolvimento, detalhes técnicos não são devolvidos ao cliente.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sensíveis em tela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NIS e documentos são exibidos mascarados, com revelação sob ação explícita.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Exclusão de assistidos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Restrita ao perfil Administrador, por apagar o histórico de frequência em cascata.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7.2. Cuidados operacionais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credencial de serviço da Supabase dá acesso irrestrito ao banco. Mantenha-a apenas nas variáveis do servidor, nunca no repositório nem em variáveis VITE_.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Não há segunda barreira no banco: a autorização é garantida somente pelo código da aplicação. Alterações em rotas ou controladores devem ser acompanhadas dos testes de segregação por unidade.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Defina TRUST_PROXY em produção; sem ela, os limitadores enxergam um único IP e perdem eficácia.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Rotacione JWT_SECRET em caso de suspeita de vazamento, ciente de que isso encerra todas as sessões ativas.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desativação de um funcionário passa a valer no próximo login: o token já emitido continua válido até expirar. Em caso de desligamento imediato, troque o segredo.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Arquivos .env nunca são versionados; apenas os modelos .env.example.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 sistema trata dados pessoais sensíveis de crianças, adolescentes e idosos. Fichas e planilhas exportadas devem ser tratadas como documento sigiloso, e o acesso de cada funcionário limitado à sua unidade.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Separar as instâncias de banco de desenvolvimento e produção é a principal melhoria pendente: hoje qualquer teste local escreve na base real.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Serviço de Obras Sociais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spacing w:after="80"/>
      <w:jc w:val="right"/>
    </w:pPr>
    <w:r>
      <w:rPr>
        <w:color w:val="64748B"/>
        <w:sz w:val="16"/>
        <w:szCs w:val="16"/>
      </w:rPr>
      <w:t xml:space="preserve">SIGU — Manual Técnico e Guia de Implantação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b513b2c0ce465446f56371d4c9e27ce04a862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SIGU — Manual Técnico e Guia de Implantação</dc:title>
  <dc:creator>Serviço de Obras Sociais</dc:creator>
  <dc:description>Instalação, publicação, manutenção e segurança do SIGU</dc:description>
  <cp:lastModifiedBy>Un-named</cp:lastModifiedBy>
  <cp:revision>1</cp:revision>
  <dcterms:created xsi:type="dcterms:W3CDTF">2026-08-02T20:22:45.904Z</dcterms:created>
  <dcterms:modified xsi:type="dcterms:W3CDTF">2026-08-02T20:22:45.904Z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