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EDE01" w14:textId="0F9453EC" w:rsidR="00272AE2" w:rsidRDefault="001F64FC" w:rsidP="001F64FC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1F64FC">
        <w:rPr>
          <w:rFonts w:ascii="Eras Bold ITC" w:hAnsi="Eras Bold ITC"/>
          <w:color w:val="FFC000"/>
          <w:sz w:val="36"/>
          <w:szCs w:val="36"/>
        </w:rPr>
        <w:t>MODELO DE CAIXAS</w:t>
      </w:r>
    </w:p>
    <w:p w14:paraId="48642FF8" w14:textId="0BCF3E21" w:rsidR="001F64FC" w:rsidRDefault="001F64FC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De forma simples e objetiva, a grande maioria dos elementos HTML que temos no nosso site são como caixas (“box model”). Elas são </w:t>
      </w:r>
      <w:r w:rsidRPr="001F64FC"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>containers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 xml:space="preserve">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quer armazenam </w:t>
      </w:r>
      <w:r w:rsidR="00D86C29">
        <w:rPr>
          <w:rFonts w:ascii="Eras Bold ITC" w:hAnsi="Eras Bold ITC"/>
          <w:color w:val="262626" w:themeColor="text1" w:themeTint="D9"/>
          <w:sz w:val="24"/>
          <w:szCs w:val="24"/>
        </w:rPr>
        <w:t>conteúdos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ou até mesmo outras caixas.</w:t>
      </w:r>
    </w:p>
    <w:p w14:paraId="5715DD4A" w14:textId="3D74A047" w:rsidR="001F64FC" w:rsidRDefault="001F64FC" w:rsidP="001F64FC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ANATOMIA DE UMA CAIXA</w:t>
      </w:r>
    </w:p>
    <w:p w14:paraId="3E35904C" w14:textId="69BDD530" w:rsidR="001F64FC" w:rsidRDefault="001F64FC" w:rsidP="001F64FC">
      <w:pPr>
        <w:jc w:val="center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457DCF4B" wp14:editId="06865028">
            <wp:extent cx="4591050" cy="3505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EFF3" w14:textId="7D9A3877" w:rsidR="00A032F3" w:rsidRDefault="00A032F3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71087053" wp14:editId="649D3229">
            <wp:extent cx="5400040" cy="2649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AD0" w14:textId="05CBD4DF" w:rsidR="00A032F3" w:rsidRDefault="00A032F3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9166D" wp14:editId="1383503F">
            <wp:extent cx="540004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A0077" wp14:editId="077B7A25">
            <wp:extent cx="5400040" cy="23977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6AC69" wp14:editId="350B1906">
            <wp:extent cx="5400040" cy="14966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2BE" w14:textId="7823C640" w:rsidR="00A032F3" w:rsidRDefault="00A032F3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7C239" wp14:editId="7AD0997E">
            <wp:extent cx="5400040" cy="24377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BC78A" wp14:editId="7DC394AC">
            <wp:extent cx="5400040" cy="3838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8E1">
        <w:rPr>
          <w:noProof/>
        </w:rPr>
        <w:drawing>
          <wp:inline distT="0" distB="0" distL="0" distR="0" wp14:anchorId="03F8D31C" wp14:editId="40C6D12F">
            <wp:extent cx="5400040" cy="19551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74E5" w14:textId="288F20AD" w:rsidR="00EF08E1" w:rsidRDefault="00EF08E1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7B337" wp14:editId="340ECBC0">
            <wp:extent cx="5400040" cy="30753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C62C" wp14:editId="648B6C45">
            <wp:extent cx="5400040" cy="266255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B9D">
        <w:rPr>
          <w:noProof/>
        </w:rPr>
        <w:drawing>
          <wp:inline distT="0" distB="0" distL="0" distR="0" wp14:anchorId="2B44A356" wp14:editId="329D8E69">
            <wp:extent cx="4524375" cy="284263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734" cy="28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887" w14:textId="4F65CAB8" w:rsidR="00D86C29" w:rsidRDefault="002E2245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lastRenderedPageBreak/>
        <w:t>Através das linha</w:t>
      </w:r>
      <w:r w:rsidR="0025611E">
        <w:rPr>
          <w:rFonts w:ascii="Eras Bold ITC" w:hAnsi="Eras Bold ITC"/>
          <w:color w:val="262626" w:themeColor="text1" w:themeTint="D9"/>
          <w:sz w:val="24"/>
          <w:szCs w:val="24"/>
        </w:rPr>
        <w:t>s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de códigos é possível transformar um elemento inline em box e vice versa. Usando código </w:t>
      </w:r>
      <w:r w:rsidRPr="0025611E">
        <w:rPr>
          <w:rFonts w:ascii="Eras Bold ITC" w:hAnsi="Eras Bold ITC"/>
          <w:i/>
          <w:iCs/>
          <w:color w:val="C00000"/>
          <w:sz w:val="24"/>
          <w:szCs w:val="24"/>
        </w:rPr>
        <w:t>display: block</w:t>
      </w:r>
      <w:r w:rsidRPr="0025611E">
        <w:rPr>
          <w:rFonts w:ascii="Eras Bold ITC" w:hAnsi="Eras Bold ITC"/>
          <w:color w:val="C00000"/>
          <w:sz w:val="24"/>
          <w:szCs w:val="24"/>
        </w:rPr>
        <w:t xml:space="preserve">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para box e </w:t>
      </w:r>
      <w:r w:rsidRPr="0025611E">
        <w:rPr>
          <w:rFonts w:ascii="Eras Bold ITC" w:hAnsi="Eras Bold ITC"/>
          <w:i/>
          <w:iCs/>
          <w:color w:val="C00000"/>
          <w:sz w:val="24"/>
          <w:szCs w:val="24"/>
        </w:rPr>
        <w:t>display: inline</w:t>
      </w:r>
      <w:r w:rsidRPr="0025611E">
        <w:rPr>
          <w:rFonts w:ascii="Eras Bold ITC" w:hAnsi="Eras Bold ITC"/>
          <w:color w:val="C00000"/>
          <w:sz w:val="24"/>
          <w:szCs w:val="24"/>
        </w:rPr>
        <w:t xml:space="preserve">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para inline</w:t>
      </w:r>
      <w:r w:rsidR="0025611E">
        <w:rPr>
          <w:rFonts w:ascii="Eras Bold ITC" w:hAnsi="Eras Bold ITC"/>
          <w:color w:val="262626" w:themeColor="text1" w:themeTint="D9"/>
          <w:sz w:val="24"/>
          <w:szCs w:val="24"/>
        </w:rPr>
        <w:t>.</w:t>
      </w:r>
    </w:p>
    <w:p w14:paraId="446CE45F" w14:textId="2081DAFE" w:rsidR="0025611E" w:rsidRDefault="00BF3EFD" w:rsidP="001F64FC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pict w14:anchorId="30BB0AE1">
          <v:rect id="_x0000_i1025" style="width:0;height:1.5pt" o:hralign="center" o:hrstd="t" o:hr="t" fillcolor="#a0a0a0" stroked="f"/>
        </w:pict>
      </w:r>
    </w:p>
    <w:p w14:paraId="0F1ECDF0" w14:textId="6698AD4B" w:rsidR="0025611E" w:rsidRDefault="0025611E" w:rsidP="0025611E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25611E">
        <w:rPr>
          <w:rFonts w:ascii="Eras Bold ITC" w:hAnsi="Eras Bold ITC"/>
          <w:color w:val="FFC000"/>
          <w:sz w:val="36"/>
          <w:szCs w:val="36"/>
        </w:rPr>
        <w:t>GROUPING TAGS e SEMANTIC TAGS</w:t>
      </w:r>
    </w:p>
    <w:p w14:paraId="0A3CF99B" w14:textId="6EAE0E4B" w:rsidR="0025611E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HEADER</w:t>
      </w:r>
      <w:r>
        <w:rPr>
          <w:rFonts w:ascii="Eras Bold ITC" w:hAnsi="Eras Bold ITC"/>
          <w:color w:val="C00000"/>
          <w:sz w:val="28"/>
          <w:szCs w:val="28"/>
        </w:rPr>
        <w:t>:</w:t>
      </w:r>
      <w:r>
        <w:rPr>
          <w:rFonts w:ascii="Eras Bold ITC" w:hAnsi="Eras Bold ITC"/>
          <w:color w:val="C00000"/>
          <w:sz w:val="24"/>
          <w:szCs w:val="24"/>
        </w:rPr>
        <w:t xml:space="preserve">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Cria áreas relativas à cabeçalhos. Pode ser o cabeçalho principal de um site ou até mesmo o cabeçalho de um artigo ou seção. Normalmente inclui títulos h1 – h6 e subtítulos. Podem também conter menus de navegação.</w:t>
      </w:r>
    </w:p>
    <w:p w14:paraId="0CB427C5" w14:textId="3C21906A" w:rsidR="00EC6837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NAV</w:t>
      </w:r>
      <w:r>
        <w:rPr>
          <w:rFonts w:ascii="Eras Bold ITC" w:hAnsi="Eras Bold ITC"/>
          <w:color w:val="C00000"/>
          <w:sz w:val="28"/>
          <w:szCs w:val="28"/>
        </w:rPr>
        <w:t xml:space="preserve">: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Define uma área que possui os links de navegação pela estrutura de páginas que vão compor o website. Um &lt;</w:t>
      </w:r>
      <w:r w:rsidRPr="00EC6837"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>nav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 xml:space="preserve">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&gt; pode estar dentro de um &lt; 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>header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&gt;.</w:t>
      </w:r>
    </w:p>
    <w:p w14:paraId="6227B4E9" w14:textId="1E0FDC11" w:rsidR="00EC6837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MAIN</w:t>
      </w:r>
      <w:r>
        <w:rPr>
          <w:rFonts w:ascii="Eras Bold ITC" w:hAnsi="Eras Bold ITC"/>
          <w:color w:val="C00000"/>
          <w:sz w:val="28"/>
          <w:szCs w:val="28"/>
        </w:rPr>
        <w:t>: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É um agrupador usado para delimitar o conteúdo principal do nosso site. Normalmente concentra as seções, artigos e conteúdos periféricos.</w:t>
      </w:r>
    </w:p>
    <w:p w14:paraId="26AFF9EE" w14:textId="1894A076" w:rsidR="00EC6837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SECTION</w:t>
      </w:r>
      <w:r>
        <w:rPr>
          <w:rFonts w:ascii="Eras Bold ITC" w:hAnsi="Eras Bold ITC"/>
          <w:color w:val="C00000"/>
          <w:sz w:val="28"/>
          <w:szCs w:val="28"/>
        </w:rPr>
        <w:t xml:space="preserve">: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Cria seções para sua página. Ela pode conter o conteúdo diretamente no seu corpo ou dividir os conteúdos em artigos com conteúdos específicos. Segundo a documentação W3C, “uma seção é um agrupamento temático de conteúdos, tipicamente com um cabeçalho”.</w:t>
      </w:r>
    </w:p>
    <w:p w14:paraId="464334E7" w14:textId="3CD430CB" w:rsidR="00EC6837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ARTICLE</w:t>
      </w:r>
      <w:r>
        <w:rPr>
          <w:rFonts w:ascii="Eras Bold ITC" w:hAnsi="Eras Bold ITC"/>
          <w:color w:val="C00000"/>
          <w:sz w:val="28"/>
          <w:szCs w:val="28"/>
        </w:rPr>
        <w:t xml:space="preserve">: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Um artigo é um elemento que vai conter um conteúdo que pode ser lido de forma independente e dizem respeito a um mesmo assunto. Podemos usar um &lt; 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>article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&gt; para delimitar um post de blog ou fórum, uma noticia, etc.</w:t>
      </w:r>
    </w:p>
    <w:p w14:paraId="48D9EDD5" w14:textId="1DDBA0FA" w:rsid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ASIDE</w:t>
      </w:r>
      <w:r>
        <w:rPr>
          <w:rFonts w:ascii="Eras Bold ITC" w:hAnsi="Eras Bold ITC"/>
          <w:color w:val="C00000"/>
          <w:sz w:val="28"/>
          <w:szCs w:val="28"/>
        </w:rPr>
        <w:t xml:space="preserve">: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Delimita um conteúdo periférico e complementar ao conteúdo principal de um artigo ou seção. Normalmente um conteúdo &lt; </w:t>
      </w:r>
      <w:r>
        <w:rPr>
          <w:rFonts w:ascii="Eras Bold ITC" w:hAnsi="Eras Bold ITC"/>
          <w:i/>
          <w:iCs/>
          <w:color w:val="262626" w:themeColor="text1" w:themeTint="D9"/>
          <w:sz w:val="24"/>
          <w:szCs w:val="24"/>
        </w:rPr>
        <w:t>aside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 xml:space="preserve"> &gt; está posicionado ao lado de um determinado texto ou ate mesmo no meio dele, exatamente como fizermos no bloco de texto apresentado anteriormente, falando sobre “MULTIPLOS NIVEIS”.</w:t>
      </w:r>
    </w:p>
    <w:p w14:paraId="0DBB4607" w14:textId="39DA143A" w:rsidR="00EC6837" w:rsidRPr="00EC6837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7E46C34B" wp14:editId="49E9DD7D">
            <wp:extent cx="5400040" cy="972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CADA" w14:textId="10668DD6" w:rsidR="00072366" w:rsidRDefault="00EC6837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 w:rsidRPr="00EC6837">
        <w:rPr>
          <w:rFonts w:ascii="Eras Bold ITC" w:hAnsi="Eras Bold ITC"/>
          <w:color w:val="C00000"/>
          <w:sz w:val="28"/>
          <w:szCs w:val="28"/>
        </w:rPr>
        <w:t>FOOTER</w:t>
      </w:r>
      <w:r>
        <w:rPr>
          <w:rFonts w:ascii="Eras Bold ITC" w:hAnsi="Eras Bold ITC"/>
          <w:color w:val="C00000"/>
          <w:sz w:val="28"/>
          <w:szCs w:val="28"/>
        </w:rPr>
        <w:t xml:space="preserve">: 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Cria um rodapé para o site inteiro, se</w:t>
      </w:r>
      <w:r w:rsidR="00072366">
        <w:rPr>
          <w:rFonts w:ascii="Eras Bold ITC" w:hAnsi="Eras Bold ITC"/>
          <w:color w:val="262626" w:themeColor="text1" w:themeTint="D9"/>
          <w:sz w:val="24"/>
          <w:szCs w:val="24"/>
        </w:rPr>
        <w:t>çã</w:t>
      </w:r>
      <w:r>
        <w:rPr>
          <w:rFonts w:ascii="Eras Bold ITC" w:hAnsi="Eras Bold ITC"/>
          <w:color w:val="262626" w:themeColor="text1" w:themeTint="D9"/>
          <w:sz w:val="24"/>
          <w:szCs w:val="24"/>
        </w:rPr>
        <w:t>o ou artigo. É um conteúdo que não faz parte diretamente do conteúdo nem é um conteúdo periférico</w:t>
      </w:r>
      <w:r w:rsidR="00072366">
        <w:rPr>
          <w:rFonts w:ascii="Eras Bold ITC" w:hAnsi="Eras Bold ITC"/>
          <w:color w:val="262626" w:themeColor="text1" w:themeTint="D9"/>
          <w:sz w:val="24"/>
          <w:szCs w:val="24"/>
        </w:rPr>
        <w:t>, mas possui informações sobre autoria do conteúdo, links adicionais, mapa do site, documentos relacionados.</w:t>
      </w:r>
    </w:p>
    <w:p w14:paraId="495C045D" w14:textId="77777777" w:rsidR="00072366" w:rsidRDefault="00072366">
      <w:pPr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br w:type="page"/>
      </w:r>
    </w:p>
    <w:p w14:paraId="6100FD07" w14:textId="77777777" w:rsidR="00D44701" w:rsidRDefault="00072366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96BAD1" wp14:editId="5225E7E9">
            <wp:extent cx="5400040" cy="37420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F8C" w14:textId="26B9C491" w:rsidR="00D44701" w:rsidRDefault="00D44701" w:rsidP="00EC6837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pict w14:anchorId="3050CC48">
          <v:rect id="_x0000_i1028" style="width:0;height:1.5pt" o:hralign="center" o:hrstd="t" o:hr="t" fillcolor="#a0a0a0" stroked="f"/>
        </w:pict>
      </w:r>
    </w:p>
    <w:p w14:paraId="4362F9B6" w14:textId="729BA32D" w:rsidR="00D44701" w:rsidRPr="00D44701" w:rsidRDefault="00D44701" w:rsidP="00D44701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D44701">
        <w:rPr>
          <w:rFonts w:ascii="Eras Bold ITC" w:hAnsi="Eras Bold ITC"/>
          <w:color w:val="FFC000"/>
          <w:sz w:val="36"/>
          <w:szCs w:val="36"/>
        </w:rPr>
        <w:t>SOMBRAS NAS CAIXAS</w:t>
      </w:r>
    </w:p>
    <w:p w14:paraId="57CFFAF2" w14:textId="47EE9E9A" w:rsidR="00D44701" w:rsidRDefault="00D44701" w:rsidP="00D44701">
      <w:pPr>
        <w:jc w:val="center"/>
        <w:rPr>
          <w:rFonts w:ascii="Eras Bold ITC" w:hAnsi="Eras Bold ITC"/>
          <w:color w:val="262626" w:themeColor="text1" w:themeTint="D9"/>
          <w:sz w:val="36"/>
          <w:szCs w:val="36"/>
        </w:rPr>
      </w:pPr>
      <w:r>
        <w:rPr>
          <w:noProof/>
        </w:rPr>
        <w:drawing>
          <wp:inline distT="0" distB="0" distL="0" distR="0" wp14:anchorId="0EA14DFF" wp14:editId="1E7467EA">
            <wp:extent cx="3590925" cy="167976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588" cy="17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5369" w14:textId="72C34AE8" w:rsidR="00D44701" w:rsidRDefault="00D44701" w:rsidP="00D44701">
      <w:pPr>
        <w:jc w:val="center"/>
        <w:rPr>
          <w:rFonts w:ascii="Eras Bold ITC" w:hAnsi="Eras Bold ITC"/>
          <w:color w:val="262626" w:themeColor="text1" w:themeTint="D9"/>
          <w:sz w:val="36"/>
          <w:szCs w:val="36"/>
        </w:rPr>
      </w:pPr>
      <w:r>
        <w:rPr>
          <w:noProof/>
        </w:rPr>
        <w:drawing>
          <wp:inline distT="0" distB="0" distL="0" distR="0" wp14:anchorId="4315A46C" wp14:editId="38646A9D">
            <wp:extent cx="5400040" cy="25495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A63" w14:textId="606403BC" w:rsidR="00D44701" w:rsidRPr="00D44701" w:rsidRDefault="00D44701" w:rsidP="00D44701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D44701">
        <w:rPr>
          <w:rFonts w:ascii="Eras Bold ITC" w:hAnsi="Eras Bold ITC"/>
          <w:color w:val="FFC000"/>
          <w:sz w:val="36"/>
          <w:szCs w:val="36"/>
        </w:rPr>
        <w:lastRenderedPageBreak/>
        <w:t>BORDAS DECORADAS</w:t>
      </w:r>
    </w:p>
    <w:p w14:paraId="77F03D34" w14:textId="5AFA209E" w:rsid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As bordas das caixas não precisam ser sempre retangulares e podem ter alguns detalhes especiais.</w:t>
      </w:r>
    </w:p>
    <w:p w14:paraId="48C239BF" w14:textId="6B25298E" w:rsid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8"/>
          <w:szCs w:val="28"/>
        </w:rPr>
      </w:pPr>
      <w:r w:rsidRPr="00D44701">
        <w:rPr>
          <w:rFonts w:ascii="Eras Bold ITC" w:hAnsi="Eras Bold ITC"/>
          <w:color w:val="262626" w:themeColor="text1" w:themeTint="D9"/>
          <w:sz w:val="28"/>
          <w:szCs w:val="28"/>
        </w:rPr>
        <w:t>VÉRTICES ARREDONDADOS</w:t>
      </w:r>
    </w:p>
    <w:p w14:paraId="0BB815CA" w14:textId="790DAACD" w:rsid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noProof/>
        </w:rPr>
        <w:drawing>
          <wp:inline distT="0" distB="0" distL="0" distR="0" wp14:anchorId="037BCB89" wp14:editId="3F3BED5C">
            <wp:extent cx="4133850" cy="1600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626" w14:textId="176EF2C0" w:rsid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rFonts w:ascii="Eras Bold ITC" w:hAnsi="Eras Bold ITC"/>
          <w:color w:val="262626" w:themeColor="text1" w:themeTint="D9"/>
          <w:sz w:val="24"/>
          <w:szCs w:val="24"/>
        </w:rPr>
        <w:t>Esse elemento segue o mesmo padrão das margins. Isso significa que ela aceita shorthands. Podemos escrever um único valor, que assim seria imposto aos quatro cantos, ou dois que seria impostos horizontalmente.</w:t>
      </w:r>
    </w:p>
    <w:p w14:paraId="166367B9" w14:textId="619B3AAD" w:rsidR="00D44701" w:rsidRP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B26E4AE" wp14:editId="3E1F94EB">
            <wp:extent cx="4124325" cy="16192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5DCA43" w14:textId="77777777" w:rsidR="00D44701" w:rsidRP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</w:p>
    <w:p w14:paraId="246893C8" w14:textId="77777777" w:rsidR="00D44701" w:rsidRPr="00D44701" w:rsidRDefault="00D44701" w:rsidP="00D44701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</w:p>
    <w:sectPr w:rsidR="00D44701" w:rsidRPr="00D44701" w:rsidSect="001F64FC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E2"/>
    <w:rsid w:val="00072366"/>
    <w:rsid w:val="001F64FC"/>
    <w:rsid w:val="0025611E"/>
    <w:rsid w:val="00272AE2"/>
    <w:rsid w:val="002E2245"/>
    <w:rsid w:val="00700B9D"/>
    <w:rsid w:val="00A032F3"/>
    <w:rsid w:val="00BF3EFD"/>
    <w:rsid w:val="00D44701"/>
    <w:rsid w:val="00D86C29"/>
    <w:rsid w:val="00E15B39"/>
    <w:rsid w:val="00EC6837"/>
    <w:rsid w:val="00EF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12952"/>
  <w15:chartTrackingRefBased/>
  <w15:docId w15:val="{44E7687B-2DBF-4535-9848-905291925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374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</dc:creator>
  <cp:keywords/>
  <dc:description/>
  <cp:lastModifiedBy>Fe</cp:lastModifiedBy>
  <cp:revision>4</cp:revision>
  <dcterms:created xsi:type="dcterms:W3CDTF">2023-03-29T23:02:00Z</dcterms:created>
  <dcterms:modified xsi:type="dcterms:W3CDTF">2023-03-31T22:12:00Z</dcterms:modified>
</cp:coreProperties>
</file>