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E3A5F"/>
          <w:sz w:val="60"/>
        </w:rPr>
        <w:t>Verity</w:t>
      </w:r>
    </w:p>
    <w:p>
      <w:r>
        <w:rPr>
          <w:color w:val="64748B"/>
          <w:sz w:val="26"/>
        </w:rPr>
        <w:t>Project Report — understanding every piece of the build</w:t>
      </w:r>
    </w:p>
    <w:p>
      <w:r>
        <w:rPr>
          <w:color w:val="64748B"/>
        </w:rPr>
        <w:t>Bennett University Microsoft Innovate 2026 · Problem Statement 31 · One Definition. One Number. One Truth.</w:t>
      </w:r>
    </w:p>
    <w:p>
      <w:pPr>
        <w:pBdr>
          <w:bottom w:val="single" w:sz="8" w:color="3B82F6"/>
        </w:pBdr>
        <w:spacing w:after="200"/>
      </w:pPr>
    </w:p>
    <w:p>
      <w:pPr>
        <w:pStyle w:val="Heading1"/>
      </w:pPr>
      <w:r>
        <w:t>Abstract</w:t>
      </w:r>
    </w:p>
    <w:p>
      <w:r>
        <w:t>Sales and Finance disagree on what “revenue” means because they calculate it differently. Verity is a local web application that ends this by defining revenue ONCE — as a governed metric — and routing every KPI, chart, table, export and security rule through that single definition. This report explains the entire build in plain language: the business problem, the architecture, how the data is generated, how each page works under the hood, the mathematics behind the intelligence features, and how to run and demo everything.</w:t>
      </w:r>
    </w:p>
    <w:p>
      <w:pPr>
        <w:pStyle w:val="Heading1"/>
      </w:pPr>
      <w:r>
        <w:t>Chapter 1 — The Business Problem</w:t>
      </w:r>
    </w:p>
    <w:p>
      <w:r>
        <w:t>A company sells products across India. Different departments report “revenue”: the Sales team counts the full price of everything sold (Gross Sales); Finance subtracts discounts and returned items (Net Revenue). Both are correct — they use different definitions of the same word. Across 82,000 transactions, 5 regions and 128 products, this becomes total chaos: every meeting starts with an argument about whose number is right.</w:t>
      </w:r>
    </w:p>
    <w:p>
      <w:r>
        <w:t>The insight of PS31: the fix is not a better spreadsheet — it is ONE definition, enforced by software, that no team can accidentally break.</w:t>
      </w:r>
    </w:p>
    <w:p>
      <w:pPr>
        <w:pStyle w:val="Heading1"/>
      </w:pPr>
      <w:r>
        <w:t>Chapter 2 — The Solution Concept</w:t>
      </w:r>
    </w:p>
    <w:p>
      <w:r>
        <w:t>Verity is built on three ideas:</w:t>
      </w:r>
    </w:p>
    <w:tbl>
      <w:tblPr>
        <w:tblStyle w:val="TableGrid"/>
        <w:tblW w:type="auto" w:w="0"/>
        <w:tblLook w:firstColumn="1" w:firstRow="1" w:lastColumn="0" w:lastRow="0" w:noHBand="0" w:noVBand="1" w:val="04A0"/>
      </w:tblPr>
      <w:tblGrid>
        <w:gridCol w:w="3312"/>
        <w:gridCol w:w="3312"/>
        <w:gridCol w:w="3312"/>
      </w:tblGrid>
      <w:tr>
        <w:tc>
          <w:tcPr>
            <w:tcW w:type="dxa" w:w="2160"/>
            <w:shd w:val="clear" w:fill="1E3A5F"/>
          </w:tcPr>
          <w:p>
            <w:r>
              <w:rPr>
                <w:b/>
                <w:color w:val="FFFFFF"/>
                <w:sz w:val="19"/>
              </w:rPr>
              <w:t>Idea</w:t>
            </w:r>
          </w:p>
        </w:tc>
        <w:tc>
          <w:tcPr>
            <w:tcW w:type="dxa" w:w="5040"/>
            <w:shd w:val="clear" w:fill="1E3A5F"/>
          </w:tcPr>
          <w:p>
            <w:r>
              <w:rPr>
                <w:b/>
                <w:color w:val="FFFFFF"/>
                <w:sz w:val="19"/>
              </w:rPr>
              <w:t>Plain meaning</w:t>
            </w:r>
          </w:p>
        </w:tc>
        <w:tc>
          <w:tcPr>
            <w:tcW w:type="dxa" w:w="2304"/>
            <w:shd w:val="clear" w:fill="1E3A5F"/>
          </w:tcPr>
          <w:p>
            <w:r>
              <w:rPr>
                <w:b/>
                <w:color w:val="FFFFFF"/>
                <w:sz w:val="19"/>
              </w:rPr>
              <w:t>Where it lives</w:t>
            </w:r>
          </w:p>
        </w:tc>
      </w:tr>
      <w:tr>
        <w:tc>
          <w:tcPr>
            <w:tcW w:type="dxa" w:w="2160"/>
          </w:tcPr>
          <w:p>
            <w:r>
              <w:rPr>
                <w:b/>
                <w:sz w:val="19"/>
              </w:rPr>
              <w:t>Governed metric</w:t>
            </w:r>
          </w:p>
        </w:tc>
        <w:tc>
          <w:tcPr>
            <w:tcW w:type="dxa" w:w="5040"/>
          </w:tcPr>
          <w:p>
            <w:r>
              <w:rPr>
                <w:sz w:val="19"/>
              </w:rPr>
              <w:t>Net Revenue = Gross Sales − Discounts − Returns, defined once in code</w:t>
            </w:r>
          </w:p>
        </w:tc>
        <w:tc>
          <w:tcPr>
            <w:tcW w:type="dxa" w:w="2304"/>
          </w:tcPr>
          <w:p>
            <w:r>
              <w:rPr>
                <w:sz w:val="19"/>
              </w:rPr>
              <w:t>src/metrics.py</w:t>
            </w:r>
          </w:p>
        </w:tc>
      </w:tr>
      <w:tr>
        <w:tc>
          <w:tcPr>
            <w:tcW w:type="dxa" w:w="2160"/>
            <w:shd w:val="clear" w:fill="EEF2FA"/>
          </w:tcPr>
          <w:p>
            <w:r>
              <w:rPr>
                <w:b/>
                <w:sz w:val="19"/>
              </w:rPr>
              <w:t>Star schema</w:t>
            </w:r>
          </w:p>
        </w:tc>
        <w:tc>
          <w:tcPr>
            <w:tcW w:type="dxa" w:w="5040"/>
            <w:shd w:val="clear" w:fill="EEF2FA"/>
          </w:tcPr>
          <w:p>
            <w:r>
              <w:rPr>
                <w:sz w:val="19"/>
              </w:rPr>
              <w:t>One big transaction table connected to lookup tables (date, product, customer, territory)</w:t>
            </w:r>
          </w:p>
        </w:tc>
        <w:tc>
          <w:tcPr>
            <w:tcW w:type="dxa" w:w="2304"/>
            <w:shd w:val="clear" w:fill="EEF2FA"/>
          </w:tcPr>
          <w:p>
            <w:r>
              <w:rPr>
                <w:sz w:val="19"/>
              </w:rPr>
              <w:t>database/analytics.db</w:t>
            </w:r>
          </w:p>
        </w:tc>
      </w:tr>
      <w:tr>
        <w:tc>
          <w:tcPr>
            <w:tcW w:type="dxa" w:w="2160"/>
          </w:tcPr>
          <w:p>
            <w:r>
              <w:rPr>
                <w:b/>
                <w:sz w:val="19"/>
              </w:rPr>
              <w:t>Single pipeline</w:t>
            </w:r>
          </w:p>
        </w:tc>
        <w:tc>
          <w:tcPr>
            <w:tcW w:type="dxa" w:w="5040"/>
          </w:tcPr>
          <w:p>
            <w:r>
              <w:rPr>
                <w:sz w:val="19"/>
              </w:rPr>
              <w:t>Raw messy data → cleaned → stored → one enriched view → dashboard</w:t>
            </w:r>
          </w:p>
        </w:tc>
        <w:tc>
          <w:tcPr>
            <w:tcW w:type="dxa" w:w="2304"/>
          </w:tcPr>
          <w:p>
            <w:r>
              <w:rPr>
                <w:sz w:val="19"/>
              </w:rPr>
              <w:t>src/data_generator.py → src/data_loader.py</w:t>
            </w:r>
          </w:p>
        </w:tc>
      </w:tr>
    </w:tbl>
    <w:p>
      <w:r>
        <w:t>The one revenue function (src/metrics.py) — every number in the app calls this or the grouped version of it below it. No page ever calculates revenue inline:</w:t>
      </w:r>
    </w:p>
    <w:p>
      <w:pPr>
        <w:spacing w:after="80"/>
        <w:ind w:left="288"/>
      </w:pPr>
      <w:r>
        <w:rPr>
          <w:rFonts w:ascii="Consolas" w:hAnsi="Consolas"/>
          <w:color w:val="0F172A"/>
          <w:sz w:val="17"/>
        </w:rPr>
        <w:t>def net_revenue(df):</w:t>
      </w:r>
    </w:p>
    <w:p>
      <w:pPr>
        <w:spacing w:after="80"/>
        <w:ind w:left="288"/>
      </w:pPr>
      <w:r>
        <w:rPr>
          <w:rFonts w:ascii="Consolas" w:hAnsi="Consolas"/>
          <w:color w:val="0F172A"/>
          <w:sz w:val="17"/>
        </w:rPr>
        <w:t xml:space="preserve">    """GOVERNED METRIC — the only revenue calculation in the application."""</w:t>
      </w:r>
    </w:p>
    <w:p>
      <w:pPr>
        <w:spacing w:after="80"/>
        <w:ind w:left="288"/>
      </w:pPr>
      <w:r>
        <w:rPr>
          <w:rFonts w:ascii="Consolas" w:hAnsi="Consolas"/>
          <w:color w:val="0F172A"/>
          <w:sz w:val="17"/>
        </w:rPr>
        <w:t xml:space="preserve">    if df is None or len(df) == 0:</w:t>
      </w:r>
    </w:p>
    <w:p>
      <w:pPr>
        <w:spacing w:after="80"/>
        <w:ind w:left="288"/>
      </w:pPr>
      <w:r>
        <w:rPr>
          <w:rFonts w:ascii="Consolas" w:hAnsi="Consolas"/>
          <w:color w:val="0F172A"/>
          <w:sz w:val="17"/>
        </w:rPr>
        <w:t xml:space="preserve">        return 0.0</w:t>
      </w:r>
    </w:p>
    <w:p>
      <w:pPr>
        <w:spacing w:after="80"/>
        <w:ind w:left="288"/>
      </w:pPr>
      <w:r>
        <w:rPr>
          <w:rFonts w:ascii="Consolas" w:hAnsi="Consolas"/>
          <w:color w:val="0F172A"/>
          <w:sz w:val="17"/>
        </w:rPr>
        <w:t xml:space="preserve">    return float((df["GrossSales"] - df["DiscountAmount"] - df["ReturnAmount"]).sum())</w:t>
      </w:r>
    </w:p>
    <w:p>
      <w:pPr>
        <w:pStyle w:val="Heading1"/>
      </w:pPr>
      <w:r>
        <w:t>Chapter 3 — Architecture (how the app flows)</w:t>
      </w:r>
    </w:p>
    <w:p>
      <w:pPr>
        <w:spacing w:after="80"/>
        <w:ind w:left="288"/>
      </w:pPr>
      <w:r>
        <w:rPr>
          <w:rFonts w:ascii="Consolas" w:hAnsi="Consolas"/>
          <w:color w:val="0F172A"/>
          <w:sz w:val="17"/>
        </w:rPr>
        <w:t>You (browser)</w:t>
      </w:r>
    </w:p>
    <w:p>
      <w:pPr>
        <w:spacing w:after="80"/>
        <w:ind w:left="288"/>
      </w:pPr>
      <w:r>
        <w:rPr>
          <w:rFonts w:ascii="Consolas" w:hAnsi="Consolas"/>
          <w:color w:val="0F172A"/>
          <w:sz w:val="17"/>
        </w:rPr>
        <w:t xml:space="preserve">   ↓ clicks/filters</w:t>
      </w:r>
    </w:p>
    <w:p>
      <w:pPr>
        <w:spacing w:after="80"/>
        <w:ind w:left="288"/>
      </w:pPr>
      <w:r>
        <w:rPr>
          <w:rFonts w:ascii="Consolas" w:hAnsi="Consolas"/>
          <w:color w:val="0F172A"/>
          <w:sz w:val="17"/>
        </w:rPr>
        <w:t>app.py  — the shell / router</w:t>
      </w:r>
    </w:p>
    <w:p>
      <w:pPr>
        <w:spacing w:after="80"/>
        <w:ind w:left="288"/>
      </w:pPr>
      <w:r>
        <w:rPr>
          <w:rFonts w:ascii="Consolas" w:hAnsi="Consolas"/>
          <w:color w:val="0F172A"/>
          <w:sz w:val="17"/>
        </w:rPr>
        <w:t xml:space="preserve">   ├─ loads data once (cached): SQLite → one enriched table</w:t>
      </w:r>
    </w:p>
    <w:p>
      <w:pPr>
        <w:spacing w:after="80"/>
        <w:ind w:left="288"/>
      </w:pPr>
      <w:r>
        <w:rPr>
          <w:rFonts w:ascii="Consolas" w:hAnsi="Consolas"/>
          <w:color w:val="0F172A"/>
          <w:sz w:val="17"/>
        </w:rPr>
        <w:t xml:space="preserve">   ├─ header + sidebar (role, 11 filters, export, refresh)</w:t>
      </w:r>
    </w:p>
    <w:p>
      <w:pPr>
        <w:spacing w:after="80"/>
        <w:ind w:left="288"/>
      </w:pPr>
      <w:r>
        <w:rPr>
          <w:rFonts w:ascii="Consolas" w:hAnsi="Consolas"/>
          <w:color w:val="0F172A"/>
          <w:sz w:val="17"/>
        </w:rPr>
        <w:t xml:space="preserve">   ├─ build_context(): applies RLS + your filters → ONE filtered table</w:t>
      </w:r>
    </w:p>
    <w:p>
      <w:pPr>
        <w:spacing w:after="80"/>
        <w:ind w:left="288"/>
      </w:pPr>
      <w:r>
        <w:rPr>
          <w:rFonts w:ascii="Consolas" w:hAnsi="Consolas"/>
          <w:color w:val="0F172A"/>
          <w:sz w:val="17"/>
        </w:rPr>
        <w:t xml:space="preserve">   ↓ hands it to…</w:t>
      </w:r>
    </w:p>
    <w:p>
      <w:pPr>
        <w:spacing w:after="80"/>
        <w:ind w:left="288"/>
      </w:pPr>
      <w:r>
        <w:rPr>
          <w:rFonts w:ascii="Consolas" w:hAnsi="Consolas"/>
          <w:color w:val="0F172A"/>
          <w:sz w:val="17"/>
        </w:rPr>
        <w:t>pages/*.py — the 9 screens</w:t>
      </w:r>
    </w:p>
    <w:p>
      <w:pPr>
        <w:spacing w:after="80"/>
        <w:ind w:left="288"/>
      </w:pPr>
      <w:r>
        <w:rPr>
          <w:rFonts w:ascii="Consolas" w:hAnsi="Consolas"/>
          <w:color w:val="0F172A"/>
          <w:sz w:val="17"/>
        </w:rPr>
        <w:t xml:space="preserve">   ↓ every number comes from…</w:t>
      </w:r>
    </w:p>
    <w:p>
      <w:pPr>
        <w:spacing w:after="80"/>
        <w:ind w:left="288"/>
      </w:pPr>
      <w:r>
        <w:rPr>
          <w:rFonts w:ascii="Consolas" w:hAnsi="Consolas"/>
          <w:color w:val="0F172A"/>
          <w:sz w:val="17"/>
        </w:rPr>
        <w:t>src/metrics.py — the governed metric layer</w:t>
      </w:r>
    </w:p>
    <w:p>
      <w:pPr>
        <w:spacing w:after="80"/>
        <w:ind w:left="288"/>
      </w:pPr>
      <w:r>
        <w:rPr>
          <w:rFonts w:ascii="Consolas" w:hAnsi="Consolas"/>
          <w:color w:val="0F172A"/>
          <w:sz w:val="17"/>
        </w:rPr>
        <w:t xml:space="preserve">   ↓ data lives in…</w:t>
      </w:r>
    </w:p>
    <w:p>
      <w:pPr>
        <w:spacing w:after="80"/>
        <w:ind w:left="288"/>
      </w:pPr>
      <w:r>
        <w:rPr>
          <w:rFonts w:ascii="Consolas" w:hAnsi="Consolas"/>
          <w:color w:val="0F172A"/>
          <w:sz w:val="17"/>
        </w:rPr>
        <w:t>database/analytics.db — the SQLite star schema</w:t>
      </w:r>
    </w:p>
    <w:tbl>
      <w:tblPr>
        <w:tblStyle w:val="TableGrid"/>
        <w:tblW w:type="auto" w:w="0"/>
        <w:tblLook w:firstColumn="1" w:firstRow="1" w:lastColumn="0" w:lastRow="0" w:noHBand="0" w:noVBand="1" w:val="04A0"/>
      </w:tblPr>
      <w:tblGrid>
        <w:gridCol w:w="4968"/>
        <w:gridCol w:w="4968"/>
      </w:tblGrid>
      <w:tr>
        <w:tc>
          <w:tcPr>
            <w:tcW w:type="dxa" w:w="2592"/>
            <w:shd w:val="clear" w:fill="1E3A5F"/>
          </w:tcPr>
          <w:p>
            <w:r>
              <w:rPr>
                <w:b/>
                <w:color w:val="FFFFFF"/>
                <w:sz w:val="19"/>
              </w:rPr>
              <w:t>Module</w:t>
            </w:r>
          </w:p>
        </w:tc>
        <w:tc>
          <w:tcPr>
            <w:tcW w:type="dxa" w:w="6768"/>
            <w:shd w:val="clear" w:fill="1E3A5F"/>
          </w:tcPr>
          <w:p>
            <w:r>
              <w:rPr>
                <w:b/>
                <w:color w:val="FFFFFF"/>
                <w:sz w:val="19"/>
              </w:rPr>
              <w:t>Responsibility</w:t>
            </w:r>
          </w:p>
        </w:tc>
      </w:tr>
      <w:tr>
        <w:tc>
          <w:tcPr>
            <w:tcW w:type="dxa" w:w="2592"/>
          </w:tcPr>
          <w:p>
            <w:r>
              <w:rPr>
                <w:b/>
                <w:sz w:val="19"/>
              </w:rPr>
              <w:t>app.py</w:t>
            </w:r>
          </w:p>
        </w:tc>
        <w:tc>
          <w:tcPr>
            <w:tcW w:type="dxa" w:w="6768"/>
          </w:tcPr>
          <w:p>
            <w:r>
              <w:rPr>
                <w:sz w:val="19"/>
              </w:rPr>
              <w:t>Shell: header, sidebar, RBAC selector, filters, export, refresh, page routing with real URLs (/ai_trainer, …)</w:t>
            </w:r>
          </w:p>
        </w:tc>
      </w:tr>
      <w:tr>
        <w:tc>
          <w:tcPr>
            <w:tcW w:type="dxa" w:w="2592"/>
            <w:shd w:val="clear" w:fill="EEF2FA"/>
          </w:tcPr>
          <w:p>
            <w:r>
              <w:rPr>
                <w:b/>
                <w:sz w:val="19"/>
              </w:rPr>
              <w:t>src/context.py</w:t>
            </w:r>
          </w:p>
        </w:tc>
        <w:tc>
          <w:tcPr>
            <w:tcW w:type="dxa" w:w="6768"/>
            <w:shd w:val="clear" w:fill="EEF2FA"/>
          </w:tcPr>
          <w:p>
            <w:r>
              <w:rPr>
                <w:sz w:val="19"/>
              </w:rPr>
              <w:t>build_context() — applies role + filters, builds the page context (one place, never duplicated)</w:t>
            </w:r>
          </w:p>
        </w:tc>
      </w:tr>
      <w:tr>
        <w:tc>
          <w:tcPr>
            <w:tcW w:type="dxa" w:w="2592"/>
          </w:tcPr>
          <w:p>
            <w:r>
              <w:rPr>
                <w:b/>
                <w:sz w:val="19"/>
              </w:rPr>
              <w:t>src/metrics.py</w:t>
            </w:r>
          </w:p>
        </w:tc>
        <w:tc>
          <w:tcPr>
            <w:tcW w:type="dxa" w:w="6768"/>
          </w:tcPr>
          <w:p>
            <w:r>
              <w:rPr>
                <w:sz w:val="19"/>
              </w:rPr>
              <w:t>Governed metric layer — the only revenue/profit/order calculations</w:t>
            </w:r>
          </w:p>
        </w:tc>
      </w:tr>
      <w:tr>
        <w:tc>
          <w:tcPr>
            <w:tcW w:type="dxa" w:w="2592"/>
            <w:shd w:val="clear" w:fill="EEF2FA"/>
          </w:tcPr>
          <w:p>
            <w:r>
              <w:rPr>
                <w:b/>
                <w:sz w:val="19"/>
              </w:rPr>
              <w:t>src/filters.py</w:t>
            </w:r>
          </w:p>
        </w:tc>
        <w:tc>
          <w:tcPr>
            <w:tcW w:type="dxa" w:w="6768"/>
            <w:shd w:val="clear" w:fill="EEF2FA"/>
          </w:tcPr>
          <w:p>
            <w:r>
              <w:rPr>
                <w:sz w:val="19"/>
              </w:rPr>
              <w:t>Declarative FilterSpec → one pandas mask applied identically everywhere</w:t>
            </w:r>
          </w:p>
        </w:tc>
      </w:tr>
      <w:tr>
        <w:tc>
          <w:tcPr>
            <w:tcW w:type="dxa" w:w="2592"/>
          </w:tcPr>
          <w:p>
            <w:r>
              <w:rPr>
                <w:b/>
                <w:sz w:val="19"/>
              </w:rPr>
              <w:t>src/data_generator.py</w:t>
            </w:r>
          </w:p>
        </w:tc>
        <w:tc>
          <w:tcPr>
            <w:tcW w:type="dxa" w:w="6768"/>
          </w:tcPr>
          <w:p>
            <w:r>
              <w:rPr>
                <w:sz w:val="19"/>
              </w:rPr>
              <w:t>Synthetic dataset + ETL (repairs dirty data, records every repair)</w:t>
            </w:r>
          </w:p>
        </w:tc>
      </w:tr>
      <w:tr>
        <w:tc>
          <w:tcPr>
            <w:tcW w:type="dxa" w:w="2592"/>
            <w:shd w:val="clear" w:fill="EEF2FA"/>
          </w:tcPr>
          <w:p>
            <w:r>
              <w:rPr>
                <w:b/>
                <w:sz w:val="19"/>
              </w:rPr>
              <w:t>src/data_loader.py</w:t>
            </w:r>
          </w:p>
        </w:tc>
        <w:tc>
          <w:tcPr>
            <w:tcW w:type="dxa" w:w="6768"/>
            <w:shd w:val="clear" w:fill="EEF2FA"/>
          </w:tcPr>
          <w:p>
            <w:r>
              <w:rPr>
                <w:sz w:val="19"/>
              </w:rPr>
              <w:t>Cached loads: star-schema join → one enriched fact view</w:t>
            </w:r>
          </w:p>
        </w:tc>
      </w:tr>
      <w:tr>
        <w:tc>
          <w:tcPr>
            <w:tcW w:type="dxa" w:w="2592"/>
          </w:tcPr>
          <w:p>
            <w:r>
              <w:rPr>
                <w:b/>
                <w:sz w:val="19"/>
              </w:rPr>
              <w:t>src/insights.py</w:t>
            </w:r>
          </w:p>
        </w:tc>
        <w:tc>
          <w:tcPr>
            <w:tcW w:type="dxa" w:w="6768"/>
          </w:tcPr>
          <w:p>
            <w:r>
              <w:rPr>
                <w:sz w:val="19"/>
              </w:rPr>
              <w:t>Executive insights + alerts, computed only when true in data</w:t>
            </w:r>
          </w:p>
        </w:tc>
      </w:tr>
      <w:tr>
        <w:tc>
          <w:tcPr>
            <w:tcW w:type="dxa" w:w="2592"/>
            <w:shd w:val="clear" w:fill="EEF2FA"/>
          </w:tcPr>
          <w:p>
            <w:r>
              <w:rPr>
                <w:b/>
                <w:sz w:val="19"/>
              </w:rPr>
              <w:t>src/verifier.py</w:t>
            </w:r>
          </w:p>
        </w:tc>
        <w:tc>
          <w:tcPr>
            <w:tcW w:type="dxa" w:w="6768"/>
            <w:shd w:val="clear" w:fill="EEF2FA"/>
          </w:tcPr>
          <w:p>
            <w:r>
              <w:rPr>
                <w:sz w:val="19"/>
              </w:rPr>
              <w:t>Statistical anomaly detection (silent human error)</w:t>
            </w:r>
          </w:p>
        </w:tc>
      </w:tr>
      <w:tr>
        <w:tc>
          <w:tcPr>
            <w:tcW w:type="dxa" w:w="2592"/>
          </w:tcPr>
          <w:p>
            <w:r>
              <w:rPr>
                <w:b/>
                <w:sz w:val="19"/>
              </w:rPr>
              <w:t>src/trainer.py</w:t>
            </w:r>
          </w:p>
        </w:tc>
        <w:tc>
          <w:tcPr>
            <w:tcW w:type="dxa" w:w="6768"/>
          </w:tcPr>
          <w:p>
            <w:r>
              <w:rPr>
                <w:sz w:val="19"/>
              </w:rPr>
              <w:t>AI Trainer — learns norms, pinpoints exact mismatching statements</w:t>
            </w:r>
          </w:p>
        </w:tc>
      </w:tr>
      <w:tr>
        <w:tc>
          <w:tcPr>
            <w:tcW w:type="dxa" w:w="2592"/>
            <w:shd w:val="clear" w:fill="EEF2FA"/>
          </w:tcPr>
          <w:p>
            <w:r>
              <w:rPr>
                <w:b/>
                <w:sz w:val="19"/>
              </w:rPr>
              <w:t>src/forecast.py</w:t>
            </w:r>
          </w:p>
        </w:tc>
        <w:tc>
          <w:tcPr>
            <w:tcW w:type="dxa" w:w="6768"/>
            <w:shd w:val="clear" w:fill="EEF2FA"/>
          </w:tcPr>
          <w:p>
            <w:r>
              <w:rPr>
                <w:sz w:val="19"/>
              </w:rPr>
              <w:t>Dependency-free linear trend forecast + confidence band</w:t>
            </w:r>
          </w:p>
        </w:tc>
      </w:tr>
      <w:tr>
        <w:tc>
          <w:tcPr>
            <w:tcW w:type="dxa" w:w="2592"/>
          </w:tcPr>
          <w:p>
            <w:r>
              <w:rPr>
                <w:b/>
                <w:sz w:val="19"/>
              </w:rPr>
              <w:t>src/data_quality.py</w:t>
            </w:r>
          </w:p>
        </w:tc>
        <w:tc>
          <w:tcPr>
            <w:tcW w:type="dxa" w:w="6768"/>
          </w:tcPr>
          <w:p>
            <w:r>
              <w:rPr>
                <w:sz w:val="19"/>
              </w:rPr>
              <w:t>Computed checks + quality score</w:t>
            </w:r>
          </w:p>
        </w:tc>
      </w:tr>
      <w:tr>
        <w:tc>
          <w:tcPr>
            <w:tcW w:type="dxa" w:w="2592"/>
            <w:shd w:val="clear" w:fill="EEF2FA"/>
          </w:tcPr>
          <w:p>
            <w:r>
              <w:rPr>
                <w:b/>
                <w:sz w:val="19"/>
              </w:rPr>
              <w:t>src/rls.py</w:t>
            </w:r>
          </w:p>
        </w:tc>
        <w:tc>
          <w:tcPr>
            <w:tcW w:type="dxa" w:w="6768"/>
            <w:shd w:val="clear" w:fill="EEF2FA"/>
          </w:tcPr>
          <w:p>
            <w:r>
              <w:rPr>
                <w:sz w:val="19"/>
              </w:rPr>
              <w:t>Demo row-level security by territory</w:t>
            </w:r>
          </w:p>
        </w:tc>
      </w:tr>
      <w:tr>
        <w:tc>
          <w:tcPr>
            <w:tcW w:type="dxa" w:w="2592"/>
          </w:tcPr>
          <w:p>
            <w:r>
              <w:rPr>
                <w:b/>
                <w:sz w:val="19"/>
              </w:rPr>
              <w:t>src/formatting.py</w:t>
            </w:r>
          </w:p>
        </w:tc>
        <w:tc>
          <w:tcPr>
            <w:tcW w:type="dxa" w:w="6768"/>
          </w:tcPr>
          <w:p>
            <w:r>
              <w:rPr>
                <w:sz w:val="19"/>
              </w:rPr>
              <w:t>₹ Cr / ₹ L / Indian grouping — the only place numbers are formatted</w:t>
            </w:r>
          </w:p>
        </w:tc>
      </w:tr>
      <w:tr>
        <w:tc>
          <w:tcPr>
            <w:tcW w:type="dxa" w:w="2592"/>
            <w:shd w:val="clear" w:fill="EEF2FA"/>
          </w:tcPr>
          <w:p>
            <w:r>
              <w:rPr>
                <w:b/>
                <w:sz w:val="19"/>
              </w:rPr>
              <w:t>src/ui.py</w:t>
            </w:r>
          </w:p>
        </w:tc>
        <w:tc>
          <w:tcPr>
            <w:tcW w:type="dxa" w:w="6768"/>
            <w:shd w:val="clear" w:fill="EEF2FA"/>
          </w:tcPr>
          <w:p>
            <w:r>
              <w:rPr>
                <w:sz w:val="19"/>
              </w:rPr>
              <w:t>Shared KPI cards, badges, chips, empty states</w:t>
            </w:r>
          </w:p>
        </w:tc>
      </w:tr>
      <w:tr>
        <w:tc>
          <w:tcPr>
            <w:tcW w:type="dxa" w:w="2592"/>
          </w:tcPr>
          <w:p>
            <w:r>
              <w:rPr>
                <w:b/>
                <w:sz w:val="19"/>
              </w:rPr>
              <w:t>src/config.py</w:t>
            </w:r>
          </w:p>
        </w:tc>
        <w:tc>
          <w:tcPr>
            <w:tcW w:type="dxa" w:w="6768"/>
          </w:tcPr>
          <w:p>
            <w:r>
              <w:rPr>
                <w:sz w:val="19"/>
              </w:rPr>
              <w:t>Targets, roles, paths, palette — no hardcoded business logic</w:t>
            </w:r>
          </w:p>
        </w:tc>
      </w:tr>
    </w:tbl>
    <w:p>
      <w:pPr>
        <w:pStyle w:val="Heading1"/>
      </w:pPr>
      <w:r>
        <w:t>Chapter 4 — The Data (how it is made)</w:t>
      </w:r>
    </w:p>
    <w:p>
      <w:r>
        <w:t>No dataset is downloaded. src/data_generator.py generates ~82,000 transactions with a fixed random seed (42), so the exact same numbers are reproduced every time. Realism is engineered in:</w:t>
      </w:r>
    </w:p>
    <w:tbl>
      <w:tblPr>
        <w:tblStyle w:val="TableGrid"/>
        <w:tblW w:type="auto" w:w="0"/>
        <w:tblLook w:firstColumn="1" w:firstRow="1" w:lastColumn="0" w:lastRow="0" w:noHBand="0" w:noVBand="1" w:val="04A0"/>
      </w:tblPr>
      <w:tblGrid>
        <w:gridCol w:w="4968"/>
        <w:gridCol w:w="4968"/>
      </w:tblGrid>
      <w:tr>
        <w:tc>
          <w:tcPr>
            <w:tcW w:type="dxa" w:w="2304"/>
            <w:shd w:val="clear" w:fill="1E3A5F"/>
          </w:tcPr>
          <w:p>
            <w:r>
              <w:rPr>
                <w:b/>
                <w:color w:val="FFFFFF"/>
                <w:sz w:val="19"/>
              </w:rPr>
              <w:t>Pattern</w:t>
            </w:r>
          </w:p>
        </w:tc>
        <w:tc>
          <w:tcPr>
            <w:tcW w:type="dxa" w:w="7056"/>
            <w:shd w:val="clear" w:fill="1E3A5F"/>
          </w:tcPr>
          <w:p>
            <w:r>
              <w:rPr>
                <w:b/>
                <w:color w:val="FFFFFF"/>
                <w:sz w:val="19"/>
              </w:rPr>
              <w:t>How it is created</w:t>
            </w:r>
          </w:p>
        </w:tc>
      </w:tr>
      <w:tr>
        <w:tc>
          <w:tcPr>
            <w:tcW w:type="dxa" w:w="2304"/>
          </w:tcPr>
          <w:p>
            <w:r>
              <w:rPr>
                <w:b/>
                <w:sz w:val="19"/>
              </w:rPr>
              <w:t>Festive demand</w:t>
            </w:r>
          </w:p>
        </w:tc>
        <w:tc>
          <w:tcPr>
            <w:tcW w:type="dxa" w:w="7056"/>
          </w:tcPr>
          <w:p>
            <w:r>
              <w:rPr>
                <w:sz w:val="19"/>
              </w:rPr>
              <w:t>October–December multiplier 1.15–1.22; March FY-end push; June dip</w:t>
            </w:r>
          </w:p>
        </w:tc>
      </w:tr>
      <w:tr>
        <w:tc>
          <w:tcPr>
            <w:tcW w:type="dxa" w:w="2304"/>
            <w:shd w:val="clear" w:fill="EEF2FA"/>
          </w:tcPr>
          <w:p>
            <w:r>
              <w:rPr>
                <w:b/>
                <w:sz w:val="19"/>
              </w:rPr>
              <w:t>Weekday/weekend</w:t>
            </w:r>
          </w:p>
        </w:tc>
        <w:tc>
          <w:tcPr>
            <w:tcW w:type="dxa" w:w="7056"/>
            <w:shd w:val="clear" w:fill="EEF2FA"/>
          </w:tcPr>
          <w:p>
            <w:r>
              <w:rPr>
                <w:sz w:val="19"/>
              </w:rPr>
              <w:t>B2B slowdown: Saturday ×0.55, Sunday ×0.42</w:t>
            </w:r>
          </w:p>
        </w:tc>
      </w:tr>
      <w:tr>
        <w:tc>
          <w:tcPr>
            <w:tcW w:type="dxa" w:w="2304"/>
          </w:tcPr>
          <w:p>
            <w:r>
              <w:rPr>
                <w:b/>
                <w:sz w:val="19"/>
              </w:rPr>
              <w:t>Regions</w:t>
            </w:r>
          </w:p>
        </w:tc>
        <w:tc>
          <w:tcPr>
            <w:tcW w:type="dxa" w:w="7056"/>
          </w:tcPr>
          <w:p>
            <w:r>
              <w:rPr>
                <w:sz w:val="19"/>
              </w:rPr>
              <w:t>5 regions with different size and growth; West/South lead, Central smallest</w:t>
            </w:r>
          </w:p>
        </w:tc>
      </w:tr>
      <w:tr>
        <w:tc>
          <w:tcPr>
            <w:tcW w:type="dxa" w:w="2304"/>
            <w:shd w:val="clear" w:fill="EEF2FA"/>
          </w:tcPr>
          <w:p>
            <w:r>
              <w:rPr>
                <w:b/>
                <w:sz w:val="19"/>
              </w:rPr>
              <w:t>Product life-cycles</w:t>
            </w:r>
          </w:p>
        </w:tc>
        <w:tc>
          <w:tcPr>
            <w:tcW w:type="dxa" w:w="7056"/>
            <w:shd w:val="clear" w:fill="EEF2FA"/>
          </w:tcPr>
          <w:p>
            <w:r>
              <w:rPr>
                <w:sz w:val="19"/>
              </w:rPr>
              <w:t>12% rising stars (+1.8–3.2%/month), 18% decliners, rest steady; 10% launch mid-series</w:t>
            </w:r>
          </w:p>
        </w:tc>
      </w:tr>
      <w:tr>
        <w:tc>
          <w:tcPr>
            <w:tcW w:type="dxa" w:w="2304"/>
          </w:tcPr>
          <w:p>
            <w:r>
              <w:rPr>
                <w:b/>
                <w:sz w:val="19"/>
              </w:rPr>
              <w:t>Discounts</w:t>
            </w:r>
          </w:p>
        </w:tc>
        <w:tc>
          <w:tcPr>
            <w:tcW w:type="dxa" w:w="7056"/>
          </w:tcPr>
          <w:p>
            <w:r>
              <w:rPr>
                <w:sz w:val="19"/>
              </w:rPr>
              <w:t>By segment (Enterprise 12.5% &gt; Government &gt; SMB &gt; Consumer 3.5%) + channel + festive bump</w:t>
            </w:r>
          </w:p>
        </w:tc>
      </w:tr>
      <w:tr>
        <w:tc>
          <w:tcPr>
            <w:tcW w:type="dxa" w:w="2304"/>
            <w:shd w:val="clear" w:fill="EEF2FA"/>
          </w:tcPr>
          <w:p>
            <w:r>
              <w:rPr>
                <w:b/>
                <w:sz w:val="19"/>
              </w:rPr>
              <w:t>Returns</w:t>
            </w:r>
          </w:p>
        </w:tc>
        <w:tc>
          <w:tcPr>
            <w:tcW w:type="dxa" w:w="7056"/>
            <w:shd w:val="clear" w:fill="EEF2FA"/>
          </w:tcPr>
          <w:p>
            <w:r>
              <w:rPr>
                <w:sz w:val="19"/>
              </w:rPr>
              <w:t>~3–7% by category (Apparel highest); 100% or 50% refunds</w:t>
            </w:r>
          </w:p>
        </w:tc>
      </w:tr>
      <w:tr>
        <w:tc>
          <w:tcPr>
            <w:tcW w:type="dxa" w:w="2304"/>
          </w:tcPr>
          <w:p>
            <w:r>
              <w:rPr>
                <w:b/>
                <w:sz w:val="19"/>
              </w:rPr>
              <w:t>Growth</w:t>
            </w:r>
          </w:p>
        </w:tc>
        <w:tc>
          <w:tcPr>
            <w:tcW w:type="dxa" w:w="7056"/>
          </w:tcPr>
          <w:p>
            <w:r>
              <w:rPr>
                <w:sz w:val="19"/>
              </w:rPr>
              <w:t>~16% annual company growth baked into daily demand</w:t>
            </w:r>
          </w:p>
        </w:tc>
      </w:tr>
    </w:tbl>
    <w:p>
      <w:pPr>
        <w:pStyle w:val="Heading2"/>
      </w:pPr>
      <w:r>
        <w:t>The ETL (extract, transform, load)</w:t>
      </w:r>
    </w:p>
    <w:p>
      <w:r>
        <w:t>The raw CSV layer deliberately contains data-entry issues — 12 duplicate rows, 6 region typos (“Norht”), 8 missing order dates. The ETL repairs them and records every repair, which the Data Quality page displays. This demonstrates real data engineering rather than a fake-clean dataset.</w:t>
      </w:r>
    </w:p>
    <w:p>
      <w:pPr>
        <w:pStyle w:val="Heading2"/>
      </w:pPr>
      <w:r>
        <w:t>The star schema</w:t>
      </w:r>
    </w:p>
    <w:tbl>
      <w:tblPr>
        <w:tblStyle w:val="TableGrid"/>
        <w:tblW w:type="auto" w:w="0"/>
        <w:tblLook w:firstColumn="1" w:firstRow="1" w:lastColumn="0" w:lastRow="0" w:noHBand="0" w:noVBand="1" w:val="04A0"/>
      </w:tblPr>
      <w:tblGrid>
        <w:gridCol w:w="3312"/>
        <w:gridCol w:w="3312"/>
        <w:gridCol w:w="3312"/>
      </w:tblGrid>
      <w:tr>
        <w:tc>
          <w:tcPr>
            <w:tcW w:type="dxa" w:w="1872"/>
            <w:shd w:val="clear" w:fill="1E3A5F"/>
          </w:tcPr>
          <w:p>
            <w:r>
              <w:rPr>
                <w:b/>
                <w:color w:val="FFFFFF"/>
                <w:sz w:val="19"/>
              </w:rPr>
              <w:t>Table</w:t>
            </w:r>
          </w:p>
        </w:tc>
        <w:tc>
          <w:tcPr>
            <w:tcW w:type="dxa" w:w="2016"/>
            <w:shd w:val="clear" w:fill="1E3A5F"/>
          </w:tcPr>
          <w:p>
            <w:r>
              <w:rPr>
                <w:b/>
                <w:color w:val="FFFFFF"/>
                <w:sz w:val="19"/>
              </w:rPr>
              <w:t>Grain</w:t>
            </w:r>
          </w:p>
        </w:tc>
        <w:tc>
          <w:tcPr>
            <w:tcW w:type="dxa" w:w="5472"/>
            <w:shd w:val="clear" w:fill="1E3A5F"/>
          </w:tcPr>
          <w:p>
            <w:r>
              <w:rPr>
                <w:b/>
                <w:color w:val="FFFFFF"/>
                <w:sz w:val="19"/>
              </w:rPr>
              <w:t>Key columns</w:t>
            </w:r>
          </w:p>
        </w:tc>
      </w:tr>
      <w:tr>
        <w:tc>
          <w:tcPr>
            <w:tcW w:type="dxa" w:w="1872"/>
          </w:tcPr>
          <w:p>
            <w:r>
              <w:rPr>
                <w:b/>
                <w:sz w:val="19"/>
              </w:rPr>
              <w:t>FACT_SALES</w:t>
            </w:r>
          </w:p>
        </w:tc>
        <w:tc>
          <w:tcPr>
            <w:tcW w:type="dxa" w:w="2016"/>
          </w:tcPr>
          <w:p>
            <w:r>
              <w:rPr>
                <w:sz w:val="19"/>
              </w:rPr>
              <w:t>1 row = order line item</w:t>
            </w:r>
          </w:p>
        </w:tc>
        <w:tc>
          <w:tcPr>
            <w:tcW w:type="dxa" w:w="5472"/>
          </w:tcPr>
          <w:p>
            <w:r>
              <w:rPr>
                <w:sz w:val="19"/>
              </w:rPr>
              <w:t>SalesKey, OrderID, DateKey, ProductKey, CustomerKey, TerritoryKey, Channel, Quantity, UnitPrice, GrossSales, DiscountAmount, ReturnAmount, NetRevenue, Cost, Profit</w:t>
            </w:r>
          </w:p>
        </w:tc>
      </w:tr>
      <w:tr>
        <w:tc>
          <w:tcPr>
            <w:tcW w:type="dxa" w:w="1872"/>
            <w:shd w:val="clear" w:fill="EEF2FA"/>
          </w:tcPr>
          <w:p>
            <w:r>
              <w:rPr>
                <w:b/>
                <w:sz w:val="19"/>
              </w:rPr>
              <w:t>DIM_DATE</w:t>
            </w:r>
          </w:p>
        </w:tc>
        <w:tc>
          <w:tcPr>
            <w:tcW w:type="dxa" w:w="2016"/>
            <w:shd w:val="clear" w:fill="EEF2FA"/>
          </w:tcPr>
          <w:p>
            <w:r>
              <w:rPr>
                <w:sz w:val="19"/>
              </w:rPr>
              <w:t>1 row = day</w:t>
            </w:r>
          </w:p>
        </w:tc>
        <w:tc>
          <w:tcPr>
            <w:tcW w:type="dxa" w:w="5472"/>
            <w:shd w:val="clear" w:fill="EEF2FA"/>
          </w:tcPr>
          <w:p>
            <w:r>
              <w:rPr>
                <w:sz w:val="19"/>
              </w:rPr>
              <w:t>DateKey, Date, Week, Month, Quarter, Year, FiscalYear (Apr–Mar), FiscalQuarter</w:t>
            </w:r>
          </w:p>
        </w:tc>
      </w:tr>
      <w:tr>
        <w:tc>
          <w:tcPr>
            <w:tcW w:type="dxa" w:w="1872"/>
          </w:tcPr>
          <w:p>
            <w:r>
              <w:rPr>
                <w:b/>
                <w:sz w:val="19"/>
              </w:rPr>
              <w:t>DIM_PRODUCT</w:t>
            </w:r>
          </w:p>
        </w:tc>
        <w:tc>
          <w:tcPr>
            <w:tcW w:type="dxa" w:w="2016"/>
          </w:tcPr>
          <w:p>
            <w:r>
              <w:rPr>
                <w:sz w:val="19"/>
              </w:rPr>
              <w:t>1 row = product</w:t>
            </w:r>
          </w:p>
        </w:tc>
        <w:tc>
          <w:tcPr>
            <w:tcW w:type="dxa" w:w="5472"/>
          </w:tcPr>
          <w:p>
            <w:r>
              <w:rPr>
                <w:sz w:val="19"/>
              </w:rPr>
              <w:t>ProductKey, ProductID, ProductName, Category, Subcategory</w:t>
            </w:r>
          </w:p>
        </w:tc>
      </w:tr>
      <w:tr>
        <w:tc>
          <w:tcPr>
            <w:tcW w:type="dxa" w:w="1872"/>
            <w:shd w:val="clear" w:fill="EEF2FA"/>
          </w:tcPr>
          <w:p>
            <w:r>
              <w:rPr>
                <w:b/>
                <w:sz w:val="19"/>
              </w:rPr>
              <w:t>DIM_CUSTOMER</w:t>
            </w:r>
          </w:p>
        </w:tc>
        <w:tc>
          <w:tcPr>
            <w:tcW w:type="dxa" w:w="2016"/>
            <w:shd w:val="clear" w:fill="EEF2FA"/>
          </w:tcPr>
          <w:p>
            <w:r>
              <w:rPr>
                <w:sz w:val="19"/>
              </w:rPr>
              <w:t>1 row = customer</w:t>
            </w:r>
          </w:p>
        </w:tc>
        <w:tc>
          <w:tcPr>
            <w:tcW w:type="dxa" w:w="5472"/>
            <w:shd w:val="clear" w:fill="EEF2FA"/>
          </w:tcPr>
          <w:p>
            <w:r>
              <w:rPr>
                <w:sz w:val="19"/>
              </w:rPr>
              <w:t>CustomerKey, CustomerID, CustomerName, Segment</w:t>
            </w:r>
          </w:p>
        </w:tc>
      </w:tr>
      <w:tr>
        <w:tc>
          <w:tcPr>
            <w:tcW w:type="dxa" w:w="1872"/>
          </w:tcPr>
          <w:p>
            <w:r>
              <w:rPr>
                <w:b/>
                <w:sz w:val="19"/>
              </w:rPr>
              <w:t>DIM_TERRITORY</w:t>
            </w:r>
          </w:p>
        </w:tc>
        <w:tc>
          <w:tcPr>
            <w:tcW w:type="dxa" w:w="2016"/>
          </w:tcPr>
          <w:p>
            <w:r>
              <w:rPr>
                <w:sz w:val="19"/>
              </w:rPr>
              <w:t>1 row = territory</w:t>
            </w:r>
          </w:p>
        </w:tc>
        <w:tc>
          <w:tcPr>
            <w:tcW w:type="dxa" w:w="5472"/>
          </w:tcPr>
          <w:p>
            <w:r>
              <w:rPr>
                <w:sz w:val="19"/>
              </w:rPr>
              <w:t>TerritoryKey, Region, Territory, Country</w:t>
            </w:r>
          </w:p>
        </w:tc>
      </w:tr>
    </w:tbl>
    <w:p>
      <w:pPr>
        <w:pStyle w:val="Heading1"/>
      </w:pPr>
      <w:r>
        <w:t>Chapter 5 — The Governed Metric Layer</w:t>
      </w:r>
    </w:p>
    <w:p>
      <w:r>
        <w:t>Every aggregation uses the same formula at every grain (day, week, month, quarter, region, product, transaction):</w:t>
      </w:r>
    </w:p>
    <w:p>
      <w:pPr>
        <w:spacing w:after="80"/>
        <w:ind w:left="288"/>
      </w:pPr>
      <w:r>
        <w:rPr>
          <w:rFonts w:ascii="Consolas" w:hAnsi="Consolas"/>
          <w:color w:val="0F172A"/>
          <w:sz w:val="17"/>
        </w:rPr>
        <w:t>g["NetRevenue"] = g["GrossSales"] - g["DiscountAmount"] - g["ReturnAmount"]</w:t>
      </w:r>
    </w:p>
    <w:p>
      <w:pPr>
        <w:spacing w:after="80"/>
        <w:ind w:left="288"/>
      </w:pPr>
      <w:r>
        <w:rPr>
          <w:rFonts w:ascii="Consolas" w:hAnsi="Consolas"/>
          <w:color w:val="0F172A"/>
          <w:sz w:val="17"/>
        </w:rPr>
        <w:t>g["Profit"]     = g["NetRevenue"] - g["Cost"]</w:t>
      </w:r>
    </w:p>
    <w:p>
      <w:r>
        <w:t>The Governance page proves consistency live by computing Net Revenue three independent ways — the governed function, the stored FACT_SALES column, and the sum of region chart aggregates — and showing they are identical (₹1,068.6 Cr across the full dataset).</w:t>
      </w:r>
    </w:p>
    <w:p>
      <w:r>
        <w:t>The certified metric catalog: Net Revenue, Gross Revenue, Profit, Profit Margin, Orders, Average Order Value, Units Sold, Return Rate — each with a definition, owner and ✓ Certified status.</w:t>
      </w:r>
    </w:p>
    <w:p>
      <w:pPr>
        <w:pStyle w:val="Heading1"/>
      </w:pPr>
      <w:r>
        <w:t>Chapter 6 — Page-by-Page Walkthrough</w:t>
      </w:r>
    </w:p>
    <w:tbl>
      <w:tblPr>
        <w:tblStyle w:val="TableGrid"/>
        <w:tblW w:type="auto" w:w="0"/>
        <w:tblLook w:firstColumn="1" w:firstRow="1" w:lastColumn="0" w:lastRow="0" w:noHBand="0" w:noVBand="1" w:val="04A0"/>
      </w:tblPr>
      <w:tblGrid>
        <w:gridCol w:w="4968"/>
        <w:gridCol w:w="4968"/>
      </w:tblGrid>
      <w:tr>
        <w:tc>
          <w:tcPr>
            <w:tcW w:type="dxa" w:w="2736"/>
            <w:shd w:val="clear" w:fill="1E3A5F"/>
          </w:tcPr>
          <w:p>
            <w:r>
              <w:rPr>
                <w:b/>
                <w:color w:val="FFFFFF"/>
                <w:sz w:val="19"/>
              </w:rPr>
              <w:t>Page (URL)</w:t>
            </w:r>
          </w:p>
        </w:tc>
        <w:tc>
          <w:tcPr>
            <w:tcW w:type="dxa" w:w="6624"/>
            <w:shd w:val="clear" w:fill="1E3A5F"/>
          </w:tcPr>
          <w:p>
            <w:r>
              <w:rPr>
                <w:b/>
                <w:color w:val="FFFFFF"/>
                <w:sz w:val="19"/>
              </w:rPr>
              <w:t>What happens under the hood</w:t>
            </w:r>
          </w:p>
        </w:tc>
      </w:tr>
      <w:tr>
        <w:tc>
          <w:tcPr>
            <w:tcW w:type="dxa" w:w="2736"/>
          </w:tcPr>
          <w:p>
            <w:r>
              <w:rPr>
                <w:b/>
                <w:sz w:val="19"/>
              </w:rPr>
              <w:t>Overview (/)</w:t>
            </w:r>
          </w:p>
        </w:tc>
        <w:tc>
          <w:tcPr>
            <w:tcW w:type="dxa" w:w="6624"/>
          </w:tcPr>
          <w:p>
            <w:r>
              <w:rPr>
                <w:sz w:val="19"/>
              </w:rPr>
              <w:t>6 KPI cards (value + delta vs the immediately preceding equal-length window + SVG sparkline), revenue trend at 4 grains with optional previous-period overlay, 3-month linear forecast with 95% band, region bars, category donut, top-10 products, profitability scatter (quadrant lines at the means), targets, insights, alerts</w:t>
            </w:r>
          </w:p>
        </w:tc>
      </w:tr>
      <w:tr>
        <w:tc>
          <w:tcPr>
            <w:tcW w:type="dxa" w:w="2736"/>
            <w:shd w:val="clear" w:fill="EEF2FA"/>
          </w:tcPr>
          <w:p>
            <w:r>
              <w:rPr>
                <w:b/>
                <w:sz w:val="19"/>
              </w:rPr>
              <w:t>Revenue (/revenue)</w:t>
            </w:r>
          </w:p>
        </w:tc>
        <w:tc>
          <w:tcPr>
            <w:tcW w:type="dxa" w:w="6624"/>
            <w:shd w:val="clear" w:fill="EEF2FA"/>
          </w:tcPr>
          <w:p>
            <w:r>
              <w:rPr>
                <w:sz w:val="19"/>
              </w:rPr>
              <w:t>Breadcrumb drill-down (Region → Territory → Category → Product) further filters a pool; drill-down KPIs; transaction table with search; what-if discount simulator; CSV export</w:t>
            </w:r>
          </w:p>
        </w:tc>
      </w:tr>
      <w:tr>
        <w:tc>
          <w:tcPr>
            <w:tcW w:type="dxa" w:w="2736"/>
          </w:tcPr>
          <w:p>
            <w:r>
              <w:rPr>
                <w:b/>
                <w:sz w:val="19"/>
              </w:rPr>
              <w:t>Products (/products)</w:t>
            </w:r>
          </w:p>
        </w:tc>
        <w:tc>
          <w:tcPr>
            <w:tcW w:type="dxa" w:w="6624"/>
          </w:tcPr>
          <w:p>
            <w:r>
              <w:rPr>
                <w:sz w:val="19"/>
              </w:rPr>
              <w:t>Six rankings (top/bottom/fastest-growing/highest-margin/most-discounted/highest-return) + product detail with monthly trend</w:t>
            </w:r>
          </w:p>
        </w:tc>
      </w:tr>
      <w:tr>
        <w:tc>
          <w:tcPr>
            <w:tcW w:type="dxa" w:w="2736"/>
            <w:shd w:val="clear" w:fill="EEF2FA"/>
          </w:tcPr>
          <w:p>
            <w:r>
              <w:rPr>
                <w:b/>
                <w:sz w:val="19"/>
              </w:rPr>
              <w:t>Regions (/regions)</w:t>
            </w:r>
          </w:p>
        </w:tc>
        <w:tc>
          <w:tcPr>
            <w:tcW w:type="dxa" w:w="6624"/>
            <w:shd w:val="clear" w:fill="EEF2FA"/>
          </w:tcPr>
          <w:p>
            <w:r>
              <w:rPr>
                <w:sz w:val="19"/>
              </w:rPr>
              <w:t>Rank by any metric; growth by region vs the governed previous period; contribution donut; India bubble map (Plotly built-in geo layers); region detail with territory breakdown</w:t>
            </w:r>
          </w:p>
        </w:tc>
      </w:tr>
      <w:tr>
        <w:tc>
          <w:tcPr>
            <w:tcW w:type="dxa" w:w="2736"/>
          </w:tcPr>
          <w:p>
            <w:r>
              <w:rPr>
                <w:b/>
                <w:sz w:val="19"/>
              </w:rPr>
              <w:t>Customers (/customers)</w:t>
            </w:r>
          </w:p>
        </w:tc>
        <w:tc>
          <w:tcPr>
            <w:tcW w:type="dxa" w:w="6624"/>
          </w:tcPr>
          <w:p>
            <w:r>
              <w:rPr>
                <w:sz w:val="19"/>
              </w:rPr>
              <w:t>Segment KPIs, revenue/orders donut, segment economics table, top 15 customers</w:t>
            </w:r>
          </w:p>
        </w:tc>
      </w:tr>
      <w:tr>
        <w:tc>
          <w:tcPr>
            <w:tcW w:type="dxa" w:w="2736"/>
            <w:shd w:val="clear" w:fill="EEF2FA"/>
          </w:tcPr>
          <w:p>
            <w:r>
              <w:rPr>
                <w:b/>
                <w:sz w:val="19"/>
              </w:rPr>
              <w:t>Data Quality (/data_quality)</w:t>
            </w:r>
          </w:p>
        </w:tc>
        <w:tc>
          <w:tcPr>
            <w:tcW w:type="dxa" w:w="6624"/>
            <w:shd w:val="clear" w:fill="EEF2FA"/>
          </w:tcPr>
          <w:p>
            <w:r>
              <w:rPr>
                <w:sz w:val="19"/>
              </w:rPr>
              <w:t>Computed quality score donut, 9 integrity checks, ETL repair log, Verification Engine findings</w:t>
            </w:r>
          </w:p>
        </w:tc>
      </w:tr>
      <w:tr>
        <w:tc>
          <w:tcPr>
            <w:tcW w:type="dxa" w:w="2736"/>
          </w:tcPr>
          <w:p>
            <w:r>
              <w:rPr>
                <w:b/>
                <w:sz w:val="19"/>
              </w:rPr>
              <w:t>AI Trainer (/ai_trainer)</w:t>
            </w:r>
          </w:p>
        </w:tc>
        <w:tc>
          <w:tcPr>
            <w:tcW w:type="dxa" w:w="6624"/>
          </w:tcPr>
          <w:p>
            <w:r>
              <w:rPr>
                <w:sz w:val="19"/>
              </w:rPr>
              <w:t>Selectable invoice training set (checkboxes) → learns norms of that scope → pinpoints mismatching statements (expected vs actual + cause) → invoice inspector with per-line verification</w:t>
            </w:r>
          </w:p>
        </w:tc>
      </w:tr>
      <w:tr>
        <w:tc>
          <w:tcPr>
            <w:tcW w:type="dxa" w:w="2736"/>
            <w:shd w:val="clear" w:fill="EEF2FA"/>
          </w:tcPr>
          <w:p>
            <w:r>
              <w:rPr>
                <w:b/>
                <w:sz w:val="19"/>
              </w:rPr>
              <w:t>Metric Governance (/governance)</w:t>
            </w:r>
          </w:p>
        </w:tc>
        <w:tc>
          <w:tcPr>
            <w:tcW w:type="dxa" w:w="6624"/>
            <w:shd w:val="clear" w:fill="EEF2FA"/>
          </w:tcPr>
          <w:p>
            <w:r>
              <w:rPr>
                <w:sz w:val="19"/>
              </w:rPr>
              <w:t>Certified Net Revenue hero, formula flow, live consistency proof, metric catalog, why-this-matters</w:t>
            </w:r>
          </w:p>
        </w:tc>
      </w:tr>
    </w:tbl>
    <w:p>
      <w:pPr>
        <w:pStyle w:val="Heading1"/>
      </w:pPr>
      <w:r>
        <w:t>Chapter 7 — The Intelligence Layer (the math, simply)</w:t>
      </w:r>
    </w:p>
    <w:tbl>
      <w:tblPr>
        <w:tblStyle w:val="TableGrid"/>
        <w:tblW w:type="auto" w:w="0"/>
        <w:tblLook w:firstColumn="1" w:firstRow="1" w:lastColumn="0" w:lastRow="0" w:noHBand="0" w:noVBand="1" w:val="04A0"/>
      </w:tblPr>
      <w:tblGrid>
        <w:gridCol w:w="3312"/>
        <w:gridCol w:w="3312"/>
        <w:gridCol w:w="3312"/>
      </w:tblGrid>
      <w:tr>
        <w:tc>
          <w:tcPr>
            <w:tcW w:type="dxa" w:w="2160"/>
            <w:shd w:val="clear" w:fill="1E3A5F"/>
          </w:tcPr>
          <w:p>
            <w:r>
              <w:rPr>
                <w:b/>
                <w:color w:val="FFFFFF"/>
                <w:sz w:val="19"/>
              </w:rPr>
              <w:t>Feature</w:t>
            </w:r>
          </w:p>
        </w:tc>
        <w:tc>
          <w:tcPr>
            <w:tcW w:type="dxa" w:w="3744"/>
            <w:shd w:val="clear" w:fill="1E3A5F"/>
          </w:tcPr>
          <w:p>
            <w:r>
              <w:rPr>
                <w:b/>
                <w:color w:val="FFFFFF"/>
                <w:sz w:val="19"/>
              </w:rPr>
              <w:t>The math</w:t>
            </w:r>
          </w:p>
        </w:tc>
        <w:tc>
          <w:tcPr>
            <w:tcW w:type="dxa" w:w="3456"/>
            <w:shd w:val="clear" w:fill="1E3A5F"/>
          </w:tcPr>
          <w:p>
            <w:r>
              <w:rPr>
                <w:b/>
                <w:color w:val="FFFFFF"/>
                <w:sz w:val="19"/>
              </w:rPr>
              <w:t>In plain words</w:t>
            </w:r>
          </w:p>
        </w:tc>
      </w:tr>
      <w:tr>
        <w:tc>
          <w:tcPr>
            <w:tcW w:type="dxa" w:w="2160"/>
          </w:tcPr>
          <w:p>
            <w:r>
              <w:rPr>
                <w:b/>
                <w:sz w:val="19"/>
              </w:rPr>
              <w:t>KPI deltas</w:t>
            </w:r>
          </w:p>
        </w:tc>
        <w:tc>
          <w:tcPr>
            <w:tcW w:type="dxa" w:w="3744"/>
          </w:tcPr>
          <w:p>
            <w:r>
              <w:rPr>
                <w:sz w:val="19"/>
              </w:rPr>
              <w:t>(current − previous) ÷ |previous| × 100</w:t>
            </w:r>
          </w:p>
        </w:tc>
        <w:tc>
          <w:tcPr>
            <w:tcW w:type="dxa" w:w="3456"/>
          </w:tcPr>
          <w:p>
            <w:r>
              <w:rPr>
                <w:sz w:val="19"/>
              </w:rPr>
              <w:t>How much better than last period</w:t>
            </w:r>
          </w:p>
        </w:tc>
      </w:tr>
      <w:tr>
        <w:tc>
          <w:tcPr>
            <w:tcW w:type="dxa" w:w="2160"/>
            <w:shd w:val="clear" w:fill="EEF2FA"/>
          </w:tcPr>
          <w:p>
            <w:r>
              <w:rPr>
                <w:b/>
                <w:sz w:val="19"/>
              </w:rPr>
              <w:t>Previous period</w:t>
            </w:r>
          </w:p>
        </w:tc>
        <w:tc>
          <w:tcPr>
            <w:tcW w:type="dxa" w:w="3744"/>
            <w:shd w:val="clear" w:fill="EEF2FA"/>
          </w:tcPr>
          <w:p>
            <w:r>
              <w:rPr>
                <w:sz w:val="19"/>
              </w:rPr>
              <w:t>Same window length immediately before the filtered data</w:t>
            </w:r>
          </w:p>
        </w:tc>
        <w:tc>
          <w:tcPr>
            <w:tcW w:type="dxa" w:w="3456"/>
            <w:shd w:val="clear" w:fill="EEF2FA"/>
          </w:tcPr>
          <w:p>
            <w:r>
              <w:rPr>
                <w:sz w:val="19"/>
              </w:rPr>
              <w:t>Fair apples-to-apples comparison</w:t>
            </w:r>
          </w:p>
        </w:tc>
      </w:tr>
      <w:tr>
        <w:tc>
          <w:tcPr>
            <w:tcW w:type="dxa" w:w="2160"/>
          </w:tcPr>
          <w:p>
            <w:r>
              <w:rPr>
                <w:b/>
                <w:sz w:val="19"/>
              </w:rPr>
              <w:t>Growth by product/region</w:t>
            </w:r>
          </w:p>
        </w:tc>
        <w:tc>
          <w:tcPr>
            <w:tcW w:type="dxa" w:w="3744"/>
          </w:tcPr>
          <w:p>
            <w:r>
              <w:rPr>
                <w:sz w:val="19"/>
              </w:rPr>
              <w:t>Last 90 days vs the prior 90 days</w:t>
            </w:r>
          </w:p>
        </w:tc>
        <w:tc>
          <w:tcPr>
            <w:tcW w:type="dxa" w:w="3456"/>
          </w:tcPr>
          <w:p>
            <w:r>
              <w:rPr>
                <w:sz w:val="19"/>
              </w:rPr>
              <w:t>Who is accelerating</w:t>
            </w:r>
          </w:p>
        </w:tc>
      </w:tr>
      <w:tr>
        <w:tc>
          <w:tcPr>
            <w:tcW w:type="dxa" w:w="2160"/>
            <w:shd w:val="clear" w:fill="EEF2FA"/>
          </w:tcPr>
          <w:p>
            <w:r>
              <w:rPr>
                <w:b/>
                <w:sz w:val="19"/>
              </w:rPr>
              <w:t>Verification Engine</w:t>
            </w:r>
          </w:p>
        </w:tc>
        <w:tc>
          <w:tcPr>
            <w:tcW w:type="dxa" w:w="3744"/>
            <w:shd w:val="clear" w:fill="EEF2FA"/>
          </w:tcPr>
          <w:p>
            <w:r>
              <w:rPr>
                <w:sz w:val="19"/>
              </w:rPr>
              <w:t>Flags values beyond ±2σ (2 standard deviations) of their historical mean</w:t>
            </w:r>
          </w:p>
        </w:tc>
        <w:tc>
          <w:tcPr>
            <w:tcW w:type="dxa" w:w="3456"/>
            <w:shd w:val="clear" w:fill="EEF2FA"/>
          </w:tcPr>
          <w:p>
            <w:r>
              <w:rPr>
                <w:sz w:val="19"/>
              </w:rPr>
              <w:t>“Normal movement is ±17.5% — this moved 53%”</w:t>
            </w:r>
          </w:p>
        </w:tc>
      </w:tr>
      <w:tr>
        <w:tc>
          <w:tcPr>
            <w:tcW w:type="dxa" w:w="2160"/>
          </w:tcPr>
          <w:p>
            <w:r>
              <w:rPr>
                <w:b/>
                <w:sz w:val="19"/>
              </w:rPr>
              <w:t>AI Trainer</w:t>
            </w:r>
          </w:p>
        </w:tc>
        <w:tc>
          <w:tcPr>
            <w:tcW w:type="dxa" w:w="3744"/>
          </w:tcPr>
          <w:p>
            <w:r>
              <w:rPr>
                <w:sz w:val="19"/>
              </w:rPr>
              <w:t>Learns per-segment discount norms (mean ± σ), then flags rows beyond a chosen strictness</w:t>
            </w:r>
          </w:p>
        </w:tc>
        <w:tc>
          <w:tcPr>
            <w:tcW w:type="dxa" w:w="3456"/>
          </w:tcPr>
          <w:p>
            <w:r>
              <w:rPr>
                <w:sz w:val="19"/>
              </w:rPr>
              <w:t>“This discount is 3.0σ outside the Consumer norm”</w:t>
            </w:r>
          </w:p>
        </w:tc>
      </w:tr>
      <w:tr>
        <w:tc>
          <w:tcPr>
            <w:tcW w:type="dxa" w:w="2160"/>
            <w:shd w:val="clear" w:fill="EEF2FA"/>
          </w:tcPr>
          <w:p>
            <w:r>
              <w:rPr>
                <w:b/>
                <w:sz w:val="19"/>
              </w:rPr>
              <w:t>Forecast</w:t>
            </w:r>
          </w:p>
        </w:tc>
        <w:tc>
          <w:tcPr>
            <w:tcW w:type="dxa" w:w="3744"/>
            <w:shd w:val="clear" w:fill="EEF2FA"/>
          </w:tcPr>
          <w:p>
            <w:r>
              <w:rPr>
                <w:sz w:val="19"/>
              </w:rPr>
              <w:t>Linear regression (best-fit line) on monthly Net Revenue + 1.96σ band (≈95% confidence)</w:t>
            </w:r>
          </w:p>
        </w:tc>
        <w:tc>
          <w:tcPr>
            <w:tcW w:type="dxa" w:w="3456"/>
            <w:shd w:val="clear" w:fill="EEF2FA"/>
          </w:tcPr>
          <w:p>
            <w:r>
              <w:rPr>
                <w:sz w:val="19"/>
              </w:rPr>
              <w:t>Where the trend points next</w:t>
            </w:r>
          </w:p>
        </w:tc>
      </w:tr>
      <w:tr>
        <w:tc>
          <w:tcPr>
            <w:tcW w:type="dxa" w:w="2160"/>
          </w:tcPr>
          <w:p>
            <w:r>
              <w:rPr>
                <w:b/>
                <w:sz w:val="19"/>
              </w:rPr>
              <w:t>Data quality score</w:t>
            </w:r>
          </w:p>
        </w:tc>
        <w:tc>
          <w:tcPr>
            <w:tcW w:type="dxa" w:w="3744"/>
          </w:tcPr>
          <w:p>
            <w:r>
              <w:rPr>
                <w:sz w:val="19"/>
              </w:rPr>
              <w:t>100 × (1 − raw issues ÷ raw rows)</w:t>
            </w:r>
          </w:p>
        </w:tc>
        <w:tc>
          <w:tcPr>
            <w:tcW w:type="dxa" w:w="3456"/>
          </w:tcPr>
          <w:p>
            <w:r>
              <w:rPr>
                <w:sz w:val="19"/>
              </w:rPr>
              <w:t>Share of clean rows</w:t>
            </w:r>
          </w:p>
        </w:tc>
      </w:tr>
    </w:tbl>
    <w:p>
      <w:r>
        <w:t>Every insight, alert and finding is generated from actual calculations — if the underlying condition is not true in the data, nothing is shown. Nothing is hardcoded.</w:t>
      </w:r>
    </w:p>
    <w:p>
      <w:pPr>
        <w:pStyle w:val="Heading1"/>
      </w:pPr>
      <w:r>
        <w:t>Chapter 8 — Security (Demo RBAC)</w:t>
      </w:r>
    </w:p>
    <w:p>
      <w:r>
        <w:t>PS31 requires row-level security by territory. The app simulates the architecture honestly: a role selector maps each role to an allowed set of regions, and EVERY DataFrame passes through src/rls.apply_rls() BEFORE user filters — so no filter combination can escape the role scope. Exports respect it too. In production the role would come from Microsoft Entra ID and the same restriction would be enforced in the semantic layer/database — never the client.</w:t>
      </w:r>
    </w:p>
    <w:p>
      <w:pPr>
        <w:spacing w:after="80"/>
        <w:ind w:left="288"/>
      </w:pPr>
      <w:r>
        <w:rPr>
          <w:rFonts w:ascii="Consolas" w:hAnsi="Consolas"/>
          <w:color w:val="0F172A"/>
          <w:sz w:val="17"/>
        </w:rPr>
        <w:t>def apply_rls(df, role):</w:t>
      </w:r>
    </w:p>
    <w:p>
      <w:pPr>
        <w:spacing w:after="80"/>
        <w:ind w:left="288"/>
      </w:pPr>
      <w:r>
        <w:rPr>
          <w:rFonts w:ascii="Consolas" w:hAnsi="Consolas"/>
          <w:color w:val="0F172A"/>
          <w:sz w:val="17"/>
        </w:rPr>
        <w:t xml:space="preserve">    regions = allowed_regions(role)   # None = all regions permitted</w:t>
      </w:r>
    </w:p>
    <w:p>
      <w:pPr>
        <w:spacing w:after="80"/>
        <w:ind w:left="288"/>
      </w:pPr>
      <w:r>
        <w:rPr>
          <w:rFonts w:ascii="Consolas" w:hAnsi="Consolas"/>
          <w:color w:val="0F172A"/>
          <w:sz w:val="17"/>
        </w:rPr>
        <w:t xml:space="preserve">    if regions is None or df.empty:</w:t>
      </w:r>
    </w:p>
    <w:p>
      <w:pPr>
        <w:spacing w:after="80"/>
        <w:ind w:left="288"/>
      </w:pPr>
      <w:r>
        <w:rPr>
          <w:rFonts w:ascii="Consolas" w:hAnsi="Consolas"/>
          <w:color w:val="0F172A"/>
          <w:sz w:val="17"/>
        </w:rPr>
        <w:t xml:space="preserve">        return df</w:t>
      </w:r>
    </w:p>
    <w:p>
      <w:pPr>
        <w:spacing w:after="80"/>
        <w:ind w:left="288"/>
      </w:pPr>
      <w:r>
        <w:rPr>
          <w:rFonts w:ascii="Consolas" w:hAnsi="Consolas"/>
          <w:color w:val="0F172A"/>
          <w:sz w:val="17"/>
        </w:rPr>
        <w:t xml:space="preserve">    return df[df["Region"].isin(regions)]</w:t>
      </w:r>
    </w:p>
    <w:p>
      <w:pPr>
        <w:pStyle w:val="Heading1"/>
      </w:pPr>
      <w:r>
        <w:t>Chapter 9 — Running and Demoing</w:t>
      </w:r>
    </w:p>
    <w:p>
      <w:pPr>
        <w:spacing w:after="80"/>
        <w:ind w:left="288"/>
      </w:pPr>
      <w:r>
        <w:rPr>
          <w:rFonts w:ascii="Consolas" w:hAnsi="Consolas"/>
          <w:color w:val="0F172A"/>
          <w:sz w:val="17"/>
        </w:rPr>
        <w:t>cd ~/Documents/microsoft/hackathon/PS31</w:t>
      </w:r>
    </w:p>
    <w:p>
      <w:pPr>
        <w:spacing w:after="80"/>
        <w:ind w:left="288"/>
      </w:pPr>
      <w:r>
        <w:rPr>
          <w:rFonts w:ascii="Consolas" w:hAnsi="Consolas"/>
          <w:color w:val="0F172A"/>
          <w:sz w:val="17"/>
        </w:rPr>
        <w:t>source ~/myenv/bin/activate            # (or any venv with the requirements)</w:t>
      </w:r>
    </w:p>
    <w:p>
      <w:pPr>
        <w:spacing w:after="80"/>
        <w:ind w:left="288"/>
      </w:pPr>
      <w:r>
        <w:rPr>
          <w:rFonts w:ascii="Consolas" w:hAnsi="Consolas"/>
          <w:color w:val="0F172A"/>
          <w:sz w:val="17"/>
        </w:rPr>
        <w:t>python -m streamlit run app.py         # → http://localhost:8501</w:t>
      </w:r>
    </w:p>
    <w:p>
      <w:pPr>
        <w:spacing w:after="80"/>
        <w:ind w:left="288"/>
      </w:pPr>
      <w:r>
        <w:rPr>
          <w:rFonts w:ascii="Consolas" w:hAnsi="Consolas"/>
          <w:color w:val="0F172A"/>
          <w:sz w:val="17"/>
        </w:rPr>
        <w:t>python -m src.trainer                  # standalone AI Trainer report</w:t>
      </w:r>
    </w:p>
    <w:p>
      <w:r>
        <w:t>The dataset auto-generates on first launch if the database is missing. Routes: /overview /revenue /products /regions /customers /data_quality /ai_trainer /governance</w:t>
      </w:r>
    </w:p>
    <w:p>
      <w:pPr>
        <w:pStyle w:val="Heading2"/>
      </w:pPr>
      <w:r>
        <w:t>The demo flow (10 beats)</w:t>
      </w:r>
    </w:p>
    <w:p>
      <w:pPr>
        <w:pStyle w:val="ListNumber"/>
      </w:pPr>
      <w:r>
        <w:t>Open — KPIs and the ✓ Certified badge land immediately</w:t>
      </w:r>
    </w:p>
    <w:p>
      <w:pPr>
        <w:pStyle w:val="ListNumber"/>
      </w:pPr>
      <w:r>
        <w:t>Point at “Certified Net Revenue — Gross Sales − Discounts − Returns”</w:t>
      </w:r>
    </w:p>
    <w:p>
      <w:pPr>
        <w:pStyle w:val="ListNumber"/>
      </w:pPr>
      <w:r>
        <w:t>Change the Region filter — every KPI, chart and chip updates together</w:t>
      </w:r>
    </w:p>
    <w:p>
      <w:pPr>
        <w:pStyle w:val="ListNumber"/>
      </w:pPr>
      <w:r>
        <w:t>Regions — drill into a territory, show leaders and laggards</w:t>
      </w:r>
    </w:p>
    <w:p>
      <w:pPr>
        <w:pStyle w:val="ListNumber"/>
      </w:pPr>
      <w:r>
        <w:t>Products — select a product, show trend/margin/return rate</w:t>
      </w:r>
    </w:p>
    <w:p>
      <w:pPr>
        <w:pStyle w:val="ListNumber"/>
      </w:pPr>
      <w:r>
        <w:t>Revenue — drill to transaction rows, export CSV</w:t>
      </w:r>
    </w:p>
    <w:p>
      <w:pPr>
        <w:pStyle w:val="ListNumber"/>
      </w:pPr>
      <w:r>
        <w:t>AI Trainer — select invoices, show pinpointed mismatches with causes</w:t>
      </w:r>
    </w:p>
    <w:p>
      <w:pPr>
        <w:pStyle w:val="ListNumber"/>
      </w:pPr>
      <w:r>
        <w:t>Metric Governance — formula, catalog, live consistency proof</w:t>
      </w:r>
    </w:p>
    <w:p>
      <w:pPr>
        <w:pStyle w:val="ListNumber"/>
      </w:pPr>
      <w:r>
        <w:t>Switch role to North Sales Manager — the dashboard restricts</w:t>
      </w:r>
    </w:p>
    <w:p>
      <w:pPr>
        <w:pStyle w:val="ListNumber"/>
      </w:pPr>
      <w:r>
        <w:t>Close: “One company. One definition. One number.”</w:t>
      </w:r>
    </w:p>
    <w:p>
      <w:pPr>
        <w:pStyle w:val="Heading1"/>
      </w:pPr>
      <w:r>
        <w:t>Chapter 10 — Validation (how we know it is correct)</w:t>
      </w:r>
    </w:p>
    <w:p>
      <w:pPr>
        <w:pStyle w:val="ListBullet"/>
      </w:pPr>
      <w:r>
        <w:rPr>
          <w:b/>
        </w:rPr>
        <w:t>Consistency:</w:t>
      </w:r>
      <w:r>
        <w:t>Net Revenue computed 3 independent ways — identical (validate.py)</w:t>
      </w:r>
    </w:p>
    <w:p>
      <w:pPr>
        <w:pStyle w:val="ListBullet"/>
      </w:pPr>
      <w:r>
        <w:rPr>
          <w:b/>
        </w:rPr>
        <w:t>AppTest:</w:t>
      </w:r>
      <w:r>
        <w:t>all 8 pages render with no exceptions, Executive + restricted roles (apptest_run.py)</w:t>
      </w:r>
    </w:p>
    <w:p>
      <w:pPr>
        <w:pStyle w:val="ListBullet"/>
      </w:pPr>
      <w:r>
        <w:rPr>
          <w:b/>
        </w:rPr>
        <w:t>Edge cases:</w:t>
      </w:r>
      <w:r>
        <w:t>empty scopes, reset recovery, refresh, role changes (edge_test.py)</w:t>
      </w:r>
    </w:p>
    <w:p>
      <w:pPr>
        <w:pStyle w:val="ListBullet"/>
      </w:pPr>
      <w:r>
        <w:rPr>
          <w:b/>
        </w:rPr>
        <w:t>AI Trainer CLI:</w:t>
      </w:r>
      <w:r>
        <w:t>81,748 statements scanned, 0 formula violations, 929 norm outliers pinpointed</w:t>
      </w:r>
    </w:p>
    <w:p>
      <w:pPr>
        <w:pStyle w:val="ListBullet"/>
      </w:pPr>
      <w:r>
        <w:rPr>
          <w:b/>
        </w:rPr>
        <w:t>Formatting:</w:t>
      </w:r>
      <w:r>
        <w:t>₹48.2 Cr / ₹7.4 L / ₹84,200 exact-match tests</w:t>
      </w:r>
    </w:p>
    <w:p>
      <w:pPr>
        <w:pStyle w:val="Heading1"/>
      </w:pPr>
      <w:r>
        <w:t>Glossary</w:t>
      </w:r>
    </w:p>
    <w:tbl>
      <w:tblPr>
        <w:tblStyle w:val="TableGrid"/>
        <w:tblW w:type="auto" w:w="0"/>
        <w:tblLook w:firstColumn="1" w:firstRow="1" w:lastColumn="0" w:lastRow="0" w:noHBand="0" w:noVBand="1" w:val="04A0"/>
      </w:tblPr>
      <w:tblGrid>
        <w:gridCol w:w="4968"/>
        <w:gridCol w:w="4968"/>
      </w:tblGrid>
      <w:tr>
        <w:tc>
          <w:tcPr>
            <w:tcW w:type="dxa" w:w="2448"/>
            <w:shd w:val="clear" w:fill="1E3A5F"/>
          </w:tcPr>
          <w:p>
            <w:r>
              <w:rPr>
                <w:b/>
                <w:color w:val="FFFFFF"/>
                <w:sz w:val="19"/>
              </w:rPr>
              <w:t>Term</w:t>
            </w:r>
          </w:p>
        </w:tc>
        <w:tc>
          <w:tcPr>
            <w:tcW w:type="dxa" w:w="6912"/>
            <w:shd w:val="clear" w:fill="1E3A5F"/>
          </w:tcPr>
          <w:p>
            <w:r>
              <w:rPr>
                <w:b/>
                <w:color w:val="FFFFFF"/>
                <w:sz w:val="19"/>
              </w:rPr>
              <w:t>Meaning</w:t>
            </w:r>
          </w:p>
        </w:tc>
      </w:tr>
      <w:tr>
        <w:tc>
          <w:tcPr>
            <w:tcW w:type="dxa" w:w="2448"/>
          </w:tcPr>
          <w:p>
            <w:r>
              <w:rPr>
                <w:b/>
                <w:sz w:val="19"/>
              </w:rPr>
              <w:t>Governed metric</w:t>
            </w:r>
          </w:p>
        </w:tc>
        <w:tc>
          <w:tcPr>
            <w:tcW w:type="dxa" w:w="6912"/>
          </w:tcPr>
          <w:p>
            <w:r>
              <w:rPr>
                <w:sz w:val="19"/>
              </w:rPr>
              <w:t>One calculation defined once in code and used by every number in the product</w:t>
            </w:r>
          </w:p>
        </w:tc>
      </w:tr>
      <w:tr>
        <w:tc>
          <w:tcPr>
            <w:tcW w:type="dxa" w:w="2448"/>
            <w:shd w:val="clear" w:fill="EEF2FA"/>
          </w:tcPr>
          <w:p>
            <w:r>
              <w:rPr>
                <w:b/>
                <w:sz w:val="19"/>
              </w:rPr>
              <w:t>Star schema</w:t>
            </w:r>
          </w:p>
        </w:tc>
        <w:tc>
          <w:tcPr>
            <w:tcW w:type="dxa" w:w="6912"/>
            <w:shd w:val="clear" w:fill="EEF2FA"/>
          </w:tcPr>
          <w:p>
            <w:r>
              <w:rPr>
                <w:sz w:val="19"/>
              </w:rPr>
              <w:t>Central fact table + lookup dimension tables — the standard BI design</w:t>
            </w:r>
          </w:p>
        </w:tc>
      </w:tr>
      <w:tr>
        <w:tc>
          <w:tcPr>
            <w:tcW w:type="dxa" w:w="2448"/>
          </w:tcPr>
          <w:p>
            <w:r>
              <w:rPr>
                <w:b/>
                <w:sz w:val="19"/>
              </w:rPr>
              <w:t>Fact table / line item</w:t>
            </w:r>
          </w:p>
        </w:tc>
        <w:tc>
          <w:tcPr>
            <w:tcW w:type="dxa" w:w="6912"/>
          </w:tcPr>
          <w:p>
            <w:r>
              <w:rPr>
                <w:sz w:val="19"/>
              </w:rPr>
              <w:t>One row = one product line within an order</w:t>
            </w:r>
          </w:p>
        </w:tc>
      </w:tr>
      <w:tr>
        <w:tc>
          <w:tcPr>
            <w:tcW w:type="dxa" w:w="2448"/>
            <w:shd w:val="clear" w:fill="EEF2FA"/>
          </w:tcPr>
          <w:p>
            <w:r>
              <w:rPr>
                <w:b/>
                <w:sz w:val="19"/>
              </w:rPr>
              <w:t>Dimension</w:t>
            </w:r>
          </w:p>
        </w:tc>
        <w:tc>
          <w:tcPr>
            <w:tcW w:type="dxa" w:w="6912"/>
            <w:shd w:val="clear" w:fill="EEF2FA"/>
          </w:tcPr>
          <w:p>
            <w:r>
              <w:rPr>
                <w:sz w:val="19"/>
              </w:rPr>
              <w:t>A lookup table you slice by — who, what, where, when</w:t>
            </w:r>
          </w:p>
        </w:tc>
      </w:tr>
      <w:tr>
        <w:tc>
          <w:tcPr>
            <w:tcW w:type="dxa" w:w="2448"/>
          </w:tcPr>
          <w:p>
            <w:r>
              <w:rPr>
                <w:b/>
                <w:sz w:val="19"/>
              </w:rPr>
              <w:t>Gross vs Net</w:t>
            </w:r>
          </w:p>
        </w:tc>
        <w:tc>
          <w:tcPr>
            <w:tcW w:type="dxa" w:w="6912"/>
          </w:tcPr>
          <w:p>
            <w:r>
              <w:rPr>
                <w:sz w:val="19"/>
              </w:rPr>
              <w:t>Before vs after discounts and returns</w:t>
            </w:r>
          </w:p>
        </w:tc>
      </w:tr>
      <w:tr>
        <w:tc>
          <w:tcPr>
            <w:tcW w:type="dxa" w:w="2448"/>
            <w:shd w:val="clear" w:fill="EEF2FA"/>
          </w:tcPr>
          <w:p>
            <w:r>
              <w:rPr>
                <w:b/>
                <w:sz w:val="19"/>
              </w:rPr>
              <w:t>ETL</w:t>
            </w:r>
          </w:p>
        </w:tc>
        <w:tc>
          <w:tcPr>
            <w:tcW w:type="dxa" w:w="6912"/>
            <w:shd w:val="clear" w:fill="EEF2FA"/>
          </w:tcPr>
          <w:p>
            <w:r>
              <w:rPr>
                <w:sz w:val="19"/>
              </w:rPr>
              <w:t>Extract, transform, load — raw data cleaned and stored</w:t>
            </w:r>
          </w:p>
        </w:tc>
      </w:tr>
      <w:tr>
        <w:tc>
          <w:tcPr>
            <w:tcW w:type="dxa" w:w="2448"/>
          </w:tcPr>
          <w:p>
            <w:r>
              <w:rPr>
                <w:b/>
                <w:sz w:val="19"/>
              </w:rPr>
              <w:t>σ (sigma)</w:t>
            </w:r>
          </w:p>
        </w:tc>
        <w:tc>
          <w:tcPr>
            <w:tcW w:type="dxa" w:w="6912"/>
          </w:tcPr>
          <w:p>
            <w:r>
              <w:rPr>
                <w:sz w:val="19"/>
              </w:rPr>
              <w:t>One standard deviation — how far a value sits from the norm</w:t>
            </w:r>
          </w:p>
        </w:tc>
      </w:tr>
      <w:tr>
        <w:tc>
          <w:tcPr>
            <w:tcW w:type="dxa" w:w="2448"/>
            <w:shd w:val="clear" w:fill="EEF2FA"/>
          </w:tcPr>
          <w:p>
            <w:r>
              <w:rPr>
                <w:b/>
                <w:sz w:val="19"/>
              </w:rPr>
              <w:t>Confidence band</w:t>
            </w:r>
          </w:p>
        </w:tc>
        <w:tc>
          <w:tcPr>
            <w:tcW w:type="dxa" w:w="6912"/>
            <w:shd w:val="clear" w:fill="EEF2FA"/>
          </w:tcPr>
          <w:p>
            <w:r>
              <w:rPr>
                <w:sz w:val="19"/>
              </w:rPr>
              <w:t>The shaded range the forecast is expected to fall inside</w:t>
            </w:r>
          </w:p>
        </w:tc>
      </w:tr>
      <w:tr>
        <w:tc>
          <w:tcPr>
            <w:tcW w:type="dxa" w:w="2448"/>
          </w:tcPr>
          <w:p>
            <w:r>
              <w:rPr>
                <w:b/>
                <w:sz w:val="19"/>
              </w:rPr>
              <w:t>RLS</w:t>
            </w:r>
          </w:p>
        </w:tc>
        <w:tc>
          <w:tcPr>
            <w:tcW w:type="dxa" w:w="6912"/>
          </w:tcPr>
          <w:p>
            <w:r>
              <w:rPr>
                <w:sz w:val="19"/>
              </w:rPr>
              <w:t>Row-level security — users only see data they're allowed to</w:t>
            </w:r>
          </w:p>
        </w:tc>
      </w:tr>
      <w:tr>
        <w:tc>
          <w:tcPr>
            <w:tcW w:type="dxa" w:w="2448"/>
            <w:shd w:val="clear" w:fill="EEF2FA"/>
          </w:tcPr>
          <w:p>
            <w:r>
              <w:rPr>
                <w:b/>
                <w:sz w:val="19"/>
              </w:rPr>
              <w:t>KPI / AOV / Margin</w:t>
            </w:r>
          </w:p>
        </w:tc>
        <w:tc>
          <w:tcPr>
            <w:tcW w:type="dxa" w:w="6912"/>
            <w:shd w:val="clear" w:fill="EEF2FA"/>
          </w:tcPr>
          <w:p>
            <w:r>
              <w:rPr>
                <w:sz w:val="19"/>
              </w:rPr>
              <w:t>Key indicator / revenue ÷ orders / profit ÷ revenue</w:t>
            </w:r>
          </w:p>
        </w:tc>
      </w:tr>
      <w:tr>
        <w:tc>
          <w:tcPr>
            <w:tcW w:type="dxa" w:w="2448"/>
          </w:tcPr>
          <w:p>
            <w:r>
              <w:rPr>
                <w:b/>
                <w:sz w:val="19"/>
              </w:rPr>
              <w:t>Deterministic seed</w:t>
            </w:r>
          </w:p>
        </w:tc>
        <w:tc>
          <w:tcPr>
            <w:tcW w:type="dxa" w:w="6912"/>
          </w:tcPr>
          <w:p>
            <w:r>
              <w:rPr>
                <w:sz w:val="19"/>
              </w:rPr>
              <w:t>Fixed starting point for randomness — same output every run</w:t>
            </w:r>
          </w:p>
        </w:tc>
      </w:tr>
      <w:tr>
        <w:tc>
          <w:tcPr>
            <w:tcW w:type="dxa" w:w="2448"/>
            <w:shd w:val="clear" w:fill="EEF2FA"/>
          </w:tcPr>
          <w:p>
            <w:r>
              <w:rPr>
                <w:b/>
                <w:sz w:val="19"/>
              </w:rPr>
              <w:t>Streamlit / Plotly / pandas / SQLite</w:t>
            </w:r>
          </w:p>
        </w:tc>
        <w:tc>
          <w:tcPr>
            <w:tcW w:type="dxa" w:w="6912"/>
            <w:shd w:val="clear" w:fill="EEF2FA"/>
          </w:tcPr>
          <w:p>
            <w:r>
              <w:rPr>
                <w:sz w:val="19"/>
              </w:rPr>
              <w:t>The free open-source tools the app is built with</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Verity · PS31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