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1DEDB5">
      <w:pPr>
        <w:jc w:val="center"/>
        <w:rPr>
          <w:rFonts w:hint="default"/>
          <w:b w:val="0"/>
          <w:bCs w:val="0"/>
          <w:i/>
          <w:iCs/>
          <w:color w:val="FFFFFF"/>
          <w:sz w:val="36"/>
          <w:szCs w:val="36"/>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default"/>
          <w:b w:val="0"/>
          <w:bCs w:val="0"/>
          <w:i/>
          <w:iCs/>
          <w:color w:val="FFFFFF"/>
          <w:sz w:val="36"/>
          <w:szCs w:val="36"/>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Resumo FinOps</w:t>
      </w:r>
    </w:p>
    <w:p w14:paraId="02559214">
      <w:pPr>
        <w:jc w:val="center"/>
        <w:rPr>
          <w:rFonts w:hint="default"/>
          <w:b w:val="0"/>
          <w:bCs w:val="0"/>
          <w:i/>
          <w:iCs/>
          <w:color w:val="FFFFFF"/>
          <w:sz w:val="36"/>
          <w:szCs w:val="36"/>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p>
    <w:p w14:paraId="2EDCA287">
      <w:pPr>
        <w:jc w:val="left"/>
        <w:rPr>
          <w:rFonts w:hint="default"/>
          <w:b w:val="0"/>
          <w:bCs w:val="0"/>
          <w:i w:val="0"/>
          <w:iCs w:val="0"/>
          <w:color w:val="C55A11" w:themeColor="accent2" w:themeShade="BF"/>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C55A11" w:themeColor="accent2" w:themeShade="BF"/>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Modelo OnPremise</w:t>
      </w:r>
    </w:p>
    <w:p w14:paraId="1F2D769C">
      <w:pPr>
        <w:jc w:val="left"/>
        <w:rPr>
          <w:rFonts w:hint="default"/>
          <w:b w:val="0"/>
          <w:bCs w:val="0"/>
          <w:i w:val="0"/>
          <w:iCs w:val="0"/>
          <w:color w:val="C55A11" w:themeColor="accent2" w:themeShade="BF"/>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14:paraId="506D7CCF">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Modelo financeiro preditivo</w:t>
      </w:r>
    </w:p>
    <w:p w14:paraId="63452CB6">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Invent</w:t>
      </w:r>
      <w:r>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ário classificado como ativo (Capex)</w:t>
      </w:r>
    </w:p>
    <w:p w14:paraId="720CC0A3">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Controle de segurança</w:t>
      </w:r>
    </w:p>
    <w:p w14:paraId="467E189E">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Dificuldade para planejar e arquitetar para crescimento.</w:t>
      </w:r>
    </w:p>
    <w:p w14:paraId="1C123F6E">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Impossibilidade de troca de servidores com agilidade.</w:t>
      </w:r>
    </w:p>
    <w:p w14:paraId="3E4719AC">
      <w:pPr>
        <w:numPr>
          <w:ilvl w:val="0"/>
          <w:numId w:val="1"/>
        </w:numPr>
        <w:ind w:left="420" w:leftChars="0" w:hanging="420" w:firstLineChars="0"/>
        <w:jc w:val="left"/>
        <w:rPr>
          <w:rFonts w:hint="default"/>
          <w:b w:val="0"/>
          <w:bCs w:val="0"/>
          <w:i w:val="0"/>
          <w:i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Grande investimento financeiro para compra de máquinas.</w:t>
      </w:r>
    </w:p>
    <w:p w14:paraId="4BA1CC25">
      <w:pPr>
        <w:numPr>
          <w:ilvl w:val="0"/>
          <w:numId w:val="0"/>
        </w:numPr>
        <w:jc w:val="left"/>
        <w:rPr>
          <w:rFonts w:hint="default"/>
          <w:b w:val="0"/>
          <w:bCs w:val="0"/>
          <w:i w:val="0"/>
          <w:iCs w:val="0"/>
          <w:color w:val="000000" w:themeColor="text1"/>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A7EA9A3">
      <w:pPr>
        <w:numPr>
          <w:ilvl w:val="0"/>
          <w:numId w:val="0"/>
        </w:numPr>
        <w:jc w:val="left"/>
        <w:rPr>
          <w:rFonts w:hint="default"/>
          <w:b w:val="0"/>
          <w:bCs w:val="0"/>
          <w:i w:val="0"/>
          <w:iCs w:val="0"/>
          <w:color w:val="C55A11" w:themeColor="accent2" w:themeShade="BF"/>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C55A11" w:themeColor="accent2" w:themeShade="BF"/>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Modelo Cloud</w:t>
      </w:r>
    </w:p>
    <w:p w14:paraId="254CE9CC">
      <w:pPr>
        <w:numPr>
          <w:ilvl w:val="0"/>
          <w:numId w:val="0"/>
        </w:numPr>
        <w:jc w:val="left"/>
        <w:rPr>
          <w:rFonts w:hint="default"/>
          <w:b w:val="0"/>
          <w:bCs w:val="0"/>
          <w:i w:val="0"/>
          <w:iCs w:val="0"/>
          <w:color w:val="C55A11" w:themeColor="accent2" w:themeShade="BF"/>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14:paraId="3F499FCF">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Modelo financeiro sem previsibilidade</w:t>
      </w:r>
    </w:p>
    <w:p w14:paraId="52D1141B">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Custos classificados como despesa (Opex)</w:t>
      </w:r>
    </w:p>
    <w:p w14:paraId="798519B0">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Segurança, acesso e configuração são responsabilidade do provider</w:t>
      </w:r>
    </w:p>
    <w:p w14:paraId="3748505A">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Arquitetura para crescimento e escala em segundos</w:t>
      </w:r>
    </w:p>
    <w:p w14:paraId="7B7D5D31">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Novo tipo de precificação mais justo e transparente.</w:t>
      </w:r>
    </w:p>
    <w:p w14:paraId="48FDC857">
      <w:pPr>
        <w:numPr>
          <w:ilvl w:val="0"/>
          <w:numId w:val="1"/>
        </w:numPr>
        <w:ind w:left="420" w:leftChars="0" w:hanging="420" w:firstLineChars="0"/>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 poder de provisionar recursos está na mão quem opera diariamente.</w:t>
      </w:r>
    </w:p>
    <w:p w14:paraId="0F125396">
      <w:pPr>
        <w:numPr>
          <w:ilvl w:val="0"/>
          <w:numId w:val="0"/>
        </w:numPr>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14:paraId="75183BFB">
      <w:pPr>
        <w:numPr>
          <w:ilvl w:val="0"/>
          <w:numId w:val="0"/>
        </w:numPr>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 que é “FinOps”</w:t>
      </w:r>
      <w:r>
        <w:rPr>
          <w:rFonts w:hint="default"/>
          <w:b w:val="0"/>
          <w:bCs w:val="0"/>
          <w:i w:val="0"/>
          <w:iCs w:val="0"/>
          <w:color w:val="auto"/>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b w:val="0"/>
          <w:bCs w:val="0"/>
          <w:i w:val="0"/>
          <w:iCs w:val="0"/>
          <w:color w:val="auto"/>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br w:type="textWrapping"/>
      </w:r>
      <w:r>
        <w:rPr>
          <w:rFonts w:hint="default"/>
          <w:b w:val="0"/>
          <w:bCs w:val="0"/>
          <w:i w:val="0"/>
          <w:iCs w:val="0"/>
          <w:color w:val="auto"/>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Fin = Finan</w:t>
      </w: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ças</w:t>
      </w:r>
    </w:p>
    <w:p w14:paraId="5A666059">
      <w:pPr>
        <w:numPr>
          <w:ilvl w:val="0"/>
          <w:numId w:val="0"/>
        </w:numPr>
        <w:jc w:val="left"/>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Ops = DevOps</w:t>
      </w:r>
      <w:r>
        <w:rPr>
          <w:rFonts w:hint="default"/>
          <w:b w:val="0"/>
          <w:bCs w:val="0"/>
          <w:i w:val="0"/>
          <w:iCs w:val="0"/>
          <w:color w:val="auto"/>
          <w:sz w:val="20"/>
          <w:szCs w:val="20"/>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br w:type="textWrapping"/>
      </w:r>
    </w:p>
    <w:p w14:paraId="0D230CAC">
      <w:pPr>
        <w:numPr>
          <w:ilvl w:val="0"/>
          <w:numId w:val="0"/>
        </w:numPr>
        <w:jc w:val="center"/>
        <w:rPr>
          <w:rFonts w:hint="default"/>
          <w:b/>
          <w:bCs/>
          <w:i w:val="0"/>
          <w:iCs w:val="0"/>
          <w:color w:val="auto"/>
          <w:sz w:val="28"/>
          <w:szCs w:val="28"/>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i w:val="0"/>
          <w:iCs w:val="0"/>
          <w:color w:val="auto"/>
          <w:sz w:val="28"/>
          <w:szCs w:val="28"/>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Contexto</w:t>
      </w:r>
    </w:p>
    <w:p w14:paraId="255D23BD">
      <w:pPr>
        <w:numPr>
          <w:ilvl w:val="0"/>
          <w:numId w:val="0"/>
        </w:numPr>
        <w:jc w:val="center"/>
        <w:rPr>
          <w:rFonts w:hint="default"/>
          <w:b/>
          <w:bCs/>
          <w:i w:val="0"/>
          <w:iCs w:val="0"/>
          <w:color w:val="auto"/>
          <w:sz w:val="28"/>
          <w:szCs w:val="28"/>
          <w:lang w:val="pt-B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14:paraId="79BCAD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Antes da era da computação em nuvem, as empresas enfrentavam um grande desafio quando o assunto era gerenciar e planejar seus recursos de TI, especialmente em relação à infraestrutura necessária para rodar suas operações.</w:t>
      </w:r>
    </w:p>
    <w:p w14:paraId="107C87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Esse período, conhecido como pré-cloud, exigia um planejamento financeiro cuidadoso e estratégico para a aquisição de hardware e software.</w:t>
      </w:r>
    </w:p>
    <w:p w14:paraId="271F8EF0">
      <w:pPr>
        <w:bidi w:val="0"/>
        <w:rPr>
          <w:rFonts w:hint="default"/>
          <w:lang w:val="pt-BR"/>
        </w:rPr>
      </w:pPr>
    </w:p>
    <w:p w14:paraId="0D6F99C4">
      <w:pPr>
        <w:bidi w:val="0"/>
        <w:rPr>
          <w:rFonts w:hint="default"/>
          <w:b/>
          <w:bCs/>
          <w:color w:val="C55A11" w:themeColor="accent2" w:themeShade="BF"/>
          <w:lang w:val="pt-BR"/>
        </w:rPr>
      </w:pPr>
      <w:r>
        <w:rPr>
          <w:rFonts w:hint="default"/>
          <w:b/>
          <w:bCs/>
          <w:color w:val="C55A11" w:themeColor="accent2" w:themeShade="BF"/>
          <w:lang w:val="pt-BR"/>
        </w:rPr>
        <w:t>Aquisição de Hardware</w:t>
      </w:r>
    </w:p>
    <w:p w14:paraId="485B0312">
      <w:pPr>
        <w:bidi w:val="0"/>
        <w:rPr>
          <w:rFonts w:hint="default"/>
          <w:b/>
          <w:bCs/>
          <w:color w:val="C55A11" w:themeColor="accent2" w:themeShade="BF"/>
          <w:lang w:val="pt-BR"/>
        </w:rPr>
      </w:pPr>
    </w:p>
    <w:p w14:paraId="085319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As empresas precisavam comprar e manter seu próprio hardware, como servidores, roteadores, switches e sistemas de armazenamento. Isso significava que era necessário fazer um grande investimento inicial para adquirir esses equipamentos.</w:t>
      </w:r>
    </w:p>
    <w:p w14:paraId="69F313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Além disso, havia a necessidade de prever o crescimento futuro da empresa para garantir que o hardware adquirido pudesse suportar esse crescimento nos próximos anos.</w:t>
      </w:r>
    </w:p>
    <w:p w14:paraId="6E1B5EAD">
      <w:pPr>
        <w:bidi w:val="0"/>
        <w:rPr>
          <w:rFonts w:hint="default"/>
          <w:b/>
          <w:bCs/>
          <w:color w:val="C55A11" w:themeColor="accent2" w:themeShade="BF"/>
          <w:lang w:val="pt-BR"/>
        </w:rPr>
      </w:pPr>
    </w:p>
    <w:p w14:paraId="34DB4EB7">
      <w:pPr>
        <w:bidi w:val="0"/>
        <w:rPr>
          <w:rFonts w:hint="default"/>
          <w:b/>
          <w:bCs/>
          <w:color w:val="C55A11" w:themeColor="accent2" w:themeShade="BF"/>
          <w:lang w:val="pt-BR"/>
        </w:rPr>
      </w:pPr>
    </w:p>
    <w:p w14:paraId="6705034B">
      <w:pPr>
        <w:bidi w:val="0"/>
        <w:rPr>
          <w:rFonts w:hint="default"/>
          <w:b/>
          <w:bCs/>
          <w:color w:val="C55A11" w:themeColor="accent2" w:themeShade="BF"/>
          <w:lang w:val="pt-BR"/>
        </w:rPr>
      </w:pPr>
      <w:r>
        <w:rPr>
          <w:rFonts w:hint="default"/>
          <w:b/>
          <w:bCs/>
          <w:color w:val="C55A11" w:themeColor="accent2" w:themeShade="BF"/>
          <w:lang w:val="pt-BR"/>
        </w:rPr>
        <w:t>Estratégias</w:t>
      </w:r>
    </w:p>
    <w:p w14:paraId="55A7A7A7">
      <w:pPr>
        <w:bidi w:val="0"/>
        <w:rPr>
          <w:rFonts w:hint="default"/>
          <w:b/>
          <w:bCs/>
          <w:color w:val="C55A11" w:themeColor="accent2" w:themeShade="BF"/>
          <w:lang w:val="pt-BR"/>
        </w:rPr>
      </w:pPr>
    </w:p>
    <w:p w14:paraId="12F72B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As empresas realizavam um planejamento cuidadoso para estimar suas necessidades futuras de capacidade e garantir que o hardware adquirido pudesse atender a essas necessidades sem necessidade de substituição precoce.</w:t>
      </w:r>
    </w:p>
    <w:p w14:paraId="18BD80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eastAsia="zh-CN"/>
        </w:rPr>
      </w:pPr>
      <w:r>
        <w:rPr>
          <w:rFonts w:hint="default"/>
          <w:b/>
          <w:bCs/>
          <w:color w:val="auto"/>
          <w:lang w:val="pt-BR" w:eastAsia="zh-CN"/>
        </w:rPr>
        <w:t>Além disso, algumas empresas optavam por comprar o hardware, enquanto outras preferiam fazer leasing (“arrendamento mercantil”). A decisão entre compra e leasing dependia de fatores como fluxo de caixa, necessidades de atualização de tecnologia e considerações fiscais.</w:t>
      </w:r>
    </w:p>
    <w:p w14:paraId="565ECE88">
      <w:pPr>
        <w:bidi w:val="0"/>
        <w:rPr>
          <w:rFonts w:hint="default"/>
          <w:b/>
          <w:bCs/>
          <w:color w:val="C55A11" w:themeColor="accent2" w:themeShade="BF"/>
          <w:lang w:val="pt-BR"/>
        </w:rPr>
      </w:pPr>
    </w:p>
    <w:p w14:paraId="571B7A2F">
      <w:pPr>
        <w:bidi w:val="0"/>
        <w:rPr>
          <w:rFonts w:hint="default"/>
          <w:b/>
          <w:bCs/>
          <w:color w:val="C55A11" w:themeColor="accent2" w:themeShade="BF"/>
          <w:lang w:val="pt-BR"/>
        </w:rPr>
      </w:pPr>
      <w:r>
        <w:rPr>
          <w:rFonts w:hint="default"/>
          <w:b/>
          <w:bCs/>
          <w:color w:val="C55A11" w:themeColor="accent2" w:themeShade="BF"/>
          <w:lang w:val="pt-BR"/>
        </w:rPr>
        <w:t>Aquisição de software</w:t>
      </w:r>
    </w:p>
    <w:p w14:paraId="71F2443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p>
    <w:p w14:paraId="0020E3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A</w:t>
      </w:r>
      <w:r>
        <w:rPr>
          <w:rFonts w:hint="default"/>
          <w:b/>
          <w:bCs/>
          <w:color w:val="auto"/>
          <w:lang w:val="pt-BR" w:eastAsia="zh-CN"/>
        </w:rPr>
        <w:t>lém do hardware, as empresas também precisavam adquirir licenças de software, que poderiam ser bastante caras. Isso incluía:</w:t>
      </w:r>
    </w:p>
    <w:p w14:paraId="1ACE4D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Sistemas operacionais,</w:t>
      </w:r>
    </w:p>
    <w:p w14:paraId="1D14C7C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Bancos de dados,</w:t>
      </w:r>
    </w:p>
    <w:p w14:paraId="030B12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Aplicativos de negócios, entre outros.</w:t>
      </w:r>
    </w:p>
    <w:p w14:paraId="6C43EB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As licenças de software geralmente eram vendidas com base no número de usuários ou no número de processadores do servidor, o que poderia aumentar significativamente os custos à medida que a empresa crescia.</w:t>
      </w:r>
    </w:p>
    <w:p w14:paraId="6E696877">
      <w:pPr>
        <w:bidi w:val="0"/>
        <w:rPr>
          <w:rFonts w:hint="default"/>
          <w:b/>
          <w:bCs/>
          <w:color w:val="C55A11" w:themeColor="accent2" w:themeShade="BF"/>
          <w:lang w:val="pt-BR"/>
        </w:rPr>
      </w:pPr>
    </w:p>
    <w:p w14:paraId="1ACEA0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pPr>
      <w:r>
        <w:rPr>
          <w:rFonts w:hint="default"/>
          <w:b/>
          <w:bCs/>
          <w:color w:val="C55A11" w:themeColor="accent2" w:themeShade="BF"/>
          <w:lang w:val="pt-BR"/>
        </w:rPr>
        <w:t>Estratégias</w:t>
      </w:r>
    </w:p>
    <w:p w14:paraId="015C948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C55A11" w:themeColor="accent2" w:themeShade="BF"/>
          <w:lang w:val="pt-BR"/>
        </w:rPr>
      </w:pPr>
      <w:r>
        <w:rPr>
          <w:rFonts w:hint="default"/>
          <w:b/>
          <w:bCs/>
          <w:color w:val="C55A11" w:themeColor="accent2" w:themeShade="BF"/>
          <w:lang w:val="pt-BR"/>
        </w:rPr>
        <w:br w:type="textWrapping"/>
      </w:r>
    </w:p>
    <w:p w14:paraId="61FC697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Licenças Perpétuas vs. Subscrições: as empresas tinham que decidir entre comprar licenças perpétuas, que eram mais caras inicialmente, mas não requeriam pagamentos recorrentes, ou optar por subscrições, que tinham um custo inicial menor, mas exigiam pagamentos periódicos.</w:t>
      </w:r>
    </w:p>
    <w:p w14:paraId="224A2F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p>
    <w:p w14:paraId="72573C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Negociação de Licenças: muitas vezes, era possível negociar os termos e preços das licenças de software com os fornecedores, especialmente quando se tratava de grandes volumes de compra.</w:t>
      </w:r>
    </w:p>
    <w:p w14:paraId="4F80A42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ascii="serif" w:hAnsi="serif" w:eastAsia="serif" w:cs="serif"/>
          <w:i w:val="0"/>
          <w:iCs w:val="0"/>
          <w:caps w:val="0"/>
          <w:color w:val="FFFFFF"/>
          <w:spacing w:val="0"/>
          <w:sz w:val="18"/>
          <w:szCs w:val="18"/>
          <w:shd w:val="clear" w:fill="121212"/>
        </w:rPr>
      </w:pPr>
    </w:p>
    <w:p w14:paraId="1DEAC57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pPr>
      <w:r>
        <w:rPr>
          <w:rFonts w:hint="default"/>
          <w:b/>
          <w:bCs/>
          <w:color w:val="C55A11" w:themeColor="accent2" w:themeShade="BF"/>
          <w:lang w:val="pt-BR"/>
        </w:rPr>
        <w:t>Estratégias</w:t>
      </w:r>
    </w:p>
    <w:p w14:paraId="6DE7B21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ascii="serif" w:hAnsi="serif" w:eastAsia="serif" w:cs="serif"/>
          <w:i w:val="0"/>
          <w:iCs w:val="0"/>
          <w:caps w:val="0"/>
          <w:color w:val="FFFFFF"/>
          <w:spacing w:val="0"/>
          <w:sz w:val="18"/>
          <w:szCs w:val="18"/>
          <w:shd w:val="clear" w:fill="121212"/>
          <w:lang w:val="pt-BR"/>
        </w:rPr>
      </w:pPr>
    </w:p>
    <w:p w14:paraId="5EF921F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rPr>
          <w:rFonts w:hint="default"/>
          <w:b/>
          <w:bCs/>
          <w:color w:val="auto"/>
          <w:lang w:val="pt-BR"/>
        </w:rPr>
      </w:pPr>
      <w:r>
        <w:rPr>
          <w:rFonts w:hint="default"/>
          <w:b/>
          <w:bCs/>
          <w:color w:val="auto"/>
          <w:lang w:val="pt-BR"/>
        </w:rPr>
        <w:t>Custos Iniciais Elevados: um dos maiores desafios do planejamento financeiro pré-cloud era o alto custo inicial de aquisição de hardware e software.</w:t>
      </w:r>
    </w:p>
    <w:p w14:paraId="3E02C25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firstLine="0" w:firstLineChars="0"/>
        <w:rPr>
          <w:rFonts w:hint="default"/>
          <w:b/>
          <w:bCs/>
          <w:color w:val="auto"/>
          <w:lang w:val="pt-BR"/>
        </w:rPr>
      </w:pPr>
      <w:r>
        <w:rPr>
          <w:rFonts w:hint="default"/>
          <w:b/>
          <w:bCs/>
          <w:color w:val="auto"/>
          <w:lang w:val="pt-BR"/>
        </w:rPr>
        <w:t>Previsão de Crescimento: estimar o crescimento futuro e as necessidades de capacidade era complexo e, muitas vezes, as empresas acabavam subestimando ou superestimando suas necessidades.</w:t>
      </w:r>
    </w:p>
    <w:p w14:paraId="55A04A7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60" w:leftChars="0" w:right="0" w:rightChars="0" w:firstLine="0" w:firstLineChars="0"/>
        <w:rPr>
          <w:rFonts w:hint="default"/>
          <w:b/>
          <w:bCs/>
          <w:color w:val="auto"/>
          <w:lang w:val="pt-BR"/>
        </w:rPr>
      </w:pPr>
      <w:r>
        <w:rPr>
          <w:rFonts w:hint="default"/>
          <w:b/>
          <w:bCs/>
          <w:color w:val="auto"/>
          <w:lang w:val="pt-BR"/>
        </w:rPr>
        <w:t>Obsolescência de Tecnologia: o rápido avanço da tecnologia significava que o hardware e software poderiam se tornar obsoletos rapidamente, exigindo novos investimentos antes do previsto.</w:t>
      </w:r>
    </w:p>
    <w:p w14:paraId="26BA9C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color w:val="auto"/>
          <w:lang w:val="pt-BR"/>
        </w:rPr>
      </w:pPr>
    </w:p>
    <w:p w14:paraId="4F4F4A9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color w:val="auto"/>
          <w:u w:val="single"/>
          <w:lang w:val="en-US"/>
        </w:rPr>
      </w:pPr>
      <w:r>
        <w:rPr>
          <w:rFonts w:hint="default"/>
          <w:b w:val="0"/>
          <w:bCs w:val="0"/>
          <w:color w:val="auto"/>
          <w:lang w:val="pt-BR"/>
        </w:rPr>
        <w:t>Link de acesso ao Framework</w:t>
      </w:r>
      <w:r>
        <w:rPr>
          <w:rFonts w:hint="default"/>
          <w:b w:val="0"/>
          <w:bCs w:val="0"/>
          <w:color w:val="auto"/>
          <w:lang w:val="en-US"/>
        </w:rPr>
        <w:t>:</w:t>
      </w:r>
      <w:r>
        <w:rPr>
          <w:rFonts w:hint="default"/>
          <w:b/>
          <w:bCs/>
          <w:color w:val="auto"/>
          <w:lang w:val="en-US"/>
        </w:rPr>
        <w:t xml:space="preserve"> </w:t>
      </w:r>
      <w:r>
        <w:rPr>
          <w:rFonts w:hint="default"/>
          <w:b/>
          <w:bCs/>
          <w:color w:val="auto"/>
          <w:u w:val="single"/>
          <w:lang w:val="en-US"/>
        </w:rPr>
        <w:fldChar w:fldCharType="begin"/>
      </w:r>
      <w:r>
        <w:rPr>
          <w:rFonts w:hint="default"/>
          <w:b/>
          <w:bCs/>
          <w:color w:val="auto"/>
          <w:u w:val="single"/>
          <w:lang w:val="en-US"/>
        </w:rPr>
        <w:instrText xml:space="preserve"> HYPERLINK "https://www.finops.org/framework/" </w:instrText>
      </w:r>
      <w:r>
        <w:rPr>
          <w:rFonts w:hint="default"/>
          <w:b/>
          <w:bCs/>
          <w:color w:val="auto"/>
          <w:u w:val="single"/>
          <w:lang w:val="en-US"/>
        </w:rPr>
        <w:fldChar w:fldCharType="separate"/>
      </w:r>
      <w:r>
        <w:rPr>
          <w:rStyle w:val="6"/>
          <w:rFonts w:hint="default"/>
          <w:b/>
          <w:bCs/>
          <w:lang w:val="en-US"/>
        </w:rPr>
        <w:t>https://www.finops.org/framework/</w:t>
      </w:r>
      <w:r>
        <w:rPr>
          <w:rFonts w:hint="default"/>
          <w:b/>
          <w:bCs/>
          <w:color w:val="auto"/>
          <w:u w:val="single"/>
          <w:lang w:val="en-US"/>
        </w:rPr>
        <w:fldChar w:fldCharType="end"/>
      </w:r>
    </w:p>
    <w:p w14:paraId="334242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color w:val="auto"/>
          <w:lang w:val="en-US"/>
        </w:rPr>
      </w:pPr>
    </w:p>
    <w:p w14:paraId="4A8F161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color w:val="auto"/>
          <w:highlight w:val="yellow"/>
          <w:lang w:val="en-US"/>
        </w:rPr>
      </w:pPr>
      <w:r>
        <w:rPr>
          <w:rFonts w:hint="default"/>
          <w:b/>
          <w:bCs/>
          <w:color w:val="auto"/>
          <w:highlight w:val="yellow"/>
          <w:lang w:val="pt-BR"/>
        </w:rPr>
        <w:t>Os times técnicos são os principais usuários da infraestrutura de cloud e, por isso, precisam ter um senso de responsabilização sobre os recursos que utilizam, pois há impacto direto nos custos.</w:t>
      </w:r>
    </w:p>
    <w:p w14:paraId="654A09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p>
    <w:p w14:paraId="68A859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color w:val="auto"/>
          <w:lang w:val="pt-BR"/>
        </w:rPr>
      </w:pPr>
      <w:r>
        <w:rPr>
          <w:rFonts w:hint="default"/>
          <w:b/>
          <w:bCs/>
          <w:color w:val="auto"/>
          <w:lang w:val="pt-BR"/>
        </w:rPr>
        <w:t>Na empresa de software de gestão hospitalar, o time de compras necessita entender FinOps para negociar contratos de cloud.</w:t>
      </w:r>
      <w:r>
        <w:rPr>
          <w:rFonts w:hint="default"/>
          <w:b/>
          <w:bCs/>
          <w:color w:val="auto"/>
          <w:lang w:val="en-US"/>
        </w:rPr>
        <w:t xml:space="preserve"> </w:t>
      </w:r>
      <w:r>
        <w:rPr>
          <w:rFonts w:hint="default"/>
          <w:b/>
          <w:bCs/>
          <w:color w:val="auto"/>
          <w:lang w:val="pt-BR"/>
        </w:rPr>
        <w:t>Por que é fundamental essa integração?</w:t>
      </w:r>
    </w:p>
    <w:p w14:paraId="6C99363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en-US"/>
        </w:rPr>
        <w:t xml:space="preserve">R: </w:t>
      </w:r>
      <w:r>
        <w:rPr>
          <w:rFonts w:hint="default"/>
          <w:b w:val="0"/>
          <w:bCs w:val="0"/>
          <w:color w:val="auto"/>
          <w:lang w:val="pt-BR"/>
        </w:rPr>
        <w:t>O time de compras precisa entender FinOps para saber negociar contratos que atendam às necessidades específicas de infraestrutura da empresa, com melhores taxas e descontos.</w:t>
      </w:r>
    </w:p>
    <w:p w14:paraId="4EB85C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p>
    <w:p w14:paraId="5900FC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i/>
          <w:iCs/>
          <w:color w:val="auto"/>
          <w:lang w:val="pt-BR"/>
        </w:rPr>
      </w:pPr>
      <w:r>
        <w:rPr>
          <w:rFonts w:hint="default"/>
          <w:b/>
          <w:bCs/>
          <w:i/>
          <w:iCs/>
          <w:color w:val="auto"/>
          <w:lang w:val="pt-BR"/>
        </w:rPr>
        <w:t>Times de Engenharia:</w:t>
      </w:r>
    </w:p>
    <w:p w14:paraId="5BAA989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Os times de engenharia são responsáveis pelo desenvolvimento e manutenção dos aplicativos e serviços que utilizam a infraestrutura de cloud. Eles impactam FinOps ao:</w:t>
      </w:r>
    </w:p>
    <w:p w14:paraId="6FA7A5F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Otimizar o código e a arquitetura das aplicações para melhorar a eficiência de custos.</w:t>
      </w:r>
    </w:p>
    <w:p w14:paraId="2EA07AD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Implementar práticas de DevOps para garantir o uso eficiente dos recursos de cloud.</w:t>
      </w:r>
    </w:p>
    <w:p w14:paraId="484E4CA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Monitorar o consumo de recursos em tempo real para evitar desperdícios e sobrecargas.</w:t>
      </w:r>
    </w:p>
    <w:p w14:paraId="586CE27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i/>
          <w:iCs/>
          <w:color w:val="auto"/>
          <w:lang w:val="pt-BR"/>
        </w:rPr>
      </w:pPr>
      <w:r>
        <w:rPr>
          <w:rFonts w:hint="default"/>
          <w:b/>
          <w:bCs/>
          <w:i/>
          <w:iCs/>
          <w:color w:val="auto"/>
          <w:lang w:val="pt-BR"/>
        </w:rPr>
        <w:t>Times de Infraestrutura:</w:t>
      </w:r>
    </w:p>
    <w:p w14:paraId="067F22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Os times de infraestrutura gerenciam a configuração e manutenção dos recursos de cloud, como servidores, redes e armazenamento. Eles impactam FinOps ao:</w:t>
      </w:r>
    </w:p>
    <w:p w14:paraId="0AA3B07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Garantir que os recursos de cloud sejam provisionados e configurados de maneira eficiente.</w:t>
      </w:r>
    </w:p>
    <w:p w14:paraId="7CBE557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Automatizar a escalabilidade dos recursos para alinhar com a demanda real, evitando custos desnecessários.</w:t>
      </w:r>
    </w:p>
    <w:p w14:paraId="6E993BC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Manter a segurança e conformidade, evitando penalidades que podem aumentar os custos.</w:t>
      </w:r>
    </w:p>
    <w:p w14:paraId="42DFEA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i/>
          <w:iCs/>
          <w:color w:val="auto"/>
          <w:lang w:val="pt-BR"/>
        </w:rPr>
      </w:pPr>
      <w:r>
        <w:rPr>
          <w:rFonts w:hint="default"/>
          <w:b/>
          <w:bCs/>
          <w:i/>
          <w:iCs/>
          <w:color w:val="auto"/>
          <w:lang w:val="pt-BR"/>
        </w:rPr>
        <w:t>Gerentes/Coordenadores de Tecnologia:</w:t>
      </w:r>
    </w:p>
    <w:p w14:paraId="5385405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Os gerentes e coordenadores de tecnologia são responsáveis por supervisionar as operações de TI e garantir que os projetos estejam alinhados com as metas de negócios. Eles impactam FinOps ao:</w:t>
      </w:r>
    </w:p>
    <w:p w14:paraId="2772E98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Estabelecer políticas e práticas de governança para o uso de cloud, assegurando a conformidade com os orçamentos e objetivos estratégicos.</w:t>
      </w:r>
    </w:p>
    <w:p w14:paraId="3437AA3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Promover a colaboração entre equipes de desenvolvimento, operações e finanças para uma melhor tomada de decisões de custo-benefício.</w:t>
      </w:r>
    </w:p>
    <w:p w14:paraId="07BAE22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Analisar relatórios e métricas de uso de cloud para identificar oportunidades de otimização e redução de custos.</w:t>
      </w:r>
    </w:p>
    <w:p w14:paraId="021872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i/>
          <w:iCs/>
          <w:color w:val="auto"/>
          <w:lang w:val="pt-BR"/>
        </w:rPr>
      </w:pPr>
      <w:r>
        <w:rPr>
          <w:rFonts w:hint="default"/>
          <w:b/>
          <w:bCs/>
          <w:i/>
          <w:iCs/>
          <w:color w:val="auto"/>
          <w:lang w:val="pt-BR"/>
        </w:rPr>
        <w:t>Times de Finanças:</w:t>
      </w:r>
    </w:p>
    <w:p w14:paraId="7D0CF0E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Os times de finanças são responsáveis pela contabilização e controle dos custos de cloud no resultado da empresa. Eles impactam FinOps ao:</w:t>
      </w:r>
    </w:p>
    <w:p w14:paraId="38D5DBE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Monitorar e registrar os gastos de cloud nos relatórios financeiros.</w:t>
      </w:r>
    </w:p>
    <w:p w14:paraId="576F82B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Analisar os custos em relação ao orçamento e identificar áreas onde podem ser feitas economias.</w:t>
      </w:r>
    </w:p>
    <w:p w14:paraId="772E8FD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Colaborar com outros departamentos para definir orçamentos e metas financeiras para o uso de cloud.</w:t>
      </w:r>
    </w:p>
    <w:p w14:paraId="177469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Implementar processos de pagamento e fatura eficientes para os serviços de cloud.</w:t>
      </w:r>
    </w:p>
    <w:p w14:paraId="7BEA944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Outras áreas envolvidas:</w:t>
      </w:r>
    </w:p>
    <w:p w14:paraId="5BAC55F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Você também pode considerar outras áreas como:</w:t>
      </w:r>
    </w:p>
    <w:p w14:paraId="34B07BF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bCs/>
          <w:i/>
          <w:iCs/>
          <w:color w:val="auto"/>
          <w:lang w:val="pt-BR"/>
        </w:rPr>
      </w:pPr>
      <w:r>
        <w:rPr>
          <w:rFonts w:hint="default"/>
          <w:b/>
          <w:bCs/>
          <w:i/>
          <w:iCs/>
          <w:color w:val="auto"/>
          <w:lang w:val="pt-BR"/>
        </w:rPr>
        <w:t>Times de Produto:</w:t>
      </w:r>
    </w:p>
    <w:p w14:paraId="420D059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Definem requisitos e prioridades que podem impactar o consumo de recursos de cloud.</w:t>
      </w:r>
    </w:p>
    <w:p w14:paraId="06399A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val="0"/>
          <w:bCs w:val="0"/>
          <w:color w:val="auto"/>
          <w:lang w:val="pt-BR"/>
        </w:rPr>
        <w:t>Equipes de Segurança:</w:t>
      </w:r>
    </w:p>
    <w:p w14:paraId="1CB2ADE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Garantem que as práticas de segurança não só protejam os dados, mas também sejam custo-efetivas.</w:t>
      </w:r>
    </w:p>
    <w:p w14:paraId="5F4705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r>
        <w:rPr>
          <w:rFonts w:hint="default"/>
          <w:b/>
          <w:bCs/>
          <w:i/>
          <w:iCs/>
          <w:color w:val="auto"/>
          <w:lang w:val="pt-BR"/>
        </w:rPr>
        <w:t>Executivos e Diretores:</w:t>
      </w:r>
    </w:p>
    <w:p w14:paraId="00599BB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Definem a visão e a estratégia global da empresa para o uso da cloud e influenciam as decisões de investimentos.</w:t>
      </w:r>
    </w:p>
    <w:p w14:paraId="0C25A6B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420" w:leftChars="0" w:right="0" w:rightChars="0" w:hanging="420" w:firstLineChars="0"/>
        <w:rPr>
          <w:rFonts w:hint="default"/>
          <w:b w:val="0"/>
          <w:bCs w:val="0"/>
          <w:color w:val="auto"/>
          <w:lang w:val="pt-BR"/>
        </w:rPr>
      </w:pPr>
      <w:r>
        <w:rPr>
          <w:rFonts w:hint="default"/>
          <w:b w:val="0"/>
          <w:bCs w:val="0"/>
          <w:color w:val="auto"/>
          <w:lang w:val="pt-BR"/>
        </w:rPr>
        <w:t>Essa abordagem integrada ajuda a criar uma cultura de responsabilidade compartilhada pelos custos de cloud, essencial para o sucesso do FinOps.</w:t>
      </w:r>
    </w:p>
    <w:p w14:paraId="6A9253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val="0"/>
          <w:bCs w:val="0"/>
          <w:color w:val="auto"/>
          <w:lang w:val="en-US"/>
        </w:rPr>
      </w:pPr>
    </w:p>
    <w:p w14:paraId="3B5F97F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val="0"/>
          <w:bCs w:val="0"/>
          <w:color w:val="auto"/>
          <w:lang w:val="en-US"/>
        </w:rPr>
      </w:pPr>
    </w:p>
    <w:p w14:paraId="0FBCA67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bCs/>
          <w:color w:val="auto"/>
          <w:lang w:val="pt-BR"/>
        </w:rPr>
      </w:pPr>
      <w:r>
        <w:rPr>
          <w:rFonts w:hint="default"/>
          <w:b/>
          <w:bCs/>
          <w:color w:val="auto"/>
          <w:lang w:val="pt-BR"/>
        </w:rPr>
        <w:t>Para um aplicativo de mobilidade urbana, é crucial identificar de onde vêm os maiores gastos.</w:t>
      </w:r>
    </w:p>
    <w:p w14:paraId="4C5162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bCs/>
          <w:color w:val="auto"/>
          <w:lang w:val="pt-BR"/>
        </w:rPr>
      </w:pPr>
      <w:r>
        <w:rPr>
          <w:rFonts w:hint="default"/>
          <w:b/>
          <w:bCs/>
          <w:color w:val="auto"/>
          <w:lang w:val="pt-BR"/>
        </w:rPr>
        <w:t>Como a prática de FinOps orienta a alocação de custos em um aplicativo de mobilidade urbana?</w:t>
      </w:r>
    </w:p>
    <w:p w14:paraId="714DA22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val="0"/>
          <w:bCs w:val="0"/>
          <w:color w:val="auto"/>
          <w:lang w:val="en-US"/>
        </w:rPr>
      </w:pPr>
      <w:r>
        <w:rPr>
          <w:rFonts w:hint="default"/>
          <w:b/>
          <w:bCs/>
          <w:color w:val="auto"/>
          <w:lang w:val="en-US"/>
        </w:rPr>
        <w:t xml:space="preserve">R: </w:t>
      </w:r>
      <w:r>
        <w:rPr>
          <w:rFonts w:hint="default"/>
          <w:b w:val="0"/>
          <w:bCs w:val="0"/>
          <w:color w:val="auto"/>
          <w:lang w:val="pt-BR"/>
        </w:rPr>
        <w:t>A prática de FinOps orienta a identificação, segmentação e alocação dos custos por serviço, área ou time.</w:t>
      </w:r>
    </w:p>
    <w:p w14:paraId="449BBCC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bCs/>
          <w:color w:val="auto"/>
          <w:lang w:val="pt-BR"/>
        </w:rPr>
      </w:pPr>
    </w:p>
    <w:p w14:paraId="4C79882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bCs/>
          <w:color w:val="auto"/>
          <w:lang w:val="pt-BR"/>
        </w:rPr>
      </w:pPr>
      <w:r>
        <w:rPr>
          <w:rFonts w:hint="default"/>
          <w:b/>
          <w:bCs/>
          <w:color w:val="auto"/>
          <w:lang w:val="pt-BR"/>
        </w:rPr>
        <w:t>A gerência de um aplicativo de mobilidade urbana precisa prever se determinadas ações aumentarão os custos operacionais.</w:t>
      </w:r>
    </w:p>
    <w:p w14:paraId="474AE42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bCs/>
          <w:color w:val="auto"/>
          <w:lang w:val="pt-BR"/>
        </w:rPr>
      </w:pPr>
      <w:r>
        <w:rPr>
          <w:rFonts w:hint="default"/>
          <w:b/>
          <w:bCs/>
          <w:color w:val="auto"/>
          <w:lang w:val="pt-BR"/>
        </w:rPr>
        <w:t>Levando em consideração o Finops, como a capacidade de previsão pode ajudar um aplicativo de mobilidade urbana a gerenciar os custos operacionais de novos recursos?</w:t>
      </w:r>
    </w:p>
    <w:p w14:paraId="292A0AF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val="0"/>
          <w:bCs w:val="0"/>
          <w:color w:val="auto"/>
          <w:lang w:val="pt-BR"/>
        </w:rPr>
      </w:pPr>
      <w:r>
        <w:rPr>
          <w:rFonts w:hint="default"/>
          <w:b/>
          <w:bCs/>
          <w:color w:val="auto"/>
          <w:lang w:val="en-US"/>
        </w:rPr>
        <w:t>R:</w:t>
      </w:r>
      <w:r>
        <w:rPr>
          <w:rFonts w:hint="default"/>
          <w:b w:val="0"/>
          <w:bCs w:val="0"/>
          <w:color w:val="auto"/>
          <w:lang w:val="en-US"/>
        </w:rPr>
        <w:t xml:space="preserve"> </w:t>
      </w:r>
      <w:r>
        <w:rPr>
          <w:rFonts w:hint="default"/>
          <w:b w:val="0"/>
          <w:bCs w:val="0"/>
          <w:color w:val="auto"/>
          <w:lang w:val="pt-BR"/>
        </w:rPr>
        <w:t>A capacidade de previsão ajuda a estimar o impacto financeiro dos novos recursos, permitindo ajustar estratégias para minimizar aumentos de custo.</w:t>
      </w:r>
    </w:p>
    <w:p w14:paraId="273304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leftChars="0" w:right="0" w:rightChars="0"/>
        <w:rPr>
          <w:rFonts w:hint="default"/>
          <w:b w:val="0"/>
          <w:bCs w:val="0"/>
          <w:color w:val="auto"/>
          <w:lang w:val="en-US"/>
        </w:rPr>
      </w:pPr>
      <w:r>
        <w:rPr>
          <w:rFonts w:hint="default"/>
          <w:b w:val="0"/>
          <w:bCs w:val="0"/>
          <w:color w:val="auto"/>
          <w:lang w:val="en-US"/>
        </w:rPr>
        <w:t xml:space="preserve">As 3 fases do </w:t>
      </w:r>
      <w:r>
        <w:rPr>
          <w:rFonts w:hint="default"/>
          <w:b/>
          <w:bCs/>
          <w:color w:val="auto"/>
          <w:lang w:val="en-US"/>
        </w:rPr>
        <w:t>FinOps</w:t>
      </w:r>
      <w:r>
        <w:rPr>
          <w:rFonts w:hint="default"/>
          <w:b w:val="0"/>
          <w:bCs w:val="0"/>
          <w:color w:val="auto"/>
          <w:lang w:val="en-US"/>
        </w:rPr>
        <w:t xml:space="preserve"> se baseiam em: Informar, Otimizar e Operar.</w:t>
      </w:r>
      <w:bookmarkStart w:id="0" w:name="_GoBack"/>
      <w:bookmarkEnd w:id="0"/>
    </w:p>
    <w:p w14:paraId="39EAAE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p>
    <w:p w14:paraId="22960A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ind w:right="0" w:rightChars="0"/>
        <w:rPr>
          <w:rFonts w:hint="default"/>
          <w:b w:val="0"/>
          <w:bCs w:val="0"/>
          <w:color w:val="auto"/>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21642"/>
    <w:multiLevelType w:val="singleLevel"/>
    <w:tmpl w:val="A74216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EFD738E"/>
    <w:multiLevelType w:val="singleLevel"/>
    <w:tmpl w:val="DEFD73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53B8A2E"/>
    <w:multiLevelType w:val="singleLevel"/>
    <w:tmpl w:val="353B8A2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065DF"/>
    <w:rsid w:val="30442DF6"/>
    <w:rsid w:val="7D60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2024-12-16T15:06:00Z</dcterms:created>
  <dc:creator>SURFACE</dc:creator>
  <cp:lastModifiedBy>SURFACE</cp:lastModifiedBy>
  <dcterms:modified xsi:type="dcterms:W3CDTF">2024-12-16T16:43:36Z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6B28DF91C2854E19A11CD61FF58D4B01_11</vt:lpwstr>
  </property>
</Properties>
</file>