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Fonts w:ascii="Arial" w:hAnsi="Arial"/>
          <w:sz w:val="20"/>
          <w:szCs w:val="20"/>
        </w:rPr>
        <w:t>Appendix: Comprehensive Breakdown and Explanation of the Sustainable Energy Integration Project</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Fonts w:ascii="Arial" w:hAnsi="Arial"/>
          <w:sz w:val="20"/>
          <w:szCs w:val="20"/>
        </w:rPr>
        <w:t>Project Overview and Objectives:</w:t>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b w:val="false"/>
          <w:i w:val="false"/>
          <w:caps w:val="false"/>
          <w:smallCaps w:val="false"/>
          <w:color w:val="374151"/>
          <w:spacing w:val="0"/>
          <w:sz w:val="20"/>
          <w:szCs w:val="20"/>
          <w:bdr w:val="single" w:sz="2" w:space="1" w:color="D9D9E3"/>
        </w:rPr>
      </w:pPr>
      <w:r>
        <w:rPr>
          <w:rFonts w:ascii="Arial" w:hAnsi="Arial"/>
          <w:b w:val="false"/>
          <w:i w:val="false"/>
          <w:caps w:val="false"/>
          <w:smallCaps w:val="false"/>
          <w:color w:val="374151"/>
          <w:spacing w:val="0"/>
          <w:sz w:val="20"/>
          <w:szCs w:val="20"/>
          <w:bdr w:val="single" w:sz="2" w:space="1" w:color="D9D9E3"/>
        </w:rPr>
        <w:t>The 12-month initiative in East Surrey aims to transform the energy landscape through mobile EV charging and power storage. Goals include decarbonization, promoting sustainability, and establishing a replicable model for industrial clusters globally.</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Fonts w:ascii="Arial" w:hAnsi="Arial"/>
          <w:sz w:val="20"/>
          <w:szCs w:val="20"/>
        </w:rPr>
        <w:t>Budget Allocation and Cost Breakdown:</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Arial" w:hAnsi="Arial"/>
          <w:sz w:val="20"/>
          <w:szCs w:val="20"/>
        </w:rPr>
        <w:t>Total Project Costs:</w:t>
      </w:r>
      <w:r>
        <w:rPr>
          <w:rFonts w:ascii="Arial" w:hAnsi="Arial"/>
          <w:sz w:val="20"/>
          <w:szCs w:val="20"/>
        </w:rPr>
        <w:t xml:space="preserve"> £798,000</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Arial" w:hAnsi="Arial"/>
          <w:sz w:val="20"/>
          <w:szCs w:val="20"/>
        </w:rPr>
        <w:t>Grant Funding Request:</w:t>
      </w:r>
      <w:r>
        <w:rPr>
          <w:rFonts w:ascii="Arial" w:hAnsi="Arial"/>
          <w:sz w:val="20"/>
          <w:szCs w:val="20"/>
        </w:rPr>
        <w:t xml:space="preserve"> £558,600</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Arial" w:hAnsi="Arial"/>
          <w:sz w:val="20"/>
          <w:szCs w:val="20"/>
        </w:rPr>
        <w:t>Partner Organization Contribution:</w:t>
      </w:r>
      <w:r>
        <w:rPr>
          <w:rFonts w:ascii="Arial" w:hAnsi="Arial"/>
          <w:sz w:val="20"/>
          <w:szCs w:val="20"/>
        </w:rPr>
        <w:t xml:space="preserve"> £</w:t>
      </w:r>
      <w:r>
        <w:rPr>
          <w:rFonts w:ascii="Arial" w:hAnsi="Arial"/>
          <w:sz w:val="20"/>
          <w:szCs w:val="20"/>
        </w:rPr>
        <w:t>200,000</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Arial" w:hAnsi="Arial"/>
          <w:sz w:val="20"/>
          <w:szCs w:val="20"/>
        </w:rPr>
        <w:t>Private Investments and Commercial Partnerships:</w:t>
      </w:r>
      <w:r>
        <w:rPr>
          <w:rFonts w:ascii="Arial" w:hAnsi="Arial"/>
          <w:sz w:val="20"/>
          <w:szCs w:val="20"/>
        </w:rPr>
        <w:t xml:space="preserve"> £</w:t>
      </w:r>
      <w:r>
        <w:rPr>
          <w:rFonts w:ascii="Arial" w:hAnsi="Arial"/>
          <w:sz w:val="20"/>
          <w:szCs w:val="20"/>
        </w:rPr>
        <w:t>300,000</w:t>
      </w:r>
      <w:r>
        <w:rPr>
          <w:rFonts w:ascii="Arial" w:hAnsi="Arial"/>
          <w:sz w:val="20"/>
          <w:szCs w:val="20"/>
        </w:rPr>
        <w:t xml:space="preserve"> </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Arial" w:hAnsi="Arial"/>
          <w:sz w:val="20"/>
          <w:szCs w:val="20"/>
        </w:rPr>
        <w:t>Subcontractor Costs:</w:t>
      </w:r>
      <w:r>
        <w:rPr>
          <w:rFonts w:ascii="Arial" w:hAnsi="Arial"/>
          <w:sz w:val="20"/>
          <w:szCs w:val="20"/>
        </w:rPr>
        <w:t xml:space="preserve"> £</w:t>
      </w:r>
      <w:r>
        <w:rPr>
          <w:rFonts w:ascii="Arial" w:hAnsi="Arial"/>
          <w:sz w:val="20"/>
          <w:szCs w:val="20"/>
        </w:rPr>
        <w:t>70,000</w:t>
      </w:r>
      <w:r>
        <w:rPr>
          <w:rFonts w:ascii="Arial" w:hAnsi="Arial"/>
          <w:sz w:val="20"/>
          <w:szCs w:val="20"/>
        </w:rPr>
        <w:t xml:space="preserve"> </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Arial" w:hAnsi="Arial"/>
          <w:sz w:val="20"/>
          <w:szCs w:val="20"/>
        </w:rPr>
        <w:t>Additional Investments:</w:t>
      </w:r>
      <w:r>
        <w:rPr>
          <w:rFonts w:ascii="Arial" w:hAnsi="Arial"/>
          <w:sz w:val="20"/>
          <w:szCs w:val="20"/>
        </w:rPr>
        <w:t xml:space="preserve"> £</w:t>
      </w:r>
      <w:r>
        <w:rPr>
          <w:rFonts w:ascii="Arial" w:hAnsi="Arial"/>
          <w:sz w:val="20"/>
          <w:szCs w:val="20"/>
        </w:rPr>
        <w:t>100,000</w:t>
      </w:r>
      <w:r>
        <w:rPr>
          <w:rFonts w:ascii="Arial" w:hAnsi="Arial"/>
          <w:sz w:val="20"/>
          <w:szCs w:val="20"/>
        </w:rPr>
        <w:t xml:space="preserve"> </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Fonts w:ascii="Arial" w:hAnsi="Arial"/>
          <w:sz w:val="20"/>
          <w:szCs w:val="20"/>
        </w:rPr>
        <w:t>Explanation of Budget Allocation:</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Arial" w:hAnsi="Arial"/>
          <w:sz w:val="20"/>
          <w:szCs w:val="20"/>
        </w:rPr>
        <w:t>Grant Funding Request:</w:t>
      </w:r>
      <w:r>
        <w:rPr>
          <w:rFonts w:ascii="Arial" w:hAnsi="Arial"/>
          <w:sz w:val="20"/>
          <w:szCs w:val="20"/>
        </w:rPr>
        <w:t xml:space="preserve"> The project seeks a grant funding of £558,600 to cover the majority of the total project costs. The grant will provide the necessary financial support to implement the core components of the project, including mobile EV charging infrastructure deployment, power storage system installation, and organizational collaboration activities.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Arial" w:hAnsi="Arial"/>
          <w:sz w:val="20"/>
          <w:szCs w:val="20"/>
        </w:rPr>
        <w:t>Partner Organization Contribution:</w:t>
      </w:r>
      <w:r>
        <w:rPr>
          <w:rFonts w:ascii="Arial" w:hAnsi="Arial"/>
          <w:sz w:val="20"/>
          <w:szCs w:val="20"/>
        </w:rPr>
        <w:t xml:space="preserve"> Eko Fusion Ltd. and other organizations are expected to provide financial support to cover the remaining project costs. This contribution showcases the commitment of partners to the project's success and ensures that the burden of funding is shared among stakeholders.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Arial" w:hAnsi="Arial"/>
          <w:sz w:val="20"/>
          <w:szCs w:val="20"/>
        </w:rPr>
        <w:t>Private Investments and Commercial Partnerships:</w:t>
      </w:r>
      <w:r>
        <w:rPr>
          <w:rFonts w:ascii="Arial" w:hAnsi="Arial"/>
          <w:sz w:val="20"/>
          <w:szCs w:val="20"/>
        </w:rPr>
        <w:t xml:space="preserve"> The project will seek additional investments from private entities and potential commercial partners interested in contributing to sustainable energy initiatives. These funds will be essential to scale up the project and explore innovative solutions beyond the initial scope.</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Arial" w:hAnsi="Arial"/>
          <w:sz w:val="20"/>
          <w:szCs w:val="20"/>
        </w:rPr>
        <w:t>Subcontractor Costs:</w:t>
      </w:r>
      <w:r>
        <w:rPr>
          <w:rFonts w:ascii="Arial" w:hAnsi="Arial"/>
          <w:sz w:val="20"/>
          <w:szCs w:val="20"/>
        </w:rPr>
        <w:t xml:space="preserve"> Specialized expertise is required for certain aspects of the project, such as power storage system installation and maintenance. Subcontractors will be selected through a competitive bidding process to ensure cost-effectiveness and high-quality deliverables.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Arial" w:hAnsi="Arial"/>
          <w:sz w:val="20"/>
          <w:szCs w:val="20"/>
        </w:rPr>
        <w:t>Additional Investments:</w:t>
      </w:r>
      <w:r>
        <w:rPr>
          <w:rFonts w:ascii="Arial" w:hAnsi="Arial"/>
          <w:sz w:val="20"/>
          <w:szCs w:val="20"/>
        </w:rPr>
        <w:t xml:space="preserve"> Aside from core project costs, additional investments will be allocated to research and development activities, infrastructure upgrades, and training programs. These investments will further enhance the project's outcomes and create a long-lasting impact on the region.</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Fonts w:ascii="Arial" w:hAnsi="Arial"/>
          <w:sz w:val="20"/>
          <w:szCs w:val="20"/>
        </w:rPr>
        <w:t>Financial Management:</w:t>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sz w:val="20"/>
          <w:szCs w:val="20"/>
        </w:rPr>
      </w:pPr>
      <w:r>
        <w:rPr>
          <w:rFonts w:ascii="Arial" w:hAnsi="Arial"/>
          <w:b w:val="false"/>
          <w:i w:val="false"/>
          <w:caps w:val="false"/>
          <w:smallCaps w:val="false"/>
          <w:color w:val="374151"/>
          <w:spacing w:val="0"/>
          <w:sz w:val="20"/>
          <w:szCs w:val="20"/>
        </w:rPr>
        <w:t>The project will follow sound financial practices, ensuring transparency and accountability.</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Fonts w:ascii="Arial" w:hAnsi="Arial"/>
          <w:sz w:val="20"/>
          <w:szCs w:val="20"/>
        </w:rPr>
        <w:t>Timeline and Milestones: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Arial" w:hAnsi="Arial"/>
          <w:sz w:val="20"/>
          <w:szCs w:val="20"/>
        </w:rPr>
        <w:t>Project Start Date:</w:t>
      </w:r>
      <w:r>
        <w:rPr>
          <w:rFonts w:ascii="Arial" w:hAnsi="Arial"/>
          <w:sz w:val="20"/>
          <w:szCs w:val="20"/>
        </w:rPr>
        <w:t xml:space="preserve"> January 2nd, 2024</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Arial" w:hAnsi="Arial"/>
          <w:sz w:val="20"/>
          <w:szCs w:val="20"/>
        </w:rPr>
        <w:t>Project Duration:</w:t>
      </w:r>
      <w:r>
        <w:rPr>
          <w:rFonts w:ascii="Arial" w:hAnsi="Arial"/>
          <w:sz w:val="20"/>
          <w:szCs w:val="20"/>
        </w:rPr>
        <w:t xml:space="preserve"> 12 months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Arial" w:hAnsi="Arial"/>
          <w:sz w:val="20"/>
          <w:szCs w:val="20"/>
        </w:rPr>
        <w:t>Milestones:</w:t>
      </w:r>
      <w:r>
        <w:rPr>
          <w:rFonts w:ascii="Arial" w:hAnsi="Arial"/>
          <w:sz w:val="20"/>
          <w:szCs w:val="20"/>
        </w:rPr>
        <w:t xml:space="preserve"> Key milestones will be established throughout the project to track progress and ensure timely completion of deliverables. These milestones will be regularly reviewed, and any necessary adjustments will be made to keep the project on track.</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Fonts w:ascii="Arial" w:hAnsi="Arial"/>
          <w:sz w:val="20"/>
          <w:szCs w:val="20"/>
        </w:rPr>
        <w:t>Sustainability and Long-Term Gains:</w:t>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sz w:val="20"/>
          <w:szCs w:val="20"/>
          <w:bdr w:val="single" w:sz="2" w:space="1" w:color="D9D9E3"/>
        </w:rPr>
      </w:pPr>
      <w:r>
        <w:rPr>
          <w:rFonts w:ascii="Arial" w:hAnsi="Arial"/>
          <w:sz w:val="20"/>
          <w:szCs w:val="20"/>
          <w:bdr w:val="single" w:sz="2" w:space="1" w:color="D9D9E3"/>
        </w:rPr>
        <w:t>The project's primary goal is to achieve a sustainable energy ecosystem within the local industrial cluster. The following long-term gains are anticipated:</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Arial" w:hAnsi="Arial"/>
          <w:sz w:val="20"/>
          <w:szCs w:val="20"/>
        </w:rPr>
        <w:t>Carbon Emission Reduction:</w:t>
      </w:r>
      <w:r>
        <w:rPr>
          <w:rFonts w:ascii="Arial" w:hAnsi="Arial"/>
          <w:sz w:val="20"/>
          <w:szCs w:val="20"/>
        </w:rPr>
        <w:t xml:space="preserve"> The project aims to significantly reduce carbon emissions within the region by promoting the adoption of electric vehicles and optimizing the utilization of renewable energy sources.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Arial" w:hAnsi="Arial"/>
          <w:sz w:val="20"/>
          <w:szCs w:val="20"/>
        </w:rPr>
        <w:t>Energy Resilience:</w:t>
      </w:r>
      <w:r>
        <w:rPr>
          <w:rFonts w:ascii="Arial" w:hAnsi="Arial"/>
          <w:sz w:val="20"/>
          <w:szCs w:val="20"/>
        </w:rPr>
        <w:t xml:space="preserve"> The deployment of advanced power storage systems will enhance the region's energy resilience, reducing dependency on the grid and supporting uninterrupted energy supply during peak demand periods.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Arial" w:hAnsi="Arial"/>
          <w:sz w:val="20"/>
          <w:szCs w:val="20"/>
        </w:rPr>
        <w:t>Economic Growth and Competitiveness:</w:t>
      </w:r>
      <w:r>
        <w:rPr>
          <w:rFonts w:ascii="Arial" w:hAnsi="Arial"/>
          <w:sz w:val="20"/>
          <w:szCs w:val="20"/>
        </w:rPr>
        <w:t xml:space="preserve"> The project will foster innovation and economic growth within the sustainable energy sector. It will position the local cluster as a leader in sustainable practices, enhancing its global competitiveness and attracting further investments.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Arial" w:hAnsi="Arial"/>
          <w:sz w:val="20"/>
          <w:szCs w:val="20"/>
        </w:rPr>
        <w:t>Job Opportunities:</w:t>
      </w:r>
      <w:r>
        <w:rPr>
          <w:rFonts w:ascii="Arial" w:hAnsi="Arial"/>
          <w:sz w:val="20"/>
          <w:szCs w:val="20"/>
        </w:rPr>
        <w:t xml:space="preserve"> As the sustainable energy sector expands, the project will create new job opportunities, particularly in areas related to EV infrastructure, renewable energy technologies, and energy management.</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Arial" w:hAnsi="Arial"/>
          <w:sz w:val="20"/>
          <w:szCs w:val="20"/>
        </w:rPr>
        <w:t>Replicability and Knowledge Sharing:</w:t>
      </w:r>
      <w:r>
        <w:rPr>
          <w:rFonts w:ascii="Arial" w:hAnsi="Arial"/>
          <w:sz w:val="20"/>
          <w:szCs w:val="20"/>
        </w:rPr>
        <w:t xml:space="preserve"> By documenting the project's outcomes and lessons learned, a replicable model will be established, enabling similar initiatives in other industrial clusters globally. Knowledge sharing and capacity building will ensure the long-term sustainability of the project's impact.</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Fonts w:ascii="Arial" w:hAnsi="Arial"/>
          <w:sz w:val="20"/>
          <w:szCs w:val="20"/>
        </w:rPr>
        <w:t>Exploitation Plan:</w:t>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sz w:val="20"/>
          <w:szCs w:val="20"/>
          <w:bdr w:val="single" w:sz="2" w:space="1" w:color="D9D9E3"/>
        </w:rPr>
      </w:pPr>
      <w:r>
        <w:rPr>
          <w:rFonts w:ascii="Arial" w:hAnsi="Arial"/>
          <w:sz w:val="20"/>
          <w:szCs w:val="20"/>
          <w:bdr w:val="single" w:sz="2" w:space="1" w:color="D9D9E3"/>
        </w:rPr>
        <w:t>An exploitation plan will be developed to outline strategies for sustaining the project's outcomes beyond the funding period. The plan will address financial sustainability, stakeholder engagement, and strategies for leveraging the project's results to attract further investments and partnerships.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Fonts w:ascii="Arial" w:hAnsi="Arial"/>
          <w:sz w:val="20"/>
          <w:szCs w:val="20"/>
        </w:rPr>
        <w:t>Monitoring and Evaluation:</w:t>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sz w:val="20"/>
          <w:szCs w:val="20"/>
          <w:bdr w:val="single" w:sz="2" w:space="1" w:color="D9D9E3"/>
        </w:rPr>
      </w:pPr>
      <w:r>
        <w:rPr>
          <w:rFonts w:ascii="Arial" w:hAnsi="Arial"/>
          <w:sz w:val="20"/>
          <w:szCs w:val="20"/>
          <w:bdr w:val="single" w:sz="2" w:space="1" w:color="D9D9E3"/>
        </w:rPr>
        <w:t>A comprehensive monitoring and evaluation framework will be implemented to assess the project's impact on environmental, social, and economic aspects. This framework will measure key performance indicators and provide data for evidence-based decision-making and reporting to stakeholders.</w:t>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sz w:val="20"/>
          <w:szCs w:val="20"/>
        </w:rPr>
      </w:pPr>
      <w:r>
        <w:rPr>
          <w:rFonts w:ascii="Arial" w:hAnsi="Arial"/>
          <w:sz w:val="20"/>
          <w:szCs w:val="20"/>
        </w:rPr>
        <w:t xml:space="preserve">In conclusion, </w:t>
      </w:r>
      <w:r>
        <w:rPr>
          <w:rFonts w:ascii="Arial" w:hAnsi="Arial"/>
          <w:b w:val="false"/>
          <w:i w:val="false"/>
          <w:caps w:val="false"/>
          <w:smallCaps w:val="false"/>
          <w:color w:val="374151"/>
          <w:spacing w:val="0"/>
          <w:sz w:val="20"/>
          <w:szCs w:val="20"/>
        </w:rPr>
        <w:t xml:space="preserve">The project ensures value for money and brings significant long-term benefits to East Surrey and beyond as a model for other industrial clusters </w:t>
      </w:r>
      <w:r>
        <w:rPr>
          <w:rFonts w:ascii="Arial" w:hAnsi="Arial"/>
          <w:b w:val="false"/>
          <w:i w:val="false"/>
          <w:caps w:val="false"/>
          <w:smallCaps w:val="false"/>
          <w:color w:val="374151"/>
          <w:spacing w:val="0"/>
          <w:sz w:val="20"/>
          <w:szCs w:val="20"/>
        </w:rPr>
        <w:t>nation</w:t>
      </w:r>
      <w:r>
        <w:rPr>
          <w:rFonts w:ascii="Arial" w:hAnsi="Arial"/>
          <w:b w:val="false"/>
          <w:i w:val="false"/>
          <w:caps w:val="false"/>
          <w:smallCaps w:val="false"/>
          <w:color w:val="374151"/>
          <w:spacing w:val="0"/>
          <w:sz w:val="20"/>
          <w:szCs w:val="20"/>
        </w:rPr>
        <w:t>wide.</w:t>
      </w:r>
    </w:p>
    <w:p>
      <w:pPr>
        <w:pStyle w:val="TextBody"/>
        <w:bidi w:val="0"/>
        <w:spacing w:before="0" w:after="140"/>
        <w:jc w:val="left"/>
        <w:rPr>
          <w:rFonts w:ascii="Arial" w:hAnsi="Arial"/>
          <w:sz w:val="20"/>
          <w:szCs w:val="20"/>
        </w:rPr>
      </w:pPr>
      <w:r>
        <w:rPr>
          <w:rFonts w:ascii="Arial" w:hAnsi="Arial"/>
          <w:sz w:val="20"/>
          <w:szCs w:val="20"/>
        </w:rPr>
        <w:b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LibreOffice/7.3.4.2$MacOSX_X86_64 LibreOffice_project/728fec16bd5f605073805c3c9e7c4212a0120dc5</Application>
  <AppVersion>15.0000</AppVersion>
  <Pages>2</Pages>
  <Words>668</Words>
  <Characters>4311</Characters>
  <CharactersWithSpaces>4930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2023-07-29T15:17:32Z</dcterms:created>
  <dc:creator/>
  <dc:description/>
  <dc:language>en-GB</dc:language>
  <cp:lastModifiedBy/>
  <dcterms:modified xsi:type="dcterms:W3CDTF">2023-07-29T15:44:31Z</dcterms:modified>
  <cp:revision>1</cp:revision>
  <dc:subject/>
  <dc:title/>
</cp:coreProperties>
</file>