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left"/>
        <w:rPr>
          <w:rFonts w:ascii="Live" w:cs="Live" w:eastAsia="Live" w:hAnsi="Live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-1228724</wp:posOffset>
            </wp:positionH>
            <wp:positionV relativeFrom="paragraph">
              <wp:posOffset>219075</wp:posOffset>
            </wp:positionV>
            <wp:extent cx="6967538" cy="63641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636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1104900" cy="890674"/>
            <wp:effectExtent b="0" l="0" r="0" t="0"/>
            <wp:wrapNone/>
            <wp:docPr descr="A picture containing logo&#10;&#10;Description automatically generated" id="2" name="image2.jp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0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Live" w:cs="Live" w:eastAsia="Live" w:hAnsi="Live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• (617) 997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-3300 •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Femathjr@gmail.com • FredEMath.com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Drawings that move. Stories with soul.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Self Employed: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Director – Webtoon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(04/2022)-(Present)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Welcome to the Center of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ShadowMachine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Story Artist – Storyboard Revisionist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(08/2021)-(03/2022)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Clone High Season 2-3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OgrePixel: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Cutscene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(06/2021)-(07/2021)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Lonesome Village</w:t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Showtime: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Cleanup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(07/2021)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Ziwe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ShadowMachine: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Lip Sync Animator – Storyboard Revisionist – Retake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(11/2020)-(03/2021)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Tuca and Bertie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Afterparty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Students For Justice: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(09/2020)-(11/2020)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Kids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(07/2020)-(09/2020)</w:t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Titmouse Inc: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(06/2019)-(09/2019)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Ballmastrz 9009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Midnight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Verdana" w:cs="Verdana" w:eastAsia="Verdana" w:hAnsi="Verdana"/>
          <w:b w:val="1"/>
          <w:color w:val="548dd4"/>
        </w:rPr>
      </w:pPr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B.F.A, 2020, GPA 3.8/4.0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Rhode Island School of Design, Providence RI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2D Character Animation | Storyboarding |Cartooning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FAV-5130: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Computer Animation: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Familiar and comfortable with industry standard animation software, character rigging, and compositing.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FAV-5108: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Character Animation: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Confident with posing, character acting, and timing, and thanks to group work, confident when using these skills with a team.</w:t>
      </w:r>
    </w:p>
    <w:sectPr>
      <w:headerReference r:id="rId8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Courier New"/>
  <w:font w:name="Live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17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