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AA0" w:rsidRPr="00CE3EB7" w:rsidRDefault="00835AA0" w:rsidP="00835AA0">
      <w:pPr>
        <w:pStyle w:val="NoSpacing"/>
        <w:jc w:val="center"/>
        <w:rPr>
          <w:rFonts w:ascii="Tahoma" w:hAnsi="Tahoma" w:cs="Tahoma"/>
          <w:b/>
          <w:sz w:val="24"/>
          <w:u w:val="single"/>
        </w:rPr>
      </w:pPr>
      <w:r w:rsidRPr="00CE3EB7">
        <w:rPr>
          <w:rFonts w:ascii="Tahoma" w:hAnsi="Tahoma" w:cs="Tahoma"/>
          <w:b/>
          <w:sz w:val="24"/>
          <w:u w:val="single"/>
        </w:rPr>
        <w:t>INVESTIGATION AND REPORT-ON-DROP-IN USER ENGAGEMENT</w:t>
      </w:r>
    </w:p>
    <w:p w:rsidR="00835AA0" w:rsidRPr="00CE3EB7" w:rsidRDefault="00835AA0" w:rsidP="00835AA0">
      <w:pPr>
        <w:pStyle w:val="NoSpacing"/>
        <w:rPr>
          <w:rFonts w:ascii="Tahoma" w:hAnsi="Tahoma" w:cs="Tahoma"/>
          <w:sz w:val="18"/>
        </w:rPr>
      </w:pPr>
    </w:p>
    <w:p w:rsidR="0045365D" w:rsidRPr="00CE3EB7" w:rsidRDefault="0045365D" w:rsidP="0045365D">
      <w:pPr>
        <w:pStyle w:val="NoSpacing"/>
        <w:rPr>
          <w:rFonts w:ascii="Tahoma" w:hAnsi="Tahoma" w:cs="Tahoma"/>
          <w:sz w:val="20"/>
        </w:rPr>
      </w:pPr>
      <w:r w:rsidRPr="00CE3EB7">
        <w:rPr>
          <w:rFonts w:ascii="Tahoma" w:hAnsi="Tahoma" w:cs="Tahoma"/>
          <w:sz w:val="20"/>
        </w:rPr>
        <w:t>A short case study investigating a drop in user engagement featuring a faux dataset of Yammer's user database from Mode Analytics. </w:t>
      </w:r>
      <w:hyperlink r:id="rId5" w:history="1">
        <w:r w:rsidRPr="00CE3EB7">
          <w:rPr>
            <w:rStyle w:val="Hyperlink"/>
            <w:rFonts w:ascii="Tahoma" w:hAnsi="Tahoma" w:cs="Tahoma"/>
            <w:sz w:val="20"/>
          </w:rPr>
          <w:t>https://community.modeanalytics.com/sql/tutorial/a-drop-in-user-engagement/</w:t>
        </w:r>
      </w:hyperlink>
    </w:p>
    <w:p w:rsidR="008669EC" w:rsidRPr="00CE3EB7" w:rsidRDefault="008669EC">
      <w:pPr>
        <w:rPr>
          <w:rFonts w:ascii="Tahoma" w:hAnsi="Tahoma" w:cs="Tahoma"/>
          <w:sz w:val="18"/>
        </w:rPr>
      </w:pPr>
    </w:p>
    <w:p w:rsidR="0045365D" w:rsidRPr="00CE3EB7" w:rsidRDefault="00562646" w:rsidP="00835AA0">
      <w:pPr>
        <w:pStyle w:val="NoSpacing"/>
        <w:jc w:val="both"/>
        <w:rPr>
          <w:rFonts w:ascii="Tahoma" w:hAnsi="Tahoma" w:cs="Tahoma"/>
        </w:rPr>
      </w:pPr>
      <w:r w:rsidRPr="00CE3EB7">
        <w:rPr>
          <w:rFonts w:ascii="Tahoma" w:hAnsi="Tahoma" w:cs="Tahoma"/>
        </w:rPr>
        <w:t>Yammer is a freemium enterprise social networking service used for private communication within organizations. Access to a Yammer net</w:t>
      </w:r>
      <w:r w:rsidR="00440076">
        <w:rPr>
          <w:rFonts w:ascii="Tahoma" w:hAnsi="Tahoma" w:cs="Tahoma"/>
        </w:rPr>
        <w:t>work is determined by a user's i</w:t>
      </w:r>
      <w:r w:rsidRPr="00CE3EB7">
        <w:rPr>
          <w:rFonts w:ascii="Tahoma" w:hAnsi="Tahoma" w:cs="Tahoma"/>
        </w:rPr>
        <w:t>nternet domain so that only individuals with approved email addresses may join</w:t>
      </w:r>
    </w:p>
    <w:p w:rsidR="0045365D" w:rsidRPr="00CE3EB7" w:rsidRDefault="0045365D" w:rsidP="00835AA0">
      <w:pPr>
        <w:pStyle w:val="NoSpacing"/>
        <w:jc w:val="both"/>
        <w:rPr>
          <w:rFonts w:ascii="Tahoma" w:hAnsi="Tahoma" w:cs="Tahoma"/>
        </w:rPr>
      </w:pPr>
    </w:p>
    <w:p w:rsidR="008669EC" w:rsidRPr="00E569C5" w:rsidRDefault="008669EC" w:rsidP="00E569C5">
      <w:pPr>
        <w:rPr>
          <w:rFonts w:ascii="Tahoma" w:hAnsi="Tahoma" w:cs="Tahoma"/>
          <w:b/>
          <w:u w:val="single"/>
        </w:rPr>
      </w:pPr>
      <w:r w:rsidRPr="00E569C5">
        <w:rPr>
          <w:rFonts w:ascii="Tahoma" w:hAnsi="Tahoma" w:cs="Tahoma"/>
          <w:b/>
          <w:u w:val="single"/>
        </w:rPr>
        <w:t>The problem</w:t>
      </w:r>
    </w:p>
    <w:p w:rsidR="008669EC" w:rsidRPr="00CE3EB7" w:rsidRDefault="008669EC" w:rsidP="00835AA0">
      <w:pPr>
        <w:pStyle w:val="NoSpacing"/>
        <w:jc w:val="both"/>
        <w:rPr>
          <w:rFonts w:ascii="Tahoma" w:hAnsi="Tahoma" w:cs="Tahoma"/>
        </w:rPr>
      </w:pPr>
      <w:r w:rsidRPr="00CE3EB7">
        <w:rPr>
          <w:rFonts w:ascii="Tahoma" w:hAnsi="Tahoma" w:cs="Tahoma"/>
        </w:rPr>
        <w:t>You show up to work Tuesday morning, September 2, 2014. The head of the Product team walks over to your desk and asks you what you think about the latest activity on the user engagement dashboards. You fire them up, and something immediately jumps out:</w:t>
      </w:r>
    </w:p>
    <w:p w:rsidR="00E00A86" w:rsidRPr="00CE3EB7" w:rsidRDefault="00E00A86" w:rsidP="008669EC">
      <w:pPr>
        <w:spacing w:after="240" w:line="360" w:lineRule="atLeast"/>
        <w:rPr>
          <w:rFonts w:ascii="Tahoma" w:eastAsia="Times New Roman" w:hAnsi="Tahoma" w:cs="Tahoma"/>
          <w:color w:val="191925"/>
          <w:sz w:val="20"/>
          <w:szCs w:val="24"/>
        </w:rPr>
      </w:pPr>
    </w:p>
    <w:p w:rsidR="00E00A86" w:rsidRPr="00CE3EB7" w:rsidRDefault="00CE3EB7" w:rsidP="008669EC">
      <w:pPr>
        <w:spacing w:after="240" w:line="360" w:lineRule="atLeast"/>
        <w:rPr>
          <w:rFonts w:ascii="Tahoma" w:eastAsia="Times New Roman" w:hAnsi="Tahoma" w:cs="Tahoma"/>
          <w:color w:val="191925"/>
          <w:sz w:val="20"/>
          <w:szCs w:val="24"/>
        </w:rPr>
      </w:pPr>
      <w:r w:rsidRPr="00CE3EB7">
        <w:rPr>
          <w:rFonts w:ascii="Tahoma" w:hAnsi="Tahoma" w:cs="Tahoma"/>
          <w:noProof/>
        </w:rPr>
        <w:drawing>
          <wp:inline distT="0" distB="0" distL="0" distR="0" wp14:anchorId="31C4AEBF" wp14:editId="3E277253">
            <wp:extent cx="5943600" cy="2370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0455"/>
                    </a:xfrm>
                    <a:prstGeom prst="rect">
                      <a:avLst/>
                    </a:prstGeom>
                  </pic:spPr>
                </pic:pic>
              </a:graphicData>
            </a:graphic>
          </wp:inline>
        </w:drawing>
      </w:r>
    </w:p>
    <w:p w:rsidR="00A43BAA" w:rsidRPr="00CE3EB7" w:rsidRDefault="00A43BAA">
      <w:pPr>
        <w:rPr>
          <w:rFonts w:ascii="Tahoma" w:hAnsi="Tahoma" w:cs="Tahoma"/>
          <w:b/>
          <w:sz w:val="18"/>
          <w:u w:val="single"/>
        </w:rPr>
      </w:pPr>
      <w:r w:rsidRPr="00CE3EB7">
        <w:rPr>
          <w:rFonts w:ascii="Tahoma" w:hAnsi="Tahoma" w:cs="Tahoma"/>
          <w:b/>
          <w:sz w:val="18"/>
          <w:u w:val="single"/>
        </w:rPr>
        <w:t>Potential problems</w:t>
      </w:r>
    </w:p>
    <w:p w:rsidR="00706A78" w:rsidRPr="00CE3EB7" w:rsidRDefault="00706A78">
      <w:pPr>
        <w:rPr>
          <w:rFonts w:ascii="Tahoma" w:hAnsi="Tahoma" w:cs="Tahoma"/>
          <w:sz w:val="18"/>
        </w:rPr>
      </w:pPr>
      <w:r w:rsidRPr="00CE3EB7">
        <w:rPr>
          <w:rFonts w:ascii="Tahoma" w:hAnsi="Tahoma" w:cs="Tahoma"/>
          <w:sz w:val="18"/>
        </w:rPr>
        <w:t xml:space="preserve">After putting the problem into context, </w:t>
      </w:r>
      <w:r w:rsidR="00835AA0" w:rsidRPr="00CE3EB7">
        <w:rPr>
          <w:rFonts w:ascii="Tahoma" w:hAnsi="Tahoma" w:cs="Tahoma"/>
          <w:sz w:val="18"/>
        </w:rPr>
        <w:t xml:space="preserve">a collection of possible problem was put together for evaluation </w:t>
      </w:r>
    </w:p>
    <w:p w:rsidR="00A06D74" w:rsidRPr="00CE3EB7" w:rsidRDefault="00706A78" w:rsidP="00835AA0">
      <w:pPr>
        <w:pStyle w:val="ListParagraph"/>
        <w:numPr>
          <w:ilvl w:val="0"/>
          <w:numId w:val="4"/>
        </w:numPr>
        <w:shd w:val="clear" w:color="auto" w:fill="FFFFFF"/>
        <w:spacing w:before="100" w:beforeAutospacing="1" w:after="100" w:afterAutospacing="1" w:line="240" w:lineRule="auto"/>
        <w:rPr>
          <w:rFonts w:ascii="Tahoma" w:eastAsia="Times New Roman" w:hAnsi="Tahoma" w:cs="Tahoma"/>
          <w:color w:val="24292E"/>
          <w:sz w:val="20"/>
          <w:szCs w:val="24"/>
        </w:rPr>
      </w:pPr>
      <w:r w:rsidRPr="00CE3EB7">
        <w:rPr>
          <w:rFonts w:ascii="Tahoma" w:eastAsia="Times New Roman" w:hAnsi="Tahoma" w:cs="Tahoma"/>
          <w:b/>
          <w:color w:val="24292E"/>
          <w:sz w:val="20"/>
          <w:szCs w:val="24"/>
        </w:rPr>
        <w:t>Holiday</w:t>
      </w:r>
      <w:r w:rsidR="00A06D74" w:rsidRPr="00CE3EB7">
        <w:rPr>
          <w:rFonts w:ascii="Tahoma" w:eastAsia="Times New Roman" w:hAnsi="Tahoma" w:cs="Tahoma"/>
          <w:color w:val="24292E"/>
          <w:sz w:val="20"/>
          <w:szCs w:val="24"/>
        </w:rPr>
        <w:t xml:space="preserve"> </w:t>
      </w:r>
      <w:r w:rsidRPr="00CE3EB7">
        <w:rPr>
          <w:rFonts w:ascii="Tahoma" w:eastAsia="Times New Roman" w:hAnsi="Tahoma" w:cs="Tahoma"/>
          <w:color w:val="24292E"/>
          <w:sz w:val="20"/>
          <w:szCs w:val="24"/>
        </w:rPr>
        <w:t>–</w:t>
      </w:r>
      <w:r w:rsidR="00A06D74" w:rsidRPr="00CE3EB7">
        <w:rPr>
          <w:rFonts w:ascii="Tahoma" w:eastAsia="Times New Roman" w:hAnsi="Tahoma" w:cs="Tahoma"/>
          <w:color w:val="24292E"/>
          <w:sz w:val="20"/>
          <w:szCs w:val="24"/>
        </w:rPr>
        <w:t xml:space="preserve"> </w:t>
      </w:r>
      <w:r w:rsidRPr="00CE3EB7">
        <w:rPr>
          <w:rFonts w:ascii="Tahoma" w:eastAsia="Times New Roman" w:hAnsi="Tahoma" w:cs="Tahoma"/>
          <w:color w:val="24292E"/>
          <w:sz w:val="20"/>
          <w:szCs w:val="24"/>
        </w:rPr>
        <w:t>Vacation could be a possible reason for the low usage of yammer, this would be access</w:t>
      </w:r>
      <w:r w:rsidR="00E569C5">
        <w:rPr>
          <w:rFonts w:ascii="Tahoma" w:eastAsia="Times New Roman" w:hAnsi="Tahoma" w:cs="Tahoma"/>
          <w:color w:val="24292E"/>
          <w:sz w:val="20"/>
          <w:szCs w:val="24"/>
        </w:rPr>
        <w:t>ed</w:t>
      </w:r>
      <w:r w:rsidRPr="00CE3EB7">
        <w:rPr>
          <w:rFonts w:ascii="Tahoma" w:eastAsia="Times New Roman" w:hAnsi="Tahoma" w:cs="Tahoma"/>
          <w:color w:val="24292E"/>
          <w:sz w:val="20"/>
          <w:szCs w:val="24"/>
        </w:rPr>
        <w:t xml:space="preserve"> by checking if there are significant changes in the usage range across countries.</w:t>
      </w:r>
    </w:p>
    <w:p w:rsidR="00835AA0" w:rsidRPr="00CE3EB7" w:rsidRDefault="00835AA0" w:rsidP="00835AA0">
      <w:pPr>
        <w:pStyle w:val="ListParagraph"/>
        <w:shd w:val="clear" w:color="auto" w:fill="FFFFFF"/>
        <w:spacing w:before="100" w:beforeAutospacing="1" w:after="100" w:afterAutospacing="1" w:line="240" w:lineRule="auto"/>
        <w:rPr>
          <w:rFonts w:ascii="Tahoma" w:eastAsia="Times New Roman" w:hAnsi="Tahoma" w:cs="Tahoma"/>
          <w:color w:val="24292E"/>
          <w:sz w:val="20"/>
          <w:szCs w:val="24"/>
        </w:rPr>
      </w:pPr>
    </w:p>
    <w:p w:rsidR="00E00A86" w:rsidRPr="00CE3EB7" w:rsidRDefault="00A43BAA" w:rsidP="00835AA0">
      <w:pPr>
        <w:pStyle w:val="ListParagraph"/>
        <w:numPr>
          <w:ilvl w:val="0"/>
          <w:numId w:val="4"/>
        </w:numPr>
        <w:shd w:val="clear" w:color="auto" w:fill="FFFFFF"/>
        <w:spacing w:before="100" w:beforeAutospacing="1" w:after="100" w:afterAutospacing="1" w:line="240" w:lineRule="auto"/>
        <w:rPr>
          <w:rFonts w:ascii="Tahoma" w:eastAsia="Times New Roman" w:hAnsi="Tahoma" w:cs="Tahoma"/>
          <w:color w:val="24292E"/>
          <w:sz w:val="20"/>
          <w:szCs w:val="24"/>
        </w:rPr>
      </w:pPr>
      <w:r w:rsidRPr="00CE3EB7">
        <w:rPr>
          <w:rFonts w:ascii="Tahoma" w:eastAsia="Times New Roman" w:hAnsi="Tahoma" w:cs="Tahoma"/>
          <w:b/>
          <w:color w:val="24292E"/>
          <w:sz w:val="20"/>
          <w:szCs w:val="24"/>
        </w:rPr>
        <w:t>Competition</w:t>
      </w:r>
      <w:r w:rsidRPr="00CE3EB7">
        <w:rPr>
          <w:rFonts w:ascii="Tahoma" w:eastAsia="Times New Roman" w:hAnsi="Tahoma" w:cs="Tahoma"/>
          <w:color w:val="24292E"/>
          <w:sz w:val="20"/>
          <w:szCs w:val="24"/>
        </w:rPr>
        <w:t xml:space="preserve"> – </w:t>
      </w:r>
      <w:r w:rsidR="00706A78" w:rsidRPr="00CE3EB7">
        <w:rPr>
          <w:rFonts w:ascii="Tahoma" w:eastAsia="Times New Roman" w:hAnsi="Tahoma" w:cs="Tahoma"/>
          <w:color w:val="24292E"/>
          <w:sz w:val="20"/>
          <w:szCs w:val="24"/>
        </w:rPr>
        <w:t>It is also possible is that users of yammer has shifted their interest to other product</w:t>
      </w:r>
      <w:r w:rsidR="00935F27">
        <w:rPr>
          <w:rFonts w:ascii="Tahoma" w:eastAsia="Times New Roman" w:hAnsi="Tahoma" w:cs="Tahoma"/>
          <w:color w:val="24292E"/>
          <w:sz w:val="20"/>
          <w:szCs w:val="24"/>
        </w:rPr>
        <w:t>s that are similar to yammer, h</w:t>
      </w:r>
      <w:r w:rsidR="004C05E1" w:rsidRPr="00CE3EB7">
        <w:rPr>
          <w:rFonts w:ascii="Tahoma" w:eastAsia="Times New Roman" w:hAnsi="Tahoma" w:cs="Tahoma"/>
          <w:color w:val="24292E"/>
          <w:sz w:val="20"/>
          <w:szCs w:val="24"/>
        </w:rPr>
        <w:t>ence the low engagement.</w:t>
      </w:r>
    </w:p>
    <w:p w:rsidR="00835AA0" w:rsidRPr="00CE3EB7" w:rsidRDefault="00835AA0" w:rsidP="00835AA0">
      <w:pPr>
        <w:pStyle w:val="ListParagraph"/>
        <w:shd w:val="clear" w:color="auto" w:fill="FFFFFF"/>
        <w:spacing w:before="100" w:beforeAutospacing="1" w:after="100" w:afterAutospacing="1" w:line="240" w:lineRule="auto"/>
        <w:rPr>
          <w:rFonts w:ascii="Tahoma" w:eastAsia="Times New Roman" w:hAnsi="Tahoma" w:cs="Tahoma"/>
          <w:color w:val="24292E"/>
          <w:sz w:val="20"/>
          <w:szCs w:val="24"/>
        </w:rPr>
      </w:pPr>
    </w:p>
    <w:p w:rsidR="004C05E1" w:rsidRDefault="004C05E1" w:rsidP="00835AA0">
      <w:pPr>
        <w:pStyle w:val="ListParagraph"/>
        <w:numPr>
          <w:ilvl w:val="0"/>
          <w:numId w:val="4"/>
        </w:numPr>
        <w:shd w:val="clear" w:color="auto" w:fill="FFFFFF"/>
        <w:spacing w:before="100" w:beforeAutospacing="1" w:after="100" w:afterAutospacing="1" w:line="240" w:lineRule="auto"/>
        <w:rPr>
          <w:rFonts w:ascii="Tahoma" w:eastAsia="Times New Roman" w:hAnsi="Tahoma" w:cs="Tahoma"/>
          <w:color w:val="24292E"/>
          <w:sz w:val="20"/>
          <w:szCs w:val="24"/>
        </w:rPr>
      </w:pPr>
      <w:r w:rsidRPr="00CE3EB7">
        <w:rPr>
          <w:rFonts w:ascii="Tahoma" w:eastAsia="Times New Roman" w:hAnsi="Tahoma" w:cs="Tahoma"/>
          <w:b/>
          <w:color w:val="24292E"/>
          <w:sz w:val="20"/>
          <w:szCs w:val="24"/>
        </w:rPr>
        <w:t>Marketing and content q</w:t>
      </w:r>
      <w:r w:rsidR="00706A78" w:rsidRPr="00CE3EB7">
        <w:rPr>
          <w:rFonts w:ascii="Tahoma" w:eastAsia="Times New Roman" w:hAnsi="Tahoma" w:cs="Tahoma"/>
          <w:b/>
          <w:color w:val="24292E"/>
          <w:sz w:val="20"/>
          <w:szCs w:val="24"/>
        </w:rPr>
        <w:t>uality</w:t>
      </w:r>
      <w:r w:rsidR="00706A78" w:rsidRPr="00CE3EB7">
        <w:rPr>
          <w:rFonts w:ascii="Tahoma" w:eastAsia="Times New Roman" w:hAnsi="Tahoma" w:cs="Tahoma"/>
          <w:color w:val="24292E"/>
          <w:sz w:val="20"/>
          <w:szCs w:val="24"/>
        </w:rPr>
        <w:t>: A third</w:t>
      </w:r>
      <w:r w:rsidRPr="00CE3EB7">
        <w:rPr>
          <w:rFonts w:ascii="Tahoma" w:eastAsia="Times New Roman" w:hAnsi="Tahoma" w:cs="Tahoma"/>
          <w:color w:val="24292E"/>
          <w:sz w:val="20"/>
          <w:szCs w:val="24"/>
        </w:rPr>
        <w:t xml:space="preserve"> possible</w:t>
      </w:r>
      <w:r w:rsidR="00706A78" w:rsidRPr="00CE3EB7">
        <w:rPr>
          <w:rFonts w:ascii="Tahoma" w:eastAsia="Times New Roman" w:hAnsi="Tahoma" w:cs="Tahoma"/>
          <w:color w:val="24292E"/>
          <w:sz w:val="20"/>
          <w:szCs w:val="24"/>
        </w:rPr>
        <w:t xml:space="preserve"> reason </w:t>
      </w:r>
      <w:r w:rsidRPr="00CE3EB7">
        <w:rPr>
          <w:rFonts w:ascii="Tahoma" w:eastAsia="Times New Roman" w:hAnsi="Tahoma" w:cs="Tahoma"/>
          <w:color w:val="24292E"/>
          <w:sz w:val="20"/>
          <w:szCs w:val="24"/>
        </w:rPr>
        <w:t>for a dip in user</w:t>
      </w:r>
      <w:r w:rsidR="0039573F" w:rsidRPr="00CE3EB7">
        <w:rPr>
          <w:rFonts w:ascii="Tahoma" w:eastAsia="Times New Roman" w:hAnsi="Tahoma" w:cs="Tahoma"/>
          <w:color w:val="24292E"/>
          <w:sz w:val="20"/>
          <w:szCs w:val="24"/>
        </w:rPr>
        <w:t>’</w:t>
      </w:r>
      <w:r w:rsidRPr="00CE3EB7">
        <w:rPr>
          <w:rFonts w:ascii="Tahoma" w:eastAsia="Times New Roman" w:hAnsi="Tahoma" w:cs="Tahoma"/>
          <w:color w:val="24292E"/>
          <w:sz w:val="20"/>
          <w:szCs w:val="24"/>
        </w:rPr>
        <w:t>s engagement could be the quality of marketing activities and content on yammer itself.</w:t>
      </w:r>
    </w:p>
    <w:p w:rsidR="00E7455E" w:rsidRPr="00E7455E" w:rsidRDefault="00E7455E" w:rsidP="00E7455E">
      <w:pPr>
        <w:pStyle w:val="ListParagraph"/>
        <w:rPr>
          <w:rFonts w:ascii="Tahoma" w:eastAsia="Times New Roman" w:hAnsi="Tahoma" w:cs="Tahoma"/>
          <w:color w:val="24292E"/>
          <w:sz w:val="20"/>
          <w:szCs w:val="24"/>
        </w:rPr>
      </w:pPr>
    </w:p>
    <w:p w:rsidR="00E7455E" w:rsidRPr="00935F27" w:rsidRDefault="00F92FDF" w:rsidP="00835AA0">
      <w:pPr>
        <w:pStyle w:val="ListParagraph"/>
        <w:numPr>
          <w:ilvl w:val="0"/>
          <w:numId w:val="4"/>
        </w:numPr>
        <w:shd w:val="clear" w:color="auto" w:fill="FFFFFF"/>
        <w:spacing w:before="100" w:beforeAutospacing="1" w:after="100" w:afterAutospacing="1" w:line="240" w:lineRule="auto"/>
        <w:rPr>
          <w:rFonts w:ascii="Tahoma" w:eastAsia="Times New Roman" w:hAnsi="Tahoma" w:cs="Tahoma"/>
          <w:b/>
          <w:color w:val="24292E"/>
          <w:sz w:val="20"/>
          <w:szCs w:val="24"/>
        </w:rPr>
      </w:pPr>
      <w:r w:rsidRPr="00F92FDF">
        <w:rPr>
          <w:rFonts w:ascii="Tahoma" w:eastAsia="Times New Roman" w:hAnsi="Tahoma" w:cs="Tahoma"/>
          <w:b/>
          <w:color w:val="24292E"/>
          <w:sz w:val="20"/>
          <w:szCs w:val="24"/>
        </w:rPr>
        <w:t xml:space="preserve">Technical issue with </w:t>
      </w:r>
      <w:r>
        <w:rPr>
          <w:rFonts w:ascii="Tahoma" w:eastAsia="Times New Roman" w:hAnsi="Tahoma" w:cs="Tahoma"/>
          <w:b/>
          <w:color w:val="24292E"/>
          <w:sz w:val="20"/>
          <w:szCs w:val="24"/>
        </w:rPr>
        <w:t xml:space="preserve">website: </w:t>
      </w:r>
      <w:r w:rsidRPr="00F92FDF">
        <w:rPr>
          <w:rFonts w:ascii="Tahoma" w:eastAsia="Times New Roman" w:hAnsi="Tahoma" w:cs="Tahoma"/>
          <w:color w:val="24292E"/>
          <w:sz w:val="20"/>
          <w:szCs w:val="24"/>
        </w:rPr>
        <w:t xml:space="preserve">I will also consider if </w:t>
      </w:r>
      <w:r>
        <w:rPr>
          <w:rFonts w:ascii="Tahoma" w:eastAsia="Times New Roman" w:hAnsi="Tahoma" w:cs="Tahoma"/>
          <w:color w:val="24292E"/>
          <w:sz w:val="20"/>
          <w:szCs w:val="24"/>
        </w:rPr>
        <w:t>this is anyhow related to issues with accessibility to the website</w:t>
      </w:r>
      <w:r w:rsidR="00935F27">
        <w:rPr>
          <w:rFonts w:ascii="Tahoma" w:eastAsia="Times New Roman" w:hAnsi="Tahoma" w:cs="Tahoma"/>
          <w:color w:val="24292E"/>
          <w:sz w:val="20"/>
          <w:szCs w:val="24"/>
        </w:rPr>
        <w:t>.</w:t>
      </w:r>
    </w:p>
    <w:p w:rsidR="00935F27" w:rsidRPr="00935F27" w:rsidRDefault="00935F27" w:rsidP="00935F27">
      <w:pPr>
        <w:pStyle w:val="ListParagraph"/>
        <w:rPr>
          <w:rFonts w:ascii="Tahoma" w:eastAsia="Times New Roman" w:hAnsi="Tahoma" w:cs="Tahoma"/>
          <w:b/>
          <w:color w:val="24292E"/>
          <w:sz w:val="20"/>
          <w:szCs w:val="24"/>
        </w:rPr>
      </w:pPr>
    </w:p>
    <w:p w:rsidR="00935F27" w:rsidRDefault="00935F27" w:rsidP="00935F27">
      <w:pPr>
        <w:shd w:val="clear" w:color="auto" w:fill="FFFFFF"/>
        <w:spacing w:before="100" w:beforeAutospacing="1" w:after="100" w:afterAutospacing="1" w:line="240" w:lineRule="auto"/>
        <w:rPr>
          <w:rFonts w:ascii="Tahoma" w:eastAsia="Times New Roman" w:hAnsi="Tahoma" w:cs="Tahoma"/>
          <w:b/>
          <w:color w:val="24292E"/>
          <w:sz w:val="20"/>
          <w:szCs w:val="24"/>
        </w:rPr>
      </w:pPr>
    </w:p>
    <w:p w:rsidR="00835AA0" w:rsidRPr="00CE3EB7" w:rsidRDefault="00835AA0" w:rsidP="006D615F">
      <w:pPr>
        <w:shd w:val="clear" w:color="auto" w:fill="FFFFFF"/>
        <w:spacing w:before="100" w:beforeAutospacing="1" w:after="100" w:afterAutospacing="1" w:line="240" w:lineRule="auto"/>
        <w:rPr>
          <w:rFonts w:ascii="Tahoma" w:eastAsia="Times New Roman" w:hAnsi="Tahoma" w:cs="Tahoma"/>
          <w:b/>
          <w:color w:val="24292E"/>
          <w:sz w:val="20"/>
          <w:szCs w:val="24"/>
          <w:u w:val="single"/>
        </w:rPr>
      </w:pPr>
      <w:r w:rsidRPr="00CE3EB7">
        <w:rPr>
          <w:rFonts w:ascii="Tahoma" w:eastAsia="Times New Roman" w:hAnsi="Tahoma" w:cs="Tahoma"/>
          <w:b/>
          <w:color w:val="24292E"/>
          <w:sz w:val="20"/>
          <w:szCs w:val="24"/>
          <w:u w:val="single"/>
        </w:rPr>
        <w:lastRenderedPageBreak/>
        <w:t>Holiday</w:t>
      </w:r>
    </w:p>
    <w:p w:rsidR="004C05E1" w:rsidRDefault="0039573F" w:rsidP="006D615F">
      <w:pPr>
        <w:shd w:val="clear" w:color="auto" w:fill="FFFFFF"/>
        <w:spacing w:before="100" w:beforeAutospacing="1" w:after="100" w:afterAutospacing="1" w:line="240" w:lineRule="auto"/>
        <w:rPr>
          <w:rFonts w:ascii="Tahoma" w:eastAsia="Times New Roman" w:hAnsi="Tahoma" w:cs="Tahoma"/>
          <w:color w:val="24292E"/>
          <w:sz w:val="20"/>
          <w:szCs w:val="24"/>
        </w:rPr>
      </w:pPr>
      <w:r w:rsidRPr="00CE3EB7">
        <w:rPr>
          <w:rFonts w:ascii="Tahoma" w:eastAsia="Times New Roman" w:hAnsi="Tahoma" w:cs="Tahoma"/>
          <w:color w:val="24292E"/>
          <w:sz w:val="20"/>
          <w:szCs w:val="24"/>
        </w:rPr>
        <w:t xml:space="preserve">From the graph, there is no a major drop </w:t>
      </w:r>
      <w:r w:rsidR="00935F27">
        <w:rPr>
          <w:rFonts w:ascii="Tahoma" w:eastAsia="Times New Roman" w:hAnsi="Tahoma" w:cs="Tahoma"/>
          <w:color w:val="24292E"/>
          <w:sz w:val="20"/>
          <w:szCs w:val="24"/>
        </w:rPr>
        <w:t xml:space="preserve">in engagement </w:t>
      </w:r>
      <w:r w:rsidRPr="00CE3EB7">
        <w:rPr>
          <w:rFonts w:ascii="Tahoma" w:eastAsia="Times New Roman" w:hAnsi="Tahoma" w:cs="Tahoma"/>
          <w:color w:val="24292E"/>
          <w:sz w:val="20"/>
          <w:szCs w:val="24"/>
        </w:rPr>
        <w:t xml:space="preserve">among user from a particular </w:t>
      </w:r>
      <w:r w:rsidR="00935F27">
        <w:rPr>
          <w:rFonts w:ascii="Tahoma" w:eastAsia="Times New Roman" w:hAnsi="Tahoma" w:cs="Tahoma"/>
          <w:color w:val="24292E"/>
          <w:sz w:val="20"/>
          <w:szCs w:val="24"/>
        </w:rPr>
        <w:t>C</w:t>
      </w:r>
      <w:r w:rsidR="00835AA0" w:rsidRPr="00CE3EB7">
        <w:rPr>
          <w:rFonts w:ascii="Tahoma" w:eastAsia="Times New Roman" w:hAnsi="Tahoma" w:cs="Tahoma"/>
          <w:color w:val="24292E"/>
          <w:sz w:val="20"/>
          <w:szCs w:val="24"/>
        </w:rPr>
        <w:t xml:space="preserve">ountry, hence there is nothing </w:t>
      </w:r>
      <w:r w:rsidRPr="00CE3EB7">
        <w:rPr>
          <w:rFonts w:ascii="Tahoma" w:eastAsia="Times New Roman" w:hAnsi="Tahoma" w:cs="Tahoma"/>
          <w:color w:val="24292E"/>
          <w:sz w:val="20"/>
          <w:szCs w:val="24"/>
        </w:rPr>
        <w:t>to pro</w:t>
      </w:r>
      <w:r w:rsidR="00935F27">
        <w:rPr>
          <w:rFonts w:ascii="Tahoma" w:eastAsia="Times New Roman" w:hAnsi="Tahoma" w:cs="Tahoma"/>
          <w:color w:val="24292E"/>
          <w:sz w:val="20"/>
          <w:szCs w:val="24"/>
        </w:rPr>
        <w:t xml:space="preserve">ve that users engagement might be as a result of a public vacation in any Country. </w:t>
      </w:r>
    </w:p>
    <w:p w:rsidR="008A2EFE" w:rsidRDefault="008A2EFE" w:rsidP="006D615F">
      <w:pPr>
        <w:shd w:val="clear" w:color="auto" w:fill="FFFFFF"/>
        <w:spacing w:before="100" w:beforeAutospacing="1" w:after="100" w:afterAutospacing="1" w:line="240" w:lineRule="auto"/>
        <w:rPr>
          <w:rFonts w:ascii="Tahoma" w:eastAsia="Times New Roman" w:hAnsi="Tahoma" w:cs="Tahoma"/>
          <w:color w:val="24292E"/>
          <w:sz w:val="20"/>
          <w:szCs w:val="24"/>
        </w:rPr>
      </w:pPr>
      <w:r>
        <w:rPr>
          <w:noProof/>
        </w:rPr>
        <w:drawing>
          <wp:inline distT="0" distB="0" distL="0" distR="0" wp14:anchorId="0AC76AD5" wp14:editId="04184416">
            <wp:extent cx="7004050" cy="2419350"/>
            <wp:effectExtent l="0" t="0" r="63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C05E1" w:rsidRPr="00CE3EB7" w:rsidRDefault="0039573F" w:rsidP="006D615F">
      <w:pPr>
        <w:shd w:val="clear" w:color="auto" w:fill="FFFFFF"/>
        <w:spacing w:before="100" w:beforeAutospacing="1" w:after="100" w:afterAutospacing="1" w:line="240" w:lineRule="auto"/>
        <w:rPr>
          <w:rFonts w:ascii="Tahoma" w:eastAsia="Times New Roman" w:hAnsi="Tahoma" w:cs="Tahoma"/>
          <w:color w:val="24292E"/>
          <w:sz w:val="20"/>
          <w:szCs w:val="24"/>
        </w:rPr>
      </w:pPr>
      <w:r w:rsidRPr="00CE3EB7">
        <w:rPr>
          <w:rFonts w:ascii="Tahoma" w:eastAsia="Times New Roman" w:hAnsi="Tahoma" w:cs="Tahoma"/>
          <w:color w:val="24292E"/>
          <w:sz w:val="20"/>
          <w:szCs w:val="24"/>
        </w:rPr>
        <w:t>Let’s consider the next possibility.</w:t>
      </w:r>
    </w:p>
    <w:p w:rsidR="0039573F" w:rsidRPr="00CE3EB7" w:rsidRDefault="0039573F" w:rsidP="006D615F">
      <w:pPr>
        <w:shd w:val="clear" w:color="auto" w:fill="FFFFFF"/>
        <w:spacing w:before="100" w:beforeAutospacing="1" w:after="100" w:afterAutospacing="1" w:line="240" w:lineRule="auto"/>
        <w:rPr>
          <w:rFonts w:ascii="Tahoma" w:eastAsia="Times New Roman" w:hAnsi="Tahoma" w:cs="Tahoma"/>
          <w:b/>
          <w:color w:val="24292E"/>
          <w:sz w:val="20"/>
          <w:szCs w:val="24"/>
          <w:u w:val="single"/>
        </w:rPr>
      </w:pPr>
      <w:r w:rsidRPr="00CE3EB7">
        <w:rPr>
          <w:rFonts w:ascii="Tahoma" w:eastAsia="Times New Roman" w:hAnsi="Tahoma" w:cs="Tahoma"/>
          <w:b/>
          <w:color w:val="24292E"/>
          <w:sz w:val="20"/>
          <w:szCs w:val="24"/>
          <w:u w:val="single"/>
        </w:rPr>
        <w:t>Competition</w:t>
      </w:r>
    </w:p>
    <w:p w:rsidR="00E00A86" w:rsidRPr="00CE3EB7" w:rsidRDefault="0039573F" w:rsidP="004C05E1">
      <w:pPr>
        <w:shd w:val="clear" w:color="auto" w:fill="FFFFFF"/>
        <w:spacing w:before="100" w:beforeAutospacing="1" w:after="100" w:afterAutospacing="1" w:line="240" w:lineRule="auto"/>
        <w:rPr>
          <w:rFonts w:ascii="Tahoma" w:eastAsia="Times New Roman" w:hAnsi="Tahoma" w:cs="Tahoma"/>
          <w:color w:val="24292E"/>
          <w:sz w:val="20"/>
          <w:szCs w:val="24"/>
        </w:rPr>
      </w:pPr>
      <w:r w:rsidRPr="00CE3EB7">
        <w:rPr>
          <w:rFonts w:ascii="Tahoma" w:eastAsia="Times New Roman" w:hAnsi="Tahoma" w:cs="Tahoma"/>
          <w:color w:val="24292E"/>
          <w:sz w:val="20"/>
          <w:szCs w:val="24"/>
        </w:rPr>
        <w:t xml:space="preserve">I would think that if a substitute product is </w:t>
      </w:r>
      <w:r w:rsidR="008952F1" w:rsidRPr="00CE3EB7">
        <w:rPr>
          <w:rFonts w:ascii="Tahoma" w:eastAsia="Times New Roman" w:hAnsi="Tahoma" w:cs="Tahoma"/>
          <w:color w:val="24292E"/>
          <w:sz w:val="20"/>
          <w:szCs w:val="24"/>
        </w:rPr>
        <w:t>favored</w:t>
      </w:r>
      <w:r w:rsidRPr="00CE3EB7">
        <w:rPr>
          <w:rFonts w:ascii="Tahoma" w:eastAsia="Times New Roman" w:hAnsi="Tahoma" w:cs="Tahoma"/>
          <w:color w:val="24292E"/>
          <w:sz w:val="20"/>
          <w:szCs w:val="24"/>
        </w:rPr>
        <w:t xml:space="preserve"> among users, there would be a significant reduction in </w:t>
      </w:r>
      <w:r w:rsidR="00935F27">
        <w:rPr>
          <w:rFonts w:ascii="Tahoma" w:eastAsia="Times New Roman" w:hAnsi="Tahoma" w:cs="Tahoma"/>
          <w:color w:val="24292E"/>
          <w:sz w:val="20"/>
          <w:szCs w:val="24"/>
        </w:rPr>
        <w:t>not only the engagement with Yammer</w:t>
      </w:r>
      <w:r w:rsidRPr="00CE3EB7">
        <w:rPr>
          <w:rFonts w:ascii="Tahoma" w:eastAsia="Times New Roman" w:hAnsi="Tahoma" w:cs="Tahoma"/>
          <w:color w:val="24292E"/>
          <w:sz w:val="20"/>
          <w:szCs w:val="24"/>
        </w:rPr>
        <w:t>, but also with the sign up</w:t>
      </w:r>
      <w:r w:rsidR="00935F27">
        <w:rPr>
          <w:rFonts w:ascii="Tahoma" w:eastAsia="Times New Roman" w:hAnsi="Tahoma" w:cs="Tahoma"/>
          <w:color w:val="24292E"/>
          <w:sz w:val="20"/>
          <w:szCs w:val="24"/>
        </w:rPr>
        <w:t>s</w:t>
      </w:r>
      <w:r w:rsidRPr="00CE3EB7">
        <w:rPr>
          <w:rFonts w:ascii="Tahoma" w:eastAsia="Times New Roman" w:hAnsi="Tahoma" w:cs="Tahoma"/>
          <w:color w:val="24292E"/>
          <w:sz w:val="20"/>
          <w:szCs w:val="24"/>
        </w:rPr>
        <w:t>. However, from the graph below, s</w:t>
      </w:r>
      <w:r w:rsidR="004C05E1" w:rsidRPr="00CE3EB7">
        <w:rPr>
          <w:rFonts w:ascii="Tahoma" w:eastAsia="Times New Roman" w:hAnsi="Tahoma" w:cs="Tahoma"/>
          <w:color w:val="24292E"/>
          <w:sz w:val="20"/>
          <w:szCs w:val="24"/>
        </w:rPr>
        <w:t xml:space="preserve">ince we are having relatively more </w:t>
      </w:r>
      <w:r w:rsidR="00935F27">
        <w:rPr>
          <w:rFonts w:ascii="Tahoma" w:eastAsia="Times New Roman" w:hAnsi="Tahoma" w:cs="Tahoma"/>
          <w:color w:val="24292E"/>
          <w:sz w:val="20"/>
          <w:szCs w:val="24"/>
        </w:rPr>
        <w:t>new users</w:t>
      </w:r>
      <w:r w:rsidR="004C05E1" w:rsidRPr="00CE3EB7">
        <w:rPr>
          <w:rFonts w:ascii="Tahoma" w:eastAsia="Times New Roman" w:hAnsi="Tahoma" w:cs="Tahoma"/>
          <w:color w:val="24292E"/>
          <w:sz w:val="20"/>
          <w:szCs w:val="24"/>
        </w:rPr>
        <w:t>, it means it can hardly be the case that another product is drawing</w:t>
      </w:r>
      <w:r w:rsidR="00835AA0" w:rsidRPr="00CE3EB7">
        <w:rPr>
          <w:rFonts w:ascii="Tahoma" w:eastAsia="Times New Roman" w:hAnsi="Tahoma" w:cs="Tahoma"/>
          <w:color w:val="24292E"/>
          <w:sz w:val="20"/>
          <w:szCs w:val="24"/>
        </w:rPr>
        <w:t xml:space="preserve"> the</w:t>
      </w:r>
      <w:r w:rsidR="004C05E1" w:rsidRPr="00CE3EB7">
        <w:rPr>
          <w:rFonts w:ascii="Tahoma" w:eastAsia="Times New Roman" w:hAnsi="Tahoma" w:cs="Tahoma"/>
          <w:color w:val="24292E"/>
          <w:sz w:val="20"/>
          <w:szCs w:val="24"/>
        </w:rPr>
        <w:t xml:space="preserve"> attention of cur</w:t>
      </w:r>
      <w:r w:rsidR="00835AA0" w:rsidRPr="00CE3EB7">
        <w:rPr>
          <w:rFonts w:ascii="Tahoma" w:eastAsia="Times New Roman" w:hAnsi="Tahoma" w:cs="Tahoma"/>
          <w:color w:val="24292E"/>
          <w:sz w:val="20"/>
          <w:szCs w:val="24"/>
        </w:rPr>
        <w:t>rent and potential subscribers.</w:t>
      </w:r>
    </w:p>
    <w:p w:rsidR="004C05E1" w:rsidRPr="00CE3EB7" w:rsidRDefault="00E00A86" w:rsidP="006D615F">
      <w:pPr>
        <w:shd w:val="clear" w:color="auto" w:fill="FFFFFF"/>
        <w:spacing w:before="100" w:beforeAutospacing="1" w:after="100" w:afterAutospacing="1" w:line="240" w:lineRule="auto"/>
        <w:rPr>
          <w:rFonts w:ascii="Tahoma" w:eastAsia="Times New Roman" w:hAnsi="Tahoma" w:cs="Tahoma"/>
          <w:color w:val="24292E"/>
          <w:sz w:val="20"/>
          <w:szCs w:val="24"/>
        </w:rPr>
      </w:pPr>
      <w:r w:rsidRPr="00CE3EB7">
        <w:rPr>
          <w:rFonts w:ascii="Tahoma" w:hAnsi="Tahoma" w:cs="Tahoma"/>
          <w:noProof/>
          <w:sz w:val="18"/>
        </w:rPr>
        <w:drawing>
          <wp:inline distT="0" distB="0" distL="0" distR="0" wp14:anchorId="5CAFD849" wp14:editId="7B245FDD">
            <wp:extent cx="5575300" cy="230934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8438" cy="2318926"/>
                    </a:xfrm>
                    <a:prstGeom prst="rect">
                      <a:avLst/>
                    </a:prstGeom>
                  </pic:spPr>
                </pic:pic>
              </a:graphicData>
            </a:graphic>
          </wp:inline>
        </w:drawing>
      </w:r>
    </w:p>
    <w:p w:rsidR="00935F27" w:rsidRDefault="00935F27" w:rsidP="006D615F">
      <w:pPr>
        <w:shd w:val="clear" w:color="auto" w:fill="FFFFFF"/>
        <w:spacing w:before="100" w:beforeAutospacing="1" w:after="100" w:afterAutospacing="1" w:line="240" w:lineRule="auto"/>
        <w:rPr>
          <w:rFonts w:ascii="Tahoma" w:eastAsia="Times New Roman" w:hAnsi="Tahoma" w:cs="Tahoma"/>
          <w:color w:val="24292E"/>
          <w:sz w:val="20"/>
          <w:szCs w:val="24"/>
        </w:rPr>
      </w:pPr>
    </w:p>
    <w:p w:rsidR="00935F27" w:rsidRDefault="00935F27" w:rsidP="006D615F">
      <w:pPr>
        <w:shd w:val="clear" w:color="auto" w:fill="FFFFFF"/>
        <w:spacing w:before="100" w:beforeAutospacing="1" w:after="100" w:afterAutospacing="1" w:line="240" w:lineRule="auto"/>
        <w:rPr>
          <w:rFonts w:ascii="Tahoma" w:eastAsia="Times New Roman" w:hAnsi="Tahoma" w:cs="Tahoma"/>
          <w:color w:val="24292E"/>
          <w:sz w:val="20"/>
          <w:szCs w:val="24"/>
        </w:rPr>
      </w:pPr>
    </w:p>
    <w:p w:rsidR="00935F27" w:rsidRDefault="00935F27" w:rsidP="006D615F">
      <w:pPr>
        <w:shd w:val="clear" w:color="auto" w:fill="FFFFFF"/>
        <w:spacing w:before="100" w:beforeAutospacing="1" w:after="100" w:afterAutospacing="1" w:line="240" w:lineRule="auto"/>
        <w:rPr>
          <w:rFonts w:ascii="Tahoma" w:eastAsia="Times New Roman" w:hAnsi="Tahoma" w:cs="Tahoma"/>
          <w:color w:val="24292E"/>
          <w:sz w:val="20"/>
          <w:szCs w:val="24"/>
        </w:rPr>
      </w:pPr>
    </w:p>
    <w:p w:rsidR="006D615F" w:rsidRPr="00CE3EB7" w:rsidRDefault="00732A28" w:rsidP="006D615F">
      <w:pPr>
        <w:shd w:val="clear" w:color="auto" w:fill="FFFFFF"/>
        <w:spacing w:before="100" w:beforeAutospacing="1" w:after="100" w:afterAutospacing="1" w:line="240" w:lineRule="auto"/>
        <w:rPr>
          <w:rFonts w:ascii="Tahoma" w:eastAsia="Times New Roman" w:hAnsi="Tahoma" w:cs="Tahoma"/>
          <w:color w:val="24292E"/>
          <w:sz w:val="20"/>
          <w:szCs w:val="24"/>
        </w:rPr>
      </w:pPr>
      <w:r w:rsidRPr="00CE3EB7">
        <w:rPr>
          <w:rFonts w:ascii="Tahoma" w:eastAsia="Times New Roman" w:hAnsi="Tahoma" w:cs="Tahoma"/>
          <w:color w:val="24292E"/>
          <w:sz w:val="20"/>
          <w:szCs w:val="24"/>
        </w:rPr>
        <w:lastRenderedPageBreak/>
        <w:t>Now let’s see if there is a sharp drop in a particular type of engagement.</w:t>
      </w:r>
    </w:p>
    <w:p w:rsidR="009367D6" w:rsidRPr="00CE3EB7" w:rsidRDefault="00562646" w:rsidP="007C1FDD">
      <w:pPr>
        <w:shd w:val="clear" w:color="auto" w:fill="FFFFFF"/>
        <w:spacing w:before="100" w:beforeAutospacing="1" w:after="100" w:afterAutospacing="1" w:line="240" w:lineRule="auto"/>
        <w:jc w:val="both"/>
        <w:rPr>
          <w:rFonts w:ascii="Tahoma" w:eastAsia="Times New Roman" w:hAnsi="Tahoma" w:cs="Tahoma"/>
          <w:color w:val="24292E"/>
          <w:sz w:val="20"/>
          <w:szCs w:val="24"/>
        </w:rPr>
      </w:pPr>
      <w:r w:rsidRPr="00CE3EB7">
        <w:rPr>
          <w:rFonts w:ascii="Tahoma" w:hAnsi="Tahoma" w:cs="Tahoma"/>
          <w:noProof/>
          <w:sz w:val="18"/>
        </w:rPr>
        <w:drawing>
          <wp:inline distT="0" distB="0" distL="0" distR="0" wp14:anchorId="54409248" wp14:editId="4C38BD94">
            <wp:extent cx="5943600" cy="1920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0875"/>
                    </a:xfrm>
                    <a:prstGeom prst="rect">
                      <a:avLst/>
                    </a:prstGeom>
                  </pic:spPr>
                </pic:pic>
              </a:graphicData>
            </a:graphic>
          </wp:inline>
        </w:drawing>
      </w:r>
    </w:p>
    <w:p w:rsidR="009367D6" w:rsidRPr="00CE3EB7" w:rsidRDefault="009367D6" w:rsidP="007C1FDD">
      <w:pPr>
        <w:shd w:val="clear" w:color="auto" w:fill="FFFFFF"/>
        <w:spacing w:before="100" w:beforeAutospacing="1" w:after="100" w:afterAutospacing="1" w:line="240" w:lineRule="auto"/>
        <w:jc w:val="both"/>
        <w:rPr>
          <w:rFonts w:ascii="Tahoma" w:eastAsia="Times New Roman" w:hAnsi="Tahoma" w:cs="Tahoma"/>
          <w:color w:val="24292E"/>
          <w:sz w:val="20"/>
          <w:szCs w:val="24"/>
        </w:rPr>
      </w:pPr>
    </w:p>
    <w:p w:rsidR="006D615F" w:rsidRPr="00CE3EB7" w:rsidRDefault="00207EF1" w:rsidP="007C1FDD">
      <w:pPr>
        <w:shd w:val="clear" w:color="auto" w:fill="FFFFFF"/>
        <w:spacing w:before="100" w:beforeAutospacing="1" w:after="100" w:afterAutospacing="1" w:line="240" w:lineRule="auto"/>
        <w:jc w:val="both"/>
        <w:rPr>
          <w:rFonts w:ascii="Tahoma" w:eastAsia="Times New Roman" w:hAnsi="Tahoma" w:cs="Tahoma"/>
          <w:color w:val="24292E"/>
          <w:sz w:val="20"/>
          <w:szCs w:val="24"/>
        </w:rPr>
      </w:pPr>
      <w:r w:rsidRPr="00CE3EB7">
        <w:rPr>
          <w:rFonts w:ascii="Tahoma" w:eastAsia="Times New Roman" w:hAnsi="Tahoma" w:cs="Tahoma"/>
          <w:color w:val="24292E"/>
          <w:sz w:val="20"/>
          <w:szCs w:val="24"/>
        </w:rPr>
        <w:t>It</w:t>
      </w:r>
      <w:r w:rsidR="007C1FDD" w:rsidRPr="00CE3EB7">
        <w:rPr>
          <w:rFonts w:ascii="Tahoma" w:eastAsia="Times New Roman" w:hAnsi="Tahoma" w:cs="Tahoma"/>
          <w:color w:val="24292E"/>
          <w:sz w:val="20"/>
          <w:szCs w:val="24"/>
        </w:rPr>
        <w:t>’</w:t>
      </w:r>
      <w:r w:rsidRPr="00CE3EB7">
        <w:rPr>
          <w:rFonts w:ascii="Tahoma" w:eastAsia="Times New Roman" w:hAnsi="Tahoma" w:cs="Tahoma"/>
          <w:color w:val="24292E"/>
          <w:sz w:val="20"/>
          <w:szCs w:val="24"/>
        </w:rPr>
        <w:t>s clear that there has been a major drop in all kin</w:t>
      </w:r>
      <w:r w:rsidR="00D80639" w:rsidRPr="00CE3EB7">
        <w:rPr>
          <w:rFonts w:ascii="Tahoma" w:eastAsia="Times New Roman" w:hAnsi="Tahoma" w:cs="Tahoma"/>
          <w:color w:val="24292E"/>
          <w:sz w:val="20"/>
          <w:szCs w:val="24"/>
        </w:rPr>
        <w:t>d of engagement aside creating</w:t>
      </w:r>
      <w:r w:rsidR="00562646" w:rsidRPr="00CE3EB7">
        <w:rPr>
          <w:rFonts w:ascii="Tahoma" w:eastAsia="Times New Roman" w:hAnsi="Tahoma" w:cs="Tahoma"/>
          <w:color w:val="24292E"/>
          <w:sz w:val="20"/>
          <w:szCs w:val="24"/>
        </w:rPr>
        <w:t xml:space="preserve"> new account. </w:t>
      </w:r>
      <w:r w:rsidRPr="00CE3EB7">
        <w:rPr>
          <w:rFonts w:ascii="Tahoma" w:eastAsia="Times New Roman" w:hAnsi="Tahoma" w:cs="Tahoma"/>
          <w:color w:val="24292E"/>
          <w:sz w:val="20"/>
          <w:szCs w:val="24"/>
        </w:rPr>
        <w:t xml:space="preserve">For </w:t>
      </w:r>
      <w:r w:rsidR="00D80639" w:rsidRPr="00CE3EB7">
        <w:rPr>
          <w:rFonts w:ascii="Tahoma" w:eastAsia="Times New Roman" w:hAnsi="Tahoma" w:cs="Tahoma"/>
          <w:color w:val="24292E"/>
          <w:sz w:val="20"/>
          <w:szCs w:val="24"/>
        </w:rPr>
        <w:t>a start, people do not login</w:t>
      </w:r>
      <w:r w:rsidR="007C1FDD" w:rsidRPr="00CE3EB7">
        <w:rPr>
          <w:rFonts w:ascii="Tahoma" w:eastAsia="Times New Roman" w:hAnsi="Tahoma" w:cs="Tahoma"/>
          <w:color w:val="24292E"/>
          <w:sz w:val="20"/>
          <w:szCs w:val="24"/>
        </w:rPr>
        <w:t xml:space="preserve"> as frequently as they used to</w:t>
      </w:r>
      <w:r w:rsidR="00D80639" w:rsidRPr="00CE3EB7">
        <w:rPr>
          <w:rFonts w:ascii="Tahoma" w:eastAsia="Times New Roman" w:hAnsi="Tahoma" w:cs="Tahoma"/>
          <w:color w:val="24292E"/>
          <w:sz w:val="20"/>
          <w:szCs w:val="24"/>
        </w:rPr>
        <w:t xml:space="preserve"> and visit to the homepage which use to be very high has significantly reduced. It appears a pull factor</w:t>
      </w:r>
      <w:r w:rsidR="00935F27">
        <w:rPr>
          <w:rFonts w:ascii="Tahoma" w:eastAsia="Times New Roman" w:hAnsi="Tahoma" w:cs="Tahoma"/>
          <w:color w:val="24292E"/>
          <w:sz w:val="20"/>
          <w:szCs w:val="24"/>
        </w:rPr>
        <w:t>s</w:t>
      </w:r>
      <w:r w:rsidR="00D80639" w:rsidRPr="00CE3EB7">
        <w:rPr>
          <w:rFonts w:ascii="Tahoma" w:eastAsia="Times New Roman" w:hAnsi="Tahoma" w:cs="Tahoma"/>
          <w:color w:val="24292E"/>
          <w:sz w:val="20"/>
          <w:szCs w:val="24"/>
        </w:rPr>
        <w:t xml:space="preserve"> or feature</w:t>
      </w:r>
      <w:r w:rsidR="00935F27">
        <w:rPr>
          <w:rFonts w:ascii="Tahoma" w:eastAsia="Times New Roman" w:hAnsi="Tahoma" w:cs="Tahoma"/>
          <w:color w:val="24292E"/>
          <w:sz w:val="20"/>
          <w:szCs w:val="24"/>
        </w:rPr>
        <w:t>s</w:t>
      </w:r>
      <w:r w:rsidR="00D80639" w:rsidRPr="00CE3EB7">
        <w:rPr>
          <w:rFonts w:ascii="Tahoma" w:eastAsia="Times New Roman" w:hAnsi="Tahoma" w:cs="Tahoma"/>
          <w:color w:val="24292E"/>
          <w:sz w:val="20"/>
          <w:szCs w:val="24"/>
        </w:rPr>
        <w:t xml:space="preserve"> that </w:t>
      </w:r>
      <w:r w:rsidR="00935F27">
        <w:rPr>
          <w:rFonts w:ascii="Tahoma" w:eastAsia="Times New Roman" w:hAnsi="Tahoma" w:cs="Tahoma"/>
          <w:color w:val="24292E"/>
          <w:sz w:val="20"/>
          <w:szCs w:val="24"/>
        </w:rPr>
        <w:t>generate</w:t>
      </w:r>
      <w:r w:rsidR="00D80639" w:rsidRPr="00CE3EB7">
        <w:rPr>
          <w:rFonts w:ascii="Tahoma" w:eastAsia="Times New Roman" w:hAnsi="Tahoma" w:cs="Tahoma"/>
          <w:color w:val="24292E"/>
          <w:sz w:val="20"/>
          <w:szCs w:val="24"/>
        </w:rPr>
        <w:t xml:space="preserve"> </w:t>
      </w:r>
      <w:r w:rsidR="009B4B0D" w:rsidRPr="00CE3EB7">
        <w:rPr>
          <w:rFonts w:ascii="Tahoma" w:eastAsia="Times New Roman" w:hAnsi="Tahoma" w:cs="Tahoma"/>
          <w:color w:val="24292E"/>
          <w:sz w:val="20"/>
          <w:szCs w:val="24"/>
        </w:rPr>
        <w:t>traffic to the page</w:t>
      </w:r>
      <w:r w:rsidR="00D80639" w:rsidRPr="00CE3EB7">
        <w:rPr>
          <w:rFonts w:ascii="Tahoma" w:eastAsia="Times New Roman" w:hAnsi="Tahoma" w:cs="Tahoma"/>
          <w:color w:val="24292E"/>
          <w:sz w:val="20"/>
          <w:szCs w:val="24"/>
        </w:rPr>
        <w:t xml:space="preserve"> in previous month</w:t>
      </w:r>
      <w:r w:rsidR="0039573F" w:rsidRPr="00CE3EB7">
        <w:rPr>
          <w:rFonts w:ascii="Tahoma" w:eastAsia="Times New Roman" w:hAnsi="Tahoma" w:cs="Tahoma"/>
          <w:color w:val="24292E"/>
          <w:sz w:val="20"/>
          <w:szCs w:val="24"/>
        </w:rPr>
        <w:t>s</w:t>
      </w:r>
      <w:r w:rsidR="00D80639" w:rsidRPr="00CE3EB7">
        <w:rPr>
          <w:rFonts w:ascii="Tahoma" w:eastAsia="Times New Roman" w:hAnsi="Tahoma" w:cs="Tahoma"/>
          <w:color w:val="24292E"/>
          <w:sz w:val="20"/>
          <w:szCs w:val="24"/>
        </w:rPr>
        <w:t xml:space="preserve"> are no longer there. Which leads us to our next possibility of checking how marketing activities has influenced </w:t>
      </w:r>
      <w:r w:rsidR="00935F27">
        <w:rPr>
          <w:rFonts w:ascii="Tahoma" w:eastAsia="Times New Roman" w:hAnsi="Tahoma" w:cs="Tahoma"/>
          <w:color w:val="24292E"/>
          <w:sz w:val="20"/>
          <w:szCs w:val="24"/>
        </w:rPr>
        <w:t xml:space="preserve">user’s </w:t>
      </w:r>
      <w:r w:rsidR="00D80639" w:rsidRPr="00CE3EB7">
        <w:rPr>
          <w:rFonts w:ascii="Tahoma" w:eastAsia="Times New Roman" w:hAnsi="Tahoma" w:cs="Tahoma"/>
          <w:color w:val="24292E"/>
          <w:sz w:val="20"/>
          <w:szCs w:val="24"/>
        </w:rPr>
        <w:t>engagement</w:t>
      </w:r>
      <w:r w:rsidR="00935F27">
        <w:rPr>
          <w:rFonts w:ascii="Tahoma" w:eastAsia="Times New Roman" w:hAnsi="Tahoma" w:cs="Tahoma"/>
          <w:color w:val="24292E"/>
          <w:sz w:val="20"/>
          <w:szCs w:val="24"/>
        </w:rPr>
        <w:t>.</w:t>
      </w:r>
    </w:p>
    <w:p w:rsidR="00A43BAA" w:rsidRPr="00CE3EB7" w:rsidRDefault="00935F27" w:rsidP="00562646">
      <w:pPr>
        <w:shd w:val="clear" w:color="auto" w:fill="FFFFFF"/>
        <w:spacing w:before="60" w:after="100" w:afterAutospacing="1" w:line="240" w:lineRule="auto"/>
        <w:rPr>
          <w:rFonts w:ascii="Tahoma" w:eastAsia="Times New Roman" w:hAnsi="Tahoma" w:cs="Tahoma"/>
          <w:b/>
          <w:color w:val="24292E"/>
          <w:sz w:val="20"/>
          <w:szCs w:val="24"/>
          <w:u w:val="single"/>
        </w:rPr>
      </w:pPr>
      <w:r>
        <w:rPr>
          <w:rFonts w:ascii="Tahoma" w:eastAsia="Times New Roman" w:hAnsi="Tahoma" w:cs="Tahoma"/>
          <w:b/>
          <w:color w:val="24292E"/>
          <w:sz w:val="20"/>
          <w:szCs w:val="24"/>
          <w:u w:val="single"/>
        </w:rPr>
        <w:t>Marketing Campaign and Quality of Content</w:t>
      </w:r>
    </w:p>
    <w:p w:rsidR="004F25CA" w:rsidRPr="00935F27" w:rsidRDefault="009B4B0D" w:rsidP="009B4B0D">
      <w:pPr>
        <w:shd w:val="clear" w:color="auto" w:fill="FFFFFF"/>
        <w:spacing w:before="60" w:after="100" w:afterAutospacing="1" w:line="240" w:lineRule="auto"/>
        <w:jc w:val="both"/>
        <w:rPr>
          <w:rFonts w:ascii="Tahoma" w:eastAsia="Times New Roman" w:hAnsi="Tahoma" w:cs="Tahoma"/>
          <w:color w:val="24292E"/>
          <w:sz w:val="20"/>
          <w:szCs w:val="24"/>
        </w:rPr>
      </w:pPr>
      <w:r w:rsidRPr="00935F27">
        <w:rPr>
          <w:rFonts w:ascii="Tahoma" w:eastAsia="Times New Roman" w:hAnsi="Tahoma" w:cs="Tahoma"/>
          <w:color w:val="24292E"/>
          <w:sz w:val="20"/>
          <w:szCs w:val="24"/>
        </w:rPr>
        <w:t xml:space="preserve">At first glance </w:t>
      </w:r>
      <w:r w:rsidR="00EB41A0" w:rsidRPr="00935F27">
        <w:rPr>
          <w:rFonts w:ascii="Tahoma" w:eastAsia="Times New Roman" w:hAnsi="Tahoma" w:cs="Tahoma"/>
          <w:color w:val="24292E"/>
          <w:sz w:val="20"/>
          <w:szCs w:val="24"/>
        </w:rPr>
        <w:t>we could see a drop off in the email click through, which validates my assumption that emails which are meant to generate traffic to the page ar</w:t>
      </w:r>
      <w:r w:rsidR="00935F27">
        <w:rPr>
          <w:rFonts w:ascii="Tahoma" w:eastAsia="Times New Roman" w:hAnsi="Tahoma" w:cs="Tahoma"/>
          <w:color w:val="24292E"/>
          <w:sz w:val="20"/>
          <w:szCs w:val="24"/>
        </w:rPr>
        <w:t xml:space="preserve">e no longer driving engagement. </w:t>
      </w:r>
      <w:r w:rsidR="00EB41A0" w:rsidRPr="00935F27">
        <w:rPr>
          <w:rFonts w:ascii="Tahoma" w:eastAsia="Times New Roman" w:hAnsi="Tahoma" w:cs="Tahoma"/>
          <w:color w:val="24292E"/>
          <w:sz w:val="20"/>
          <w:szCs w:val="24"/>
        </w:rPr>
        <w:t>That is</w:t>
      </w:r>
      <w:r w:rsidR="000E726C" w:rsidRPr="00935F27">
        <w:rPr>
          <w:rFonts w:ascii="Tahoma" w:eastAsia="Times New Roman" w:hAnsi="Tahoma" w:cs="Tahoma"/>
          <w:color w:val="24292E"/>
          <w:sz w:val="20"/>
          <w:szCs w:val="24"/>
        </w:rPr>
        <w:t>,</w:t>
      </w:r>
      <w:r w:rsidR="00EB41A0" w:rsidRPr="00935F27">
        <w:rPr>
          <w:rFonts w:ascii="Tahoma" w:eastAsia="Times New Roman" w:hAnsi="Tahoma" w:cs="Tahoma"/>
          <w:color w:val="24292E"/>
          <w:sz w:val="20"/>
          <w:szCs w:val="24"/>
        </w:rPr>
        <w:t xml:space="preserve"> users are opening</w:t>
      </w:r>
      <w:r w:rsidR="00935F27">
        <w:rPr>
          <w:rFonts w:ascii="Tahoma" w:eastAsia="Times New Roman" w:hAnsi="Tahoma" w:cs="Tahoma"/>
          <w:color w:val="24292E"/>
          <w:sz w:val="20"/>
          <w:szCs w:val="24"/>
        </w:rPr>
        <w:t xml:space="preserve"> the</w:t>
      </w:r>
      <w:r w:rsidR="00EB41A0" w:rsidRPr="00935F27">
        <w:rPr>
          <w:rFonts w:ascii="Tahoma" w:eastAsia="Times New Roman" w:hAnsi="Tahoma" w:cs="Tahoma"/>
          <w:color w:val="24292E"/>
          <w:sz w:val="20"/>
          <w:szCs w:val="24"/>
        </w:rPr>
        <w:t xml:space="preserve"> links </w:t>
      </w:r>
      <w:r w:rsidR="000E726C" w:rsidRPr="00935F27">
        <w:rPr>
          <w:rFonts w:ascii="Tahoma" w:eastAsia="Times New Roman" w:hAnsi="Tahoma" w:cs="Tahoma"/>
          <w:color w:val="24292E"/>
          <w:sz w:val="20"/>
          <w:szCs w:val="24"/>
        </w:rPr>
        <w:t xml:space="preserve">of and interacting with the </w:t>
      </w:r>
      <w:r w:rsidR="00EB41A0" w:rsidRPr="00935F27">
        <w:rPr>
          <w:rFonts w:ascii="Tahoma" w:eastAsia="Times New Roman" w:hAnsi="Tahoma" w:cs="Tahoma"/>
          <w:color w:val="24292E"/>
          <w:sz w:val="20"/>
          <w:szCs w:val="24"/>
        </w:rPr>
        <w:t>weekly email digest less</w:t>
      </w:r>
      <w:r w:rsidR="000E726C" w:rsidRPr="00935F27">
        <w:rPr>
          <w:rFonts w:ascii="Tahoma" w:eastAsia="Times New Roman" w:hAnsi="Tahoma" w:cs="Tahoma"/>
          <w:color w:val="24292E"/>
          <w:sz w:val="20"/>
          <w:szCs w:val="24"/>
        </w:rPr>
        <w:t xml:space="preserve"> frequently</w:t>
      </w:r>
      <w:r w:rsidR="004F25CA" w:rsidRPr="00935F27">
        <w:rPr>
          <w:rFonts w:ascii="Tahoma" w:eastAsia="Times New Roman" w:hAnsi="Tahoma" w:cs="Tahoma"/>
          <w:color w:val="24292E"/>
          <w:sz w:val="20"/>
          <w:szCs w:val="24"/>
        </w:rPr>
        <w:t xml:space="preserve">, than they did when they joined. </w:t>
      </w:r>
    </w:p>
    <w:p w:rsidR="00C16969" w:rsidRPr="00CE3EB7" w:rsidRDefault="00C16969" w:rsidP="009B4B0D">
      <w:pPr>
        <w:shd w:val="clear" w:color="auto" w:fill="FFFFFF"/>
        <w:spacing w:before="60" w:after="100" w:afterAutospacing="1" w:line="240" w:lineRule="auto"/>
        <w:jc w:val="both"/>
        <w:rPr>
          <w:rFonts w:ascii="Tahoma" w:hAnsi="Tahoma" w:cs="Tahoma"/>
          <w:color w:val="24292E"/>
          <w:sz w:val="18"/>
          <w:shd w:val="clear" w:color="auto" w:fill="FFFFFF"/>
        </w:rPr>
      </w:pPr>
      <w:r w:rsidRPr="00CE3EB7">
        <w:rPr>
          <w:rFonts w:ascii="Tahoma" w:hAnsi="Tahoma" w:cs="Tahoma"/>
          <w:noProof/>
          <w:sz w:val="18"/>
        </w:rPr>
        <w:drawing>
          <wp:inline distT="0" distB="0" distL="0" distR="0" wp14:anchorId="45D6BB7B" wp14:editId="473FEAA8">
            <wp:extent cx="5943600" cy="2551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1430"/>
                    </a:xfrm>
                    <a:prstGeom prst="rect">
                      <a:avLst/>
                    </a:prstGeom>
                  </pic:spPr>
                </pic:pic>
              </a:graphicData>
            </a:graphic>
          </wp:inline>
        </w:drawing>
      </w:r>
    </w:p>
    <w:p w:rsidR="00BF2F8C" w:rsidRPr="00CE3EB7" w:rsidRDefault="004F25CA" w:rsidP="00CA6F52">
      <w:pPr>
        <w:shd w:val="clear" w:color="auto" w:fill="FFFFFF"/>
        <w:spacing w:before="60" w:after="100" w:afterAutospacing="1" w:line="240" w:lineRule="auto"/>
        <w:jc w:val="both"/>
        <w:rPr>
          <w:rFonts w:ascii="Tahoma" w:hAnsi="Tahoma" w:cs="Tahoma"/>
          <w:color w:val="24292E"/>
          <w:sz w:val="18"/>
          <w:shd w:val="clear" w:color="auto" w:fill="FFFFFF"/>
        </w:rPr>
      </w:pPr>
      <w:r w:rsidRPr="00CE3EB7">
        <w:rPr>
          <w:rFonts w:ascii="Tahoma" w:hAnsi="Tahoma" w:cs="Tahoma"/>
          <w:color w:val="24292E"/>
          <w:sz w:val="18"/>
          <w:shd w:val="clear" w:color="auto" w:fill="FFFFFF"/>
        </w:rPr>
        <w:t>Upon further investigation, it was seen that new users interact w</w:t>
      </w:r>
      <w:r w:rsidR="0045288D" w:rsidRPr="00CE3EB7">
        <w:rPr>
          <w:rFonts w:ascii="Tahoma" w:hAnsi="Tahoma" w:cs="Tahoma"/>
          <w:color w:val="24292E"/>
          <w:sz w:val="18"/>
          <w:shd w:val="clear" w:color="auto" w:fill="FFFFFF"/>
        </w:rPr>
        <w:t>ith yammer</w:t>
      </w:r>
      <w:r w:rsidRPr="00CE3EB7">
        <w:rPr>
          <w:rFonts w:ascii="Tahoma" w:hAnsi="Tahoma" w:cs="Tahoma"/>
          <w:color w:val="24292E"/>
          <w:sz w:val="18"/>
          <w:shd w:val="clear" w:color="auto" w:fill="FFFFFF"/>
        </w:rPr>
        <w:t xml:space="preserve"> system </w:t>
      </w:r>
      <w:r w:rsidR="0045288D" w:rsidRPr="00CE3EB7">
        <w:rPr>
          <w:rFonts w:ascii="Tahoma" w:hAnsi="Tahoma" w:cs="Tahoma"/>
          <w:color w:val="24292E"/>
          <w:sz w:val="18"/>
          <w:shd w:val="clear" w:color="auto" w:fill="FFFFFF"/>
        </w:rPr>
        <w:t xml:space="preserve">exponentially </w:t>
      </w:r>
      <w:r w:rsidRPr="00CE3EB7">
        <w:rPr>
          <w:rFonts w:ascii="Tahoma" w:hAnsi="Tahoma" w:cs="Tahoma"/>
          <w:color w:val="24292E"/>
          <w:sz w:val="18"/>
          <w:shd w:val="clear" w:color="auto" w:fill="FFFFFF"/>
        </w:rPr>
        <w:t xml:space="preserve">immediately after their registration, then after a while, their </w:t>
      </w:r>
      <w:r w:rsidR="00562646" w:rsidRPr="00CE3EB7">
        <w:rPr>
          <w:rFonts w:ascii="Tahoma" w:hAnsi="Tahoma" w:cs="Tahoma"/>
          <w:color w:val="24292E"/>
          <w:sz w:val="18"/>
          <w:shd w:val="clear" w:color="auto" w:fill="FFFFFF"/>
        </w:rPr>
        <w:t xml:space="preserve">interactions </w:t>
      </w:r>
      <w:r w:rsidRPr="00CE3EB7">
        <w:rPr>
          <w:rFonts w:ascii="Tahoma" w:hAnsi="Tahoma" w:cs="Tahoma"/>
          <w:color w:val="24292E"/>
          <w:sz w:val="18"/>
          <w:shd w:val="clear" w:color="auto" w:fill="FFFFFF"/>
        </w:rPr>
        <w:t xml:space="preserve">gradually </w:t>
      </w:r>
      <w:r w:rsidR="00CA6F52" w:rsidRPr="00CE3EB7">
        <w:rPr>
          <w:rFonts w:ascii="Tahoma" w:hAnsi="Tahoma" w:cs="Tahoma"/>
          <w:color w:val="24292E"/>
          <w:sz w:val="18"/>
          <w:shd w:val="clear" w:color="auto" w:fill="FFFFFF"/>
        </w:rPr>
        <w:t xml:space="preserve">begin to reduce. </w:t>
      </w:r>
      <w:r w:rsidR="0045288D" w:rsidRPr="00CE3EB7">
        <w:rPr>
          <w:rFonts w:ascii="Tahoma" w:hAnsi="Tahoma" w:cs="Tahoma"/>
          <w:color w:val="24292E"/>
          <w:sz w:val="18"/>
          <w:shd w:val="clear" w:color="auto" w:fill="FFFFFF"/>
        </w:rPr>
        <w:t xml:space="preserve">More obvious is that it has become a trend that the older the users </w:t>
      </w:r>
      <w:r w:rsidR="0039573F" w:rsidRPr="00CE3EB7">
        <w:rPr>
          <w:rFonts w:ascii="Tahoma" w:hAnsi="Tahoma" w:cs="Tahoma"/>
          <w:color w:val="24292E"/>
          <w:sz w:val="18"/>
          <w:shd w:val="clear" w:color="auto" w:fill="FFFFFF"/>
        </w:rPr>
        <w:t>the</w:t>
      </w:r>
      <w:r w:rsidR="0045288D" w:rsidRPr="00CE3EB7">
        <w:rPr>
          <w:rFonts w:ascii="Tahoma" w:hAnsi="Tahoma" w:cs="Tahoma"/>
          <w:color w:val="24292E"/>
          <w:sz w:val="18"/>
          <w:shd w:val="clear" w:color="auto" w:fill="FFFFFF"/>
        </w:rPr>
        <w:t xml:space="preserve"> lesser their engagement. </w:t>
      </w:r>
      <w:r w:rsidR="00CA6F52" w:rsidRPr="00CE3EB7">
        <w:rPr>
          <w:rFonts w:ascii="Tahoma" w:hAnsi="Tahoma" w:cs="Tahoma"/>
          <w:color w:val="24292E"/>
          <w:sz w:val="18"/>
          <w:shd w:val="clear" w:color="auto" w:fill="FFFFFF"/>
        </w:rPr>
        <w:t>This</w:t>
      </w:r>
      <w:r w:rsidRPr="00CE3EB7">
        <w:rPr>
          <w:rFonts w:ascii="Tahoma" w:hAnsi="Tahoma" w:cs="Tahoma"/>
          <w:color w:val="24292E"/>
          <w:sz w:val="18"/>
          <w:shd w:val="clear" w:color="auto" w:fill="FFFFFF"/>
        </w:rPr>
        <w:t xml:space="preserve"> </w:t>
      </w:r>
      <w:r w:rsidR="00562646" w:rsidRPr="00CE3EB7">
        <w:rPr>
          <w:rFonts w:ascii="Tahoma" w:hAnsi="Tahoma" w:cs="Tahoma"/>
          <w:color w:val="24292E"/>
          <w:sz w:val="18"/>
          <w:shd w:val="clear" w:color="auto" w:fill="FFFFFF"/>
        </w:rPr>
        <w:t>points to an</w:t>
      </w:r>
      <w:r w:rsidR="00CA6F52" w:rsidRPr="00CE3EB7">
        <w:rPr>
          <w:rFonts w:ascii="Tahoma" w:hAnsi="Tahoma" w:cs="Tahoma"/>
          <w:color w:val="24292E"/>
          <w:sz w:val="18"/>
          <w:shd w:val="clear" w:color="auto" w:fill="FFFFFF"/>
        </w:rPr>
        <w:t xml:space="preserve"> assumption that the weekly email digest might at the initial stage attract users, new ones especially, it hasn’t been able to retain them.</w:t>
      </w:r>
    </w:p>
    <w:p w:rsidR="00BF2F8C" w:rsidRPr="00CE3EB7" w:rsidRDefault="00BF2F8C" w:rsidP="00CA6F52">
      <w:pPr>
        <w:shd w:val="clear" w:color="auto" w:fill="FFFFFF"/>
        <w:spacing w:before="60" w:after="100" w:afterAutospacing="1" w:line="240" w:lineRule="auto"/>
        <w:jc w:val="both"/>
        <w:rPr>
          <w:rFonts w:ascii="Tahoma" w:hAnsi="Tahoma" w:cs="Tahoma"/>
          <w:color w:val="24292E"/>
          <w:sz w:val="18"/>
          <w:shd w:val="clear" w:color="auto" w:fill="FFFFFF"/>
        </w:rPr>
      </w:pPr>
      <w:r w:rsidRPr="00CE3EB7">
        <w:rPr>
          <w:rFonts w:ascii="Tahoma" w:hAnsi="Tahoma" w:cs="Tahoma"/>
          <w:noProof/>
          <w:sz w:val="18"/>
        </w:rPr>
        <w:lastRenderedPageBreak/>
        <w:drawing>
          <wp:inline distT="0" distB="0" distL="0" distR="0" wp14:anchorId="3DF92E9C" wp14:editId="1B7DE739">
            <wp:extent cx="5943600" cy="2379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9345"/>
                    </a:xfrm>
                    <a:prstGeom prst="rect">
                      <a:avLst/>
                    </a:prstGeom>
                  </pic:spPr>
                </pic:pic>
              </a:graphicData>
            </a:graphic>
          </wp:inline>
        </w:drawing>
      </w:r>
    </w:p>
    <w:p w:rsidR="0045288D" w:rsidRDefault="0045288D" w:rsidP="00CA6F52">
      <w:pPr>
        <w:shd w:val="clear" w:color="auto" w:fill="FFFFFF"/>
        <w:spacing w:before="60" w:after="100" w:afterAutospacing="1" w:line="240" w:lineRule="auto"/>
        <w:jc w:val="both"/>
        <w:rPr>
          <w:rFonts w:ascii="Tahoma" w:hAnsi="Tahoma" w:cs="Tahoma"/>
          <w:color w:val="24292E"/>
          <w:sz w:val="18"/>
          <w:shd w:val="clear" w:color="auto" w:fill="FFFFFF"/>
        </w:rPr>
      </w:pPr>
      <w:r w:rsidRPr="00CE3EB7">
        <w:rPr>
          <w:rFonts w:ascii="Tahoma" w:hAnsi="Tahoma" w:cs="Tahoma"/>
          <w:color w:val="24292E"/>
          <w:sz w:val="18"/>
          <w:shd w:val="clear" w:color="auto" w:fill="FFFFFF"/>
        </w:rPr>
        <w:t xml:space="preserve">Interestingly, the engagement numbers has remained relatively constant despite a </w:t>
      </w:r>
      <w:r w:rsidR="000B12B9">
        <w:rPr>
          <w:rFonts w:ascii="Tahoma" w:hAnsi="Tahoma" w:cs="Tahoma"/>
          <w:color w:val="24292E"/>
          <w:sz w:val="18"/>
          <w:shd w:val="clear" w:color="auto" w:fill="FFFFFF"/>
        </w:rPr>
        <w:t xml:space="preserve">reoccurring </w:t>
      </w:r>
      <w:r w:rsidRPr="00CE3EB7">
        <w:rPr>
          <w:rFonts w:ascii="Tahoma" w:hAnsi="Tahoma" w:cs="Tahoma"/>
          <w:color w:val="24292E"/>
          <w:sz w:val="18"/>
          <w:shd w:val="clear" w:color="auto" w:fill="FFFFFF"/>
        </w:rPr>
        <w:t>reduction in engagement by old</w:t>
      </w:r>
      <w:r w:rsidR="000B12B9">
        <w:rPr>
          <w:rFonts w:ascii="Tahoma" w:hAnsi="Tahoma" w:cs="Tahoma"/>
          <w:color w:val="24292E"/>
          <w:sz w:val="18"/>
          <w:shd w:val="clear" w:color="auto" w:fill="FFFFFF"/>
        </w:rPr>
        <w:t>er users. T</w:t>
      </w:r>
      <w:r w:rsidRPr="00CE3EB7">
        <w:rPr>
          <w:rFonts w:ascii="Tahoma" w:hAnsi="Tahoma" w:cs="Tahoma"/>
          <w:color w:val="24292E"/>
          <w:sz w:val="18"/>
          <w:shd w:val="clear" w:color="auto" w:fill="FFFFFF"/>
        </w:rPr>
        <w:t>his is because new users are making up for the poor engagement of the old</w:t>
      </w:r>
      <w:r w:rsidR="000B12B9">
        <w:rPr>
          <w:rFonts w:ascii="Tahoma" w:hAnsi="Tahoma" w:cs="Tahoma"/>
          <w:color w:val="24292E"/>
          <w:sz w:val="18"/>
          <w:shd w:val="clear" w:color="auto" w:fill="FFFFFF"/>
        </w:rPr>
        <w:t>er</w:t>
      </w:r>
      <w:r w:rsidRPr="00CE3EB7">
        <w:rPr>
          <w:rFonts w:ascii="Tahoma" w:hAnsi="Tahoma" w:cs="Tahoma"/>
          <w:color w:val="24292E"/>
          <w:sz w:val="18"/>
          <w:shd w:val="clear" w:color="auto" w:fill="FFFFFF"/>
        </w:rPr>
        <w:t xml:space="preserve"> ones, not until sometimes in July did we see an unusual fall in the engagement level. </w:t>
      </w:r>
    </w:p>
    <w:p w:rsidR="0045288D" w:rsidRPr="00CE3EB7" w:rsidRDefault="00F92FDF" w:rsidP="009B4B0D">
      <w:pPr>
        <w:shd w:val="clear" w:color="auto" w:fill="FFFFFF"/>
        <w:spacing w:before="60" w:after="100" w:afterAutospacing="1" w:line="240" w:lineRule="auto"/>
        <w:jc w:val="both"/>
        <w:rPr>
          <w:rFonts w:ascii="Tahoma" w:hAnsi="Tahoma" w:cs="Tahoma"/>
          <w:color w:val="24292E"/>
          <w:sz w:val="18"/>
          <w:shd w:val="clear" w:color="auto" w:fill="FFFFFF"/>
        </w:rPr>
      </w:pPr>
      <w:r>
        <w:rPr>
          <w:rFonts w:ascii="Tahoma" w:hAnsi="Tahoma" w:cs="Tahoma"/>
          <w:color w:val="24292E"/>
          <w:sz w:val="18"/>
          <w:shd w:val="clear" w:color="auto" w:fill="FFFFFF"/>
        </w:rPr>
        <w:t xml:space="preserve">However, in late August, </w:t>
      </w:r>
      <w:r w:rsidRPr="00CE3EB7">
        <w:rPr>
          <w:rFonts w:ascii="Tahoma" w:hAnsi="Tahoma" w:cs="Tahoma"/>
          <w:color w:val="24292E"/>
          <w:sz w:val="18"/>
          <w:shd w:val="clear" w:color="auto" w:fill="FFFFFF"/>
        </w:rPr>
        <w:t>the loss in engagement</w:t>
      </w:r>
      <w:r>
        <w:rPr>
          <w:rFonts w:ascii="Tahoma" w:hAnsi="Tahoma" w:cs="Tahoma"/>
          <w:color w:val="24292E"/>
          <w:sz w:val="18"/>
          <w:shd w:val="clear" w:color="auto" w:fill="FFFFFF"/>
        </w:rPr>
        <w:t xml:space="preserve"> uncharacteristically</w:t>
      </w:r>
      <w:r w:rsidRPr="00CE3EB7">
        <w:rPr>
          <w:rFonts w:ascii="Tahoma" w:hAnsi="Tahoma" w:cs="Tahoma"/>
          <w:color w:val="24292E"/>
          <w:sz w:val="18"/>
          <w:shd w:val="clear" w:color="auto" w:fill="FFFFFF"/>
        </w:rPr>
        <w:t xml:space="preserve"> outpaced newer user's engagement, </w:t>
      </w:r>
      <w:r w:rsidR="000B12B9">
        <w:rPr>
          <w:rFonts w:ascii="Tahoma" w:hAnsi="Tahoma" w:cs="Tahoma"/>
          <w:color w:val="24292E"/>
          <w:sz w:val="18"/>
          <w:shd w:val="clear" w:color="auto" w:fill="FFFFFF"/>
        </w:rPr>
        <w:t>c</w:t>
      </w:r>
      <w:r w:rsidR="0045288D" w:rsidRPr="00CE3EB7">
        <w:rPr>
          <w:rFonts w:ascii="Tahoma" w:hAnsi="Tahoma" w:cs="Tahoma"/>
          <w:color w:val="24292E"/>
          <w:sz w:val="18"/>
          <w:shd w:val="clear" w:color="auto" w:fill="FFFFFF"/>
        </w:rPr>
        <w:t xml:space="preserve">ould it have been slightly affected by a general </w:t>
      </w:r>
      <w:r w:rsidR="00996CDB" w:rsidRPr="00CE3EB7">
        <w:rPr>
          <w:rFonts w:ascii="Tahoma" w:hAnsi="Tahoma" w:cs="Tahoma"/>
          <w:color w:val="24292E"/>
          <w:sz w:val="18"/>
          <w:shd w:val="clear" w:color="auto" w:fill="FFFFFF"/>
        </w:rPr>
        <w:t xml:space="preserve">or a particular device’s </w:t>
      </w:r>
      <w:r w:rsidR="0045288D" w:rsidRPr="00CE3EB7">
        <w:rPr>
          <w:rFonts w:ascii="Tahoma" w:hAnsi="Tahoma" w:cs="Tahoma"/>
          <w:color w:val="24292E"/>
          <w:sz w:val="18"/>
          <w:shd w:val="clear" w:color="auto" w:fill="FFFFFF"/>
        </w:rPr>
        <w:t>performance</w:t>
      </w:r>
      <w:r w:rsidR="00996CDB" w:rsidRPr="00CE3EB7">
        <w:rPr>
          <w:rFonts w:ascii="Tahoma" w:hAnsi="Tahoma" w:cs="Tahoma"/>
          <w:color w:val="24292E"/>
          <w:sz w:val="18"/>
          <w:shd w:val="clear" w:color="auto" w:fill="FFFFFF"/>
        </w:rPr>
        <w:t xml:space="preserve"> on the website?</w:t>
      </w:r>
      <w:r>
        <w:rPr>
          <w:rFonts w:ascii="Tahoma" w:hAnsi="Tahoma" w:cs="Tahoma"/>
          <w:color w:val="24292E"/>
          <w:sz w:val="18"/>
          <w:shd w:val="clear" w:color="auto" w:fill="FFFFFF"/>
        </w:rPr>
        <w:t xml:space="preserve"> Let</w:t>
      </w:r>
      <w:r w:rsidR="000B12B9">
        <w:rPr>
          <w:rFonts w:ascii="Tahoma" w:hAnsi="Tahoma" w:cs="Tahoma"/>
          <w:color w:val="24292E"/>
          <w:sz w:val="18"/>
          <w:shd w:val="clear" w:color="auto" w:fill="FFFFFF"/>
        </w:rPr>
        <w:t>’</w:t>
      </w:r>
      <w:r>
        <w:rPr>
          <w:rFonts w:ascii="Tahoma" w:hAnsi="Tahoma" w:cs="Tahoma"/>
          <w:color w:val="24292E"/>
          <w:sz w:val="18"/>
          <w:shd w:val="clear" w:color="auto" w:fill="FFFFFF"/>
        </w:rPr>
        <w:t>s find out</w:t>
      </w:r>
    </w:p>
    <w:p w:rsidR="00F92FDF" w:rsidRPr="00F92FDF" w:rsidRDefault="00F92FDF" w:rsidP="009B4B0D">
      <w:pPr>
        <w:shd w:val="clear" w:color="auto" w:fill="FFFFFF"/>
        <w:spacing w:before="60" w:after="100" w:afterAutospacing="1" w:line="240" w:lineRule="auto"/>
        <w:jc w:val="both"/>
        <w:rPr>
          <w:rFonts w:ascii="Tahoma" w:hAnsi="Tahoma" w:cs="Tahoma"/>
          <w:b/>
          <w:color w:val="24292E"/>
          <w:sz w:val="18"/>
          <w:u w:val="single"/>
          <w:shd w:val="clear" w:color="auto" w:fill="FFFFFF"/>
        </w:rPr>
      </w:pPr>
      <w:r w:rsidRPr="00F92FDF">
        <w:rPr>
          <w:rFonts w:ascii="Tahoma" w:hAnsi="Tahoma" w:cs="Tahoma"/>
          <w:b/>
          <w:color w:val="24292E"/>
          <w:sz w:val="18"/>
          <w:u w:val="single"/>
          <w:shd w:val="clear" w:color="auto" w:fill="FFFFFF"/>
        </w:rPr>
        <w:t xml:space="preserve">Technical Issues: </w:t>
      </w:r>
    </w:p>
    <w:p w:rsidR="00F92FDF" w:rsidRDefault="00F92FDF" w:rsidP="009B4B0D">
      <w:pPr>
        <w:shd w:val="clear" w:color="auto" w:fill="FFFFFF"/>
        <w:spacing w:before="60" w:after="100" w:afterAutospacing="1" w:line="240" w:lineRule="auto"/>
        <w:jc w:val="both"/>
        <w:rPr>
          <w:rFonts w:ascii="Tahoma" w:hAnsi="Tahoma" w:cs="Tahoma"/>
          <w:color w:val="24292E"/>
          <w:sz w:val="18"/>
          <w:shd w:val="clear" w:color="auto" w:fill="FFFFFF"/>
        </w:rPr>
      </w:pPr>
      <w:r w:rsidRPr="00F92FDF">
        <w:rPr>
          <w:rFonts w:ascii="Tahoma" w:hAnsi="Tahoma" w:cs="Tahoma"/>
          <w:color w:val="24292E"/>
          <w:sz w:val="18"/>
          <w:shd w:val="clear" w:color="auto" w:fill="FFFFFF"/>
        </w:rPr>
        <w:t xml:space="preserve">We can observe a sharp drop with users of Tablets and phone, while that of other computer was marginally affected, </w:t>
      </w:r>
      <w:r>
        <w:rPr>
          <w:rFonts w:ascii="Tahoma" w:hAnsi="Tahoma" w:cs="Tahoma"/>
          <w:color w:val="24292E"/>
          <w:sz w:val="18"/>
          <w:shd w:val="clear" w:color="auto" w:fill="FFFFFF"/>
        </w:rPr>
        <w:t>it is safe to conclude that</w:t>
      </w:r>
      <w:r w:rsidRPr="00F92FDF">
        <w:rPr>
          <w:rFonts w:ascii="Tahoma" w:hAnsi="Tahoma" w:cs="Tahoma"/>
          <w:color w:val="24292E"/>
          <w:sz w:val="18"/>
          <w:shd w:val="clear" w:color="auto" w:fill="FFFFFF"/>
        </w:rPr>
        <w:t xml:space="preserve"> it's likely that there's a problem with </w:t>
      </w:r>
      <w:r>
        <w:rPr>
          <w:rFonts w:ascii="Tahoma" w:hAnsi="Tahoma" w:cs="Tahoma"/>
          <w:color w:val="24292E"/>
          <w:sz w:val="18"/>
          <w:shd w:val="clear" w:color="auto" w:fill="FFFFFF"/>
        </w:rPr>
        <w:t xml:space="preserve">accessing the </w:t>
      </w:r>
      <w:r w:rsidR="000B12B9">
        <w:rPr>
          <w:rFonts w:ascii="Tahoma" w:hAnsi="Tahoma" w:cs="Tahoma"/>
          <w:color w:val="24292E"/>
          <w:sz w:val="18"/>
          <w:shd w:val="clear" w:color="auto" w:fill="FFFFFF"/>
        </w:rPr>
        <w:t>site or mobile</w:t>
      </w:r>
      <w:r>
        <w:rPr>
          <w:rFonts w:ascii="Tahoma" w:hAnsi="Tahoma" w:cs="Tahoma"/>
          <w:color w:val="24292E"/>
          <w:sz w:val="18"/>
          <w:shd w:val="clear" w:color="auto" w:fill="FFFFFF"/>
        </w:rPr>
        <w:t xml:space="preserve"> app on this devices </w:t>
      </w:r>
    </w:p>
    <w:p w:rsidR="00F92FDF" w:rsidRPr="00CE3EB7" w:rsidRDefault="00F92FDF" w:rsidP="009B4B0D">
      <w:pPr>
        <w:shd w:val="clear" w:color="auto" w:fill="FFFFFF"/>
        <w:spacing w:before="60" w:after="100" w:afterAutospacing="1" w:line="240" w:lineRule="auto"/>
        <w:jc w:val="both"/>
        <w:rPr>
          <w:rFonts w:ascii="Tahoma" w:hAnsi="Tahoma" w:cs="Tahoma"/>
          <w:color w:val="24292E"/>
          <w:sz w:val="18"/>
          <w:shd w:val="clear" w:color="auto" w:fill="FFFFFF"/>
        </w:rPr>
      </w:pPr>
    </w:p>
    <w:p w:rsidR="00562646" w:rsidRDefault="00E7455E" w:rsidP="009B4B0D">
      <w:pPr>
        <w:shd w:val="clear" w:color="auto" w:fill="FFFFFF"/>
        <w:spacing w:before="60" w:after="100" w:afterAutospacing="1" w:line="240" w:lineRule="auto"/>
        <w:jc w:val="both"/>
        <w:rPr>
          <w:rFonts w:ascii="Tahoma" w:hAnsi="Tahoma" w:cs="Tahoma"/>
          <w:color w:val="24292E"/>
          <w:sz w:val="18"/>
          <w:shd w:val="clear" w:color="auto" w:fill="FFFFFF"/>
        </w:rPr>
      </w:pPr>
      <w:r>
        <w:rPr>
          <w:noProof/>
        </w:rPr>
        <w:drawing>
          <wp:inline distT="0" distB="0" distL="0" distR="0" wp14:anchorId="45BAAB0B" wp14:editId="5E8E9BA9">
            <wp:extent cx="6122057" cy="156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5993" cy="1569458"/>
                    </a:xfrm>
                    <a:prstGeom prst="rect">
                      <a:avLst/>
                    </a:prstGeom>
                  </pic:spPr>
                </pic:pic>
              </a:graphicData>
            </a:graphic>
          </wp:inline>
        </w:drawing>
      </w:r>
    </w:p>
    <w:p w:rsidR="00AD4001" w:rsidRPr="00CE3EB7" w:rsidRDefault="00AD4001" w:rsidP="009B4B0D">
      <w:pPr>
        <w:shd w:val="clear" w:color="auto" w:fill="FFFFFF"/>
        <w:spacing w:before="60" w:after="100" w:afterAutospacing="1" w:line="240" w:lineRule="auto"/>
        <w:jc w:val="both"/>
        <w:rPr>
          <w:rFonts w:ascii="Tahoma" w:hAnsi="Tahoma" w:cs="Tahoma"/>
          <w:color w:val="24292E"/>
          <w:sz w:val="18"/>
          <w:shd w:val="clear" w:color="auto" w:fill="FFFFFF"/>
        </w:rPr>
      </w:pPr>
    </w:p>
    <w:p w:rsidR="00AD4001" w:rsidRPr="00CE3EB7" w:rsidRDefault="00AD4001" w:rsidP="00AD4001">
      <w:pPr>
        <w:pStyle w:val="NoSpacing"/>
        <w:jc w:val="both"/>
        <w:rPr>
          <w:rFonts w:ascii="Tahoma" w:hAnsi="Tahoma" w:cs="Tahoma"/>
          <w:b/>
          <w:sz w:val="18"/>
          <w:u w:val="single"/>
        </w:rPr>
      </w:pPr>
      <w:r w:rsidRPr="00CE3EB7">
        <w:rPr>
          <w:rFonts w:ascii="Tahoma" w:hAnsi="Tahoma" w:cs="Tahoma"/>
          <w:b/>
          <w:sz w:val="18"/>
          <w:u w:val="single"/>
        </w:rPr>
        <w:t>Conclusion</w:t>
      </w:r>
    </w:p>
    <w:p w:rsidR="00AD4001" w:rsidRPr="00CE3EB7" w:rsidRDefault="00AD4001" w:rsidP="00AD4001">
      <w:pPr>
        <w:pStyle w:val="NoSpacing"/>
        <w:jc w:val="both"/>
        <w:rPr>
          <w:rFonts w:ascii="Tahoma" w:hAnsi="Tahoma" w:cs="Tahoma"/>
          <w:sz w:val="18"/>
        </w:rPr>
      </w:pPr>
      <w:r w:rsidRPr="00CE3EB7">
        <w:rPr>
          <w:rFonts w:ascii="Tahoma" w:hAnsi="Tahoma" w:cs="Tahoma"/>
          <w:sz w:val="18"/>
        </w:rPr>
        <w:t xml:space="preserve">In summary, four potential causes for the dip in engagement were explored. It was concluded that the first cannot be a potential </w:t>
      </w:r>
      <w:r w:rsidR="000B12B9">
        <w:rPr>
          <w:rFonts w:ascii="Tahoma" w:hAnsi="Tahoma" w:cs="Tahoma"/>
          <w:sz w:val="18"/>
        </w:rPr>
        <w:t>cause</w:t>
      </w:r>
      <w:r w:rsidRPr="00CE3EB7">
        <w:rPr>
          <w:rFonts w:ascii="Tahoma" w:hAnsi="Tahoma" w:cs="Tahoma"/>
          <w:sz w:val="18"/>
        </w:rPr>
        <w:t xml:space="preserve">, while the second also seem unlikely and trivia at best. According to data, the forth which appears to be a bug with a particular device is a potential cause, but the most plausible reason is </w:t>
      </w:r>
      <w:r w:rsidR="008E1103" w:rsidRPr="00CE3EB7">
        <w:rPr>
          <w:rFonts w:ascii="Tahoma" w:hAnsi="Tahoma" w:cs="Tahoma"/>
          <w:sz w:val="18"/>
        </w:rPr>
        <w:t>that</w:t>
      </w:r>
      <w:r w:rsidRPr="00CE3EB7">
        <w:rPr>
          <w:rFonts w:ascii="Tahoma" w:hAnsi="Tahoma" w:cs="Tahoma"/>
          <w:sz w:val="18"/>
        </w:rPr>
        <w:t xml:space="preserve"> the marketing and content quality</w:t>
      </w:r>
      <w:r w:rsidR="000B12B9">
        <w:rPr>
          <w:rFonts w:ascii="Tahoma" w:hAnsi="Tahoma" w:cs="Tahoma"/>
          <w:sz w:val="18"/>
        </w:rPr>
        <w:t xml:space="preserve"> of weekly email digest and other marketing material</w:t>
      </w:r>
      <w:r w:rsidRPr="00CE3EB7">
        <w:rPr>
          <w:rFonts w:ascii="Tahoma" w:hAnsi="Tahoma" w:cs="Tahoma"/>
          <w:sz w:val="18"/>
        </w:rPr>
        <w:t xml:space="preserve"> are not </w:t>
      </w:r>
      <w:r w:rsidR="000B12B9">
        <w:rPr>
          <w:rFonts w:ascii="Tahoma" w:hAnsi="Tahoma" w:cs="Tahoma"/>
          <w:sz w:val="18"/>
        </w:rPr>
        <w:t>interesting</w:t>
      </w:r>
      <w:r w:rsidRPr="00CE3EB7">
        <w:rPr>
          <w:rFonts w:ascii="Tahoma" w:hAnsi="Tahoma" w:cs="Tahoma"/>
          <w:sz w:val="18"/>
        </w:rPr>
        <w:t xml:space="preserve"> enough to retain old users.</w:t>
      </w:r>
    </w:p>
    <w:p w:rsidR="00AD4001" w:rsidRPr="00CE3EB7" w:rsidRDefault="00AD4001" w:rsidP="00AD4001">
      <w:pPr>
        <w:pStyle w:val="NoSpacing"/>
        <w:jc w:val="both"/>
        <w:rPr>
          <w:rFonts w:ascii="Tahoma" w:hAnsi="Tahoma" w:cs="Tahoma"/>
          <w:sz w:val="18"/>
        </w:rPr>
      </w:pPr>
    </w:p>
    <w:p w:rsidR="00AD4001" w:rsidRPr="00CE3EB7" w:rsidRDefault="00AD4001" w:rsidP="00AD4001">
      <w:pPr>
        <w:pStyle w:val="NoSpacing"/>
        <w:jc w:val="both"/>
        <w:rPr>
          <w:rFonts w:ascii="Tahoma" w:hAnsi="Tahoma" w:cs="Tahoma"/>
          <w:b/>
          <w:sz w:val="18"/>
          <w:u w:val="single"/>
        </w:rPr>
      </w:pPr>
      <w:r w:rsidRPr="00CE3EB7">
        <w:rPr>
          <w:rFonts w:ascii="Tahoma" w:hAnsi="Tahoma" w:cs="Tahoma"/>
          <w:b/>
          <w:sz w:val="18"/>
          <w:u w:val="single"/>
        </w:rPr>
        <w:t>Recommendations</w:t>
      </w:r>
    </w:p>
    <w:p w:rsidR="00AD4001" w:rsidRPr="00CE3EB7" w:rsidRDefault="00AD4001" w:rsidP="00AD4001">
      <w:pPr>
        <w:pStyle w:val="NoSpacing"/>
        <w:numPr>
          <w:ilvl w:val="0"/>
          <w:numId w:val="3"/>
        </w:numPr>
        <w:jc w:val="both"/>
        <w:rPr>
          <w:rFonts w:ascii="Tahoma" w:hAnsi="Tahoma" w:cs="Tahoma"/>
          <w:sz w:val="18"/>
        </w:rPr>
      </w:pPr>
      <w:r w:rsidRPr="00CE3EB7">
        <w:rPr>
          <w:rFonts w:ascii="Tahoma" w:hAnsi="Tahoma" w:cs="Tahoma"/>
          <w:sz w:val="18"/>
        </w:rPr>
        <w:t>Get feedback from users on the type and form of content (such as the weekly email digest) they would like to read and generate accordingly</w:t>
      </w:r>
      <w:r w:rsidR="00562646" w:rsidRPr="00CE3EB7">
        <w:rPr>
          <w:rFonts w:ascii="Tahoma" w:hAnsi="Tahoma" w:cs="Tahoma"/>
          <w:sz w:val="18"/>
        </w:rPr>
        <w:t>.</w:t>
      </w:r>
    </w:p>
    <w:p w:rsidR="00AD4001" w:rsidRPr="00CE3EB7" w:rsidRDefault="00AD4001" w:rsidP="00AD4001">
      <w:pPr>
        <w:pStyle w:val="NoSpacing"/>
        <w:numPr>
          <w:ilvl w:val="0"/>
          <w:numId w:val="3"/>
        </w:numPr>
        <w:jc w:val="both"/>
        <w:rPr>
          <w:rFonts w:ascii="Tahoma" w:hAnsi="Tahoma" w:cs="Tahoma"/>
          <w:sz w:val="18"/>
        </w:rPr>
      </w:pPr>
      <w:r w:rsidRPr="00CE3EB7">
        <w:rPr>
          <w:rFonts w:ascii="Tahoma" w:hAnsi="Tahoma" w:cs="Tahoma"/>
          <w:sz w:val="18"/>
        </w:rPr>
        <w:t>Adopt a more effective marketing approach that improves users attraction to the page</w:t>
      </w:r>
    </w:p>
    <w:p w:rsidR="00AD4001" w:rsidRPr="00CE3EB7" w:rsidRDefault="00562646" w:rsidP="00AD4001">
      <w:pPr>
        <w:pStyle w:val="NoSpacing"/>
        <w:numPr>
          <w:ilvl w:val="0"/>
          <w:numId w:val="3"/>
        </w:numPr>
        <w:jc w:val="both"/>
        <w:rPr>
          <w:rFonts w:ascii="Tahoma" w:hAnsi="Tahoma" w:cs="Tahoma"/>
          <w:sz w:val="18"/>
        </w:rPr>
      </w:pPr>
      <w:r w:rsidRPr="00CE3EB7">
        <w:rPr>
          <w:rFonts w:ascii="Tahoma" w:hAnsi="Tahoma" w:cs="Tahoma"/>
          <w:sz w:val="18"/>
        </w:rPr>
        <w:lastRenderedPageBreak/>
        <w:t>Investigate and correct any form of access issue with all devices and ensure future occurrence are prevented.</w:t>
      </w:r>
    </w:p>
    <w:p w:rsidR="00562646" w:rsidRPr="00CE3EB7" w:rsidRDefault="00562646" w:rsidP="00562646">
      <w:pPr>
        <w:pStyle w:val="NoSpacing"/>
        <w:ind w:left="720"/>
        <w:jc w:val="both"/>
        <w:rPr>
          <w:rFonts w:ascii="Tahoma" w:hAnsi="Tahoma" w:cs="Tahoma"/>
          <w:sz w:val="18"/>
        </w:rPr>
      </w:pPr>
    </w:p>
    <w:p w:rsidR="00AD4001" w:rsidRPr="00CE3EB7" w:rsidRDefault="00AD4001" w:rsidP="009B4B0D">
      <w:pPr>
        <w:shd w:val="clear" w:color="auto" w:fill="FFFFFF"/>
        <w:spacing w:before="60" w:after="100" w:afterAutospacing="1" w:line="240" w:lineRule="auto"/>
        <w:jc w:val="both"/>
        <w:rPr>
          <w:rFonts w:ascii="Tahoma" w:hAnsi="Tahoma" w:cs="Tahoma"/>
          <w:color w:val="24292E"/>
          <w:sz w:val="18"/>
          <w:shd w:val="clear" w:color="auto" w:fill="FFFFFF"/>
        </w:rPr>
      </w:pPr>
    </w:p>
    <w:p w:rsidR="00BF2F8C" w:rsidRPr="008A2EFE" w:rsidRDefault="00BF2F8C" w:rsidP="008A2EFE">
      <w:pPr>
        <w:shd w:val="clear" w:color="auto" w:fill="FFFFFF"/>
        <w:spacing w:before="60" w:after="100" w:afterAutospacing="1" w:line="240" w:lineRule="auto"/>
        <w:jc w:val="center"/>
        <w:rPr>
          <w:rFonts w:ascii="Tahoma" w:hAnsi="Tahoma" w:cs="Tahoma"/>
          <w:b/>
          <w:color w:val="24292E"/>
          <w:sz w:val="18"/>
          <w:highlight w:val="lightGray"/>
          <w:u w:val="single"/>
          <w:shd w:val="clear" w:color="auto" w:fill="FFFFFF"/>
        </w:rPr>
      </w:pPr>
      <w:r w:rsidRPr="008A2EFE">
        <w:rPr>
          <w:rFonts w:ascii="Tahoma" w:hAnsi="Tahoma" w:cs="Tahoma"/>
          <w:b/>
          <w:color w:val="24292E"/>
          <w:sz w:val="18"/>
          <w:highlight w:val="lightGray"/>
          <w:u w:val="single"/>
          <w:shd w:val="clear" w:color="auto" w:fill="FFFFFF"/>
        </w:rPr>
        <w:t>SQL Code</w:t>
      </w:r>
    </w:p>
    <w:p w:rsidR="00BF2F8C" w:rsidRPr="008A2EFE" w:rsidRDefault="008A2EFE" w:rsidP="00BF2F8C">
      <w:pPr>
        <w:shd w:val="clear" w:color="auto" w:fill="FFFFFF"/>
        <w:spacing w:before="60" w:after="100" w:afterAutospacing="1" w:line="240" w:lineRule="auto"/>
        <w:rPr>
          <w:rFonts w:ascii="Tahoma" w:hAnsi="Tahoma" w:cs="Tahoma"/>
          <w:b/>
          <w:color w:val="24292E"/>
          <w:sz w:val="18"/>
          <w:highlight w:val="lightGray"/>
          <w:shd w:val="clear" w:color="auto" w:fill="FFFFFF"/>
        </w:rPr>
      </w:pPr>
      <w:r w:rsidRPr="008A2EFE">
        <w:rPr>
          <w:rFonts w:ascii="Tahoma" w:hAnsi="Tahoma" w:cs="Tahoma"/>
          <w:b/>
          <w:color w:val="24292E"/>
          <w:sz w:val="18"/>
          <w:highlight w:val="lightGray"/>
          <w:shd w:val="clear" w:color="auto" w:fill="FFFFFF"/>
        </w:rPr>
        <w:t xml:space="preserve">1. </w:t>
      </w:r>
      <w:r w:rsidR="00CE3EB7" w:rsidRPr="008A2EFE">
        <w:rPr>
          <w:rFonts w:ascii="Tahoma" w:hAnsi="Tahoma" w:cs="Tahoma"/>
          <w:b/>
          <w:color w:val="24292E"/>
          <w:sz w:val="18"/>
          <w:highlight w:val="lightGray"/>
          <w:shd w:val="clear" w:color="auto" w:fill="FFFFFF"/>
        </w:rPr>
        <w:t>Weekly Engagement by Country for the Quarter</w:t>
      </w:r>
    </w:p>
    <w:p w:rsidR="00BF2F8C" w:rsidRPr="008A2EFE" w:rsidRDefault="00BF2F8C" w:rsidP="00BF2F8C">
      <w:pPr>
        <w:pStyle w:val="NoSpacing"/>
        <w:rPr>
          <w:rFonts w:ascii="Tahoma" w:hAnsi="Tahoma" w:cs="Tahoma"/>
          <w:sz w:val="18"/>
          <w:highlight w:val="lightGray"/>
          <w:shd w:val="clear" w:color="auto" w:fill="FFFFFF"/>
        </w:rPr>
      </w:pPr>
      <w:r w:rsidRPr="008A2EFE">
        <w:rPr>
          <w:rFonts w:ascii="Tahoma" w:hAnsi="Tahoma" w:cs="Tahoma"/>
          <w:sz w:val="18"/>
          <w:highlight w:val="lightGray"/>
          <w:shd w:val="clear" w:color="auto" w:fill="FFFFFF"/>
        </w:rPr>
        <w:t>Select DATE_</w:t>
      </w:r>
      <w:proofErr w:type="gramStart"/>
      <w:r w:rsidRPr="008A2EFE">
        <w:rPr>
          <w:rFonts w:ascii="Tahoma" w:hAnsi="Tahoma" w:cs="Tahoma"/>
          <w:sz w:val="18"/>
          <w:highlight w:val="lightGray"/>
          <w:shd w:val="clear" w:color="auto" w:fill="FFFFFF"/>
        </w:rPr>
        <w:t>TRUNC(</w:t>
      </w:r>
      <w:proofErr w:type="gramEnd"/>
      <w:r w:rsidRPr="008A2EFE">
        <w:rPr>
          <w:rFonts w:ascii="Tahoma" w:hAnsi="Tahoma" w:cs="Tahoma"/>
          <w:sz w:val="18"/>
          <w:highlight w:val="lightGray"/>
          <w:shd w:val="clear" w:color="auto" w:fill="FFFFFF"/>
        </w:rPr>
        <w:t xml:space="preserve">'week', </w:t>
      </w:r>
      <w:proofErr w:type="spellStart"/>
      <w:r w:rsidRPr="008A2EFE">
        <w:rPr>
          <w:rFonts w:ascii="Tahoma" w:hAnsi="Tahoma" w:cs="Tahoma"/>
          <w:sz w:val="18"/>
          <w:highlight w:val="lightGray"/>
          <w:shd w:val="clear" w:color="auto" w:fill="FFFFFF"/>
        </w:rPr>
        <w:t>occurred_at</w:t>
      </w:r>
      <w:proofErr w:type="spellEnd"/>
      <w:r w:rsidRPr="008A2EFE">
        <w:rPr>
          <w:rFonts w:ascii="Tahoma" w:hAnsi="Tahoma" w:cs="Tahoma"/>
          <w:sz w:val="18"/>
          <w:highlight w:val="lightGray"/>
          <w:shd w:val="clear" w:color="auto" w:fill="FFFFFF"/>
        </w:rPr>
        <w:t>) as Date, location, count(</w:t>
      </w:r>
      <w:proofErr w:type="spellStart"/>
      <w:r w:rsidRPr="008A2EFE">
        <w:rPr>
          <w:rFonts w:ascii="Tahoma" w:hAnsi="Tahoma" w:cs="Tahoma"/>
          <w:sz w:val="18"/>
          <w:highlight w:val="lightGray"/>
          <w:shd w:val="clear" w:color="auto" w:fill="FFFFFF"/>
        </w:rPr>
        <w:t>event_name</w:t>
      </w:r>
      <w:proofErr w:type="spellEnd"/>
      <w:r w:rsidRPr="008A2EFE">
        <w:rPr>
          <w:rFonts w:ascii="Tahoma" w:hAnsi="Tahoma" w:cs="Tahoma"/>
          <w:sz w:val="18"/>
          <w:highlight w:val="lightGray"/>
          <w:shd w:val="clear" w:color="auto" w:fill="FFFFFF"/>
        </w:rPr>
        <w:t xml:space="preserve">) as Engagements from </w:t>
      </w:r>
      <w:proofErr w:type="spellStart"/>
      <w:r w:rsidRPr="008A2EFE">
        <w:rPr>
          <w:rFonts w:ascii="Tahoma" w:hAnsi="Tahoma" w:cs="Tahoma"/>
          <w:sz w:val="18"/>
          <w:highlight w:val="lightGray"/>
          <w:shd w:val="clear" w:color="auto" w:fill="FFFFFF"/>
        </w:rPr>
        <w:t>tutorial.yammer_events</w:t>
      </w:r>
      <w:proofErr w:type="spellEnd"/>
    </w:p>
    <w:p w:rsidR="00BF2F8C" w:rsidRPr="008A2EFE" w:rsidRDefault="00BF2F8C" w:rsidP="00BF2F8C">
      <w:pPr>
        <w:pStyle w:val="NoSpacing"/>
        <w:rPr>
          <w:rFonts w:ascii="Tahoma" w:hAnsi="Tahoma" w:cs="Tahoma"/>
          <w:sz w:val="18"/>
          <w:highlight w:val="lightGray"/>
          <w:shd w:val="clear" w:color="auto" w:fill="FFFFFF"/>
        </w:rPr>
      </w:pPr>
      <w:proofErr w:type="gramStart"/>
      <w:r w:rsidRPr="008A2EFE">
        <w:rPr>
          <w:rFonts w:ascii="Tahoma" w:hAnsi="Tahoma" w:cs="Tahoma"/>
          <w:sz w:val="18"/>
          <w:highlight w:val="lightGray"/>
          <w:shd w:val="clear" w:color="auto" w:fill="FFFFFF"/>
        </w:rPr>
        <w:t>group</w:t>
      </w:r>
      <w:proofErr w:type="gramEnd"/>
      <w:r w:rsidRPr="008A2EFE">
        <w:rPr>
          <w:rFonts w:ascii="Tahoma" w:hAnsi="Tahoma" w:cs="Tahoma"/>
          <w:sz w:val="18"/>
          <w:highlight w:val="lightGray"/>
          <w:shd w:val="clear" w:color="auto" w:fill="FFFFFF"/>
        </w:rPr>
        <w:t xml:space="preserve"> by  location, date</w:t>
      </w:r>
    </w:p>
    <w:p w:rsidR="00562646" w:rsidRPr="008A2EFE" w:rsidRDefault="00562646" w:rsidP="0010625E">
      <w:pPr>
        <w:shd w:val="clear" w:color="auto" w:fill="FFFFFF"/>
        <w:spacing w:before="60" w:after="100" w:afterAutospacing="1" w:line="240" w:lineRule="auto"/>
        <w:rPr>
          <w:rFonts w:ascii="Tahoma" w:hAnsi="Tahoma" w:cs="Tahoma"/>
          <w:color w:val="24292E"/>
          <w:sz w:val="18"/>
          <w:highlight w:val="lightGray"/>
          <w:shd w:val="clear" w:color="auto" w:fill="FFFFFF"/>
        </w:rPr>
      </w:pPr>
    </w:p>
    <w:p w:rsidR="00BF2F8C" w:rsidRPr="008A2EFE" w:rsidRDefault="00CE3EB7" w:rsidP="0010625E">
      <w:pPr>
        <w:shd w:val="clear" w:color="auto" w:fill="FFFFFF"/>
        <w:spacing w:before="60" w:after="100" w:afterAutospacing="1" w:line="240" w:lineRule="auto"/>
        <w:rPr>
          <w:rFonts w:ascii="Tahoma" w:hAnsi="Tahoma" w:cs="Tahoma"/>
          <w:b/>
          <w:color w:val="24292E"/>
          <w:sz w:val="18"/>
          <w:highlight w:val="lightGray"/>
          <w:shd w:val="clear" w:color="auto" w:fill="FFFFFF"/>
        </w:rPr>
      </w:pPr>
      <w:r w:rsidRPr="008A2EFE">
        <w:rPr>
          <w:rFonts w:ascii="Tahoma" w:hAnsi="Tahoma" w:cs="Tahoma"/>
          <w:b/>
          <w:color w:val="24292E"/>
          <w:sz w:val="18"/>
          <w:highlight w:val="lightGray"/>
          <w:shd w:val="clear" w:color="auto" w:fill="FFFFFF"/>
        </w:rPr>
        <w:t xml:space="preserve">Weekly subscription of activated and inactivated subscribers </w:t>
      </w:r>
    </w:p>
    <w:p w:rsidR="00BF2F8C" w:rsidRPr="008A2EFE" w:rsidRDefault="00BF2F8C" w:rsidP="00BF2F8C">
      <w:pPr>
        <w:pStyle w:val="NoSpacing"/>
        <w:rPr>
          <w:rFonts w:ascii="Tahoma" w:hAnsi="Tahoma" w:cs="Tahoma"/>
          <w:sz w:val="18"/>
          <w:highlight w:val="lightGray"/>
        </w:rPr>
      </w:pPr>
      <w:r w:rsidRPr="008A2EFE">
        <w:rPr>
          <w:rFonts w:ascii="Tahoma" w:hAnsi="Tahoma" w:cs="Tahoma"/>
          <w:sz w:val="18"/>
          <w:highlight w:val="lightGray"/>
        </w:rPr>
        <w:t>Select DATE_</w:t>
      </w:r>
      <w:proofErr w:type="gramStart"/>
      <w:r w:rsidRPr="008A2EFE">
        <w:rPr>
          <w:rFonts w:ascii="Tahoma" w:hAnsi="Tahoma" w:cs="Tahoma"/>
          <w:sz w:val="18"/>
          <w:highlight w:val="lightGray"/>
        </w:rPr>
        <w:t>TRUNC(</w:t>
      </w:r>
      <w:proofErr w:type="gramEnd"/>
      <w:r w:rsidRPr="008A2EFE">
        <w:rPr>
          <w:rFonts w:ascii="Tahoma" w:hAnsi="Tahoma" w:cs="Tahoma"/>
          <w:sz w:val="18"/>
          <w:highlight w:val="lightGray"/>
        </w:rPr>
        <w:t xml:space="preserve">'week', </w:t>
      </w:r>
      <w:proofErr w:type="spellStart"/>
      <w:r w:rsidRPr="008A2EFE">
        <w:rPr>
          <w:rFonts w:ascii="Tahoma" w:hAnsi="Tahoma" w:cs="Tahoma"/>
          <w:sz w:val="18"/>
          <w:highlight w:val="lightGray"/>
        </w:rPr>
        <w:t>created_at</w:t>
      </w:r>
      <w:proofErr w:type="spellEnd"/>
      <w:r w:rsidRPr="008A2EFE">
        <w:rPr>
          <w:rFonts w:ascii="Tahoma" w:hAnsi="Tahoma" w:cs="Tahoma"/>
          <w:sz w:val="18"/>
          <w:highlight w:val="lightGray"/>
        </w:rPr>
        <w:t xml:space="preserve">) as Date, state, </w:t>
      </w:r>
    </w:p>
    <w:p w:rsidR="00BF2F8C" w:rsidRPr="008A2EFE" w:rsidRDefault="00BF2F8C" w:rsidP="00BF2F8C">
      <w:pPr>
        <w:pStyle w:val="NoSpacing"/>
        <w:rPr>
          <w:rFonts w:ascii="Tahoma" w:hAnsi="Tahoma" w:cs="Tahoma"/>
          <w:sz w:val="18"/>
          <w:highlight w:val="lightGray"/>
        </w:rPr>
      </w:pPr>
      <w:proofErr w:type="gramStart"/>
      <w:r w:rsidRPr="008A2EFE">
        <w:rPr>
          <w:rFonts w:ascii="Tahoma" w:hAnsi="Tahoma" w:cs="Tahoma"/>
          <w:sz w:val="18"/>
          <w:highlight w:val="lightGray"/>
        </w:rPr>
        <w:t>count(</w:t>
      </w:r>
      <w:proofErr w:type="gramEnd"/>
      <w:r w:rsidRPr="008A2EFE">
        <w:rPr>
          <w:rFonts w:ascii="Tahoma" w:hAnsi="Tahoma" w:cs="Tahoma"/>
          <w:sz w:val="18"/>
          <w:highlight w:val="lightGray"/>
        </w:rPr>
        <w:t xml:space="preserve">case when state = 'active' then 1 END) as </w:t>
      </w:r>
      <w:proofErr w:type="spellStart"/>
      <w:r w:rsidRPr="008A2EFE">
        <w:rPr>
          <w:rFonts w:ascii="Tahoma" w:hAnsi="Tahoma" w:cs="Tahoma"/>
          <w:sz w:val="18"/>
          <w:highlight w:val="lightGray"/>
        </w:rPr>
        <w:t>Active_User</w:t>
      </w:r>
      <w:proofErr w:type="spellEnd"/>
      <w:r w:rsidRPr="008A2EFE">
        <w:rPr>
          <w:rFonts w:ascii="Tahoma" w:hAnsi="Tahoma" w:cs="Tahoma"/>
          <w:sz w:val="18"/>
          <w:highlight w:val="lightGray"/>
        </w:rPr>
        <w:t xml:space="preserve">, </w:t>
      </w:r>
    </w:p>
    <w:p w:rsidR="00BF2F8C" w:rsidRPr="008A2EFE" w:rsidRDefault="00BF2F8C" w:rsidP="00BF2F8C">
      <w:pPr>
        <w:pStyle w:val="NoSpacing"/>
        <w:rPr>
          <w:rFonts w:ascii="Tahoma" w:hAnsi="Tahoma" w:cs="Tahoma"/>
          <w:sz w:val="18"/>
          <w:highlight w:val="lightGray"/>
        </w:rPr>
      </w:pPr>
      <w:proofErr w:type="gramStart"/>
      <w:r w:rsidRPr="008A2EFE">
        <w:rPr>
          <w:rFonts w:ascii="Tahoma" w:hAnsi="Tahoma" w:cs="Tahoma"/>
          <w:sz w:val="18"/>
          <w:highlight w:val="lightGray"/>
        </w:rPr>
        <w:t>count(</w:t>
      </w:r>
      <w:proofErr w:type="gramEnd"/>
      <w:r w:rsidRPr="008A2EFE">
        <w:rPr>
          <w:rFonts w:ascii="Tahoma" w:hAnsi="Tahoma" w:cs="Tahoma"/>
          <w:sz w:val="18"/>
          <w:highlight w:val="lightGray"/>
        </w:rPr>
        <w:t xml:space="preserve">case when state = 'pending' then 1 End) as </w:t>
      </w:r>
      <w:proofErr w:type="spellStart"/>
      <w:r w:rsidRPr="008A2EFE">
        <w:rPr>
          <w:rFonts w:ascii="Tahoma" w:hAnsi="Tahoma" w:cs="Tahoma"/>
          <w:sz w:val="18"/>
          <w:highlight w:val="lightGray"/>
        </w:rPr>
        <w:t>Pending_User</w:t>
      </w:r>
      <w:proofErr w:type="spellEnd"/>
    </w:p>
    <w:p w:rsidR="00BF2F8C" w:rsidRPr="008A2EFE" w:rsidRDefault="00BF2F8C" w:rsidP="00BF2F8C">
      <w:pPr>
        <w:pStyle w:val="NoSpacing"/>
        <w:rPr>
          <w:rFonts w:ascii="Tahoma" w:hAnsi="Tahoma" w:cs="Tahoma"/>
          <w:sz w:val="18"/>
          <w:highlight w:val="lightGray"/>
        </w:rPr>
      </w:pPr>
      <w:proofErr w:type="gramStart"/>
      <w:r w:rsidRPr="008A2EFE">
        <w:rPr>
          <w:rFonts w:ascii="Tahoma" w:hAnsi="Tahoma" w:cs="Tahoma"/>
          <w:sz w:val="18"/>
          <w:highlight w:val="lightGray"/>
        </w:rPr>
        <w:t>from</w:t>
      </w:r>
      <w:proofErr w:type="gramEnd"/>
      <w:r w:rsidRPr="008A2EFE">
        <w:rPr>
          <w:rFonts w:ascii="Tahoma" w:hAnsi="Tahoma" w:cs="Tahoma"/>
          <w:sz w:val="18"/>
          <w:highlight w:val="lightGray"/>
        </w:rPr>
        <w:t xml:space="preserve"> </w:t>
      </w:r>
      <w:proofErr w:type="spellStart"/>
      <w:r w:rsidRPr="008A2EFE">
        <w:rPr>
          <w:rFonts w:ascii="Tahoma" w:hAnsi="Tahoma" w:cs="Tahoma"/>
          <w:sz w:val="18"/>
          <w:highlight w:val="lightGray"/>
        </w:rPr>
        <w:t>tutorial.yammer_users</w:t>
      </w:r>
      <w:proofErr w:type="spellEnd"/>
    </w:p>
    <w:p w:rsidR="00BF2F8C" w:rsidRPr="008A2EFE" w:rsidRDefault="00BF2F8C" w:rsidP="00BF2F8C">
      <w:pPr>
        <w:pStyle w:val="NoSpacing"/>
        <w:rPr>
          <w:rFonts w:ascii="Tahoma" w:hAnsi="Tahoma" w:cs="Tahoma"/>
          <w:sz w:val="18"/>
          <w:highlight w:val="lightGray"/>
        </w:rPr>
      </w:pPr>
      <w:proofErr w:type="gramStart"/>
      <w:r w:rsidRPr="008A2EFE">
        <w:rPr>
          <w:rFonts w:ascii="Tahoma" w:hAnsi="Tahoma" w:cs="Tahoma"/>
          <w:sz w:val="18"/>
          <w:highlight w:val="lightGray"/>
        </w:rPr>
        <w:t>group</w:t>
      </w:r>
      <w:proofErr w:type="gramEnd"/>
      <w:r w:rsidRPr="008A2EFE">
        <w:rPr>
          <w:rFonts w:ascii="Tahoma" w:hAnsi="Tahoma" w:cs="Tahoma"/>
          <w:sz w:val="18"/>
          <w:highlight w:val="lightGray"/>
        </w:rPr>
        <w:t xml:space="preserve"> by state, date</w:t>
      </w:r>
    </w:p>
    <w:p w:rsidR="00BF2F8C" w:rsidRPr="008A2EFE" w:rsidRDefault="00BF2F8C" w:rsidP="00BF2F8C">
      <w:pPr>
        <w:pStyle w:val="NoSpacing"/>
        <w:rPr>
          <w:rFonts w:ascii="Tahoma" w:hAnsi="Tahoma" w:cs="Tahoma"/>
          <w:sz w:val="18"/>
          <w:highlight w:val="lightGray"/>
        </w:rPr>
      </w:pPr>
      <w:proofErr w:type="gramStart"/>
      <w:r w:rsidRPr="008A2EFE">
        <w:rPr>
          <w:rFonts w:ascii="Tahoma" w:hAnsi="Tahoma" w:cs="Tahoma"/>
          <w:sz w:val="18"/>
          <w:highlight w:val="lightGray"/>
        </w:rPr>
        <w:t>order</w:t>
      </w:r>
      <w:proofErr w:type="gramEnd"/>
      <w:r w:rsidRPr="008A2EFE">
        <w:rPr>
          <w:rFonts w:ascii="Tahoma" w:hAnsi="Tahoma" w:cs="Tahoma"/>
          <w:sz w:val="18"/>
          <w:highlight w:val="lightGray"/>
        </w:rPr>
        <w:t xml:space="preserve"> by Date </w:t>
      </w:r>
      <w:proofErr w:type="spellStart"/>
      <w:r w:rsidRPr="008A2EFE">
        <w:rPr>
          <w:rFonts w:ascii="Tahoma" w:hAnsi="Tahoma" w:cs="Tahoma"/>
          <w:sz w:val="18"/>
          <w:highlight w:val="lightGray"/>
        </w:rPr>
        <w:t>desc</w:t>
      </w:r>
      <w:proofErr w:type="spellEnd"/>
    </w:p>
    <w:p w:rsidR="00BF2F8C" w:rsidRPr="008A2EFE" w:rsidRDefault="00BF2F8C" w:rsidP="00CE3EB7">
      <w:pPr>
        <w:rPr>
          <w:highlight w:val="lightGray"/>
        </w:rPr>
      </w:pPr>
    </w:p>
    <w:p w:rsidR="004079BA" w:rsidRPr="008A2EFE" w:rsidRDefault="00CE3EB7" w:rsidP="00CE3EB7">
      <w:pPr>
        <w:rPr>
          <w:b/>
          <w:highlight w:val="lightGray"/>
          <w:u w:val="single"/>
        </w:rPr>
      </w:pPr>
      <w:r w:rsidRPr="008A2EFE">
        <w:rPr>
          <w:b/>
          <w:highlight w:val="lightGray"/>
          <w:u w:val="single"/>
        </w:rPr>
        <w:t>Weekly interaction by engagement type</w:t>
      </w:r>
    </w:p>
    <w:p w:rsidR="00CE3EB7" w:rsidRPr="008A2EFE" w:rsidRDefault="00CE3EB7" w:rsidP="004079BA">
      <w:pPr>
        <w:pStyle w:val="NoSpacing"/>
        <w:rPr>
          <w:rFonts w:ascii="Tahoma" w:hAnsi="Tahoma" w:cs="Tahoma"/>
          <w:sz w:val="18"/>
          <w:highlight w:val="lightGray"/>
        </w:rPr>
      </w:pPr>
    </w:p>
    <w:p w:rsidR="004079BA" w:rsidRPr="008A2EFE" w:rsidRDefault="004079BA" w:rsidP="004079BA">
      <w:pPr>
        <w:pStyle w:val="NoSpacing"/>
        <w:rPr>
          <w:rFonts w:ascii="Tahoma" w:hAnsi="Tahoma" w:cs="Tahoma"/>
          <w:sz w:val="18"/>
          <w:highlight w:val="lightGray"/>
        </w:rPr>
      </w:pPr>
      <w:r w:rsidRPr="008A2EFE">
        <w:rPr>
          <w:rFonts w:ascii="Tahoma" w:hAnsi="Tahoma" w:cs="Tahoma"/>
          <w:sz w:val="18"/>
          <w:highlight w:val="lightGray"/>
        </w:rPr>
        <w:t>Select DATE_</w:t>
      </w:r>
      <w:proofErr w:type="gramStart"/>
      <w:r w:rsidRPr="008A2EFE">
        <w:rPr>
          <w:rFonts w:ascii="Tahoma" w:hAnsi="Tahoma" w:cs="Tahoma"/>
          <w:sz w:val="18"/>
          <w:highlight w:val="lightGray"/>
        </w:rPr>
        <w:t>TRUNC(</w:t>
      </w:r>
      <w:proofErr w:type="gramEnd"/>
      <w:r w:rsidRPr="008A2EFE">
        <w:rPr>
          <w:rFonts w:ascii="Tahoma" w:hAnsi="Tahoma" w:cs="Tahoma"/>
          <w:sz w:val="18"/>
          <w:highlight w:val="lightGray"/>
        </w:rPr>
        <w:t xml:space="preserve">'week', </w:t>
      </w:r>
      <w:proofErr w:type="spellStart"/>
      <w:r w:rsidRPr="008A2EFE">
        <w:rPr>
          <w:rFonts w:ascii="Tahoma" w:hAnsi="Tahoma" w:cs="Tahoma"/>
          <w:sz w:val="18"/>
          <w:highlight w:val="lightGray"/>
        </w:rPr>
        <w:t>occurred_at</w:t>
      </w:r>
      <w:proofErr w:type="spellEnd"/>
      <w:r w:rsidRPr="008A2EFE">
        <w:rPr>
          <w:rFonts w:ascii="Tahoma" w:hAnsi="Tahoma" w:cs="Tahoma"/>
          <w:sz w:val="18"/>
          <w:highlight w:val="lightGray"/>
        </w:rPr>
        <w:t xml:space="preserve">) as period, </w:t>
      </w:r>
      <w:proofErr w:type="spellStart"/>
      <w:r w:rsidRPr="008A2EFE">
        <w:rPr>
          <w:rFonts w:ascii="Tahoma" w:hAnsi="Tahoma" w:cs="Tahoma"/>
          <w:sz w:val="18"/>
          <w:highlight w:val="lightGray"/>
        </w:rPr>
        <w:t>event_name</w:t>
      </w:r>
      <w:proofErr w:type="spellEnd"/>
      <w:r w:rsidRPr="008A2EFE">
        <w:rPr>
          <w:rFonts w:ascii="Tahoma" w:hAnsi="Tahoma" w:cs="Tahoma"/>
          <w:sz w:val="18"/>
          <w:highlight w:val="lightGray"/>
        </w:rPr>
        <w:t>, count(</w:t>
      </w:r>
      <w:proofErr w:type="spellStart"/>
      <w:r w:rsidRPr="008A2EFE">
        <w:rPr>
          <w:rFonts w:ascii="Tahoma" w:hAnsi="Tahoma" w:cs="Tahoma"/>
          <w:sz w:val="18"/>
          <w:highlight w:val="lightGray"/>
        </w:rPr>
        <w:t>event_name</w:t>
      </w:r>
      <w:proofErr w:type="spellEnd"/>
      <w:r w:rsidRPr="008A2EFE">
        <w:rPr>
          <w:rFonts w:ascii="Tahoma" w:hAnsi="Tahoma" w:cs="Tahoma"/>
          <w:sz w:val="18"/>
          <w:highlight w:val="lightGray"/>
        </w:rPr>
        <w:t xml:space="preserve">) as </w:t>
      </w:r>
      <w:proofErr w:type="spellStart"/>
      <w:r w:rsidRPr="008A2EFE">
        <w:rPr>
          <w:rFonts w:ascii="Tahoma" w:hAnsi="Tahoma" w:cs="Tahoma"/>
          <w:sz w:val="18"/>
          <w:highlight w:val="lightGray"/>
        </w:rPr>
        <w:t>No_of_Occurence</w:t>
      </w:r>
      <w:proofErr w:type="spellEnd"/>
      <w:r w:rsidRPr="008A2EFE">
        <w:rPr>
          <w:rFonts w:ascii="Tahoma" w:hAnsi="Tahoma" w:cs="Tahoma"/>
          <w:sz w:val="18"/>
          <w:highlight w:val="lightGray"/>
        </w:rPr>
        <w:t xml:space="preserve"> from </w:t>
      </w:r>
      <w:proofErr w:type="spellStart"/>
      <w:r w:rsidRPr="008A2EFE">
        <w:rPr>
          <w:rFonts w:ascii="Tahoma" w:hAnsi="Tahoma" w:cs="Tahoma"/>
          <w:sz w:val="18"/>
          <w:highlight w:val="lightGray"/>
        </w:rPr>
        <w:t>tutorial.yammer_events</w:t>
      </w:r>
      <w:proofErr w:type="spellEnd"/>
    </w:p>
    <w:p w:rsidR="004079BA" w:rsidRPr="008A2EFE" w:rsidRDefault="004079BA" w:rsidP="004079BA">
      <w:pPr>
        <w:pStyle w:val="NoSpacing"/>
        <w:rPr>
          <w:rFonts w:ascii="Tahoma" w:hAnsi="Tahoma" w:cs="Tahoma"/>
          <w:sz w:val="18"/>
          <w:highlight w:val="lightGray"/>
        </w:rPr>
      </w:pPr>
      <w:proofErr w:type="gramStart"/>
      <w:r w:rsidRPr="008A2EFE">
        <w:rPr>
          <w:rFonts w:ascii="Tahoma" w:hAnsi="Tahoma" w:cs="Tahoma"/>
          <w:sz w:val="18"/>
          <w:highlight w:val="lightGray"/>
        </w:rPr>
        <w:t>where</w:t>
      </w:r>
      <w:proofErr w:type="gramEnd"/>
      <w:r w:rsidRPr="008A2EFE">
        <w:rPr>
          <w:rFonts w:ascii="Tahoma" w:hAnsi="Tahoma" w:cs="Tahoma"/>
          <w:sz w:val="18"/>
          <w:highlight w:val="lightGray"/>
        </w:rPr>
        <w:t xml:space="preserve"> </w:t>
      </w:r>
      <w:proofErr w:type="spellStart"/>
      <w:r w:rsidRPr="008A2EFE">
        <w:rPr>
          <w:rFonts w:ascii="Tahoma" w:hAnsi="Tahoma" w:cs="Tahoma"/>
          <w:sz w:val="18"/>
          <w:highlight w:val="lightGray"/>
        </w:rPr>
        <w:t>event_name</w:t>
      </w:r>
      <w:proofErr w:type="spellEnd"/>
      <w:r w:rsidRPr="008A2EFE">
        <w:rPr>
          <w:rFonts w:ascii="Tahoma" w:hAnsi="Tahoma" w:cs="Tahoma"/>
          <w:sz w:val="18"/>
          <w:highlight w:val="lightGray"/>
        </w:rPr>
        <w:t xml:space="preserve"> not in ('search_click_result_1', 'search_click_result_2', 'search_click_result_3', 'search_click_result_4',</w:t>
      </w:r>
    </w:p>
    <w:p w:rsidR="004079BA" w:rsidRPr="008A2EFE" w:rsidRDefault="004079BA" w:rsidP="004079BA">
      <w:pPr>
        <w:pStyle w:val="NoSpacing"/>
        <w:rPr>
          <w:rFonts w:ascii="Tahoma" w:hAnsi="Tahoma" w:cs="Tahoma"/>
          <w:sz w:val="18"/>
          <w:highlight w:val="lightGray"/>
        </w:rPr>
      </w:pPr>
      <w:r w:rsidRPr="008A2EFE">
        <w:rPr>
          <w:rFonts w:ascii="Tahoma" w:hAnsi="Tahoma" w:cs="Tahoma"/>
          <w:sz w:val="18"/>
          <w:highlight w:val="lightGray"/>
        </w:rPr>
        <w:t>'search_click_result_5', 'search_click_result_6', 'search_click_result_8', 'search_click_result_9', 'search_click_result_10')</w:t>
      </w:r>
    </w:p>
    <w:p w:rsidR="004079BA" w:rsidRPr="008A2EFE" w:rsidRDefault="004079BA" w:rsidP="004079BA">
      <w:pPr>
        <w:pStyle w:val="NoSpacing"/>
        <w:rPr>
          <w:rFonts w:ascii="Tahoma" w:hAnsi="Tahoma" w:cs="Tahoma"/>
          <w:sz w:val="18"/>
          <w:highlight w:val="lightGray"/>
        </w:rPr>
      </w:pPr>
      <w:proofErr w:type="gramStart"/>
      <w:r w:rsidRPr="008A2EFE">
        <w:rPr>
          <w:rFonts w:ascii="Tahoma" w:hAnsi="Tahoma" w:cs="Tahoma"/>
          <w:sz w:val="18"/>
          <w:highlight w:val="lightGray"/>
        </w:rPr>
        <w:t>group</w:t>
      </w:r>
      <w:proofErr w:type="gramEnd"/>
      <w:r w:rsidRPr="008A2EFE">
        <w:rPr>
          <w:rFonts w:ascii="Tahoma" w:hAnsi="Tahoma" w:cs="Tahoma"/>
          <w:sz w:val="18"/>
          <w:highlight w:val="lightGray"/>
        </w:rPr>
        <w:t xml:space="preserve"> by period, </w:t>
      </w:r>
      <w:proofErr w:type="spellStart"/>
      <w:r w:rsidRPr="008A2EFE">
        <w:rPr>
          <w:rFonts w:ascii="Tahoma" w:hAnsi="Tahoma" w:cs="Tahoma"/>
          <w:sz w:val="18"/>
          <w:highlight w:val="lightGray"/>
        </w:rPr>
        <w:t>event_name</w:t>
      </w:r>
      <w:proofErr w:type="spellEnd"/>
    </w:p>
    <w:p w:rsidR="004079BA" w:rsidRPr="008A2EFE" w:rsidRDefault="004079BA" w:rsidP="004079BA">
      <w:pPr>
        <w:pStyle w:val="NoSpacing"/>
        <w:rPr>
          <w:rFonts w:ascii="Tahoma" w:hAnsi="Tahoma" w:cs="Tahoma"/>
          <w:sz w:val="18"/>
          <w:highlight w:val="lightGray"/>
        </w:rPr>
      </w:pPr>
      <w:proofErr w:type="gramStart"/>
      <w:r w:rsidRPr="008A2EFE">
        <w:rPr>
          <w:rFonts w:ascii="Tahoma" w:hAnsi="Tahoma" w:cs="Tahoma"/>
          <w:sz w:val="18"/>
          <w:highlight w:val="lightGray"/>
        </w:rPr>
        <w:t>order</w:t>
      </w:r>
      <w:proofErr w:type="gramEnd"/>
      <w:r w:rsidRPr="008A2EFE">
        <w:rPr>
          <w:rFonts w:ascii="Tahoma" w:hAnsi="Tahoma" w:cs="Tahoma"/>
          <w:sz w:val="18"/>
          <w:highlight w:val="lightGray"/>
        </w:rPr>
        <w:t xml:space="preserve"> by period </w:t>
      </w:r>
      <w:proofErr w:type="spellStart"/>
      <w:r w:rsidRPr="008A2EFE">
        <w:rPr>
          <w:rFonts w:ascii="Tahoma" w:hAnsi="Tahoma" w:cs="Tahoma"/>
          <w:sz w:val="18"/>
          <w:highlight w:val="lightGray"/>
        </w:rPr>
        <w:t>desc</w:t>
      </w:r>
      <w:proofErr w:type="spellEnd"/>
    </w:p>
    <w:p w:rsidR="004079BA" w:rsidRPr="008A2EFE" w:rsidRDefault="004079BA" w:rsidP="0010625E">
      <w:pPr>
        <w:shd w:val="clear" w:color="auto" w:fill="FFFFFF"/>
        <w:spacing w:before="60" w:after="100" w:afterAutospacing="1" w:line="240" w:lineRule="auto"/>
        <w:rPr>
          <w:rFonts w:ascii="Tahoma" w:eastAsia="Times New Roman" w:hAnsi="Tahoma" w:cs="Tahoma"/>
          <w:color w:val="24292E"/>
          <w:sz w:val="20"/>
          <w:szCs w:val="24"/>
          <w:highlight w:val="lightGray"/>
        </w:rPr>
      </w:pPr>
    </w:p>
    <w:p w:rsidR="00CE3EB7" w:rsidRPr="008A2EFE" w:rsidRDefault="00CE3EB7" w:rsidP="00CE3EB7">
      <w:pPr>
        <w:shd w:val="clear" w:color="auto" w:fill="FFFFFF"/>
        <w:spacing w:before="60" w:after="100" w:afterAutospacing="1" w:line="240" w:lineRule="auto"/>
        <w:rPr>
          <w:rFonts w:ascii="Tahoma" w:hAnsi="Tahoma" w:cs="Tahoma"/>
          <w:b/>
          <w:color w:val="24292E"/>
          <w:sz w:val="18"/>
          <w:highlight w:val="lightGray"/>
          <w:u w:val="single"/>
          <w:shd w:val="clear" w:color="auto" w:fill="FFFFFF"/>
        </w:rPr>
      </w:pPr>
      <w:r w:rsidRPr="008A2EFE">
        <w:rPr>
          <w:rFonts w:ascii="Tahoma" w:hAnsi="Tahoma" w:cs="Tahoma"/>
          <w:b/>
          <w:color w:val="24292E"/>
          <w:sz w:val="18"/>
          <w:highlight w:val="lightGray"/>
          <w:u w:val="single"/>
          <w:shd w:val="clear" w:color="auto" w:fill="FFFFFF"/>
        </w:rPr>
        <w:t xml:space="preserve">Weekly subscription of activated and inactivated subscribers </w:t>
      </w:r>
    </w:p>
    <w:p w:rsidR="00BF2F8C" w:rsidRPr="008A2EFE" w:rsidRDefault="00BF2F8C" w:rsidP="00BF2F8C">
      <w:pPr>
        <w:pStyle w:val="NoSpacing"/>
        <w:rPr>
          <w:rFonts w:ascii="Tahoma" w:hAnsi="Tahoma" w:cs="Tahoma"/>
          <w:sz w:val="18"/>
          <w:highlight w:val="lightGray"/>
        </w:rPr>
      </w:pPr>
      <w:r w:rsidRPr="008A2EFE">
        <w:rPr>
          <w:rFonts w:ascii="Tahoma" w:hAnsi="Tahoma" w:cs="Tahoma"/>
          <w:sz w:val="18"/>
          <w:highlight w:val="lightGray"/>
        </w:rPr>
        <w:t>Select DATE_</w:t>
      </w:r>
      <w:proofErr w:type="gramStart"/>
      <w:r w:rsidRPr="008A2EFE">
        <w:rPr>
          <w:rFonts w:ascii="Tahoma" w:hAnsi="Tahoma" w:cs="Tahoma"/>
          <w:sz w:val="18"/>
          <w:highlight w:val="lightGray"/>
        </w:rPr>
        <w:t>TRUNC(</w:t>
      </w:r>
      <w:proofErr w:type="gramEnd"/>
      <w:r w:rsidRPr="008A2EFE">
        <w:rPr>
          <w:rFonts w:ascii="Tahoma" w:hAnsi="Tahoma" w:cs="Tahoma"/>
          <w:sz w:val="18"/>
          <w:highlight w:val="lightGray"/>
        </w:rPr>
        <w:t xml:space="preserve">'day', </w:t>
      </w:r>
      <w:proofErr w:type="spellStart"/>
      <w:r w:rsidRPr="008A2EFE">
        <w:rPr>
          <w:rFonts w:ascii="Tahoma" w:hAnsi="Tahoma" w:cs="Tahoma"/>
          <w:sz w:val="18"/>
          <w:highlight w:val="lightGray"/>
        </w:rPr>
        <w:t>created_at</w:t>
      </w:r>
      <w:proofErr w:type="spellEnd"/>
      <w:r w:rsidRPr="008A2EFE">
        <w:rPr>
          <w:rFonts w:ascii="Tahoma" w:hAnsi="Tahoma" w:cs="Tahoma"/>
          <w:sz w:val="18"/>
          <w:highlight w:val="lightGray"/>
        </w:rPr>
        <w:t>) as day, count(</w:t>
      </w:r>
      <w:proofErr w:type="spellStart"/>
      <w:r w:rsidRPr="008A2EFE">
        <w:rPr>
          <w:rFonts w:ascii="Tahoma" w:hAnsi="Tahoma" w:cs="Tahoma"/>
          <w:sz w:val="18"/>
          <w:highlight w:val="lightGray"/>
        </w:rPr>
        <w:t>company_id</w:t>
      </w:r>
      <w:proofErr w:type="spellEnd"/>
      <w:r w:rsidRPr="008A2EFE">
        <w:rPr>
          <w:rFonts w:ascii="Tahoma" w:hAnsi="Tahoma" w:cs="Tahoma"/>
          <w:sz w:val="18"/>
          <w:highlight w:val="lightGray"/>
        </w:rPr>
        <w:t xml:space="preserve">) as </w:t>
      </w:r>
      <w:proofErr w:type="spellStart"/>
      <w:r w:rsidRPr="008A2EFE">
        <w:rPr>
          <w:rFonts w:ascii="Tahoma" w:hAnsi="Tahoma" w:cs="Tahoma"/>
          <w:sz w:val="18"/>
          <w:highlight w:val="lightGray"/>
        </w:rPr>
        <w:t>All_users</w:t>
      </w:r>
      <w:proofErr w:type="spellEnd"/>
      <w:r w:rsidRPr="008A2EFE">
        <w:rPr>
          <w:rFonts w:ascii="Tahoma" w:hAnsi="Tahoma" w:cs="Tahoma"/>
          <w:sz w:val="18"/>
          <w:highlight w:val="lightGray"/>
        </w:rPr>
        <w:t>, count(</w:t>
      </w:r>
      <w:proofErr w:type="spellStart"/>
      <w:r w:rsidRPr="008A2EFE">
        <w:rPr>
          <w:rFonts w:ascii="Tahoma" w:hAnsi="Tahoma" w:cs="Tahoma"/>
          <w:sz w:val="18"/>
          <w:highlight w:val="lightGray"/>
        </w:rPr>
        <w:t>activated_at</w:t>
      </w:r>
      <w:proofErr w:type="spellEnd"/>
      <w:r w:rsidRPr="008A2EFE">
        <w:rPr>
          <w:rFonts w:ascii="Tahoma" w:hAnsi="Tahoma" w:cs="Tahoma"/>
          <w:sz w:val="18"/>
          <w:highlight w:val="lightGray"/>
        </w:rPr>
        <w:t xml:space="preserve">) as </w:t>
      </w:r>
      <w:proofErr w:type="spellStart"/>
      <w:r w:rsidRPr="008A2EFE">
        <w:rPr>
          <w:rFonts w:ascii="Tahoma" w:hAnsi="Tahoma" w:cs="Tahoma"/>
          <w:sz w:val="18"/>
          <w:highlight w:val="lightGray"/>
        </w:rPr>
        <w:t>Activated_Users</w:t>
      </w:r>
      <w:proofErr w:type="spellEnd"/>
      <w:r w:rsidRPr="008A2EFE">
        <w:rPr>
          <w:rFonts w:ascii="Tahoma" w:hAnsi="Tahoma" w:cs="Tahoma"/>
          <w:sz w:val="18"/>
          <w:highlight w:val="lightGray"/>
        </w:rPr>
        <w:t xml:space="preserve"> from </w:t>
      </w:r>
      <w:proofErr w:type="spellStart"/>
      <w:r w:rsidRPr="008A2EFE">
        <w:rPr>
          <w:rFonts w:ascii="Tahoma" w:hAnsi="Tahoma" w:cs="Tahoma"/>
          <w:sz w:val="18"/>
          <w:highlight w:val="lightGray"/>
        </w:rPr>
        <w:t>tutorial.yammer_users</w:t>
      </w:r>
      <w:proofErr w:type="spellEnd"/>
    </w:p>
    <w:p w:rsidR="00BF2F8C" w:rsidRPr="008A2EFE" w:rsidRDefault="00BF2F8C" w:rsidP="00BF2F8C">
      <w:pPr>
        <w:pStyle w:val="NoSpacing"/>
        <w:rPr>
          <w:rFonts w:ascii="Tahoma" w:hAnsi="Tahoma" w:cs="Tahoma"/>
          <w:sz w:val="18"/>
          <w:highlight w:val="lightGray"/>
        </w:rPr>
      </w:pPr>
      <w:proofErr w:type="gramStart"/>
      <w:r w:rsidRPr="008A2EFE">
        <w:rPr>
          <w:rFonts w:ascii="Tahoma" w:hAnsi="Tahoma" w:cs="Tahoma"/>
          <w:sz w:val="18"/>
          <w:highlight w:val="lightGray"/>
        </w:rPr>
        <w:t>group</w:t>
      </w:r>
      <w:proofErr w:type="gramEnd"/>
      <w:r w:rsidRPr="008A2EFE">
        <w:rPr>
          <w:rFonts w:ascii="Tahoma" w:hAnsi="Tahoma" w:cs="Tahoma"/>
          <w:sz w:val="18"/>
          <w:highlight w:val="lightGray"/>
        </w:rPr>
        <w:t xml:space="preserve"> by day </w:t>
      </w:r>
    </w:p>
    <w:p w:rsidR="00BF2F8C" w:rsidRPr="008A2EFE" w:rsidRDefault="00BF2F8C" w:rsidP="00BF2F8C">
      <w:pPr>
        <w:pStyle w:val="NoSpacing"/>
        <w:rPr>
          <w:rFonts w:ascii="Tahoma" w:hAnsi="Tahoma" w:cs="Tahoma"/>
          <w:sz w:val="18"/>
          <w:highlight w:val="lightGray"/>
        </w:rPr>
      </w:pPr>
      <w:proofErr w:type="gramStart"/>
      <w:r w:rsidRPr="008A2EFE">
        <w:rPr>
          <w:rFonts w:ascii="Tahoma" w:hAnsi="Tahoma" w:cs="Tahoma"/>
          <w:sz w:val="18"/>
          <w:highlight w:val="lightGray"/>
        </w:rPr>
        <w:t>order</w:t>
      </w:r>
      <w:proofErr w:type="gramEnd"/>
      <w:r w:rsidRPr="008A2EFE">
        <w:rPr>
          <w:rFonts w:ascii="Tahoma" w:hAnsi="Tahoma" w:cs="Tahoma"/>
          <w:sz w:val="18"/>
          <w:highlight w:val="lightGray"/>
        </w:rPr>
        <w:t xml:space="preserve"> by day </w:t>
      </w:r>
      <w:proofErr w:type="spellStart"/>
      <w:r w:rsidRPr="008A2EFE">
        <w:rPr>
          <w:rFonts w:ascii="Tahoma" w:hAnsi="Tahoma" w:cs="Tahoma"/>
          <w:sz w:val="18"/>
          <w:highlight w:val="lightGray"/>
        </w:rPr>
        <w:t>desc</w:t>
      </w:r>
      <w:proofErr w:type="spellEnd"/>
    </w:p>
    <w:p w:rsidR="00BF2F8C" w:rsidRPr="008A2EFE" w:rsidRDefault="00BF2F8C" w:rsidP="00BF2F8C">
      <w:pPr>
        <w:pStyle w:val="NoSpacing"/>
        <w:rPr>
          <w:rFonts w:ascii="Tahoma" w:hAnsi="Tahoma" w:cs="Tahoma"/>
          <w:sz w:val="18"/>
          <w:highlight w:val="lightGray"/>
        </w:rPr>
      </w:pPr>
    </w:p>
    <w:p w:rsidR="00BF2F8C" w:rsidRPr="008A2EFE" w:rsidRDefault="00CE3EB7" w:rsidP="00BF2F8C">
      <w:pPr>
        <w:pStyle w:val="NoSpacing"/>
        <w:rPr>
          <w:rFonts w:ascii="Tahoma" w:hAnsi="Tahoma" w:cs="Tahoma"/>
          <w:b/>
          <w:sz w:val="18"/>
          <w:highlight w:val="lightGray"/>
          <w:u w:val="single"/>
        </w:rPr>
      </w:pPr>
      <w:r w:rsidRPr="008A2EFE">
        <w:rPr>
          <w:rFonts w:ascii="Tahoma" w:hAnsi="Tahoma" w:cs="Tahoma"/>
          <w:b/>
          <w:sz w:val="18"/>
          <w:highlight w:val="lightGray"/>
          <w:u w:val="single"/>
        </w:rPr>
        <w:t>Weekly interaction with email</w:t>
      </w:r>
    </w:p>
    <w:p w:rsidR="00E7455E" w:rsidRPr="008A2EFE" w:rsidRDefault="00E7455E" w:rsidP="00E7455E">
      <w:pPr>
        <w:pStyle w:val="NoSpacing"/>
        <w:rPr>
          <w:highlight w:val="lightGray"/>
        </w:rPr>
      </w:pPr>
    </w:p>
    <w:p w:rsidR="00996CDB" w:rsidRPr="008A2EFE" w:rsidRDefault="00E7455E" w:rsidP="00E7455E">
      <w:pPr>
        <w:pStyle w:val="NoSpacing"/>
        <w:rPr>
          <w:rFonts w:ascii="Tahoma" w:hAnsi="Tahoma" w:cs="Tahoma"/>
          <w:sz w:val="18"/>
          <w:highlight w:val="lightGray"/>
        </w:rPr>
      </w:pPr>
      <w:r w:rsidRPr="008A2EFE">
        <w:rPr>
          <w:rFonts w:ascii="Tahoma" w:hAnsi="Tahoma" w:cs="Tahoma"/>
          <w:sz w:val="18"/>
          <w:highlight w:val="lightGray"/>
        </w:rPr>
        <w:t>SELECT cast(</w:t>
      </w:r>
      <w:proofErr w:type="spellStart"/>
      <w:r w:rsidRPr="008A2EFE">
        <w:rPr>
          <w:rFonts w:ascii="Tahoma" w:hAnsi="Tahoma" w:cs="Tahoma"/>
          <w:sz w:val="18"/>
          <w:highlight w:val="lightGray"/>
        </w:rPr>
        <w:t>date_trunc</w:t>
      </w:r>
      <w:proofErr w:type="spellEnd"/>
      <w:r w:rsidRPr="008A2EFE">
        <w:rPr>
          <w:rFonts w:ascii="Tahoma" w:hAnsi="Tahoma" w:cs="Tahoma"/>
          <w:sz w:val="18"/>
          <w:highlight w:val="lightGray"/>
        </w:rPr>
        <w:t xml:space="preserve">('week', </w:t>
      </w:r>
      <w:proofErr w:type="spellStart"/>
      <w:r w:rsidRPr="008A2EFE">
        <w:rPr>
          <w:rFonts w:ascii="Tahoma" w:hAnsi="Tahoma" w:cs="Tahoma"/>
          <w:sz w:val="18"/>
          <w:highlight w:val="lightGray"/>
        </w:rPr>
        <w:t>occurred_at</w:t>
      </w:r>
      <w:proofErr w:type="spellEnd"/>
      <w:r w:rsidRPr="008A2EFE">
        <w:rPr>
          <w:rFonts w:ascii="Tahoma" w:hAnsi="Tahoma" w:cs="Tahoma"/>
          <w:sz w:val="18"/>
          <w:highlight w:val="lightGray"/>
        </w:rPr>
        <w:t>) as date) AS week,</w:t>
      </w:r>
      <w:r w:rsidRPr="008A2EFE">
        <w:rPr>
          <w:rFonts w:ascii="Tahoma" w:hAnsi="Tahoma" w:cs="Tahoma"/>
          <w:sz w:val="18"/>
          <w:highlight w:val="lightGray"/>
        </w:rPr>
        <w:br/>
        <w:t xml:space="preserve">Count(CASE WHEN </w:t>
      </w:r>
      <w:proofErr w:type="spellStart"/>
      <w:r w:rsidRPr="008A2EFE">
        <w:rPr>
          <w:rFonts w:ascii="Tahoma" w:hAnsi="Tahoma" w:cs="Tahoma"/>
          <w:sz w:val="18"/>
          <w:highlight w:val="lightGray"/>
        </w:rPr>
        <w:t>event_name</w:t>
      </w:r>
      <w:proofErr w:type="spellEnd"/>
      <w:r w:rsidRPr="008A2EFE">
        <w:rPr>
          <w:rFonts w:ascii="Tahoma" w:hAnsi="Tahoma" w:cs="Tahoma"/>
          <w:sz w:val="18"/>
          <w:highlight w:val="lightGray"/>
        </w:rPr>
        <w:t xml:space="preserve"> IN ('login') THEN </w:t>
      </w:r>
      <w:proofErr w:type="spellStart"/>
      <w:r w:rsidRPr="008A2EFE">
        <w:rPr>
          <w:rFonts w:ascii="Tahoma" w:hAnsi="Tahoma" w:cs="Tahoma"/>
          <w:sz w:val="18"/>
          <w:highlight w:val="lightGray"/>
        </w:rPr>
        <w:t>user_id</w:t>
      </w:r>
      <w:proofErr w:type="spellEnd"/>
      <w:r w:rsidRPr="008A2EFE">
        <w:rPr>
          <w:rFonts w:ascii="Tahoma" w:hAnsi="Tahoma" w:cs="Tahoma"/>
          <w:sz w:val="18"/>
          <w:highlight w:val="lightGray"/>
        </w:rPr>
        <w:t xml:space="preserve"> ELSE NULL END) AS login, </w:t>
      </w:r>
      <w:r w:rsidRPr="008A2EFE">
        <w:rPr>
          <w:rFonts w:ascii="Tahoma" w:hAnsi="Tahoma" w:cs="Tahoma"/>
          <w:sz w:val="18"/>
          <w:highlight w:val="lightGray"/>
        </w:rPr>
        <w:br/>
        <w:t xml:space="preserve">Count (CASE WHEN </w:t>
      </w:r>
      <w:proofErr w:type="spellStart"/>
      <w:r w:rsidRPr="008A2EFE">
        <w:rPr>
          <w:rFonts w:ascii="Tahoma" w:hAnsi="Tahoma" w:cs="Tahoma"/>
          <w:sz w:val="18"/>
          <w:highlight w:val="lightGray"/>
        </w:rPr>
        <w:t>event_name</w:t>
      </w:r>
      <w:proofErr w:type="spellEnd"/>
      <w:r w:rsidRPr="008A2EFE">
        <w:rPr>
          <w:rFonts w:ascii="Tahoma" w:hAnsi="Tahoma" w:cs="Tahoma"/>
          <w:sz w:val="18"/>
          <w:highlight w:val="lightGray"/>
        </w:rPr>
        <w:t xml:space="preserve"> IN ('</w:t>
      </w:r>
      <w:proofErr w:type="spellStart"/>
      <w:r w:rsidRPr="008A2EFE">
        <w:rPr>
          <w:rFonts w:ascii="Tahoma" w:hAnsi="Tahoma" w:cs="Tahoma"/>
          <w:sz w:val="18"/>
          <w:highlight w:val="lightGray"/>
        </w:rPr>
        <w:t>home_page</w:t>
      </w:r>
      <w:proofErr w:type="spellEnd"/>
      <w:r w:rsidRPr="008A2EFE">
        <w:rPr>
          <w:rFonts w:ascii="Tahoma" w:hAnsi="Tahoma" w:cs="Tahoma"/>
          <w:sz w:val="18"/>
          <w:highlight w:val="lightGray"/>
        </w:rPr>
        <w:t xml:space="preserve">') THEN </w:t>
      </w:r>
      <w:proofErr w:type="spellStart"/>
      <w:r w:rsidRPr="008A2EFE">
        <w:rPr>
          <w:rFonts w:ascii="Tahoma" w:hAnsi="Tahoma" w:cs="Tahoma"/>
          <w:sz w:val="18"/>
          <w:highlight w:val="lightGray"/>
        </w:rPr>
        <w:t>user_id</w:t>
      </w:r>
      <w:proofErr w:type="spellEnd"/>
      <w:r w:rsidRPr="008A2EFE">
        <w:rPr>
          <w:rFonts w:ascii="Tahoma" w:hAnsi="Tahoma" w:cs="Tahoma"/>
          <w:sz w:val="18"/>
          <w:highlight w:val="lightGray"/>
        </w:rPr>
        <w:t xml:space="preserve"> ELSE NULL END) AS homepage, </w:t>
      </w:r>
      <w:r w:rsidRPr="008A2EFE">
        <w:rPr>
          <w:rFonts w:ascii="Tahoma" w:hAnsi="Tahoma" w:cs="Tahoma"/>
          <w:sz w:val="18"/>
          <w:highlight w:val="lightGray"/>
        </w:rPr>
        <w:br/>
        <w:t xml:space="preserve">Count (CASE WHEN </w:t>
      </w:r>
      <w:proofErr w:type="spellStart"/>
      <w:r w:rsidRPr="008A2EFE">
        <w:rPr>
          <w:rFonts w:ascii="Tahoma" w:hAnsi="Tahoma" w:cs="Tahoma"/>
          <w:sz w:val="18"/>
          <w:highlight w:val="lightGray"/>
        </w:rPr>
        <w:t>event_name</w:t>
      </w:r>
      <w:proofErr w:type="spellEnd"/>
      <w:r w:rsidRPr="008A2EFE">
        <w:rPr>
          <w:rFonts w:ascii="Tahoma" w:hAnsi="Tahoma" w:cs="Tahoma"/>
          <w:sz w:val="18"/>
          <w:highlight w:val="lightGray"/>
        </w:rPr>
        <w:t xml:space="preserve"> IN ('view_inbox','like_message','</w:t>
      </w:r>
      <w:proofErr w:type="spellStart"/>
      <w:r w:rsidRPr="008A2EFE">
        <w:rPr>
          <w:rFonts w:ascii="Tahoma" w:hAnsi="Tahoma" w:cs="Tahoma"/>
          <w:sz w:val="18"/>
          <w:highlight w:val="lightGray"/>
        </w:rPr>
        <w:t>send_message</w:t>
      </w:r>
      <w:proofErr w:type="spellEnd"/>
      <w:r w:rsidRPr="008A2EFE">
        <w:rPr>
          <w:rFonts w:ascii="Tahoma" w:hAnsi="Tahoma" w:cs="Tahoma"/>
          <w:sz w:val="18"/>
          <w:highlight w:val="lightGray"/>
        </w:rPr>
        <w:t xml:space="preserve">') THEN </w:t>
      </w:r>
      <w:proofErr w:type="spellStart"/>
      <w:r w:rsidRPr="008A2EFE">
        <w:rPr>
          <w:rFonts w:ascii="Tahoma" w:hAnsi="Tahoma" w:cs="Tahoma"/>
          <w:sz w:val="18"/>
          <w:highlight w:val="lightGray"/>
        </w:rPr>
        <w:t>user_id</w:t>
      </w:r>
      <w:proofErr w:type="spellEnd"/>
      <w:r w:rsidRPr="008A2EFE">
        <w:rPr>
          <w:rFonts w:ascii="Tahoma" w:hAnsi="Tahoma" w:cs="Tahoma"/>
          <w:sz w:val="18"/>
          <w:highlight w:val="lightGray"/>
        </w:rPr>
        <w:t xml:space="preserve"> ELSE NULL END) AS message, </w:t>
      </w:r>
      <w:r w:rsidRPr="008A2EFE">
        <w:rPr>
          <w:rFonts w:ascii="Tahoma" w:hAnsi="Tahoma" w:cs="Tahoma"/>
          <w:sz w:val="18"/>
          <w:highlight w:val="lightGray"/>
        </w:rPr>
        <w:br/>
        <w:t xml:space="preserve">Count (CASE WHEN </w:t>
      </w:r>
      <w:proofErr w:type="spellStart"/>
      <w:r w:rsidRPr="008A2EFE">
        <w:rPr>
          <w:rFonts w:ascii="Tahoma" w:hAnsi="Tahoma" w:cs="Tahoma"/>
          <w:sz w:val="18"/>
          <w:highlight w:val="lightGray"/>
        </w:rPr>
        <w:t>event_name</w:t>
      </w:r>
      <w:proofErr w:type="spellEnd"/>
      <w:r w:rsidRPr="008A2EFE">
        <w:rPr>
          <w:rFonts w:ascii="Tahoma" w:hAnsi="Tahoma" w:cs="Tahoma"/>
          <w:sz w:val="18"/>
          <w:highlight w:val="lightGray"/>
        </w:rPr>
        <w:t xml:space="preserve"> IN ('</w:t>
      </w:r>
      <w:proofErr w:type="spellStart"/>
      <w:r w:rsidRPr="008A2EFE">
        <w:rPr>
          <w:rFonts w:ascii="Tahoma" w:hAnsi="Tahoma" w:cs="Tahoma"/>
          <w:sz w:val="18"/>
          <w:highlight w:val="lightGray"/>
        </w:rPr>
        <w:t>search_autocomplete</w:t>
      </w:r>
      <w:proofErr w:type="spellEnd"/>
      <w:r w:rsidRPr="008A2EFE">
        <w:rPr>
          <w:rFonts w:ascii="Tahoma" w:hAnsi="Tahoma" w:cs="Tahoma"/>
          <w:sz w:val="18"/>
          <w:highlight w:val="lightGray"/>
        </w:rPr>
        <w:t>', '</w:t>
      </w:r>
      <w:proofErr w:type="spellStart"/>
      <w:r w:rsidRPr="008A2EFE">
        <w:rPr>
          <w:rFonts w:ascii="Tahoma" w:hAnsi="Tahoma" w:cs="Tahoma"/>
          <w:sz w:val="18"/>
          <w:highlight w:val="lightGray"/>
        </w:rPr>
        <w:t>serach_run</w:t>
      </w:r>
      <w:proofErr w:type="spellEnd"/>
      <w:r w:rsidRPr="008A2EFE">
        <w:rPr>
          <w:rFonts w:ascii="Tahoma" w:hAnsi="Tahoma" w:cs="Tahoma"/>
          <w:sz w:val="18"/>
          <w:highlight w:val="lightGray"/>
        </w:rPr>
        <w:t xml:space="preserve">', 'search_click_result_1','search_click_result_2','search_click_result_3','search_click_result_4','search_click_result_5','search_click_result_6','search_click_result_7','search_click_result_8','search_click_result_9','search_click_result_10') THEN </w:t>
      </w:r>
      <w:proofErr w:type="spellStart"/>
      <w:r w:rsidRPr="008A2EFE">
        <w:rPr>
          <w:rFonts w:ascii="Tahoma" w:hAnsi="Tahoma" w:cs="Tahoma"/>
          <w:sz w:val="18"/>
          <w:highlight w:val="lightGray"/>
        </w:rPr>
        <w:t>user_id</w:t>
      </w:r>
      <w:proofErr w:type="spellEnd"/>
      <w:r w:rsidRPr="008A2EFE">
        <w:rPr>
          <w:rFonts w:ascii="Tahoma" w:hAnsi="Tahoma" w:cs="Tahoma"/>
          <w:sz w:val="18"/>
          <w:highlight w:val="lightGray"/>
        </w:rPr>
        <w:t xml:space="preserve"> ELSE NULL END) AS </w:t>
      </w:r>
      <w:proofErr w:type="spellStart"/>
      <w:r w:rsidRPr="008A2EFE">
        <w:rPr>
          <w:rFonts w:ascii="Tahoma" w:hAnsi="Tahoma" w:cs="Tahoma"/>
          <w:sz w:val="18"/>
          <w:highlight w:val="lightGray"/>
        </w:rPr>
        <w:t>search_click</w:t>
      </w:r>
      <w:proofErr w:type="spellEnd"/>
      <w:r w:rsidRPr="008A2EFE">
        <w:rPr>
          <w:rFonts w:ascii="Tahoma" w:hAnsi="Tahoma" w:cs="Tahoma"/>
          <w:sz w:val="18"/>
          <w:highlight w:val="lightGray"/>
        </w:rPr>
        <w:t xml:space="preserve"> </w:t>
      </w:r>
      <w:r w:rsidRPr="008A2EFE">
        <w:rPr>
          <w:rFonts w:ascii="Tahoma" w:hAnsi="Tahoma" w:cs="Tahoma"/>
          <w:sz w:val="18"/>
          <w:highlight w:val="lightGray"/>
        </w:rPr>
        <w:br/>
        <w:t xml:space="preserve">FROM </w:t>
      </w:r>
      <w:proofErr w:type="spellStart"/>
      <w:r w:rsidRPr="008A2EFE">
        <w:rPr>
          <w:rFonts w:ascii="Tahoma" w:hAnsi="Tahoma" w:cs="Tahoma"/>
          <w:sz w:val="18"/>
          <w:highlight w:val="lightGray"/>
        </w:rPr>
        <w:t>tutorial.yammer_events</w:t>
      </w:r>
      <w:proofErr w:type="spellEnd"/>
      <w:r w:rsidRPr="008A2EFE">
        <w:rPr>
          <w:rFonts w:ascii="Tahoma" w:hAnsi="Tahoma" w:cs="Tahoma"/>
          <w:sz w:val="18"/>
          <w:highlight w:val="lightGray"/>
        </w:rPr>
        <w:t xml:space="preserve"> </w:t>
      </w:r>
      <w:r w:rsidRPr="008A2EFE">
        <w:rPr>
          <w:rFonts w:ascii="Tahoma" w:hAnsi="Tahoma" w:cs="Tahoma"/>
          <w:sz w:val="18"/>
          <w:highlight w:val="lightGray"/>
        </w:rPr>
        <w:br/>
        <w:t>GROUP BY 1</w:t>
      </w:r>
    </w:p>
    <w:p w:rsidR="00BF2F8C" w:rsidRPr="008A2EFE" w:rsidRDefault="00BF2F8C" w:rsidP="0010625E">
      <w:pPr>
        <w:shd w:val="clear" w:color="auto" w:fill="FFFFFF"/>
        <w:spacing w:before="60" w:after="100" w:afterAutospacing="1" w:line="240" w:lineRule="auto"/>
        <w:rPr>
          <w:rFonts w:ascii="Tahoma" w:eastAsia="Times New Roman" w:hAnsi="Tahoma" w:cs="Tahoma"/>
          <w:color w:val="24292E"/>
          <w:sz w:val="20"/>
          <w:szCs w:val="24"/>
          <w:highlight w:val="lightGray"/>
        </w:rPr>
      </w:pPr>
    </w:p>
    <w:p w:rsidR="00440076" w:rsidRPr="00440076" w:rsidRDefault="00440076" w:rsidP="00E7455E">
      <w:pPr>
        <w:rPr>
          <w:rFonts w:ascii="Tahoma" w:hAnsi="Tahoma" w:cs="Tahoma"/>
          <w:b/>
          <w:sz w:val="18"/>
          <w:highlight w:val="lightGray"/>
          <w:u w:val="single"/>
        </w:rPr>
      </w:pPr>
      <w:r w:rsidRPr="00440076">
        <w:rPr>
          <w:rFonts w:ascii="Tahoma" w:hAnsi="Tahoma" w:cs="Tahoma"/>
          <w:b/>
          <w:sz w:val="18"/>
          <w:highlight w:val="lightGray"/>
          <w:u w:val="single"/>
        </w:rPr>
        <w:lastRenderedPageBreak/>
        <w:t xml:space="preserve">Weekly interaction by </w:t>
      </w:r>
      <w:r w:rsidR="000B12B9">
        <w:rPr>
          <w:rFonts w:ascii="Tahoma" w:hAnsi="Tahoma" w:cs="Tahoma"/>
          <w:b/>
          <w:sz w:val="18"/>
          <w:highlight w:val="lightGray"/>
          <w:u w:val="single"/>
        </w:rPr>
        <w:t>Device Type</w:t>
      </w:r>
      <w:bookmarkStart w:id="0" w:name="_GoBack"/>
      <w:bookmarkEnd w:id="0"/>
    </w:p>
    <w:p w:rsidR="00E7455E" w:rsidRPr="008A2EFE" w:rsidRDefault="00E7455E" w:rsidP="00E7455E">
      <w:pPr>
        <w:rPr>
          <w:rFonts w:ascii="Tahoma" w:hAnsi="Tahoma" w:cs="Tahoma"/>
          <w:sz w:val="18"/>
          <w:highlight w:val="lightGray"/>
        </w:rPr>
      </w:pPr>
      <w:r w:rsidRPr="008A2EFE">
        <w:rPr>
          <w:rFonts w:ascii="Tahoma" w:hAnsi="Tahoma" w:cs="Tahoma"/>
          <w:sz w:val="18"/>
          <w:highlight w:val="lightGray"/>
        </w:rPr>
        <w:t>SELECT device,</w:t>
      </w:r>
      <w:r w:rsidRPr="008A2EFE">
        <w:rPr>
          <w:rFonts w:ascii="Tahoma" w:hAnsi="Tahoma" w:cs="Tahoma"/>
          <w:sz w:val="18"/>
          <w:highlight w:val="lightGray"/>
        </w:rPr>
        <w:br/>
        <w:t>CASE WHEN device in ('</w:t>
      </w:r>
      <w:proofErr w:type="spellStart"/>
      <w:r w:rsidRPr="008A2EFE">
        <w:rPr>
          <w:rFonts w:ascii="Tahoma" w:hAnsi="Tahoma" w:cs="Tahoma"/>
          <w:sz w:val="18"/>
          <w:highlight w:val="lightGray"/>
        </w:rPr>
        <w:t>iphone</w:t>
      </w:r>
      <w:proofErr w:type="spellEnd"/>
      <w:r w:rsidRPr="008A2EFE">
        <w:rPr>
          <w:rFonts w:ascii="Tahoma" w:hAnsi="Tahoma" w:cs="Tahoma"/>
          <w:sz w:val="18"/>
          <w:highlight w:val="lightGray"/>
        </w:rPr>
        <w:t xml:space="preserve"> 5','iphone 4s','iphone 5s','nexus 5','samsung galaxy s4','htc one','</w:t>
      </w:r>
      <w:proofErr w:type="spellStart"/>
      <w:r w:rsidRPr="008A2EFE">
        <w:rPr>
          <w:rFonts w:ascii="Tahoma" w:hAnsi="Tahoma" w:cs="Tahoma"/>
          <w:sz w:val="18"/>
          <w:highlight w:val="lightGray"/>
        </w:rPr>
        <w:t>nokia</w:t>
      </w:r>
      <w:proofErr w:type="spellEnd"/>
      <w:r w:rsidRPr="008A2EFE">
        <w:rPr>
          <w:rFonts w:ascii="Tahoma" w:hAnsi="Tahoma" w:cs="Tahoma"/>
          <w:sz w:val="18"/>
          <w:highlight w:val="lightGray"/>
        </w:rPr>
        <w:t xml:space="preserve"> </w:t>
      </w:r>
      <w:proofErr w:type="spellStart"/>
      <w:r w:rsidRPr="008A2EFE">
        <w:rPr>
          <w:rFonts w:ascii="Tahoma" w:hAnsi="Tahoma" w:cs="Tahoma"/>
          <w:sz w:val="18"/>
          <w:highlight w:val="lightGray"/>
        </w:rPr>
        <w:t>lumia</w:t>
      </w:r>
      <w:proofErr w:type="spellEnd"/>
      <w:r w:rsidRPr="008A2EFE">
        <w:rPr>
          <w:rFonts w:ascii="Tahoma" w:hAnsi="Tahoma" w:cs="Tahoma"/>
          <w:sz w:val="18"/>
          <w:highlight w:val="lightGray"/>
        </w:rPr>
        <w:t xml:space="preserve"> 635','samsung galaxy </w:t>
      </w:r>
      <w:proofErr w:type="spellStart"/>
      <w:r w:rsidRPr="008A2EFE">
        <w:rPr>
          <w:rFonts w:ascii="Tahoma" w:hAnsi="Tahoma" w:cs="Tahoma"/>
          <w:sz w:val="18"/>
          <w:highlight w:val="lightGray"/>
        </w:rPr>
        <w:t>note','amazon</w:t>
      </w:r>
      <w:proofErr w:type="spellEnd"/>
      <w:r w:rsidRPr="008A2EFE">
        <w:rPr>
          <w:rFonts w:ascii="Tahoma" w:hAnsi="Tahoma" w:cs="Tahoma"/>
          <w:sz w:val="18"/>
          <w:highlight w:val="lightGray"/>
        </w:rPr>
        <w:t xml:space="preserve"> fire phone') THEN 'Phone'</w:t>
      </w:r>
      <w:r w:rsidRPr="008A2EFE">
        <w:rPr>
          <w:rFonts w:ascii="Tahoma" w:hAnsi="Tahoma" w:cs="Tahoma"/>
          <w:sz w:val="18"/>
          <w:highlight w:val="lightGray"/>
        </w:rPr>
        <w:br/>
        <w:t xml:space="preserve">WHEN device in ('windows </w:t>
      </w:r>
      <w:proofErr w:type="spellStart"/>
      <w:r w:rsidRPr="008A2EFE">
        <w:rPr>
          <w:rFonts w:ascii="Tahoma" w:hAnsi="Tahoma" w:cs="Tahoma"/>
          <w:sz w:val="18"/>
          <w:highlight w:val="lightGray"/>
        </w:rPr>
        <w:t>surface','kindle</w:t>
      </w:r>
      <w:proofErr w:type="spellEnd"/>
      <w:r w:rsidRPr="008A2EFE">
        <w:rPr>
          <w:rFonts w:ascii="Tahoma" w:hAnsi="Tahoma" w:cs="Tahoma"/>
          <w:sz w:val="18"/>
          <w:highlight w:val="lightGray"/>
        </w:rPr>
        <w:t xml:space="preserve"> fire','</w:t>
      </w:r>
      <w:proofErr w:type="spellStart"/>
      <w:r w:rsidRPr="008A2EFE">
        <w:rPr>
          <w:rFonts w:ascii="Tahoma" w:hAnsi="Tahoma" w:cs="Tahoma"/>
          <w:sz w:val="18"/>
          <w:highlight w:val="lightGray"/>
        </w:rPr>
        <w:t>ipad</w:t>
      </w:r>
      <w:proofErr w:type="spellEnd"/>
      <w:r w:rsidRPr="008A2EFE">
        <w:rPr>
          <w:rFonts w:ascii="Tahoma" w:hAnsi="Tahoma" w:cs="Tahoma"/>
          <w:sz w:val="18"/>
          <w:highlight w:val="lightGray"/>
        </w:rPr>
        <w:t xml:space="preserve"> mini','</w:t>
      </w:r>
      <w:proofErr w:type="spellStart"/>
      <w:r w:rsidRPr="008A2EFE">
        <w:rPr>
          <w:rFonts w:ascii="Tahoma" w:hAnsi="Tahoma" w:cs="Tahoma"/>
          <w:sz w:val="18"/>
          <w:highlight w:val="lightGray"/>
        </w:rPr>
        <w:t>samsumg</w:t>
      </w:r>
      <w:proofErr w:type="spellEnd"/>
      <w:r w:rsidRPr="008A2EFE">
        <w:rPr>
          <w:rFonts w:ascii="Tahoma" w:hAnsi="Tahoma" w:cs="Tahoma"/>
          <w:sz w:val="18"/>
          <w:highlight w:val="lightGray"/>
        </w:rPr>
        <w:t xml:space="preserve"> galaxy tablet','</w:t>
      </w:r>
      <w:proofErr w:type="spellStart"/>
      <w:r w:rsidRPr="008A2EFE">
        <w:rPr>
          <w:rFonts w:ascii="Tahoma" w:hAnsi="Tahoma" w:cs="Tahoma"/>
          <w:sz w:val="18"/>
          <w:highlight w:val="lightGray"/>
        </w:rPr>
        <w:t>ipad</w:t>
      </w:r>
      <w:proofErr w:type="spellEnd"/>
      <w:r w:rsidRPr="008A2EFE">
        <w:rPr>
          <w:rFonts w:ascii="Tahoma" w:hAnsi="Tahoma" w:cs="Tahoma"/>
          <w:sz w:val="18"/>
          <w:highlight w:val="lightGray"/>
        </w:rPr>
        <w:t xml:space="preserve"> </w:t>
      </w:r>
      <w:proofErr w:type="spellStart"/>
      <w:r w:rsidRPr="008A2EFE">
        <w:rPr>
          <w:rFonts w:ascii="Tahoma" w:hAnsi="Tahoma" w:cs="Tahoma"/>
          <w:sz w:val="18"/>
          <w:highlight w:val="lightGray"/>
        </w:rPr>
        <w:t>air','nexus</w:t>
      </w:r>
      <w:proofErr w:type="spellEnd"/>
      <w:r w:rsidRPr="008A2EFE">
        <w:rPr>
          <w:rFonts w:ascii="Tahoma" w:hAnsi="Tahoma" w:cs="Tahoma"/>
          <w:sz w:val="18"/>
          <w:highlight w:val="lightGray"/>
        </w:rPr>
        <w:t xml:space="preserve"> 7','nexus 10') THEN 'Tablet'</w:t>
      </w:r>
      <w:r w:rsidRPr="008A2EFE">
        <w:rPr>
          <w:rFonts w:ascii="Tahoma" w:hAnsi="Tahoma" w:cs="Tahoma"/>
          <w:sz w:val="18"/>
          <w:highlight w:val="lightGray"/>
        </w:rPr>
        <w:br/>
        <w:t xml:space="preserve">WHEN device in ('dell </w:t>
      </w:r>
      <w:proofErr w:type="spellStart"/>
      <w:r w:rsidRPr="008A2EFE">
        <w:rPr>
          <w:rFonts w:ascii="Tahoma" w:hAnsi="Tahoma" w:cs="Tahoma"/>
          <w:sz w:val="18"/>
          <w:highlight w:val="lightGray"/>
        </w:rPr>
        <w:t>inspiron</w:t>
      </w:r>
      <w:proofErr w:type="spellEnd"/>
      <w:r w:rsidRPr="008A2EFE">
        <w:rPr>
          <w:rFonts w:ascii="Tahoma" w:hAnsi="Tahoma" w:cs="Tahoma"/>
          <w:sz w:val="18"/>
          <w:highlight w:val="lightGray"/>
        </w:rPr>
        <w:t xml:space="preserve"> notebook','</w:t>
      </w:r>
      <w:proofErr w:type="spellStart"/>
      <w:r w:rsidRPr="008A2EFE">
        <w:rPr>
          <w:rFonts w:ascii="Tahoma" w:hAnsi="Tahoma" w:cs="Tahoma"/>
          <w:sz w:val="18"/>
          <w:highlight w:val="lightGray"/>
        </w:rPr>
        <w:t>macbook</w:t>
      </w:r>
      <w:proofErr w:type="spellEnd"/>
      <w:r w:rsidRPr="008A2EFE">
        <w:rPr>
          <w:rFonts w:ascii="Tahoma" w:hAnsi="Tahoma" w:cs="Tahoma"/>
          <w:sz w:val="18"/>
          <w:highlight w:val="lightGray"/>
        </w:rPr>
        <w:t xml:space="preserve"> air','</w:t>
      </w:r>
      <w:proofErr w:type="spellStart"/>
      <w:r w:rsidRPr="008A2EFE">
        <w:rPr>
          <w:rFonts w:ascii="Tahoma" w:hAnsi="Tahoma" w:cs="Tahoma"/>
          <w:sz w:val="18"/>
          <w:highlight w:val="lightGray"/>
        </w:rPr>
        <w:t>macbook</w:t>
      </w:r>
      <w:proofErr w:type="spellEnd"/>
      <w:r w:rsidRPr="008A2EFE">
        <w:rPr>
          <w:rFonts w:ascii="Tahoma" w:hAnsi="Tahoma" w:cs="Tahoma"/>
          <w:sz w:val="18"/>
          <w:highlight w:val="lightGray"/>
        </w:rPr>
        <w:t xml:space="preserve"> pro','</w:t>
      </w:r>
      <w:proofErr w:type="spellStart"/>
      <w:r w:rsidRPr="008A2EFE">
        <w:rPr>
          <w:rFonts w:ascii="Tahoma" w:hAnsi="Tahoma" w:cs="Tahoma"/>
          <w:sz w:val="18"/>
          <w:highlight w:val="lightGray"/>
        </w:rPr>
        <w:t>lenovo</w:t>
      </w:r>
      <w:proofErr w:type="spellEnd"/>
      <w:r w:rsidRPr="008A2EFE">
        <w:rPr>
          <w:rFonts w:ascii="Tahoma" w:hAnsi="Tahoma" w:cs="Tahoma"/>
          <w:sz w:val="18"/>
          <w:highlight w:val="lightGray"/>
        </w:rPr>
        <w:t xml:space="preserve"> </w:t>
      </w:r>
      <w:proofErr w:type="spellStart"/>
      <w:r w:rsidRPr="008A2EFE">
        <w:rPr>
          <w:rFonts w:ascii="Tahoma" w:hAnsi="Tahoma" w:cs="Tahoma"/>
          <w:sz w:val="18"/>
          <w:highlight w:val="lightGray"/>
        </w:rPr>
        <w:t>thinkpad</w:t>
      </w:r>
      <w:proofErr w:type="spellEnd"/>
      <w:r w:rsidRPr="008A2EFE">
        <w:rPr>
          <w:rFonts w:ascii="Tahoma" w:hAnsi="Tahoma" w:cs="Tahoma"/>
          <w:sz w:val="18"/>
          <w:highlight w:val="lightGray"/>
        </w:rPr>
        <w:t>','acer aspire notebook','</w:t>
      </w:r>
      <w:proofErr w:type="spellStart"/>
      <w:r w:rsidRPr="008A2EFE">
        <w:rPr>
          <w:rFonts w:ascii="Tahoma" w:hAnsi="Tahoma" w:cs="Tahoma"/>
          <w:sz w:val="18"/>
          <w:highlight w:val="lightGray"/>
        </w:rPr>
        <w:t>asus</w:t>
      </w:r>
      <w:proofErr w:type="spellEnd"/>
      <w:r w:rsidRPr="008A2EFE">
        <w:rPr>
          <w:rFonts w:ascii="Tahoma" w:hAnsi="Tahoma" w:cs="Tahoma"/>
          <w:sz w:val="18"/>
          <w:highlight w:val="lightGray"/>
        </w:rPr>
        <w:t xml:space="preserve"> </w:t>
      </w:r>
      <w:proofErr w:type="spellStart"/>
      <w:r w:rsidRPr="008A2EFE">
        <w:rPr>
          <w:rFonts w:ascii="Tahoma" w:hAnsi="Tahoma" w:cs="Tahoma"/>
          <w:sz w:val="18"/>
          <w:highlight w:val="lightGray"/>
        </w:rPr>
        <w:t>chromebook</w:t>
      </w:r>
      <w:proofErr w:type="spellEnd"/>
      <w:r w:rsidRPr="008A2EFE">
        <w:rPr>
          <w:rFonts w:ascii="Tahoma" w:hAnsi="Tahoma" w:cs="Tahoma"/>
          <w:sz w:val="18"/>
          <w:highlight w:val="lightGray"/>
        </w:rPr>
        <w:t xml:space="preserve">','acer aspire </w:t>
      </w:r>
      <w:proofErr w:type="spellStart"/>
      <w:r w:rsidRPr="008A2EFE">
        <w:rPr>
          <w:rFonts w:ascii="Tahoma" w:hAnsi="Tahoma" w:cs="Tahoma"/>
          <w:sz w:val="18"/>
          <w:highlight w:val="lightGray"/>
        </w:rPr>
        <w:t>desktop','mac</w:t>
      </w:r>
      <w:proofErr w:type="spellEnd"/>
      <w:r w:rsidRPr="008A2EFE">
        <w:rPr>
          <w:rFonts w:ascii="Tahoma" w:hAnsi="Tahoma" w:cs="Tahoma"/>
          <w:sz w:val="18"/>
          <w:highlight w:val="lightGray"/>
        </w:rPr>
        <w:t xml:space="preserve"> mini','</w:t>
      </w:r>
      <w:proofErr w:type="spellStart"/>
      <w:r w:rsidRPr="008A2EFE">
        <w:rPr>
          <w:rFonts w:ascii="Tahoma" w:hAnsi="Tahoma" w:cs="Tahoma"/>
          <w:sz w:val="18"/>
          <w:highlight w:val="lightGray"/>
        </w:rPr>
        <w:t>hp</w:t>
      </w:r>
      <w:proofErr w:type="spellEnd"/>
      <w:r w:rsidRPr="008A2EFE">
        <w:rPr>
          <w:rFonts w:ascii="Tahoma" w:hAnsi="Tahoma" w:cs="Tahoma"/>
          <w:sz w:val="18"/>
          <w:highlight w:val="lightGray"/>
        </w:rPr>
        <w:t xml:space="preserve"> pavilion </w:t>
      </w:r>
      <w:proofErr w:type="spellStart"/>
      <w:r w:rsidRPr="008A2EFE">
        <w:rPr>
          <w:rFonts w:ascii="Tahoma" w:hAnsi="Tahoma" w:cs="Tahoma"/>
          <w:sz w:val="18"/>
          <w:highlight w:val="lightGray"/>
        </w:rPr>
        <w:t>desktop','dell</w:t>
      </w:r>
      <w:proofErr w:type="spellEnd"/>
      <w:r w:rsidRPr="008A2EFE">
        <w:rPr>
          <w:rFonts w:ascii="Tahoma" w:hAnsi="Tahoma" w:cs="Tahoma"/>
          <w:sz w:val="18"/>
          <w:highlight w:val="lightGray"/>
        </w:rPr>
        <w:t xml:space="preserve"> </w:t>
      </w:r>
      <w:proofErr w:type="spellStart"/>
      <w:r w:rsidRPr="008A2EFE">
        <w:rPr>
          <w:rFonts w:ascii="Tahoma" w:hAnsi="Tahoma" w:cs="Tahoma"/>
          <w:sz w:val="18"/>
          <w:highlight w:val="lightGray"/>
        </w:rPr>
        <w:t>inspiron</w:t>
      </w:r>
      <w:proofErr w:type="spellEnd"/>
      <w:r w:rsidRPr="008A2EFE">
        <w:rPr>
          <w:rFonts w:ascii="Tahoma" w:hAnsi="Tahoma" w:cs="Tahoma"/>
          <w:sz w:val="18"/>
          <w:highlight w:val="lightGray"/>
        </w:rPr>
        <w:t xml:space="preserve"> desktop') THEN 'Desktop' </w:t>
      </w:r>
      <w:r w:rsidRPr="008A2EFE">
        <w:rPr>
          <w:rFonts w:ascii="Tahoma" w:hAnsi="Tahoma" w:cs="Tahoma"/>
          <w:sz w:val="18"/>
          <w:highlight w:val="lightGray"/>
        </w:rPr>
        <w:br/>
        <w:t xml:space="preserve">END AS </w:t>
      </w:r>
      <w:proofErr w:type="spellStart"/>
      <w:r w:rsidRPr="008A2EFE">
        <w:rPr>
          <w:rFonts w:ascii="Tahoma" w:hAnsi="Tahoma" w:cs="Tahoma"/>
          <w:sz w:val="18"/>
          <w:highlight w:val="lightGray"/>
        </w:rPr>
        <w:t>device_type</w:t>
      </w:r>
      <w:proofErr w:type="spellEnd"/>
      <w:r w:rsidRPr="008A2EFE">
        <w:rPr>
          <w:rFonts w:ascii="Tahoma" w:hAnsi="Tahoma" w:cs="Tahoma"/>
          <w:sz w:val="18"/>
          <w:highlight w:val="lightGray"/>
        </w:rPr>
        <w:br/>
        <w:t xml:space="preserve">FROM </w:t>
      </w:r>
      <w:proofErr w:type="spellStart"/>
      <w:r w:rsidRPr="008A2EFE">
        <w:rPr>
          <w:rFonts w:ascii="Tahoma" w:hAnsi="Tahoma" w:cs="Tahoma"/>
          <w:sz w:val="18"/>
          <w:highlight w:val="lightGray"/>
        </w:rPr>
        <w:t>tutorial.yammer_events</w:t>
      </w:r>
      <w:proofErr w:type="spellEnd"/>
      <w:r w:rsidRPr="008A2EFE">
        <w:rPr>
          <w:rFonts w:ascii="Tahoma" w:hAnsi="Tahoma" w:cs="Tahoma"/>
          <w:sz w:val="18"/>
          <w:highlight w:val="lightGray"/>
        </w:rPr>
        <w:t>),</w:t>
      </w:r>
    </w:p>
    <w:p w:rsidR="00CE3EB7" w:rsidRPr="00CE3EB7" w:rsidRDefault="00CE3EB7">
      <w:pPr>
        <w:shd w:val="clear" w:color="auto" w:fill="FFFFFF"/>
        <w:spacing w:before="60" w:after="100" w:afterAutospacing="1" w:line="240" w:lineRule="auto"/>
        <w:rPr>
          <w:rFonts w:ascii="Tahoma" w:eastAsia="Times New Roman" w:hAnsi="Tahoma" w:cs="Tahoma"/>
          <w:color w:val="24292E"/>
          <w:sz w:val="20"/>
          <w:szCs w:val="24"/>
        </w:rPr>
      </w:pPr>
    </w:p>
    <w:sectPr w:rsidR="00CE3EB7" w:rsidRPr="00CE3EB7" w:rsidSect="008A2EFE">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80AF8"/>
    <w:multiLevelType w:val="hybridMultilevel"/>
    <w:tmpl w:val="0A2E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86B1D"/>
    <w:multiLevelType w:val="multilevel"/>
    <w:tmpl w:val="F250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224A2"/>
    <w:multiLevelType w:val="hybridMultilevel"/>
    <w:tmpl w:val="33080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70B22"/>
    <w:multiLevelType w:val="multilevel"/>
    <w:tmpl w:val="94E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EC"/>
    <w:rsid w:val="00025A02"/>
    <w:rsid w:val="000B12B9"/>
    <w:rsid w:val="000E726C"/>
    <w:rsid w:val="0010625E"/>
    <w:rsid w:val="00207EF1"/>
    <w:rsid w:val="00291152"/>
    <w:rsid w:val="0039573F"/>
    <w:rsid w:val="004079BA"/>
    <w:rsid w:val="00440076"/>
    <w:rsid w:val="0045288D"/>
    <w:rsid w:val="0045365D"/>
    <w:rsid w:val="004C05E1"/>
    <w:rsid w:val="004F25CA"/>
    <w:rsid w:val="00562646"/>
    <w:rsid w:val="00563EC8"/>
    <w:rsid w:val="006D615F"/>
    <w:rsid w:val="00706A78"/>
    <w:rsid w:val="00732A28"/>
    <w:rsid w:val="007C1FDD"/>
    <w:rsid w:val="00835AA0"/>
    <w:rsid w:val="008669EC"/>
    <w:rsid w:val="00874201"/>
    <w:rsid w:val="008952F1"/>
    <w:rsid w:val="008A2EFE"/>
    <w:rsid w:val="008E1103"/>
    <w:rsid w:val="00935F27"/>
    <w:rsid w:val="009367D6"/>
    <w:rsid w:val="00996CDB"/>
    <w:rsid w:val="009B4B0D"/>
    <w:rsid w:val="00A06D74"/>
    <w:rsid w:val="00A43BAA"/>
    <w:rsid w:val="00AD4001"/>
    <w:rsid w:val="00B83DFD"/>
    <w:rsid w:val="00BF2F8C"/>
    <w:rsid w:val="00C16969"/>
    <w:rsid w:val="00CA6F52"/>
    <w:rsid w:val="00CE3EB7"/>
    <w:rsid w:val="00D80639"/>
    <w:rsid w:val="00D90A40"/>
    <w:rsid w:val="00E00A86"/>
    <w:rsid w:val="00E569C5"/>
    <w:rsid w:val="00E7455E"/>
    <w:rsid w:val="00EB41A0"/>
    <w:rsid w:val="00F9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47AAC-F08E-44D6-AB5B-CB8D20CC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66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9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69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15F"/>
    <w:pPr>
      <w:ind w:left="720"/>
      <w:contextualSpacing/>
    </w:pPr>
  </w:style>
  <w:style w:type="paragraph" w:styleId="NoSpacing">
    <w:name w:val="No Spacing"/>
    <w:uiPriority w:val="1"/>
    <w:qFormat/>
    <w:rsid w:val="00BF2F8C"/>
    <w:pPr>
      <w:spacing w:after="0" w:line="240" w:lineRule="auto"/>
    </w:pPr>
  </w:style>
  <w:style w:type="character" w:customStyle="1" w:styleId="Heading1Char">
    <w:name w:val="Heading 1 Char"/>
    <w:basedOn w:val="DefaultParagraphFont"/>
    <w:link w:val="Heading1"/>
    <w:uiPriority w:val="9"/>
    <w:rsid w:val="004536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5365D"/>
    <w:rPr>
      <w:color w:val="0000FF"/>
      <w:u w:val="single"/>
    </w:rPr>
  </w:style>
  <w:style w:type="paragraph" w:customStyle="1" w:styleId="jj">
    <w:name w:val="jj"/>
    <w:basedOn w:val="Normal"/>
    <w:rsid w:val="00AD40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0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176874">
      <w:bodyDiv w:val="1"/>
      <w:marLeft w:val="0"/>
      <w:marRight w:val="0"/>
      <w:marTop w:val="0"/>
      <w:marBottom w:val="0"/>
      <w:divBdr>
        <w:top w:val="none" w:sz="0" w:space="0" w:color="auto"/>
        <w:left w:val="none" w:sz="0" w:space="0" w:color="auto"/>
        <w:bottom w:val="none" w:sz="0" w:space="0" w:color="auto"/>
        <w:right w:val="none" w:sz="0" w:space="0" w:color="auto"/>
      </w:divBdr>
    </w:div>
    <w:div w:id="1045447284">
      <w:bodyDiv w:val="1"/>
      <w:marLeft w:val="0"/>
      <w:marRight w:val="0"/>
      <w:marTop w:val="0"/>
      <w:marBottom w:val="0"/>
      <w:divBdr>
        <w:top w:val="none" w:sz="0" w:space="0" w:color="auto"/>
        <w:left w:val="none" w:sz="0" w:space="0" w:color="auto"/>
        <w:bottom w:val="none" w:sz="0" w:space="0" w:color="auto"/>
        <w:right w:val="none" w:sz="0" w:space="0" w:color="auto"/>
      </w:divBdr>
    </w:div>
    <w:div w:id="1523741962">
      <w:bodyDiv w:val="1"/>
      <w:marLeft w:val="0"/>
      <w:marRight w:val="0"/>
      <w:marTop w:val="0"/>
      <w:marBottom w:val="0"/>
      <w:divBdr>
        <w:top w:val="none" w:sz="0" w:space="0" w:color="auto"/>
        <w:left w:val="none" w:sz="0" w:space="0" w:color="auto"/>
        <w:bottom w:val="none" w:sz="0" w:space="0" w:color="auto"/>
        <w:right w:val="none" w:sz="0" w:space="0" w:color="auto"/>
      </w:divBdr>
    </w:div>
    <w:div w:id="2055615164">
      <w:bodyDiv w:val="1"/>
      <w:marLeft w:val="0"/>
      <w:marRight w:val="0"/>
      <w:marTop w:val="0"/>
      <w:marBottom w:val="0"/>
      <w:divBdr>
        <w:top w:val="none" w:sz="0" w:space="0" w:color="auto"/>
        <w:left w:val="none" w:sz="0" w:space="0" w:color="auto"/>
        <w:bottom w:val="none" w:sz="0" w:space="0" w:color="auto"/>
        <w:right w:val="none" w:sz="0" w:space="0" w:color="auto"/>
      </w:divBdr>
      <w:divsChild>
        <w:div w:id="725222086">
          <w:marLeft w:val="0"/>
          <w:marRight w:val="0"/>
          <w:marTop w:val="0"/>
          <w:marBottom w:val="0"/>
          <w:divBdr>
            <w:top w:val="none" w:sz="0" w:space="0" w:color="auto"/>
            <w:left w:val="none" w:sz="0" w:space="0" w:color="auto"/>
            <w:bottom w:val="none" w:sz="0" w:space="0" w:color="auto"/>
            <w:right w:val="none" w:sz="0" w:space="0" w:color="auto"/>
          </w:divBdr>
          <w:divsChild>
            <w:div w:id="1001662668">
              <w:marLeft w:val="960"/>
              <w:marRight w:val="960"/>
              <w:marTop w:val="0"/>
              <w:marBottom w:val="0"/>
              <w:divBdr>
                <w:top w:val="none" w:sz="0" w:space="0" w:color="auto"/>
                <w:left w:val="none" w:sz="0" w:space="0" w:color="auto"/>
                <w:bottom w:val="none" w:sz="0" w:space="0" w:color="auto"/>
                <w:right w:val="none" w:sz="0" w:space="0" w:color="auto"/>
              </w:divBdr>
            </w:div>
          </w:divsChild>
        </w:div>
        <w:div w:id="955335888">
          <w:marLeft w:val="0"/>
          <w:marRight w:val="0"/>
          <w:marTop w:val="0"/>
          <w:marBottom w:val="0"/>
          <w:divBdr>
            <w:top w:val="none" w:sz="0" w:space="0" w:color="auto"/>
            <w:left w:val="none" w:sz="0" w:space="0" w:color="auto"/>
            <w:bottom w:val="none" w:sz="0" w:space="0" w:color="auto"/>
            <w:right w:val="none" w:sz="0" w:space="0" w:color="auto"/>
          </w:divBdr>
          <w:divsChild>
            <w:div w:id="58303479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mmunity.modeanalytics.com/sql/tutorial/a-drop-in-user-engage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wnloads\untitled_report-query_1-ee81bfb15c8e-2021-07-01-06-10-19.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[untitled_report-query_1-ee81bfb15c8e-2021-07-01-06-10-19.csv]Sheet2!PivotTable2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ahoma" panose="020B0604030504040204" pitchFamily="34" charset="0"/>
                <a:ea typeface="Tahoma" panose="020B0604030504040204" pitchFamily="34" charset="0"/>
                <a:cs typeface="Tahoma" panose="020B0604030504040204" pitchFamily="34" charset="0"/>
              </a:rPr>
              <a:t>Engagement</a:t>
            </a:r>
            <a:r>
              <a:rPr lang="en-US" b="1" baseline="0">
                <a:latin typeface="Tahoma" panose="020B0604030504040204" pitchFamily="34" charset="0"/>
                <a:ea typeface="Tahoma" panose="020B0604030504040204" pitchFamily="34" charset="0"/>
                <a:cs typeface="Tahoma" panose="020B0604030504040204" pitchFamily="34" charset="0"/>
              </a:rPr>
              <a:t> by Country </a:t>
            </a:r>
            <a:endParaRPr lang="en-US" b="1">
              <a:latin typeface="Tahoma" panose="020B0604030504040204" pitchFamily="34" charset="0"/>
              <a:ea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s>
    <c:plotArea>
      <c:layout>
        <c:manualLayout>
          <c:layoutTarget val="inner"/>
          <c:xMode val="edge"/>
          <c:yMode val="edge"/>
          <c:x val="5.9200605364039378E-2"/>
          <c:y val="7.1791183582367163E-2"/>
          <c:w val="0.92564137867289542"/>
          <c:h val="0.67751256092988377"/>
        </c:manualLayout>
      </c:layout>
      <c:barChart>
        <c:barDir val="col"/>
        <c:grouping val="stacked"/>
        <c:varyColors val="0"/>
        <c:ser>
          <c:idx val="0"/>
          <c:order val="0"/>
          <c:tx>
            <c:strRef>
              <c:f>Sheet2!$B$3:$B$4</c:f>
              <c:strCache>
                <c:ptCount val="1"/>
                <c:pt idx="0">
                  <c:v>6/30/2014</c:v>
                </c:pt>
              </c:strCache>
            </c:strRef>
          </c:tx>
          <c:spPr>
            <a:solidFill>
              <a:schemeClr val="accent1"/>
            </a:solidFill>
            <a:ln>
              <a:noFill/>
            </a:ln>
            <a:effectLst/>
          </c:spPr>
          <c:invertIfNegative val="0"/>
          <c:cat>
            <c:strRef>
              <c:f>Sheet2!$A$5:$A$52</c:f>
              <c:strCache>
                <c:ptCount val="47"/>
                <c:pt idx="0">
                  <c:v>Argentina</c:v>
                </c:pt>
                <c:pt idx="1">
                  <c:v>Australia</c:v>
                </c:pt>
                <c:pt idx="2">
                  <c:v>Austria</c:v>
                </c:pt>
                <c:pt idx="3">
                  <c:v>Belgium</c:v>
                </c:pt>
                <c:pt idx="4">
                  <c:v>Brazil</c:v>
                </c:pt>
                <c:pt idx="5">
                  <c:v>Canada</c:v>
                </c:pt>
                <c:pt idx="6">
                  <c:v>Chile</c:v>
                </c:pt>
                <c:pt idx="7">
                  <c:v>Colombia</c:v>
                </c:pt>
                <c:pt idx="8">
                  <c:v>Denmark</c:v>
                </c:pt>
                <c:pt idx="9">
                  <c:v>Egypt</c:v>
                </c:pt>
                <c:pt idx="10">
                  <c:v>Finland</c:v>
                </c:pt>
                <c:pt idx="11">
                  <c:v>France</c:v>
                </c:pt>
                <c:pt idx="12">
                  <c:v>Germany</c:v>
                </c:pt>
                <c:pt idx="13">
                  <c:v>Greece</c:v>
                </c:pt>
                <c:pt idx="14">
                  <c:v>Hong Kong</c:v>
                </c:pt>
                <c:pt idx="15">
                  <c:v>India</c:v>
                </c:pt>
                <c:pt idx="16">
                  <c:v>Indonesia</c:v>
                </c:pt>
                <c:pt idx="17">
                  <c:v>Iran</c:v>
                </c:pt>
                <c:pt idx="18">
                  <c:v>Iraq</c:v>
                </c:pt>
                <c:pt idx="19">
                  <c:v>Ireland</c:v>
                </c:pt>
                <c:pt idx="20">
                  <c:v>Israel</c:v>
                </c:pt>
                <c:pt idx="21">
                  <c:v>Italy</c:v>
                </c:pt>
                <c:pt idx="22">
                  <c:v>Japan</c:v>
                </c:pt>
                <c:pt idx="23">
                  <c:v>Korea</c:v>
                </c:pt>
                <c:pt idx="24">
                  <c:v>Malaysia</c:v>
                </c:pt>
                <c:pt idx="25">
                  <c:v>Mexico</c:v>
                </c:pt>
                <c:pt idx="26">
                  <c:v>Netherlands</c:v>
                </c:pt>
                <c:pt idx="27">
                  <c:v>Nigeria</c:v>
                </c:pt>
                <c:pt idx="28">
                  <c:v>Norway</c:v>
                </c:pt>
                <c:pt idx="29">
                  <c:v>Pakistan</c:v>
                </c:pt>
                <c:pt idx="30">
                  <c:v>Philippines</c:v>
                </c:pt>
                <c:pt idx="31">
                  <c:v>Poland</c:v>
                </c:pt>
                <c:pt idx="32">
                  <c:v>Portugal</c:v>
                </c:pt>
                <c:pt idx="33">
                  <c:v>Russia</c:v>
                </c:pt>
                <c:pt idx="34">
                  <c:v>Saudi Arabia</c:v>
                </c:pt>
                <c:pt idx="35">
                  <c:v>Singapore</c:v>
                </c:pt>
                <c:pt idx="36">
                  <c:v>South Africa</c:v>
                </c:pt>
                <c:pt idx="37">
                  <c:v>Spain</c:v>
                </c:pt>
                <c:pt idx="38">
                  <c:v>Sweden</c:v>
                </c:pt>
                <c:pt idx="39">
                  <c:v>Switzerland</c:v>
                </c:pt>
                <c:pt idx="40">
                  <c:v>Taiwan</c:v>
                </c:pt>
                <c:pt idx="41">
                  <c:v>Thailand</c:v>
                </c:pt>
                <c:pt idx="42">
                  <c:v>Turkey</c:v>
                </c:pt>
                <c:pt idx="43">
                  <c:v>United Arab Emirates</c:v>
                </c:pt>
                <c:pt idx="44">
                  <c:v>United Kingdom</c:v>
                </c:pt>
                <c:pt idx="45">
                  <c:v>United States</c:v>
                </c:pt>
                <c:pt idx="46">
                  <c:v>Venezuela</c:v>
                </c:pt>
              </c:strCache>
            </c:strRef>
          </c:cat>
          <c:val>
            <c:numRef>
              <c:f>Sheet2!$B$5:$B$52</c:f>
              <c:numCache>
                <c:formatCode>General</c:formatCode>
                <c:ptCount val="47"/>
                <c:pt idx="0">
                  <c:v>149</c:v>
                </c:pt>
                <c:pt idx="1">
                  <c:v>446</c:v>
                </c:pt>
                <c:pt idx="2">
                  <c:v>192</c:v>
                </c:pt>
                <c:pt idx="3">
                  <c:v>231</c:v>
                </c:pt>
                <c:pt idx="4">
                  <c:v>800</c:v>
                </c:pt>
                <c:pt idx="5">
                  <c:v>500</c:v>
                </c:pt>
                <c:pt idx="6">
                  <c:v>69</c:v>
                </c:pt>
                <c:pt idx="7">
                  <c:v>72</c:v>
                </c:pt>
                <c:pt idx="8">
                  <c:v>80</c:v>
                </c:pt>
                <c:pt idx="9">
                  <c:v>84</c:v>
                </c:pt>
                <c:pt idx="10">
                  <c:v>75</c:v>
                </c:pt>
                <c:pt idx="11">
                  <c:v>1231</c:v>
                </c:pt>
                <c:pt idx="12">
                  <c:v>1144</c:v>
                </c:pt>
                <c:pt idx="13">
                  <c:v>52</c:v>
                </c:pt>
                <c:pt idx="14">
                  <c:v>37</c:v>
                </c:pt>
                <c:pt idx="15">
                  <c:v>648</c:v>
                </c:pt>
                <c:pt idx="16">
                  <c:v>503</c:v>
                </c:pt>
                <c:pt idx="17">
                  <c:v>143</c:v>
                </c:pt>
                <c:pt idx="18">
                  <c:v>41</c:v>
                </c:pt>
                <c:pt idx="19">
                  <c:v>51</c:v>
                </c:pt>
                <c:pt idx="20">
                  <c:v>80</c:v>
                </c:pt>
                <c:pt idx="21">
                  <c:v>756</c:v>
                </c:pt>
                <c:pt idx="22">
                  <c:v>1732</c:v>
                </c:pt>
                <c:pt idx="23">
                  <c:v>470</c:v>
                </c:pt>
                <c:pt idx="24">
                  <c:v>110</c:v>
                </c:pt>
                <c:pt idx="25">
                  <c:v>480</c:v>
                </c:pt>
                <c:pt idx="26">
                  <c:v>139</c:v>
                </c:pt>
                <c:pt idx="27">
                  <c:v>103</c:v>
                </c:pt>
                <c:pt idx="28">
                  <c:v>137</c:v>
                </c:pt>
                <c:pt idx="29">
                  <c:v>27</c:v>
                </c:pt>
                <c:pt idx="30">
                  <c:v>72</c:v>
                </c:pt>
                <c:pt idx="31">
                  <c:v>142</c:v>
                </c:pt>
                <c:pt idx="32">
                  <c:v>137</c:v>
                </c:pt>
                <c:pt idx="33">
                  <c:v>633</c:v>
                </c:pt>
                <c:pt idx="34">
                  <c:v>212</c:v>
                </c:pt>
                <c:pt idx="35">
                  <c:v>124</c:v>
                </c:pt>
                <c:pt idx="36">
                  <c:v>136</c:v>
                </c:pt>
                <c:pt idx="37">
                  <c:v>213</c:v>
                </c:pt>
                <c:pt idx="38">
                  <c:v>375</c:v>
                </c:pt>
                <c:pt idx="39">
                  <c:v>204</c:v>
                </c:pt>
                <c:pt idx="40">
                  <c:v>226</c:v>
                </c:pt>
                <c:pt idx="41">
                  <c:v>68</c:v>
                </c:pt>
                <c:pt idx="42">
                  <c:v>109</c:v>
                </c:pt>
                <c:pt idx="43">
                  <c:v>125</c:v>
                </c:pt>
                <c:pt idx="44">
                  <c:v>741</c:v>
                </c:pt>
                <c:pt idx="45">
                  <c:v>5850</c:v>
                </c:pt>
                <c:pt idx="46">
                  <c:v>67</c:v>
                </c:pt>
              </c:numCache>
            </c:numRef>
          </c:val>
        </c:ser>
        <c:ser>
          <c:idx val="1"/>
          <c:order val="1"/>
          <c:tx>
            <c:strRef>
              <c:f>Sheet2!$C$3:$C$4</c:f>
              <c:strCache>
                <c:ptCount val="1"/>
                <c:pt idx="0">
                  <c:v>7/7/2014</c:v>
                </c:pt>
              </c:strCache>
            </c:strRef>
          </c:tx>
          <c:spPr>
            <a:solidFill>
              <a:schemeClr val="accent2"/>
            </a:solidFill>
            <a:ln>
              <a:noFill/>
            </a:ln>
            <a:effectLst/>
          </c:spPr>
          <c:invertIfNegative val="0"/>
          <c:cat>
            <c:strRef>
              <c:f>Sheet2!$A$5:$A$52</c:f>
              <c:strCache>
                <c:ptCount val="47"/>
                <c:pt idx="0">
                  <c:v>Argentina</c:v>
                </c:pt>
                <c:pt idx="1">
                  <c:v>Australia</c:v>
                </c:pt>
                <c:pt idx="2">
                  <c:v>Austria</c:v>
                </c:pt>
                <c:pt idx="3">
                  <c:v>Belgium</c:v>
                </c:pt>
                <c:pt idx="4">
                  <c:v>Brazil</c:v>
                </c:pt>
                <c:pt idx="5">
                  <c:v>Canada</c:v>
                </c:pt>
                <c:pt idx="6">
                  <c:v>Chile</c:v>
                </c:pt>
                <c:pt idx="7">
                  <c:v>Colombia</c:v>
                </c:pt>
                <c:pt idx="8">
                  <c:v>Denmark</c:v>
                </c:pt>
                <c:pt idx="9">
                  <c:v>Egypt</c:v>
                </c:pt>
                <c:pt idx="10">
                  <c:v>Finland</c:v>
                </c:pt>
                <c:pt idx="11">
                  <c:v>France</c:v>
                </c:pt>
                <c:pt idx="12">
                  <c:v>Germany</c:v>
                </c:pt>
                <c:pt idx="13">
                  <c:v>Greece</c:v>
                </c:pt>
                <c:pt idx="14">
                  <c:v>Hong Kong</c:v>
                </c:pt>
                <c:pt idx="15">
                  <c:v>India</c:v>
                </c:pt>
                <c:pt idx="16">
                  <c:v>Indonesia</c:v>
                </c:pt>
                <c:pt idx="17">
                  <c:v>Iran</c:v>
                </c:pt>
                <c:pt idx="18">
                  <c:v>Iraq</c:v>
                </c:pt>
                <c:pt idx="19">
                  <c:v>Ireland</c:v>
                </c:pt>
                <c:pt idx="20">
                  <c:v>Israel</c:v>
                </c:pt>
                <c:pt idx="21">
                  <c:v>Italy</c:v>
                </c:pt>
                <c:pt idx="22">
                  <c:v>Japan</c:v>
                </c:pt>
                <c:pt idx="23">
                  <c:v>Korea</c:v>
                </c:pt>
                <c:pt idx="24">
                  <c:v>Malaysia</c:v>
                </c:pt>
                <c:pt idx="25">
                  <c:v>Mexico</c:v>
                </c:pt>
                <c:pt idx="26">
                  <c:v>Netherlands</c:v>
                </c:pt>
                <c:pt idx="27">
                  <c:v>Nigeria</c:v>
                </c:pt>
                <c:pt idx="28">
                  <c:v>Norway</c:v>
                </c:pt>
                <c:pt idx="29">
                  <c:v>Pakistan</c:v>
                </c:pt>
                <c:pt idx="30">
                  <c:v>Philippines</c:v>
                </c:pt>
                <c:pt idx="31">
                  <c:v>Poland</c:v>
                </c:pt>
                <c:pt idx="32">
                  <c:v>Portugal</c:v>
                </c:pt>
                <c:pt idx="33">
                  <c:v>Russia</c:v>
                </c:pt>
                <c:pt idx="34">
                  <c:v>Saudi Arabia</c:v>
                </c:pt>
                <c:pt idx="35">
                  <c:v>Singapore</c:v>
                </c:pt>
                <c:pt idx="36">
                  <c:v>South Africa</c:v>
                </c:pt>
                <c:pt idx="37">
                  <c:v>Spain</c:v>
                </c:pt>
                <c:pt idx="38">
                  <c:v>Sweden</c:v>
                </c:pt>
                <c:pt idx="39">
                  <c:v>Switzerland</c:v>
                </c:pt>
                <c:pt idx="40">
                  <c:v>Taiwan</c:v>
                </c:pt>
                <c:pt idx="41">
                  <c:v>Thailand</c:v>
                </c:pt>
                <c:pt idx="42">
                  <c:v>Turkey</c:v>
                </c:pt>
                <c:pt idx="43">
                  <c:v>United Arab Emirates</c:v>
                </c:pt>
                <c:pt idx="44">
                  <c:v>United Kingdom</c:v>
                </c:pt>
                <c:pt idx="45">
                  <c:v>United States</c:v>
                </c:pt>
                <c:pt idx="46">
                  <c:v>Venezuela</c:v>
                </c:pt>
              </c:strCache>
            </c:strRef>
          </c:cat>
          <c:val>
            <c:numRef>
              <c:f>Sheet2!$C$5:$C$52</c:f>
              <c:numCache>
                <c:formatCode>General</c:formatCode>
                <c:ptCount val="47"/>
                <c:pt idx="0">
                  <c:v>74</c:v>
                </c:pt>
                <c:pt idx="1">
                  <c:v>541</c:v>
                </c:pt>
                <c:pt idx="2">
                  <c:v>295</c:v>
                </c:pt>
                <c:pt idx="3">
                  <c:v>181</c:v>
                </c:pt>
                <c:pt idx="4">
                  <c:v>704</c:v>
                </c:pt>
                <c:pt idx="5">
                  <c:v>675</c:v>
                </c:pt>
                <c:pt idx="6">
                  <c:v>106</c:v>
                </c:pt>
                <c:pt idx="7">
                  <c:v>167</c:v>
                </c:pt>
                <c:pt idx="8">
                  <c:v>146</c:v>
                </c:pt>
                <c:pt idx="9">
                  <c:v>179</c:v>
                </c:pt>
                <c:pt idx="10">
                  <c:v>113</c:v>
                </c:pt>
                <c:pt idx="11">
                  <c:v>1195</c:v>
                </c:pt>
                <c:pt idx="12">
                  <c:v>1596</c:v>
                </c:pt>
                <c:pt idx="13">
                  <c:v>145</c:v>
                </c:pt>
                <c:pt idx="14">
                  <c:v>68</c:v>
                </c:pt>
                <c:pt idx="15">
                  <c:v>606</c:v>
                </c:pt>
                <c:pt idx="16">
                  <c:v>402</c:v>
                </c:pt>
                <c:pt idx="17">
                  <c:v>168</c:v>
                </c:pt>
                <c:pt idx="18">
                  <c:v>18</c:v>
                </c:pt>
                <c:pt idx="19">
                  <c:v>31</c:v>
                </c:pt>
                <c:pt idx="20">
                  <c:v>82</c:v>
                </c:pt>
                <c:pt idx="21">
                  <c:v>912</c:v>
                </c:pt>
                <c:pt idx="22">
                  <c:v>1757</c:v>
                </c:pt>
                <c:pt idx="23">
                  <c:v>308</c:v>
                </c:pt>
                <c:pt idx="24">
                  <c:v>227</c:v>
                </c:pt>
                <c:pt idx="25">
                  <c:v>528</c:v>
                </c:pt>
                <c:pt idx="26">
                  <c:v>253</c:v>
                </c:pt>
                <c:pt idx="27">
                  <c:v>97</c:v>
                </c:pt>
                <c:pt idx="28">
                  <c:v>154</c:v>
                </c:pt>
                <c:pt idx="29">
                  <c:v>45</c:v>
                </c:pt>
                <c:pt idx="30">
                  <c:v>92</c:v>
                </c:pt>
                <c:pt idx="31">
                  <c:v>171</c:v>
                </c:pt>
                <c:pt idx="32">
                  <c:v>65</c:v>
                </c:pt>
                <c:pt idx="33">
                  <c:v>595</c:v>
                </c:pt>
                <c:pt idx="34">
                  <c:v>267</c:v>
                </c:pt>
                <c:pt idx="35">
                  <c:v>73</c:v>
                </c:pt>
                <c:pt idx="36">
                  <c:v>159</c:v>
                </c:pt>
                <c:pt idx="37">
                  <c:v>242</c:v>
                </c:pt>
                <c:pt idx="38">
                  <c:v>239</c:v>
                </c:pt>
                <c:pt idx="39">
                  <c:v>278</c:v>
                </c:pt>
                <c:pt idx="40">
                  <c:v>214</c:v>
                </c:pt>
                <c:pt idx="41">
                  <c:v>165</c:v>
                </c:pt>
                <c:pt idx="42">
                  <c:v>205</c:v>
                </c:pt>
                <c:pt idx="43">
                  <c:v>99</c:v>
                </c:pt>
                <c:pt idx="44">
                  <c:v>871</c:v>
                </c:pt>
                <c:pt idx="45">
                  <c:v>5482</c:v>
                </c:pt>
                <c:pt idx="46">
                  <c:v>122</c:v>
                </c:pt>
              </c:numCache>
            </c:numRef>
          </c:val>
        </c:ser>
        <c:ser>
          <c:idx val="2"/>
          <c:order val="2"/>
          <c:tx>
            <c:strRef>
              <c:f>Sheet2!$D$3:$D$4</c:f>
              <c:strCache>
                <c:ptCount val="1"/>
                <c:pt idx="0">
                  <c:v>7/14/2014</c:v>
                </c:pt>
              </c:strCache>
            </c:strRef>
          </c:tx>
          <c:spPr>
            <a:solidFill>
              <a:schemeClr val="accent3"/>
            </a:solidFill>
            <a:ln>
              <a:noFill/>
            </a:ln>
            <a:effectLst/>
          </c:spPr>
          <c:invertIfNegative val="0"/>
          <c:cat>
            <c:strRef>
              <c:f>Sheet2!$A$5:$A$52</c:f>
              <c:strCache>
                <c:ptCount val="47"/>
                <c:pt idx="0">
                  <c:v>Argentina</c:v>
                </c:pt>
                <c:pt idx="1">
                  <c:v>Australia</c:v>
                </c:pt>
                <c:pt idx="2">
                  <c:v>Austria</c:v>
                </c:pt>
                <c:pt idx="3">
                  <c:v>Belgium</c:v>
                </c:pt>
                <c:pt idx="4">
                  <c:v>Brazil</c:v>
                </c:pt>
                <c:pt idx="5">
                  <c:v>Canada</c:v>
                </c:pt>
                <c:pt idx="6">
                  <c:v>Chile</c:v>
                </c:pt>
                <c:pt idx="7">
                  <c:v>Colombia</c:v>
                </c:pt>
                <c:pt idx="8">
                  <c:v>Denmark</c:v>
                </c:pt>
                <c:pt idx="9">
                  <c:v>Egypt</c:v>
                </c:pt>
                <c:pt idx="10">
                  <c:v>Finland</c:v>
                </c:pt>
                <c:pt idx="11">
                  <c:v>France</c:v>
                </c:pt>
                <c:pt idx="12">
                  <c:v>Germany</c:v>
                </c:pt>
                <c:pt idx="13">
                  <c:v>Greece</c:v>
                </c:pt>
                <c:pt idx="14">
                  <c:v>Hong Kong</c:v>
                </c:pt>
                <c:pt idx="15">
                  <c:v>India</c:v>
                </c:pt>
                <c:pt idx="16">
                  <c:v>Indonesia</c:v>
                </c:pt>
                <c:pt idx="17">
                  <c:v>Iran</c:v>
                </c:pt>
                <c:pt idx="18">
                  <c:v>Iraq</c:v>
                </c:pt>
                <c:pt idx="19">
                  <c:v>Ireland</c:v>
                </c:pt>
                <c:pt idx="20">
                  <c:v>Israel</c:v>
                </c:pt>
                <c:pt idx="21">
                  <c:v>Italy</c:v>
                </c:pt>
                <c:pt idx="22">
                  <c:v>Japan</c:v>
                </c:pt>
                <c:pt idx="23">
                  <c:v>Korea</c:v>
                </c:pt>
                <c:pt idx="24">
                  <c:v>Malaysia</c:v>
                </c:pt>
                <c:pt idx="25">
                  <c:v>Mexico</c:v>
                </c:pt>
                <c:pt idx="26">
                  <c:v>Netherlands</c:v>
                </c:pt>
                <c:pt idx="27">
                  <c:v>Nigeria</c:v>
                </c:pt>
                <c:pt idx="28">
                  <c:v>Norway</c:v>
                </c:pt>
                <c:pt idx="29">
                  <c:v>Pakistan</c:v>
                </c:pt>
                <c:pt idx="30">
                  <c:v>Philippines</c:v>
                </c:pt>
                <c:pt idx="31">
                  <c:v>Poland</c:v>
                </c:pt>
                <c:pt idx="32">
                  <c:v>Portugal</c:v>
                </c:pt>
                <c:pt idx="33">
                  <c:v>Russia</c:v>
                </c:pt>
                <c:pt idx="34">
                  <c:v>Saudi Arabia</c:v>
                </c:pt>
                <c:pt idx="35">
                  <c:v>Singapore</c:v>
                </c:pt>
                <c:pt idx="36">
                  <c:v>South Africa</c:v>
                </c:pt>
                <c:pt idx="37">
                  <c:v>Spain</c:v>
                </c:pt>
                <c:pt idx="38">
                  <c:v>Sweden</c:v>
                </c:pt>
                <c:pt idx="39">
                  <c:v>Switzerland</c:v>
                </c:pt>
                <c:pt idx="40">
                  <c:v>Taiwan</c:v>
                </c:pt>
                <c:pt idx="41">
                  <c:v>Thailand</c:v>
                </c:pt>
                <c:pt idx="42">
                  <c:v>Turkey</c:v>
                </c:pt>
                <c:pt idx="43">
                  <c:v>United Arab Emirates</c:v>
                </c:pt>
                <c:pt idx="44">
                  <c:v>United Kingdom</c:v>
                </c:pt>
                <c:pt idx="45">
                  <c:v>United States</c:v>
                </c:pt>
                <c:pt idx="46">
                  <c:v>Venezuela</c:v>
                </c:pt>
              </c:strCache>
            </c:strRef>
          </c:cat>
          <c:val>
            <c:numRef>
              <c:f>Sheet2!$D$5:$D$52</c:f>
              <c:numCache>
                <c:formatCode>General</c:formatCode>
                <c:ptCount val="47"/>
                <c:pt idx="0">
                  <c:v>66</c:v>
                </c:pt>
                <c:pt idx="1">
                  <c:v>318</c:v>
                </c:pt>
                <c:pt idx="2">
                  <c:v>198</c:v>
                </c:pt>
                <c:pt idx="3">
                  <c:v>203</c:v>
                </c:pt>
                <c:pt idx="4">
                  <c:v>659</c:v>
                </c:pt>
                <c:pt idx="5">
                  <c:v>661</c:v>
                </c:pt>
                <c:pt idx="6">
                  <c:v>83</c:v>
                </c:pt>
                <c:pt idx="7">
                  <c:v>164</c:v>
                </c:pt>
                <c:pt idx="8">
                  <c:v>177</c:v>
                </c:pt>
                <c:pt idx="9">
                  <c:v>131</c:v>
                </c:pt>
                <c:pt idx="10">
                  <c:v>109</c:v>
                </c:pt>
                <c:pt idx="11">
                  <c:v>1061</c:v>
                </c:pt>
                <c:pt idx="12">
                  <c:v>1745</c:v>
                </c:pt>
                <c:pt idx="13">
                  <c:v>129</c:v>
                </c:pt>
                <c:pt idx="14">
                  <c:v>92</c:v>
                </c:pt>
                <c:pt idx="15">
                  <c:v>734</c:v>
                </c:pt>
                <c:pt idx="16">
                  <c:v>328</c:v>
                </c:pt>
                <c:pt idx="17">
                  <c:v>158</c:v>
                </c:pt>
                <c:pt idx="18">
                  <c:v>59</c:v>
                </c:pt>
                <c:pt idx="19">
                  <c:v>74</c:v>
                </c:pt>
                <c:pt idx="20">
                  <c:v>160</c:v>
                </c:pt>
                <c:pt idx="21">
                  <c:v>722</c:v>
                </c:pt>
                <c:pt idx="22">
                  <c:v>1537</c:v>
                </c:pt>
                <c:pt idx="23">
                  <c:v>628</c:v>
                </c:pt>
                <c:pt idx="24">
                  <c:v>169</c:v>
                </c:pt>
                <c:pt idx="25">
                  <c:v>638</c:v>
                </c:pt>
                <c:pt idx="26">
                  <c:v>257</c:v>
                </c:pt>
                <c:pt idx="27">
                  <c:v>153</c:v>
                </c:pt>
                <c:pt idx="28">
                  <c:v>122</c:v>
                </c:pt>
                <c:pt idx="29">
                  <c:v>47</c:v>
                </c:pt>
                <c:pt idx="30">
                  <c:v>114</c:v>
                </c:pt>
                <c:pt idx="31">
                  <c:v>145</c:v>
                </c:pt>
                <c:pt idx="32">
                  <c:v>107</c:v>
                </c:pt>
                <c:pt idx="33">
                  <c:v>770</c:v>
                </c:pt>
                <c:pt idx="34">
                  <c:v>289</c:v>
                </c:pt>
                <c:pt idx="35">
                  <c:v>240</c:v>
                </c:pt>
                <c:pt idx="36">
                  <c:v>159</c:v>
                </c:pt>
                <c:pt idx="37">
                  <c:v>231</c:v>
                </c:pt>
                <c:pt idx="38">
                  <c:v>216</c:v>
                </c:pt>
                <c:pt idx="39">
                  <c:v>353</c:v>
                </c:pt>
                <c:pt idx="40">
                  <c:v>201</c:v>
                </c:pt>
                <c:pt idx="41">
                  <c:v>163</c:v>
                </c:pt>
                <c:pt idx="42">
                  <c:v>157</c:v>
                </c:pt>
                <c:pt idx="43">
                  <c:v>88</c:v>
                </c:pt>
                <c:pt idx="44">
                  <c:v>876</c:v>
                </c:pt>
                <c:pt idx="45">
                  <c:v>6011</c:v>
                </c:pt>
                <c:pt idx="46">
                  <c:v>151</c:v>
                </c:pt>
              </c:numCache>
            </c:numRef>
          </c:val>
        </c:ser>
        <c:ser>
          <c:idx val="3"/>
          <c:order val="3"/>
          <c:tx>
            <c:strRef>
              <c:f>Sheet2!$E$3:$E$4</c:f>
              <c:strCache>
                <c:ptCount val="1"/>
                <c:pt idx="0">
                  <c:v>7/21/2014</c:v>
                </c:pt>
              </c:strCache>
            </c:strRef>
          </c:tx>
          <c:spPr>
            <a:solidFill>
              <a:schemeClr val="accent4"/>
            </a:solidFill>
            <a:ln>
              <a:noFill/>
            </a:ln>
            <a:effectLst/>
          </c:spPr>
          <c:invertIfNegative val="0"/>
          <c:cat>
            <c:strRef>
              <c:f>Sheet2!$A$5:$A$52</c:f>
              <c:strCache>
                <c:ptCount val="47"/>
                <c:pt idx="0">
                  <c:v>Argentina</c:v>
                </c:pt>
                <c:pt idx="1">
                  <c:v>Australia</c:v>
                </c:pt>
                <c:pt idx="2">
                  <c:v>Austria</c:v>
                </c:pt>
                <c:pt idx="3">
                  <c:v>Belgium</c:v>
                </c:pt>
                <c:pt idx="4">
                  <c:v>Brazil</c:v>
                </c:pt>
                <c:pt idx="5">
                  <c:v>Canada</c:v>
                </c:pt>
                <c:pt idx="6">
                  <c:v>Chile</c:v>
                </c:pt>
                <c:pt idx="7">
                  <c:v>Colombia</c:v>
                </c:pt>
                <c:pt idx="8">
                  <c:v>Denmark</c:v>
                </c:pt>
                <c:pt idx="9">
                  <c:v>Egypt</c:v>
                </c:pt>
                <c:pt idx="10">
                  <c:v>Finland</c:v>
                </c:pt>
                <c:pt idx="11">
                  <c:v>France</c:v>
                </c:pt>
                <c:pt idx="12">
                  <c:v>Germany</c:v>
                </c:pt>
                <c:pt idx="13">
                  <c:v>Greece</c:v>
                </c:pt>
                <c:pt idx="14">
                  <c:v>Hong Kong</c:v>
                </c:pt>
                <c:pt idx="15">
                  <c:v>India</c:v>
                </c:pt>
                <c:pt idx="16">
                  <c:v>Indonesia</c:v>
                </c:pt>
                <c:pt idx="17">
                  <c:v>Iran</c:v>
                </c:pt>
                <c:pt idx="18">
                  <c:v>Iraq</c:v>
                </c:pt>
                <c:pt idx="19">
                  <c:v>Ireland</c:v>
                </c:pt>
                <c:pt idx="20">
                  <c:v>Israel</c:v>
                </c:pt>
                <c:pt idx="21">
                  <c:v>Italy</c:v>
                </c:pt>
                <c:pt idx="22">
                  <c:v>Japan</c:v>
                </c:pt>
                <c:pt idx="23">
                  <c:v>Korea</c:v>
                </c:pt>
                <c:pt idx="24">
                  <c:v>Malaysia</c:v>
                </c:pt>
                <c:pt idx="25">
                  <c:v>Mexico</c:v>
                </c:pt>
                <c:pt idx="26">
                  <c:v>Netherlands</c:v>
                </c:pt>
                <c:pt idx="27">
                  <c:v>Nigeria</c:v>
                </c:pt>
                <c:pt idx="28">
                  <c:v>Norway</c:v>
                </c:pt>
                <c:pt idx="29">
                  <c:v>Pakistan</c:v>
                </c:pt>
                <c:pt idx="30">
                  <c:v>Philippines</c:v>
                </c:pt>
                <c:pt idx="31">
                  <c:v>Poland</c:v>
                </c:pt>
                <c:pt idx="32">
                  <c:v>Portugal</c:v>
                </c:pt>
                <c:pt idx="33">
                  <c:v>Russia</c:v>
                </c:pt>
                <c:pt idx="34">
                  <c:v>Saudi Arabia</c:v>
                </c:pt>
                <c:pt idx="35">
                  <c:v>Singapore</c:v>
                </c:pt>
                <c:pt idx="36">
                  <c:v>South Africa</c:v>
                </c:pt>
                <c:pt idx="37">
                  <c:v>Spain</c:v>
                </c:pt>
                <c:pt idx="38">
                  <c:v>Sweden</c:v>
                </c:pt>
                <c:pt idx="39">
                  <c:v>Switzerland</c:v>
                </c:pt>
                <c:pt idx="40">
                  <c:v>Taiwan</c:v>
                </c:pt>
                <c:pt idx="41">
                  <c:v>Thailand</c:v>
                </c:pt>
                <c:pt idx="42">
                  <c:v>Turkey</c:v>
                </c:pt>
                <c:pt idx="43">
                  <c:v>United Arab Emirates</c:v>
                </c:pt>
                <c:pt idx="44">
                  <c:v>United Kingdom</c:v>
                </c:pt>
                <c:pt idx="45">
                  <c:v>United States</c:v>
                </c:pt>
                <c:pt idx="46">
                  <c:v>Venezuela</c:v>
                </c:pt>
              </c:strCache>
            </c:strRef>
          </c:cat>
          <c:val>
            <c:numRef>
              <c:f>Sheet2!$E$5:$E$52</c:f>
              <c:numCache>
                <c:formatCode>General</c:formatCode>
                <c:ptCount val="47"/>
                <c:pt idx="0">
                  <c:v>80</c:v>
                </c:pt>
                <c:pt idx="1">
                  <c:v>298</c:v>
                </c:pt>
                <c:pt idx="2">
                  <c:v>151</c:v>
                </c:pt>
                <c:pt idx="3">
                  <c:v>240</c:v>
                </c:pt>
                <c:pt idx="4">
                  <c:v>733</c:v>
                </c:pt>
                <c:pt idx="5">
                  <c:v>494</c:v>
                </c:pt>
                <c:pt idx="6">
                  <c:v>108</c:v>
                </c:pt>
                <c:pt idx="7">
                  <c:v>116</c:v>
                </c:pt>
                <c:pt idx="8">
                  <c:v>113</c:v>
                </c:pt>
                <c:pt idx="9">
                  <c:v>79</c:v>
                </c:pt>
                <c:pt idx="10">
                  <c:v>161</c:v>
                </c:pt>
                <c:pt idx="11">
                  <c:v>1243</c:v>
                </c:pt>
                <c:pt idx="12">
                  <c:v>1867</c:v>
                </c:pt>
                <c:pt idx="13">
                  <c:v>72</c:v>
                </c:pt>
                <c:pt idx="14">
                  <c:v>81</c:v>
                </c:pt>
                <c:pt idx="15">
                  <c:v>600</c:v>
                </c:pt>
                <c:pt idx="16">
                  <c:v>301</c:v>
                </c:pt>
                <c:pt idx="17">
                  <c:v>202</c:v>
                </c:pt>
                <c:pt idx="18">
                  <c:v>119</c:v>
                </c:pt>
                <c:pt idx="19">
                  <c:v>43</c:v>
                </c:pt>
                <c:pt idx="20">
                  <c:v>137</c:v>
                </c:pt>
                <c:pt idx="21">
                  <c:v>770</c:v>
                </c:pt>
                <c:pt idx="22">
                  <c:v>1422</c:v>
                </c:pt>
                <c:pt idx="23">
                  <c:v>335</c:v>
                </c:pt>
                <c:pt idx="24">
                  <c:v>92</c:v>
                </c:pt>
                <c:pt idx="25">
                  <c:v>558</c:v>
                </c:pt>
                <c:pt idx="26">
                  <c:v>336</c:v>
                </c:pt>
                <c:pt idx="27">
                  <c:v>74</c:v>
                </c:pt>
                <c:pt idx="28">
                  <c:v>93</c:v>
                </c:pt>
                <c:pt idx="29">
                  <c:v>38</c:v>
                </c:pt>
                <c:pt idx="30">
                  <c:v>104</c:v>
                </c:pt>
                <c:pt idx="31">
                  <c:v>166</c:v>
                </c:pt>
                <c:pt idx="32">
                  <c:v>31</c:v>
                </c:pt>
                <c:pt idx="33">
                  <c:v>707</c:v>
                </c:pt>
                <c:pt idx="34">
                  <c:v>265</c:v>
                </c:pt>
                <c:pt idx="35">
                  <c:v>122</c:v>
                </c:pt>
                <c:pt idx="36">
                  <c:v>200</c:v>
                </c:pt>
                <c:pt idx="37">
                  <c:v>225</c:v>
                </c:pt>
                <c:pt idx="38">
                  <c:v>221</c:v>
                </c:pt>
                <c:pt idx="39">
                  <c:v>402</c:v>
                </c:pt>
                <c:pt idx="40">
                  <c:v>272</c:v>
                </c:pt>
                <c:pt idx="41">
                  <c:v>68</c:v>
                </c:pt>
                <c:pt idx="42">
                  <c:v>246</c:v>
                </c:pt>
                <c:pt idx="43">
                  <c:v>113</c:v>
                </c:pt>
                <c:pt idx="44">
                  <c:v>972</c:v>
                </c:pt>
                <c:pt idx="45">
                  <c:v>6008</c:v>
                </c:pt>
                <c:pt idx="46">
                  <c:v>246</c:v>
                </c:pt>
              </c:numCache>
            </c:numRef>
          </c:val>
        </c:ser>
        <c:ser>
          <c:idx val="4"/>
          <c:order val="4"/>
          <c:tx>
            <c:strRef>
              <c:f>Sheet2!$F$3:$F$4</c:f>
              <c:strCache>
                <c:ptCount val="1"/>
                <c:pt idx="0">
                  <c:v>7/28/2014</c:v>
                </c:pt>
              </c:strCache>
            </c:strRef>
          </c:tx>
          <c:spPr>
            <a:solidFill>
              <a:schemeClr val="accent5"/>
            </a:solidFill>
            <a:ln>
              <a:noFill/>
            </a:ln>
            <a:effectLst/>
          </c:spPr>
          <c:invertIfNegative val="0"/>
          <c:cat>
            <c:strRef>
              <c:f>Sheet2!$A$5:$A$52</c:f>
              <c:strCache>
                <c:ptCount val="47"/>
                <c:pt idx="0">
                  <c:v>Argentina</c:v>
                </c:pt>
                <c:pt idx="1">
                  <c:v>Australia</c:v>
                </c:pt>
                <c:pt idx="2">
                  <c:v>Austria</c:v>
                </c:pt>
                <c:pt idx="3">
                  <c:v>Belgium</c:v>
                </c:pt>
                <c:pt idx="4">
                  <c:v>Brazil</c:v>
                </c:pt>
                <c:pt idx="5">
                  <c:v>Canada</c:v>
                </c:pt>
                <c:pt idx="6">
                  <c:v>Chile</c:v>
                </c:pt>
                <c:pt idx="7">
                  <c:v>Colombia</c:v>
                </c:pt>
                <c:pt idx="8">
                  <c:v>Denmark</c:v>
                </c:pt>
                <c:pt idx="9">
                  <c:v>Egypt</c:v>
                </c:pt>
                <c:pt idx="10">
                  <c:v>Finland</c:v>
                </c:pt>
                <c:pt idx="11">
                  <c:v>France</c:v>
                </c:pt>
                <c:pt idx="12">
                  <c:v>Germany</c:v>
                </c:pt>
                <c:pt idx="13">
                  <c:v>Greece</c:v>
                </c:pt>
                <c:pt idx="14">
                  <c:v>Hong Kong</c:v>
                </c:pt>
                <c:pt idx="15">
                  <c:v>India</c:v>
                </c:pt>
                <c:pt idx="16">
                  <c:v>Indonesia</c:v>
                </c:pt>
                <c:pt idx="17">
                  <c:v>Iran</c:v>
                </c:pt>
                <c:pt idx="18">
                  <c:v>Iraq</c:v>
                </c:pt>
                <c:pt idx="19">
                  <c:v>Ireland</c:v>
                </c:pt>
                <c:pt idx="20">
                  <c:v>Israel</c:v>
                </c:pt>
                <c:pt idx="21">
                  <c:v>Italy</c:v>
                </c:pt>
                <c:pt idx="22">
                  <c:v>Japan</c:v>
                </c:pt>
                <c:pt idx="23">
                  <c:v>Korea</c:v>
                </c:pt>
                <c:pt idx="24">
                  <c:v>Malaysia</c:v>
                </c:pt>
                <c:pt idx="25">
                  <c:v>Mexico</c:v>
                </c:pt>
                <c:pt idx="26">
                  <c:v>Netherlands</c:v>
                </c:pt>
                <c:pt idx="27">
                  <c:v>Nigeria</c:v>
                </c:pt>
                <c:pt idx="28">
                  <c:v>Norway</c:v>
                </c:pt>
                <c:pt idx="29">
                  <c:v>Pakistan</c:v>
                </c:pt>
                <c:pt idx="30">
                  <c:v>Philippines</c:v>
                </c:pt>
                <c:pt idx="31">
                  <c:v>Poland</c:v>
                </c:pt>
                <c:pt idx="32">
                  <c:v>Portugal</c:v>
                </c:pt>
                <c:pt idx="33">
                  <c:v>Russia</c:v>
                </c:pt>
                <c:pt idx="34">
                  <c:v>Saudi Arabia</c:v>
                </c:pt>
                <c:pt idx="35">
                  <c:v>Singapore</c:v>
                </c:pt>
                <c:pt idx="36">
                  <c:v>South Africa</c:v>
                </c:pt>
                <c:pt idx="37">
                  <c:v>Spain</c:v>
                </c:pt>
                <c:pt idx="38">
                  <c:v>Sweden</c:v>
                </c:pt>
                <c:pt idx="39">
                  <c:v>Switzerland</c:v>
                </c:pt>
                <c:pt idx="40">
                  <c:v>Taiwan</c:v>
                </c:pt>
                <c:pt idx="41">
                  <c:v>Thailand</c:v>
                </c:pt>
                <c:pt idx="42">
                  <c:v>Turkey</c:v>
                </c:pt>
                <c:pt idx="43">
                  <c:v>United Arab Emirates</c:v>
                </c:pt>
                <c:pt idx="44">
                  <c:v>United Kingdom</c:v>
                </c:pt>
                <c:pt idx="45">
                  <c:v>United States</c:v>
                </c:pt>
                <c:pt idx="46">
                  <c:v>Venezuela</c:v>
                </c:pt>
              </c:strCache>
            </c:strRef>
          </c:cat>
          <c:val>
            <c:numRef>
              <c:f>Sheet2!$F$5:$F$52</c:f>
              <c:numCache>
                <c:formatCode>General</c:formatCode>
                <c:ptCount val="47"/>
                <c:pt idx="0">
                  <c:v>73</c:v>
                </c:pt>
                <c:pt idx="1">
                  <c:v>507</c:v>
                </c:pt>
                <c:pt idx="2">
                  <c:v>194</c:v>
                </c:pt>
                <c:pt idx="3">
                  <c:v>146</c:v>
                </c:pt>
                <c:pt idx="4">
                  <c:v>659</c:v>
                </c:pt>
                <c:pt idx="5">
                  <c:v>513</c:v>
                </c:pt>
                <c:pt idx="6">
                  <c:v>129</c:v>
                </c:pt>
                <c:pt idx="7">
                  <c:v>172</c:v>
                </c:pt>
                <c:pt idx="8">
                  <c:v>213</c:v>
                </c:pt>
                <c:pt idx="9">
                  <c:v>90</c:v>
                </c:pt>
                <c:pt idx="10">
                  <c:v>81</c:v>
                </c:pt>
                <c:pt idx="11">
                  <c:v>1057</c:v>
                </c:pt>
                <c:pt idx="12">
                  <c:v>1581</c:v>
                </c:pt>
                <c:pt idx="13">
                  <c:v>47</c:v>
                </c:pt>
                <c:pt idx="14">
                  <c:v>84</c:v>
                </c:pt>
                <c:pt idx="15">
                  <c:v>772</c:v>
                </c:pt>
                <c:pt idx="16">
                  <c:v>311</c:v>
                </c:pt>
                <c:pt idx="17">
                  <c:v>234</c:v>
                </c:pt>
                <c:pt idx="18">
                  <c:v>111</c:v>
                </c:pt>
                <c:pt idx="19">
                  <c:v>31</c:v>
                </c:pt>
                <c:pt idx="20">
                  <c:v>169</c:v>
                </c:pt>
                <c:pt idx="21">
                  <c:v>946</c:v>
                </c:pt>
                <c:pt idx="22">
                  <c:v>1756</c:v>
                </c:pt>
                <c:pt idx="23">
                  <c:v>484</c:v>
                </c:pt>
                <c:pt idx="24">
                  <c:v>137</c:v>
                </c:pt>
                <c:pt idx="25">
                  <c:v>524</c:v>
                </c:pt>
                <c:pt idx="26">
                  <c:v>419</c:v>
                </c:pt>
                <c:pt idx="27">
                  <c:v>70</c:v>
                </c:pt>
                <c:pt idx="28">
                  <c:v>60</c:v>
                </c:pt>
                <c:pt idx="29">
                  <c:v>149</c:v>
                </c:pt>
                <c:pt idx="30">
                  <c:v>95</c:v>
                </c:pt>
                <c:pt idx="31">
                  <c:v>275</c:v>
                </c:pt>
                <c:pt idx="32">
                  <c:v>40</c:v>
                </c:pt>
                <c:pt idx="33">
                  <c:v>737</c:v>
                </c:pt>
                <c:pt idx="34">
                  <c:v>252</c:v>
                </c:pt>
                <c:pt idx="35">
                  <c:v>96</c:v>
                </c:pt>
                <c:pt idx="36">
                  <c:v>199</c:v>
                </c:pt>
                <c:pt idx="37">
                  <c:v>309</c:v>
                </c:pt>
                <c:pt idx="38">
                  <c:v>145</c:v>
                </c:pt>
                <c:pt idx="39">
                  <c:v>300</c:v>
                </c:pt>
                <c:pt idx="40">
                  <c:v>108</c:v>
                </c:pt>
                <c:pt idx="41">
                  <c:v>108</c:v>
                </c:pt>
                <c:pt idx="42">
                  <c:v>125</c:v>
                </c:pt>
                <c:pt idx="43">
                  <c:v>96</c:v>
                </c:pt>
                <c:pt idx="44">
                  <c:v>1070</c:v>
                </c:pt>
                <c:pt idx="45">
                  <c:v>6877</c:v>
                </c:pt>
                <c:pt idx="46">
                  <c:v>149</c:v>
                </c:pt>
              </c:numCache>
            </c:numRef>
          </c:val>
        </c:ser>
        <c:ser>
          <c:idx val="5"/>
          <c:order val="5"/>
          <c:tx>
            <c:strRef>
              <c:f>Sheet2!$G$3:$G$4</c:f>
              <c:strCache>
                <c:ptCount val="1"/>
                <c:pt idx="0">
                  <c:v>8/4/2014</c:v>
                </c:pt>
              </c:strCache>
            </c:strRef>
          </c:tx>
          <c:spPr>
            <a:solidFill>
              <a:schemeClr val="accent6"/>
            </a:solidFill>
            <a:ln>
              <a:noFill/>
            </a:ln>
            <a:effectLst/>
          </c:spPr>
          <c:invertIfNegative val="0"/>
          <c:cat>
            <c:strRef>
              <c:f>Sheet2!$A$5:$A$52</c:f>
              <c:strCache>
                <c:ptCount val="47"/>
                <c:pt idx="0">
                  <c:v>Argentina</c:v>
                </c:pt>
                <c:pt idx="1">
                  <c:v>Australia</c:v>
                </c:pt>
                <c:pt idx="2">
                  <c:v>Austria</c:v>
                </c:pt>
                <c:pt idx="3">
                  <c:v>Belgium</c:v>
                </c:pt>
                <c:pt idx="4">
                  <c:v>Brazil</c:v>
                </c:pt>
                <c:pt idx="5">
                  <c:v>Canada</c:v>
                </c:pt>
                <c:pt idx="6">
                  <c:v>Chile</c:v>
                </c:pt>
                <c:pt idx="7">
                  <c:v>Colombia</c:v>
                </c:pt>
                <c:pt idx="8">
                  <c:v>Denmark</c:v>
                </c:pt>
                <c:pt idx="9">
                  <c:v>Egypt</c:v>
                </c:pt>
                <c:pt idx="10">
                  <c:v>Finland</c:v>
                </c:pt>
                <c:pt idx="11">
                  <c:v>France</c:v>
                </c:pt>
                <c:pt idx="12">
                  <c:v>Germany</c:v>
                </c:pt>
                <c:pt idx="13">
                  <c:v>Greece</c:v>
                </c:pt>
                <c:pt idx="14">
                  <c:v>Hong Kong</c:v>
                </c:pt>
                <c:pt idx="15">
                  <c:v>India</c:v>
                </c:pt>
                <c:pt idx="16">
                  <c:v>Indonesia</c:v>
                </c:pt>
                <c:pt idx="17">
                  <c:v>Iran</c:v>
                </c:pt>
                <c:pt idx="18">
                  <c:v>Iraq</c:v>
                </c:pt>
                <c:pt idx="19">
                  <c:v>Ireland</c:v>
                </c:pt>
                <c:pt idx="20">
                  <c:v>Israel</c:v>
                </c:pt>
                <c:pt idx="21">
                  <c:v>Italy</c:v>
                </c:pt>
                <c:pt idx="22">
                  <c:v>Japan</c:v>
                </c:pt>
                <c:pt idx="23">
                  <c:v>Korea</c:v>
                </c:pt>
                <c:pt idx="24">
                  <c:v>Malaysia</c:v>
                </c:pt>
                <c:pt idx="25">
                  <c:v>Mexico</c:v>
                </c:pt>
                <c:pt idx="26">
                  <c:v>Netherlands</c:v>
                </c:pt>
                <c:pt idx="27">
                  <c:v>Nigeria</c:v>
                </c:pt>
                <c:pt idx="28">
                  <c:v>Norway</c:v>
                </c:pt>
                <c:pt idx="29">
                  <c:v>Pakistan</c:v>
                </c:pt>
                <c:pt idx="30">
                  <c:v>Philippines</c:v>
                </c:pt>
                <c:pt idx="31">
                  <c:v>Poland</c:v>
                </c:pt>
                <c:pt idx="32">
                  <c:v>Portugal</c:v>
                </c:pt>
                <c:pt idx="33">
                  <c:v>Russia</c:v>
                </c:pt>
                <c:pt idx="34">
                  <c:v>Saudi Arabia</c:v>
                </c:pt>
                <c:pt idx="35">
                  <c:v>Singapore</c:v>
                </c:pt>
                <c:pt idx="36">
                  <c:v>South Africa</c:v>
                </c:pt>
                <c:pt idx="37">
                  <c:v>Spain</c:v>
                </c:pt>
                <c:pt idx="38">
                  <c:v>Sweden</c:v>
                </c:pt>
                <c:pt idx="39">
                  <c:v>Switzerland</c:v>
                </c:pt>
                <c:pt idx="40">
                  <c:v>Taiwan</c:v>
                </c:pt>
                <c:pt idx="41">
                  <c:v>Thailand</c:v>
                </c:pt>
                <c:pt idx="42">
                  <c:v>Turkey</c:v>
                </c:pt>
                <c:pt idx="43">
                  <c:v>United Arab Emirates</c:v>
                </c:pt>
                <c:pt idx="44">
                  <c:v>United Kingdom</c:v>
                </c:pt>
                <c:pt idx="45">
                  <c:v>United States</c:v>
                </c:pt>
                <c:pt idx="46">
                  <c:v>Venezuela</c:v>
                </c:pt>
              </c:strCache>
            </c:strRef>
          </c:cat>
          <c:val>
            <c:numRef>
              <c:f>Sheet2!$G$5:$G$52</c:f>
              <c:numCache>
                <c:formatCode>General</c:formatCode>
                <c:ptCount val="47"/>
                <c:pt idx="0">
                  <c:v>192</c:v>
                </c:pt>
                <c:pt idx="1">
                  <c:v>481</c:v>
                </c:pt>
                <c:pt idx="2">
                  <c:v>135</c:v>
                </c:pt>
                <c:pt idx="3">
                  <c:v>72</c:v>
                </c:pt>
                <c:pt idx="4">
                  <c:v>501</c:v>
                </c:pt>
                <c:pt idx="5">
                  <c:v>472</c:v>
                </c:pt>
                <c:pt idx="6">
                  <c:v>140</c:v>
                </c:pt>
                <c:pt idx="7">
                  <c:v>156</c:v>
                </c:pt>
                <c:pt idx="8">
                  <c:v>169</c:v>
                </c:pt>
                <c:pt idx="9">
                  <c:v>99</c:v>
                </c:pt>
                <c:pt idx="10">
                  <c:v>74</c:v>
                </c:pt>
                <c:pt idx="11">
                  <c:v>893</c:v>
                </c:pt>
                <c:pt idx="12">
                  <c:v>1271</c:v>
                </c:pt>
                <c:pt idx="13">
                  <c:v>97</c:v>
                </c:pt>
                <c:pt idx="14">
                  <c:v>111</c:v>
                </c:pt>
                <c:pt idx="15">
                  <c:v>551</c:v>
                </c:pt>
                <c:pt idx="16">
                  <c:v>192</c:v>
                </c:pt>
                <c:pt idx="17">
                  <c:v>217</c:v>
                </c:pt>
                <c:pt idx="18">
                  <c:v>95</c:v>
                </c:pt>
                <c:pt idx="19">
                  <c:v>74</c:v>
                </c:pt>
                <c:pt idx="20">
                  <c:v>178</c:v>
                </c:pt>
                <c:pt idx="21">
                  <c:v>788</c:v>
                </c:pt>
                <c:pt idx="22">
                  <c:v>1528</c:v>
                </c:pt>
                <c:pt idx="23">
                  <c:v>405</c:v>
                </c:pt>
                <c:pt idx="24">
                  <c:v>168</c:v>
                </c:pt>
                <c:pt idx="25">
                  <c:v>397</c:v>
                </c:pt>
                <c:pt idx="26">
                  <c:v>340</c:v>
                </c:pt>
                <c:pt idx="27">
                  <c:v>130</c:v>
                </c:pt>
                <c:pt idx="28">
                  <c:v>78</c:v>
                </c:pt>
                <c:pt idx="29">
                  <c:v>39</c:v>
                </c:pt>
                <c:pt idx="30">
                  <c:v>92</c:v>
                </c:pt>
                <c:pt idx="31">
                  <c:v>219</c:v>
                </c:pt>
                <c:pt idx="32">
                  <c:v>62</c:v>
                </c:pt>
                <c:pt idx="33">
                  <c:v>672</c:v>
                </c:pt>
                <c:pt idx="34">
                  <c:v>239</c:v>
                </c:pt>
                <c:pt idx="35">
                  <c:v>87</c:v>
                </c:pt>
                <c:pt idx="36">
                  <c:v>189</c:v>
                </c:pt>
                <c:pt idx="37">
                  <c:v>254</c:v>
                </c:pt>
                <c:pt idx="38">
                  <c:v>240</c:v>
                </c:pt>
                <c:pt idx="39">
                  <c:v>206</c:v>
                </c:pt>
                <c:pt idx="40">
                  <c:v>146</c:v>
                </c:pt>
                <c:pt idx="41">
                  <c:v>94</c:v>
                </c:pt>
                <c:pt idx="42">
                  <c:v>231</c:v>
                </c:pt>
                <c:pt idx="43">
                  <c:v>126</c:v>
                </c:pt>
                <c:pt idx="44">
                  <c:v>843</c:v>
                </c:pt>
                <c:pt idx="45">
                  <c:v>5529</c:v>
                </c:pt>
                <c:pt idx="46">
                  <c:v>86</c:v>
                </c:pt>
              </c:numCache>
            </c:numRef>
          </c:val>
        </c:ser>
        <c:ser>
          <c:idx val="6"/>
          <c:order val="6"/>
          <c:tx>
            <c:strRef>
              <c:f>Sheet2!$H$3:$H$4</c:f>
              <c:strCache>
                <c:ptCount val="1"/>
                <c:pt idx="0">
                  <c:v>8/11/2014</c:v>
                </c:pt>
              </c:strCache>
            </c:strRef>
          </c:tx>
          <c:spPr>
            <a:solidFill>
              <a:schemeClr val="accent1">
                <a:lumMod val="60000"/>
              </a:schemeClr>
            </a:solidFill>
            <a:ln>
              <a:noFill/>
            </a:ln>
            <a:effectLst/>
          </c:spPr>
          <c:invertIfNegative val="0"/>
          <c:cat>
            <c:strRef>
              <c:f>Sheet2!$A$5:$A$52</c:f>
              <c:strCache>
                <c:ptCount val="47"/>
                <c:pt idx="0">
                  <c:v>Argentina</c:v>
                </c:pt>
                <c:pt idx="1">
                  <c:v>Australia</c:v>
                </c:pt>
                <c:pt idx="2">
                  <c:v>Austria</c:v>
                </c:pt>
                <c:pt idx="3">
                  <c:v>Belgium</c:v>
                </c:pt>
                <c:pt idx="4">
                  <c:v>Brazil</c:v>
                </c:pt>
                <c:pt idx="5">
                  <c:v>Canada</c:v>
                </c:pt>
                <c:pt idx="6">
                  <c:v>Chile</c:v>
                </c:pt>
                <c:pt idx="7">
                  <c:v>Colombia</c:v>
                </c:pt>
                <c:pt idx="8">
                  <c:v>Denmark</c:v>
                </c:pt>
                <c:pt idx="9">
                  <c:v>Egypt</c:v>
                </c:pt>
                <c:pt idx="10">
                  <c:v>Finland</c:v>
                </c:pt>
                <c:pt idx="11">
                  <c:v>France</c:v>
                </c:pt>
                <c:pt idx="12">
                  <c:v>Germany</c:v>
                </c:pt>
                <c:pt idx="13">
                  <c:v>Greece</c:v>
                </c:pt>
                <c:pt idx="14">
                  <c:v>Hong Kong</c:v>
                </c:pt>
                <c:pt idx="15">
                  <c:v>India</c:v>
                </c:pt>
                <c:pt idx="16">
                  <c:v>Indonesia</c:v>
                </c:pt>
                <c:pt idx="17">
                  <c:v>Iran</c:v>
                </c:pt>
                <c:pt idx="18">
                  <c:v>Iraq</c:v>
                </c:pt>
                <c:pt idx="19">
                  <c:v>Ireland</c:v>
                </c:pt>
                <c:pt idx="20">
                  <c:v>Israel</c:v>
                </c:pt>
                <c:pt idx="21">
                  <c:v>Italy</c:v>
                </c:pt>
                <c:pt idx="22">
                  <c:v>Japan</c:v>
                </c:pt>
                <c:pt idx="23">
                  <c:v>Korea</c:v>
                </c:pt>
                <c:pt idx="24">
                  <c:v>Malaysia</c:v>
                </c:pt>
                <c:pt idx="25">
                  <c:v>Mexico</c:v>
                </c:pt>
                <c:pt idx="26">
                  <c:v>Netherlands</c:v>
                </c:pt>
                <c:pt idx="27">
                  <c:v>Nigeria</c:v>
                </c:pt>
                <c:pt idx="28">
                  <c:v>Norway</c:v>
                </c:pt>
                <c:pt idx="29">
                  <c:v>Pakistan</c:v>
                </c:pt>
                <c:pt idx="30">
                  <c:v>Philippines</c:v>
                </c:pt>
                <c:pt idx="31">
                  <c:v>Poland</c:v>
                </c:pt>
                <c:pt idx="32">
                  <c:v>Portugal</c:v>
                </c:pt>
                <c:pt idx="33">
                  <c:v>Russia</c:v>
                </c:pt>
                <c:pt idx="34">
                  <c:v>Saudi Arabia</c:v>
                </c:pt>
                <c:pt idx="35">
                  <c:v>Singapore</c:v>
                </c:pt>
                <c:pt idx="36">
                  <c:v>South Africa</c:v>
                </c:pt>
                <c:pt idx="37">
                  <c:v>Spain</c:v>
                </c:pt>
                <c:pt idx="38">
                  <c:v>Sweden</c:v>
                </c:pt>
                <c:pt idx="39">
                  <c:v>Switzerland</c:v>
                </c:pt>
                <c:pt idx="40">
                  <c:v>Taiwan</c:v>
                </c:pt>
                <c:pt idx="41">
                  <c:v>Thailand</c:v>
                </c:pt>
                <c:pt idx="42">
                  <c:v>Turkey</c:v>
                </c:pt>
                <c:pt idx="43">
                  <c:v>United Arab Emirates</c:v>
                </c:pt>
                <c:pt idx="44">
                  <c:v>United Kingdom</c:v>
                </c:pt>
                <c:pt idx="45">
                  <c:v>United States</c:v>
                </c:pt>
                <c:pt idx="46">
                  <c:v>Venezuela</c:v>
                </c:pt>
              </c:strCache>
            </c:strRef>
          </c:cat>
          <c:val>
            <c:numRef>
              <c:f>Sheet2!$H$5:$H$52</c:f>
              <c:numCache>
                <c:formatCode>General</c:formatCode>
                <c:ptCount val="47"/>
                <c:pt idx="0">
                  <c:v>138</c:v>
                </c:pt>
                <c:pt idx="1">
                  <c:v>507</c:v>
                </c:pt>
                <c:pt idx="2">
                  <c:v>90</c:v>
                </c:pt>
                <c:pt idx="3">
                  <c:v>47</c:v>
                </c:pt>
                <c:pt idx="4">
                  <c:v>677</c:v>
                </c:pt>
                <c:pt idx="5">
                  <c:v>228</c:v>
                </c:pt>
                <c:pt idx="6">
                  <c:v>55</c:v>
                </c:pt>
                <c:pt idx="7">
                  <c:v>156</c:v>
                </c:pt>
                <c:pt idx="8">
                  <c:v>305</c:v>
                </c:pt>
                <c:pt idx="9">
                  <c:v>61</c:v>
                </c:pt>
                <c:pt idx="10">
                  <c:v>71</c:v>
                </c:pt>
                <c:pt idx="11">
                  <c:v>854</c:v>
                </c:pt>
                <c:pt idx="12">
                  <c:v>1326</c:v>
                </c:pt>
                <c:pt idx="13">
                  <c:v>17</c:v>
                </c:pt>
                <c:pt idx="14">
                  <c:v>109</c:v>
                </c:pt>
                <c:pt idx="15">
                  <c:v>334</c:v>
                </c:pt>
                <c:pt idx="16">
                  <c:v>283</c:v>
                </c:pt>
                <c:pt idx="17">
                  <c:v>187</c:v>
                </c:pt>
                <c:pt idx="18">
                  <c:v>70</c:v>
                </c:pt>
                <c:pt idx="19">
                  <c:v>128</c:v>
                </c:pt>
                <c:pt idx="20">
                  <c:v>127</c:v>
                </c:pt>
                <c:pt idx="21">
                  <c:v>637</c:v>
                </c:pt>
                <c:pt idx="22">
                  <c:v>1478</c:v>
                </c:pt>
                <c:pt idx="23">
                  <c:v>345</c:v>
                </c:pt>
                <c:pt idx="24">
                  <c:v>151</c:v>
                </c:pt>
                <c:pt idx="25">
                  <c:v>400</c:v>
                </c:pt>
                <c:pt idx="26">
                  <c:v>329</c:v>
                </c:pt>
                <c:pt idx="27">
                  <c:v>79</c:v>
                </c:pt>
                <c:pt idx="28">
                  <c:v>114</c:v>
                </c:pt>
                <c:pt idx="29">
                  <c:v>51</c:v>
                </c:pt>
                <c:pt idx="30">
                  <c:v>73</c:v>
                </c:pt>
                <c:pt idx="31">
                  <c:v>159</c:v>
                </c:pt>
                <c:pt idx="32">
                  <c:v>157</c:v>
                </c:pt>
                <c:pt idx="33">
                  <c:v>623</c:v>
                </c:pt>
                <c:pt idx="34">
                  <c:v>159</c:v>
                </c:pt>
                <c:pt idx="35">
                  <c:v>99</c:v>
                </c:pt>
                <c:pt idx="36">
                  <c:v>135</c:v>
                </c:pt>
                <c:pt idx="37">
                  <c:v>167</c:v>
                </c:pt>
                <c:pt idx="38">
                  <c:v>252</c:v>
                </c:pt>
                <c:pt idx="39">
                  <c:v>166</c:v>
                </c:pt>
                <c:pt idx="40">
                  <c:v>242</c:v>
                </c:pt>
                <c:pt idx="41">
                  <c:v>54</c:v>
                </c:pt>
                <c:pt idx="42">
                  <c:v>208</c:v>
                </c:pt>
                <c:pt idx="43">
                  <c:v>118</c:v>
                </c:pt>
                <c:pt idx="44">
                  <c:v>694</c:v>
                </c:pt>
                <c:pt idx="45">
                  <c:v>5130</c:v>
                </c:pt>
                <c:pt idx="46">
                  <c:v>92</c:v>
                </c:pt>
              </c:numCache>
            </c:numRef>
          </c:val>
        </c:ser>
        <c:ser>
          <c:idx val="7"/>
          <c:order val="7"/>
          <c:tx>
            <c:strRef>
              <c:f>Sheet2!$I$3:$I$4</c:f>
              <c:strCache>
                <c:ptCount val="1"/>
                <c:pt idx="0">
                  <c:v>8/18/2014</c:v>
                </c:pt>
              </c:strCache>
            </c:strRef>
          </c:tx>
          <c:spPr>
            <a:solidFill>
              <a:schemeClr val="accent2">
                <a:lumMod val="60000"/>
              </a:schemeClr>
            </a:solidFill>
            <a:ln>
              <a:noFill/>
            </a:ln>
            <a:effectLst/>
          </c:spPr>
          <c:invertIfNegative val="0"/>
          <c:cat>
            <c:strRef>
              <c:f>Sheet2!$A$5:$A$52</c:f>
              <c:strCache>
                <c:ptCount val="47"/>
                <c:pt idx="0">
                  <c:v>Argentina</c:v>
                </c:pt>
                <c:pt idx="1">
                  <c:v>Australia</c:v>
                </c:pt>
                <c:pt idx="2">
                  <c:v>Austria</c:v>
                </c:pt>
                <c:pt idx="3">
                  <c:v>Belgium</c:v>
                </c:pt>
                <c:pt idx="4">
                  <c:v>Brazil</c:v>
                </c:pt>
                <c:pt idx="5">
                  <c:v>Canada</c:v>
                </c:pt>
                <c:pt idx="6">
                  <c:v>Chile</c:v>
                </c:pt>
                <c:pt idx="7">
                  <c:v>Colombia</c:v>
                </c:pt>
                <c:pt idx="8">
                  <c:v>Denmark</c:v>
                </c:pt>
                <c:pt idx="9">
                  <c:v>Egypt</c:v>
                </c:pt>
                <c:pt idx="10">
                  <c:v>Finland</c:v>
                </c:pt>
                <c:pt idx="11">
                  <c:v>France</c:v>
                </c:pt>
                <c:pt idx="12">
                  <c:v>Germany</c:v>
                </c:pt>
                <c:pt idx="13">
                  <c:v>Greece</c:v>
                </c:pt>
                <c:pt idx="14">
                  <c:v>Hong Kong</c:v>
                </c:pt>
                <c:pt idx="15">
                  <c:v>India</c:v>
                </c:pt>
                <c:pt idx="16">
                  <c:v>Indonesia</c:v>
                </c:pt>
                <c:pt idx="17">
                  <c:v>Iran</c:v>
                </c:pt>
                <c:pt idx="18">
                  <c:v>Iraq</c:v>
                </c:pt>
                <c:pt idx="19">
                  <c:v>Ireland</c:v>
                </c:pt>
                <c:pt idx="20">
                  <c:v>Israel</c:v>
                </c:pt>
                <c:pt idx="21">
                  <c:v>Italy</c:v>
                </c:pt>
                <c:pt idx="22">
                  <c:v>Japan</c:v>
                </c:pt>
                <c:pt idx="23">
                  <c:v>Korea</c:v>
                </c:pt>
                <c:pt idx="24">
                  <c:v>Malaysia</c:v>
                </c:pt>
                <c:pt idx="25">
                  <c:v>Mexico</c:v>
                </c:pt>
                <c:pt idx="26">
                  <c:v>Netherlands</c:v>
                </c:pt>
                <c:pt idx="27">
                  <c:v>Nigeria</c:v>
                </c:pt>
                <c:pt idx="28">
                  <c:v>Norway</c:v>
                </c:pt>
                <c:pt idx="29">
                  <c:v>Pakistan</c:v>
                </c:pt>
                <c:pt idx="30">
                  <c:v>Philippines</c:v>
                </c:pt>
                <c:pt idx="31">
                  <c:v>Poland</c:v>
                </c:pt>
                <c:pt idx="32">
                  <c:v>Portugal</c:v>
                </c:pt>
                <c:pt idx="33">
                  <c:v>Russia</c:v>
                </c:pt>
                <c:pt idx="34">
                  <c:v>Saudi Arabia</c:v>
                </c:pt>
                <c:pt idx="35">
                  <c:v>Singapore</c:v>
                </c:pt>
                <c:pt idx="36">
                  <c:v>South Africa</c:v>
                </c:pt>
                <c:pt idx="37">
                  <c:v>Spain</c:v>
                </c:pt>
                <c:pt idx="38">
                  <c:v>Sweden</c:v>
                </c:pt>
                <c:pt idx="39">
                  <c:v>Switzerland</c:v>
                </c:pt>
                <c:pt idx="40">
                  <c:v>Taiwan</c:v>
                </c:pt>
                <c:pt idx="41">
                  <c:v>Thailand</c:v>
                </c:pt>
                <c:pt idx="42">
                  <c:v>Turkey</c:v>
                </c:pt>
                <c:pt idx="43">
                  <c:v>United Arab Emirates</c:v>
                </c:pt>
                <c:pt idx="44">
                  <c:v>United Kingdom</c:v>
                </c:pt>
                <c:pt idx="45">
                  <c:v>United States</c:v>
                </c:pt>
                <c:pt idx="46">
                  <c:v>Venezuela</c:v>
                </c:pt>
              </c:strCache>
            </c:strRef>
          </c:cat>
          <c:val>
            <c:numRef>
              <c:f>Sheet2!$I$5:$I$52</c:f>
              <c:numCache>
                <c:formatCode>General</c:formatCode>
                <c:ptCount val="47"/>
                <c:pt idx="0">
                  <c:v>103</c:v>
                </c:pt>
                <c:pt idx="1">
                  <c:v>411</c:v>
                </c:pt>
                <c:pt idx="2">
                  <c:v>201</c:v>
                </c:pt>
                <c:pt idx="3">
                  <c:v>144</c:v>
                </c:pt>
                <c:pt idx="4">
                  <c:v>631</c:v>
                </c:pt>
                <c:pt idx="5">
                  <c:v>449</c:v>
                </c:pt>
                <c:pt idx="6">
                  <c:v>51</c:v>
                </c:pt>
                <c:pt idx="7">
                  <c:v>92</c:v>
                </c:pt>
                <c:pt idx="8">
                  <c:v>129</c:v>
                </c:pt>
                <c:pt idx="9">
                  <c:v>100</c:v>
                </c:pt>
                <c:pt idx="10">
                  <c:v>103</c:v>
                </c:pt>
                <c:pt idx="11">
                  <c:v>714</c:v>
                </c:pt>
                <c:pt idx="12">
                  <c:v>1302</c:v>
                </c:pt>
                <c:pt idx="13">
                  <c:v>59</c:v>
                </c:pt>
                <c:pt idx="14">
                  <c:v>68</c:v>
                </c:pt>
                <c:pt idx="15">
                  <c:v>431</c:v>
                </c:pt>
                <c:pt idx="16">
                  <c:v>415</c:v>
                </c:pt>
                <c:pt idx="17">
                  <c:v>135</c:v>
                </c:pt>
                <c:pt idx="18">
                  <c:v>70</c:v>
                </c:pt>
                <c:pt idx="19">
                  <c:v>95</c:v>
                </c:pt>
                <c:pt idx="20">
                  <c:v>76</c:v>
                </c:pt>
                <c:pt idx="21">
                  <c:v>571</c:v>
                </c:pt>
                <c:pt idx="22">
                  <c:v>1439</c:v>
                </c:pt>
                <c:pt idx="23">
                  <c:v>319</c:v>
                </c:pt>
                <c:pt idx="24">
                  <c:v>166</c:v>
                </c:pt>
                <c:pt idx="25">
                  <c:v>402</c:v>
                </c:pt>
                <c:pt idx="26">
                  <c:v>339</c:v>
                </c:pt>
                <c:pt idx="27">
                  <c:v>70</c:v>
                </c:pt>
                <c:pt idx="28">
                  <c:v>49</c:v>
                </c:pt>
                <c:pt idx="29">
                  <c:v>100</c:v>
                </c:pt>
                <c:pt idx="30">
                  <c:v>85</c:v>
                </c:pt>
                <c:pt idx="31">
                  <c:v>319</c:v>
                </c:pt>
                <c:pt idx="32">
                  <c:v>101</c:v>
                </c:pt>
                <c:pt idx="33">
                  <c:v>638</c:v>
                </c:pt>
                <c:pt idx="34">
                  <c:v>127</c:v>
                </c:pt>
                <c:pt idx="35">
                  <c:v>38</c:v>
                </c:pt>
                <c:pt idx="36">
                  <c:v>181</c:v>
                </c:pt>
                <c:pt idx="37">
                  <c:v>341</c:v>
                </c:pt>
                <c:pt idx="38">
                  <c:v>161</c:v>
                </c:pt>
                <c:pt idx="39">
                  <c:v>108</c:v>
                </c:pt>
                <c:pt idx="40">
                  <c:v>253</c:v>
                </c:pt>
                <c:pt idx="41">
                  <c:v>31</c:v>
                </c:pt>
                <c:pt idx="42">
                  <c:v>132</c:v>
                </c:pt>
                <c:pt idx="43">
                  <c:v>182</c:v>
                </c:pt>
                <c:pt idx="44">
                  <c:v>746</c:v>
                </c:pt>
                <c:pt idx="45">
                  <c:v>4714</c:v>
                </c:pt>
                <c:pt idx="46">
                  <c:v>57</c:v>
                </c:pt>
              </c:numCache>
            </c:numRef>
          </c:val>
        </c:ser>
        <c:ser>
          <c:idx val="8"/>
          <c:order val="8"/>
          <c:tx>
            <c:strRef>
              <c:f>Sheet2!$J$3:$J$4</c:f>
              <c:strCache>
                <c:ptCount val="1"/>
                <c:pt idx="0">
                  <c:v>8/25/2014</c:v>
                </c:pt>
              </c:strCache>
            </c:strRef>
          </c:tx>
          <c:spPr>
            <a:solidFill>
              <a:schemeClr val="accent3">
                <a:lumMod val="60000"/>
              </a:schemeClr>
            </a:solidFill>
            <a:ln>
              <a:noFill/>
            </a:ln>
            <a:effectLst/>
          </c:spPr>
          <c:invertIfNegative val="0"/>
          <c:cat>
            <c:strRef>
              <c:f>Sheet2!$A$5:$A$52</c:f>
              <c:strCache>
                <c:ptCount val="47"/>
                <c:pt idx="0">
                  <c:v>Argentina</c:v>
                </c:pt>
                <c:pt idx="1">
                  <c:v>Australia</c:v>
                </c:pt>
                <c:pt idx="2">
                  <c:v>Austria</c:v>
                </c:pt>
                <c:pt idx="3">
                  <c:v>Belgium</c:v>
                </c:pt>
                <c:pt idx="4">
                  <c:v>Brazil</c:v>
                </c:pt>
                <c:pt idx="5">
                  <c:v>Canada</c:v>
                </c:pt>
                <c:pt idx="6">
                  <c:v>Chile</c:v>
                </c:pt>
                <c:pt idx="7">
                  <c:v>Colombia</c:v>
                </c:pt>
                <c:pt idx="8">
                  <c:v>Denmark</c:v>
                </c:pt>
                <c:pt idx="9">
                  <c:v>Egypt</c:v>
                </c:pt>
                <c:pt idx="10">
                  <c:v>Finland</c:v>
                </c:pt>
                <c:pt idx="11">
                  <c:v>France</c:v>
                </c:pt>
                <c:pt idx="12">
                  <c:v>Germany</c:v>
                </c:pt>
                <c:pt idx="13">
                  <c:v>Greece</c:v>
                </c:pt>
                <c:pt idx="14">
                  <c:v>Hong Kong</c:v>
                </c:pt>
                <c:pt idx="15">
                  <c:v>India</c:v>
                </c:pt>
                <c:pt idx="16">
                  <c:v>Indonesia</c:v>
                </c:pt>
                <c:pt idx="17">
                  <c:v>Iran</c:v>
                </c:pt>
                <c:pt idx="18">
                  <c:v>Iraq</c:v>
                </c:pt>
                <c:pt idx="19">
                  <c:v>Ireland</c:v>
                </c:pt>
                <c:pt idx="20">
                  <c:v>Israel</c:v>
                </c:pt>
                <c:pt idx="21">
                  <c:v>Italy</c:v>
                </c:pt>
                <c:pt idx="22">
                  <c:v>Japan</c:v>
                </c:pt>
                <c:pt idx="23">
                  <c:v>Korea</c:v>
                </c:pt>
                <c:pt idx="24">
                  <c:v>Malaysia</c:v>
                </c:pt>
                <c:pt idx="25">
                  <c:v>Mexico</c:v>
                </c:pt>
                <c:pt idx="26">
                  <c:v>Netherlands</c:v>
                </c:pt>
                <c:pt idx="27">
                  <c:v>Nigeria</c:v>
                </c:pt>
                <c:pt idx="28">
                  <c:v>Norway</c:v>
                </c:pt>
                <c:pt idx="29">
                  <c:v>Pakistan</c:v>
                </c:pt>
                <c:pt idx="30">
                  <c:v>Philippines</c:v>
                </c:pt>
                <c:pt idx="31">
                  <c:v>Poland</c:v>
                </c:pt>
                <c:pt idx="32">
                  <c:v>Portugal</c:v>
                </c:pt>
                <c:pt idx="33">
                  <c:v>Russia</c:v>
                </c:pt>
                <c:pt idx="34">
                  <c:v>Saudi Arabia</c:v>
                </c:pt>
                <c:pt idx="35">
                  <c:v>Singapore</c:v>
                </c:pt>
                <c:pt idx="36">
                  <c:v>South Africa</c:v>
                </c:pt>
                <c:pt idx="37">
                  <c:v>Spain</c:v>
                </c:pt>
                <c:pt idx="38">
                  <c:v>Sweden</c:v>
                </c:pt>
                <c:pt idx="39">
                  <c:v>Switzerland</c:v>
                </c:pt>
                <c:pt idx="40">
                  <c:v>Taiwan</c:v>
                </c:pt>
                <c:pt idx="41">
                  <c:v>Thailand</c:v>
                </c:pt>
                <c:pt idx="42">
                  <c:v>Turkey</c:v>
                </c:pt>
                <c:pt idx="43">
                  <c:v>United Arab Emirates</c:v>
                </c:pt>
                <c:pt idx="44">
                  <c:v>United Kingdom</c:v>
                </c:pt>
                <c:pt idx="45">
                  <c:v>United States</c:v>
                </c:pt>
                <c:pt idx="46">
                  <c:v>Venezuela</c:v>
                </c:pt>
              </c:strCache>
            </c:strRef>
          </c:cat>
          <c:val>
            <c:numRef>
              <c:f>Sheet2!$J$5:$J$52</c:f>
              <c:numCache>
                <c:formatCode>General</c:formatCode>
                <c:ptCount val="47"/>
                <c:pt idx="0">
                  <c:v>174</c:v>
                </c:pt>
                <c:pt idx="1">
                  <c:v>338</c:v>
                </c:pt>
                <c:pt idx="2">
                  <c:v>132</c:v>
                </c:pt>
                <c:pt idx="3">
                  <c:v>102</c:v>
                </c:pt>
                <c:pt idx="4">
                  <c:v>530</c:v>
                </c:pt>
                <c:pt idx="5">
                  <c:v>355</c:v>
                </c:pt>
                <c:pt idx="6">
                  <c:v>50</c:v>
                </c:pt>
                <c:pt idx="7">
                  <c:v>71</c:v>
                </c:pt>
                <c:pt idx="8">
                  <c:v>238</c:v>
                </c:pt>
                <c:pt idx="9">
                  <c:v>217</c:v>
                </c:pt>
                <c:pt idx="10">
                  <c:v>190</c:v>
                </c:pt>
                <c:pt idx="11">
                  <c:v>659</c:v>
                </c:pt>
                <c:pt idx="12">
                  <c:v>1146</c:v>
                </c:pt>
                <c:pt idx="13">
                  <c:v>92</c:v>
                </c:pt>
                <c:pt idx="14">
                  <c:v>72</c:v>
                </c:pt>
                <c:pt idx="15">
                  <c:v>458</c:v>
                </c:pt>
                <c:pt idx="16">
                  <c:v>367</c:v>
                </c:pt>
                <c:pt idx="17">
                  <c:v>130</c:v>
                </c:pt>
                <c:pt idx="18">
                  <c:v>84</c:v>
                </c:pt>
                <c:pt idx="19">
                  <c:v>57</c:v>
                </c:pt>
                <c:pt idx="20">
                  <c:v>131</c:v>
                </c:pt>
                <c:pt idx="21">
                  <c:v>616</c:v>
                </c:pt>
                <c:pt idx="22">
                  <c:v>1167</c:v>
                </c:pt>
                <c:pt idx="23">
                  <c:v>286</c:v>
                </c:pt>
                <c:pt idx="24">
                  <c:v>180</c:v>
                </c:pt>
                <c:pt idx="25">
                  <c:v>488</c:v>
                </c:pt>
                <c:pt idx="26">
                  <c:v>347</c:v>
                </c:pt>
                <c:pt idx="27">
                  <c:v>102</c:v>
                </c:pt>
                <c:pt idx="28">
                  <c:v>40</c:v>
                </c:pt>
                <c:pt idx="29">
                  <c:v>114</c:v>
                </c:pt>
                <c:pt idx="30">
                  <c:v>85</c:v>
                </c:pt>
                <c:pt idx="31">
                  <c:v>160</c:v>
                </c:pt>
                <c:pt idx="32">
                  <c:v>58</c:v>
                </c:pt>
                <c:pt idx="33">
                  <c:v>625</c:v>
                </c:pt>
                <c:pt idx="34">
                  <c:v>148</c:v>
                </c:pt>
                <c:pt idx="35">
                  <c:v>96</c:v>
                </c:pt>
                <c:pt idx="36">
                  <c:v>150</c:v>
                </c:pt>
                <c:pt idx="37">
                  <c:v>362</c:v>
                </c:pt>
                <c:pt idx="38">
                  <c:v>255</c:v>
                </c:pt>
                <c:pt idx="39">
                  <c:v>115</c:v>
                </c:pt>
                <c:pt idx="40">
                  <c:v>149</c:v>
                </c:pt>
                <c:pt idx="41">
                  <c:v>37</c:v>
                </c:pt>
                <c:pt idx="42">
                  <c:v>183</c:v>
                </c:pt>
                <c:pt idx="43">
                  <c:v>64</c:v>
                </c:pt>
                <c:pt idx="44">
                  <c:v>906</c:v>
                </c:pt>
                <c:pt idx="45">
                  <c:v>5096</c:v>
                </c:pt>
                <c:pt idx="46">
                  <c:v>120</c:v>
                </c:pt>
              </c:numCache>
            </c:numRef>
          </c:val>
        </c:ser>
        <c:dLbls>
          <c:showLegendKey val="0"/>
          <c:showVal val="0"/>
          <c:showCatName val="0"/>
          <c:showSerName val="0"/>
          <c:showPercent val="0"/>
          <c:showBubbleSize val="0"/>
        </c:dLbls>
        <c:gapWidth val="219"/>
        <c:overlap val="100"/>
        <c:axId val="540358728"/>
        <c:axId val="540367744"/>
      </c:barChart>
      <c:catAx>
        <c:axId val="5403587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367744"/>
        <c:crosses val="autoZero"/>
        <c:auto val="1"/>
        <c:lblAlgn val="ctr"/>
        <c:lblOffset val="100"/>
        <c:noMultiLvlLbl val="0"/>
      </c:catAx>
      <c:valAx>
        <c:axId val="54036774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3587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2021-06-30T02:20:00Z</dcterms:created>
  <dcterms:modified xsi:type="dcterms:W3CDTF">2021-07-04T23:22:00Z</dcterms:modified>
</cp:coreProperties>
</file>