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Risk Assessment Report – Padlock Analogy</w:t>
      </w:r>
    </w:p>
    <w:p>
      <w:pPr>
        <w:pStyle w:val="style0"/>
        <w:rPr/>
      </w:pPr>
      <w:r>
        <w:t>Client Risk Position Documentation</w:t>
      </w:r>
    </w:p>
    <w:p>
      <w:pPr>
        <w:pStyle w:val="style0"/>
        <w:rPr/>
      </w:pPr>
      <w:r>
        <w:t>Prepared by: Francis Olorunfemi Jacob</w:t>
      </w:r>
    </w:p>
    <w:p>
      <w:pPr>
        <w:pStyle w:val="style0"/>
        <w:rPr/>
      </w:pPr>
      <w:r>
        <w:t>Role: Cybersecurity Consultant (Simulation)</w:t>
      </w:r>
    </w:p>
    <w:p>
      <w:pPr>
        <w:pStyle w:val="style0"/>
        <w:rPr/>
      </w:pPr>
      <w:r>
        <w:t xml:space="preserve">Date: </w:t>
      </w:r>
      <w:r>
        <w:rPr>
          <w:lang w:val="en-US"/>
        </w:rPr>
        <w:t>31st July, 2025</w:t>
      </w:r>
    </w:p>
    <w:p>
      <w:pPr>
        <w:pStyle w:val="style1"/>
        <w:rPr/>
      </w:pPr>
      <w:r>
        <w:t>1. Context – Assets to Protect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Asset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Description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CIA Importance</w:t>
            </w:r>
          </w:p>
        </w:tc>
      </w:tr>
      <w:tr>
        <w:tblPrEx/>
        <w:trPr/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Customer Data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Names, emails, phone numbers, payment info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High C, High I, Medium A</w:t>
            </w:r>
          </w:p>
        </w:tc>
      </w:tr>
      <w:tr>
        <w:tblPrEx/>
        <w:trPr/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Intellectual Property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Source code, proprietary algorithms, product designs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High C, High I, Medium A</w:t>
            </w:r>
          </w:p>
        </w:tc>
      </w:tr>
      <w:tr>
        <w:tblPrEx/>
        <w:trPr/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Employee Credentials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Usernames, passwords, internal authentication keys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High C, High I, Medium A</w:t>
            </w:r>
          </w:p>
        </w:tc>
      </w:tr>
      <w:tr>
        <w:tblPrEx/>
        <w:trPr/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Financial Records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Invoices, financial transactions, vendor payment details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High C, High I, Medium A</w:t>
            </w:r>
          </w:p>
        </w:tc>
      </w:tr>
      <w:tr>
        <w:tblPrEx/>
        <w:trPr/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Internal Communications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Emails, reports, internal memos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Medium C, Medium I, High A</w:t>
            </w:r>
          </w:p>
        </w:tc>
      </w:tr>
    </w:tbl>
    <w:p>
      <w:pPr>
        <w:pStyle w:val="style1"/>
        <w:rPr/>
      </w:pPr>
      <w:r>
        <w:t>2. Risk Matrix Definition</w:t>
      </w:r>
    </w:p>
    <w:p>
      <w:pPr>
        <w:pStyle w:val="style0"/>
        <w:rPr/>
      </w:pPr>
      <w:r>
        <w:t>Risk Rating Formula = Likelihood × Consequence</w:t>
      </w:r>
    </w:p>
    <w:p>
      <w:pPr>
        <w:pStyle w:val="style1"/>
        <w:rPr/>
      </w:pPr>
      <w:r>
        <w:t>3. Defined Risk Scenarios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>
        <w:trPr/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Scenario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Description</w:t>
            </w:r>
          </w:p>
        </w:tc>
      </w:tr>
      <w:tr>
        <w:tblPrEx/>
        <w:trPr/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Cyberattack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External threat actor breaches network via phishing or vulnerability</w:t>
            </w:r>
          </w:p>
        </w:tc>
      </w:tr>
      <w:tr>
        <w:tblPrEx/>
        <w:trPr/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Insider Negligence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Employee unintentionally exposes sensitive data</w:t>
            </w:r>
          </w:p>
        </w:tc>
      </w:tr>
      <w:tr>
        <w:tblPrEx/>
        <w:trPr/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Natural Disaster</w:t>
            </w:r>
          </w:p>
        </w:tc>
        <w:tc>
          <w:tcPr>
            <w:tcW w:w="4320" w:type="dxa"/>
            <w:tcBorders/>
          </w:tcPr>
          <w:p>
            <w:pPr>
              <w:pStyle w:val="style0"/>
              <w:rPr/>
            </w:pPr>
            <w:r>
              <w:t>Fire or flood damages physical servers or data centers</w:t>
            </w:r>
          </w:p>
        </w:tc>
      </w:tr>
    </w:tbl>
    <w:p>
      <w:pPr>
        <w:pStyle w:val="style1"/>
        <w:rPr/>
      </w:pPr>
      <w:r>
        <w:t>4. Inherent Risk Rating (Without Controls)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Scenario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Likelihood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Consequence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Risk Rating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Risk Level</w:t>
            </w: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Cyberattack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4 (Very High)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4 (Critical)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16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Critical</w:t>
            </w: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Insider Negligence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3 (High)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3 (High)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9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High</w:t>
            </w: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Natural Disaster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2 (Medium)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4 (Critical)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728" w:type="dxa"/>
            <w:tcBorders/>
          </w:tcPr>
          <w:p>
            <w:pPr>
              <w:pStyle w:val="style0"/>
              <w:rPr/>
            </w:pPr>
            <w:r>
              <w:t>High</w:t>
            </w:r>
          </w:p>
        </w:tc>
      </w:tr>
    </w:tbl>
    <w:p>
      <w:pPr>
        <w:pStyle w:val="style1"/>
        <w:rPr/>
      </w:pPr>
      <w:r>
        <w:t>5. Risk Rating with Existing Measures (Fence and Padlock)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551"/>
        <w:gridCol w:w="1440"/>
        <w:gridCol w:w="1440"/>
        <w:gridCol w:w="1440"/>
      </w:tblGrid>
      <w:tr>
        <w:trPr/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Scenario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Likelihood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Consequence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Risk Rating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Risk Level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Explanation</w:t>
            </w:r>
          </w:p>
        </w:tc>
      </w:tr>
      <w:tr>
        <w:tblPrEx/>
        <w:trPr/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Cyberattack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3 (High)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4 (Critical)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12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High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Antivirus, firewall, access restrictions</w:t>
            </w:r>
          </w:p>
        </w:tc>
      </w:tr>
      <w:tr>
        <w:tblPrEx/>
        <w:trPr/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Insider Negligence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2 (Medium)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3 (High)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High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Basic training, email filters</w:t>
            </w:r>
          </w:p>
        </w:tc>
      </w:tr>
      <w:tr>
        <w:tblPrEx/>
        <w:trPr/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Natural Disaster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2 (Medium)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3 (High)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High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Building access control, backups</w:t>
            </w:r>
          </w:p>
        </w:tc>
      </w:tr>
    </w:tbl>
    <w:p>
      <w:pPr>
        <w:pStyle w:val="style1"/>
        <w:rPr/>
      </w:pPr>
      <w:r>
        <w:t>6. Target Risk Rating with Additional Measures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543"/>
        <w:gridCol w:w="1440"/>
        <w:gridCol w:w="1551"/>
        <w:gridCol w:w="1440"/>
        <w:gridCol w:w="1440"/>
      </w:tblGrid>
      <w:tr>
        <w:trPr/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Scenario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Additional Measures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Likelihood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Consequence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Risk Rating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Risk Level</w:t>
            </w:r>
          </w:p>
        </w:tc>
      </w:tr>
      <w:tr>
        <w:tblPrEx/>
        <w:trPr/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Cyberattack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EDR, MFA, SIEM, phishing simulations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2 (Medium)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3 (High)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High</w:t>
            </w:r>
          </w:p>
        </w:tc>
      </w:tr>
      <w:tr>
        <w:tblPrEx/>
        <w:trPr/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Insider Negligence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Role-based access, DLP, ongoing staff training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1 (Low)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3 (High)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3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Medium</w:t>
            </w:r>
          </w:p>
        </w:tc>
      </w:tr>
      <w:tr>
        <w:tblPrEx/>
        <w:trPr/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Natural Disaster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Off-site/cloud backups, DR plan, redundant infrastructure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1 (Low)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2 (Medium)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Low</w:t>
            </w:r>
          </w:p>
        </w:tc>
      </w:tr>
    </w:tbl>
    <w:p>
      <w:pPr>
        <w:pStyle w:val="style1"/>
        <w:rPr/>
      </w:pPr>
      <w:r>
        <w:t>7. Summary &amp; Recommendations</w:t>
      </w:r>
    </w:p>
    <w:p>
      <w:pPr>
        <w:pStyle w:val="style0"/>
        <w:rPr/>
      </w:pPr>
      <w:r>
        <w:t>Summary of Findings:</w:t>
      </w:r>
      <w:r>
        <w:br/>
      </w:r>
      <w:r>
        <w:t>- The inherent risk (with no controls) for cyberattacks is critical, and even insider negligence poses a high risk.</w:t>
      </w:r>
      <w:r>
        <w:br/>
      </w:r>
      <w:r>
        <w:t>- Basic measures (like firewalls and password protection) reduce risk only moderately.</w:t>
      </w:r>
      <w:r>
        <w:br/>
      </w:r>
      <w:r>
        <w:t>- Advanced controls like MFA, EDR, continuous awareness, and disaster recovery planning are needed to bring risk to acceptable levels.</w:t>
      </w:r>
    </w:p>
    <w:p>
      <w:pPr>
        <w:pStyle w:val="style0"/>
        <w:rPr/>
      </w:pPr>
      <w:r>
        <w:t>Recommendations:</w:t>
      </w:r>
      <w:r>
        <w:br/>
      </w:r>
      <w:r>
        <w:t>- Implement MFA and Endpoint Detection and Response (EDR) tools.</w:t>
      </w:r>
      <w:r>
        <w:br/>
      </w:r>
      <w:r>
        <w:t>- Establish a Disaster Recovery (DR) and Business Continuity Plan (BCP).</w:t>
      </w:r>
      <w:r>
        <w:br/>
      </w:r>
      <w:r>
        <w:t>- Create a formal cybersecurity policy, and update it quarterly.</w:t>
      </w:r>
      <w:r>
        <w:br/>
      </w:r>
      <w:r>
        <w:t>- Provide ongoing cybersecurity training to staff.</w:t>
      </w:r>
      <w:r>
        <w:br/>
      </w:r>
      <w:r>
        <w:t>- Perform quarterly risk assessments to evaluate progress.</w:t>
      </w:r>
    </w:p>
    <w:p>
      <w:pPr>
        <w:pStyle w:val="style0"/>
        <w:rPr/>
      </w:pPr>
      <w:r>
        <w:t>Final Notes:</w:t>
      </w:r>
      <w:r>
        <w:br/>
      </w:r>
      <w:r>
        <w:t xml:space="preserve">The fence and padlock analogy represents basic controls. However, today’s cybersecurity landscape demands layered </w:t>
      </w:r>
      <w:r>
        <w:rPr>
          <w:lang w:val="en-US"/>
        </w:rPr>
        <w:t xml:space="preserve">security, </w:t>
      </w:r>
      <w:r>
        <w:t>from physical to digital. This risk assessment enables the client to clearly understand their current exposure and provides a prioritized roadmap to reduce overall business risk.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94ead5ca-c4bd-4dbd-9151-f307a286e1f8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e3d49cd2-4c70-4a02-a5a2-51e5411e7be8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bbc619b8-784b-4372-94df-c400ab225a26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b1027e72-8f5c-4b92-a812-740e6d4f72d4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c1af209a-2d59-4b63-86b2-29a91b2c86d4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7c70bdc8-436f-45e0-a403-1ecaa861ba67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926d9e22-c120-4c01-84e6-9a4ad4d9556e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882c8ec4-45d2-43d9-8945-1eed0e107e72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284e4c9c-9e7b-4c24-be60-a9b1853e68c3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4b1b8085-6179-4372-b99c-6b3d1dbb97a7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32a304ed-1148-48e8-8499-2f1cb0447f35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cec1345e-6329-416c-a828-95350f64a39b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7c6b73f9-d05d-4f62-9933-b7205fa73138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4fe73cdc-8efe-4fc6-a4d4-3695219a8008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436</Words>
  <Pages>1</Pages>
  <Characters>2634</Characters>
  <Application>WPS Office</Application>
  <DocSecurity>0</DocSecurity>
  <Paragraphs>132</Paragraphs>
  <ScaleCrop>false</ScaleCrop>
  <LinksUpToDate>false</LinksUpToDate>
  <CharactersWithSpaces>2962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SM-G973F</lastModifiedBy>
  <dcterms:modified xsi:type="dcterms:W3CDTF">2025-07-31T09:48:27Z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aec802c24724423a9e8636ae35582ccc</vt:lpwstr>
  </property>
</Properties>
</file>