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bir insan etiketleyicinin kör etiketlemesiyle ayrıca sınanmış; kesinlik 4/5, duyarlılık ≈%9 ölçülmüştür (yüksek kesinlik, düşük duyarlılık).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tek tohumda U-Net ile elde edilmiştir (0,433); üç tohumla yinelendiğinde MiT-B4 mimarileri arasındaki fark tohum oynaması mertebesinde kalmıştır. Bir ilin eğitimden çıkarıldığı genelleme deneyinde görülmemiş ilde IoU_hasar 0,05–0,10 düşmüştür (tek tohum; tohum oynaması mertebesinde).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modeller arasındaki sınama IoU farklarının ise bu kazancı öngörmediğinin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human labeling in one neighborhood, yielding precision of 4/5 but low recall (≈9%).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with a single seed (0.433); with three seeds, differences among MiT-B4 architectures stayed within seed variation. When one province was held out of training, IoU on that unseen province dropped by 0.05–0.10 (single seed; within seed variation).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differences in test IoU between models do not predict this gain.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b w:val="0"/>
          <w:highlight w:val="yellow"/>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modeller arasındaki sınama IoU farklarının bu kazancı öngörmediği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 xml:space="preserve">Tablo </w:t>
      </w:r>
      <w:bookmarkStart w:id="0" w:name="Tablo1"/>
      <w:r w:rsidR="00AE5951">
        <w:rPr>
          <w:b/>
          <w:noProof/>
        </w:rPr>
        <w:t>1</w:t>
      </w:r>
      <w:bookmarkEnd w:id="0"/>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20" w:after="20"/>
              <w:jc w:val="left"/>
            </w:pPr>
            <w:r>
              <w:rPr>
                <w:b/>
                <w:sz w:val="17"/>
              </w:rPr>
              <w:t>Veri kümesi</w:t>
            </w:r>
          </w:p>
        </w:tc>
        <w:tc>
          <w:tcPr>
            <w:tcW w:w="714" w:type="pct"/>
            <w:shd w:val="clear" w:color="auto" w:fill="E8E8E8"/>
          </w:tcPr>
          <w:p w14:paraId="01B96B81" w14:textId="77777777" w:rsidR="00B20134" w:rsidRDefault="00990031">
            <w:pPr>
              <w:keepNext/>
              <w:spacing w:before="20" w:after="20"/>
              <w:jc w:val="left"/>
            </w:pPr>
            <w:r>
              <w:rPr>
                <w:b/>
                <w:sz w:val="17"/>
              </w:rPr>
              <w:t>Kaynak</w:t>
            </w:r>
          </w:p>
        </w:tc>
        <w:tc>
          <w:tcPr>
            <w:tcW w:w="714" w:type="pct"/>
            <w:shd w:val="clear" w:color="auto" w:fill="E8E8E8"/>
          </w:tcPr>
          <w:p w14:paraId="415DF61A" w14:textId="77777777" w:rsidR="00B20134" w:rsidRDefault="00990031">
            <w:pPr>
              <w:keepNext/>
              <w:spacing w:before="20" w:after="20"/>
              <w:jc w:val="left"/>
            </w:pPr>
            <w:r>
              <w:rPr>
                <w:b/>
                <w:sz w:val="17"/>
              </w:rPr>
              <w:t>Yıl</w:t>
            </w:r>
          </w:p>
        </w:tc>
        <w:tc>
          <w:tcPr>
            <w:tcW w:w="714" w:type="pct"/>
            <w:shd w:val="clear" w:color="auto" w:fill="E8E8E8"/>
          </w:tcPr>
          <w:p w14:paraId="4CB70CCD" w14:textId="77777777" w:rsidR="00B20134" w:rsidRDefault="00990031">
            <w:pPr>
              <w:keepNext/>
              <w:spacing w:before="20" w:after="20"/>
              <w:jc w:val="left"/>
            </w:pPr>
            <w:r>
              <w:rPr>
                <w:b/>
                <w:sz w:val="17"/>
              </w:rPr>
              <w:t>Görüntü kaynağı</w:t>
            </w:r>
          </w:p>
        </w:tc>
        <w:tc>
          <w:tcPr>
            <w:tcW w:w="714" w:type="pct"/>
            <w:shd w:val="clear" w:color="auto" w:fill="E8E8E8"/>
          </w:tcPr>
          <w:p w14:paraId="2572FEA6" w14:textId="77777777" w:rsidR="00B20134" w:rsidRDefault="00990031">
            <w:pPr>
              <w:keepNext/>
              <w:spacing w:before="20" w:after="20"/>
              <w:jc w:val="left"/>
            </w:pPr>
            <w:r>
              <w:rPr>
                <w:b/>
                <w:sz w:val="17"/>
              </w:rPr>
              <w:t>Görev</w:t>
            </w:r>
          </w:p>
        </w:tc>
        <w:tc>
          <w:tcPr>
            <w:tcW w:w="714" w:type="pct"/>
            <w:shd w:val="clear" w:color="auto" w:fill="E8E8E8"/>
          </w:tcPr>
          <w:p w14:paraId="479FE88B" w14:textId="77777777" w:rsidR="00B20134" w:rsidRDefault="00990031">
            <w:pPr>
              <w:keepNext/>
              <w:spacing w:before="20" w:after="20"/>
              <w:jc w:val="left"/>
            </w:pPr>
            <w:r>
              <w:rPr>
                <w:b/>
                <w:sz w:val="17"/>
              </w:rPr>
              <w:t>Görüntü sayısı</w:t>
            </w:r>
          </w:p>
        </w:tc>
        <w:tc>
          <w:tcPr>
            <w:tcW w:w="714" w:type="pct"/>
            <w:shd w:val="clear" w:color="auto" w:fill="E8E8E8"/>
          </w:tcPr>
          <w:p w14:paraId="5CA8E5D9" w14:textId="77777777" w:rsidR="00B20134" w:rsidRDefault="00990031">
            <w:pPr>
              <w:keepNext/>
              <w:spacing w:before="2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20" w:after="20"/>
              <w:jc w:val="left"/>
            </w:pPr>
            <w:r>
              <w:rPr>
                <w:sz w:val="17"/>
              </w:rPr>
              <w:t>xBD (deprem alt kümesi)</w:t>
            </w:r>
          </w:p>
        </w:tc>
        <w:tc>
          <w:tcPr>
            <w:tcW w:w="714" w:type="pct"/>
          </w:tcPr>
          <w:p w14:paraId="613A4EAB" w14:textId="77777777" w:rsidR="00B20134" w:rsidRDefault="00990031">
            <w:pPr>
              <w:keepNext/>
              <w:spacing w:before="20" w:after="20"/>
              <w:jc w:val="left"/>
            </w:pPr>
            <w:r>
              <w:rPr>
                <w:sz w:val="17"/>
              </w:rPr>
              <w:t>[9]</w:t>
            </w:r>
          </w:p>
        </w:tc>
        <w:tc>
          <w:tcPr>
            <w:tcW w:w="714" w:type="pct"/>
          </w:tcPr>
          <w:p w14:paraId="14E8EFBC" w14:textId="77777777" w:rsidR="00B20134" w:rsidRDefault="00990031">
            <w:pPr>
              <w:keepNext/>
              <w:spacing w:before="20" w:after="20"/>
              <w:jc w:val="left"/>
            </w:pPr>
            <w:r>
              <w:rPr>
                <w:sz w:val="17"/>
              </w:rPr>
              <w:t>2019</w:t>
            </w:r>
          </w:p>
        </w:tc>
        <w:tc>
          <w:tcPr>
            <w:tcW w:w="714" w:type="pct"/>
          </w:tcPr>
          <w:p w14:paraId="4741AB34" w14:textId="77777777" w:rsidR="00B20134" w:rsidRDefault="00990031">
            <w:pPr>
              <w:keepNext/>
              <w:spacing w:before="20" w:after="20"/>
              <w:jc w:val="left"/>
            </w:pPr>
            <w:r>
              <w:rPr>
                <w:sz w:val="17"/>
              </w:rPr>
              <w:t>Çok yüksek çözünürlüklü uydu</w:t>
            </w:r>
          </w:p>
        </w:tc>
        <w:tc>
          <w:tcPr>
            <w:tcW w:w="714" w:type="pct"/>
          </w:tcPr>
          <w:p w14:paraId="3D51D4AA" w14:textId="77777777" w:rsidR="00B20134" w:rsidRDefault="00990031">
            <w:pPr>
              <w:keepNext/>
              <w:spacing w:before="20" w:after="20"/>
              <w:jc w:val="left"/>
            </w:pPr>
            <w:r>
              <w:rPr>
                <w:sz w:val="17"/>
              </w:rPr>
              <w:t>Bina hasarı bölütlemesi</w:t>
            </w:r>
          </w:p>
        </w:tc>
        <w:tc>
          <w:tcPr>
            <w:tcW w:w="714" w:type="pct"/>
          </w:tcPr>
          <w:p w14:paraId="07585162" w14:textId="77777777" w:rsidR="00B20134" w:rsidRDefault="00990031">
            <w:pPr>
              <w:keepNext/>
              <w:spacing w:before="20" w:after="20"/>
              <w:jc w:val="left"/>
            </w:pPr>
            <w:r>
              <w:rPr>
                <w:sz w:val="17"/>
              </w:rPr>
              <w:t>192</w:t>
            </w:r>
          </w:p>
        </w:tc>
        <w:tc>
          <w:tcPr>
            <w:tcW w:w="714" w:type="pct"/>
          </w:tcPr>
          <w:p w14:paraId="6236C4FC" w14:textId="77777777" w:rsidR="00B20134" w:rsidRDefault="00990031">
            <w:pPr>
              <w:keepNext/>
              <w:spacing w:before="2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20" w:after="20"/>
              <w:jc w:val="left"/>
            </w:pPr>
            <w:r>
              <w:rPr>
                <w:sz w:val="17"/>
              </w:rPr>
              <w:t>TUE-CD</w:t>
            </w:r>
          </w:p>
        </w:tc>
        <w:tc>
          <w:tcPr>
            <w:tcW w:w="714" w:type="pct"/>
          </w:tcPr>
          <w:p w14:paraId="1C2C8DFC" w14:textId="77777777" w:rsidR="00B20134" w:rsidRDefault="00990031">
            <w:pPr>
              <w:keepNext/>
              <w:spacing w:before="20" w:after="20"/>
              <w:jc w:val="left"/>
            </w:pPr>
            <w:r>
              <w:rPr>
                <w:sz w:val="17"/>
              </w:rPr>
              <w:t>[10]</w:t>
            </w:r>
          </w:p>
        </w:tc>
        <w:tc>
          <w:tcPr>
            <w:tcW w:w="714" w:type="pct"/>
          </w:tcPr>
          <w:p w14:paraId="744FB869" w14:textId="77777777" w:rsidR="00B20134" w:rsidRDefault="00990031">
            <w:pPr>
              <w:keepNext/>
              <w:spacing w:before="20" w:after="20"/>
              <w:jc w:val="left"/>
            </w:pPr>
            <w:r>
              <w:rPr>
                <w:sz w:val="17"/>
              </w:rPr>
              <w:t>2024</w:t>
            </w:r>
          </w:p>
        </w:tc>
        <w:tc>
          <w:tcPr>
            <w:tcW w:w="714" w:type="pct"/>
          </w:tcPr>
          <w:p w14:paraId="3162995E" w14:textId="77777777" w:rsidR="00B20134" w:rsidRDefault="00990031">
            <w:pPr>
              <w:keepNext/>
              <w:spacing w:before="20" w:after="20"/>
              <w:jc w:val="left"/>
            </w:pPr>
            <w:r>
              <w:rPr>
                <w:sz w:val="17"/>
              </w:rPr>
              <w:t>Çok yüksek çözünürlüklü uydu</w:t>
            </w:r>
          </w:p>
        </w:tc>
        <w:tc>
          <w:tcPr>
            <w:tcW w:w="714" w:type="pct"/>
          </w:tcPr>
          <w:p w14:paraId="2EA2837E" w14:textId="77777777" w:rsidR="00B20134" w:rsidRDefault="00990031">
            <w:pPr>
              <w:keepNext/>
              <w:spacing w:before="20" w:after="20"/>
              <w:jc w:val="left"/>
            </w:pPr>
            <w:r>
              <w:rPr>
                <w:sz w:val="17"/>
              </w:rPr>
              <w:t>Bina değişim tespiti</w:t>
            </w:r>
          </w:p>
        </w:tc>
        <w:tc>
          <w:tcPr>
            <w:tcW w:w="714" w:type="pct"/>
          </w:tcPr>
          <w:p w14:paraId="2B9B322C" w14:textId="77777777" w:rsidR="00B20134" w:rsidRDefault="00990031">
            <w:pPr>
              <w:keepNext/>
              <w:spacing w:before="20" w:after="20"/>
              <w:jc w:val="left"/>
            </w:pPr>
            <w:r>
              <w:rPr>
                <w:sz w:val="17"/>
              </w:rPr>
              <w:t>2338</w:t>
            </w:r>
          </w:p>
        </w:tc>
        <w:tc>
          <w:tcPr>
            <w:tcW w:w="714" w:type="pct"/>
          </w:tcPr>
          <w:p w14:paraId="7BE07AB4" w14:textId="77777777" w:rsidR="00B20134" w:rsidRDefault="00990031">
            <w:pPr>
              <w:keepNext/>
              <w:spacing w:before="2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20" w:after="20"/>
              <w:jc w:val="left"/>
            </w:pPr>
            <w:r>
              <w:rPr>
                <w:sz w:val="17"/>
              </w:rPr>
              <w:t>TE23D</w:t>
            </w:r>
          </w:p>
        </w:tc>
        <w:tc>
          <w:tcPr>
            <w:tcW w:w="714" w:type="pct"/>
          </w:tcPr>
          <w:p w14:paraId="5C73A52C" w14:textId="77777777" w:rsidR="00B20134" w:rsidRDefault="00990031">
            <w:pPr>
              <w:keepNext/>
              <w:spacing w:before="20" w:after="20"/>
              <w:jc w:val="left"/>
            </w:pPr>
            <w:r>
              <w:rPr>
                <w:sz w:val="17"/>
              </w:rPr>
              <w:t>[11]</w:t>
            </w:r>
          </w:p>
        </w:tc>
        <w:tc>
          <w:tcPr>
            <w:tcW w:w="714" w:type="pct"/>
          </w:tcPr>
          <w:p w14:paraId="5B9471BC" w14:textId="77777777" w:rsidR="00B20134" w:rsidRDefault="00990031">
            <w:pPr>
              <w:keepNext/>
              <w:spacing w:before="20" w:after="20"/>
              <w:jc w:val="left"/>
            </w:pPr>
            <w:r>
              <w:rPr>
                <w:sz w:val="17"/>
              </w:rPr>
              <w:t>2025</w:t>
            </w:r>
          </w:p>
        </w:tc>
        <w:tc>
          <w:tcPr>
            <w:tcW w:w="714" w:type="pct"/>
          </w:tcPr>
          <w:p w14:paraId="68DC1096" w14:textId="77777777" w:rsidR="00B20134" w:rsidRDefault="00990031">
            <w:pPr>
              <w:keepNext/>
              <w:spacing w:before="20" w:after="20"/>
              <w:jc w:val="left"/>
            </w:pPr>
            <w:r>
              <w:rPr>
                <w:sz w:val="17"/>
              </w:rPr>
              <w:t>Çok yüksek çözünürlüklü uydu</w:t>
            </w:r>
          </w:p>
        </w:tc>
        <w:tc>
          <w:tcPr>
            <w:tcW w:w="714" w:type="pct"/>
          </w:tcPr>
          <w:p w14:paraId="5D753BC8" w14:textId="77777777" w:rsidR="00B20134" w:rsidRDefault="00990031">
            <w:pPr>
              <w:keepNext/>
              <w:spacing w:before="20" w:after="20"/>
              <w:jc w:val="left"/>
            </w:pPr>
            <w:r>
              <w:rPr>
                <w:sz w:val="17"/>
              </w:rPr>
              <w:t>Hasar değerlendirme</w:t>
            </w:r>
          </w:p>
        </w:tc>
        <w:tc>
          <w:tcPr>
            <w:tcW w:w="714" w:type="pct"/>
          </w:tcPr>
          <w:p w14:paraId="75835A12" w14:textId="77777777" w:rsidR="00B20134" w:rsidRDefault="00990031">
            <w:pPr>
              <w:keepNext/>
              <w:spacing w:before="20" w:after="20"/>
              <w:jc w:val="left"/>
            </w:pPr>
            <w:r>
              <w:rPr>
                <w:sz w:val="17"/>
              </w:rPr>
              <w:t>1183</w:t>
            </w:r>
          </w:p>
        </w:tc>
        <w:tc>
          <w:tcPr>
            <w:tcW w:w="714" w:type="pct"/>
          </w:tcPr>
          <w:p w14:paraId="4B234C64" w14:textId="77777777" w:rsidR="00B20134" w:rsidRDefault="00990031">
            <w:pPr>
              <w:keepNext/>
              <w:spacing w:before="2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20" w:after="20"/>
              <w:jc w:val="left"/>
            </w:pPr>
            <w:r>
              <w:rPr>
                <w:sz w:val="17"/>
              </w:rPr>
              <w:t>EarthquakeNet</w:t>
            </w:r>
          </w:p>
        </w:tc>
        <w:tc>
          <w:tcPr>
            <w:tcW w:w="714" w:type="pct"/>
          </w:tcPr>
          <w:p w14:paraId="11D7A532" w14:textId="77777777" w:rsidR="00B20134" w:rsidRDefault="00990031">
            <w:pPr>
              <w:keepNext/>
              <w:spacing w:before="20" w:after="20"/>
              <w:jc w:val="left"/>
            </w:pPr>
            <w:r>
              <w:rPr>
                <w:sz w:val="17"/>
              </w:rPr>
              <w:t>[26]*</w:t>
            </w:r>
          </w:p>
        </w:tc>
        <w:tc>
          <w:tcPr>
            <w:tcW w:w="714" w:type="pct"/>
          </w:tcPr>
          <w:p w14:paraId="18E9354D" w14:textId="77777777" w:rsidR="00B20134" w:rsidRDefault="00990031">
            <w:pPr>
              <w:keepNext/>
              <w:spacing w:before="20" w:after="20"/>
              <w:jc w:val="left"/>
            </w:pPr>
            <w:r>
              <w:rPr>
                <w:sz w:val="17"/>
              </w:rPr>
              <w:t>—</w:t>
            </w:r>
          </w:p>
        </w:tc>
        <w:tc>
          <w:tcPr>
            <w:tcW w:w="714" w:type="pct"/>
          </w:tcPr>
          <w:p w14:paraId="45AE7F0C" w14:textId="77777777" w:rsidR="00B20134" w:rsidRDefault="00990031">
            <w:pPr>
              <w:keepNext/>
              <w:spacing w:before="20" w:after="20"/>
              <w:jc w:val="left"/>
            </w:pPr>
            <w:r>
              <w:rPr>
                <w:sz w:val="17"/>
              </w:rPr>
              <w:t>İnsansız hava aracı</w:t>
            </w:r>
          </w:p>
        </w:tc>
        <w:tc>
          <w:tcPr>
            <w:tcW w:w="714" w:type="pct"/>
          </w:tcPr>
          <w:p w14:paraId="524CD26A" w14:textId="77777777" w:rsidR="00B20134" w:rsidRDefault="00990031">
            <w:pPr>
              <w:keepNext/>
              <w:spacing w:before="20" w:after="20"/>
              <w:jc w:val="left"/>
            </w:pPr>
            <w:r>
              <w:rPr>
                <w:sz w:val="17"/>
              </w:rPr>
              <w:t>Hasar bölütlemesi</w:t>
            </w:r>
          </w:p>
        </w:tc>
        <w:tc>
          <w:tcPr>
            <w:tcW w:w="714" w:type="pct"/>
          </w:tcPr>
          <w:p w14:paraId="68310B4A" w14:textId="77777777" w:rsidR="00B20134" w:rsidRDefault="00990031">
            <w:pPr>
              <w:keepNext/>
              <w:spacing w:before="20" w:after="20"/>
              <w:jc w:val="left"/>
            </w:pPr>
            <w:r>
              <w:rPr>
                <w:sz w:val="17"/>
              </w:rPr>
              <w:t>69</w:t>
            </w:r>
          </w:p>
        </w:tc>
        <w:tc>
          <w:tcPr>
            <w:tcW w:w="714" w:type="pct"/>
          </w:tcPr>
          <w:p w14:paraId="3C8B0D78" w14:textId="77777777" w:rsidR="00B20134" w:rsidRDefault="00990031">
            <w:pPr>
              <w:keepNext/>
              <w:spacing w:before="2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20" w:after="20"/>
              <w:jc w:val="left"/>
            </w:pPr>
            <w:r>
              <w:rPr>
                <w:sz w:val="17"/>
              </w:rPr>
              <w:t>MEDIC</w:t>
            </w:r>
          </w:p>
        </w:tc>
        <w:tc>
          <w:tcPr>
            <w:tcW w:w="714" w:type="pct"/>
          </w:tcPr>
          <w:p w14:paraId="6EFFD2B6" w14:textId="77777777" w:rsidR="00B20134" w:rsidRDefault="00990031">
            <w:pPr>
              <w:keepNext/>
              <w:spacing w:before="20" w:after="20"/>
              <w:jc w:val="left"/>
            </w:pPr>
            <w:r>
              <w:rPr>
                <w:sz w:val="17"/>
              </w:rPr>
              <w:t>[27]</w:t>
            </w:r>
          </w:p>
        </w:tc>
        <w:tc>
          <w:tcPr>
            <w:tcW w:w="714" w:type="pct"/>
          </w:tcPr>
          <w:p w14:paraId="6743714C" w14:textId="77777777" w:rsidR="00B20134" w:rsidRDefault="00990031">
            <w:pPr>
              <w:keepNext/>
              <w:spacing w:before="20" w:after="20"/>
              <w:jc w:val="left"/>
            </w:pPr>
            <w:r>
              <w:rPr>
                <w:sz w:val="17"/>
              </w:rPr>
              <w:t>2021</w:t>
            </w:r>
          </w:p>
        </w:tc>
        <w:tc>
          <w:tcPr>
            <w:tcW w:w="714" w:type="pct"/>
          </w:tcPr>
          <w:p w14:paraId="215E6114" w14:textId="77777777" w:rsidR="00B20134" w:rsidRDefault="00990031">
            <w:pPr>
              <w:keepNext/>
              <w:spacing w:before="20" w:after="20"/>
              <w:jc w:val="left"/>
            </w:pPr>
            <w:r>
              <w:rPr>
                <w:sz w:val="17"/>
              </w:rPr>
              <w:t>Sosyal medya (yer seviyesi)</w:t>
            </w:r>
          </w:p>
        </w:tc>
        <w:tc>
          <w:tcPr>
            <w:tcW w:w="714" w:type="pct"/>
          </w:tcPr>
          <w:p w14:paraId="3CBF0865" w14:textId="77777777" w:rsidR="00B20134" w:rsidRDefault="00990031">
            <w:pPr>
              <w:keepNext/>
              <w:spacing w:before="20" w:after="20"/>
              <w:jc w:val="left"/>
            </w:pPr>
            <w:r>
              <w:rPr>
                <w:sz w:val="17"/>
              </w:rPr>
              <w:t>Çok görevli afet sınıflandırma</w:t>
            </w:r>
          </w:p>
        </w:tc>
        <w:tc>
          <w:tcPr>
            <w:tcW w:w="714" w:type="pct"/>
          </w:tcPr>
          <w:p w14:paraId="07B1D327" w14:textId="77777777" w:rsidR="00B20134" w:rsidRDefault="00990031">
            <w:pPr>
              <w:keepNext/>
              <w:spacing w:before="20" w:after="20"/>
              <w:jc w:val="left"/>
            </w:pPr>
            <w:r>
              <w:rPr>
                <w:sz w:val="17"/>
              </w:rPr>
              <w:t>15 095</w:t>
            </w:r>
          </w:p>
        </w:tc>
        <w:tc>
          <w:tcPr>
            <w:tcW w:w="714" w:type="pct"/>
          </w:tcPr>
          <w:p w14:paraId="4BFE2515" w14:textId="77777777" w:rsidR="00B20134" w:rsidRDefault="00990031">
            <w:pPr>
              <w:keepNext/>
              <w:spacing w:before="2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20" w:after="20"/>
              <w:jc w:val="left"/>
            </w:pPr>
            <w:r>
              <w:rPr>
                <w:sz w:val="17"/>
              </w:rPr>
              <w:t>EID</w:t>
            </w:r>
          </w:p>
        </w:tc>
        <w:tc>
          <w:tcPr>
            <w:tcW w:w="714" w:type="pct"/>
          </w:tcPr>
          <w:p w14:paraId="0EBF6C20" w14:textId="77777777" w:rsidR="00B20134" w:rsidRDefault="00990031">
            <w:pPr>
              <w:keepNext/>
              <w:spacing w:before="20" w:after="20"/>
              <w:jc w:val="left"/>
            </w:pPr>
            <w:r>
              <w:rPr>
                <w:sz w:val="17"/>
              </w:rPr>
              <w:t>[26]*</w:t>
            </w:r>
          </w:p>
        </w:tc>
        <w:tc>
          <w:tcPr>
            <w:tcW w:w="714" w:type="pct"/>
          </w:tcPr>
          <w:p w14:paraId="60A3C49D" w14:textId="77777777" w:rsidR="00B20134" w:rsidRDefault="00990031">
            <w:pPr>
              <w:keepNext/>
              <w:spacing w:before="20" w:after="20"/>
              <w:jc w:val="left"/>
            </w:pPr>
            <w:r>
              <w:rPr>
                <w:sz w:val="17"/>
              </w:rPr>
              <w:t>2025</w:t>
            </w:r>
          </w:p>
        </w:tc>
        <w:tc>
          <w:tcPr>
            <w:tcW w:w="714" w:type="pct"/>
          </w:tcPr>
          <w:p w14:paraId="05BAB5B2" w14:textId="77777777" w:rsidR="00B20134" w:rsidRDefault="00990031">
            <w:pPr>
              <w:keepNext/>
              <w:spacing w:before="20" w:after="20"/>
              <w:jc w:val="left"/>
            </w:pPr>
            <w:r>
              <w:rPr>
                <w:sz w:val="17"/>
              </w:rPr>
              <w:t>Sosyal medya (yer seviyesi)</w:t>
            </w:r>
          </w:p>
        </w:tc>
        <w:tc>
          <w:tcPr>
            <w:tcW w:w="714" w:type="pct"/>
          </w:tcPr>
          <w:p w14:paraId="66D92E66" w14:textId="77777777" w:rsidR="00B20134" w:rsidRDefault="00990031">
            <w:pPr>
              <w:keepNext/>
              <w:spacing w:before="20" w:after="20"/>
              <w:jc w:val="left"/>
            </w:pPr>
            <w:r>
              <w:rPr>
                <w:sz w:val="17"/>
              </w:rPr>
              <w:t>Deprem hasarı sınıflandırma</w:t>
            </w:r>
          </w:p>
        </w:tc>
        <w:tc>
          <w:tcPr>
            <w:tcW w:w="714" w:type="pct"/>
          </w:tcPr>
          <w:p w14:paraId="34D5FCDC" w14:textId="77777777" w:rsidR="00B20134" w:rsidRDefault="00990031">
            <w:pPr>
              <w:keepNext/>
              <w:spacing w:before="20" w:after="20"/>
              <w:jc w:val="left"/>
            </w:pPr>
            <w:r>
              <w:rPr>
                <w:sz w:val="17"/>
              </w:rPr>
              <w:t>13 513</w:t>
            </w:r>
          </w:p>
        </w:tc>
        <w:tc>
          <w:tcPr>
            <w:tcW w:w="714" w:type="pct"/>
          </w:tcPr>
          <w:p w14:paraId="10525CCA" w14:textId="77777777" w:rsidR="00B20134" w:rsidRDefault="00990031">
            <w:pPr>
              <w:keepNext/>
              <w:spacing w:before="2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20" w:after="20"/>
              <w:jc w:val="left"/>
            </w:pPr>
            <w:r>
              <w:rPr>
                <w:sz w:val="17"/>
              </w:rPr>
              <w:t>DSS</w:t>
            </w:r>
          </w:p>
        </w:tc>
        <w:tc>
          <w:tcPr>
            <w:tcW w:w="714" w:type="pct"/>
          </w:tcPr>
          <w:p w14:paraId="41E255C6" w14:textId="77777777" w:rsidR="00B20134" w:rsidRDefault="00990031">
            <w:pPr>
              <w:keepNext/>
              <w:spacing w:before="20" w:after="20"/>
              <w:jc w:val="left"/>
            </w:pPr>
            <w:r>
              <w:rPr>
                <w:sz w:val="17"/>
              </w:rPr>
              <w:t>[28]</w:t>
            </w:r>
          </w:p>
        </w:tc>
        <w:tc>
          <w:tcPr>
            <w:tcW w:w="714" w:type="pct"/>
          </w:tcPr>
          <w:p w14:paraId="2301601A" w14:textId="77777777" w:rsidR="00B20134" w:rsidRDefault="00990031">
            <w:pPr>
              <w:keepNext/>
              <w:spacing w:before="20" w:after="20"/>
              <w:jc w:val="left"/>
            </w:pPr>
            <w:r>
              <w:rPr>
                <w:sz w:val="17"/>
              </w:rPr>
              <w:t>2025</w:t>
            </w:r>
          </w:p>
        </w:tc>
        <w:tc>
          <w:tcPr>
            <w:tcW w:w="714" w:type="pct"/>
          </w:tcPr>
          <w:p w14:paraId="06D090C1" w14:textId="77777777" w:rsidR="00B20134" w:rsidRDefault="00990031">
            <w:pPr>
              <w:keepNext/>
              <w:spacing w:before="20" w:after="20"/>
              <w:jc w:val="left"/>
            </w:pPr>
            <w:r>
              <w:rPr>
                <w:sz w:val="17"/>
              </w:rPr>
              <w:t>Sosyal medya (yer seviyesi)</w:t>
            </w:r>
          </w:p>
        </w:tc>
        <w:tc>
          <w:tcPr>
            <w:tcW w:w="714" w:type="pct"/>
          </w:tcPr>
          <w:p w14:paraId="0A4DDE49" w14:textId="77777777" w:rsidR="00B20134" w:rsidRDefault="00990031">
            <w:pPr>
              <w:keepNext/>
              <w:spacing w:before="20" w:after="20"/>
              <w:jc w:val="left"/>
            </w:pPr>
            <w:r>
              <w:rPr>
                <w:sz w:val="17"/>
              </w:rPr>
              <w:t>Hasar şiddeti bölütlemesi</w:t>
            </w:r>
          </w:p>
        </w:tc>
        <w:tc>
          <w:tcPr>
            <w:tcW w:w="714" w:type="pct"/>
          </w:tcPr>
          <w:p w14:paraId="68554366" w14:textId="77777777" w:rsidR="00B20134" w:rsidRDefault="00990031">
            <w:pPr>
              <w:keepNext/>
              <w:spacing w:before="20" w:after="20"/>
              <w:jc w:val="left"/>
            </w:pPr>
            <w:r>
              <w:rPr>
                <w:sz w:val="17"/>
              </w:rPr>
              <w:t>607</w:t>
            </w:r>
          </w:p>
        </w:tc>
        <w:tc>
          <w:tcPr>
            <w:tcW w:w="714" w:type="pct"/>
          </w:tcPr>
          <w:p w14:paraId="2A0798B1" w14:textId="77777777" w:rsidR="00B20134" w:rsidRDefault="00990031">
            <w:pPr>
              <w:keepNext/>
              <w:spacing w:before="2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20" w:after="20"/>
              <w:jc w:val="left"/>
            </w:pPr>
            <w:r>
              <w:rPr>
                <w:sz w:val="17"/>
              </w:rPr>
              <w:t>EIDSeg</w:t>
            </w:r>
          </w:p>
        </w:tc>
        <w:tc>
          <w:tcPr>
            <w:tcW w:w="714" w:type="pct"/>
          </w:tcPr>
          <w:p w14:paraId="7ED14868" w14:textId="77777777" w:rsidR="00B20134" w:rsidRDefault="00990031">
            <w:pPr>
              <w:spacing w:before="20" w:after="20"/>
              <w:jc w:val="left"/>
            </w:pPr>
            <w:r>
              <w:rPr>
                <w:sz w:val="17"/>
              </w:rPr>
              <w:t>[26]</w:t>
            </w:r>
          </w:p>
        </w:tc>
        <w:tc>
          <w:tcPr>
            <w:tcW w:w="714" w:type="pct"/>
          </w:tcPr>
          <w:p w14:paraId="3DD3C5C7" w14:textId="77777777" w:rsidR="00B20134" w:rsidRDefault="00990031">
            <w:pPr>
              <w:spacing w:before="20" w:after="20"/>
              <w:jc w:val="left"/>
            </w:pPr>
            <w:r>
              <w:rPr>
                <w:sz w:val="17"/>
              </w:rPr>
              <w:t>2026</w:t>
            </w:r>
          </w:p>
        </w:tc>
        <w:tc>
          <w:tcPr>
            <w:tcW w:w="714" w:type="pct"/>
          </w:tcPr>
          <w:p w14:paraId="005730D9" w14:textId="77777777" w:rsidR="00B20134" w:rsidRDefault="00990031">
            <w:pPr>
              <w:spacing w:before="20" w:after="20"/>
              <w:jc w:val="left"/>
            </w:pPr>
            <w:r>
              <w:rPr>
                <w:sz w:val="17"/>
              </w:rPr>
              <w:t>Sosyal medya (yer seviyesi)</w:t>
            </w:r>
          </w:p>
        </w:tc>
        <w:tc>
          <w:tcPr>
            <w:tcW w:w="714" w:type="pct"/>
          </w:tcPr>
          <w:p w14:paraId="2BF9A83C" w14:textId="77777777" w:rsidR="00B20134" w:rsidRDefault="00990031">
            <w:pPr>
              <w:spacing w:before="20" w:after="20"/>
              <w:jc w:val="left"/>
            </w:pPr>
            <w:r>
              <w:rPr>
                <w:sz w:val="17"/>
              </w:rPr>
              <w:t>Piksel düzeyi hasar bölütlemesi</w:t>
            </w:r>
          </w:p>
        </w:tc>
        <w:tc>
          <w:tcPr>
            <w:tcW w:w="714" w:type="pct"/>
          </w:tcPr>
          <w:p w14:paraId="23B7D081" w14:textId="77777777" w:rsidR="00B20134" w:rsidRDefault="00990031">
            <w:pPr>
              <w:spacing w:before="20" w:after="20"/>
              <w:jc w:val="left"/>
            </w:pPr>
            <w:r>
              <w:rPr>
                <w:sz w:val="17"/>
              </w:rPr>
              <w:t>3266</w:t>
            </w:r>
          </w:p>
        </w:tc>
        <w:tc>
          <w:tcPr>
            <w:tcW w:w="714" w:type="pct"/>
          </w:tcPr>
          <w:p w14:paraId="5DC6AA65" w14:textId="77777777" w:rsidR="00B20134" w:rsidRDefault="00990031">
            <w:pPr>
              <w:spacing w:before="2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highlight w:val="yellow"/>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highlight w:val="yellow"/>
              </w:rPr>
              <w:t>Help.NGO İHA ortofotoları [64] (OpenAerialMap üzerinden)</w:t>
            </w:r>
          </w:p>
        </w:tc>
        <w:tc>
          <w:tcPr>
            <w:tcW w:w="0" w:type="auto"/>
          </w:tcPr>
          <w:p w14:paraId="396EC8C6" w14:textId="77777777" w:rsidR="00210E36" w:rsidRDefault="00BF64E8">
            <w:pPr>
              <w:keepNext/>
              <w:spacing w:before="20" w:after="20"/>
              <w:jc w:val="left"/>
            </w:pPr>
            <w:r>
              <w:rPr>
                <w:sz w:val="19"/>
                <w:highlight w:val="yellow"/>
              </w:rPr>
              <w:t>İnsansız hava aracı ortofotosu, üç sahne (Tablo 3–4)</w:t>
            </w:r>
          </w:p>
        </w:tc>
        <w:tc>
          <w:tcPr>
            <w:tcW w:w="0" w:type="auto"/>
          </w:tcPr>
          <w:p w14:paraId="6A193988" w14:textId="77777777" w:rsidR="00210E36" w:rsidRDefault="00BF64E8">
            <w:pPr>
              <w:keepNext/>
              <w:spacing w:before="20" w:after="20"/>
              <w:jc w:val="left"/>
            </w:pPr>
            <w:r>
              <w:rPr>
                <w:sz w:val="19"/>
                <w:highlight w:val="yellow"/>
              </w:rPr>
              <w:t>9 ve 14 Şubat 2023 (deprem sonrası)</w:t>
            </w:r>
          </w:p>
        </w:tc>
        <w:tc>
          <w:tcPr>
            <w:tcW w:w="0" w:type="auto"/>
          </w:tcPr>
          <w:p w14:paraId="64C0FBEF" w14:textId="77777777" w:rsidR="00210E36" w:rsidRDefault="00BF64E8">
            <w:pPr>
              <w:keepNext/>
              <w:spacing w:before="20" w:after="20"/>
              <w:jc w:val="left"/>
            </w:pPr>
            <w:r>
              <w:rPr>
                <w:sz w:val="19"/>
                <w:highlight w:val="yellow"/>
              </w:rPr>
              <w:t>Hatay (Defne/Elektrik), Gaziantep (İslahiye, Nurdağı)</w:t>
            </w:r>
          </w:p>
        </w:tc>
        <w:tc>
          <w:tcPr>
            <w:tcW w:w="0" w:type="auto"/>
          </w:tcPr>
          <w:p w14:paraId="5A8DDE62" w14:textId="77777777" w:rsidR="00210E36" w:rsidRDefault="00BF64E8">
            <w:pPr>
              <w:keepNext/>
              <w:spacing w:before="20" w:after="20"/>
              <w:jc w:val="left"/>
            </w:pPr>
            <w:r>
              <w:rPr>
                <w:sz w:val="19"/>
                <w:highlight w:val="yellow"/>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highlight w:val="yellow"/>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KATE-PD [56]</w:t>
            </w:r>
          </w:p>
        </w:tc>
        <w:tc>
          <w:tcPr>
            <w:tcW w:w="0" w:type="auto"/>
          </w:tcPr>
          <w:p w14:paraId="4A26089C" w14:textId="77777777" w:rsidR="00210E36" w:rsidRDefault="00BF64E8">
            <w:pPr>
              <w:keepNext/>
              <w:spacing w:before="20" w:after="20"/>
              <w:jc w:val="left"/>
            </w:pPr>
            <w:r>
              <w:rPr>
                <w:sz w:val="19"/>
                <w:highlight w:val="yellow"/>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highlight w:val="yellow"/>
              </w:rPr>
              <w:t>2023 (deprem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0,375–0,5 m; 512 × 512 piksel; 832 karo</w:t>
            </w:r>
          </w:p>
        </w:tc>
        <w:tc>
          <w:tcPr>
            <w:tcW w:w="0" w:type="auto"/>
          </w:tcPr>
          <w:p w14:paraId="723478E5" w14:textId="77777777" w:rsidR="00210E36" w:rsidRDefault="00BF64E8">
            <w:pPr>
              <w:keepNext/>
              <w:spacing w:before="20" w:after="20"/>
              <w:jc w:val="left"/>
            </w:pPr>
            <w:r>
              <w:rPr>
                <w:sz w:val="19"/>
                <w:highlight w:val="yellow"/>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KATE-CD [56]</w:t>
            </w:r>
          </w:p>
        </w:tc>
        <w:tc>
          <w:tcPr>
            <w:tcW w:w="0" w:type="auto"/>
          </w:tcPr>
          <w:p w14:paraId="4A26089C" w14:textId="77777777" w:rsidR="00210E36" w:rsidRDefault="00BF64E8">
            <w:pPr>
              <w:keepNext/>
              <w:spacing w:before="20" w:after="20"/>
              <w:jc w:val="left"/>
            </w:pPr>
            <w:r>
              <w:rPr>
                <w:sz w:val="19"/>
                <w:highlight w:val="yellow"/>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highlight w:val="yellow"/>
              </w:rPr>
              <w:t>2023 (deprem öncesi ve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highlight w:val="yellow"/>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highlight w:val="yellow"/>
              </w:rPr>
              <w:t>MEDBFS [57], Türkiye alt kümesi</w:t>
            </w:r>
          </w:p>
        </w:tc>
        <w:tc>
          <w:tcPr>
            <w:tcW w:w="0" w:type="auto"/>
          </w:tcPr>
          <w:p w14:paraId="057349C2" w14:textId="77777777" w:rsidR="00210E36" w:rsidRDefault="00BF64E8">
            <w:pPr>
              <w:keepNext/>
              <w:spacing w:before="20" w:after="20"/>
              <w:jc w:val="left"/>
            </w:pPr>
            <w:r>
              <w:rPr>
                <w:sz w:val="19"/>
                <w:highlight w:val="yellow"/>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highlight w:val="yellow"/>
              </w:rPr>
              <w:lastRenderedPageBreak/>
              <w:t>6 Şubat 2023 depremi (öncesi ve sonrası)</w:t>
            </w:r>
          </w:p>
        </w:tc>
        <w:tc>
          <w:tcPr>
            <w:tcW w:w="0" w:type="auto"/>
          </w:tcPr>
          <w:p w14:paraId="06A0D45A" w14:textId="77777777" w:rsidR="00210E36" w:rsidRDefault="00BF64E8">
            <w:pPr>
              <w:keepNext/>
              <w:spacing w:before="20" w:after="20"/>
              <w:jc w:val="left"/>
            </w:pPr>
            <w:r>
              <w:rPr>
                <w:sz w:val="19"/>
                <w:highlight w:val="yellow"/>
              </w:rPr>
              <w:t>Kahramanmaraş, Gaziantep</w:t>
            </w:r>
          </w:p>
        </w:tc>
        <w:tc>
          <w:tcPr>
            <w:tcW w:w="0" w:type="auto"/>
          </w:tcPr>
          <w:p w14:paraId="62FF4002" w14:textId="77777777" w:rsidR="00210E36" w:rsidRDefault="00BF64E8">
            <w:pPr>
              <w:keepNext/>
              <w:spacing w:before="20" w:after="20"/>
              <w:jc w:val="left"/>
            </w:pPr>
            <w:r>
              <w:rPr>
                <w:sz w:val="19"/>
                <w:highlight w:val="yellow"/>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highlight w:val="yellow"/>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highlight w:val="yellow"/>
              </w:rPr>
              <w:t>Türkçe afet metni kümesi (deprem-private/intent_test_v13_anonymized)</w:t>
            </w:r>
          </w:p>
        </w:tc>
        <w:tc>
          <w:tcPr>
            <w:tcW w:w="0" w:type="auto"/>
          </w:tcPr>
          <w:p w14:paraId="737366CA" w14:textId="77777777" w:rsidR="00210E36" w:rsidRDefault="00BF64E8">
            <w:pPr>
              <w:spacing w:before="20" w:after="20"/>
              <w:jc w:val="left"/>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highlight w:val="yellow"/>
              </w:rPr>
              <w:t>12–14 Şubat 2023 (kayıt zaman damgaları)</w:t>
            </w:r>
          </w:p>
        </w:tc>
        <w:tc>
          <w:tcPr>
            <w:tcW w:w="0" w:type="auto"/>
          </w:tcPr>
          <w:p w14:paraId="5619C939" w14:textId="77777777" w:rsidR="00210E36" w:rsidRDefault="00BF64E8">
            <w:pPr>
              <w:spacing w:before="20" w:after="20"/>
              <w:jc w:val="left"/>
            </w:pPr>
            <w:r>
              <w:rPr>
                <w:sz w:val="19"/>
                <w:highlight w:val="yellow"/>
              </w:rPr>
              <w:t>Belirtilmemiş</w:t>
            </w:r>
          </w:p>
        </w:tc>
        <w:tc>
          <w:tcPr>
            <w:tcW w:w="0" w:type="auto"/>
          </w:tcPr>
          <w:p w14:paraId="36497A1B" w14:textId="77777777" w:rsidR="00210E36" w:rsidRDefault="00BF64E8">
            <w:pPr>
              <w:spacing w:before="20" w:after="20"/>
              <w:jc w:val="left"/>
            </w:pPr>
            <w:r>
              <w:rPr>
                <w:sz w:val="19"/>
                <w:highlight w:val="yellow"/>
              </w:rPr>
              <w:t>2 028 kayıt (1 418 eğitim / 305 doğrulama / 305 sınama)</w:t>
            </w:r>
          </w:p>
        </w:tc>
        <w:tc>
          <w:tcPr>
            <w:tcW w:w="0" w:type="auto"/>
          </w:tcPr>
          <w:p w14:paraId="3BDE34F3" w14:textId="77777777" w:rsidR="00210E36" w:rsidRDefault="00BF64E8">
            <w:pPr>
              <w:spacing w:before="20" w:after="20"/>
              <w:jc w:val="left"/>
            </w:pPr>
            <w:r>
              <w:rPr>
                <w:sz w:val="19"/>
                <w:highlight w:val="yellow"/>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highlight w:val="yellow"/>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17)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23).</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Tablo 21</w:t>
      </w:r>
      <w:r w:rsidR="00AE5951">
        <w:rPr>
          <w:b/>
          <w:noProof/>
        </w:rPr>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18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highlight w:val="yellow"/>
        </w:rPr>
        <w:t>Girdi : G(V,E) yönlü yol çizgesi (kenar uzunluğu w(e), kenar hızı v(e), dönüş süresi τ);</w:t>
      </w:r>
    </w:p>
    <w:p>
      <w:r>
        <w:rPr>
          <w:rFonts w:ascii="Consolas" w:hAnsi="Consolas"/>
          <w:b w:val="0"/>
          <w:sz w:val="18"/>
          <w:highlight w:val="yellow"/>
        </w:rPr>
        <w:t xml:space="preserve">        B gerçek kapalı kenar kümesi (ekibe gizli); s başlangıç düğümü; g hedef düğüm;</w:t>
      </w:r>
    </w:p>
    <w:p>
      <w:r>
        <w:rPr>
          <w:rFonts w:ascii="Consolas" w:hAnsi="Consolas"/>
          <w:b w:val="0"/>
          <w:sz w:val="18"/>
          <w:highlight w:val="yellow"/>
        </w:rPr>
        <w:t xml:space="preserve">        I_max = 60 en çok yol hesabı (ilk plan dahil)</w:t>
      </w:r>
    </w:p>
    <w:p>
      <w:r>
        <w:rPr>
          <w:rFonts w:ascii="Consolas" w:hAnsi="Consolas"/>
          <w:b w:val="0"/>
          <w:sz w:val="18"/>
          <w:highlight w:val="yellow"/>
        </w:rPr>
        <w:t>Çıktı : toplam süre T ve keşfedilen kapanma sayısı k; ya da ULAŞILAMAZ</w:t>
      </w:r>
    </w:p>
    <w:p>
      <w:r>
        <w:rPr>
          <w:rFonts w:ascii="Consolas" w:hAnsi="Consolas"/>
          <w:b w:val="0"/>
          <w:sz w:val="18"/>
          <w:highlight w:val="yellow"/>
        </w:rPr>
        <w:t>1: K &lt;- boş küme ; c &lt;- s ; e_g &lt;- yok ; T &lt;- 0 ; k &lt;- 0   // K: ekibin bildiği kapalı kenarlar</w:t>
      </w:r>
    </w:p>
    <w:p>
      <w:r>
        <w:rPr>
          <w:rFonts w:ascii="Consolas" w:hAnsi="Consolas"/>
          <w:b w:val="0"/>
          <w:sz w:val="18"/>
          <w:highlight w:val="yellow"/>
        </w:rPr>
        <w:t>2: i = 1 .. I_max döngüsü</w:t>
      </w:r>
    </w:p>
    <w:p>
      <w:r>
        <w:rPr>
          <w:rFonts w:ascii="Consolas" w:hAnsi="Consolas"/>
          <w:b w:val="0"/>
          <w:sz w:val="18"/>
          <w:highlight w:val="yellow"/>
        </w:rPr>
        <w:t>3:     P &lt;- A*(G \ K, c, g, maliyet = w(e)/v(e) + τ, giriş kenarı = e_g)</w:t>
      </w:r>
    </w:p>
    <w:p>
      <w:r>
        <w:rPr>
          <w:rFonts w:ascii="Consolas" w:hAnsi="Consolas"/>
          <w:b w:val="0"/>
          <w:sz w:val="18"/>
          <w:highlight w:val="yellow"/>
        </w:rPr>
        <w:t>4:     P boş ise ULAŞILAMAZ döndür</w:t>
      </w:r>
    </w:p>
    <w:p>
      <w:r>
        <w:rPr>
          <w:rFonts w:ascii="Consolas" w:hAnsi="Consolas"/>
          <w:b w:val="0"/>
          <w:sz w:val="18"/>
          <w:highlight w:val="yellow"/>
        </w:rPr>
        <w:t>5:     engel &lt;- yanlış</w:t>
      </w:r>
    </w:p>
    <w:p>
      <w:r>
        <w:rPr>
          <w:rFonts w:ascii="Consolas" w:hAnsi="Consolas"/>
          <w:b w:val="0"/>
          <w:sz w:val="18"/>
          <w:highlight w:val="yellow"/>
        </w:rPr>
        <w:t>6:     P üzerindeki her ardışık kenar e = (u, v) için</w:t>
      </w:r>
    </w:p>
    <w:p>
      <w:r>
        <w:rPr>
          <w:rFonts w:ascii="Consolas" w:hAnsi="Consolas"/>
          <w:b w:val="0"/>
          <w:sz w:val="18"/>
          <w:highlight w:val="yellow"/>
        </w:rPr>
        <w:t>7:         e ∈ B ise</w:t>
      </w:r>
    </w:p>
    <w:p>
      <w:r>
        <w:rPr>
          <w:rFonts w:ascii="Consolas" w:hAnsi="Consolas"/>
          <w:b w:val="0"/>
          <w:sz w:val="18"/>
          <w:highlight w:val="yellow"/>
        </w:rPr>
        <w:t>8:             K &lt;- K ∪ {e, ters(e)} ; k &lt;- k + 1 ; c &lt;- u   // kenara girilmez, kavşakta öğrenilir</w:t>
      </w:r>
    </w:p>
    <w:p>
      <w:r>
        <w:rPr>
          <w:rFonts w:ascii="Consolas" w:hAnsi="Consolas"/>
          <w:b w:val="0"/>
          <w:sz w:val="18"/>
          <w:highlight w:val="yellow"/>
        </w:rPr>
        <w:t>9:             T &lt;- T + c_kapanma ; engel &lt;- doğru ; iç döngüden çık</w:t>
      </w:r>
    </w:p>
    <w:p>
      <w:r>
        <w:rPr>
          <w:rFonts w:ascii="Consolas" w:hAnsi="Consolas"/>
          <w:b w:val="0"/>
          <w:sz w:val="18"/>
          <w:highlight w:val="yellow"/>
        </w:rPr>
        <w:t>10:        T &lt;- T + w(e)/v(e) + τ(e_g, e) ; e_g &lt;- e ; c &lt;- v</w:t>
      </w:r>
    </w:p>
    <w:p>
      <w:r>
        <w:rPr>
          <w:rFonts w:ascii="Consolas" w:hAnsi="Consolas"/>
          <w:b w:val="0"/>
          <w:sz w:val="18"/>
          <w:highlight w:val="yellow"/>
        </w:rPr>
        <w:t>11:    engel = yanlış ise T, k döndür                  // c = g: hedefe varıldı</w:t>
      </w:r>
    </w:p>
    <w:p>
      <w:r>
        <w:rPr>
          <w:rFonts w:ascii="Consolas" w:hAnsi="Consolas"/>
          <w:b w:val="0"/>
          <w:sz w:val="18"/>
          <w:highlight w:val="yellow"/>
        </w:rPr>
        <w:t>12: ULAŞILAMAZ döndür                                   // I_max yol hesabı aşıldı</w:t>
      </w:r>
    </w:p>
    <w:p>
      <w:r>
        <w:rPr>
          <w:rFonts w:ascii="Consolas" w:hAnsi="Consolas"/>
          <w:b w:val="0"/>
          <w:sz w:val="18"/>
          <w:highlight w:val="yellow"/>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highlight w:val="yellow"/>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highlight w:val="yellow"/>
        </w:rPr>
        <w:t>Atama kuralı.</w:t>
      </w:r>
      <w:r>
        <w:rPr>
          <w:b w:val="0"/>
          <w:highlight w:val="yellow"/>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highlight w:val="yellow"/>
        </w:rPr>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2.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highlight w:val="yellow"/>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60" name="Picture 60"/>
            <wp:cNvGraphicFramePr>
              <a:graphicFrameLocks noChangeAspect="1"/>
            </wp:cNvGraphicFramePr>
            <a:graphic>
              <a:graphicData uri="http://schemas.openxmlformats.org/drawingml/2006/picture">
                <pic:pic>
                  <pic:nvPicPr>
                    <pic:cNvPr id="0" name="sekil_protokol.png"/>
                    <pic:cNvPicPr/>
                  </pic:nvPicPr>
                  <pic:blipFill>
                    <a:blip r:embed="rId66"/>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16).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insan etiketlemesiyle ön doğrulaması (Bölüm 4.3, Tablo 13), bir ilin eğitimden çıkarıldığı bölgeler arası genelleme deneyi (Bölüm 4.4, Tablo 14), kamera ve metin kanallarının tespit sayısı ve gecikmesi (Bölüm 4.5, Tablo 15), tatbikatın kıyas kolları, model seçimi, güzergâh varyantları, r_h ve ceza duyarlılığı (Bölüm 4.6–4.9, Tablo 16–20)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yalnız üç mimaride ölçülmüş olmasıdır (Bölüm 4.2, Sınırlılık). Bölüm 4.4'teki genelleme deneyi iki mimaride ve tek tohumla koşulmuştur.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highlight w:val="yellow"/>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highlight w:val="yellow"/>
              </w:rPr>
              <w:t>Bileşen</w:t>
            </w:r>
          </w:p>
        </w:tc>
        <w:tc>
          <w:tcPr>
            <w:tcW w:w="2438" w:type="dxa"/>
            <w:shd w:val="clear" w:color="auto" w:fill="E8E8E8"/>
          </w:tcPr>
          <w:p w14:paraId="5CDE20C9" w14:textId="77777777" w:rsidR="00EB262B" w:rsidRDefault="00BF64E8">
            <w:pPr>
              <w:keepNext/>
              <w:spacing w:before="20" w:after="20"/>
              <w:jc w:val="left"/>
            </w:pPr>
            <w:r>
              <w:rPr>
                <w:b/>
                <w:sz w:val="19"/>
                <w:highlight w:val="yellow"/>
              </w:rPr>
              <w:t>Gecikme ve çıkarım süresi ölçümü (Tablo 15, 17)</w:t>
            </w:r>
          </w:p>
        </w:tc>
        <w:tc>
          <w:tcPr>
            <w:tcW w:w="2438" w:type="dxa"/>
            <w:shd w:val="clear" w:color="auto" w:fill="E8E8E8"/>
          </w:tcPr>
          <w:p w14:paraId="5CDE20C9" w14:textId="77777777" w:rsidR="00EB262B" w:rsidRDefault="00BF64E8">
            <w:pPr>
              <w:keepNext/>
              <w:spacing w:before="20" w:after="20"/>
              <w:jc w:val="left"/>
            </w:pPr>
            <w:r>
              <w:rPr>
                <w:b/>
                <w:sz w:val="19"/>
                <w:highlight w:val="yellow"/>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highlight w:val="yellow"/>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highlight w:val="yellow"/>
              </w:rPr>
              <w:t>Ortam</w:t>
            </w:r>
          </w:p>
        </w:tc>
        <w:tc>
          <w:tcPr>
            <w:tcW w:w="2438" w:type="dxa"/>
          </w:tcPr>
          <w:p w14:paraId="53DEE410" w14:textId="77777777" w:rsidR="00EB262B" w:rsidRDefault="00BF64E8">
            <w:pPr>
              <w:keepNext/>
              <w:spacing w:before="20" w:after="20"/>
              <w:jc w:val="left"/>
            </w:pPr>
            <w:r>
              <w:rPr>
                <w:sz w:val="19"/>
                <w:highlight w:val="yellow"/>
              </w:rPr>
              <w:t>Dizüstü bilgisayar (yerel)</w:t>
            </w:r>
          </w:p>
        </w:tc>
        <w:tc>
          <w:tcPr>
            <w:tcW w:w="2438" w:type="dxa"/>
          </w:tcPr>
          <w:p w14:paraId="53DEE410" w14:textId="77777777" w:rsidR="00EB262B" w:rsidRDefault="00BF64E8">
            <w:pPr>
              <w:keepNext/>
              <w:spacing w:before="20" w:after="20"/>
              <w:jc w:val="left"/>
            </w:pPr>
            <w:r>
              <w:rPr>
                <w:sz w:val="19"/>
                <w:highlight w:val="yellow"/>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highlight w:val="yellow"/>
              </w:rPr>
              <w:t>İşlemci</w:t>
            </w:r>
          </w:p>
        </w:tc>
        <w:tc>
          <w:tcPr>
            <w:tcW w:w="2438" w:type="dxa"/>
          </w:tcPr>
          <w:p w14:paraId="0BA122D8" w14:textId="77777777" w:rsidR="00EB262B" w:rsidRDefault="00BF64E8">
            <w:pPr>
              <w:keepNext/>
              <w:spacing w:before="20" w:after="20"/>
              <w:jc w:val="left"/>
            </w:pPr>
            <w:r>
              <w:rPr>
                <w:sz w:val="19"/>
                <w:highlight w:val="yellow"/>
              </w:rPr>
              <w:t>Intel Core i7-12700H (14 çekirdek, 20 iş parçacığı)</w:t>
            </w:r>
          </w:p>
        </w:tc>
        <w:tc>
          <w:tcPr>
            <w:tcW w:w="2438" w:type="dxa"/>
          </w:tcPr>
          <w:p w14:paraId="0BA122D8" w14:textId="77777777" w:rsidR="00EB262B" w:rsidRDefault="00BF64E8">
            <w:pPr>
              <w:keepNext/>
              <w:spacing w:before="20" w:after="20"/>
              <w:jc w:val="left"/>
            </w:pPr>
            <w:r>
              <w:rPr>
                <w:sz w:val="19"/>
                <w:highlight w:val="yellow"/>
              </w:rPr>
              <w:t>AMD Ryzen 5 5500 (6 çekirdek, 12 iş parçacığı)</w:t>
            </w:r>
          </w:p>
        </w:tc>
        <w:tc>
          <w:tcPr>
            <w:tcW w:w="2778" w:type="dxa"/>
          </w:tcPr>
          <w:p w14:paraId="3FC262A7" w14:textId="77777777" w:rsidR="00EB262B" w:rsidRDefault="00BF64E8">
            <w:pPr>
              <w:keepNext/>
              <w:spacing w:before="20" w:after="20"/>
              <w:jc w:val="left"/>
            </w:pPr>
            <w:r>
              <w:rPr>
                <w:sz w:val="19"/>
                <w:highlight w:val="yellow"/>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highlight w:val="yellow"/>
              </w:rPr>
              <w:t>Grafik işlemci</w:t>
            </w:r>
          </w:p>
        </w:tc>
        <w:tc>
          <w:tcPr>
            <w:tcW w:w="2438" w:type="dxa"/>
          </w:tcPr>
          <w:p w14:paraId="30CD8E2F" w14:textId="77777777" w:rsidR="00EB262B" w:rsidRDefault="00BF64E8">
            <w:pPr>
              <w:keepNext/>
              <w:spacing w:before="20" w:after="20"/>
              <w:jc w:val="left"/>
            </w:pPr>
            <w:r>
              <w:rPr>
                <w:sz w:val="19"/>
                <w:highlight w:val="yellow"/>
              </w:rPr>
              <w:t>Hesaplamada kullanılmadı (tümleşik Intel Iris Xe)</w:t>
            </w:r>
          </w:p>
        </w:tc>
        <w:tc>
          <w:tcPr>
            <w:tcW w:w="2438" w:type="dxa"/>
          </w:tcPr>
          <w:p w14:paraId="30CD8E2F" w14:textId="77777777" w:rsidR="00EB262B" w:rsidRDefault="00BF64E8">
            <w:pPr>
              <w:keepNext/>
              <w:spacing w:before="20" w:after="20"/>
              <w:jc w:val="left"/>
            </w:pPr>
            <w:r>
              <w:rPr>
                <w:sz w:val="19"/>
                <w:highlight w:val="yellow"/>
              </w:rPr>
              <w:t>Hesaplamada kullanılmadı (AMD Radeon RX 6600)</w:t>
            </w:r>
          </w:p>
        </w:tc>
        <w:tc>
          <w:tcPr>
            <w:tcW w:w="2778" w:type="dxa"/>
          </w:tcPr>
          <w:p w14:paraId="58D47B83" w14:textId="77777777" w:rsidR="00EB262B" w:rsidRDefault="00BF64E8">
            <w:pPr>
              <w:keepNext/>
              <w:spacing w:before="20" w:after="20"/>
              <w:jc w:val="left"/>
            </w:pPr>
            <w:r>
              <w:rPr>
                <w:sz w:val="19"/>
                <w:highlight w:val="yellow"/>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highlight w:val="yellow"/>
              </w:rPr>
              <w:t>Sistem belleği</w:t>
            </w:r>
          </w:p>
        </w:tc>
        <w:tc>
          <w:tcPr>
            <w:tcW w:w="2438" w:type="dxa"/>
          </w:tcPr>
          <w:p w14:paraId="739AF3CA" w14:textId="77777777" w:rsidR="00EB262B" w:rsidRDefault="00BF64E8">
            <w:pPr>
              <w:keepNext/>
              <w:spacing w:before="20" w:after="20"/>
              <w:jc w:val="left"/>
            </w:pPr>
            <w:r>
              <w:rPr>
                <w:sz w:val="19"/>
                <w:highlight w:val="yellow"/>
              </w:rPr>
              <w:t>16 GB</w:t>
            </w:r>
          </w:p>
        </w:tc>
        <w:tc>
          <w:tcPr>
            <w:tcW w:w="2438" w:type="dxa"/>
          </w:tcPr>
          <w:p w14:paraId="739AF3CA" w14:textId="77777777" w:rsidR="00EB262B" w:rsidRDefault="00BF64E8">
            <w:pPr>
              <w:keepNext/>
              <w:spacing w:before="20" w:after="20"/>
              <w:jc w:val="left"/>
            </w:pPr>
            <w:r>
              <w:rPr>
                <w:sz w:val="19"/>
                <w:highlight w:val="yellow"/>
              </w:rPr>
              <w:t>16 GB</w:t>
            </w:r>
          </w:p>
        </w:tc>
        <w:tc>
          <w:tcPr>
            <w:tcW w:w="2778" w:type="dxa"/>
          </w:tcPr>
          <w:p w14:paraId="1A8788B1" w14:textId="77777777" w:rsidR="00EB262B" w:rsidRDefault="00BF64E8">
            <w:pPr>
              <w:keepNext/>
              <w:spacing w:before="20" w:after="20"/>
              <w:jc w:val="left"/>
            </w:pPr>
            <w:r>
              <w:rPr>
                <w:sz w:val="19"/>
                <w:highlight w:val="yellow"/>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highlight w:val="yellow"/>
              </w:rPr>
              <w:t>Depolama</w:t>
            </w:r>
          </w:p>
        </w:tc>
        <w:tc>
          <w:tcPr>
            <w:tcW w:w="2438" w:type="dxa"/>
          </w:tcPr>
          <w:p w14:paraId="6B1049E0" w14:textId="77777777" w:rsidR="00EB262B" w:rsidRDefault="00BF64E8">
            <w:pPr>
              <w:keepNext/>
              <w:spacing w:before="20" w:after="20"/>
              <w:jc w:val="left"/>
            </w:pPr>
            <w:r>
              <w:rPr>
                <w:sz w:val="19"/>
                <w:highlight w:val="yellow"/>
              </w:rPr>
              <w:t>512 GB SSD</w:t>
            </w:r>
          </w:p>
        </w:tc>
        <w:tc>
          <w:tcPr>
            <w:tcW w:w="2438" w:type="dxa"/>
          </w:tcPr>
          <w:p w14:paraId="6B1049E0" w14:textId="77777777" w:rsidR="00EB262B" w:rsidRDefault="00BF64E8">
            <w:pPr>
              <w:keepNext/>
              <w:spacing w:before="20" w:after="20"/>
              <w:jc w:val="left"/>
            </w:pPr>
            <w:r>
              <w:rPr>
                <w:sz w:val="19"/>
                <w:highlight w:val="yellow"/>
              </w:rPr>
              <w:t>Kayıt altına alınmamıştır</w:t>
            </w:r>
          </w:p>
        </w:tc>
        <w:tc>
          <w:tcPr>
            <w:tcW w:w="2778" w:type="dxa"/>
          </w:tcPr>
          <w:p w14:paraId="6AEF002C" w14:textId="77777777" w:rsidR="00EB262B" w:rsidRDefault="00BF64E8">
            <w:pPr>
              <w:keepNext/>
              <w:spacing w:before="20" w:after="20"/>
              <w:jc w:val="left"/>
            </w:pPr>
            <w:r>
              <w:rPr>
                <w:sz w:val="19"/>
                <w:highlight w:val="yellow"/>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highlight w:val="yellow"/>
              </w:rPr>
              <w:t>İşletim sistemi</w:t>
            </w:r>
          </w:p>
        </w:tc>
        <w:tc>
          <w:tcPr>
            <w:tcW w:w="2438" w:type="dxa"/>
          </w:tcPr>
          <w:p w14:paraId="68597FCF" w14:textId="77777777" w:rsidR="00EB262B" w:rsidRDefault="00BF64E8">
            <w:pPr>
              <w:keepNext/>
              <w:spacing w:before="20" w:after="20"/>
              <w:jc w:val="left"/>
            </w:pPr>
            <w:r>
              <w:rPr>
                <w:sz w:val="19"/>
                <w:highlight w:val="yellow"/>
              </w:rPr>
              <w:t>Windows 11, 64 bit (sürüm 10.0.26200)</w:t>
            </w:r>
          </w:p>
        </w:tc>
        <w:tc>
          <w:tcPr>
            <w:tcW w:w="2438" w:type="dxa"/>
          </w:tcPr>
          <w:p w14:paraId="68597FCF" w14:textId="77777777" w:rsidR="00EB262B" w:rsidRDefault="00BF64E8">
            <w:pPr>
              <w:keepNext/>
              <w:spacing w:before="20" w:after="20"/>
              <w:jc w:val="left"/>
            </w:pPr>
            <w:r>
              <w:rPr>
                <w:sz w:val="19"/>
                <w:highlight w:val="yellow"/>
              </w:rPr>
              <w:t>Windows 11 Pro, 64 bit (sürüm 10.0.26200)</w:t>
            </w:r>
          </w:p>
        </w:tc>
        <w:tc>
          <w:tcPr>
            <w:tcW w:w="2778" w:type="dxa"/>
          </w:tcPr>
          <w:p w14:paraId="4C8907F5" w14:textId="77777777" w:rsidR="00EB262B" w:rsidRDefault="00BF64E8">
            <w:pPr>
              <w:keepNext/>
              <w:spacing w:before="20" w:after="20"/>
              <w:jc w:val="left"/>
            </w:pPr>
            <w:r>
              <w:rPr>
                <w:sz w:val="19"/>
                <w:highlight w:val="yellow"/>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highlight w:val="yellow"/>
              </w:rPr>
              <w:t>Python / PyTorch</w:t>
            </w:r>
          </w:p>
        </w:tc>
        <w:tc>
          <w:tcPr>
            <w:tcW w:w="2438" w:type="dxa"/>
          </w:tcPr>
          <w:p w14:paraId="093CD5D1" w14:textId="77777777" w:rsidR="00EB262B" w:rsidRDefault="00BF64E8">
            <w:pPr>
              <w:keepNext/>
              <w:spacing w:before="20" w:after="20"/>
              <w:jc w:val="left"/>
            </w:pPr>
            <w:r>
              <w:rPr>
                <w:sz w:val="19"/>
                <w:highlight w:val="yellow"/>
              </w:rPr>
              <w:t>Python 3.12.6 / PyTorch 2.13.0 (yalnız CPU)</w:t>
            </w:r>
          </w:p>
        </w:tc>
        <w:tc>
          <w:tcPr>
            <w:tcW w:w="2438" w:type="dxa"/>
          </w:tcPr>
          <w:p w14:paraId="093CD5D1" w14:textId="77777777" w:rsidR="00EB262B" w:rsidRDefault="00BF64E8">
            <w:pPr>
              <w:keepNext/>
              <w:spacing w:before="20" w:after="20"/>
              <w:jc w:val="left"/>
            </w:pPr>
            <w:r>
              <w:rPr>
                <w:sz w:val="19"/>
                <w:highlight w:val="yellow"/>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highlight w:val="yellow"/>
              </w:rPr>
              <w:t>Temel kitaplıklar</w:t>
            </w:r>
          </w:p>
        </w:tc>
        <w:tc>
          <w:tcPr>
            <w:tcW w:w="2438" w:type="dxa"/>
          </w:tcPr>
          <w:p w14:paraId="31A7AB06" w14:textId="77777777" w:rsidR="00EB262B" w:rsidRDefault="00BF64E8">
            <w:pPr>
              <w:keepNext/>
              <w:spacing w:before="20" w:after="20"/>
              <w:jc w:val="left"/>
            </w:pPr>
            <w:r>
              <w:rPr>
                <w:sz w:val="19"/>
                <w:highlight w:val="yellow"/>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highlight w:val="yellow"/>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highlight w:val="yellow"/>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highlight w:val="yellow"/>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highlight w:val="yellow"/>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highlight w:val="yellow"/>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highlight w:val="yellow"/>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Bölüm 4.5'teki gecikme ölçümleri ve Tablo 17'deki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Tek tohumda (42),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Kodlayıcının kod çözücüden daha belirleyici olduğu düşünülebilir: MiT-B4 ailesindeki beş mimari tek tohumda 0,397-0,433 bandında toplanırken üç taban çizgisi 0,327-0,339 bandında kalmıştır. Ancak üç tohumla yinelenen üç MiT-B4 mimarisinin ortalamaları (0,392-0,412) ile taban çizgileri arasındaki fark, tohumlar arası standart sapmayla (en çok 0,043) aynı mertebededir ve taban çizgilerinin tohum oynaması ölçülmemiştir; bu gözlem ön bulgu olarak okunmalıdır. Aynı kod çözücü (UPerNet) MiT-B4 ile üç tohum ortalamasında 0,392, ConvNeXt-S ile tek tohumda 0,327 vermiştir.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 bir ilin eğitimden çıkarıldığı genelleme deneyi Bölüm 4.4'tedir.</w:t>
      </w:r>
    </w:p>
    <w:p w14:paraId="1A6E2E3E" w14:textId="75E08ED1" w:rsidR="00B20134" w:rsidRDefault="00990031">
      <w:r>
        <w:rPr>
          <w:i/>
        </w:rPr>
        <w:t>Bu koşum, Bölüm 3.10'da tanımlanan hedef protokolden tek noktada ayrılmaktadır: on mimari tek tohumla (42) karşılaştırılmıştır. Tohum oynaması, sınamada en yüksek iki MiT-B4 mimarisi (U-Net, UPerNet) ile işletimdeki modelin mimarisi SegFormer-B4'te, aynı kod ve ayarlarla iki ek tohumla (7 ve 2026) ölçülmüştür. Üç tohumun sınama IoU_hasar ortalaması ± standart sapması şöyledir: U-Net 0,398 ± 0,043, UPerNet 0,392 ± 0,034, SegFormer-B4 0,412 ± 0,024. Mimariler arasındaki fark tohum oynamasıyla aynı mertebededir ve sıralama tohuma göre değişmektedir; MiT-B4 ailesi içinde tek bir mimarinin üstünlüğü ileri sürülemez. Diğer yedi mimaride çoklu tohum ölçülmemiştir.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Üç tohumla (42, 7, 2026) yinelenen üç mimaride sınama IoU_hasar ortalaması ± standart sapma: U-Net 0,398 ± 0,043, UPerNet 0,392 ± 0,034, SegFormer-B4 0,412 ± 0,024; diğer yedi mimaride çoklu tohum ölçülmemiştir (Bölüm 4.2, Sınırlılık).</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üç mimaride üç tohumla ölçülen standart sapma en çok 0,043 kadardır (Tablo 12 dipnotu).</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yazarlardan biri tarafından, 33 kesit üzerinden ve model çıktısı görülmeden yapılmıştır. Aynı kesitler ikinci görüş olarak bir büyük dil modeline (Claude, Anthropic) de etiketletilmiş ve iki etiketleyici arasındaki uyum ölçülmüştür (etiketleme sayfası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insan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insan etiketleyici esas, büyük dil modeli ikinci görüş; ön deneme).</w:t>
      </w:r>
      <w:bookmarkStart w:id="22" w:name="Tablo13"/>
      <w:bookmarkEnd w:id="22"/>
    </w:p>
    <w:tbl>
      <w:tblPr>
        <w:tblStyle w:val="TabloKlavuzu"/>
        <w:tblW w:type="pct" w:w="5000"/>
        <w:tblLook w:firstColumn="1" w:firstRow="1" w:lastColumn="0" w:lastRow="0" w:noHBand="0" w:noVBand="1" w:val="04A0"/>
        <w:jc w:val="center"/>
      </w:tblPr>
      <w:tblGrid>
        <w:gridCol w:w="2608"/>
        <w:gridCol w:w="2154"/>
        <w:gridCol w:w="2154"/>
        <w:gridCol w:w="2154"/>
      </w:tblGrid>
      <w:tr>
        <w:trPr>
          <w:cantSplit/>
          <w:tblHeader/>
        </w:trPr>
        <w:tc>
          <w:tcPr>
            <w:tcW w:type="dxa" w:w="2608"/>
            <w:shd w:val="clear" w:color="auto" w:fill="E8E8E8"/>
          </w:tcPr>
          <w:p>
            <w:pPr>
              <w:keepNext/>
              <w:spacing w:after="20" w:before="0"/>
              <w:jc w:val="left"/>
            </w:pPr>
            <w:r>
              <w:rPr>
                <w:b/>
                <w:sz w:val="17"/>
              </w:rPr>
              <w:t>Ölçüt</w:t>
            </w:r>
          </w:p>
        </w:tc>
        <w:tc>
          <w:tcPr>
            <w:tcW w:type="dxa" w:w="2154"/>
            <w:shd w:val="clear" w:color="auto" w:fill="E8E8E8"/>
          </w:tcPr>
          <w:p>
            <w:pPr>
              <w:keepNext/>
              <w:spacing w:after="20" w:before="0"/>
              <w:jc w:val="left"/>
            </w:pPr>
            <w:r>
              <w:rPr>
                <w:b/>
                <w:sz w:val="17"/>
              </w:rPr>
              <w:t>İnsan etiketleyici (esas)</w:t>
            </w:r>
          </w:p>
        </w:tc>
        <w:tc>
          <w:tcPr>
            <w:tcW w:type="dxa" w:w="2154"/>
            <w:shd w:val="clear" w:color="auto" w:fill="E8E8E8"/>
          </w:tcPr>
          <w:p>
            <w:pPr>
              <w:keepNext/>
              <w:spacing w:after="20" w:before="0"/>
              <w:jc w:val="left"/>
            </w:pPr>
            <w:r>
              <w:rPr>
                <w:b/>
                <w:sz w:val="17"/>
              </w:rPr>
              <w:t>Büyük dil modeli (ikinci görüş)</w:t>
            </w:r>
          </w:p>
        </w:tc>
        <w:tc>
          <w:tcPr>
            <w:tcW w:type="dxa" w:w="2154"/>
            <w:shd w:val="clear" w:color="auto" w:fill="E8E8E8"/>
          </w:tcPr>
          <w:p>
            <w:pPr>
              <w:keepNext/>
              <w:spacing w:after="20" w:before="0"/>
              <w:jc w:val="left"/>
            </w:pPr>
            <w:r>
              <w:rPr>
                <w:b/>
                <w:sz w:val="17"/>
              </w:rPr>
              <w:t>Not</w:t>
            </w:r>
          </w:p>
        </w:tc>
      </w:tr>
      <w:tr>
        <w:trPr>
          <w:cantSplit/>
        </w:trPr>
        <w:tc>
          <w:tcPr>
            <w:tcW w:type="dxa" w:w="2608"/>
          </w:tcPr>
          <w:p>
            <w:pPr>
              <w:keepNext/>
              <w:spacing w:after="20" w:before="0"/>
              <w:jc w:val="left"/>
            </w:pPr>
            <w:r>
              <w:rPr>
                <w:sz w:val="17"/>
              </w:rPr>
              <w:t>Model KAPALI dedi → kapalı / açık / kararsız</w:t>
            </w:r>
          </w:p>
        </w:tc>
        <w:tc>
          <w:tcPr>
            <w:tcW w:type="dxa" w:w="2154"/>
          </w:tcPr>
          <w:p>
            <w:pPr>
              <w:keepNext/>
              <w:spacing w:after="20" w:before="0"/>
              <w:jc w:val="left"/>
            </w:pPr>
            <w:r>
              <w:rPr>
                <w:sz w:val="17"/>
              </w:rPr>
              <w:t>4 / 1 / 0</w:t>
            </w:r>
          </w:p>
        </w:tc>
        <w:tc>
          <w:tcPr>
            <w:tcW w:type="dxa" w:w="2154"/>
          </w:tcPr>
          <w:p>
            <w:pPr>
              <w:keepNext/>
              <w:spacing w:after="20" w:before="0"/>
              <w:jc w:val="left"/>
            </w:pPr>
            <w:r>
              <w:rPr>
                <w:sz w:val="17"/>
              </w:rPr>
              <w:t>3 / 0 / 2</w:t>
            </w:r>
          </w:p>
        </w:tc>
        <w:tc>
          <w:tcPr>
            <w:tcW w:type="dxa" w:w="2154"/>
          </w:tcPr>
          <w:p>
            <w:pPr>
              <w:keepNext/>
              <w:spacing w:after="20" w:before="0"/>
              <w:jc w:val="left"/>
            </w:pPr>
            <w:r>
              <w:rPr>
                <w:sz w:val="17"/>
              </w:rPr>
              <w:t>5 parça</w:t>
            </w:r>
          </w:p>
        </w:tc>
      </w:tr>
      <w:tr>
        <w:trPr>
          <w:cantSplit/>
        </w:trPr>
        <w:tc>
          <w:tcPr>
            <w:tcW w:type="dxa" w:w="2608"/>
          </w:tcPr>
          <w:p>
            <w:pPr>
              <w:keepNext/>
              <w:spacing w:after="20" w:before="0"/>
              <w:jc w:val="left"/>
            </w:pPr>
            <w:r>
              <w:rPr>
                <w:sz w:val="17"/>
              </w:rPr>
              <w:t>Model AÇIK dedi (örnek) → kapalı / açık / kararsız</w:t>
            </w:r>
          </w:p>
        </w:tc>
        <w:tc>
          <w:tcPr>
            <w:tcW w:type="dxa" w:w="2154"/>
          </w:tcPr>
          <w:p>
            <w:pPr>
              <w:keepNext/>
              <w:spacing w:after="20" w:before="0"/>
              <w:jc w:val="left"/>
            </w:pPr>
            <w:r>
              <w:rPr>
                <w:sz w:val="17"/>
              </w:rPr>
              <w:t>10 / 13 / 5</w:t>
            </w:r>
          </w:p>
        </w:tc>
        <w:tc>
          <w:tcPr>
            <w:tcW w:type="dxa" w:w="2154"/>
          </w:tcPr>
          <w:p>
            <w:pPr>
              <w:keepNext/>
              <w:spacing w:after="20" w:before="0"/>
              <w:jc w:val="left"/>
            </w:pPr>
            <w:r>
              <w:rPr>
                <w:sz w:val="17"/>
              </w:rPr>
              <w:t>6 / 14 / 8</w:t>
            </w:r>
          </w:p>
        </w:tc>
        <w:tc>
          <w:tcPr>
            <w:tcW w:type="dxa" w:w="2154"/>
          </w:tcPr>
          <w:p>
            <w:pPr>
              <w:keepNext/>
              <w:spacing w:after="20" w:before="0"/>
              <w:jc w:val="left"/>
            </w:pPr>
            <w:r>
              <w:rPr>
                <w:sz w:val="17"/>
              </w:rPr>
              <w:t>28 örnek parça (%24,8)</w:t>
            </w:r>
          </w:p>
        </w:tc>
      </w:tr>
      <w:tr>
        <w:trPr>
          <w:cantSplit/>
        </w:trPr>
        <w:tc>
          <w:tcPr>
            <w:tcW w:type="dxa" w:w="2608"/>
          </w:tcPr>
          <w:p>
            <w:pPr>
              <w:keepNext/>
              <w:spacing w:after="20" w:before="0"/>
              <w:jc w:val="left"/>
            </w:pPr>
            <w:r>
              <w:rPr>
                <w:sz w:val="17"/>
              </w:rPr>
              <w:t>Kesinlik (kararsız hariç)</w:t>
            </w:r>
          </w:p>
        </w:tc>
        <w:tc>
          <w:tcPr>
            <w:tcW w:type="dxa" w:w="2154"/>
          </w:tcPr>
          <w:p>
            <w:pPr>
              <w:keepNext/>
              <w:spacing w:after="20" w:before="0"/>
              <w:jc w:val="left"/>
            </w:pPr>
            <w:r>
              <w:rPr>
                <w:sz w:val="17"/>
              </w:rPr>
              <w:t>4/5 = %80 (Wilson %38–96)</w:t>
            </w:r>
          </w:p>
        </w:tc>
        <w:tc>
          <w:tcPr>
            <w:tcW w:type="dxa" w:w="2154"/>
          </w:tcPr>
          <w:p>
            <w:pPr>
              <w:keepNext/>
              <w:spacing w:after="20" w:before="0"/>
              <w:jc w:val="left"/>
            </w:pPr>
            <w:r>
              <w:rPr>
                <w:sz w:val="17"/>
              </w:rPr>
              <w:t>3/3 = %100 (Wilson %44–100)</w:t>
            </w:r>
          </w:p>
        </w:tc>
        <w:tc>
          <w:tcPr>
            <w:tcW w:type="dxa" w:w="2154"/>
          </w:tcPr>
          <w:p>
            <w:pPr>
              <w:keepNext/>
              <w:spacing w:after="20" w:before="0"/>
              <w:jc w:val="left"/>
            </w:pPr>
            <w:r>
              <w:rPr>
                <w:sz w:val="17"/>
              </w:rPr>
              <w:t>n = 5 ve 3; küçük örneklem</w:t>
            </w:r>
          </w:p>
        </w:tc>
      </w:tr>
      <w:tr>
        <w:trPr>
          <w:cantSplit/>
        </w:trPr>
        <w:tc>
          <w:tcPr>
            <w:tcW w:type="dxa" w:w="2608"/>
          </w:tcPr>
          <w:p>
            <w:pPr>
              <w:keepNext/>
              <w:spacing w:after="20" w:before="0"/>
              <w:jc w:val="left"/>
            </w:pPr>
            <w:r>
              <w:rPr>
                <w:sz w:val="17"/>
              </w:rPr>
              <w:t>Duyarlılık kestirimi</w:t>
            </w:r>
          </w:p>
        </w:tc>
        <w:tc>
          <w:tcPr>
            <w:tcW w:type="dxa" w:w="2154"/>
          </w:tcPr>
          <w:p>
            <w:pPr>
              <w:keepNext/>
              <w:spacing w:after="20" w:before="0"/>
              <w:jc w:val="left"/>
            </w:pPr>
            <w:r>
              <w:rPr>
                <w:sz w:val="17"/>
              </w:rPr>
              <w:t>4/44 ≈ %9</w:t>
            </w:r>
          </w:p>
        </w:tc>
        <w:tc>
          <w:tcPr>
            <w:tcW w:type="dxa" w:w="2154"/>
          </w:tcPr>
          <w:p>
            <w:pPr>
              <w:keepNext/>
              <w:spacing w:after="20" w:before="0"/>
              <w:jc w:val="left"/>
            </w:pPr>
            <w:r>
              <w:rPr>
                <w:sz w:val="17"/>
              </w:rPr>
              <w:t>3/27 ≈ %11</w:t>
            </w:r>
          </w:p>
        </w:tc>
        <w:tc>
          <w:tcPr>
            <w:tcW w:type="dxa" w:w="2154"/>
          </w:tcPr>
          <w:p>
            <w:pPr>
              <w:keepNext/>
              <w:spacing w:after="20" w:before="0"/>
              <w:jc w:val="left"/>
            </w:pPr>
            <w:r>
              <w:rPr>
                <w:sz w:val="17"/>
              </w:rPr>
              <w:t>payda: 118 parçadaki tahmini gerçek kapanma</w:t>
            </w:r>
          </w:p>
        </w:tc>
      </w:tr>
      <w:tr>
        <w:trPr>
          <w:cantSplit/>
        </w:trPr>
        <w:tc>
          <w:tcPr>
            <w:tcW w:type="dxa" w:w="2608"/>
          </w:tcPr>
          <w:p>
            <w:pPr>
              <w:spacing w:after="20" w:before="0"/>
              <w:jc w:val="left"/>
            </w:pPr>
            <w:r>
              <w:rPr>
                <w:sz w:val="17"/>
              </w:rPr>
              <w:t>Yargılanamayan parça</w:t>
            </w:r>
          </w:p>
        </w:tc>
        <w:tc>
          <w:tcPr>
            <w:tcW w:type="dxa" w:w="2154"/>
          </w:tcPr>
          <w:p>
            <w:pPr>
              <w:spacing w:after="20" w:before="0"/>
              <w:jc w:val="left"/>
            </w:pPr>
            <w:r>
              <w:rPr>
                <w:sz w:val="17"/>
              </w:rPr>
              <w:t>5/33 (%15)</w:t>
            </w:r>
          </w:p>
        </w:tc>
        <w:tc>
          <w:tcPr>
            <w:tcW w:type="dxa" w:w="2154"/>
          </w:tcPr>
          <w:p>
            <w:pPr>
              <w:spacing w:after="20" w:before="0"/>
              <w:jc w:val="left"/>
            </w:pPr>
            <w:r>
              <w:rPr>
                <w:sz w:val="17"/>
              </w:rPr>
              <w:t>10/33 (%30)</w:t>
            </w:r>
          </w:p>
        </w:tc>
        <w:tc>
          <w:tcPr>
            <w:tcW w:type="dxa" w:w="2154"/>
          </w:tcPr>
          <w:p>
            <w:pPr>
              <w:spacing w:after="20" w:before="0"/>
              <w:jc w:val="left"/>
            </w:pPr>
            <w:r>
              <w:rPr>
                <w:sz w:val="17"/>
              </w:rPr>
              <w:t>gölge / çözünürlük / geometri</w:t>
            </w:r>
          </w:p>
        </w:tc>
      </w:tr>
      <w:tr>
        <w:trPr>
          <w:cantSplit/>
        </w:trPr>
        <w:tc>
          <w:tcPr>
            <w:tcW w:type="dxa" w:w="2608"/>
          </w:tcPr>
          <w:p>
            <w:pPr>
              <w:spacing w:after="20" w:before="0"/>
              <w:jc w:val="left"/>
            </w:pPr>
            <w:r>
              <w:rPr>
                <w:sz w:val="17"/>
              </w:rPr>
              <w:t>Etiketleyiciler arası uyum</w:t>
            </w:r>
          </w:p>
        </w:tc>
        <w:tc>
          <w:tcPr>
            <w:tcW w:type="dxa" w:w="2154"/>
            <w:gridSpan w:val="2"/>
          </w:tcPr>
          <w:p>
            <w:pPr>
              <w:spacing w:after="20" w:before="0"/>
              <w:jc w:val="left"/>
            </w:pPr>
            <w:r>
              <w:rPr>
                <w:sz w:val="17"/>
              </w:rPr>
              <w:t>14/33 kesitte aynı etiket; Cohen κ = 0,13 (üç sınıf), 0,37 (kararsız hariç, n = 19)</w:t>
            </w:r>
          </w:p>
        </w:tc>
        <w:tc>
          <w:tcPr>
            <w:tcW w:type="dxa" w:w="2154"/>
          </w:tcPr>
          <w:p>
            <w:pPr>
              <w:spacing w:after="20" w:before="0"/>
              <w:jc w:val="left"/>
            </w:pPr>
            <w:r>
              <w:rPr>
                <w:sz w:val="17"/>
              </w:rPr>
              <w:t>zayıf uyum</w:t>
            </w:r>
          </w:p>
        </w:tc>
      </w:tr>
    </w:tbl>
    <w:p>
      <w:r>
        <w:t>Model az yanlış alarm üretmektedir: kapalı dediği beş parçanın dördü insan etiketinde de kapalı, biri açıktır. Ancak çok azını bulmaktadır: mahallede tahminen 44 kapanma varken dördünü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insan etiketleyici; ikinci görüş olarak etiketleyen büyük dil modeliyle uyum zayıftır (33 kesitin 14'ünde aynı etiket; Cohen κ üç sınıfta 0,13, kararsızlar hariç 0,37), bu da kapanmanın ortofotodan yargılanmasının öznel olduğunu gösterir; parçaların %15'i yargılanamamış; görüntü depremden üç gün sonrasına ait olduğundan bir miktar açma çalışması başlamış olabilir; yalnız yukarıdan görünen moloz yakalanır; modelin 12 kapanmasından yalnız 5'i uçuş izinin dolu olduğu yere düşer; kararsızlar hata sayılsa da kesinlik değişmez (insan etiketinde modelin kapalı dediği parçalarda kararsız yoktur).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kümede en çok karosu bulunan bu iki il için çift yönlü bir il dışarıda bırakma deneyi yapılmıştır.</w:t>
      </w:r>
    </w:p>
    <w:p w14:paraId="3D91581A" w14:textId="64730A1F" w:rsidR="006B13C8" w:rsidRDefault="00BF64E8">
      <w:r>
        <w:t>Deneyde bir ilin bütün blokları eğitim ve doğrulama kümelerinden çıkarılmış, sınama kümesi değiştirilmemiştir. Böylece karşılaştırma birleşik eğitimle aynı 91 deprem sonrası sınama karosunda (Hatay 34, Kahramanmaraş 32, diğer iller 25) yapılmakta; en iyi dönem de dışarıda bırakılan ili içermeyen doğrulama kümesiyle seçildiğinden o il hiçbir aşamada görülmemektedir. Eğitim kümesi yedi ilden oluştuğu için Hatay'ın çıkarıldığı model Kahramanmaraş ile birlikte Gaziantep, Malatya, Osmaniye, Adıyaman ve Kilis karolarıyla eğitilmiştir. Deney, sınamada en yüksek IoU_hasar değerini veren U-Net (MiT-B4) ile işletimdeki modelin mimarisi SegFormer-B4 üzerinde, Tablo 12 ile aynı ayarlar, yazılım sürümleri ve tohumla (42) koşulmuştur; sonuçlar Tablo 14'tedir.</w:t>
      </w:r>
    </w:p>
    <w:p>
      <w:pPr>
        <w:keepNext/>
      </w:pPr>
      <w:r>
        <w:rPr>
          <w:b/>
        </w:rPr>
        <w:t>Tablo 14.</w:t>
      </w:r>
      <w:r>
        <w:rPr>
          <w:b w:val="0"/>
        </w:rPr>
        <w:t xml:space="preserve"> Bir ilin eğitimden çıkarılmasıyla bölgeler arası genelleme (sınama IoU_hasar, tohum 42). Kalın değer eğitimde hiç görülmemiş ilde ölçülmüştür; parantez içi birleşik eğitime göre farktır. Sınama kümesi bütün satırlarda aynıdır (Hatay 34, Kahramanmaraş 32, toplam 91 deprem sonrası karo).</w:t>
      </w:r>
    </w:p>
    <w:tbl>
      <w:tblPr>
        <w:tblStyle w:val="TabloKlavuzu"/>
        <w:tblW w:type="pct" w:w="5000"/>
        <w:tblLook w:firstColumn="1" w:firstRow="1" w:lastColumn="0" w:lastRow="0" w:noHBand="0" w:noVBand="1" w:val="04A0"/>
        <w:jc w:val="center"/>
      </w:tblPr>
      <w:tblGrid>
        <w:gridCol w:w="1701"/>
        <w:gridCol w:w="1757"/>
        <w:gridCol w:w="1020"/>
        <w:gridCol w:w="1587"/>
        <w:gridCol w:w="1644"/>
        <w:gridCol w:w="1360"/>
      </w:tblGrid>
      <w:tr>
        <w:trPr>
          <w:cantSplit/>
        </w:trPr>
        <w:tc>
          <w:tcPr>
            <w:tcW w:type="dxa" w:w="1701"/>
            <w:shd w:val="clear" w:color="auto" w:fill="E8E8E8"/>
          </w:tcPr>
          <w:p>
            <w:pPr>
              <w:keepNext/>
              <w:spacing w:after="20" w:before="0"/>
              <w:jc w:val="left"/>
            </w:pPr>
            <w:r>
              <w:rPr>
                <w:b/>
                <w:sz w:val="17"/>
              </w:rPr>
              <w:t>Mimari</w:t>
            </w:r>
          </w:p>
        </w:tc>
        <w:tc>
          <w:tcPr>
            <w:tcW w:type="dxa" w:w="1757"/>
            <w:shd w:val="clear" w:color="auto" w:fill="E8E8E8"/>
          </w:tcPr>
          <w:p>
            <w:pPr>
              <w:keepNext/>
              <w:spacing w:after="20" w:before="0"/>
              <w:jc w:val="left"/>
            </w:pPr>
            <w:r>
              <w:rPr>
                <w:b/>
                <w:sz w:val="17"/>
              </w:rPr>
              <w:t>Eğitimden çıkarılan il</w:t>
            </w:r>
          </w:p>
        </w:tc>
        <w:tc>
          <w:tcPr>
            <w:tcW w:type="dxa" w:w="1020"/>
            <w:shd w:val="clear" w:color="auto" w:fill="E8E8E8"/>
          </w:tcPr>
          <w:p>
            <w:pPr>
              <w:keepNext/>
              <w:spacing w:after="20" w:before="0"/>
              <w:jc w:val="left"/>
            </w:pPr>
            <w:r>
              <w:rPr>
                <w:b/>
                <w:sz w:val="17"/>
              </w:rPr>
              <w:t>Eğitim karosu</w:t>
            </w:r>
          </w:p>
        </w:tc>
        <w:tc>
          <w:tcPr>
            <w:tcW w:type="dxa" w:w="1587"/>
            <w:shd w:val="clear" w:color="auto" w:fill="E8E8E8"/>
          </w:tcPr>
          <w:p>
            <w:pPr>
              <w:keepNext/>
              <w:spacing w:after="20" w:before="0"/>
              <w:jc w:val="left"/>
            </w:pPr>
            <w:r>
              <w:rPr>
                <w:b/>
                <w:sz w:val="17"/>
              </w:rPr>
              <w:t>Hatay</w:t>
            </w:r>
          </w:p>
        </w:tc>
        <w:tc>
          <w:tcPr>
            <w:tcW w:type="dxa" w:w="1644"/>
            <w:shd w:val="clear" w:color="auto" w:fill="E8E8E8"/>
          </w:tcPr>
          <w:p>
            <w:pPr>
              <w:keepNext/>
              <w:spacing w:after="20" w:before="0"/>
              <w:jc w:val="left"/>
            </w:pPr>
            <w:r>
              <w:rPr>
                <w:b/>
                <w:sz w:val="17"/>
              </w:rPr>
              <w:t>Kahramanmaraş</w:t>
            </w:r>
          </w:p>
        </w:tc>
        <w:tc>
          <w:tcPr>
            <w:tcW w:type="dxa" w:w="1361"/>
            <w:shd w:val="clear" w:color="auto" w:fill="E8E8E8"/>
          </w:tcPr>
          <w:p>
            <w:pPr>
              <w:keepNext/>
              <w:spacing w:after="20" w:before="0"/>
              <w:jc w:val="left"/>
            </w:pPr>
            <w:r>
              <w:rPr>
                <w:b/>
                <w:sz w:val="17"/>
              </w:rPr>
              <w:t>Tüm sınama</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0,366</w:t>
            </w:r>
          </w:p>
        </w:tc>
        <w:tc>
          <w:tcPr>
            <w:tcW w:type="dxa" w:w="1644"/>
          </w:tcPr>
          <w:p>
            <w:pPr>
              <w:keepNext/>
              <w:spacing w:after="20" w:before="0"/>
              <w:jc w:val="left"/>
            </w:pPr>
            <w:r>
              <w:rPr>
                <w:sz w:val="17"/>
              </w:rPr>
              <w:t>0,456</w:t>
            </w:r>
          </w:p>
        </w:tc>
        <w:tc>
          <w:tcPr>
            <w:tcW w:type="dxa" w:w="1361"/>
          </w:tcPr>
          <w:p>
            <w:pPr>
              <w:keepNext/>
              <w:spacing w:after="20" w:before="0"/>
              <w:jc w:val="left"/>
            </w:pPr>
            <w:r>
              <w:rPr>
                <w:sz w:val="17"/>
              </w:rPr>
              <w:t>0,433</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0,314 (−0,052)</w:t>
            </w:r>
          </w:p>
        </w:tc>
        <w:tc>
          <w:tcPr>
            <w:tcW w:type="dxa" w:w="1644"/>
          </w:tcPr>
          <w:p>
            <w:pPr>
              <w:keepNext/>
              <w:spacing w:after="20" w:before="0"/>
              <w:jc w:val="left"/>
            </w:pPr>
            <w:r>
              <w:rPr>
                <w:sz w:val="17"/>
              </w:rPr>
              <w:t>0,401 (−0,055)</w:t>
            </w:r>
          </w:p>
        </w:tc>
        <w:tc>
          <w:tcPr>
            <w:tcW w:type="dxa" w:w="1361"/>
          </w:tcPr>
          <w:p>
            <w:pPr>
              <w:keepNext/>
              <w:spacing w:after="20" w:before="0"/>
              <w:jc w:val="left"/>
            </w:pPr>
            <w:r>
              <w:rPr>
                <w:sz w:val="17"/>
              </w:rPr>
              <w:t>0,367</w:t>
            </w:r>
          </w:p>
        </w:tc>
      </w:tr>
      <w:tr>
        <w:trPr>
          <w:cantSplit/>
        </w:trPr>
        <w:tc>
          <w:tcPr>
            <w:tcW w:type="dxa" w:w="1701"/>
          </w:tcPr>
          <w:p>
            <w:pPr>
              <w:keepNext/>
              <w:spacing w:after="20" w:before="0"/>
              <w:jc w:val="left"/>
            </w:pPr>
            <w:r>
              <w:rPr>
                <w:sz w:val="17"/>
              </w:rPr>
              <w:t>U-Net (MiT-B4)</w:t>
            </w:r>
          </w:p>
        </w:tc>
        <w:tc>
          <w:tcPr>
            <w:tcW w:type="dxa" w:w="1757"/>
          </w:tcPr>
          <w:p>
            <w:pPr>
              <w:keepNext/>
              <w:spacing w:after="20" w:before="0"/>
              <w:jc w:val="left"/>
            </w:pPr>
            <w:r>
              <w:rPr>
                <w:sz w:val="17"/>
              </w:rPr>
              <w:t>Kahramanmaraş</w:t>
            </w:r>
          </w:p>
        </w:tc>
        <w:tc>
          <w:tcPr>
            <w:tcW w:type="dxa" w:w="1020"/>
          </w:tcPr>
          <w:p>
            <w:pPr>
              <w:keepNext/>
              <w:spacing w:after="20" w:before="0"/>
              <w:jc w:val="left"/>
            </w:pPr>
            <w:r>
              <w:rPr>
                <w:sz w:val="17"/>
              </w:rPr>
              <w:t>798</w:t>
            </w:r>
          </w:p>
        </w:tc>
        <w:tc>
          <w:tcPr>
            <w:tcW w:type="dxa" w:w="1587"/>
          </w:tcPr>
          <w:p>
            <w:pPr>
              <w:keepNext/>
              <w:spacing w:after="20" w:before="0"/>
              <w:jc w:val="left"/>
            </w:pPr>
            <w:r>
              <w:rPr>
                <w:sz w:val="17"/>
              </w:rPr>
              <w:t>0,364 (−0,002)</w:t>
            </w:r>
          </w:p>
        </w:tc>
        <w:tc>
          <w:tcPr>
            <w:tcW w:type="dxa" w:w="1644"/>
          </w:tcPr>
          <w:p>
            <w:pPr>
              <w:keepNext/>
              <w:spacing w:after="20" w:before="0"/>
              <w:jc w:val="left"/>
            </w:pPr>
            <w:r>
              <w:rPr>
                <w:b/>
                <w:sz w:val="17"/>
              </w:rPr>
              <w:t>0,381 (−0,075)</w:t>
            </w:r>
          </w:p>
        </w:tc>
        <w:tc>
          <w:tcPr>
            <w:tcW w:type="dxa" w:w="1361"/>
          </w:tcPr>
          <w:p>
            <w:pPr>
              <w:keepNext/>
              <w:spacing w:after="20" w:before="0"/>
              <w:jc w:val="left"/>
            </w:pPr>
            <w:r>
              <w:rPr>
                <w:sz w:val="17"/>
              </w:rPr>
              <w:t>0,388</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 (birleşik eğitim)</w:t>
            </w:r>
          </w:p>
        </w:tc>
        <w:tc>
          <w:tcPr>
            <w:tcW w:type="dxa" w:w="1020"/>
          </w:tcPr>
          <w:p>
            <w:pPr>
              <w:keepNext/>
              <w:spacing w:after="20" w:before="0"/>
              <w:jc w:val="left"/>
            </w:pPr>
            <w:r>
              <w:rPr>
                <w:sz w:val="17"/>
              </w:rPr>
              <w:t>1 013</w:t>
            </w:r>
          </w:p>
        </w:tc>
        <w:tc>
          <w:tcPr>
            <w:tcW w:type="dxa" w:w="1587"/>
          </w:tcPr>
          <w:p>
            <w:pPr>
              <w:keepNext/>
              <w:spacing w:after="20" w:before="0"/>
              <w:jc w:val="left"/>
            </w:pPr>
            <w:r>
              <w:rPr>
                <w:sz w:val="17"/>
              </w:rPr>
              <w:t>0,387</w:t>
            </w:r>
          </w:p>
        </w:tc>
        <w:tc>
          <w:tcPr>
            <w:tcW w:type="dxa" w:w="1644"/>
          </w:tcPr>
          <w:p>
            <w:pPr>
              <w:keepNext/>
              <w:spacing w:after="20" w:before="0"/>
              <w:jc w:val="left"/>
            </w:pPr>
            <w:r>
              <w:rPr>
                <w:sz w:val="17"/>
              </w:rPr>
              <w:t>0,399</w:t>
            </w:r>
          </w:p>
        </w:tc>
        <w:tc>
          <w:tcPr>
            <w:tcW w:type="dxa" w:w="1361"/>
          </w:tcPr>
          <w:p>
            <w:pPr>
              <w:keepNext/>
              <w:spacing w:after="20" w:before="0"/>
              <w:jc w:val="left"/>
            </w:pPr>
            <w:r>
              <w:rPr>
                <w:sz w:val="17"/>
              </w:rPr>
              <w:t>0,407</w:t>
            </w:r>
          </w:p>
        </w:tc>
      </w:tr>
      <w:tr>
        <w:trPr>
          <w:cantSplit/>
        </w:trPr>
        <w:tc>
          <w:tcPr>
            <w:tcW w:type="dxa" w:w="1701"/>
          </w:tcPr>
          <w:p>
            <w:pPr>
              <w:keepNext/>
              <w:spacing w:after="20" w:before="0"/>
              <w:jc w:val="left"/>
            </w:pPr>
            <w:r>
              <w:rPr>
                <w:sz w:val="17"/>
              </w:rPr>
              <w:t>SegFormer-B4</w:t>
            </w:r>
          </w:p>
        </w:tc>
        <w:tc>
          <w:tcPr>
            <w:tcW w:type="dxa" w:w="1757"/>
          </w:tcPr>
          <w:p>
            <w:pPr>
              <w:keepNext/>
              <w:spacing w:after="20" w:before="0"/>
              <w:jc w:val="left"/>
            </w:pPr>
            <w:r>
              <w:rPr>
                <w:sz w:val="17"/>
              </w:rPr>
              <w:t>Hatay</w:t>
            </w:r>
          </w:p>
        </w:tc>
        <w:tc>
          <w:tcPr>
            <w:tcW w:type="dxa" w:w="1020"/>
          </w:tcPr>
          <w:p>
            <w:pPr>
              <w:keepNext/>
              <w:spacing w:after="20" w:before="0"/>
              <w:jc w:val="left"/>
            </w:pPr>
            <w:r>
              <w:rPr>
                <w:sz w:val="17"/>
              </w:rPr>
              <w:t>521</w:t>
            </w:r>
          </w:p>
        </w:tc>
        <w:tc>
          <w:tcPr>
            <w:tcW w:type="dxa" w:w="1587"/>
          </w:tcPr>
          <w:p>
            <w:pPr>
              <w:keepNext/>
              <w:spacing w:after="20" w:before="0"/>
              <w:jc w:val="left"/>
            </w:pPr>
            <w:r>
              <w:rPr>
                <w:b/>
                <w:sz w:val="17"/>
              </w:rPr>
              <w:t>0,289 (−0,098)</w:t>
            </w:r>
          </w:p>
        </w:tc>
        <w:tc>
          <w:tcPr>
            <w:tcW w:type="dxa" w:w="1644"/>
          </w:tcPr>
          <w:p>
            <w:pPr>
              <w:keepNext/>
              <w:spacing w:after="20" w:before="0"/>
              <w:jc w:val="left"/>
            </w:pPr>
            <w:r>
              <w:rPr>
                <w:sz w:val="17"/>
              </w:rPr>
              <w:t>0,395 (−0,004)</w:t>
            </w:r>
          </w:p>
        </w:tc>
        <w:tc>
          <w:tcPr>
            <w:tcW w:type="dxa" w:w="1361"/>
          </w:tcPr>
          <w:p>
            <w:pPr>
              <w:keepNext/>
              <w:spacing w:after="20" w:before="0"/>
              <w:jc w:val="left"/>
            </w:pPr>
            <w:r>
              <w:rPr>
                <w:sz w:val="17"/>
              </w:rPr>
              <w:t>0,374</w:t>
            </w:r>
          </w:p>
        </w:tc>
      </w:tr>
      <w:tr>
        <w:trPr>
          <w:cantSplit/>
        </w:trPr>
        <w:tc>
          <w:tcPr>
            <w:tcW w:type="dxa" w:w="1701"/>
          </w:tcPr>
          <w:p>
            <w:pPr>
              <w:keepNext w:val="0"/>
              <w:spacing w:after="20" w:before="0"/>
              <w:jc w:val="left"/>
            </w:pPr>
            <w:r>
              <w:rPr>
                <w:sz w:val="17"/>
              </w:rPr>
              <w:t>SegFormer-B4</w:t>
            </w:r>
          </w:p>
        </w:tc>
        <w:tc>
          <w:tcPr>
            <w:tcW w:type="dxa" w:w="1757"/>
          </w:tcPr>
          <w:p>
            <w:pPr>
              <w:keepNext w:val="0"/>
              <w:spacing w:after="20" w:before="0"/>
              <w:jc w:val="left"/>
            </w:pPr>
            <w:r>
              <w:rPr>
                <w:sz w:val="17"/>
              </w:rPr>
              <w:t>Kahramanmaraş</w:t>
            </w:r>
          </w:p>
        </w:tc>
        <w:tc>
          <w:tcPr>
            <w:tcW w:type="dxa" w:w="1020"/>
          </w:tcPr>
          <w:p>
            <w:pPr>
              <w:keepNext w:val="0"/>
              <w:spacing w:after="20" w:before="0"/>
              <w:jc w:val="left"/>
            </w:pPr>
            <w:r>
              <w:rPr>
                <w:sz w:val="17"/>
              </w:rPr>
              <w:t>798</w:t>
            </w:r>
          </w:p>
        </w:tc>
        <w:tc>
          <w:tcPr>
            <w:tcW w:type="dxa" w:w="1587"/>
          </w:tcPr>
          <w:p>
            <w:pPr>
              <w:keepNext w:val="0"/>
              <w:spacing w:after="20" w:before="0"/>
              <w:jc w:val="left"/>
            </w:pPr>
            <w:r>
              <w:rPr>
                <w:sz w:val="17"/>
              </w:rPr>
              <w:t>0,388 (+0,001)</w:t>
            </w:r>
          </w:p>
        </w:tc>
        <w:tc>
          <w:tcPr>
            <w:tcW w:type="dxa" w:w="1644"/>
          </w:tcPr>
          <w:p>
            <w:pPr>
              <w:keepNext w:val="0"/>
              <w:spacing w:after="20" w:before="0"/>
              <w:jc w:val="left"/>
            </w:pPr>
            <w:r>
              <w:rPr>
                <w:b/>
                <w:sz w:val="17"/>
              </w:rPr>
              <w:t>0,322 (−0,077)</w:t>
            </w:r>
          </w:p>
        </w:tc>
        <w:tc>
          <w:tcPr>
            <w:tcW w:type="dxa" w:w="1361"/>
          </w:tcPr>
          <w:p>
            <w:pPr>
              <w:keepNext w:val="0"/>
              <w:spacing w:after="20" w:before="0"/>
              <w:jc w:val="left"/>
            </w:pPr>
            <w:r>
              <w:rPr>
                <w:sz w:val="17"/>
              </w:rPr>
              <w:t>0,370</w:t>
            </w:r>
          </w:p>
        </w:tc>
      </w:tr>
    </w:tbl>
    <w:p>
      <w:r>
        <w:rPr>
          <w:b w:val="0"/>
        </w:rPr>
        <w:t>Eğitimde görülmemiş ilde IoU_hasar birleşik eğitime göre 0,05–0,10 düşmüştür (%14–25). Kahramanmaraş çıkarıldığında eğitim kümesi yalnız %21 küçülmekte (1 013 → 798 karo) ve U-Net'te düşüş yalnız Kahramanmaraş'ta görülmektedir (−0,075; Hatay'da −0,002); bu kayıp büyük ölçüde görülmemiş ilin kendisine bağlanabilir. Hatay çıkarıldığında ise eğitim kümesi yarıya inmekte (521 karo) ve U-Net'te düşüş iki ilde benzer kalmaktadır (−0,052 ve −0,055); bu durumda kaybın ile özgü kısmı veri azalmasından ayırt edilememektedir. SegFormer-B4'te ise Hatay çıkarıldığında düşüş neredeyse yalnız Hatay'da görülmektedir (−0,098; Kahramanmaraş'ta −0,004); bu mimaride de görülmemiş ilin etkisi öne çıkmaktadır. Kahramanmaraş çıkarıldığında SegFormer-B4'te düşüş Kahramanmaraş'ta −0,077, Hatay'da +0,001 olmuştur. Aynı ayarlarla üç tohumla (7, 42, 2026) yinelenen birleşik U-Net (MiT-B4) ve SegFormer-B4 eğitimlerinde il bazındaki oynama en çok 0,10 kadardır; görülmemiş ildeki kayıplar bu oynamayla aynı mertebededir. Dolayısıyla tek tohumla ölçülen kaybın büyüklüğü kesin değildir; tutarlı olan örüntüdür: dört koşunun üçünde dışarıda bırakılan ilin değeri 0,08–0,10 düşerken aynı modelin öteki ildeki değeri değişmemiştir (en çok ±0,005). Bu fark, tohum değişiminin birleşik eğitimde iki il arasında yarattığı farkın (en çok 0,06) üzerindedir; kaybın büyüklüğünü kesinleştirmek için deneyin çoklu tohumla yinelenmesi gerekir.</w:t>
      </w:r>
    </w:p>
    <w:p>
      <w:r>
        <w:rPr>
          <w:b w:val="0"/>
        </w:rPr>
        <w:t>Sınırlar: deney tek tohumludur ve il başına 32–34 sınama karosuna dayanır; çıkarılan ilin payı eğitim kümesinin boyutunu da değiştirdiğinden (Hatay %49, Kahramanmaraş %21), aynı sayıda karonun rastgele çıkarıldığı, veri miktarıyla eşlenmiş bir kıyas gelecek çalışmaya bırakılmıştır. Operasyonel sonucu şudur: model yeni bir deprem bölgesinde kullanılacaksa Tablo 12'deki sınama değerleri iyimser okunmalı, o bölgeden etiketli az sayıda karoyla ince ayar yapılmadan bu değerlere güvenilmemelidir.</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highlight w:val="yellow"/>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highlight w:val="yellow"/>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highlight w:val="yellow"/>
        </w:rPr>
        <w:t>Ekip–afetzede eşlemesi.</w:t>
      </w:r>
      <w:r>
        <w:rPr>
          <w:b w:val="0"/>
          <w:highlight w:val="yellow"/>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highlight w:val="yellow"/>
        </w:rPr>
        <w:t>Güzergâh iç tutarlılığı.</w:t>
      </w:r>
      <w:r>
        <w:rPr>
          <w:b w:val="0"/>
          <w:highlight w:val="yellow"/>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highlight w:val="yellow"/>
        </w:rPr>
        <w:t>Kanal ölçümleri.</w:t>
      </w:r>
      <w:r>
        <w:rPr>
          <w:b w:val="0"/>
          <w:highlight w:val="yellow"/>
        </w:rPr>
        <w:t xml:space="preserve"> Kamera kanalında 13 gerçek fotoğrafın tamamı tespit vermiş (toplam 47 çatlak, 65 bina); hibrit çıkarım medyanı 307,9 ms, en uzunu 383,0 ms'dir. Metin kanalında 18 ihbar metninin sınıflandırma medyanı 36,6 ms, en uzunu 43,0 ms'dir (gecikme, sınıflandırma katmanı düzeltilmeden önce ölçülmüştür; Bölüm 3.6); düzeltilmiş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15</w:t>
      </w:r>
      <w:r w:rsidR="00AE5951">
        <w:rPr>
          <w:b/>
          <w:noProof/>
        </w:rPr>
      </w:r>
      <w:r>
        <w:t>'te listelenmektedir.</w:t>
      </w:r>
    </w:p>
    <w:p w14:paraId="4FFFF698" w14:textId="5CF032AB" w:rsidR="00B20134" w:rsidRDefault="00990031">
      <w:pPr>
        <w:keepNext/>
      </w:pPr>
      <w:r>
        <w:rPr>
          <w:b/>
        </w:rPr>
        <w:t>Tablo 15.</w:t>
      </w:r>
      <w:r>
        <w:rPr>
          <w:b w:val="0"/>
        </w:rPr>
        <w:t xml:space="preserve"> Tatbikat kanallarının ölçümü — kamera (YOLO) ve metin (BERTurk). Değerler tespit sayısı ve gecikmedir; doğruluk (mAP, F₁) değildir.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36,6</w:t>
            </w:r>
          </w:p>
        </w:tc>
        <w:tc>
          <w:tcPr>
            <w:tcW w:type="dxa" w:w="1296"/>
          </w:tcPr>
          <w:p>
            <w:pPr>
              <w:spacing w:after="20" w:before="0"/>
              <w:jc w:val="left"/>
            </w:pPr>
            <w:r>
              <w:rPr>
                <w:sz w:val="17"/>
              </w:rPr>
              <w:t>43,0</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gecikme düzeltme öncesi ölçüldü</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highlight w:val="yellow"/>
        </w:rPr>
        <w:t>Metin kanalında bir eğilim gözlenmiştir.</w:t>
      </w:r>
      <w:r>
        <w:rPr>
          <w:b w:val="0"/>
          <w:highlight w:val="yellow"/>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highlight w:val="yellow"/>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highlight w:val="yellow"/>
        </w:rPr>
        <w:t>Ana sonuçlar Tablo 16'da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büyük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16.</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Büyük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Büyük</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Büyük</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highlight w:val="yellow"/>
        </w:rPr>
        <w:t>Farkın ayrıştırılması.</w:t>
      </w:r>
      <w:r>
        <w:rPr>
          <w:b w:val="0"/>
          <w:highlight w:val="yellow"/>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16'nın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20).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highlight w:val="yellow"/>
        </w:rPr>
        <w:t>Telsizle paylaşan filo.</w:t>
      </w:r>
      <w:r>
        <w:rPr>
          <w:b w:val="0"/>
          <w:highlight w:val="yellow"/>
        </w:rPr>
        <w:t xml:space="preserve"> Bir ekibin keşfettiği kapanmanın anında tüm ekiplere yayıldığı bu kol, kapanmayı bilmeyen ekip ile QuakeMind arasında bir orta noktadır ve kazancın bir bölümünü yakalar (Nurdağı, en büyük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17.</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Büyük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highlight w:val="yellow"/>
        </w:rPr>
        <w:t>Tablo 17, model seçiminin karşılığını göstermektedir. Çıkarım süresini 5,5 kat artırmak (1,91 → 10,50 sn) sınama IoU'sunu tek tohumda yalnız 0,051 yükseltmekte ve operasyonel kazancı tek yönlü artırmamaktadır (U-Net'in üç tohum arasındaki oynaması 0,084 olduğundan bu IoU farkı oynamanın içindedir):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highlight w:val="yellow"/>
        </w:rPr>
        <w:t>Kazancın dağılımı.</w:t>
      </w:r>
      <w:r>
        <w:rPr>
          <w:b w:val="0"/>
          <w:highlight w:val="yellow"/>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20);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18):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18.</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büyük modelle 1,8 keşifle %8'de kalmıştır. Sınama IoU'sundaki farklar bu kazancı öngörmemektedir: çıkarım süresini 5,5 kat artıran en büyük model (U-Net MiT-B4, 10,50 sn) sınama IoU'sunu tek tohumda yalnız +0,051 yükseltmekte, İslahiye'de orta boy modelin (4,71 sn) yaklaşık dörtte biri kadar kazanç vermektedir (Tablo 17).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61" name="Picture 61"/>
            <wp:cNvGraphicFramePr>
              <a:graphicFrameLocks noChangeAspect="1"/>
            </wp:cNvGraphicFramePr>
            <a:graphic>
              <a:graphicData uri="http://schemas.openxmlformats.org/drawingml/2006/picture">
                <pic:pic>
                  <pic:nvPicPr>
                    <pic:cNvPr id="0" name="sekil_kesif_kazanc.png"/>
                    <pic:cNvPicPr/>
                  </pic:nvPicPr>
                  <pic:blipFill>
                    <a:blip r:embed="rId67"/>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16'nın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büyük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highlight w:val="yellow"/>
        </w:rPr>
        <w:t>Sonucun moloz yayılım yarıçapına (r_h) duyarlılığı üç alanda dört yarıçapla, U-Net MiT-B4 modeli ve tohum 42 ile ölçülmüştür (Tablo 19).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19.</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highlight w:val="yellow"/>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20). Bu koşu Tablo 16'daki en büyük modelle (U-Net MiT-B4) yapılmıştır; ANA satırı Tablo 16'nın tohum 42'deki değeridir (Tablo 16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20.</w:t>
      </w:r>
      <w:r>
        <w:rPr>
          <w:b w:val="0"/>
        </w:rPr>
        <w:t xml:space="preserve">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21</w:t>
      </w:r>
      <w:r w:rsidR="00AE5951">
        <w:rPr>
          <w:b/>
          <w:noProof/>
        </w:rPr>
      </w:r>
      <w:r>
        <w:t>'de verilmektedir.</w:t>
      </w:r>
    </w:p>
    <w:p w14:paraId="4A4165C7" w14:textId="253CED89" w:rsidR="00B20134" w:rsidRDefault="00990031">
      <w:pPr>
        <w:keepNext/>
      </w:pPr>
      <w:r>
        <w:rPr>
          <w:b/>
        </w:rPr>
        <w:t>Tablo 21</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highlight w:val="yellow"/>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22'de verilmektedir.</w:t>
      </w:r>
      <w:r w:rsidR="00572A67"/>
      <w:r w:rsidR="00AE5951">
        <w:rPr>
          <w:b/>
          <w:noProof/>
        </w:rPr>
      </w:r>
      <w:r/>
    </w:p>
    <w:p w14:paraId="59BBB5CB" w14:textId="24C2429B" w:rsidR="00B20134" w:rsidRDefault="00990031">
      <w:pPr>
        <w:keepNext/>
      </w:pPr>
      <w:r>
        <w:rPr>
          <w:b/>
        </w:rPr>
        <w:t>Tablo 22.</w:t>
      </w:r>
      <w:r>
        <w:rPr>
          <w:b w:val="0"/>
        </w:rPr>
        <w:t xml:space="preserve">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22'deki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highlight w:val="yellow"/>
        </w:rPr>
        <w:t>–</w:t>
      </w:r>
      <w:r w:rsidR="00AE5951">
        <w:rPr>
          <w:b/>
          <w:noProof/>
          <w:sz w:val="19"/>
        </w:rPr>
        <w:t>20</w:t>
      </w:r>
      <w:r>
        <w:rPr>
          <w:highlight w:val="yellow"/>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highlight w:val="yellow"/>
        </w:rPr>
        <w:t>Sınama IoU'su operasyonel faydanın iyi bir göstergesi değildir: İslahiye'de dengeli model (sınama IoU 0,409) en büyük modelden (0,433) yaklaşık dört kat fazla kazanç sağlamıştır (%33,7'e karşı %8,3). Bu IoU değerleri tek tohumludur; üç tohumla yinelendiğinde U-Net'in sınama IoU'su 0,349-0,433 arasında değiştiğinden modeller arasında kesin bir bölütleme kalitesi sıralaması da kurulamamaktadır (Bölüm 4.2). Belirleyici olan bulunan hasarın miktarı değil, kapanmaların ekip rotalarına düşüp düşmediğidir; saniye başına operasyonel değeri en yüksek olan orta boy modeldir.</w:t>
      </w:r>
    </w:p>
    <w:p w14:paraId="10A93D29" w14:textId="77777777" w:rsidR="00EB2207" w:rsidRDefault="00BF64E8">
      <w:r>
        <w:rPr>
          <w:highlight w:val="yellow"/>
        </w:rPr>
        <w:t>Kapanma katmanının doğruluğu, bir mahallede kör insan etiketlemesiyle sınanmış ve kesinlik 4/5 ancak düşük duyarlılık (≈%9) bulunmuştur (Bölüm 4.3): model az yanlış alarm üretmekte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Tatbikatta dünya modelin kendi çıktısıdır; bu nedenle Bölüm 4.6'daki süre farkları kapanmayı önceden bilmenin değerini ölçer, bölütleme doğruluğunun değil. Kapanma katmanının doğruluğu yalnızca bir mahallede, tek insan etiketleyiciyle ve küçük örneklemle sınanmıştır (Bölüm 4.3): kesinlik 4/5, duyarlılık ≈%9; ikinci görüş olan büyük dil modeliyle uyum zayıftır (κ = 0,13).</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highlight w:val="yellow"/>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tohum oynaması yalnız üç mimaride (U-Net, UPerNet, SegFormer-B4) üç tohumla ölçülmüş, standart sapma en çok 0,043 bulunmuştur. Bu üç mimari arasındaki sıralama tohuma göre değiştiğinden MiT-B4 ailesi içindeki ince sıralama anlamlı değildir. Diğer yedi mimaride çoklu tohum ölçülmemiştir; bkz. Tablo 12 dipnotu. Tatbikatta kullanılan üç model de tek eğitim tohumundan (42) gelmektedir; eğitim tohumunun tatbikat kazancına etkisi ölçülmemiştir (tatbikattaki beş tohum senaryo rastgeleliğine aittir).</w:t>
      </w:r>
    </w:p>
    <w:p w14:paraId="52EED15B" w14:textId="77777777" w:rsidR="00EB2207" w:rsidRDefault="00BF64E8">
      <w:r>
        <w:rPr>
          <w:highlight w:val="yellow"/>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highlight w:val="yellow"/>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insan etiketleyicinin ötesinde, birden çok insan etiketleyiciyle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23</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(tek insan etiketleyici; ikinci görüş büyük dil modeli)</w:t>
            </w:r>
          </w:p>
        </w:tc>
        <w:tc>
          <w:tcPr>
            <w:tcW w:w="1250" w:type="pct"/>
          </w:tcPr>
          <w:p>
            <w:pPr>
              <w:keepNext/>
              <w:jc w:val="left"/>
            </w:pPr>
            <w:r>
              <w:rPr>
                <w:sz w:val="19"/>
              </w:rPr>
              <w:t>Ön deneme (Tablo 13): kesinlik 4/5, duyarlılık ≈%9; etiketleyiciler arası κ = 0,13</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highlight w:val="yellow"/>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22;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highlight w:val="yellow"/>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üç mimaride üç tohumla yinelenmiştir (Tablo 12 dipnotu)</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Eğitimden çıkarılan il (aynı sınama kümesi)</w:t>
            </w:r>
          </w:p>
        </w:tc>
        <w:tc>
          <w:tcPr>
            <w:tcW w:w="1250" w:type="pct"/>
          </w:tcPr>
          <w:p w14:paraId="1B6F8D09" w14:textId="77777777" w:rsidR="00B20134" w:rsidRDefault="00990031">
            <w:pPr>
              <w:keepNext/>
              <w:spacing w:before="20" w:after="20"/>
              <w:jc w:val="left"/>
            </w:pPr>
            <w:r>
              <w:rPr>
                <w:sz w:val="19"/>
              </w:rPr>
              <w:t>Ölçülmüştür (Tablo 14): görülmemiş ilde IoU_hasar 0,05–0,10 düşük (U-Net ve SegFormer-B4, tek tohum; tohum oynaması mertebesinde, çoklu tohumla yinelenecek)</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16):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(tek insan etiketleyici; eğitimdeki doğrulama bölmesi) verilmiştir; çok mimarili yol kıyaslaması ölçülmemiş, bölgeler arası genelleme iki mimaride tek tohumla ölçülmüştür.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highlight w:val="yellow"/>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modeller arasındaki sınama IoU farklarının bu kazancı öngörmediğidir: saniye başına operasyonel değeri en yüksek olan orta boy modeldir. Üçüncüsü, kapanma katmanının doğruluğunun bir mahallede kör insan etiketlemesiyle sınanması ve kesinlik 4/5 ile düşük duyarlılık (≈%9)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ölçülmemiş, bölgeler arası genelleme ise iki mimaride ve tek tohumla ölçülebilmiştir; kapanma katmanının yer gerçeğine göre değerlendirilmesi yalnızca bir mahallede, tek insan etiketleyiciyle ve ön deneme olarak yapılabilmiştir. Ölçülmeyen eksenler Tablo 23'te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çoğu mimaride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az yanlış alarm üretmekte,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highlight w:val="yellow"/>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Tablo 12'deki on bölütleme modelinin eğitilmiş ağırlıkları (tatbikattaki üç model dahil) Kaggle'da CC0 lisansıyla herkese açıktır (https://www.kaggle.com/datasets/furkanemrence/quakemind-modeller); eğitim defteri, 2 km'lik blok bölme listesi ve bütün koşu kayıtları https://www.kaggle.com/datasets/furkanemrence/quakemind-rapor-paketi adresindedir. Üretimdeki metin sınıflandırma ağırlığı Hugging Face'te yayımlanmaktadır (https://huggingface.co/Utbird/EqTwitterTr).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27.09.2026), (</w:t>
      </w:r>
      <w:r>
        <w:t>2023).</w:t>
      </w:r>
    </w:p>
    <w:p w14:paraId="20EFE28D" w14:textId="77777777" w:rsidR="00B20134" w:rsidRDefault="00990031">
      <w:r>
        <w:t xml:space="preserve">[45] Esri, "World Imagery Wayback", </w:t>
      </w:r>
      <w:r>
        <w:rPr>
          <w:highlight w:val="yellow"/>
        </w:rPr>
        <w:t>https://livingatlas.arcgis.com/wayback (Erişim tarihi: 27.09.2026),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highlight w:val="yellow"/>
        </w:rPr>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27.09.2026).</w:t>
      </w:r>
    </w:p>
    <w:p w14:paraId="0A5DE2B0" w14:textId="77777777" w:rsidR="00210E36" w:rsidRDefault="00BF64E8">
      <w:r>
        <w:rPr>
          <w:highlight w:val="yellow"/>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