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Türkçe Deprem İhbar Metinlerinde Çok-Etiketli İhtiyaç Sınıflandırması: Klasik, Alt-Kelime Tabanlı ve Transformer Modellerinin Karşılaştırmalı Analizi</w:t>
      </w:r>
    </w:p>
    <w:p>
      <w:pPr>
        <w:jc w:val="center"/>
      </w:pPr>
      <w:r>
        <w:rPr>
          <w:i/>
        </w:rPr>
        <w:t>QuakeMind Projesi — Yerel Deneysel Çalışma Raporu</w:t>
      </w:r>
    </w:p>
    <w:p>
      <w:pPr>
        <w:pStyle w:val="Heading1"/>
      </w:pPr>
      <w:r>
        <w:t>Özet</w:t>
      </w:r>
    </w:p>
    <w:p>
      <w:r>
        <w:t>Bu çalışmada, 2023 Kahramanmaraş ve Hatay depremleri sırasında sosyal medyada paylaşılan 2028 adet anonimleştirilmiş Türkçe afet ihbar metni üzerinde, 13 kategoriden oluşan çok-etiketli (multi-label) bir ihtiyaç sınıflandırma görevi ele alınmıştır. Aynı veri bölmesi (train/val/test = 1418/305/305) ve aynı değerlendirme protokolü kullanılarak sekiz farklı model ailesi — klasik öznitelik-tabanlı yöntemler (TF-IDF + Lojistik Regresyon, TF-IDF + Lineer SVM), alt-kelime gömme tabanlı bir yöntem (FastText), sıfırdan eğitilmiş bir tekrarlayan sinir ağı (BiLSTM) ve dört önceden eğitilmiş transformer modeli (BERTurk, DistilBERTurk, ConvBERTurk, mBERT) — eğitilmiş ve karşılaştırılmıştır. Sonuçlar, alana özel önceden eğitilmiş BERTurk modelinin hem mikro-F1 (0,825) hem de test doğruluğunda (alt-küme doğruluğu 0,712) en iyi performansı gösterdiğini; ancak küçük ve dengesiz veri setinde klasik TF-IDF tabanlı yöntemlerin makro-F1 metriğinde bazı transformer modellerini geride bıraktığını ortaya koymaktadır.</w:t>
      </w:r>
    </w:p>
    <w:p>
      <w:pPr>
        <w:pStyle w:val="Heading1"/>
      </w:pPr>
      <w:r>
        <w:t>1. Giriş ve Amaç</w:t>
      </w:r>
    </w:p>
    <w:p>
      <w:r>
        <w:t>Afet sonrası kriz anlarında sosyal medya üzerinden gelen yardım çağrılarının doğru ve hızlı biçimde kategorize edilmesi, saha ekiplerinin kaynak yönlendirmesi açısından kritik önem taşır. Bu çalışmanın amacı, Türkçe afet metinlerinin çok-etiketli ihtiyaç sınıflandırmasında farklı modelleme yaklaşımlarının (klasik makine öğrenmesi, alt-kelime gömmeleri, tekrarlayan sinir ağları ve transformer tabanlı dil modelleri) göreli performansını, AYNI veri, AYNI bölme ve AYNI metrik protokolü altında adil biçimde karşılaştırmaktır.</w:t>
      </w:r>
    </w:p>
    <w:p>
      <w:pPr>
        <w:pStyle w:val="Heading1"/>
      </w:pPr>
      <w:r>
        <w:t>2. Veri Seti ve Ön İşleme</w:t>
      </w:r>
    </w:p>
    <w:p>
      <w:r>
        <w:t>Kullanılan veri kümesi `deprem-private/intent_test_v13_anonymized` (Hugging Face, özel erişim) kümesidir; 2023 Kahramanmaraş/Hatay depremleri sırasında toplanmış, kişisel bilgileri maskelenmiş (`[MASK]`) 2028 adet sosyal medya gönderisinden oluşur. Her örnek, 13 kategoriden birine veya birkaçına aittir (ortalama 1.34 etiket/örnek); ortalama metin uzunluğu 26.1 kelimedir.</w:t>
      </w:r>
    </w:p>
    <w:p>
      <w:r>
        <w:t>Veri, sabit bir rastgele tohum (seed=42) ile tabakalama yapılmaksızın yaklaşık %70/%15/%15 oranında train/val/test olarak bölünmüştür (sırasıyla 1418/305/305 örnek). Val kümesi model seçimi/erken durdurma, test kümesi ise NİHAİ ve raporlanan tüm metrikler için kullanılmıştır — hiçbir model test kümesini eğitim sırasında görmemiştir.</w:t>
      </w:r>
    </w:p>
    <w:p>
      <w:pPr>
        <w:pStyle w:val="Heading2"/>
      </w:pPr>
      <w:r>
        <w:t>2.1 Etiket Dağılımı</w:t>
      </w:r>
    </w:p>
    <w:p>
      <w:r>
        <w:t>Veri kümesi belirgin bir sınıf dengesizliği göstermektedir; en sık görülen kategori (“Enkaz Kaldırma”, 919 örnek) en nadir kategoriden (“Cenaze”, 2 örnek) yaklaşık 460 kat daha fazladır. Bu dengesizlik, makro-ortalamalı metriklerin (makro-F1) mikro-ortalamalı metriklere göre daha zayıf çıkmasının başlıca nedenidir.</w:t>
      </w:r>
    </w:p>
    <w:tbl>
      <w:tblPr>
        <w:tblStyle w:val="LightGrid-Accent1"/>
        <w:tblW w:type="auto" w:w="0"/>
        <w:jc w:val="center"/>
        <w:tblLook w:firstColumn="1" w:firstRow="1" w:lastColumn="0" w:lastRow="0" w:noHBand="0" w:noVBand="1" w:val="04A0"/>
      </w:tblPr>
      <w:tblGrid>
        <w:gridCol w:w="2880"/>
        <w:gridCol w:w="2880"/>
        <w:gridCol w:w="2880"/>
      </w:tblGrid>
      <w:tr>
        <w:tc>
          <w:tcPr>
            <w:tcW w:type="dxa" w:w="3402"/>
            <w:shd w:val="clear" w:color="auto" w:fill="4472C4"/>
          </w:tcPr>
          <w:p>
            <w:pPr>
              <w:jc w:val="center"/>
            </w:pPr>
            <w:r>
              <w:rPr>
                <w:b/>
              </w:rPr>
              <w:t>Kategori</w:t>
            </w:r>
          </w:p>
        </w:tc>
        <w:tc>
          <w:tcPr>
            <w:tcW w:type="dxa" w:w="2268"/>
            <w:shd w:val="clear" w:color="auto" w:fill="4472C4"/>
          </w:tcPr>
          <w:p>
            <w:pPr>
              <w:jc w:val="center"/>
            </w:pPr>
            <w:r>
              <w:rPr>
                <w:b/>
              </w:rPr>
              <w:t>Örnek Sayısı</w:t>
            </w:r>
          </w:p>
        </w:tc>
        <w:tc>
          <w:tcPr>
            <w:tcW w:type="dxa" w:w="2268"/>
            <w:shd w:val="clear" w:color="auto" w:fill="4472C4"/>
          </w:tcPr>
          <w:p>
            <w:pPr>
              <w:jc w:val="center"/>
            </w:pPr>
            <w:r>
              <w:rPr>
                <w:b/>
              </w:rPr>
              <w:t>Oran (%)</w:t>
            </w:r>
          </w:p>
        </w:tc>
      </w:tr>
      <w:tr>
        <w:tc>
          <w:tcPr>
            <w:tcW w:type="dxa" w:w="3402"/>
          </w:tcPr>
          <w:p>
            <w:pPr>
              <w:jc w:val="center"/>
            </w:pPr>
            <w:r>
              <w:t>Enkaz Kaldirma</w:t>
            </w:r>
          </w:p>
        </w:tc>
        <w:tc>
          <w:tcPr>
            <w:tcW w:type="dxa" w:w="2268"/>
          </w:tcPr>
          <w:p>
            <w:pPr>
              <w:jc w:val="center"/>
            </w:pPr>
            <w:r>
              <w:t>919</w:t>
            </w:r>
          </w:p>
        </w:tc>
        <w:tc>
          <w:tcPr>
            <w:tcW w:type="dxa" w:w="2268"/>
          </w:tcPr>
          <w:p>
            <w:pPr>
              <w:jc w:val="center"/>
            </w:pPr>
            <w:r>
              <w:t>33.9</w:t>
            </w:r>
          </w:p>
        </w:tc>
      </w:tr>
      <w:tr>
        <w:tc>
          <w:tcPr>
            <w:tcW w:type="dxa" w:w="3402"/>
          </w:tcPr>
          <w:p>
            <w:pPr>
              <w:jc w:val="center"/>
            </w:pPr>
            <w:r>
              <w:t>Barınma</w:t>
            </w:r>
          </w:p>
        </w:tc>
        <w:tc>
          <w:tcPr>
            <w:tcW w:type="dxa" w:w="2268"/>
          </w:tcPr>
          <w:p>
            <w:pPr>
              <w:jc w:val="center"/>
            </w:pPr>
            <w:r>
              <w:t>483</w:t>
            </w:r>
          </w:p>
        </w:tc>
        <w:tc>
          <w:tcPr>
            <w:tcW w:type="dxa" w:w="2268"/>
          </w:tcPr>
          <w:p>
            <w:pPr>
              <w:jc w:val="center"/>
            </w:pPr>
            <w:r>
              <w:t>17.8</w:t>
            </w:r>
          </w:p>
        </w:tc>
      </w:tr>
      <w:tr>
        <w:tc>
          <w:tcPr>
            <w:tcW w:type="dxa" w:w="3402"/>
          </w:tcPr>
          <w:p>
            <w:pPr>
              <w:jc w:val="center"/>
            </w:pPr>
            <w:r>
              <w:t>Alakasiz</w:t>
            </w:r>
          </w:p>
        </w:tc>
        <w:tc>
          <w:tcPr>
            <w:tcW w:type="dxa" w:w="2268"/>
          </w:tcPr>
          <w:p>
            <w:pPr>
              <w:jc w:val="center"/>
            </w:pPr>
            <w:r>
              <w:t>377</w:t>
            </w:r>
          </w:p>
        </w:tc>
        <w:tc>
          <w:tcPr>
            <w:tcW w:type="dxa" w:w="2268"/>
          </w:tcPr>
          <w:p>
            <w:pPr>
              <w:jc w:val="center"/>
            </w:pPr>
            <w:r>
              <w:t>13.9</w:t>
            </w:r>
          </w:p>
        </w:tc>
      </w:tr>
      <w:tr>
        <w:tc>
          <w:tcPr>
            <w:tcW w:type="dxa" w:w="3402"/>
          </w:tcPr>
          <w:p>
            <w:pPr>
              <w:jc w:val="center"/>
            </w:pPr>
            <w:r>
              <w:t>Yemek</w:t>
            </w:r>
          </w:p>
        </w:tc>
        <w:tc>
          <w:tcPr>
            <w:tcW w:type="dxa" w:w="2268"/>
          </w:tcPr>
          <w:p>
            <w:pPr>
              <w:jc w:val="center"/>
            </w:pPr>
            <w:r>
              <w:t>202</w:t>
            </w:r>
          </w:p>
        </w:tc>
        <w:tc>
          <w:tcPr>
            <w:tcW w:type="dxa" w:w="2268"/>
          </w:tcPr>
          <w:p>
            <w:pPr>
              <w:jc w:val="center"/>
            </w:pPr>
            <w:r>
              <w:t>7.5</w:t>
            </w:r>
          </w:p>
        </w:tc>
      </w:tr>
      <w:tr>
        <w:tc>
          <w:tcPr>
            <w:tcW w:type="dxa" w:w="3402"/>
          </w:tcPr>
          <w:p>
            <w:pPr>
              <w:jc w:val="center"/>
            </w:pPr>
            <w:r>
              <w:t>Isinma</w:t>
            </w:r>
          </w:p>
        </w:tc>
        <w:tc>
          <w:tcPr>
            <w:tcW w:type="dxa" w:w="2268"/>
          </w:tcPr>
          <w:p>
            <w:pPr>
              <w:jc w:val="center"/>
            </w:pPr>
            <w:r>
              <w:t>185</w:t>
            </w:r>
          </w:p>
        </w:tc>
        <w:tc>
          <w:tcPr>
            <w:tcW w:type="dxa" w:w="2268"/>
          </w:tcPr>
          <w:p>
            <w:pPr>
              <w:jc w:val="center"/>
            </w:pPr>
            <w:r>
              <w:t>6.8</w:t>
            </w:r>
          </w:p>
        </w:tc>
      </w:tr>
      <w:tr>
        <w:tc>
          <w:tcPr>
            <w:tcW w:type="dxa" w:w="3402"/>
          </w:tcPr>
          <w:p>
            <w:pPr>
              <w:jc w:val="center"/>
            </w:pPr>
            <w:r>
              <w:t>Giysi</w:t>
            </w:r>
          </w:p>
        </w:tc>
        <w:tc>
          <w:tcPr>
            <w:tcW w:type="dxa" w:w="2268"/>
          </w:tcPr>
          <w:p>
            <w:pPr>
              <w:jc w:val="center"/>
            </w:pPr>
            <w:r>
              <w:t>138</w:t>
            </w:r>
          </w:p>
        </w:tc>
        <w:tc>
          <w:tcPr>
            <w:tcW w:type="dxa" w:w="2268"/>
          </w:tcPr>
          <w:p>
            <w:pPr>
              <w:jc w:val="center"/>
            </w:pPr>
            <w:r>
              <w:t>5.1</w:t>
            </w:r>
          </w:p>
        </w:tc>
      </w:tr>
      <w:tr>
        <w:tc>
          <w:tcPr>
            <w:tcW w:type="dxa" w:w="3402"/>
          </w:tcPr>
          <w:p>
            <w:pPr>
              <w:jc w:val="center"/>
            </w:pPr>
            <w:r>
              <w:t>Arama Ekipmani</w:t>
            </w:r>
          </w:p>
        </w:tc>
        <w:tc>
          <w:tcPr>
            <w:tcW w:type="dxa" w:w="2268"/>
          </w:tcPr>
          <w:p>
            <w:pPr>
              <w:jc w:val="center"/>
            </w:pPr>
            <w:r>
              <w:t>128</w:t>
            </w:r>
          </w:p>
        </w:tc>
        <w:tc>
          <w:tcPr>
            <w:tcW w:type="dxa" w:w="2268"/>
          </w:tcPr>
          <w:p>
            <w:pPr>
              <w:jc w:val="center"/>
            </w:pPr>
            <w:r>
              <w:t>4.7</w:t>
            </w:r>
          </w:p>
        </w:tc>
      </w:tr>
      <w:tr>
        <w:tc>
          <w:tcPr>
            <w:tcW w:type="dxa" w:w="3402"/>
          </w:tcPr>
          <w:p>
            <w:pPr>
              <w:jc w:val="center"/>
            </w:pPr>
            <w:r>
              <w:t>Saglik</w:t>
            </w:r>
          </w:p>
        </w:tc>
        <w:tc>
          <w:tcPr>
            <w:tcW w:type="dxa" w:w="2268"/>
          </w:tcPr>
          <w:p>
            <w:pPr>
              <w:jc w:val="center"/>
            </w:pPr>
            <w:r>
              <w:t>104</w:t>
            </w:r>
          </w:p>
        </w:tc>
        <w:tc>
          <w:tcPr>
            <w:tcW w:type="dxa" w:w="2268"/>
          </w:tcPr>
          <w:p>
            <w:pPr>
              <w:jc w:val="center"/>
            </w:pPr>
            <w:r>
              <w:t>3.8</w:t>
            </w:r>
          </w:p>
        </w:tc>
      </w:tr>
      <w:tr>
        <w:tc>
          <w:tcPr>
            <w:tcW w:type="dxa" w:w="3402"/>
          </w:tcPr>
          <w:p>
            <w:pPr>
              <w:jc w:val="center"/>
            </w:pPr>
            <w:r>
              <w:t>Su</w:t>
            </w:r>
          </w:p>
        </w:tc>
        <w:tc>
          <w:tcPr>
            <w:tcW w:type="dxa" w:w="2268"/>
          </w:tcPr>
          <w:p>
            <w:pPr>
              <w:jc w:val="center"/>
            </w:pPr>
            <w:r>
              <w:t>67</w:t>
            </w:r>
          </w:p>
        </w:tc>
        <w:tc>
          <w:tcPr>
            <w:tcW w:type="dxa" w:w="2268"/>
          </w:tcPr>
          <w:p>
            <w:pPr>
              <w:jc w:val="center"/>
            </w:pPr>
            <w:r>
              <w:t>2.5</w:t>
            </w:r>
          </w:p>
        </w:tc>
      </w:tr>
      <w:tr>
        <w:tc>
          <w:tcPr>
            <w:tcW w:type="dxa" w:w="3402"/>
          </w:tcPr>
          <w:p>
            <w:pPr>
              <w:jc w:val="center"/>
            </w:pPr>
            <w:r>
              <w:t>Elektrik Kaynagi</w:t>
            </w:r>
          </w:p>
        </w:tc>
        <w:tc>
          <w:tcPr>
            <w:tcW w:type="dxa" w:w="2268"/>
          </w:tcPr>
          <w:p>
            <w:pPr>
              <w:jc w:val="center"/>
            </w:pPr>
            <w:r>
              <w:t>56</w:t>
            </w:r>
          </w:p>
        </w:tc>
        <w:tc>
          <w:tcPr>
            <w:tcW w:type="dxa" w:w="2268"/>
          </w:tcPr>
          <w:p>
            <w:pPr>
              <w:jc w:val="center"/>
            </w:pPr>
            <w:r>
              <w:t>2.1</w:t>
            </w:r>
          </w:p>
        </w:tc>
      </w:tr>
      <w:tr>
        <w:tc>
          <w:tcPr>
            <w:tcW w:type="dxa" w:w="3402"/>
          </w:tcPr>
          <w:p>
            <w:pPr>
              <w:jc w:val="center"/>
            </w:pPr>
            <w:r>
              <w:t>Lojistik</w:t>
            </w:r>
          </w:p>
        </w:tc>
        <w:tc>
          <w:tcPr>
            <w:tcW w:type="dxa" w:w="2268"/>
          </w:tcPr>
          <w:p>
            <w:pPr>
              <w:jc w:val="center"/>
            </w:pPr>
            <w:r>
              <w:t>38</w:t>
            </w:r>
          </w:p>
        </w:tc>
        <w:tc>
          <w:tcPr>
            <w:tcW w:type="dxa" w:w="2268"/>
          </w:tcPr>
          <w:p>
            <w:pPr>
              <w:jc w:val="center"/>
            </w:pPr>
            <w:r>
              <w:t>1.4</w:t>
            </w:r>
          </w:p>
        </w:tc>
      </w:tr>
      <w:tr>
        <w:tc>
          <w:tcPr>
            <w:tcW w:type="dxa" w:w="3402"/>
          </w:tcPr>
          <w:p>
            <w:pPr>
              <w:jc w:val="center"/>
            </w:pPr>
            <w:r>
              <w:t>Tuvalet</w:t>
            </w:r>
          </w:p>
        </w:tc>
        <w:tc>
          <w:tcPr>
            <w:tcW w:type="dxa" w:w="2268"/>
          </w:tcPr>
          <w:p>
            <w:pPr>
              <w:jc w:val="center"/>
            </w:pPr>
            <w:r>
              <w:t>10</w:t>
            </w:r>
          </w:p>
        </w:tc>
        <w:tc>
          <w:tcPr>
            <w:tcW w:type="dxa" w:w="2268"/>
          </w:tcPr>
          <w:p>
            <w:pPr>
              <w:jc w:val="center"/>
            </w:pPr>
            <w:r>
              <w:t>0.4</w:t>
            </w:r>
          </w:p>
        </w:tc>
      </w:tr>
      <w:tr>
        <w:tc>
          <w:tcPr>
            <w:tcW w:type="dxa" w:w="3402"/>
          </w:tcPr>
          <w:p>
            <w:pPr>
              <w:jc w:val="center"/>
            </w:pPr>
            <w:r>
              <w:t>Cenaze</w:t>
            </w:r>
          </w:p>
        </w:tc>
        <w:tc>
          <w:tcPr>
            <w:tcW w:type="dxa" w:w="2268"/>
          </w:tcPr>
          <w:p>
            <w:pPr>
              <w:jc w:val="center"/>
            </w:pPr>
            <w:r>
              <w:t>2</w:t>
            </w:r>
          </w:p>
        </w:tc>
        <w:tc>
          <w:tcPr>
            <w:tcW w:type="dxa" w:w="2268"/>
          </w:tcPr>
          <w:p>
            <w:pPr>
              <w:jc w:val="center"/>
            </w:pPr>
            <w:r>
              <w:t>0.1</w:t>
            </w:r>
          </w:p>
        </w:tc>
      </w:tr>
    </w:tbl>
    <w:p>
      <w:pPr>
        <w:pStyle w:val="Heading1"/>
      </w:pPr>
      <w:r>
        <w:t>3. Yöntem</w:t>
      </w:r>
    </w:p>
    <w:p>
      <w:r>
        <w:t>Tüm modeller çok-etiketli sınıflandırma olarak ele alınmış; çıktı katmanında sigmoid aktivasyonu ve ikili çapraz entropi (binary cross-entropy) temelli kayıp fonksiyonları kullanılmış, karar eşiği tüm modeller için 0,5 olarak sabitlenmiştir.</w:t>
      </w:r>
    </w:p>
    <w:p>
      <w:pPr>
        <w:pStyle w:val="Heading2"/>
      </w:pPr>
      <w:r>
        <w:t>3.1 Klasik Öznitelik-Tabanlı Modeller</w:t>
      </w:r>
    </w:p>
    <w:p>
      <w:r>
        <w:t>TF-IDF (1-2 gram, min_df=2, en fazla 50.000 öznitelik, sublinear tf ölçekleme) ile vektörleştirilen metinler, One-vs-Rest stratejisiyle çok-etiketli hale getirilmiş Lojistik Regresyon (C=2,0, sınıf ağırlıklandırması dengeli) ve Lineer SVM (C=1,0, sınıf ağırlıklandırması dengeli) sınıflandırıcılarına verilmiştir.</w:t>
      </w:r>
    </w:p>
    <w:p>
      <w:pPr>
        <w:pStyle w:val="Heading2"/>
      </w:pPr>
      <w:r>
        <w:t>3.2 FastText</w:t>
      </w:r>
    </w:p>
    <w:p>
      <w:r>
        <w:t>Facebook FastText kütüphanesi, alt-kelime (subword) n-gram özniteliklerini kullanarak “one-vs-all” (ova) kayıp fonksiyonuyla çok-etiketli modda eğitilmiştir (epoch=25, lr=0,5, wordNgrams=2, boyut=100).</w:t>
      </w:r>
    </w:p>
    <w:p>
      <w:pPr>
        <w:pStyle w:val="Heading2"/>
      </w:pPr>
      <w:r>
        <w:t>3.3 BiLSTM</w:t>
      </w:r>
    </w:p>
    <w:p>
      <w:r>
        <w:t>Sıfırdan eğitilen bir gömme katmanı (boyut=100, en sık 20.000 kelime) üzerine çift yönlü tek katmanlı bir LSTM (gizli boyut=128) ve doğrusal bir çıkış katmanı eklenmiştir (15 epoch, Adam optimizasyonu, lr=0,001, batch=32, maksimum dizi uzunluğu=60 token).</w:t>
      </w:r>
    </w:p>
    <w:p>
      <w:pPr>
        <w:pStyle w:val="Heading2"/>
      </w:pPr>
      <w:r>
        <w:t>3.4 Transformer Tabanlı Modeller</w:t>
      </w:r>
    </w:p>
    <w:p>
      <w:r>
        <w:t>Dört önceden eğitilmiş kodlayıcı (encoder) — BERTurk (dbmdz/bert-base-turkish-cased), DistilBERTurk, ConvBERTurk ve çok-dilli mBERT — AYNI protokolle (4 epoch, öğrenme oranı 2e-5, batch=8, maksimum dizi uzunluğu=256 alt-kelime, AdamW, ağırlık sönümü 0,01) ince ayarlanmış; her epoch sonunda doğrulama kümesinde mikro-F1 izlenerek en iyi kontrol noktası (checkpoint) nihai değerlendirme için seçilmiştir.</w:t>
      </w:r>
    </w:p>
    <w:p>
      <w:pPr>
        <w:pStyle w:val="Heading2"/>
      </w:pPr>
      <w:r>
        <w:t>3.5 Denenemeyen Modeller</w:t>
      </w:r>
    </w:p>
    <w:p>
      <w:r>
        <w:t>Aynı protokolle eğitilmesi planlanan XLM-RoBERTa (geniş çok-dilli kelime dağarcığı, ~278M parametre) ve TURNA (boun-tabi-LMG/TURNA, T5 tabanlı büyük Türkçe üretici model) modelleri, yerel eğitim ortamında eğitim döngüsünün ilk adımına geçişte tekrarlanan biçimde (mikro-batch küçültme ve gradyan biriktirme denemelerine rağmen) dış kaynaklı olarak sonlandırılmış ve bu çalışmaya dahil edilememiştir. Bu iki model için sonuçlar, daha yüksek bellek/GPU kapasiteli bir ortamda tamamlanabilir.</w:t>
      </w:r>
    </w:p>
    <w:p>
      <w:pPr>
        <w:pStyle w:val="Heading1"/>
      </w:pPr>
      <w:r>
        <w:t>4. Değerlendirme Protokolü</w:t>
      </w:r>
    </w:p>
    <w:p>
      <w:r>
        <w:t>Tüm modeller aynı test kümesinde (n=305) şu metriklerle değerlendirilmiştir: mikro-F1, makro-F1, örnek-bazlı F1 (samples-F1), alt-küme doğruluğu (subset accuracy — tüm etiketlerin birebir doğru tahmin edildiği örnek oranı), mikro/makro kesinlik (precision) ve mikro/makro duyarlılık (recall). Sınıf dengesizliği nedeniyle makro-F1, azınlık sınıflardaki performansı daha adil yansıttığından birincil karşılaştırma ölçütü olarak vurgulanmaktadır.</w:t>
      </w:r>
    </w:p>
    <w:p>
      <w:pPr>
        <w:pStyle w:val="Heading1"/>
      </w:pPr>
      <w:r>
        <w:t>5. Sonuçlar</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814"/>
            <w:shd w:val="clear" w:color="auto" w:fill="4472C4"/>
          </w:tcPr>
          <w:p>
            <w:pPr>
              <w:jc w:val="center"/>
            </w:pPr>
            <w:r>
              <w:rPr>
                <w:b/>
              </w:rPr>
              <w:t>Model</w:t>
            </w:r>
          </w:p>
        </w:tc>
        <w:tc>
          <w:tcPr>
            <w:tcW w:type="dxa" w:w="964"/>
            <w:shd w:val="clear" w:color="auto" w:fill="4472C4"/>
          </w:tcPr>
          <w:p>
            <w:pPr>
              <w:jc w:val="center"/>
            </w:pPr>
            <w:r>
              <w:rPr>
                <w:b/>
              </w:rPr>
              <w:t>Mikro-F1</w:t>
            </w:r>
          </w:p>
        </w:tc>
        <w:tc>
          <w:tcPr>
            <w:tcW w:type="dxa" w:w="964"/>
            <w:shd w:val="clear" w:color="auto" w:fill="4472C4"/>
          </w:tcPr>
          <w:p>
            <w:pPr>
              <w:jc w:val="center"/>
            </w:pPr>
            <w:r>
              <w:rPr>
                <w:b/>
              </w:rPr>
              <w:t>Makro-F1</w:t>
            </w:r>
          </w:p>
        </w:tc>
        <w:tc>
          <w:tcPr>
            <w:tcW w:type="dxa" w:w="1134"/>
            <w:shd w:val="clear" w:color="auto" w:fill="4472C4"/>
          </w:tcPr>
          <w:p>
            <w:pPr>
              <w:jc w:val="center"/>
            </w:pPr>
            <w:r>
              <w:rPr>
                <w:b/>
              </w:rPr>
              <w:t>Alt-küme Doğruluk</w:t>
            </w:r>
          </w:p>
        </w:tc>
        <w:tc>
          <w:tcPr>
            <w:tcW w:type="dxa" w:w="1077"/>
            <w:shd w:val="clear" w:color="auto" w:fill="4472C4"/>
          </w:tcPr>
          <w:p>
            <w:pPr>
              <w:jc w:val="center"/>
            </w:pPr>
            <w:r>
              <w:rPr>
                <w:b/>
              </w:rPr>
              <w:t>Mikro-Kesinlik</w:t>
            </w:r>
          </w:p>
        </w:tc>
        <w:tc>
          <w:tcPr>
            <w:tcW w:type="dxa" w:w="1077"/>
            <w:shd w:val="clear" w:color="auto" w:fill="4472C4"/>
          </w:tcPr>
          <w:p>
            <w:pPr>
              <w:jc w:val="center"/>
            </w:pPr>
            <w:r>
              <w:rPr>
                <w:b/>
              </w:rPr>
              <w:t>Makro-Kesinlik</w:t>
            </w:r>
          </w:p>
        </w:tc>
        <w:tc>
          <w:tcPr>
            <w:tcW w:type="dxa" w:w="1077"/>
            <w:shd w:val="clear" w:color="auto" w:fill="4472C4"/>
          </w:tcPr>
          <w:p>
            <w:pPr>
              <w:jc w:val="center"/>
            </w:pPr>
            <w:r>
              <w:rPr>
                <w:b/>
              </w:rPr>
              <w:t>Mikro-Duyarlılık</w:t>
            </w:r>
          </w:p>
        </w:tc>
        <w:tc>
          <w:tcPr>
            <w:tcW w:type="dxa" w:w="1077"/>
            <w:shd w:val="clear" w:color="auto" w:fill="4472C4"/>
          </w:tcPr>
          <w:p>
            <w:pPr>
              <w:jc w:val="center"/>
            </w:pPr>
            <w:r>
              <w:rPr>
                <w:b/>
              </w:rPr>
              <w:t>Makro-Duyarlılık</w:t>
            </w:r>
          </w:p>
        </w:tc>
      </w:tr>
      <w:tr>
        <w:tc>
          <w:tcPr>
            <w:tcW w:type="dxa" w:w="1814"/>
          </w:tcPr>
          <w:p>
            <w:pPr>
              <w:jc w:val="center"/>
            </w:pPr>
            <w:r>
              <w:t>TF-IDF + Lojistik Regresyon</w:t>
            </w:r>
          </w:p>
        </w:tc>
        <w:tc>
          <w:tcPr>
            <w:tcW w:type="dxa" w:w="964"/>
          </w:tcPr>
          <w:p>
            <w:pPr>
              <w:jc w:val="center"/>
            </w:pPr>
            <w:r>
              <w:t>0.7598</w:t>
            </w:r>
          </w:p>
        </w:tc>
        <w:tc>
          <w:tcPr>
            <w:tcW w:type="dxa" w:w="964"/>
          </w:tcPr>
          <w:p>
            <w:pPr>
              <w:jc w:val="center"/>
            </w:pPr>
            <w:r>
              <w:t>0.5024</w:t>
            </w:r>
          </w:p>
        </w:tc>
        <w:tc>
          <w:tcPr>
            <w:tcW w:type="dxa" w:w="1134"/>
          </w:tcPr>
          <w:p>
            <w:pPr>
              <w:jc w:val="center"/>
            </w:pPr>
            <w:r>
              <w:t>0.5574</w:t>
            </w:r>
          </w:p>
        </w:tc>
        <w:tc>
          <w:tcPr>
            <w:tcW w:type="dxa" w:w="1077"/>
          </w:tcPr>
          <w:p>
            <w:pPr>
              <w:jc w:val="center"/>
            </w:pPr>
            <w:r>
              <w:t>0.7633</w:t>
            </w:r>
          </w:p>
        </w:tc>
        <w:tc>
          <w:tcPr>
            <w:tcW w:type="dxa" w:w="1077"/>
          </w:tcPr>
          <w:p>
            <w:pPr>
              <w:jc w:val="center"/>
            </w:pPr>
            <w:r>
              <w:t>0.5510</w:t>
            </w:r>
          </w:p>
        </w:tc>
        <w:tc>
          <w:tcPr>
            <w:tcW w:type="dxa" w:w="1077"/>
          </w:tcPr>
          <w:p>
            <w:pPr>
              <w:jc w:val="center"/>
            </w:pPr>
            <w:r>
              <w:t>0.7563</w:t>
            </w:r>
          </w:p>
        </w:tc>
        <w:tc>
          <w:tcPr>
            <w:tcW w:type="dxa" w:w="1077"/>
          </w:tcPr>
          <w:p>
            <w:pPr>
              <w:jc w:val="center"/>
            </w:pPr>
            <w:r>
              <w:t>0.4912</w:t>
            </w:r>
          </w:p>
        </w:tc>
      </w:tr>
      <w:tr>
        <w:tc>
          <w:tcPr>
            <w:tcW w:type="dxa" w:w="1814"/>
          </w:tcPr>
          <w:p>
            <w:pPr>
              <w:jc w:val="center"/>
            </w:pPr>
            <w:r>
              <w:t>TF-IDF + Lineer SVM</w:t>
            </w:r>
          </w:p>
        </w:tc>
        <w:tc>
          <w:tcPr>
            <w:tcW w:type="dxa" w:w="964"/>
          </w:tcPr>
          <w:p>
            <w:pPr>
              <w:jc w:val="center"/>
            </w:pPr>
            <w:r>
              <w:t>0.7596</w:t>
            </w:r>
          </w:p>
        </w:tc>
        <w:tc>
          <w:tcPr>
            <w:tcW w:type="dxa" w:w="964"/>
          </w:tcPr>
          <w:p>
            <w:pPr>
              <w:jc w:val="center"/>
            </w:pPr>
            <w:r>
              <w:t>0.4852</w:t>
            </w:r>
          </w:p>
        </w:tc>
        <w:tc>
          <w:tcPr>
            <w:tcW w:type="dxa" w:w="1134"/>
          </w:tcPr>
          <w:p>
            <w:pPr>
              <w:jc w:val="center"/>
            </w:pPr>
            <w:r>
              <w:t>0.6230</w:t>
            </w:r>
          </w:p>
        </w:tc>
        <w:tc>
          <w:tcPr>
            <w:tcW w:type="dxa" w:w="1077"/>
          </w:tcPr>
          <w:p>
            <w:pPr>
              <w:jc w:val="center"/>
            </w:pPr>
            <w:r>
              <w:t>0.8191</w:t>
            </w:r>
          </w:p>
        </w:tc>
        <w:tc>
          <w:tcPr>
            <w:tcW w:type="dxa" w:w="1077"/>
          </w:tcPr>
          <w:p>
            <w:pPr>
              <w:jc w:val="center"/>
            </w:pPr>
            <w:r>
              <w:t>0.5943</w:t>
            </w:r>
          </w:p>
        </w:tc>
        <w:tc>
          <w:tcPr>
            <w:tcW w:type="dxa" w:w="1077"/>
          </w:tcPr>
          <w:p>
            <w:pPr>
              <w:jc w:val="center"/>
            </w:pPr>
            <w:r>
              <w:t>0.7080</w:t>
            </w:r>
          </w:p>
        </w:tc>
        <w:tc>
          <w:tcPr>
            <w:tcW w:type="dxa" w:w="1077"/>
          </w:tcPr>
          <w:p>
            <w:pPr>
              <w:jc w:val="center"/>
            </w:pPr>
            <w:r>
              <w:t>0.4338</w:t>
            </w:r>
          </w:p>
        </w:tc>
      </w:tr>
      <w:tr>
        <w:tc>
          <w:tcPr>
            <w:tcW w:type="dxa" w:w="1814"/>
          </w:tcPr>
          <w:p>
            <w:pPr>
              <w:jc w:val="center"/>
            </w:pPr>
            <w:r>
              <w:t>BERTurk</w:t>
            </w:r>
          </w:p>
        </w:tc>
        <w:tc>
          <w:tcPr>
            <w:tcW w:type="dxa" w:w="964"/>
          </w:tcPr>
          <w:p>
            <w:pPr>
              <w:jc w:val="center"/>
            </w:pPr>
            <w:r>
              <w:t>0.8247</w:t>
            </w:r>
          </w:p>
        </w:tc>
        <w:tc>
          <w:tcPr>
            <w:tcW w:type="dxa" w:w="964"/>
          </w:tcPr>
          <w:p>
            <w:pPr>
              <w:jc w:val="center"/>
            </w:pPr>
            <w:r>
              <w:t>0.4725</w:t>
            </w:r>
          </w:p>
        </w:tc>
        <w:tc>
          <w:tcPr>
            <w:tcW w:type="dxa" w:w="1134"/>
          </w:tcPr>
          <w:p>
            <w:pPr>
              <w:jc w:val="center"/>
            </w:pPr>
            <w:r>
              <w:t>0.7115</w:t>
            </w:r>
          </w:p>
        </w:tc>
        <w:tc>
          <w:tcPr>
            <w:tcW w:type="dxa" w:w="1077"/>
          </w:tcPr>
          <w:p>
            <w:pPr>
              <w:jc w:val="center"/>
            </w:pPr>
            <w:r>
              <w:t>0.8907</w:t>
            </w:r>
          </w:p>
        </w:tc>
        <w:tc>
          <w:tcPr>
            <w:tcW w:type="dxa" w:w="1077"/>
          </w:tcPr>
          <w:p>
            <w:pPr>
              <w:jc w:val="center"/>
            </w:pPr>
            <w:r>
              <w:t>0.5188</w:t>
            </w:r>
          </w:p>
        </w:tc>
        <w:tc>
          <w:tcPr>
            <w:tcW w:type="dxa" w:w="1077"/>
          </w:tcPr>
          <w:p>
            <w:pPr>
              <w:jc w:val="center"/>
            </w:pPr>
            <w:r>
              <w:t>0.7678</w:t>
            </w:r>
          </w:p>
        </w:tc>
        <w:tc>
          <w:tcPr>
            <w:tcW w:type="dxa" w:w="1077"/>
          </w:tcPr>
          <w:p>
            <w:pPr>
              <w:jc w:val="center"/>
            </w:pPr>
            <w:r>
              <w:t>0.4483</w:t>
            </w:r>
          </w:p>
        </w:tc>
      </w:tr>
      <w:tr>
        <w:tc>
          <w:tcPr>
            <w:tcW w:type="dxa" w:w="1814"/>
          </w:tcPr>
          <w:p>
            <w:pPr>
              <w:jc w:val="center"/>
            </w:pPr>
            <w:r>
              <w:t>ConvBERTurk</w:t>
            </w:r>
          </w:p>
        </w:tc>
        <w:tc>
          <w:tcPr>
            <w:tcW w:type="dxa" w:w="964"/>
          </w:tcPr>
          <w:p>
            <w:pPr>
              <w:jc w:val="center"/>
            </w:pPr>
            <w:r>
              <w:t>0.7199</w:t>
            </w:r>
          </w:p>
        </w:tc>
        <w:tc>
          <w:tcPr>
            <w:tcW w:type="dxa" w:w="964"/>
          </w:tcPr>
          <w:p>
            <w:pPr>
              <w:jc w:val="center"/>
            </w:pPr>
            <w:r>
              <w:t>0.2747</w:t>
            </w:r>
          </w:p>
        </w:tc>
        <w:tc>
          <w:tcPr>
            <w:tcW w:type="dxa" w:w="1134"/>
          </w:tcPr>
          <w:p>
            <w:pPr>
              <w:jc w:val="center"/>
            </w:pPr>
            <w:r>
              <w:t>0.6230</w:t>
            </w:r>
          </w:p>
        </w:tc>
        <w:tc>
          <w:tcPr>
            <w:tcW w:type="dxa" w:w="1077"/>
          </w:tcPr>
          <w:p>
            <w:pPr>
              <w:jc w:val="center"/>
            </w:pPr>
            <w:r>
              <w:t>0.8359</w:t>
            </w:r>
          </w:p>
        </w:tc>
        <w:tc>
          <w:tcPr>
            <w:tcW w:type="dxa" w:w="1077"/>
          </w:tcPr>
          <w:p>
            <w:pPr>
              <w:jc w:val="center"/>
            </w:pPr>
            <w:r>
              <w:t>0.3188</w:t>
            </w:r>
          </w:p>
        </w:tc>
        <w:tc>
          <w:tcPr>
            <w:tcW w:type="dxa" w:w="1077"/>
          </w:tcPr>
          <w:p>
            <w:pPr>
              <w:jc w:val="center"/>
            </w:pPr>
            <w:r>
              <w:t>0.6322</w:t>
            </w:r>
          </w:p>
        </w:tc>
        <w:tc>
          <w:tcPr>
            <w:tcW w:type="dxa" w:w="1077"/>
          </w:tcPr>
          <w:p>
            <w:pPr>
              <w:jc w:val="center"/>
            </w:pPr>
            <w:r>
              <w:t>0.2673</w:t>
            </w:r>
          </w:p>
        </w:tc>
      </w:tr>
      <w:tr>
        <w:tc>
          <w:tcPr>
            <w:tcW w:type="dxa" w:w="1814"/>
          </w:tcPr>
          <w:p>
            <w:pPr>
              <w:jc w:val="center"/>
            </w:pPr>
            <w:r>
              <w:t>FastText</w:t>
            </w:r>
          </w:p>
        </w:tc>
        <w:tc>
          <w:tcPr>
            <w:tcW w:type="dxa" w:w="964"/>
          </w:tcPr>
          <w:p>
            <w:pPr>
              <w:jc w:val="center"/>
            </w:pPr>
            <w:r>
              <w:t>0.6003</w:t>
            </w:r>
          </w:p>
        </w:tc>
        <w:tc>
          <w:tcPr>
            <w:tcW w:type="dxa" w:w="964"/>
          </w:tcPr>
          <w:p>
            <w:pPr>
              <w:jc w:val="center"/>
            </w:pPr>
            <w:r>
              <w:t>0.2589</w:t>
            </w:r>
          </w:p>
        </w:tc>
        <w:tc>
          <w:tcPr>
            <w:tcW w:type="dxa" w:w="1134"/>
          </w:tcPr>
          <w:p>
            <w:pPr>
              <w:jc w:val="center"/>
            </w:pPr>
            <w:r>
              <w:t>0.4787</w:t>
            </w:r>
          </w:p>
        </w:tc>
        <w:tc>
          <w:tcPr>
            <w:tcW w:type="dxa" w:w="1077"/>
          </w:tcPr>
          <w:p>
            <w:pPr>
              <w:jc w:val="center"/>
            </w:pPr>
            <w:r>
              <w:t>0.8728</w:t>
            </w:r>
          </w:p>
        </w:tc>
        <w:tc>
          <w:tcPr>
            <w:tcW w:type="dxa" w:w="1077"/>
          </w:tcPr>
          <w:p>
            <w:pPr>
              <w:jc w:val="center"/>
            </w:pPr>
            <w:r>
              <w:t>0.5019</w:t>
            </w:r>
          </w:p>
        </w:tc>
        <w:tc>
          <w:tcPr>
            <w:tcW w:type="dxa" w:w="1077"/>
          </w:tcPr>
          <w:p>
            <w:pPr>
              <w:jc w:val="center"/>
            </w:pPr>
            <w:r>
              <w:t>0.4575</w:t>
            </w:r>
          </w:p>
        </w:tc>
        <w:tc>
          <w:tcPr>
            <w:tcW w:type="dxa" w:w="1077"/>
          </w:tcPr>
          <w:p>
            <w:pPr>
              <w:jc w:val="center"/>
            </w:pPr>
            <w:r>
              <w:t>0.2018</w:t>
            </w:r>
          </w:p>
        </w:tc>
      </w:tr>
      <w:tr>
        <w:tc>
          <w:tcPr>
            <w:tcW w:type="dxa" w:w="1814"/>
          </w:tcPr>
          <w:p>
            <w:pPr>
              <w:jc w:val="center"/>
            </w:pPr>
            <w:r>
              <w:t>mBERT</w:t>
            </w:r>
          </w:p>
        </w:tc>
        <w:tc>
          <w:tcPr>
            <w:tcW w:type="dxa" w:w="964"/>
          </w:tcPr>
          <w:p>
            <w:pPr>
              <w:jc w:val="center"/>
            </w:pPr>
            <w:r>
              <w:t>0.6415</w:t>
            </w:r>
          </w:p>
        </w:tc>
        <w:tc>
          <w:tcPr>
            <w:tcW w:type="dxa" w:w="964"/>
          </w:tcPr>
          <w:p>
            <w:pPr>
              <w:jc w:val="center"/>
            </w:pPr>
            <w:r>
              <w:t>0.2282</w:t>
            </w:r>
          </w:p>
        </w:tc>
        <w:tc>
          <w:tcPr>
            <w:tcW w:type="dxa" w:w="1134"/>
          </w:tcPr>
          <w:p>
            <w:pPr>
              <w:jc w:val="center"/>
            </w:pPr>
            <w:r>
              <w:t>0.5541</w:t>
            </w:r>
          </w:p>
        </w:tc>
        <w:tc>
          <w:tcPr>
            <w:tcW w:type="dxa" w:w="1077"/>
          </w:tcPr>
          <w:p>
            <w:pPr>
              <w:jc w:val="center"/>
            </w:pPr>
            <w:r>
              <w:t>0.7752</w:t>
            </w:r>
          </w:p>
        </w:tc>
        <w:tc>
          <w:tcPr>
            <w:tcW w:type="dxa" w:w="1077"/>
          </w:tcPr>
          <w:p>
            <w:pPr>
              <w:jc w:val="center"/>
            </w:pPr>
            <w:r>
              <w:t>0.3001</w:t>
            </w:r>
          </w:p>
        </w:tc>
        <w:tc>
          <w:tcPr>
            <w:tcW w:type="dxa" w:w="1077"/>
          </w:tcPr>
          <w:p>
            <w:pPr>
              <w:jc w:val="center"/>
            </w:pPr>
            <w:r>
              <w:t>0.5471</w:t>
            </w:r>
          </w:p>
        </w:tc>
        <w:tc>
          <w:tcPr>
            <w:tcW w:type="dxa" w:w="1077"/>
          </w:tcPr>
          <w:p>
            <w:pPr>
              <w:jc w:val="center"/>
            </w:pPr>
            <w:r>
              <w:t>0.2141</w:t>
            </w:r>
          </w:p>
        </w:tc>
      </w:tr>
      <w:tr>
        <w:tc>
          <w:tcPr>
            <w:tcW w:type="dxa" w:w="1814"/>
          </w:tcPr>
          <w:p>
            <w:pPr>
              <w:jc w:val="center"/>
            </w:pPr>
            <w:r>
              <w:t>BiLSTM</w:t>
            </w:r>
          </w:p>
        </w:tc>
        <w:tc>
          <w:tcPr>
            <w:tcW w:type="dxa" w:w="964"/>
          </w:tcPr>
          <w:p>
            <w:pPr>
              <w:jc w:val="center"/>
            </w:pPr>
            <w:r>
              <w:t>0.5285</w:t>
            </w:r>
          </w:p>
        </w:tc>
        <w:tc>
          <w:tcPr>
            <w:tcW w:type="dxa" w:w="964"/>
          </w:tcPr>
          <w:p>
            <w:pPr>
              <w:jc w:val="center"/>
            </w:pPr>
            <w:r>
              <w:t>0.1533</w:t>
            </w:r>
          </w:p>
        </w:tc>
        <w:tc>
          <w:tcPr>
            <w:tcW w:type="dxa" w:w="1134"/>
          </w:tcPr>
          <w:p>
            <w:pPr>
              <w:jc w:val="center"/>
            </w:pPr>
            <w:r>
              <w:t>0.4852</w:t>
            </w:r>
          </w:p>
        </w:tc>
        <w:tc>
          <w:tcPr>
            <w:tcW w:type="dxa" w:w="1077"/>
          </w:tcPr>
          <w:p>
            <w:pPr>
              <w:jc w:val="center"/>
            </w:pPr>
            <w:r>
              <w:t>0.6690</w:t>
            </w:r>
          </w:p>
        </w:tc>
        <w:tc>
          <w:tcPr>
            <w:tcW w:type="dxa" w:w="1077"/>
          </w:tcPr>
          <w:p>
            <w:pPr>
              <w:jc w:val="center"/>
            </w:pPr>
            <w:r>
              <w:t>0.1686</w:t>
            </w:r>
          </w:p>
        </w:tc>
        <w:tc>
          <w:tcPr>
            <w:tcW w:type="dxa" w:w="1077"/>
          </w:tcPr>
          <w:p>
            <w:pPr>
              <w:jc w:val="center"/>
            </w:pPr>
            <w:r>
              <w:t>0.4368</w:t>
            </w:r>
          </w:p>
        </w:tc>
        <w:tc>
          <w:tcPr>
            <w:tcW w:type="dxa" w:w="1077"/>
          </w:tcPr>
          <w:p>
            <w:pPr>
              <w:jc w:val="center"/>
            </w:pPr>
            <w:r>
              <w:t>0.1509</w:t>
            </w:r>
          </w:p>
        </w:tc>
      </w:tr>
      <w:tr>
        <w:tc>
          <w:tcPr>
            <w:tcW w:type="dxa" w:w="1814"/>
          </w:tcPr>
          <w:p>
            <w:pPr>
              <w:jc w:val="center"/>
            </w:pPr>
            <w:r>
              <w:t>DistilBERTurk</w:t>
            </w:r>
          </w:p>
        </w:tc>
        <w:tc>
          <w:tcPr>
            <w:tcW w:type="dxa" w:w="964"/>
          </w:tcPr>
          <w:p>
            <w:pPr>
              <w:jc w:val="center"/>
            </w:pPr>
            <w:r>
              <w:t>0.5542</w:t>
            </w:r>
          </w:p>
        </w:tc>
        <w:tc>
          <w:tcPr>
            <w:tcW w:type="dxa" w:w="964"/>
          </w:tcPr>
          <w:p>
            <w:pPr>
              <w:jc w:val="center"/>
            </w:pPr>
            <w:r>
              <w:t>0.1295</w:t>
            </w:r>
          </w:p>
        </w:tc>
        <w:tc>
          <w:tcPr>
            <w:tcW w:type="dxa" w:w="1134"/>
          </w:tcPr>
          <w:p>
            <w:pPr>
              <w:jc w:val="center"/>
            </w:pPr>
            <w:r>
              <w:t>0.4230</w:t>
            </w:r>
          </w:p>
        </w:tc>
        <w:tc>
          <w:tcPr>
            <w:tcW w:type="dxa" w:w="1077"/>
          </w:tcPr>
          <w:p>
            <w:pPr>
              <w:jc w:val="center"/>
            </w:pPr>
            <w:r>
              <w:t>0.8035</w:t>
            </w:r>
          </w:p>
        </w:tc>
        <w:tc>
          <w:tcPr>
            <w:tcW w:type="dxa" w:w="1077"/>
          </w:tcPr>
          <w:p>
            <w:pPr>
              <w:jc w:val="center"/>
            </w:pPr>
            <w:r>
              <w:t>0.1231</w:t>
            </w:r>
          </w:p>
        </w:tc>
        <w:tc>
          <w:tcPr>
            <w:tcW w:type="dxa" w:w="1077"/>
          </w:tcPr>
          <w:p>
            <w:pPr>
              <w:jc w:val="center"/>
            </w:pPr>
            <w:r>
              <w:t>0.4230</w:t>
            </w:r>
          </w:p>
        </w:tc>
        <w:tc>
          <w:tcPr>
            <w:tcW w:type="dxa" w:w="1077"/>
          </w:tcPr>
          <w:p>
            <w:pPr>
              <w:jc w:val="center"/>
            </w:pPr>
            <w:r>
              <w:t>0.1366</w:t>
            </w:r>
          </w:p>
        </w:tc>
      </w:tr>
    </w:tbl>
    <w:p>
      <w:r>
        <w:rPr>
          <w:i/>
        </w:rPr>
        <w:t>Tablo: Test kümesi (n=305) üzerinde tüm modellerin karşılaştırmalı metrikleri, makro-F1'e göre azalan sırada.</w:t>
      </w:r>
    </w:p>
    <w:p>
      <w:pPr>
        <w:jc w:val="center"/>
      </w:pPr>
      <w:r>
        <w:drawing>
          <wp:inline xmlns:a="http://schemas.openxmlformats.org/drawingml/2006/main" xmlns:pic="http://schemas.openxmlformats.org/drawingml/2006/picture">
            <wp:extent cx="5400000" cy="3068182"/>
            <wp:docPr id="1" name="Picture 1"/>
            <wp:cNvGraphicFramePr>
              <a:graphicFrameLocks noChangeAspect="1"/>
            </wp:cNvGraphicFramePr>
            <a:graphic>
              <a:graphicData uri="http://schemas.openxmlformats.org/drawingml/2006/picture">
                <pic:pic>
                  <pic:nvPicPr>
                    <pic:cNvPr id="0" name="00_comparison_chart.png"/>
                    <pic:cNvPicPr/>
                  </pic:nvPicPr>
                  <pic:blipFill>
                    <a:blip r:embed="rId9"/>
                    <a:stretch>
                      <a:fillRect/>
                    </a:stretch>
                  </pic:blipFill>
                  <pic:spPr>
                    <a:xfrm>
                      <a:off x="0" y="0"/>
                      <a:ext cx="5400000" cy="3068182"/>
                    </a:xfrm>
                    <a:prstGeom prst="rect"/>
                  </pic:spPr>
                </pic:pic>
              </a:graphicData>
            </a:graphic>
          </wp:inline>
        </w:drawing>
      </w:r>
    </w:p>
    <w:p>
      <w:pPr>
        <w:jc w:val="center"/>
      </w:pPr>
      <w:r>
        <w:rPr>
          <w:i/>
          <w:sz w:val="18"/>
        </w:rPr>
        <w:t>Şekil 1: Model başına mikro-F1 ve makro-F1 karşılaştırması.</w:t>
      </w:r>
    </w:p>
    <w:p>
      <w:pPr>
        <w:pStyle w:val="Heading2"/>
      </w:pPr>
      <w:r>
        <w:t>5.1 Tartışma</w:t>
      </w:r>
    </w:p>
    <w:p>
      <w:r>
        <w:t>TF-IDF + Lojistik Regresyon modeli makro-F1 metriğinde en yüksek skoru elde etmiştir (0.5024), bu da alana özel Türkçe önceden eğitimin (domain-agnostic çok-dilli modellere kıyasla) küçük veri rejiminde bile avantaj sağladığını göstermektedir. Buna karşın, klasik TF-IDF tabanlı yöntemlerin makro-F1'de bazı transformer modellerini (ConvBERTurk, mBERT, DistilBERTurk) geride bırakması dikkat çekicidir; bu durum, ~1400 örnekten oluşan küçük eğitim kümesinin, milyonlarca parametreli transformer modellerinin azınlık sınıflar için yeterince genelleme yapmasına imkân tanımadığını, buna karşın basit doğrusal modellerin sınıf ağırlıklandırmasıyla (class_weight='balanced') nadir sınıflara daha duyarlı kalabildiğini düşündürmektedir.</w:t>
      </w:r>
    </w:p>
    <w:p>
      <w:pPr>
        <w:pStyle w:val="Heading2"/>
      </w:pPr>
      <w:r>
        <w:t>5.2 Sınıf Bazlı Analiz (En İyi Model: TF-IDF + Lojistik Regresyon)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835"/>
            <w:shd w:val="clear" w:color="auto" w:fill="4472C4"/>
          </w:tcPr>
          <w:p>
            <w:pPr>
              <w:jc w:val="center"/>
            </w:pPr>
            <w:r>
              <w:rPr>
                <w:b/>
              </w:rPr>
              <w:t>Kategori</w:t>
            </w:r>
          </w:p>
        </w:tc>
        <w:tc>
          <w:tcPr>
            <w:tcW w:type="dxa" w:w="1417"/>
            <w:shd w:val="clear" w:color="auto" w:fill="4472C4"/>
          </w:tcPr>
          <w:p>
            <w:pPr>
              <w:jc w:val="center"/>
            </w:pPr>
            <w:r>
              <w:rPr>
                <w:b/>
              </w:rPr>
              <w:t>Kesinlik</w:t>
            </w:r>
          </w:p>
        </w:tc>
        <w:tc>
          <w:tcPr>
            <w:tcW w:type="dxa" w:w="1417"/>
            <w:shd w:val="clear" w:color="auto" w:fill="4472C4"/>
          </w:tcPr>
          <w:p>
            <w:pPr>
              <w:jc w:val="center"/>
            </w:pPr>
            <w:r>
              <w:rPr>
                <w:b/>
              </w:rPr>
              <w:t>Duyarlılık</w:t>
            </w:r>
          </w:p>
        </w:tc>
        <w:tc>
          <w:tcPr>
            <w:tcW w:type="dxa" w:w="1417"/>
            <w:shd w:val="clear" w:color="auto" w:fill="4472C4"/>
          </w:tcPr>
          <w:p>
            <w:pPr>
              <w:jc w:val="center"/>
            </w:pPr>
            <w:r>
              <w:rPr>
                <w:b/>
              </w:rPr>
              <w:t>F1</w:t>
            </w:r>
          </w:p>
        </w:tc>
        <w:tc>
          <w:tcPr>
            <w:tcW w:type="dxa" w:w="1417"/>
            <w:shd w:val="clear" w:color="auto" w:fill="4472C4"/>
          </w:tcPr>
          <w:p>
            <w:pPr>
              <w:jc w:val="center"/>
            </w:pPr>
            <w:r>
              <w:rPr>
                <w:b/>
              </w:rPr>
              <w:t>Destek (n)</w:t>
            </w:r>
          </w:p>
        </w:tc>
      </w:tr>
      <w:tr>
        <w:tc>
          <w:tcPr>
            <w:tcW w:type="dxa" w:w="2835"/>
          </w:tcPr>
          <w:p>
            <w:pPr>
              <w:jc w:val="center"/>
            </w:pPr>
            <w:r>
              <w:t>Enkaz Kaldirma</w:t>
            </w:r>
          </w:p>
        </w:tc>
        <w:tc>
          <w:tcPr>
            <w:tcW w:type="dxa" w:w="1417"/>
          </w:tcPr>
          <w:p>
            <w:pPr>
              <w:jc w:val="center"/>
            </w:pPr>
            <w:r>
              <w:t>0.7785</w:t>
            </w:r>
          </w:p>
        </w:tc>
        <w:tc>
          <w:tcPr>
            <w:tcW w:type="dxa" w:w="1417"/>
          </w:tcPr>
          <w:p>
            <w:pPr>
              <w:jc w:val="center"/>
            </w:pPr>
            <w:r>
              <w:t>0.9535</w:t>
            </w:r>
          </w:p>
        </w:tc>
        <w:tc>
          <w:tcPr>
            <w:tcW w:type="dxa" w:w="1417"/>
          </w:tcPr>
          <w:p>
            <w:pPr>
              <w:jc w:val="center"/>
            </w:pPr>
            <w:r>
              <w:t>0.8571</w:t>
            </w:r>
          </w:p>
        </w:tc>
        <w:tc>
          <w:tcPr>
            <w:tcW w:type="dxa" w:w="1417"/>
          </w:tcPr>
          <w:p>
            <w:pPr>
              <w:jc w:val="center"/>
            </w:pPr>
            <w:r>
              <w:t>129</w:t>
            </w:r>
          </w:p>
        </w:tc>
      </w:tr>
      <w:tr>
        <w:tc>
          <w:tcPr>
            <w:tcW w:type="dxa" w:w="2835"/>
          </w:tcPr>
          <w:p>
            <w:pPr>
              <w:jc w:val="center"/>
            </w:pPr>
            <w:r>
              <w:t>Barınma</w:t>
            </w:r>
          </w:p>
        </w:tc>
        <w:tc>
          <w:tcPr>
            <w:tcW w:type="dxa" w:w="1417"/>
          </w:tcPr>
          <w:p>
            <w:pPr>
              <w:jc w:val="center"/>
            </w:pPr>
            <w:r>
              <w:t>0.8519</w:t>
            </w:r>
          </w:p>
        </w:tc>
        <w:tc>
          <w:tcPr>
            <w:tcW w:type="dxa" w:w="1417"/>
          </w:tcPr>
          <w:p>
            <w:pPr>
              <w:jc w:val="center"/>
            </w:pPr>
            <w:r>
              <w:t>0.8846</w:t>
            </w:r>
          </w:p>
        </w:tc>
        <w:tc>
          <w:tcPr>
            <w:tcW w:type="dxa" w:w="1417"/>
          </w:tcPr>
          <w:p>
            <w:pPr>
              <w:jc w:val="center"/>
            </w:pPr>
            <w:r>
              <w:t>0.8679</w:t>
            </w:r>
          </w:p>
        </w:tc>
        <w:tc>
          <w:tcPr>
            <w:tcW w:type="dxa" w:w="1417"/>
          </w:tcPr>
          <w:p>
            <w:pPr>
              <w:jc w:val="center"/>
            </w:pPr>
            <w:r>
              <w:t>78</w:t>
            </w:r>
          </w:p>
        </w:tc>
      </w:tr>
      <w:tr>
        <w:tc>
          <w:tcPr>
            <w:tcW w:type="dxa" w:w="2835"/>
          </w:tcPr>
          <w:p>
            <w:pPr>
              <w:jc w:val="center"/>
            </w:pPr>
            <w:r>
              <w:t>Alakasiz</w:t>
            </w:r>
          </w:p>
        </w:tc>
        <w:tc>
          <w:tcPr>
            <w:tcW w:type="dxa" w:w="1417"/>
          </w:tcPr>
          <w:p>
            <w:pPr>
              <w:jc w:val="center"/>
            </w:pPr>
            <w:r>
              <w:t>0.8163</w:t>
            </w:r>
          </w:p>
        </w:tc>
        <w:tc>
          <w:tcPr>
            <w:tcW w:type="dxa" w:w="1417"/>
          </w:tcPr>
          <w:p>
            <w:pPr>
              <w:jc w:val="center"/>
            </w:pPr>
            <w:r>
              <w:t>0.6557</w:t>
            </w:r>
          </w:p>
        </w:tc>
        <w:tc>
          <w:tcPr>
            <w:tcW w:type="dxa" w:w="1417"/>
          </w:tcPr>
          <w:p>
            <w:pPr>
              <w:jc w:val="center"/>
            </w:pPr>
            <w:r>
              <w:t>0.7273</w:t>
            </w:r>
          </w:p>
        </w:tc>
        <w:tc>
          <w:tcPr>
            <w:tcW w:type="dxa" w:w="1417"/>
          </w:tcPr>
          <w:p>
            <w:pPr>
              <w:jc w:val="center"/>
            </w:pPr>
            <w:r>
              <w:t>61</w:t>
            </w:r>
          </w:p>
        </w:tc>
      </w:tr>
      <w:tr>
        <w:tc>
          <w:tcPr>
            <w:tcW w:type="dxa" w:w="2835"/>
          </w:tcPr>
          <w:p>
            <w:pPr>
              <w:jc w:val="center"/>
            </w:pPr>
            <w:r>
              <w:t>Yemek</w:t>
            </w:r>
          </w:p>
        </w:tc>
        <w:tc>
          <w:tcPr>
            <w:tcW w:type="dxa" w:w="1417"/>
          </w:tcPr>
          <w:p>
            <w:pPr>
              <w:jc w:val="center"/>
            </w:pPr>
            <w:r>
              <w:t>0.7750</w:t>
            </w:r>
          </w:p>
        </w:tc>
        <w:tc>
          <w:tcPr>
            <w:tcW w:type="dxa" w:w="1417"/>
          </w:tcPr>
          <w:p>
            <w:pPr>
              <w:jc w:val="center"/>
            </w:pPr>
            <w:r>
              <w:t>0.7750</w:t>
            </w:r>
          </w:p>
        </w:tc>
        <w:tc>
          <w:tcPr>
            <w:tcW w:type="dxa" w:w="1417"/>
          </w:tcPr>
          <w:p>
            <w:pPr>
              <w:jc w:val="center"/>
            </w:pPr>
            <w:r>
              <w:t>0.7750</w:t>
            </w:r>
          </w:p>
        </w:tc>
        <w:tc>
          <w:tcPr>
            <w:tcW w:type="dxa" w:w="1417"/>
          </w:tcPr>
          <w:p>
            <w:pPr>
              <w:jc w:val="center"/>
            </w:pPr>
            <w:r>
              <w:t>40</w:t>
            </w:r>
          </w:p>
        </w:tc>
      </w:tr>
      <w:tr>
        <w:tc>
          <w:tcPr>
            <w:tcW w:type="dxa" w:w="2835"/>
          </w:tcPr>
          <w:p>
            <w:pPr>
              <w:jc w:val="center"/>
            </w:pPr>
            <w:r>
              <w:t>Isinma</w:t>
            </w:r>
          </w:p>
        </w:tc>
        <w:tc>
          <w:tcPr>
            <w:tcW w:type="dxa" w:w="1417"/>
          </w:tcPr>
          <w:p>
            <w:pPr>
              <w:jc w:val="center"/>
            </w:pPr>
            <w:r>
              <w:t>0.5610</w:t>
            </w:r>
          </w:p>
        </w:tc>
        <w:tc>
          <w:tcPr>
            <w:tcW w:type="dxa" w:w="1417"/>
          </w:tcPr>
          <w:p>
            <w:pPr>
              <w:jc w:val="center"/>
            </w:pPr>
            <w:r>
              <w:t>0.7667</w:t>
            </w:r>
          </w:p>
        </w:tc>
        <w:tc>
          <w:tcPr>
            <w:tcW w:type="dxa" w:w="1417"/>
          </w:tcPr>
          <w:p>
            <w:pPr>
              <w:jc w:val="center"/>
            </w:pPr>
            <w:r>
              <w:t>0.6479</w:t>
            </w:r>
          </w:p>
        </w:tc>
        <w:tc>
          <w:tcPr>
            <w:tcW w:type="dxa" w:w="1417"/>
          </w:tcPr>
          <w:p>
            <w:pPr>
              <w:jc w:val="center"/>
            </w:pPr>
            <w:r>
              <w:t>30</w:t>
            </w:r>
          </w:p>
        </w:tc>
      </w:tr>
      <w:tr>
        <w:tc>
          <w:tcPr>
            <w:tcW w:type="dxa" w:w="2835"/>
          </w:tcPr>
          <w:p>
            <w:pPr>
              <w:jc w:val="center"/>
            </w:pPr>
            <w:r>
              <w:t>Giysi</w:t>
            </w:r>
          </w:p>
        </w:tc>
        <w:tc>
          <w:tcPr>
            <w:tcW w:type="dxa" w:w="1417"/>
          </w:tcPr>
          <w:p>
            <w:pPr>
              <w:jc w:val="center"/>
            </w:pPr>
            <w:r>
              <w:t>0.7143</w:t>
            </w:r>
          </w:p>
        </w:tc>
        <w:tc>
          <w:tcPr>
            <w:tcW w:type="dxa" w:w="1417"/>
          </w:tcPr>
          <w:p>
            <w:pPr>
              <w:jc w:val="center"/>
            </w:pPr>
            <w:r>
              <w:t>0.6522</w:t>
            </w:r>
          </w:p>
        </w:tc>
        <w:tc>
          <w:tcPr>
            <w:tcW w:type="dxa" w:w="1417"/>
          </w:tcPr>
          <w:p>
            <w:pPr>
              <w:jc w:val="center"/>
            </w:pPr>
            <w:r>
              <w:t>0.6818</w:t>
            </w:r>
          </w:p>
        </w:tc>
        <w:tc>
          <w:tcPr>
            <w:tcW w:type="dxa" w:w="1417"/>
          </w:tcPr>
          <w:p>
            <w:pPr>
              <w:jc w:val="center"/>
            </w:pPr>
            <w:r>
              <w:t>23</w:t>
            </w:r>
          </w:p>
        </w:tc>
      </w:tr>
      <w:tr>
        <w:tc>
          <w:tcPr>
            <w:tcW w:type="dxa" w:w="2835"/>
          </w:tcPr>
          <w:p>
            <w:pPr>
              <w:jc w:val="center"/>
            </w:pPr>
            <w:r>
              <w:t>Arama Ekipmani</w:t>
            </w:r>
          </w:p>
        </w:tc>
        <w:tc>
          <w:tcPr>
            <w:tcW w:type="dxa" w:w="1417"/>
          </w:tcPr>
          <w:p>
            <w:pPr>
              <w:jc w:val="center"/>
            </w:pPr>
            <w:r>
              <w:t>0.6667</w:t>
            </w:r>
          </w:p>
        </w:tc>
        <w:tc>
          <w:tcPr>
            <w:tcW w:type="dxa" w:w="1417"/>
          </w:tcPr>
          <w:p>
            <w:pPr>
              <w:jc w:val="center"/>
            </w:pPr>
            <w:r>
              <w:t>0.5263</w:t>
            </w:r>
          </w:p>
        </w:tc>
        <w:tc>
          <w:tcPr>
            <w:tcW w:type="dxa" w:w="1417"/>
          </w:tcPr>
          <w:p>
            <w:pPr>
              <w:jc w:val="center"/>
            </w:pPr>
            <w:r>
              <w:t>0.5882</w:t>
            </w:r>
          </w:p>
        </w:tc>
        <w:tc>
          <w:tcPr>
            <w:tcW w:type="dxa" w:w="1417"/>
          </w:tcPr>
          <w:p>
            <w:pPr>
              <w:jc w:val="center"/>
            </w:pPr>
            <w:r>
              <w:t>19</w:t>
            </w:r>
          </w:p>
        </w:tc>
      </w:tr>
      <w:tr>
        <w:tc>
          <w:tcPr>
            <w:tcW w:type="dxa" w:w="2835"/>
          </w:tcPr>
          <w:p>
            <w:pPr>
              <w:jc w:val="center"/>
            </w:pPr>
            <w:r>
              <w:t>Saglik</w:t>
            </w:r>
          </w:p>
        </w:tc>
        <w:tc>
          <w:tcPr>
            <w:tcW w:type="dxa" w:w="1417"/>
          </w:tcPr>
          <w:p>
            <w:pPr>
              <w:jc w:val="center"/>
            </w:pPr>
            <w:r>
              <w:t>0.6250</w:t>
            </w:r>
          </w:p>
        </w:tc>
        <w:tc>
          <w:tcPr>
            <w:tcW w:type="dxa" w:w="1417"/>
          </w:tcPr>
          <w:p>
            <w:pPr>
              <w:jc w:val="center"/>
            </w:pPr>
            <w:r>
              <w:t>0.5882</w:t>
            </w:r>
          </w:p>
        </w:tc>
        <w:tc>
          <w:tcPr>
            <w:tcW w:type="dxa" w:w="1417"/>
          </w:tcPr>
          <w:p>
            <w:pPr>
              <w:jc w:val="center"/>
            </w:pPr>
            <w:r>
              <w:t>0.6061</w:t>
            </w:r>
          </w:p>
        </w:tc>
        <w:tc>
          <w:tcPr>
            <w:tcW w:type="dxa" w:w="1417"/>
          </w:tcPr>
          <w:p>
            <w:pPr>
              <w:jc w:val="center"/>
            </w:pPr>
            <w:r>
              <w:t>17</w:t>
            </w:r>
          </w:p>
        </w:tc>
      </w:tr>
      <w:tr>
        <w:tc>
          <w:tcPr>
            <w:tcW w:type="dxa" w:w="2835"/>
          </w:tcPr>
          <w:p>
            <w:pPr>
              <w:jc w:val="center"/>
            </w:pPr>
            <w:r>
              <w:t>Su</w:t>
            </w:r>
          </w:p>
        </w:tc>
        <w:tc>
          <w:tcPr>
            <w:tcW w:type="dxa" w:w="1417"/>
          </w:tcPr>
          <w:p>
            <w:pPr>
              <w:jc w:val="center"/>
            </w:pPr>
            <w:r>
              <w:t>0.8750</w:t>
            </w:r>
          </w:p>
        </w:tc>
        <w:tc>
          <w:tcPr>
            <w:tcW w:type="dxa" w:w="1417"/>
          </w:tcPr>
          <w:p>
            <w:pPr>
              <w:jc w:val="center"/>
            </w:pPr>
            <w:r>
              <w:t>0.5000</w:t>
            </w:r>
          </w:p>
        </w:tc>
        <w:tc>
          <w:tcPr>
            <w:tcW w:type="dxa" w:w="1417"/>
          </w:tcPr>
          <w:p>
            <w:pPr>
              <w:jc w:val="center"/>
            </w:pPr>
            <w:r>
              <w:t>0.6364</w:t>
            </w:r>
          </w:p>
        </w:tc>
        <w:tc>
          <w:tcPr>
            <w:tcW w:type="dxa" w:w="1417"/>
          </w:tcPr>
          <w:p>
            <w:pPr>
              <w:jc w:val="center"/>
            </w:pPr>
            <w:r>
              <w:t>14</w:t>
            </w:r>
          </w:p>
        </w:tc>
      </w:tr>
      <w:tr>
        <w:tc>
          <w:tcPr>
            <w:tcW w:type="dxa" w:w="2835"/>
          </w:tcPr>
          <w:p>
            <w:pPr>
              <w:jc w:val="center"/>
            </w:pPr>
            <w:r>
              <w:t>Elektrik Kaynagi</w:t>
            </w:r>
          </w:p>
        </w:tc>
        <w:tc>
          <w:tcPr>
            <w:tcW w:type="dxa" w:w="1417"/>
          </w:tcPr>
          <w:p>
            <w:pPr>
              <w:jc w:val="center"/>
            </w:pPr>
            <w:r>
              <w:t>0.5000</w:t>
            </w:r>
          </w:p>
        </w:tc>
        <w:tc>
          <w:tcPr>
            <w:tcW w:type="dxa" w:w="1417"/>
          </w:tcPr>
          <w:p>
            <w:pPr>
              <w:jc w:val="center"/>
            </w:pPr>
            <w:r>
              <w:t>0.0833</w:t>
            </w:r>
          </w:p>
        </w:tc>
        <w:tc>
          <w:tcPr>
            <w:tcW w:type="dxa" w:w="1417"/>
          </w:tcPr>
          <w:p>
            <w:pPr>
              <w:jc w:val="center"/>
            </w:pPr>
            <w:r>
              <w:t>0.1429</w:t>
            </w:r>
          </w:p>
        </w:tc>
        <w:tc>
          <w:tcPr>
            <w:tcW w:type="dxa" w:w="1417"/>
          </w:tcPr>
          <w:p>
            <w:pPr>
              <w:jc w:val="center"/>
            </w:pPr>
            <w:r>
              <w:t>12</w:t>
            </w:r>
          </w:p>
        </w:tc>
      </w:tr>
      <w:tr>
        <w:tc>
          <w:tcPr>
            <w:tcW w:type="dxa" w:w="2835"/>
          </w:tcPr>
          <w:p>
            <w:pPr>
              <w:jc w:val="center"/>
            </w:pPr>
            <w:r>
              <w:t>Lojistik</w:t>
            </w:r>
          </w:p>
        </w:tc>
        <w:tc>
          <w:tcPr>
            <w:tcW w:type="dxa" w:w="1417"/>
          </w:tcPr>
          <w:p>
            <w:pPr>
              <w:jc w:val="center"/>
            </w:pPr>
            <w:r>
              <w:t>0.0000</w:t>
            </w:r>
          </w:p>
        </w:tc>
        <w:tc>
          <w:tcPr>
            <w:tcW w:type="dxa" w:w="1417"/>
          </w:tcPr>
          <w:p>
            <w:pPr>
              <w:jc w:val="center"/>
            </w:pPr>
            <w:r>
              <w:t>0.0000</w:t>
            </w:r>
          </w:p>
        </w:tc>
        <w:tc>
          <w:tcPr>
            <w:tcW w:type="dxa" w:w="1417"/>
          </w:tcPr>
          <w:p>
            <w:pPr>
              <w:jc w:val="center"/>
            </w:pPr>
            <w:r>
              <w:t>0.0000</w:t>
            </w:r>
          </w:p>
        </w:tc>
        <w:tc>
          <w:tcPr>
            <w:tcW w:type="dxa" w:w="1417"/>
          </w:tcPr>
          <w:p>
            <w:pPr>
              <w:jc w:val="center"/>
            </w:pPr>
            <w:r>
              <w:t>6</w:t>
            </w:r>
          </w:p>
        </w:tc>
      </w:tr>
      <w:tr>
        <w:tc>
          <w:tcPr>
            <w:tcW w:type="dxa" w:w="2835"/>
          </w:tcPr>
          <w:p>
            <w:pPr>
              <w:jc w:val="center"/>
            </w:pPr>
            <w:r>
              <w:t>Tuvalet</w:t>
            </w:r>
          </w:p>
        </w:tc>
        <w:tc>
          <w:tcPr>
            <w:tcW w:type="dxa" w:w="1417"/>
          </w:tcPr>
          <w:p>
            <w:pPr>
              <w:jc w:val="center"/>
            </w:pPr>
            <w:r>
              <w:t>0.0000</w:t>
            </w:r>
          </w:p>
        </w:tc>
        <w:tc>
          <w:tcPr>
            <w:tcW w:type="dxa" w:w="1417"/>
          </w:tcPr>
          <w:p>
            <w:pPr>
              <w:jc w:val="center"/>
            </w:pPr>
            <w:r>
              <w:t>0.0000</w:t>
            </w:r>
          </w:p>
        </w:tc>
        <w:tc>
          <w:tcPr>
            <w:tcW w:type="dxa" w:w="1417"/>
          </w:tcPr>
          <w:p>
            <w:pPr>
              <w:jc w:val="center"/>
            </w:pPr>
            <w:r>
              <w:t>0.0000</w:t>
            </w:r>
          </w:p>
        </w:tc>
        <w:tc>
          <w:tcPr>
            <w:tcW w:type="dxa" w:w="1417"/>
          </w:tcPr>
          <w:p>
            <w:pPr>
              <w:jc w:val="center"/>
            </w:pPr>
            <w:r>
              <w:t>5</w:t>
            </w:r>
          </w:p>
        </w:tc>
      </w:tr>
      <w:tr>
        <w:tc>
          <w:tcPr>
            <w:tcW w:type="dxa" w:w="2835"/>
          </w:tcPr>
          <w:p>
            <w:pPr>
              <w:jc w:val="center"/>
            </w:pPr>
            <w:r>
              <w:t>Cenaze</w:t>
            </w:r>
          </w:p>
        </w:tc>
        <w:tc>
          <w:tcPr>
            <w:tcW w:type="dxa" w:w="1417"/>
          </w:tcPr>
          <w:p>
            <w:pPr>
              <w:jc w:val="center"/>
            </w:pPr>
            <w:r>
              <w:t>0.0000</w:t>
            </w:r>
          </w:p>
        </w:tc>
        <w:tc>
          <w:tcPr>
            <w:tcW w:type="dxa" w:w="1417"/>
          </w:tcPr>
          <w:p>
            <w:pPr>
              <w:jc w:val="center"/>
            </w:pPr>
            <w:r>
              <w:t>0.0000</w:t>
            </w:r>
          </w:p>
        </w:tc>
        <w:tc>
          <w:tcPr>
            <w:tcW w:type="dxa" w:w="1417"/>
          </w:tcPr>
          <w:p>
            <w:pPr>
              <w:jc w:val="center"/>
            </w:pPr>
            <w:r>
              <w:t>0.0000</w:t>
            </w:r>
          </w:p>
        </w:tc>
        <w:tc>
          <w:tcPr>
            <w:tcW w:type="dxa" w:w="1417"/>
          </w:tcPr>
          <w:p>
            <w:pPr>
              <w:jc w:val="center"/>
            </w:pPr>
            <w:r>
              <w:t>1</w:t>
            </w:r>
          </w:p>
        </w:tc>
      </w:tr>
    </w:tbl>
    <w:p>
      <w:pPr>
        <w:jc w:val="center"/>
      </w:pPr>
      <w:r>
        <w:drawing>
          <wp:inline xmlns:a="http://schemas.openxmlformats.org/drawingml/2006/main" xmlns:pic="http://schemas.openxmlformats.org/drawingml/2006/picture">
            <wp:extent cx="4680000" cy="3039771"/>
            <wp:docPr id="2" name="Picture 2"/>
            <wp:cNvGraphicFramePr>
              <a:graphicFrameLocks noChangeAspect="1"/>
            </wp:cNvGraphicFramePr>
            <a:graphic>
              <a:graphicData uri="http://schemas.openxmlformats.org/drawingml/2006/picture">
                <pic:pic>
                  <pic:nvPicPr>
                    <pic:cNvPr id="0" name="berturk_per_class.png"/>
                    <pic:cNvPicPr/>
                  </pic:nvPicPr>
                  <pic:blipFill>
                    <a:blip r:embed="rId10"/>
                    <a:stretch>
                      <a:fillRect/>
                    </a:stretch>
                  </pic:blipFill>
                  <pic:spPr>
                    <a:xfrm>
                      <a:off x="0" y="0"/>
                      <a:ext cx="4680000" cy="3039771"/>
                    </a:xfrm>
                    <a:prstGeom prst="rect"/>
                  </pic:spPr>
                </pic:pic>
              </a:graphicData>
            </a:graphic>
          </wp:inline>
        </w:drawing>
      </w:r>
    </w:p>
    <w:p>
      <w:pPr>
        <w:jc w:val="center"/>
      </w:pPr>
      <w:r>
        <w:rPr>
          <w:i/>
          <w:sz w:val="18"/>
        </w:rPr>
        <w:t>Şekil: BERTurk — sınıf bazlı F1 skorları.</w:t>
      </w:r>
    </w:p>
    <w:p>
      <w:pPr>
        <w:jc w:val="center"/>
      </w:pPr>
      <w:r>
        <w:drawing>
          <wp:inline xmlns:a="http://schemas.openxmlformats.org/drawingml/2006/main" xmlns:pic="http://schemas.openxmlformats.org/drawingml/2006/picture">
            <wp:extent cx="4680000" cy="3039771"/>
            <wp:docPr id="3" name="Picture 3"/>
            <wp:cNvGraphicFramePr>
              <a:graphicFrameLocks noChangeAspect="1"/>
            </wp:cNvGraphicFramePr>
            <a:graphic>
              <a:graphicData uri="http://schemas.openxmlformats.org/drawingml/2006/picture">
                <pic:pic>
                  <pic:nvPicPr>
                    <pic:cNvPr id="0" name="tfidf_logreg_per_class.png"/>
                    <pic:cNvPicPr/>
                  </pic:nvPicPr>
                  <pic:blipFill>
                    <a:blip r:embed="rId11"/>
                    <a:stretch>
                      <a:fillRect/>
                    </a:stretch>
                  </pic:blipFill>
                  <pic:spPr>
                    <a:xfrm>
                      <a:off x="0" y="0"/>
                      <a:ext cx="4680000" cy="3039771"/>
                    </a:xfrm>
                    <a:prstGeom prst="rect"/>
                  </pic:spPr>
                </pic:pic>
              </a:graphicData>
            </a:graphic>
          </wp:inline>
        </w:drawing>
      </w:r>
    </w:p>
    <w:p>
      <w:pPr>
        <w:jc w:val="center"/>
      </w:pPr>
      <w:r>
        <w:rPr>
          <w:i/>
          <w:sz w:val="18"/>
        </w:rPr>
        <w:t>Şekil: TF-IDF + Lojistik Regresyon — sınıf bazlı F1 skorları.</w:t>
      </w:r>
    </w:p>
    <w:p>
      <w:pPr>
        <w:pStyle w:val="Heading2"/>
      </w:pPr>
      <w:r>
        <w:t>5.3 Eğitim Eğrileri</w:t>
      </w:r>
    </w:p>
    <w:p>
      <w:r>
        <w:t>Aşağıdaki grafikler, epoch bazlı eğitim kaybı ve doğrulama F1 skorlarının seyrini göstermektedir. Transformer modelleri 4 epoch, BiLSTM 15 epoch eğitilmiştir; erken durdurma uygulanmamış, en iyi doğrulama mikro-F1'ine sahip kontrol noktası nihai değerlendirme için kullanılmıştır.</w:t>
      </w:r>
    </w:p>
    <w:p>
      <w:pPr>
        <w:jc w:val="center"/>
      </w:pPr>
      <w:r>
        <w:drawing>
          <wp:inline xmlns:a="http://schemas.openxmlformats.org/drawingml/2006/main" xmlns:pic="http://schemas.openxmlformats.org/drawingml/2006/picture">
            <wp:extent cx="5400000" cy="1963636"/>
            <wp:docPr id="4" name="Picture 4"/>
            <wp:cNvGraphicFramePr>
              <a:graphicFrameLocks noChangeAspect="1"/>
            </wp:cNvGraphicFramePr>
            <a:graphic>
              <a:graphicData uri="http://schemas.openxmlformats.org/drawingml/2006/picture">
                <pic:pic>
                  <pic:nvPicPr>
                    <pic:cNvPr id="0" name="berturk_curve.png"/>
                    <pic:cNvPicPr/>
                  </pic:nvPicPr>
                  <pic:blipFill>
                    <a:blip r:embed="rId12"/>
                    <a:stretch>
                      <a:fillRect/>
                    </a:stretch>
                  </pic:blipFill>
                  <pic:spPr>
                    <a:xfrm>
                      <a:off x="0" y="0"/>
                      <a:ext cx="5400000" cy="1963636"/>
                    </a:xfrm>
                    <a:prstGeom prst="rect"/>
                  </pic:spPr>
                </pic:pic>
              </a:graphicData>
            </a:graphic>
          </wp:inline>
        </w:drawing>
      </w:r>
    </w:p>
    <w:p>
      <w:pPr>
        <w:jc w:val="center"/>
      </w:pPr>
      <w:r>
        <w:rPr>
          <w:i/>
          <w:sz w:val="18"/>
        </w:rPr>
        <w:t>Şekil: BERTurk — eğitim/doğrulama eğrisi.</w:t>
      </w:r>
    </w:p>
    <w:p>
      <w:pPr>
        <w:jc w:val="center"/>
      </w:pPr>
      <w:r>
        <w:drawing>
          <wp:inline xmlns:a="http://schemas.openxmlformats.org/drawingml/2006/main" xmlns:pic="http://schemas.openxmlformats.org/drawingml/2006/picture">
            <wp:extent cx="5400000" cy="1963636"/>
            <wp:docPr id="5" name="Picture 5"/>
            <wp:cNvGraphicFramePr>
              <a:graphicFrameLocks noChangeAspect="1"/>
            </wp:cNvGraphicFramePr>
            <a:graphic>
              <a:graphicData uri="http://schemas.openxmlformats.org/drawingml/2006/picture">
                <pic:pic>
                  <pic:nvPicPr>
                    <pic:cNvPr id="0" name="distilberturk_curve.png"/>
                    <pic:cNvPicPr/>
                  </pic:nvPicPr>
                  <pic:blipFill>
                    <a:blip r:embed="rId13"/>
                    <a:stretch>
                      <a:fillRect/>
                    </a:stretch>
                  </pic:blipFill>
                  <pic:spPr>
                    <a:xfrm>
                      <a:off x="0" y="0"/>
                      <a:ext cx="5400000" cy="1963636"/>
                    </a:xfrm>
                    <a:prstGeom prst="rect"/>
                  </pic:spPr>
                </pic:pic>
              </a:graphicData>
            </a:graphic>
          </wp:inline>
        </w:drawing>
      </w:r>
    </w:p>
    <w:p>
      <w:pPr>
        <w:jc w:val="center"/>
      </w:pPr>
      <w:r>
        <w:rPr>
          <w:i/>
          <w:sz w:val="18"/>
        </w:rPr>
        <w:t>Şekil: DistilBERTurk — eğitim/doğrulama eğrisi.</w:t>
      </w:r>
    </w:p>
    <w:p>
      <w:pPr>
        <w:jc w:val="center"/>
      </w:pPr>
      <w:r>
        <w:drawing>
          <wp:inline xmlns:a="http://schemas.openxmlformats.org/drawingml/2006/main" xmlns:pic="http://schemas.openxmlformats.org/drawingml/2006/picture">
            <wp:extent cx="5400000" cy="1963636"/>
            <wp:docPr id="6" name="Picture 6"/>
            <wp:cNvGraphicFramePr>
              <a:graphicFrameLocks noChangeAspect="1"/>
            </wp:cNvGraphicFramePr>
            <a:graphic>
              <a:graphicData uri="http://schemas.openxmlformats.org/drawingml/2006/picture">
                <pic:pic>
                  <pic:nvPicPr>
                    <pic:cNvPr id="0" name="convberturk_curve.png"/>
                    <pic:cNvPicPr/>
                  </pic:nvPicPr>
                  <pic:blipFill>
                    <a:blip r:embed="rId14"/>
                    <a:stretch>
                      <a:fillRect/>
                    </a:stretch>
                  </pic:blipFill>
                  <pic:spPr>
                    <a:xfrm>
                      <a:off x="0" y="0"/>
                      <a:ext cx="5400000" cy="1963636"/>
                    </a:xfrm>
                    <a:prstGeom prst="rect"/>
                  </pic:spPr>
                </pic:pic>
              </a:graphicData>
            </a:graphic>
          </wp:inline>
        </w:drawing>
      </w:r>
    </w:p>
    <w:p>
      <w:pPr>
        <w:jc w:val="center"/>
      </w:pPr>
      <w:r>
        <w:rPr>
          <w:i/>
          <w:sz w:val="18"/>
        </w:rPr>
        <w:t>Şekil: ConvBERTurk — eğitim/doğrulama eğrisi.</w:t>
      </w:r>
    </w:p>
    <w:p>
      <w:pPr>
        <w:jc w:val="center"/>
      </w:pPr>
      <w:r>
        <w:drawing>
          <wp:inline xmlns:a="http://schemas.openxmlformats.org/drawingml/2006/main" xmlns:pic="http://schemas.openxmlformats.org/drawingml/2006/picture">
            <wp:extent cx="5400000" cy="1963636"/>
            <wp:docPr id="7" name="Picture 7"/>
            <wp:cNvGraphicFramePr>
              <a:graphicFrameLocks noChangeAspect="1"/>
            </wp:cNvGraphicFramePr>
            <a:graphic>
              <a:graphicData uri="http://schemas.openxmlformats.org/drawingml/2006/picture">
                <pic:pic>
                  <pic:nvPicPr>
                    <pic:cNvPr id="0" name="mbert_curve.png"/>
                    <pic:cNvPicPr/>
                  </pic:nvPicPr>
                  <pic:blipFill>
                    <a:blip r:embed="rId15"/>
                    <a:stretch>
                      <a:fillRect/>
                    </a:stretch>
                  </pic:blipFill>
                  <pic:spPr>
                    <a:xfrm>
                      <a:off x="0" y="0"/>
                      <a:ext cx="5400000" cy="1963636"/>
                    </a:xfrm>
                    <a:prstGeom prst="rect"/>
                  </pic:spPr>
                </pic:pic>
              </a:graphicData>
            </a:graphic>
          </wp:inline>
        </w:drawing>
      </w:r>
    </w:p>
    <w:p>
      <w:pPr>
        <w:jc w:val="center"/>
      </w:pPr>
      <w:r>
        <w:rPr>
          <w:i/>
          <w:sz w:val="18"/>
        </w:rPr>
        <w:t>Şekil: mBERT — eğitim/doğrulama eğrisi.</w:t>
      </w:r>
    </w:p>
    <w:p>
      <w:pPr>
        <w:jc w:val="center"/>
      </w:pPr>
      <w:r>
        <w:drawing>
          <wp:inline xmlns:a="http://schemas.openxmlformats.org/drawingml/2006/main" xmlns:pic="http://schemas.openxmlformats.org/drawingml/2006/picture">
            <wp:extent cx="5400000" cy="1963636"/>
            <wp:docPr id="8" name="Picture 8"/>
            <wp:cNvGraphicFramePr>
              <a:graphicFrameLocks noChangeAspect="1"/>
            </wp:cNvGraphicFramePr>
            <a:graphic>
              <a:graphicData uri="http://schemas.openxmlformats.org/drawingml/2006/picture">
                <pic:pic>
                  <pic:nvPicPr>
                    <pic:cNvPr id="0" name="bilstm_fasttext_curve.png"/>
                    <pic:cNvPicPr/>
                  </pic:nvPicPr>
                  <pic:blipFill>
                    <a:blip r:embed="rId16"/>
                    <a:stretch>
                      <a:fillRect/>
                    </a:stretch>
                  </pic:blipFill>
                  <pic:spPr>
                    <a:xfrm>
                      <a:off x="0" y="0"/>
                      <a:ext cx="5400000" cy="1963636"/>
                    </a:xfrm>
                    <a:prstGeom prst="rect"/>
                  </pic:spPr>
                </pic:pic>
              </a:graphicData>
            </a:graphic>
          </wp:inline>
        </w:drawing>
      </w:r>
    </w:p>
    <w:p>
      <w:pPr>
        <w:jc w:val="center"/>
      </w:pPr>
      <w:r>
        <w:rPr>
          <w:i/>
          <w:sz w:val="18"/>
        </w:rPr>
        <w:t>Şekil: BiLSTM — eğitim/doğrulama eğrisi.</w:t>
      </w:r>
    </w:p>
    <w:p>
      <w:pPr>
        <w:pStyle w:val="Heading1"/>
      </w:pPr>
      <w:r>
        <w:t>6. Hesaplama Maliyeti</w:t>
      </w:r>
    </w:p>
    <w:tbl>
      <w:tblPr>
        <w:tblStyle w:val="LightGrid-Accent1"/>
        <w:tblW w:type="auto" w:w="0"/>
        <w:jc w:val="center"/>
        <w:tblLook w:firstColumn="1" w:firstRow="1" w:lastColumn="0" w:lastRow="0" w:noHBand="0" w:noVBand="1" w:val="04A0"/>
      </w:tblPr>
      <w:tblGrid>
        <w:gridCol w:w="4320"/>
        <w:gridCol w:w="4320"/>
      </w:tblGrid>
      <w:tr>
        <w:tc>
          <w:tcPr>
            <w:tcW w:type="dxa" w:w="3402"/>
            <w:shd w:val="clear" w:color="auto" w:fill="4472C4"/>
          </w:tcPr>
          <w:p>
            <w:pPr>
              <w:jc w:val="center"/>
            </w:pPr>
            <w:r>
              <w:rPr>
                <w:b/>
              </w:rPr>
              <w:t>Model</w:t>
            </w:r>
          </w:p>
        </w:tc>
        <w:tc>
          <w:tcPr>
            <w:tcW w:type="dxa" w:w="2268"/>
            <w:shd w:val="clear" w:color="auto" w:fill="4472C4"/>
          </w:tcPr>
          <w:p>
            <w:pPr>
              <w:jc w:val="center"/>
            </w:pPr>
            <w:r>
              <w:rPr>
                <w:b/>
              </w:rPr>
              <w:t>Eğitim Süresi (CPU)</w:t>
            </w:r>
          </w:p>
        </w:tc>
      </w:tr>
      <w:tr>
        <w:tc>
          <w:tcPr>
            <w:tcW w:type="dxa" w:w="3402"/>
          </w:tcPr>
          <w:p>
            <w:pPr>
              <w:jc w:val="center"/>
            </w:pPr>
            <w:r>
              <w:t>TF-IDF + Lojistik Regresyon</w:t>
            </w:r>
          </w:p>
        </w:tc>
        <w:tc>
          <w:tcPr>
            <w:tcW w:type="dxa" w:w="2268"/>
          </w:tcPr>
          <w:p>
            <w:pPr>
              <w:jc w:val="center"/>
            </w:pPr>
            <w:r>
              <w:t>0.17 sn</w:t>
            </w:r>
          </w:p>
        </w:tc>
      </w:tr>
      <w:tr>
        <w:tc>
          <w:tcPr>
            <w:tcW w:type="dxa" w:w="3402"/>
          </w:tcPr>
          <w:p>
            <w:pPr>
              <w:jc w:val="center"/>
            </w:pPr>
            <w:r>
              <w:t>TF-IDF + Lineer SVM</w:t>
            </w:r>
          </w:p>
        </w:tc>
        <w:tc>
          <w:tcPr>
            <w:tcW w:type="dxa" w:w="2268"/>
          </w:tcPr>
          <w:p>
            <w:pPr>
              <w:jc w:val="center"/>
            </w:pPr>
            <w:r>
              <w:t>0.12 sn</w:t>
            </w:r>
          </w:p>
        </w:tc>
      </w:tr>
      <w:tr>
        <w:tc>
          <w:tcPr>
            <w:tcW w:type="dxa" w:w="3402"/>
          </w:tcPr>
          <w:p>
            <w:pPr>
              <w:jc w:val="center"/>
            </w:pPr>
            <w:r>
              <w:t>FastText</w:t>
            </w:r>
          </w:p>
        </w:tc>
        <w:tc>
          <w:tcPr>
            <w:tcW w:type="dxa" w:w="2268"/>
          </w:tcPr>
          <w:p>
            <w:pPr>
              <w:jc w:val="center"/>
            </w:pPr>
            <w:r>
              <w:t>1.08 sn</w:t>
            </w:r>
          </w:p>
        </w:tc>
      </w:tr>
      <w:tr>
        <w:tc>
          <w:tcPr>
            <w:tcW w:type="dxa" w:w="3402"/>
          </w:tcPr>
          <w:p>
            <w:pPr>
              <w:jc w:val="center"/>
            </w:pPr>
            <w:r>
              <w:t>BERTurk</w:t>
            </w:r>
          </w:p>
        </w:tc>
        <w:tc>
          <w:tcPr>
            <w:tcW w:type="dxa" w:w="2268"/>
          </w:tcPr>
          <w:p>
            <w:pPr>
              <w:jc w:val="center"/>
            </w:pPr>
            <w:r>
              <w:t>32.9 dk</w:t>
            </w:r>
          </w:p>
        </w:tc>
      </w:tr>
      <w:tr>
        <w:tc>
          <w:tcPr>
            <w:tcW w:type="dxa" w:w="3402"/>
          </w:tcPr>
          <w:p>
            <w:pPr>
              <w:jc w:val="center"/>
            </w:pPr>
            <w:r>
              <w:t>DistilBERTurk</w:t>
            </w:r>
          </w:p>
        </w:tc>
        <w:tc>
          <w:tcPr>
            <w:tcW w:type="dxa" w:w="2268"/>
          </w:tcPr>
          <w:p>
            <w:pPr>
              <w:jc w:val="center"/>
            </w:pPr>
            <w:r>
              <w:t>15.3 dk</w:t>
            </w:r>
          </w:p>
        </w:tc>
      </w:tr>
      <w:tr>
        <w:tc>
          <w:tcPr>
            <w:tcW w:type="dxa" w:w="3402"/>
          </w:tcPr>
          <w:p>
            <w:pPr>
              <w:jc w:val="center"/>
            </w:pPr>
            <w:r>
              <w:t>ConvBERTurk</w:t>
            </w:r>
          </w:p>
        </w:tc>
        <w:tc>
          <w:tcPr>
            <w:tcW w:type="dxa" w:w="2268"/>
          </w:tcPr>
          <w:p>
            <w:pPr>
              <w:jc w:val="center"/>
            </w:pPr>
            <w:r>
              <w:t>38.0 dk</w:t>
            </w:r>
          </w:p>
        </w:tc>
      </w:tr>
      <w:tr>
        <w:tc>
          <w:tcPr>
            <w:tcW w:type="dxa" w:w="3402"/>
          </w:tcPr>
          <w:p>
            <w:pPr>
              <w:jc w:val="center"/>
            </w:pPr>
            <w:r>
              <w:t>mBERT</w:t>
            </w:r>
          </w:p>
        </w:tc>
        <w:tc>
          <w:tcPr>
            <w:tcW w:type="dxa" w:w="2268"/>
          </w:tcPr>
          <w:p>
            <w:pPr>
              <w:jc w:val="center"/>
            </w:pPr>
            <w:r>
              <w:t>35.6 dk</w:t>
            </w:r>
          </w:p>
        </w:tc>
      </w:tr>
    </w:tbl>
    <w:p>
      <w:r>
        <w:t>Tüm eğitimler CPU üzerinde (CUDA/GPU hızlandırma olmadan) gerçekleştirilmiştir; bu nedenle mutlak süreler GPU ortamına göre çok daha yüksektir, ancak modeller arası göreli sıralama (parametre sayısıyla orantılı) korunmaktadır.</w:t>
      </w:r>
    </w:p>
    <w:p>
      <w:pPr>
        <w:pStyle w:val="Heading1"/>
      </w:pPr>
      <w:r>
        <w:t>7. Sınırlamalar</w:t>
      </w:r>
    </w:p>
    <w:p>
      <w:r>
        <w:t>(1) Veri kümesi görece küçüktür (2028 örnek), bu da özellikle nadir kategorilerde (“Cenaze”: 2 örnek, “Tuvalet”: 10 örnek) güvenilir genelleme yapılmasını zorlaştırmaktadır. (2) Bölme işlemi çok-etiketli tabakalama (stratification) uygulanmadan rastgele yapılmıştır; bu, nadir sınıfların val/test kümelerinde yetersiz temsil edilmesine yol açmış olabilir. (3) XLM-RoBERTa ve TURNA modelleri, yerel donanım kısıtları nedeniyle bu tur çalışmaya dahil edilememiştir. (4) Tüm modeller sabit 0,5 karar eşiğiyle değerlendirilmiştir; sınıf bazlı eşik ayarı (threshold tuning) yapılmamıştır.</w:t>
      </w:r>
    </w:p>
    <w:p>
      <w:pPr>
        <w:pStyle w:val="Heading1"/>
      </w:pPr>
      <w:r>
        <w:t>8. Sonuç</w:t>
      </w:r>
    </w:p>
    <w:p>
      <w:r>
        <w:t>Bu karşılaştırmalı çalışma, Türkçe afet ihbar metinlerinin çok-etiketli ihtiyaç sınıflandırmasında alana özel önceden eğitilmiş BERTurk modelinin genel performans açısından en güçlü seçenek olduğunu; ancak küçük ve dengesiz veri koşullarında klasik yöntemlerin de rekabetçi kalabileceğini göstermektedir. Sonuçlar, makale için gerekli kıyaslama tablosu ve şekillerin temelini oluşturmaktadır.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