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%8–60, en sağlam alanda (Nurdağı, üç model × beş tohum) %54–60'tır; kapanmanın rotaya düşmediği alanlarda fark yoktur. Kapanmaya varan ekibin kaybettiği süre, önceki sürümdeki 20 dakikalık sabit yerine 1,0 dakikalık değerlendirme süresine indirilmiş, geri dönüş manevrası yol çizgesinde fiilen yapılan dönüş olarak fiyatlanmıştır; buna karşın farkın %68–78'i hâlâ bu beyan edilmiş süreden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kör etiketlemeyle ayrıca sınanmış, karar verilebilir parçalarda yüksek kesinlik (3/3) ancak düşük duyarlılık (≈%11) ölçülmüştür.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U-Net ile elde edilmiştir (0,433).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bölütleme başarımını artırmanın ise bu kazancı orantılı biçimde artırmadığının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8–60% depending on area and model, and 54–60% in the most robust area (Nurdağı, three models × five seeds); where blockages did not fall on routes, there was no difference. The time lost by a team reaching a blockage was reduced from the previous 20-minute constant to a 1.0-minute assessment time, with the turn-back manoeuvre priced as the actual turn on the road graph; 68–78% of the difference nevertheless still comes from this declared time,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labeling in one neighborhood, yielding high precision (3/3) but low recall (≈11%).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(0.433).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improving segmentation performance does not increase this gain proportionally.</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değerlendirme süresi (1,0 dk; geri dönüş manevrası çizgede dönüş maliyeti olarak ayrıca ödenir)</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highlight w:val="yellow"/>
        </w:rPr>
        <w:t>Görev tabanlı değerlendirme protokolünün tanımlanması ve uygulanması.</w:t>
      </w:r>
      <w:r>
        <w:rPr>
          <w:b w:val="0"/>
          <w:highlight w:val="yellow"/>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bölütleme başarımını artırmanın bu kazancı orantılı biçimde artırmadığı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 xml:space="preserve">Tablo </w:t>
      </w:r>
      <w:bookmarkStart w:id="0" w:name="Tablo1"/>
      <w:r w:rsidR="00AE5951">
        <w:rPr>
          <w:b/>
          <w:noProof/>
        </w:rPr>
        <w:t>1</w:t>
      </w:r>
      <w:bookmarkEnd w:id="0"/>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20" w:after="20"/>
              <w:jc w:val="left"/>
            </w:pPr>
            <w:r>
              <w:rPr>
                <w:b/>
                <w:sz w:val="17"/>
              </w:rPr>
              <w:t>Veri kümesi</w:t>
            </w:r>
          </w:p>
        </w:tc>
        <w:tc>
          <w:tcPr>
            <w:tcW w:w="714" w:type="pct"/>
            <w:shd w:val="clear" w:color="auto" w:fill="E8E8E8"/>
          </w:tcPr>
          <w:p w14:paraId="01B96B81" w14:textId="77777777" w:rsidR="00B20134" w:rsidRDefault="00990031">
            <w:pPr>
              <w:keepNext/>
              <w:spacing w:before="20" w:after="20"/>
              <w:jc w:val="left"/>
            </w:pPr>
            <w:r>
              <w:rPr>
                <w:b/>
                <w:sz w:val="17"/>
              </w:rPr>
              <w:t>Kaynak</w:t>
            </w:r>
          </w:p>
        </w:tc>
        <w:tc>
          <w:tcPr>
            <w:tcW w:w="714" w:type="pct"/>
            <w:shd w:val="clear" w:color="auto" w:fill="E8E8E8"/>
          </w:tcPr>
          <w:p w14:paraId="415DF61A" w14:textId="77777777" w:rsidR="00B20134" w:rsidRDefault="00990031">
            <w:pPr>
              <w:keepNext/>
              <w:spacing w:before="20" w:after="20"/>
              <w:jc w:val="left"/>
            </w:pPr>
            <w:r>
              <w:rPr>
                <w:b/>
                <w:sz w:val="17"/>
              </w:rPr>
              <w:t>Yıl</w:t>
            </w:r>
          </w:p>
        </w:tc>
        <w:tc>
          <w:tcPr>
            <w:tcW w:w="714" w:type="pct"/>
            <w:shd w:val="clear" w:color="auto" w:fill="E8E8E8"/>
          </w:tcPr>
          <w:p w14:paraId="4CB70CCD" w14:textId="77777777" w:rsidR="00B20134" w:rsidRDefault="00990031">
            <w:pPr>
              <w:keepNext/>
              <w:spacing w:before="20" w:after="20"/>
              <w:jc w:val="left"/>
            </w:pPr>
            <w:r>
              <w:rPr>
                <w:b/>
                <w:sz w:val="17"/>
              </w:rPr>
              <w:t>Görüntü kaynağı</w:t>
            </w:r>
          </w:p>
        </w:tc>
        <w:tc>
          <w:tcPr>
            <w:tcW w:w="714" w:type="pct"/>
            <w:shd w:val="clear" w:color="auto" w:fill="E8E8E8"/>
          </w:tcPr>
          <w:p w14:paraId="2572FEA6" w14:textId="77777777" w:rsidR="00B20134" w:rsidRDefault="00990031">
            <w:pPr>
              <w:keepNext/>
              <w:spacing w:before="20" w:after="20"/>
              <w:jc w:val="left"/>
            </w:pPr>
            <w:r>
              <w:rPr>
                <w:b/>
                <w:sz w:val="17"/>
              </w:rPr>
              <w:t>Görev</w:t>
            </w:r>
          </w:p>
        </w:tc>
        <w:tc>
          <w:tcPr>
            <w:tcW w:w="714" w:type="pct"/>
            <w:shd w:val="clear" w:color="auto" w:fill="E8E8E8"/>
          </w:tcPr>
          <w:p w14:paraId="479FE88B" w14:textId="77777777" w:rsidR="00B20134" w:rsidRDefault="00990031">
            <w:pPr>
              <w:keepNext/>
              <w:spacing w:before="20" w:after="20"/>
              <w:jc w:val="left"/>
            </w:pPr>
            <w:r>
              <w:rPr>
                <w:b/>
                <w:sz w:val="17"/>
              </w:rPr>
              <w:t>Görüntü sayısı</w:t>
            </w:r>
          </w:p>
        </w:tc>
        <w:tc>
          <w:tcPr>
            <w:tcW w:w="714" w:type="pct"/>
            <w:shd w:val="clear" w:color="auto" w:fill="E8E8E8"/>
          </w:tcPr>
          <w:p w14:paraId="5CA8E5D9" w14:textId="77777777" w:rsidR="00B20134" w:rsidRDefault="00990031">
            <w:pPr>
              <w:keepNext/>
              <w:spacing w:before="2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20" w:after="20"/>
              <w:jc w:val="left"/>
            </w:pPr>
            <w:r>
              <w:rPr>
                <w:sz w:val="17"/>
              </w:rPr>
              <w:t>xBD (deprem alt kümesi)</w:t>
            </w:r>
          </w:p>
        </w:tc>
        <w:tc>
          <w:tcPr>
            <w:tcW w:w="714" w:type="pct"/>
          </w:tcPr>
          <w:p w14:paraId="613A4EAB" w14:textId="77777777" w:rsidR="00B20134" w:rsidRDefault="00990031">
            <w:pPr>
              <w:keepNext/>
              <w:spacing w:before="20" w:after="20"/>
              <w:jc w:val="left"/>
            </w:pPr>
            <w:r>
              <w:rPr>
                <w:sz w:val="17"/>
              </w:rPr>
              <w:t>[9]</w:t>
            </w:r>
          </w:p>
        </w:tc>
        <w:tc>
          <w:tcPr>
            <w:tcW w:w="714" w:type="pct"/>
          </w:tcPr>
          <w:p w14:paraId="14E8EFBC" w14:textId="77777777" w:rsidR="00B20134" w:rsidRDefault="00990031">
            <w:pPr>
              <w:keepNext/>
              <w:spacing w:before="20" w:after="20"/>
              <w:jc w:val="left"/>
            </w:pPr>
            <w:r>
              <w:rPr>
                <w:sz w:val="17"/>
              </w:rPr>
              <w:t>2019</w:t>
            </w:r>
          </w:p>
        </w:tc>
        <w:tc>
          <w:tcPr>
            <w:tcW w:w="714" w:type="pct"/>
          </w:tcPr>
          <w:p w14:paraId="4741AB34" w14:textId="77777777" w:rsidR="00B20134" w:rsidRDefault="00990031">
            <w:pPr>
              <w:keepNext/>
              <w:spacing w:before="20" w:after="20"/>
              <w:jc w:val="left"/>
            </w:pPr>
            <w:r>
              <w:rPr>
                <w:sz w:val="17"/>
              </w:rPr>
              <w:t>Çok yüksek çözünürlüklü uydu</w:t>
            </w:r>
          </w:p>
        </w:tc>
        <w:tc>
          <w:tcPr>
            <w:tcW w:w="714" w:type="pct"/>
          </w:tcPr>
          <w:p w14:paraId="3D51D4AA" w14:textId="77777777" w:rsidR="00B20134" w:rsidRDefault="00990031">
            <w:pPr>
              <w:keepNext/>
              <w:spacing w:before="20" w:after="20"/>
              <w:jc w:val="left"/>
            </w:pPr>
            <w:r>
              <w:rPr>
                <w:sz w:val="17"/>
              </w:rPr>
              <w:t>Bina hasarı bölütlemesi</w:t>
            </w:r>
          </w:p>
        </w:tc>
        <w:tc>
          <w:tcPr>
            <w:tcW w:w="714" w:type="pct"/>
          </w:tcPr>
          <w:p w14:paraId="07585162" w14:textId="77777777" w:rsidR="00B20134" w:rsidRDefault="00990031">
            <w:pPr>
              <w:keepNext/>
              <w:spacing w:before="20" w:after="20"/>
              <w:jc w:val="left"/>
            </w:pPr>
            <w:r>
              <w:rPr>
                <w:sz w:val="17"/>
              </w:rPr>
              <w:t>192</w:t>
            </w:r>
          </w:p>
        </w:tc>
        <w:tc>
          <w:tcPr>
            <w:tcW w:w="714" w:type="pct"/>
          </w:tcPr>
          <w:p w14:paraId="6236C4FC" w14:textId="77777777" w:rsidR="00B20134" w:rsidRDefault="00990031">
            <w:pPr>
              <w:keepNext/>
              <w:spacing w:before="2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20" w:after="20"/>
              <w:jc w:val="left"/>
            </w:pPr>
            <w:r>
              <w:rPr>
                <w:sz w:val="17"/>
              </w:rPr>
              <w:t>TUE-CD</w:t>
            </w:r>
          </w:p>
        </w:tc>
        <w:tc>
          <w:tcPr>
            <w:tcW w:w="714" w:type="pct"/>
          </w:tcPr>
          <w:p w14:paraId="1C2C8DFC" w14:textId="77777777" w:rsidR="00B20134" w:rsidRDefault="00990031">
            <w:pPr>
              <w:keepNext/>
              <w:spacing w:before="20" w:after="20"/>
              <w:jc w:val="left"/>
            </w:pPr>
            <w:r>
              <w:rPr>
                <w:sz w:val="17"/>
              </w:rPr>
              <w:t>[10]</w:t>
            </w:r>
          </w:p>
        </w:tc>
        <w:tc>
          <w:tcPr>
            <w:tcW w:w="714" w:type="pct"/>
          </w:tcPr>
          <w:p w14:paraId="744FB869" w14:textId="77777777" w:rsidR="00B20134" w:rsidRDefault="00990031">
            <w:pPr>
              <w:keepNext/>
              <w:spacing w:before="20" w:after="20"/>
              <w:jc w:val="left"/>
            </w:pPr>
            <w:r>
              <w:rPr>
                <w:sz w:val="17"/>
              </w:rPr>
              <w:t>2024</w:t>
            </w:r>
          </w:p>
        </w:tc>
        <w:tc>
          <w:tcPr>
            <w:tcW w:w="714" w:type="pct"/>
          </w:tcPr>
          <w:p w14:paraId="3162995E" w14:textId="77777777" w:rsidR="00B20134" w:rsidRDefault="00990031">
            <w:pPr>
              <w:keepNext/>
              <w:spacing w:before="20" w:after="20"/>
              <w:jc w:val="left"/>
            </w:pPr>
            <w:r>
              <w:rPr>
                <w:sz w:val="17"/>
              </w:rPr>
              <w:t>Çok yüksek çözünürlüklü uydu</w:t>
            </w:r>
          </w:p>
        </w:tc>
        <w:tc>
          <w:tcPr>
            <w:tcW w:w="714" w:type="pct"/>
          </w:tcPr>
          <w:p w14:paraId="2EA2837E" w14:textId="77777777" w:rsidR="00B20134" w:rsidRDefault="00990031">
            <w:pPr>
              <w:keepNext/>
              <w:spacing w:before="20" w:after="20"/>
              <w:jc w:val="left"/>
            </w:pPr>
            <w:r>
              <w:rPr>
                <w:sz w:val="17"/>
              </w:rPr>
              <w:t>Bina değişim tespiti</w:t>
            </w:r>
          </w:p>
        </w:tc>
        <w:tc>
          <w:tcPr>
            <w:tcW w:w="714" w:type="pct"/>
          </w:tcPr>
          <w:p w14:paraId="2B9B322C" w14:textId="77777777" w:rsidR="00B20134" w:rsidRDefault="00990031">
            <w:pPr>
              <w:keepNext/>
              <w:spacing w:before="20" w:after="20"/>
              <w:jc w:val="left"/>
            </w:pPr>
            <w:r>
              <w:rPr>
                <w:sz w:val="17"/>
              </w:rPr>
              <w:t>2338</w:t>
            </w:r>
          </w:p>
        </w:tc>
        <w:tc>
          <w:tcPr>
            <w:tcW w:w="714" w:type="pct"/>
          </w:tcPr>
          <w:p w14:paraId="7BE07AB4" w14:textId="77777777" w:rsidR="00B20134" w:rsidRDefault="00990031">
            <w:pPr>
              <w:keepNext/>
              <w:spacing w:before="2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20" w:after="20"/>
              <w:jc w:val="left"/>
            </w:pPr>
            <w:r>
              <w:rPr>
                <w:sz w:val="17"/>
              </w:rPr>
              <w:t>TE23D</w:t>
            </w:r>
          </w:p>
        </w:tc>
        <w:tc>
          <w:tcPr>
            <w:tcW w:w="714" w:type="pct"/>
          </w:tcPr>
          <w:p w14:paraId="5C73A52C" w14:textId="77777777" w:rsidR="00B20134" w:rsidRDefault="00990031">
            <w:pPr>
              <w:keepNext/>
              <w:spacing w:before="20" w:after="20"/>
              <w:jc w:val="left"/>
            </w:pPr>
            <w:r>
              <w:rPr>
                <w:sz w:val="17"/>
              </w:rPr>
              <w:t>[11]</w:t>
            </w:r>
          </w:p>
        </w:tc>
        <w:tc>
          <w:tcPr>
            <w:tcW w:w="714" w:type="pct"/>
          </w:tcPr>
          <w:p w14:paraId="5B9471BC" w14:textId="77777777" w:rsidR="00B20134" w:rsidRDefault="00990031">
            <w:pPr>
              <w:keepNext/>
              <w:spacing w:before="20" w:after="20"/>
              <w:jc w:val="left"/>
            </w:pPr>
            <w:r>
              <w:rPr>
                <w:sz w:val="17"/>
              </w:rPr>
              <w:t>2025</w:t>
            </w:r>
          </w:p>
        </w:tc>
        <w:tc>
          <w:tcPr>
            <w:tcW w:w="714" w:type="pct"/>
          </w:tcPr>
          <w:p w14:paraId="68DC1096" w14:textId="77777777" w:rsidR="00B20134" w:rsidRDefault="00990031">
            <w:pPr>
              <w:keepNext/>
              <w:spacing w:before="20" w:after="20"/>
              <w:jc w:val="left"/>
            </w:pPr>
            <w:r>
              <w:rPr>
                <w:sz w:val="17"/>
              </w:rPr>
              <w:t>Çok yüksek çözünürlüklü uydu</w:t>
            </w:r>
          </w:p>
        </w:tc>
        <w:tc>
          <w:tcPr>
            <w:tcW w:w="714" w:type="pct"/>
          </w:tcPr>
          <w:p w14:paraId="5D753BC8" w14:textId="77777777" w:rsidR="00B20134" w:rsidRDefault="00990031">
            <w:pPr>
              <w:keepNext/>
              <w:spacing w:before="20" w:after="20"/>
              <w:jc w:val="left"/>
            </w:pPr>
            <w:r>
              <w:rPr>
                <w:sz w:val="17"/>
              </w:rPr>
              <w:t>Hasar değerlendirme</w:t>
            </w:r>
          </w:p>
        </w:tc>
        <w:tc>
          <w:tcPr>
            <w:tcW w:w="714" w:type="pct"/>
          </w:tcPr>
          <w:p w14:paraId="75835A12" w14:textId="77777777" w:rsidR="00B20134" w:rsidRDefault="00990031">
            <w:pPr>
              <w:keepNext/>
              <w:spacing w:before="20" w:after="20"/>
              <w:jc w:val="left"/>
            </w:pPr>
            <w:r>
              <w:rPr>
                <w:sz w:val="17"/>
              </w:rPr>
              <w:t>1183</w:t>
            </w:r>
          </w:p>
        </w:tc>
        <w:tc>
          <w:tcPr>
            <w:tcW w:w="714" w:type="pct"/>
          </w:tcPr>
          <w:p w14:paraId="4B234C64" w14:textId="77777777" w:rsidR="00B20134" w:rsidRDefault="00990031">
            <w:pPr>
              <w:keepNext/>
              <w:spacing w:before="2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20" w:after="20"/>
              <w:jc w:val="left"/>
            </w:pPr>
            <w:r>
              <w:rPr>
                <w:sz w:val="17"/>
              </w:rPr>
              <w:t>EarthquakeNet</w:t>
            </w:r>
          </w:p>
        </w:tc>
        <w:tc>
          <w:tcPr>
            <w:tcW w:w="714" w:type="pct"/>
          </w:tcPr>
          <w:p w14:paraId="11D7A532" w14:textId="77777777" w:rsidR="00B20134" w:rsidRDefault="00990031">
            <w:pPr>
              <w:keepNext/>
              <w:spacing w:before="20" w:after="20"/>
              <w:jc w:val="left"/>
            </w:pPr>
            <w:r>
              <w:rPr>
                <w:sz w:val="17"/>
              </w:rPr>
              <w:t>[26]*</w:t>
            </w:r>
          </w:p>
        </w:tc>
        <w:tc>
          <w:tcPr>
            <w:tcW w:w="714" w:type="pct"/>
          </w:tcPr>
          <w:p w14:paraId="18E9354D" w14:textId="77777777" w:rsidR="00B20134" w:rsidRDefault="00990031">
            <w:pPr>
              <w:keepNext/>
              <w:spacing w:before="20" w:after="20"/>
              <w:jc w:val="left"/>
            </w:pPr>
            <w:r>
              <w:rPr>
                <w:sz w:val="17"/>
              </w:rPr>
              <w:t>—</w:t>
            </w:r>
          </w:p>
        </w:tc>
        <w:tc>
          <w:tcPr>
            <w:tcW w:w="714" w:type="pct"/>
          </w:tcPr>
          <w:p w14:paraId="45AE7F0C" w14:textId="77777777" w:rsidR="00B20134" w:rsidRDefault="00990031">
            <w:pPr>
              <w:keepNext/>
              <w:spacing w:before="20" w:after="20"/>
              <w:jc w:val="left"/>
            </w:pPr>
            <w:r>
              <w:rPr>
                <w:sz w:val="17"/>
              </w:rPr>
              <w:t>İnsansız hava aracı</w:t>
            </w:r>
          </w:p>
        </w:tc>
        <w:tc>
          <w:tcPr>
            <w:tcW w:w="714" w:type="pct"/>
          </w:tcPr>
          <w:p w14:paraId="524CD26A" w14:textId="77777777" w:rsidR="00B20134" w:rsidRDefault="00990031">
            <w:pPr>
              <w:keepNext/>
              <w:spacing w:before="20" w:after="20"/>
              <w:jc w:val="left"/>
            </w:pPr>
            <w:r>
              <w:rPr>
                <w:sz w:val="17"/>
              </w:rPr>
              <w:t>Hasar bölütlemesi</w:t>
            </w:r>
          </w:p>
        </w:tc>
        <w:tc>
          <w:tcPr>
            <w:tcW w:w="714" w:type="pct"/>
          </w:tcPr>
          <w:p w14:paraId="68310B4A" w14:textId="77777777" w:rsidR="00B20134" w:rsidRDefault="00990031">
            <w:pPr>
              <w:keepNext/>
              <w:spacing w:before="20" w:after="20"/>
              <w:jc w:val="left"/>
            </w:pPr>
            <w:r>
              <w:rPr>
                <w:sz w:val="17"/>
              </w:rPr>
              <w:t>69</w:t>
            </w:r>
          </w:p>
        </w:tc>
        <w:tc>
          <w:tcPr>
            <w:tcW w:w="714" w:type="pct"/>
          </w:tcPr>
          <w:p w14:paraId="3C8B0D78" w14:textId="77777777" w:rsidR="00B20134" w:rsidRDefault="00990031">
            <w:pPr>
              <w:keepNext/>
              <w:spacing w:before="2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20" w:after="20"/>
              <w:jc w:val="left"/>
            </w:pPr>
            <w:r>
              <w:rPr>
                <w:sz w:val="17"/>
              </w:rPr>
              <w:t>MEDIC</w:t>
            </w:r>
          </w:p>
        </w:tc>
        <w:tc>
          <w:tcPr>
            <w:tcW w:w="714" w:type="pct"/>
          </w:tcPr>
          <w:p w14:paraId="6EFFD2B6" w14:textId="77777777" w:rsidR="00B20134" w:rsidRDefault="00990031">
            <w:pPr>
              <w:keepNext/>
              <w:spacing w:before="20" w:after="20"/>
              <w:jc w:val="left"/>
            </w:pPr>
            <w:r>
              <w:rPr>
                <w:sz w:val="17"/>
              </w:rPr>
              <w:t>[27]</w:t>
            </w:r>
          </w:p>
        </w:tc>
        <w:tc>
          <w:tcPr>
            <w:tcW w:w="714" w:type="pct"/>
          </w:tcPr>
          <w:p w14:paraId="6743714C" w14:textId="77777777" w:rsidR="00B20134" w:rsidRDefault="00990031">
            <w:pPr>
              <w:keepNext/>
              <w:spacing w:before="20" w:after="20"/>
              <w:jc w:val="left"/>
            </w:pPr>
            <w:r>
              <w:rPr>
                <w:sz w:val="17"/>
              </w:rPr>
              <w:t>2021</w:t>
            </w:r>
          </w:p>
        </w:tc>
        <w:tc>
          <w:tcPr>
            <w:tcW w:w="714" w:type="pct"/>
          </w:tcPr>
          <w:p w14:paraId="215E6114" w14:textId="77777777" w:rsidR="00B20134" w:rsidRDefault="00990031">
            <w:pPr>
              <w:keepNext/>
              <w:spacing w:before="20" w:after="20"/>
              <w:jc w:val="left"/>
            </w:pPr>
            <w:r>
              <w:rPr>
                <w:sz w:val="17"/>
              </w:rPr>
              <w:t>Sosyal medya (yer seviyesi)</w:t>
            </w:r>
          </w:p>
        </w:tc>
        <w:tc>
          <w:tcPr>
            <w:tcW w:w="714" w:type="pct"/>
          </w:tcPr>
          <w:p w14:paraId="3CBF0865" w14:textId="77777777" w:rsidR="00B20134" w:rsidRDefault="00990031">
            <w:pPr>
              <w:keepNext/>
              <w:spacing w:before="20" w:after="20"/>
              <w:jc w:val="left"/>
            </w:pPr>
            <w:r>
              <w:rPr>
                <w:sz w:val="17"/>
              </w:rPr>
              <w:t>Çok görevli afet sınıflandırma</w:t>
            </w:r>
          </w:p>
        </w:tc>
        <w:tc>
          <w:tcPr>
            <w:tcW w:w="714" w:type="pct"/>
          </w:tcPr>
          <w:p w14:paraId="07B1D327" w14:textId="77777777" w:rsidR="00B20134" w:rsidRDefault="00990031">
            <w:pPr>
              <w:keepNext/>
              <w:spacing w:before="20" w:after="20"/>
              <w:jc w:val="left"/>
            </w:pPr>
            <w:r>
              <w:rPr>
                <w:sz w:val="17"/>
              </w:rPr>
              <w:t>15 095</w:t>
            </w:r>
          </w:p>
        </w:tc>
        <w:tc>
          <w:tcPr>
            <w:tcW w:w="714" w:type="pct"/>
          </w:tcPr>
          <w:p w14:paraId="4BFE2515" w14:textId="77777777" w:rsidR="00B20134" w:rsidRDefault="00990031">
            <w:pPr>
              <w:keepNext/>
              <w:spacing w:before="2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20" w:after="20"/>
              <w:jc w:val="left"/>
            </w:pPr>
            <w:r>
              <w:rPr>
                <w:sz w:val="17"/>
              </w:rPr>
              <w:t>EID</w:t>
            </w:r>
          </w:p>
        </w:tc>
        <w:tc>
          <w:tcPr>
            <w:tcW w:w="714" w:type="pct"/>
          </w:tcPr>
          <w:p w14:paraId="0EBF6C20" w14:textId="77777777" w:rsidR="00B20134" w:rsidRDefault="00990031">
            <w:pPr>
              <w:keepNext/>
              <w:spacing w:before="20" w:after="20"/>
              <w:jc w:val="left"/>
            </w:pPr>
            <w:r>
              <w:rPr>
                <w:sz w:val="17"/>
              </w:rPr>
              <w:t>[26]*</w:t>
            </w:r>
          </w:p>
        </w:tc>
        <w:tc>
          <w:tcPr>
            <w:tcW w:w="714" w:type="pct"/>
          </w:tcPr>
          <w:p w14:paraId="60A3C49D" w14:textId="77777777" w:rsidR="00B20134" w:rsidRDefault="00990031">
            <w:pPr>
              <w:keepNext/>
              <w:spacing w:before="20" w:after="20"/>
              <w:jc w:val="left"/>
            </w:pPr>
            <w:r>
              <w:rPr>
                <w:sz w:val="17"/>
              </w:rPr>
              <w:t>2025</w:t>
            </w:r>
          </w:p>
        </w:tc>
        <w:tc>
          <w:tcPr>
            <w:tcW w:w="714" w:type="pct"/>
          </w:tcPr>
          <w:p w14:paraId="05BAB5B2" w14:textId="77777777" w:rsidR="00B20134" w:rsidRDefault="00990031">
            <w:pPr>
              <w:keepNext/>
              <w:spacing w:before="20" w:after="20"/>
              <w:jc w:val="left"/>
            </w:pPr>
            <w:r>
              <w:rPr>
                <w:sz w:val="17"/>
              </w:rPr>
              <w:t>Sosyal medya (yer seviyesi)</w:t>
            </w:r>
          </w:p>
        </w:tc>
        <w:tc>
          <w:tcPr>
            <w:tcW w:w="714" w:type="pct"/>
          </w:tcPr>
          <w:p w14:paraId="66D92E66" w14:textId="77777777" w:rsidR="00B20134" w:rsidRDefault="00990031">
            <w:pPr>
              <w:keepNext/>
              <w:spacing w:before="20" w:after="20"/>
              <w:jc w:val="left"/>
            </w:pPr>
            <w:r>
              <w:rPr>
                <w:sz w:val="17"/>
              </w:rPr>
              <w:t>Deprem hasarı sınıflandırma</w:t>
            </w:r>
          </w:p>
        </w:tc>
        <w:tc>
          <w:tcPr>
            <w:tcW w:w="714" w:type="pct"/>
          </w:tcPr>
          <w:p w14:paraId="34D5FCDC" w14:textId="77777777" w:rsidR="00B20134" w:rsidRDefault="00990031">
            <w:pPr>
              <w:keepNext/>
              <w:spacing w:before="20" w:after="20"/>
              <w:jc w:val="left"/>
            </w:pPr>
            <w:r>
              <w:rPr>
                <w:sz w:val="17"/>
              </w:rPr>
              <w:t>13 513</w:t>
            </w:r>
          </w:p>
        </w:tc>
        <w:tc>
          <w:tcPr>
            <w:tcW w:w="714" w:type="pct"/>
          </w:tcPr>
          <w:p w14:paraId="10525CCA" w14:textId="77777777" w:rsidR="00B20134" w:rsidRDefault="00990031">
            <w:pPr>
              <w:keepNext/>
              <w:spacing w:before="2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20" w:after="20"/>
              <w:jc w:val="left"/>
            </w:pPr>
            <w:r>
              <w:rPr>
                <w:sz w:val="17"/>
              </w:rPr>
              <w:t>DSS</w:t>
            </w:r>
          </w:p>
        </w:tc>
        <w:tc>
          <w:tcPr>
            <w:tcW w:w="714" w:type="pct"/>
          </w:tcPr>
          <w:p w14:paraId="41E255C6" w14:textId="77777777" w:rsidR="00B20134" w:rsidRDefault="00990031">
            <w:pPr>
              <w:keepNext/>
              <w:spacing w:before="20" w:after="20"/>
              <w:jc w:val="left"/>
            </w:pPr>
            <w:r>
              <w:rPr>
                <w:sz w:val="17"/>
              </w:rPr>
              <w:t>[28]</w:t>
            </w:r>
          </w:p>
        </w:tc>
        <w:tc>
          <w:tcPr>
            <w:tcW w:w="714" w:type="pct"/>
          </w:tcPr>
          <w:p w14:paraId="2301601A" w14:textId="77777777" w:rsidR="00B20134" w:rsidRDefault="00990031">
            <w:pPr>
              <w:keepNext/>
              <w:spacing w:before="20" w:after="20"/>
              <w:jc w:val="left"/>
            </w:pPr>
            <w:r>
              <w:rPr>
                <w:sz w:val="17"/>
              </w:rPr>
              <w:t>2025</w:t>
            </w:r>
          </w:p>
        </w:tc>
        <w:tc>
          <w:tcPr>
            <w:tcW w:w="714" w:type="pct"/>
          </w:tcPr>
          <w:p w14:paraId="06D090C1" w14:textId="77777777" w:rsidR="00B20134" w:rsidRDefault="00990031">
            <w:pPr>
              <w:keepNext/>
              <w:spacing w:before="20" w:after="20"/>
              <w:jc w:val="left"/>
            </w:pPr>
            <w:r>
              <w:rPr>
                <w:sz w:val="17"/>
              </w:rPr>
              <w:t>Sosyal medya (yer seviyesi)</w:t>
            </w:r>
          </w:p>
        </w:tc>
        <w:tc>
          <w:tcPr>
            <w:tcW w:w="714" w:type="pct"/>
          </w:tcPr>
          <w:p w14:paraId="0A4DDE49" w14:textId="77777777" w:rsidR="00B20134" w:rsidRDefault="00990031">
            <w:pPr>
              <w:keepNext/>
              <w:spacing w:before="20" w:after="20"/>
              <w:jc w:val="left"/>
            </w:pPr>
            <w:r>
              <w:rPr>
                <w:sz w:val="17"/>
              </w:rPr>
              <w:t>Hasar şiddeti bölütlemesi</w:t>
            </w:r>
          </w:p>
        </w:tc>
        <w:tc>
          <w:tcPr>
            <w:tcW w:w="714" w:type="pct"/>
          </w:tcPr>
          <w:p w14:paraId="68554366" w14:textId="77777777" w:rsidR="00B20134" w:rsidRDefault="00990031">
            <w:pPr>
              <w:keepNext/>
              <w:spacing w:before="20" w:after="20"/>
              <w:jc w:val="left"/>
            </w:pPr>
            <w:r>
              <w:rPr>
                <w:sz w:val="17"/>
              </w:rPr>
              <w:t>607</w:t>
            </w:r>
          </w:p>
        </w:tc>
        <w:tc>
          <w:tcPr>
            <w:tcW w:w="714" w:type="pct"/>
          </w:tcPr>
          <w:p w14:paraId="2A0798B1" w14:textId="77777777" w:rsidR="00B20134" w:rsidRDefault="00990031">
            <w:pPr>
              <w:keepNext/>
              <w:spacing w:before="2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20" w:after="20"/>
              <w:jc w:val="left"/>
            </w:pPr>
            <w:r>
              <w:rPr>
                <w:sz w:val="17"/>
              </w:rPr>
              <w:t>EIDSeg</w:t>
            </w:r>
          </w:p>
        </w:tc>
        <w:tc>
          <w:tcPr>
            <w:tcW w:w="714" w:type="pct"/>
          </w:tcPr>
          <w:p w14:paraId="7ED14868" w14:textId="77777777" w:rsidR="00B20134" w:rsidRDefault="00990031">
            <w:pPr>
              <w:spacing w:before="20" w:after="20"/>
              <w:jc w:val="left"/>
            </w:pPr>
            <w:r>
              <w:rPr>
                <w:sz w:val="17"/>
              </w:rPr>
              <w:t>[26]</w:t>
            </w:r>
          </w:p>
        </w:tc>
        <w:tc>
          <w:tcPr>
            <w:tcW w:w="714" w:type="pct"/>
          </w:tcPr>
          <w:p w14:paraId="3DD3C5C7" w14:textId="77777777" w:rsidR="00B20134" w:rsidRDefault="00990031">
            <w:pPr>
              <w:spacing w:before="20" w:after="20"/>
              <w:jc w:val="left"/>
            </w:pPr>
            <w:r>
              <w:rPr>
                <w:sz w:val="17"/>
              </w:rPr>
              <w:t>2026</w:t>
            </w:r>
          </w:p>
        </w:tc>
        <w:tc>
          <w:tcPr>
            <w:tcW w:w="714" w:type="pct"/>
          </w:tcPr>
          <w:p w14:paraId="005730D9" w14:textId="77777777" w:rsidR="00B20134" w:rsidRDefault="00990031">
            <w:pPr>
              <w:spacing w:before="20" w:after="20"/>
              <w:jc w:val="left"/>
            </w:pPr>
            <w:r>
              <w:rPr>
                <w:sz w:val="17"/>
              </w:rPr>
              <w:t>Sosyal medya (yer seviyesi)</w:t>
            </w:r>
          </w:p>
        </w:tc>
        <w:tc>
          <w:tcPr>
            <w:tcW w:w="714" w:type="pct"/>
          </w:tcPr>
          <w:p w14:paraId="2BF9A83C" w14:textId="77777777" w:rsidR="00B20134" w:rsidRDefault="00990031">
            <w:pPr>
              <w:spacing w:before="20" w:after="20"/>
              <w:jc w:val="left"/>
            </w:pPr>
            <w:r>
              <w:rPr>
                <w:sz w:val="17"/>
              </w:rPr>
              <w:t>Piksel düzeyi hasar bölütlemesi</w:t>
            </w:r>
          </w:p>
        </w:tc>
        <w:tc>
          <w:tcPr>
            <w:tcW w:w="714" w:type="pct"/>
          </w:tcPr>
          <w:p w14:paraId="23B7D081" w14:textId="77777777" w:rsidR="00B20134" w:rsidRDefault="00990031">
            <w:pPr>
              <w:spacing w:before="20" w:after="20"/>
              <w:jc w:val="left"/>
            </w:pPr>
            <w:r>
              <w:rPr>
                <w:sz w:val="17"/>
              </w:rPr>
              <w:t>3266</w:t>
            </w:r>
          </w:p>
        </w:tc>
        <w:tc>
          <w:tcPr>
            <w:tcW w:w="714" w:type="pct"/>
          </w:tcPr>
          <w:p w14:paraId="5DC6AA65" w14:textId="77777777" w:rsidR="00B20134" w:rsidRDefault="00990031">
            <w:pPr>
              <w:spacing w:before="2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highlight w:val="yellow"/>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highlight w:val="yellow"/>
              </w:rPr>
              <w:t>Help.NGO İHA ortofotoları [64] (OpenAerialMap üzerinden)</w:t>
            </w:r>
          </w:p>
        </w:tc>
        <w:tc>
          <w:tcPr>
            <w:tcW w:w="0" w:type="auto"/>
          </w:tcPr>
          <w:p w14:paraId="396EC8C6" w14:textId="77777777" w:rsidR="00210E36" w:rsidRDefault="00BF64E8">
            <w:pPr>
              <w:keepNext/>
              <w:spacing w:before="20" w:after="20"/>
              <w:jc w:val="left"/>
            </w:pPr>
            <w:r>
              <w:rPr>
                <w:sz w:val="19"/>
                <w:highlight w:val="yellow"/>
              </w:rPr>
              <w:t>İnsansız hava aracı ortofotosu, üç sahne (Tablo 3–4)</w:t>
            </w:r>
          </w:p>
        </w:tc>
        <w:tc>
          <w:tcPr>
            <w:tcW w:w="0" w:type="auto"/>
          </w:tcPr>
          <w:p w14:paraId="6A193988" w14:textId="77777777" w:rsidR="00210E36" w:rsidRDefault="00BF64E8">
            <w:pPr>
              <w:keepNext/>
              <w:spacing w:before="20" w:after="20"/>
              <w:jc w:val="left"/>
            </w:pPr>
            <w:r>
              <w:rPr>
                <w:sz w:val="19"/>
                <w:highlight w:val="yellow"/>
              </w:rPr>
              <w:t>9 ve 14 Şubat 2023 (deprem sonrası)</w:t>
            </w:r>
          </w:p>
        </w:tc>
        <w:tc>
          <w:tcPr>
            <w:tcW w:w="0" w:type="auto"/>
          </w:tcPr>
          <w:p w14:paraId="64C0FBEF" w14:textId="77777777" w:rsidR="00210E36" w:rsidRDefault="00BF64E8">
            <w:pPr>
              <w:keepNext/>
              <w:spacing w:before="20" w:after="20"/>
              <w:jc w:val="left"/>
            </w:pPr>
            <w:r>
              <w:rPr>
                <w:sz w:val="19"/>
                <w:highlight w:val="yellow"/>
              </w:rPr>
              <w:t>Hatay (Defne/Elektrik), Gaziantep (İslahiye, Nurdağı)</w:t>
            </w:r>
          </w:p>
        </w:tc>
        <w:tc>
          <w:tcPr>
            <w:tcW w:w="0" w:type="auto"/>
          </w:tcPr>
          <w:p w14:paraId="5A8DDE62" w14:textId="77777777" w:rsidR="00210E36" w:rsidRDefault="00BF64E8">
            <w:pPr>
              <w:keepNext/>
              <w:spacing w:before="20" w:after="20"/>
              <w:jc w:val="left"/>
            </w:pPr>
            <w:r>
              <w:rPr>
                <w:sz w:val="19"/>
                <w:highlight w:val="yellow"/>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highlight w:val="yellow"/>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rPr>
                <w:sz w:val="19"/>
              </w:rP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KATE-PD [56]</w:t>
            </w:r>
          </w:p>
        </w:tc>
        <w:tc>
          <w:tcPr>
            <w:tcW w:w="0" w:type="auto"/>
          </w:tcPr>
          <w:p w14:paraId="4A26089C" w14:textId="77777777" w:rsidR="00210E36" w:rsidRDefault="00BF64E8">
            <w:pPr>
              <w:keepNext/>
              <w:spacing w:before="20" w:after="20"/>
              <w:jc w:val="left"/>
            </w:pPr>
            <w:r>
              <w:rPr>
                <w:sz w:val="19"/>
                <w:highlight w:val="yellow"/>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highlight w:val="yellow"/>
              </w:rPr>
              <w:t>2023 (deprem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0,375–0,5 m; 512 × 512 piksel; 832 karo</w:t>
            </w:r>
          </w:p>
        </w:tc>
        <w:tc>
          <w:tcPr>
            <w:tcW w:w="0" w:type="auto"/>
          </w:tcPr>
          <w:p w14:paraId="723478E5" w14:textId="77777777" w:rsidR="00210E36" w:rsidRDefault="00BF64E8">
            <w:pPr>
              <w:keepNext/>
              <w:spacing w:before="20" w:after="20"/>
              <w:jc w:val="left"/>
            </w:pPr>
            <w:r>
              <w:rPr>
                <w:sz w:val="19"/>
                <w:highlight w:val="yellow"/>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KATE-CD [56]</w:t>
            </w:r>
          </w:p>
        </w:tc>
        <w:tc>
          <w:tcPr>
            <w:tcW w:w="0" w:type="auto"/>
          </w:tcPr>
          <w:p w14:paraId="4A26089C" w14:textId="77777777" w:rsidR="00210E36" w:rsidRDefault="00BF64E8">
            <w:pPr>
              <w:keepNext/>
              <w:spacing w:before="20" w:after="20"/>
              <w:jc w:val="left"/>
            </w:pPr>
            <w:r>
              <w:rPr>
                <w:sz w:val="19"/>
                <w:highlight w:val="yellow"/>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highlight w:val="yellow"/>
              </w:rPr>
              <w:t>2023 (deprem öncesi ve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highlight w:val="yellow"/>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highlight w:val="yellow"/>
              </w:rPr>
              <w:t>MEDBFS [57], Türkiye alt kümesi</w:t>
            </w:r>
          </w:p>
        </w:tc>
        <w:tc>
          <w:tcPr>
            <w:tcW w:w="0" w:type="auto"/>
          </w:tcPr>
          <w:p w14:paraId="057349C2" w14:textId="77777777" w:rsidR="00210E36" w:rsidRDefault="00BF64E8">
            <w:pPr>
              <w:keepNext/>
              <w:spacing w:before="20" w:after="20"/>
              <w:jc w:val="left"/>
            </w:pPr>
            <w:r>
              <w:rPr>
                <w:sz w:val="19"/>
                <w:highlight w:val="yellow"/>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highlight w:val="yellow"/>
              </w:rPr>
              <w:lastRenderedPageBreak/>
              <w:t>6 Şubat 2023 depremi (öncesi ve sonrası)</w:t>
            </w:r>
          </w:p>
        </w:tc>
        <w:tc>
          <w:tcPr>
            <w:tcW w:w="0" w:type="auto"/>
          </w:tcPr>
          <w:p w14:paraId="06A0D45A" w14:textId="77777777" w:rsidR="00210E36" w:rsidRDefault="00BF64E8">
            <w:pPr>
              <w:keepNext/>
              <w:spacing w:before="20" w:after="20"/>
              <w:jc w:val="left"/>
            </w:pPr>
            <w:r>
              <w:rPr>
                <w:sz w:val="19"/>
                <w:highlight w:val="yellow"/>
              </w:rPr>
              <w:t>Kahramanmaraş, Gaziantep</w:t>
            </w:r>
          </w:p>
        </w:tc>
        <w:tc>
          <w:tcPr>
            <w:tcW w:w="0" w:type="auto"/>
          </w:tcPr>
          <w:p w14:paraId="62FF4002" w14:textId="77777777" w:rsidR="00210E36" w:rsidRDefault="00BF64E8">
            <w:pPr>
              <w:keepNext/>
              <w:spacing w:before="20" w:after="20"/>
              <w:jc w:val="left"/>
            </w:pPr>
            <w:r>
              <w:rPr>
                <w:sz w:val="19"/>
                <w:highlight w:val="yellow"/>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highlight w:val="yellow"/>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highlight w:val="yellow"/>
              </w:rPr>
              <w:t>Türkçe afet metni kümesi (deprem-private/intent_test_v13_anonymized)</w:t>
            </w:r>
          </w:p>
        </w:tc>
        <w:tc>
          <w:tcPr>
            <w:tcW w:w="0" w:type="auto"/>
          </w:tcPr>
          <w:p w14:paraId="737366CA" w14:textId="77777777" w:rsidR="00210E36" w:rsidRDefault="00BF64E8">
            <w:pPr>
              <w:spacing w:before="20" w:after="20"/>
              <w:jc w:val="left"/>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highlight w:val="yellow"/>
              </w:rPr>
              <w:t>12–14 Şubat 2023 (kayıt zaman damgaları)</w:t>
            </w:r>
          </w:p>
        </w:tc>
        <w:tc>
          <w:tcPr>
            <w:tcW w:w="0" w:type="auto"/>
          </w:tcPr>
          <w:p w14:paraId="5619C939" w14:textId="77777777" w:rsidR="00210E36" w:rsidRDefault="00BF64E8">
            <w:pPr>
              <w:spacing w:before="20" w:after="20"/>
              <w:jc w:val="left"/>
            </w:pPr>
            <w:r>
              <w:rPr>
                <w:sz w:val="19"/>
                <w:highlight w:val="yellow"/>
              </w:rPr>
              <w:t>Belirtilmemiş</w:t>
            </w:r>
          </w:p>
        </w:tc>
        <w:tc>
          <w:tcPr>
            <w:tcW w:w="0" w:type="auto"/>
          </w:tcPr>
          <w:p w14:paraId="36497A1B" w14:textId="77777777" w:rsidR="00210E36" w:rsidRDefault="00BF64E8">
            <w:pPr>
              <w:spacing w:before="20" w:after="20"/>
              <w:jc w:val="left"/>
            </w:pPr>
            <w:r>
              <w:rPr>
                <w:sz w:val="19"/>
                <w:highlight w:val="yellow"/>
              </w:rPr>
              <w:t>2 028 kayıt (1 418 eğitim / 305 doğrulama / 305 sınama)</w:t>
            </w:r>
          </w:p>
        </w:tc>
        <w:tc>
          <w:tcPr>
            <w:tcW w:w="0" w:type="auto"/>
          </w:tcPr>
          <w:p w14:paraId="3BDE34F3" w14:textId="77777777" w:rsidR="00210E36" w:rsidRDefault="00BF64E8">
            <w:pPr>
              <w:spacing w:before="20" w:after="20"/>
              <w:jc w:val="left"/>
            </w:pPr>
            <w:r>
              <w:rPr>
                <w:sz w:val="19"/>
                <w:highlight w:val="yellow"/>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highlight w:val="yellow"/>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sonuç ölçütleri üzerindeki etkisi bu sürümde ölçülmemiştir.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16)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Çatlak modeli Roboflow Universe üzerinde barındırılan “building-crack-detection” kümesiyle, bina hasarı modeli ise aynı platformdaki “maras” kümesiyle eğitilmiştir; her iki küme de yalnızca sınırlayıcı kutu (bounding box) etiketi içermektedir. Eğitim/sınama bölünmesi, görüntü sayısı ve mAP@0,5 değerleri bu sürümde raporlanmamıştır (Tablo 22).</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Tablo 20</w:t>
      </w:r>
      <w:r w:rsidR="00AE5951">
        <w:rPr>
          <w:b/>
          <w:noProof/>
        </w:rPr>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(30 Mayıs 2026'da indirilen Türkiye PBF dosyasından çıkarılan 755.236 kenar, 717.341 düğüm ve 201 tesis; üç tatbikat alanında kapalı kenar ve kapsama değerleri önceki çıkarımla aynıdır);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17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çizgedeki en yüksek kenar hızıdır ve her çizge için ayrıca hesaplanır. Böylece sezgisel kalan süreyi hiçbir zaman aşmaz, yani kabul edilebilirdir ve A* eniyi çözümü korur. Taslağın önceki hâlinde sabit v_max = 80 km/sa kullanılıyordu; hız tablosunda otoyol sınıfı 90 km/sa olduğundan ve maxspeed etiketi 130 km/sa'ya kadar kabul edildiğinden bu sabit her çizgede kabul edilebilir değildi (yapay bir sınamada eniyi 41,5 sn'lik yol yerine 44,4 sn'lik yol seçiliyordu).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 dosyasında 43.821 tek yönlü kenar; oneway = −1 etiketli, yani çizim yönünün tersine tek yön olan kenarlar ters yönde kurulur, bu bölgede böyle kenar yoktur). Bunlar beyan edilmiş tasarım parametreleridir, ölçüm değildir; yedi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308594"/>
            <wp:docPr id="55" name="Picture 55"/>
            <wp:cNvGraphicFramePr>
              <a:graphicFrameLocks noChangeAspect="1"/>
            </wp:cNvGraphicFramePr>
            <a:graphic>
              <a:graphicData uri="http://schemas.openxmlformats.org/drawingml/2006/picture">
                <pic:pic>
                  <pic:nvPicPr>
                    <pic:cNvPr id="0" name="sekil_tatbikat_nurdagi.png"/>
                    <pic:cNvPicPr/>
                  </pic:nvPicPr>
                  <pic:blipFill>
                    <a:blip r:embed="rId61"/>
                    <a:stretch>
                      <a:fillRect/>
                    </a:stretch>
                  </pic:blipFill>
                  <pic:spPr>
                    <a:xfrm>
                      <a:off x="0" y="0"/>
                      <a:ext cx="4500000" cy="5308594"/>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highlight w:val="yellow"/>
        </w:rPr>
        <w:t>Girdi : G(V,E) yönlü yol çizgesi (kenar uzunluğu w(e), kenar hızı v(e), dönüş süresi τ);</w:t>
      </w:r>
    </w:p>
    <w:p>
      <w:r>
        <w:rPr>
          <w:rFonts w:ascii="Consolas" w:hAnsi="Consolas"/>
          <w:b w:val="0"/>
          <w:sz w:val="18"/>
          <w:highlight w:val="yellow"/>
        </w:rPr>
        <w:t xml:space="preserve">        B gerçek kapalı kenar kümesi (ekibe gizli); s başlangıç düğümü; g hedef düğüm;</w:t>
      </w:r>
    </w:p>
    <w:p>
      <w:r>
        <w:rPr>
          <w:rFonts w:ascii="Consolas" w:hAnsi="Consolas"/>
          <w:b w:val="0"/>
          <w:sz w:val="18"/>
          <w:highlight w:val="yellow"/>
        </w:rPr>
        <w:t xml:space="preserve">        I_max = 60 en çok yol hesabı (ilk plan dahil)</w:t>
      </w:r>
    </w:p>
    <w:p>
      <w:r>
        <w:rPr>
          <w:rFonts w:ascii="Consolas" w:hAnsi="Consolas"/>
          <w:b w:val="0"/>
          <w:sz w:val="18"/>
          <w:highlight w:val="yellow"/>
        </w:rPr>
        <w:t>Çıktı : toplam süre T ve keşfedilen kapanma sayısı k; ya da ULAŞILAMAZ</w:t>
      </w:r>
    </w:p>
    <w:p>
      <w:r>
        <w:rPr>
          <w:rFonts w:ascii="Consolas" w:hAnsi="Consolas"/>
          <w:b w:val="0"/>
          <w:sz w:val="18"/>
          <w:highlight w:val="yellow"/>
        </w:rPr>
        <w:t>1: K &lt;- boş küme ; c &lt;- s ; e_g &lt;- yok ; T &lt;- 0 ; k &lt;- 0   // K: ekibin bildiği kapalı kenarlar</w:t>
      </w:r>
    </w:p>
    <w:p>
      <w:r>
        <w:rPr>
          <w:rFonts w:ascii="Consolas" w:hAnsi="Consolas"/>
          <w:b w:val="0"/>
          <w:sz w:val="18"/>
          <w:highlight w:val="yellow"/>
        </w:rPr>
        <w:t>2: i = 1 .. I_max döngüsü</w:t>
      </w:r>
    </w:p>
    <w:p>
      <w:r>
        <w:rPr>
          <w:rFonts w:ascii="Consolas" w:hAnsi="Consolas"/>
          <w:b w:val="0"/>
          <w:sz w:val="18"/>
          <w:highlight w:val="yellow"/>
        </w:rPr>
        <w:t>3:     P &lt;- A*(G \ K, c, g, maliyet = w(e)/v(e) + τ, giriş kenarı = e_g)</w:t>
      </w:r>
    </w:p>
    <w:p>
      <w:r>
        <w:rPr>
          <w:rFonts w:ascii="Consolas" w:hAnsi="Consolas"/>
          <w:b w:val="0"/>
          <w:sz w:val="18"/>
          <w:highlight w:val="yellow"/>
        </w:rPr>
        <w:t>4:     P boş ise ULAŞILAMAZ döndür</w:t>
      </w:r>
    </w:p>
    <w:p>
      <w:r>
        <w:rPr>
          <w:rFonts w:ascii="Consolas" w:hAnsi="Consolas"/>
          <w:b w:val="0"/>
          <w:sz w:val="18"/>
          <w:highlight w:val="yellow"/>
        </w:rPr>
        <w:t>5:     engel &lt;- yanlış</w:t>
      </w:r>
    </w:p>
    <w:p>
      <w:r>
        <w:rPr>
          <w:rFonts w:ascii="Consolas" w:hAnsi="Consolas"/>
          <w:b w:val="0"/>
          <w:sz w:val="18"/>
          <w:highlight w:val="yellow"/>
        </w:rPr>
        <w:t>6:     P üzerindeki her ardışık kenar e = (u, v) için</w:t>
      </w:r>
    </w:p>
    <w:p>
      <w:r>
        <w:rPr>
          <w:rFonts w:ascii="Consolas" w:hAnsi="Consolas"/>
          <w:b w:val="0"/>
          <w:sz w:val="18"/>
          <w:highlight w:val="yellow"/>
        </w:rPr>
        <w:t>7:         e ∈ B ise</w:t>
      </w:r>
    </w:p>
    <w:p>
      <w:r>
        <w:rPr>
          <w:rFonts w:ascii="Consolas" w:hAnsi="Consolas"/>
          <w:b w:val="0"/>
          <w:sz w:val="18"/>
          <w:highlight w:val="yellow"/>
        </w:rPr>
        <w:t>8:             K &lt;- K ∪ {e, ters(e)} ; k &lt;- k + 1 ; c &lt;- u   // kenara girilmez, kavşakta öğrenilir</w:t>
      </w:r>
    </w:p>
    <w:p>
      <w:r>
        <w:rPr>
          <w:rFonts w:ascii="Consolas" w:hAnsi="Consolas"/>
          <w:b w:val="0"/>
          <w:sz w:val="18"/>
          <w:highlight w:val="yellow"/>
        </w:rPr>
        <w:t>9:             T &lt;- T + c_kapanma ; engel &lt;- doğru ; iç döngüden çık</w:t>
      </w:r>
    </w:p>
    <w:p>
      <w:r>
        <w:rPr>
          <w:rFonts w:ascii="Consolas" w:hAnsi="Consolas"/>
          <w:b w:val="0"/>
          <w:sz w:val="18"/>
          <w:highlight w:val="yellow"/>
        </w:rPr>
        <w:t>10:        T &lt;- T + w(e)/v(e) + τ(e_g, e) ; e_g &lt;- e ; c &lt;- v</w:t>
      </w:r>
    </w:p>
    <w:p>
      <w:r>
        <w:rPr>
          <w:rFonts w:ascii="Consolas" w:hAnsi="Consolas"/>
          <w:b w:val="0"/>
          <w:sz w:val="18"/>
          <w:highlight w:val="yellow"/>
        </w:rPr>
        <w:t>11:    engel = yanlış ise T, k döndür                  // c = g: hedefe varıldı</w:t>
      </w:r>
    </w:p>
    <w:p>
      <w:r>
        <w:rPr>
          <w:rFonts w:ascii="Consolas" w:hAnsi="Consolas"/>
          <w:b w:val="0"/>
          <w:sz w:val="18"/>
          <w:highlight w:val="yellow"/>
        </w:rPr>
        <w:t>12: ULAŞILAMAZ döndür                                   // I_max yol hesabı aşıldı</w:t>
      </w:r>
    </w:p>
    <w:p>
      <w:r>
        <w:rPr>
          <w:rFonts w:ascii="Consolas" w:hAnsi="Consolas"/>
          <w:b w:val="0"/>
          <w:sz w:val="18"/>
          <w:highlight w:val="yellow"/>
        </w:rPr>
        <w:t>c_kapanma = değerlendirme 1,0 dk. Geri dönüş manevrası sabit olarak eklenmez: satır 3'teki yeniden planlama, ekibin fiilen yaptığı dönüşü (çoğunlukla 25 sn'lik U dönüşü) çizgenin dönüş maliyetiyle fiyatlar. Taslağın önceki hâlinde 25 sn'lik manevra ayrıca sabite de ekleniyor, yani iki kez sayılıyordu (Bölüm 5.3(b)). Dönüş maliyeti kapatıldığında (duyarlılık koşusu, Bölüm 4.9) manevra sabit olarak eklenir: c_kapanma = 1,0 dk + 25 sn.</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geri dönüş manevrası çizgede fiilen yapılan dönüş olarak fiyatlanır.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değerlendirme süresinin (t_u = 1,0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highlight w:val="yellow"/>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highlight w:val="yellow"/>
        </w:rPr>
        <w:t>Atama kuralı.</w:t>
      </w:r>
      <w:r>
        <w:rPr>
          <w:b w:val="0"/>
          <w:highlight w:val="yellow"/>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highlight w:val="yellow"/>
        </w:rPr>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2.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highlight w:val="yellow"/>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51" name="Picture 51"/>
            <wp:cNvGraphicFramePr>
              <a:graphicFrameLocks noChangeAspect="1"/>
            </wp:cNvGraphicFramePr>
            <a:graphic>
              <a:graphicData uri="http://schemas.openxmlformats.org/drawingml/2006/picture">
                <pic:pic>
                  <pic:nvPicPr>
                    <pic:cNvPr id="0" name="sekil_protokol.png"/>
                    <pic:cNvPicPr/>
                  </pic:nvPicPr>
                  <pic:blipFill>
                    <a:blip r:embed="rId57"/>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15).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etiketlemeyle ön doğrulaması (Bölüm 4.3, Tablo 13), kamera ve metin kanallarının tespit sayısı ve gecikmesi (Bölüm 4.5, Tablo 14), tatbikatın kıyas kolları, model seçimi, güzergâh varyantları, r_h ve ceza duyarlılığı (Bölüm 4.6–4.9, Tablo 15–19)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tüm mimarilerde ölçülmemiş olmasıdır (Bölüm 4.2, Sınırlılık). Bölüm 4.4'teki il-ayrık genelleme deneyi bu sürümde koşulmamıştır.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highlight w:val="yellow"/>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417"/>
        <w:gridCol w:w="2438"/>
        <w:gridCol w:w="2438"/>
        <w:gridCol w:w="2778"/>
      </w:tblGrid>
      <w:tr w:rsidR="00EB262B" w14:paraId="234D79D6" w14:textId="77777777">
        <w:trPr>
          <w:jc w:val="center"/>
          <w:cantSplit/>
          <w:tblHeader/>
        </w:trPr>
        <w:tc>
          <w:tcPr>
            <w:tcW w:w="1417" w:type="dxa"/>
            <w:shd w:val="clear" w:color="auto" w:fill="E8E8E8"/>
          </w:tcPr>
          <w:p w14:paraId="2EE9DD5E" w14:textId="77777777" w:rsidR="00EB262B" w:rsidRDefault="00BF64E8">
            <w:pPr>
              <w:keepNext/>
              <w:spacing w:before="20" w:after="20"/>
              <w:jc w:val="left"/>
            </w:pPr>
            <w:r>
              <w:rPr>
                <w:b/>
                <w:sz w:val="19"/>
                <w:highlight w:val="yellow"/>
              </w:rPr>
              <w:t>Bileşen</w:t>
            </w:r>
          </w:p>
        </w:tc>
        <w:tc>
          <w:tcPr>
            <w:tcW w:w="2438" w:type="dxa"/>
            <w:shd w:val="clear" w:color="auto" w:fill="E8E8E8"/>
          </w:tcPr>
          <w:p w14:paraId="5CDE20C9" w14:textId="77777777" w:rsidR="00EB262B" w:rsidRDefault="00BF64E8">
            <w:pPr>
              <w:keepNext/>
              <w:spacing w:before="20" w:after="20"/>
              <w:jc w:val="left"/>
            </w:pPr>
            <w:r>
              <w:rPr>
                <w:b/>
                <w:sz w:val="19"/>
                <w:highlight w:val="yellow"/>
              </w:rPr>
              <w:t>Gecikme ve çıkarım süresi ölçümü (Tablo 14, 16)</w:t>
            </w:r>
          </w:p>
        </w:tc>
        <w:tc>
          <w:tcPr>
            <w:tcW w:w="2438" w:type="dxa"/>
            <w:shd w:val="clear" w:color="auto" w:fill="E8E8E8"/>
          </w:tcPr>
          <w:p w14:paraId="5CDE20C9" w14:textId="77777777" w:rsidR="00EB262B" w:rsidRDefault="00BF64E8">
            <w:pPr>
              <w:keepNext/>
              <w:spacing w:before="20" w:after="20"/>
              <w:jc w:val="left"/>
            </w:pPr>
            <w:r>
              <w:rPr>
                <w:b/>
                <w:sz w:val="19"/>
                <w:highlight w:val="yellow"/>
              </w:rPr>
              <w:t>Tatbikat koşumu (Bölüm 4.6–4.9; düzeltilmiş kod, 28 Eylül 2026)</w:t>
            </w:r>
          </w:p>
        </w:tc>
        <w:tc>
          <w:tcPr>
            <w:tcW w:w="2778" w:type="dxa"/>
            <w:shd w:val="clear" w:color="auto" w:fill="E8E8E8"/>
          </w:tcPr>
          <w:p w14:paraId="509C9D5B" w14:textId="77777777" w:rsidR="00EB262B" w:rsidRDefault="00BF64E8">
            <w:pPr>
              <w:keepNext/>
              <w:spacing w:before="20" w:after="20"/>
              <w:jc w:val="left"/>
            </w:pPr>
            <w:r>
              <w:rPr>
                <w:b/>
                <w:sz w:val="19"/>
                <w:highlight w:val="yellow"/>
              </w:rPr>
              <w:t>Model eğitimi (Bölüm 4.2)</w:t>
            </w:r>
          </w:p>
        </w:tc>
      </w:tr>
      <w:tr w:rsidR="00EB262B" w14:paraId="3816B710" w14:textId="77777777">
        <w:trPr>
          <w:jc w:val="center"/>
          <w:cantSplit/>
        </w:trPr>
        <w:tc>
          <w:tcPr>
            <w:tcW w:w="1417" w:type="dxa"/>
          </w:tcPr>
          <w:p w14:paraId="6E47CF0C" w14:textId="77777777" w:rsidR="00EB262B" w:rsidRDefault="00BF64E8">
            <w:pPr>
              <w:keepNext/>
              <w:spacing w:before="20" w:after="20"/>
              <w:jc w:val="left"/>
            </w:pPr>
            <w:r>
              <w:rPr>
                <w:sz w:val="19"/>
                <w:highlight w:val="yellow"/>
              </w:rPr>
              <w:t>Ortam</w:t>
            </w:r>
          </w:p>
        </w:tc>
        <w:tc>
          <w:tcPr>
            <w:tcW w:w="2438" w:type="dxa"/>
          </w:tcPr>
          <w:p w14:paraId="53DEE410" w14:textId="77777777" w:rsidR="00EB262B" w:rsidRDefault="00BF64E8">
            <w:pPr>
              <w:keepNext/>
              <w:spacing w:before="20" w:after="20"/>
              <w:jc w:val="left"/>
            </w:pPr>
            <w:r>
              <w:rPr>
                <w:sz w:val="19"/>
                <w:highlight w:val="yellow"/>
              </w:rPr>
              <w:t>Dizüstü bilgisayar (yerel)</w:t>
            </w:r>
          </w:p>
        </w:tc>
        <w:tc>
          <w:tcPr>
            <w:tcW w:w="2438" w:type="dxa"/>
          </w:tcPr>
          <w:p w14:paraId="53DEE410" w14:textId="77777777" w:rsidR="00EB262B" w:rsidRDefault="00BF64E8">
            <w:pPr>
              <w:keepNext/>
              <w:spacing w:before="20" w:after="20"/>
              <w:jc w:val="left"/>
            </w:pPr>
            <w:r>
              <w:rPr>
                <w:sz w:val="19"/>
                <w:highlight w:val="yellow"/>
              </w:rPr>
              <w:t>Masaüstü bilgisayar (yerel)</w:t>
            </w:r>
          </w:p>
        </w:tc>
        <w:tc>
          <w:tcPr>
            <w:tcW w:w="2778" w:type="dxa"/>
          </w:tcPr>
          <w:p w14:paraId="28E01873" w14:textId="77777777" w:rsidR="00EB262B" w:rsidRDefault="00BF64E8">
            <w:pPr>
              <w:keepNext/>
              <w:spacing w:before="20" w:after="20"/>
              <w:jc w:val="left"/>
            </w:pPr>
            <w:r>
              <w:rPr>
                <w:sz w:val="19"/>
              </w:rPr>
              <w:t>Kaggle Notebooks</w:t>
            </w:r>
          </w:p>
        </w:tc>
      </w:tr>
      <w:tr w:rsidR="00EB262B" w14:paraId="1F4F84A0" w14:textId="77777777">
        <w:trPr>
          <w:jc w:val="center"/>
          <w:cantSplit/>
        </w:trPr>
        <w:tc>
          <w:tcPr>
            <w:tcW w:w="1417" w:type="dxa"/>
          </w:tcPr>
          <w:p w14:paraId="5A79BEFF" w14:textId="77777777" w:rsidR="00EB262B" w:rsidRDefault="00BF64E8">
            <w:pPr>
              <w:keepNext/>
              <w:spacing w:before="20" w:after="20"/>
              <w:jc w:val="left"/>
            </w:pPr>
            <w:r>
              <w:rPr>
                <w:sz w:val="19"/>
                <w:highlight w:val="yellow"/>
              </w:rPr>
              <w:t>İşlemci</w:t>
            </w:r>
          </w:p>
        </w:tc>
        <w:tc>
          <w:tcPr>
            <w:tcW w:w="2438" w:type="dxa"/>
          </w:tcPr>
          <w:p w14:paraId="0BA122D8" w14:textId="77777777" w:rsidR="00EB262B" w:rsidRDefault="00BF64E8">
            <w:pPr>
              <w:keepNext/>
              <w:spacing w:before="20" w:after="20"/>
              <w:jc w:val="left"/>
            </w:pPr>
            <w:r>
              <w:rPr>
                <w:sz w:val="19"/>
                <w:highlight w:val="yellow"/>
              </w:rPr>
              <w:t>Intel Core i7-12700H (14 çekirdek, 20 iş parçacığı)</w:t>
            </w:r>
          </w:p>
        </w:tc>
        <w:tc>
          <w:tcPr>
            <w:tcW w:w="2438" w:type="dxa"/>
          </w:tcPr>
          <w:p w14:paraId="0BA122D8" w14:textId="77777777" w:rsidR="00EB262B" w:rsidRDefault="00BF64E8">
            <w:pPr>
              <w:keepNext/>
              <w:spacing w:before="20" w:after="20"/>
              <w:jc w:val="left"/>
            </w:pPr>
            <w:r>
              <w:rPr>
                <w:sz w:val="19"/>
                <w:highlight w:val="yellow"/>
              </w:rPr>
              <w:t>AMD Ryzen 5 5500 (6 çekirdek, 12 iş parçacığı)</w:t>
            </w:r>
          </w:p>
        </w:tc>
        <w:tc>
          <w:tcPr>
            <w:tcW w:w="2778" w:type="dxa"/>
          </w:tcPr>
          <w:p w14:paraId="3FC262A7" w14:textId="77777777" w:rsidR="00EB262B" w:rsidRDefault="00BF64E8">
            <w:pPr>
              <w:keepNext/>
              <w:spacing w:before="20" w:after="20"/>
              <w:jc w:val="left"/>
            </w:pPr>
            <w:r>
              <w:rPr>
                <w:sz w:val="19"/>
                <w:highlight w:val="yellow"/>
              </w:rPr>
              <w:t>Kayıt altına alınmamıştır</w:t>
            </w:r>
          </w:p>
        </w:tc>
      </w:tr>
      <w:tr w:rsidR="00EB262B" w14:paraId="6A9333A5" w14:textId="77777777">
        <w:trPr>
          <w:jc w:val="center"/>
          <w:cantSplit/>
        </w:trPr>
        <w:tc>
          <w:tcPr>
            <w:tcW w:w="1417" w:type="dxa"/>
          </w:tcPr>
          <w:p w14:paraId="489FAD70" w14:textId="77777777" w:rsidR="00EB262B" w:rsidRDefault="00BF64E8">
            <w:pPr>
              <w:keepNext/>
              <w:spacing w:before="20" w:after="20"/>
              <w:jc w:val="left"/>
            </w:pPr>
            <w:r>
              <w:rPr>
                <w:sz w:val="19"/>
                <w:highlight w:val="yellow"/>
              </w:rPr>
              <w:t>Grafik işlemci</w:t>
            </w:r>
          </w:p>
        </w:tc>
        <w:tc>
          <w:tcPr>
            <w:tcW w:w="2438" w:type="dxa"/>
          </w:tcPr>
          <w:p w14:paraId="30CD8E2F" w14:textId="77777777" w:rsidR="00EB262B" w:rsidRDefault="00BF64E8">
            <w:pPr>
              <w:keepNext/>
              <w:spacing w:before="20" w:after="20"/>
              <w:jc w:val="left"/>
            </w:pPr>
            <w:r>
              <w:rPr>
                <w:sz w:val="19"/>
                <w:highlight w:val="yellow"/>
              </w:rPr>
              <w:t>Hesaplamada kullanılmadı (tümleşik Intel Iris Xe)</w:t>
            </w:r>
          </w:p>
        </w:tc>
        <w:tc>
          <w:tcPr>
            <w:tcW w:w="2438" w:type="dxa"/>
          </w:tcPr>
          <w:p w14:paraId="30CD8E2F" w14:textId="77777777" w:rsidR="00EB262B" w:rsidRDefault="00BF64E8">
            <w:pPr>
              <w:keepNext/>
              <w:spacing w:before="20" w:after="20"/>
              <w:jc w:val="left"/>
            </w:pPr>
            <w:r>
              <w:rPr>
                <w:sz w:val="19"/>
                <w:highlight w:val="yellow"/>
              </w:rPr>
              <w:t>Hesaplamada kullanılmadı (AMD Radeon RX 6600)</w:t>
            </w:r>
          </w:p>
        </w:tc>
        <w:tc>
          <w:tcPr>
            <w:tcW w:w="2778" w:type="dxa"/>
          </w:tcPr>
          <w:p w14:paraId="58D47B83" w14:textId="77777777" w:rsidR="00EB262B" w:rsidRDefault="00BF64E8">
            <w:pPr>
              <w:keepNext/>
              <w:spacing w:before="20" w:after="20"/>
              <w:jc w:val="left"/>
            </w:pPr>
            <w:r>
              <w:rPr>
                <w:sz w:val="19"/>
                <w:highlight w:val="yellow"/>
              </w:rPr>
              <w:t>NVIDIA Tesla T4 (16 GB)</w:t>
            </w:r>
          </w:p>
        </w:tc>
      </w:tr>
      <w:tr w:rsidR="00EB262B" w14:paraId="5C93AEF6" w14:textId="77777777">
        <w:trPr>
          <w:jc w:val="center"/>
          <w:cantSplit/>
        </w:trPr>
        <w:tc>
          <w:tcPr>
            <w:tcW w:w="1417" w:type="dxa"/>
          </w:tcPr>
          <w:p w14:paraId="2C311FBA" w14:textId="77777777" w:rsidR="00EB262B" w:rsidRDefault="00BF64E8">
            <w:pPr>
              <w:keepNext/>
              <w:spacing w:before="20" w:after="20"/>
              <w:jc w:val="left"/>
            </w:pPr>
            <w:r>
              <w:rPr>
                <w:sz w:val="19"/>
                <w:highlight w:val="yellow"/>
              </w:rPr>
              <w:t>Sistem belleği</w:t>
            </w:r>
          </w:p>
        </w:tc>
        <w:tc>
          <w:tcPr>
            <w:tcW w:w="2438" w:type="dxa"/>
          </w:tcPr>
          <w:p w14:paraId="739AF3CA" w14:textId="77777777" w:rsidR="00EB262B" w:rsidRDefault="00BF64E8">
            <w:pPr>
              <w:keepNext/>
              <w:spacing w:before="20" w:after="20"/>
              <w:jc w:val="left"/>
            </w:pPr>
            <w:r>
              <w:rPr>
                <w:sz w:val="19"/>
                <w:highlight w:val="yellow"/>
              </w:rPr>
              <w:t>16 GB</w:t>
            </w:r>
          </w:p>
        </w:tc>
        <w:tc>
          <w:tcPr>
            <w:tcW w:w="2438" w:type="dxa"/>
          </w:tcPr>
          <w:p w14:paraId="739AF3CA" w14:textId="77777777" w:rsidR="00EB262B" w:rsidRDefault="00BF64E8">
            <w:pPr>
              <w:keepNext/>
              <w:spacing w:before="20" w:after="20"/>
              <w:jc w:val="left"/>
            </w:pPr>
            <w:r>
              <w:rPr>
                <w:sz w:val="19"/>
                <w:highlight w:val="yellow"/>
              </w:rPr>
              <w:t>16 GB</w:t>
            </w:r>
          </w:p>
        </w:tc>
        <w:tc>
          <w:tcPr>
            <w:tcW w:w="2778" w:type="dxa"/>
          </w:tcPr>
          <w:p w14:paraId="1A8788B1" w14:textId="77777777" w:rsidR="00EB262B" w:rsidRDefault="00BF64E8">
            <w:pPr>
              <w:keepNext/>
              <w:spacing w:before="20" w:after="20"/>
              <w:jc w:val="left"/>
            </w:pPr>
            <w:r>
              <w:rPr>
                <w:sz w:val="19"/>
                <w:highlight w:val="yellow"/>
              </w:rPr>
              <w:t>Kayıt altına alınmamıştır</w:t>
            </w:r>
          </w:p>
        </w:tc>
      </w:tr>
      <w:tr w:rsidR="00EB262B" w14:paraId="6DE6841A" w14:textId="77777777">
        <w:trPr>
          <w:jc w:val="center"/>
          <w:cantSplit/>
        </w:trPr>
        <w:tc>
          <w:tcPr>
            <w:tcW w:w="1417" w:type="dxa"/>
          </w:tcPr>
          <w:p w14:paraId="28AC0A35" w14:textId="77777777" w:rsidR="00EB262B" w:rsidRDefault="00BF64E8">
            <w:pPr>
              <w:keepNext/>
              <w:spacing w:before="20" w:after="20"/>
              <w:jc w:val="left"/>
            </w:pPr>
            <w:r>
              <w:rPr>
                <w:sz w:val="19"/>
                <w:highlight w:val="yellow"/>
              </w:rPr>
              <w:t>Depolama</w:t>
            </w:r>
          </w:p>
        </w:tc>
        <w:tc>
          <w:tcPr>
            <w:tcW w:w="2438" w:type="dxa"/>
          </w:tcPr>
          <w:p w14:paraId="6B1049E0" w14:textId="77777777" w:rsidR="00EB262B" w:rsidRDefault="00BF64E8">
            <w:pPr>
              <w:keepNext/>
              <w:spacing w:before="20" w:after="20"/>
              <w:jc w:val="left"/>
            </w:pPr>
            <w:r>
              <w:rPr>
                <w:sz w:val="19"/>
                <w:highlight w:val="yellow"/>
              </w:rPr>
              <w:t>512 GB SSD</w:t>
            </w:r>
          </w:p>
        </w:tc>
        <w:tc>
          <w:tcPr>
            <w:tcW w:w="2438" w:type="dxa"/>
          </w:tcPr>
          <w:p w14:paraId="6B1049E0" w14:textId="77777777" w:rsidR="00EB262B" w:rsidRDefault="00BF64E8">
            <w:pPr>
              <w:keepNext/>
              <w:spacing w:before="20" w:after="20"/>
              <w:jc w:val="left"/>
            </w:pPr>
            <w:r>
              <w:rPr>
                <w:sz w:val="19"/>
                <w:highlight w:val="yellow"/>
              </w:rPr>
              <w:t>Kayıt altına alınmamıştır</w:t>
            </w:r>
          </w:p>
        </w:tc>
        <w:tc>
          <w:tcPr>
            <w:tcW w:w="2778" w:type="dxa"/>
          </w:tcPr>
          <w:p w14:paraId="6AEF002C" w14:textId="77777777" w:rsidR="00EB262B" w:rsidRDefault="00BF64E8">
            <w:pPr>
              <w:keepNext/>
              <w:spacing w:before="20" w:after="20"/>
              <w:jc w:val="left"/>
            </w:pPr>
            <w:r>
              <w:rPr>
                <w:sz w:val="19"/>
                <w:highlight w:val="yellow"/>
              </w:rPr>
              <w:t>—</w:t>
            </w:r>
          </w:p>
        </w:tc>
      </w:tr>
      <w:tr w:rsidR="00EB262B" w14:paraId="40032117" w14:textId="77777777">
        <w:trPr>
          <w:jc w:val="center"/>
          <w:cantSplit/>
        </w:trPr>
        <w:tc>
          <w:tcPr>
            <w:tcW w:w="1417" w:type="dxa"/>
          </w:tcPr>
          <w:p w14:paraId="3F66DDD8" w14:textId="77777777" w:rsidR="00EB262B" w:rsidRDefault="00BF64E8">
            <w:pPr>
              <w:keepNext/>
              <w:spacing w:before="20" w:after="20"/>
              <w:jc w:val="left"/>
            </w:pPr>
            <w:r>
              <w:rPr>
                <w:sz w:val="19"/>
                <w:highlight w:val="yellow"/>
              </w:rPr>
              <w:t>İşletim sistemi</w:t>
            </w:r>
          </w:p>
        </w:tc>
        <w:tc>
          <w:tcPr>
            <w:tcW w:w="2438" w:type="dxa"/>
          </w:tcPr>
          <w:p w14:paraId="68597FCF" w14:textId="77777777" w:rsidR="00EB262B" w:rsidRDefault="00BF64E8">
            <w:pPr>
              <w:keepNext/>
              <w:spacing w:before="20" w:after="20"/>
              <w:jc w:val="left"/>
            </w:pPr>
            <w:r>
              <w:rPr>
                <w:sz w:val="19"/>
                <w:highlight w:val="yellow"/>
              </w:rPr>
              <w:t>Windows 11, 64 bit (sürüm 10.0.26200)</w:t>
            </w:r>
          </w:p>
        </w:tc>
        <w:tc>
          <w:tcPr>
            <w:tcW w:w="2438" w:type="dxa"/>
          </w:tcPr>
          <w:p w14:paraId="68597FCF" w14:textId="77777777" w:rsidR="00EB262B" w:rsidRDefault="00BF64E8">
            <w:pPr>
              <w:keepNext/>
              <w:spacing w:before="20" w:after="20"/>
              <w:jc w:val="left"/>
            </w:pPr>
            <w:r>
              <w:rPr>
                <w:sz w:val="19"/>
                <w:highlight w:val="yellow"/>
              </w:rPr>
              <w:t>Windows 11 Pro, 64 bit (sürüm 10.0.26200)</w:t>
            </w:r>
          </w:p>
        </w:tc>
        <w:tc>
          <w:tcPr>
            <w:tcW w:w="2778" w:type="dxa"/>
          </w:tcPr>
          <w:p w14:paraId="4C8907F5" w14:textId="77777777" w:rsidR="00EB262B" w:rsidRDefault="00BF64E8">
            <w:pPr>
              <w:keepNext/>
              <w:spacing w:before="20" w:after="20"/>
              <w:jc w:val="left"/>
            </w:pPr>
            <w:r>
              <w:rPr>
                <w:sz w:val="19"/>
                <w:highlight w:val="yellow"/>
              </w:rPr>
              <w:t>Kayıt altına alınmamıştır</w:t>
            </w:r>
          </w:p>
        </w:tc>
      </w:tr>
      <w:tr w:rsidR="00EB262B" w14:paraId="1A0CD5E0" w14:textId="77777777">
        <w:trPr>
          <w:jc w:val="center"/>
          <w:cantSplit/>
        </w:trPr>
        <w:tc>
          <w:tcPr>
            <w:tcW w:w="1417" w:type="dxa"/>
          </w:tcPr>
          <w:p w14:paraId="53193616" w14:textId="77777777" w:rsidR="00EB262B" w:rsidRDefault="00BF64E8">
            <w:pPr>
              <w:keepNext/>
              <w:spacing w:before="20" w:after="20"/>
              <w:jc w:val="left"/>
            </w:pPr>
            <w:r>
              <w:rPr>
                <w:sz w:val="19"/>
                <w:highlight w:val="yellow"/>
              </w:rPr>
              <w:t>Python / PyTorch</w:t>
            </w:r>
          </w:p>
        </w:tc>
        <w:tc>
          <w:tcPr>
            <w:tcW w:w="2438" w:type="dxa"/>
          </w:tcPr>
          <w:p w14:paraId="093CD5D1" w14:textId="77777777" w:rsidR="00EB262B" w:rsidRDefault="00BF64E8">
            <w:pPr>
              <w:keepNext/>
              <w:spacing w:before="20" w:after="20"/>
              <w:jc w:val="left"/>
            </w:pPr>
            <w:r>
              <w:rPr>
                <w:sz w:val="19"/>
                <w:highlight w:val="yellow"/>
              </w:rPr>
              <w:t>Python 3.12.6 / PyTorch 2.13.0 (yalnız CPU)</w:t>
            </w:r>
          </w:p>
        </w:tc>
        <w:tc>
          <w:tcPr>
            <w:tcW w:w="2438" w:type="dxa"/>
          </w:tcPr>
          <w:p w14:paraId="093CD5D1" w14:textId="77777777" w:rsidR="00EB262B" w:rsidRDefault="00BF64E8">
            <w:pPr>
              <w:keepNext/>
              <w:spacing w:before="20" w:after="20"/>
              <w:jc w:val="left"/>
            </w:pPr>
            <w:r>
              <w:rPr>
                <w:sz w:val="19"/>
                <w:highlight w:val="yellow"/>
              </w:rPr>
              <w:t>Python 3.12.10 / PyTorch 2.11.0 (yalnız CPU)</w:t>
            </w:r>
          </w:p>
        </w:tc>
        <w:tc>
          <w:tcPr>
            <w:tcW w:w="2778" w:type="dxa"/>
          </w:tcPr>
          <w:p w14:paraId="7DE37502" w14:textId="77777777" w:rsidR="00EB262B" w:rsidRDefault="00BF64E8">
            <w:pPr>
              <w:keepNext/>
              <w:spacing w:before="20" w:after="20"/>
              <w:jc w:val="left"/>
            </w:pPr>
            <w:r>
              <w:rPr>
                <w:sz w:val="19"/>
              </w:rPr>
              <w:t>Python 3.12.13 / PyTorch 2.10.0+cu128</w:t>
            </w:r>
          </w:p>
        </w:tc>
      </w:tr>
      <w:tr w:rsidR="00EB262B" w14:paraId="5248AD51" w14:textId="77777777">
        <w:trPr>
          <w:jc w:val="center"/>
          <w:cantSplit/>
        </w:trPr>
        <w:tc>
          <w:tcPr>
            <w:tcW w:w="1417" w:type="dxa"/>
          </w:tcPr>
          <w:p w14:paraId="7975A77F" w14:textId="77777777" w:rsidR="00EB262B" w:rsidRDefault="00BF64E8">
            <w:pPr>
              <w:keepNext/>
              <w:spacing w:before="20" w:after="20"/>
              <w:jc w:val="left"/>
            </w:pPr>
            <w:r>
              <w:rPr>
                <w:sz w:val="19"/>
                <w:highlight w:val="yellow"/>
              </w:rPr>
              <w:t>Temel kitaplıklar</w:t>
            </w:r>
          </w:p>
        </w:tc>
        <w:tc>
          <w:tcPr>
            <w:tcW w:w="2438" w:type="dxa"/>
          </w:tcPr>
          <w:p w14:paraId="31A7AB06" w14:textId="77777777" w:rsidR="00EB262B" w:rsidRDefault="00BF64E8">
            <w:pPr>
              <w:keepNext/>
              <w:spacing w:before="20" w:after="20"/>
              <w:jc w:val="left"/>
            </w:pPr>
            <w:r>
              <w:rPr>
                <w:sz w:val="19"/>
                <w:highlight w:val="yellow"/>
              </w:rPr>
              <w:t>Ultralytics 8.4.116; Transformers 5.14.1; NetworkX 3.6.1; OSMnx 2.1.1; pyrosm 0.13.1; FastAPI 0.141.1; segmentation_models_pytorch 0.5.0</w:t>
            </w:r>
          </w:p>
        </w:tc>
        <w:tc>
          <w:tcPr>
            <w:tcW w:w="2438" w:type="dxa"/>
          </w:tcPr>
          <w:p w14:paraId="31A7AB06" w14:textId="77777777" w:rsidR="00EB262B" w:rsidRDefault="00BF64E8">
            <w:pPr>
              <w:keepNext/>
              <w:spacing w:before="20" w:after="20"/>
              <w:jc w:val="left"/>
            </w:pPr>
            <w:r>
              <w:rPr>
                <w:sz w:val="19"/>
                <w:highlight w:val="yellow"/>
              </w:rPr>
              <w:t>NetworkX 3.6.1; OSMnx 2.1.0; pyrosm 0.13.1; segmentation_models_pytorch 0.5.0; Ultralytics 8.4.57; Transformers 5.8.0</w:t>
            </w:r>
          </w:p>
        </w:tc>
        <w:tc>
          <w:tcPr>
            <w:tcW w:w="2778" w:type="dxa"/>
          </w:tcPr>
          <w:p w14:paraId="0858D0A3" w14:textId="77777777" w:rsidR="00EB262B" w:rsidRDefault="00BF64E8">
            <w:pPr>
              <w:keepNext/>
              <w:spacing w:before="20" w:after="20"/>
              <w:jc w:val="left"/>
            </w:pPr>
            <w:r>
              <w:rPr>
                <w:sz w:val="19"/>
              </w:rPr>
              <w:t>segmentation_models_pytorch 0.5.0; albumentations 2.0.8; timm 1.0.26</w:t>
            </w:r>
          </w:p>
        </w:tc>
      </w:tr>
      <w:tr w:rsidR="00EB262B" w14:paraId="691DEA99" w14:textId="77777777">
        <w:trPr>
          <w:jc w:val="center"/>
          <w:cantSplit/>
        </w:trPr>
        <w:tc>
          <w:tcPr>
            <w:tcW w:w="1417" w:type="dxa"/>
          </w:tcPr>
          <w:p w14:paraId="492DEDCB" w14:textId="77777777" w:rsidR="00EB262B" w:rsidRDefault="00BF64E8">
            <w:pPr>
              <w:keepNext/>
              <w:spacing w:before="20" w:after="20"/>
              <w:jc w:val="left"/>
            </w:pPr>
            <w:r>
              <w:rPr>
                <w:sz w:val="19"/>
                <w:highlight w:val="yellow"/>
              </w:rPr>
              <w:t>Kenar hızı v(e)</w:t>
            </w:r>
          </w:p>
        </w:tc>
        <w:tc>
          <w:tcPr>
            <w:tcW w:w="2438" w:type="dxa"/>
          </w:tcPr>
          <w:p>
            <w:pPr>
              <w:keepNext/>
              <w:jc w:val="left"/>
            </w:pPr>
            <w:r>
              <w:rPr>
                <w:sz w:val="19"/>
              </w:rPr>
              <w:t>maxspeed etiketinden, yoksa yol sınıfından (Bölüm 3.8)</w:t>
            </w:r>
          </w:p>
        </w:tc>
        <w:tc>
          <w:tcPr>
            <w:tcW w:w="2438" w:type="dxa"/>
          </w:tcPr>
          <w:p>
            <w:pPr>
              <w:keepNext/>
              <w:jc w:val="left"/>
            </w:pPr>
            <w:r>
              <w:rPr>
                <w:sz w:val="19"/>
              </w:rPr>
              <w:t>aynı</w:t>
            </w:r>
          </w:p>
        </w:tc>
        <w:tc>
          <w:tcPr>
            <w:tcW w:w="2778" w:type="dxa"/>
          </w:tcPr>
          <w:p w14:paraId="151BDDF0" w14:textId="77777777" w:rsidR="00EB262B" w:rsidRDefault="00BF64E8">
            <w:pPr>
              <w:keepNext/>
              <w:spacing w:before="20" w:after="20"/>
              <w:jc w:val="left"/>
            </w:pPr>
            <w:r>
              <w:rPr>
                <w:sz w:val="19"/>
                <w:highlight w:val="yellow"/>
              </w:rPr>
              <w:t>—</w:t>
            </w:r>
          </w:p>
        </w:tc>
      </w:tr>
      <w:tr w:rsidR="00EB262B" w14:paraId="0B90053E" w14:textId="77777777">
        <w:trPr>
          <w:jc w:val="center"/>
          <w:cantSplit/>
        </w:trPr>
        <w:tc>
          <w:tcPr>
            <w:tcW w:w="1417" w:type="dxa"/>
          </w:tcPr>
          <w:p w14:paraId="3BBDD915" w14:textId="77777777" w:rsidR="00EB262B" w:rsidRDefault="00BF64E8">
            <w:pPr>
              <w:keepNext/>
              <w:spacing w:before="20" w:after="20"/>
              <w:jc w:val="left"/>
            </w:pPr>
            <w:r>
              <w:rPr>
                <w:sz w:val="19"/>
                <w:highlight w:val="yellow"/>
              </w:rPr>
              <w:t>Kapanma cezası t_u</w:t>
            </w:r>
          </w:p>
        </w:tc>
        <w:tc>
          <w:tcPr>
            <w:tcW w:w="2438" w:type="dxa"/>
          </w:tcPr>
          <w:p>
            <w:pPr>
              <w:keepNext/>
              <w:jc w:val="left"/>
            </w:pPr>
            <w:r>
              <w:rPr>
                <w:sz w:val="19"/>
              </w:rPr>
              <w:t>değerlendirme 1,0 dk (manevra çizgede dönüş maliyetiyle); dönüş 0/3/10/25 sn; r_h = 0</w:t>
            </w:r>
          </w:p>
        </w:tc>
        <w:tc>
          <w:tcPr>
            <w:tcW w:w="2438" w:type="dxa"/>
          </w:tcPr>
          <w:p>
            <w:pPr>
              <w:keepNext/>
              <w:jc w:val="left"/>
            </w:pPr>
            <w:r>
              <w:rPr>
                <w:sz w:val="19"/>
              </w:rPr>
              <w:t>aynı</w:t>
            </w:r>
          </w:p>
        </w:tc>
        <w:tc>
          <w:tcPr>
            <w:tcW w:w="2778" w:type="dxa"/>
          </w:tcPr>
          <w:p w14:paraId="469CE1D2" w14:textId="77777777" w:rsidR="00EB262B" w:rsidRDefault="00BF64E8">
            <w:pPr>
              <w:keepNext/>
              <w:spacing w:before="20" w:after="20"/>
              <w:jc w:val="left"/>
            </w:pPr>
            <w:r>
              <w:rPr>
                <w:sz w:val="19"/>
                <w:highlight w:val="yellow"/>
              </w:rPr>
              <w:t>—</w:t>
            </w:r>
          </w:p>
        </w:tc>
      </w:tr>
      <w:tr w:rsidR="00EB262B" w14:paraId="576C3137" w14:textId="77777777">
        <w:trPr>
          <w:jc w:val="center"/>
          <w:cantSplit/>
        </w:trPr>
        <w:tc>
          <w:tcPr>
            <w:tcW w:w="2778" w:type="dxa"/>
            <w:gridSpan w:val="4"/>
          </w:tcPr>
          <w:p w14:paraId="2F25C7BC" w14:textId="77777777" w:rsidR="00EB262B" w:rsidRDefault="00BF64E8">
            <w:pPr>
              <w:spacing w:before="20" w:after="20"/>
              <w:jc w:val="left"/>
            </w:pPr>
            <w:r>
              <w:rPr>
                <w:sz w:val="19"/>
                <w:highlight w:val="yellow"/>
              </w:rPr>
              <w:t>Tatbikat ve ölçüm ortamlarındaki sürümler, koşumların yürütüldüğü arka uç sanal ortamlarından okunmuştur. Tatbikat sayıları benzetim içindeki ulaşım süreleridir; ikinci makinede aynı model ağırlıklarıyla (SHA-256 doğrulandı) hasar oranı, kapalı kenar ve kapsama değerleri ilk makinedekiyle birebir aynı çıkmıştır.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Bölüm 4.5'teki gecikme ölçümleri ve Tablo 16'daki çıkarım süreleri, grafik işlemci hızlandırması kullanılmadan bir dizüstü bilgisayarda (Intel Core i7-12700H) ölçülmüştür. Bölüm 4.6–4.9'daki tatbikat sayıları, tatbikat kodunda bulunan üç kusurun düzeltilmesinden sonra ikinci bir masaüstü bilgisayarda (AMD Ryzen 5 5500) yeniden üretilmiştir (Bölüm 5.3(b)); bu sayılar benzetim içindeki ulaşım süreleridir ve aynı model ağırlıklarıyla hasar oranı, kapalı kenar ve kapsama değerleri ilk makinedekiyle birebir aynı çıkmıştır. Her iki makinede de çıkarım modelleri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Belirleyici olan kod çözücü değil kodlayıcıdır: MiT-B4 ailesindeki beş mimari 0,397-0,433 bandında toplanırken, üç taban çizgisi 0,327-0,339 bandında kalmış; iki bant arasındaki fark (0,06-0,10) tek-tohum oynamasının (±0,02) belirgin biçimde üzerindedir. Aynı kod çözücünün (UPerNet) MiT-B4 ile 0,425, ConvNeXt-S ile 0,327 vermesi bu gözlemi doğrudan doğrulamaktadır.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w:t>
      </w:r>
    </w:p>
    <w:p w14:paraId="1A6E2E3E" w14:textId="75E08ED1" w:rsidR="00B20134" w:rsidRDefault="00990031">
      <w:r>
        <w:rPr>
          <w:i/>
        </w:rPr>
        <w:t>Bu koşum, Bölüm 3.10'da tanımlanan hedef protokolden tek noktada ayrılmaktadır: tek tohumla (42) yürütülmüştür; çoklu tohum varyansı SegFormer-B4 dışındaki dokuz mimaride ölçülmemiştir. SegFormer-B4 için ikinci bir tohumla (7) ölçülen sınama IoU_hasar farkı ±0,02 mertebesindedir; MiT-B4 ailesi içindeki mimariler arası farklar (0,397-0,433 aralığında, yaklaşık 0,03 mertebesinde) bu bandın içinde kalabileceğinden, mimariler arası ince sıralamanın istatistiksel anlamlılığı bu sürümde gösterilmemiştir.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SegFormer-B4 için ayrıca ölçülen tohum-oynaması (tohum 7) sınama IoU_hasar'da ±0,02 mertebesindedir (Bölüm 4.2, Sınırlılık); bu bant diğer dokuz mimari için ayrıca ölçülmemiştir.</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SegFormer-B4 için ayrıca ölçülen tohum-oynaması ±0,02 mertebesindedir (Bölüm 4.2, Sınırlılık).</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üzerinden elle işaretlenmiştir.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ön deneme).</w:t>
      </w:r>
      <w:bookmarkStart w:id="22" w:name="Tablo13"/>
      <w:bookmarkEnd w:id="22"/>
    </w:p>
    <w:tbl>
      <w:tblPr>
        <w:tblStyle w:val="TabloKlavuzu"/>
        <w:tblW w:type="pct" w:w="5000"/>
        <w:tblLook w:firstColumn="1" w:firstRow="1" w:lastColumn="0" w:lastRow="0" w:noHBand="0" w:noVBand="1" w:val="04A0"/>
        <w:jc w:val="center"/>
      </w:tblPr>
      <w:tblGrid>
        <w:gridCol w:w="3024"/>
        <w:gridCol w:w="3024"/>
        <w:gridCol w:w="3024"/>
      </w:tblGrid>
      <w:tr>
        <w:trPr>
          <w:cantSplit/>
          <w:tblHeader/>
        </w:trPr>
        <w:tc>
          <w:tcPr>
            <w:tcW w:type="dxa" w:w="3024"/>
            <w:shd w:val="clear" w:color="auto" w:fill="E8E8E8"/>
          </w:tcPr>
          <w:p>
            <w:pPr>
              <w:keepNext/>
              <w:spacing w:after="20" w:before="0"/>
              <w:jc w:val="left"/>
            </w:pPr>
            <w:r>
              <w:rPr>
                <w:b/>
                <w:sz w:val="17"/>
              </w:rPr>
              <w:t>Ölçüt</w:t>
            </w:r>
          </w:p>
        </w:tc>
        <w:tc>
          <w:tcPr>
            <w:tcW w:type="dxa" w:w="3024"/>
            <w:shd w:val="clear" w:color="auto" w:fill="E8E8E8"/>
          </w:tcPr>
          <w:p>
            <w:pPr>
              <w:keepNext/>
              <w:spacing w:after="20" w:before="0"/>
              <w:jc w:val="left"/>
            </w:pPr>
            <w:r>
              <w:rPr>
                <w:b/>
                <w:sz w:val="17"/>
              </w:rPr>
              <w:t>Değer</w:t>
            </w:r>
          </w:p>
        </w:tc>
        <w:tc>
          <w:tcPr>
            <w:tcW w:type="dxa" w:w="3024"/>
            <w:shd w:val="clear" w:color="auto" w:fill="E8E8E8"/>
          </w:tcPr>
          <w:p>
            <w:pPr>
              <w:keepNext/>
              <w:spacing w:after="20" w:before="0"/>
              <w:jc w:val="left"/>
            </w:pPr>
            <w:r>
              <w:rPr>
                <w:b/>
                <w:sz w:val="17"/>
              </w:rPr>
              <w:t>Not</w:t>
            </w:r>
          </w:p>
        </w:tc>
      </w:tr>
      <w:tr>
        <w:trPr>
          <w:cantSplit/>
        </w:trPr>
        <w:tc>
          <w:tcPr>
            <w:tcW w:type="dxa" w:w="3024"/>
          </w:tcPr>
          <w:p>
            <w:pPr>
              <w:keepNext/>
              <w:spacing w:after="20" w:before="0"/>
              <w:jc w:val="left"/>
            </w:pPr>
            <w:r>
              <w:rPr>
                <w:sz w:val="17"/>
              </w:rPr>
              <w:t>Model KAPALI dedi → kapalı / açık / kararsız</w:t>
            </w:r>
          </w:p>
        </w:tc>
        <w:tc>
          <w:tcPr>
            <w:tcW w:type="dxa" w:w="3024"/>
          </w:tcPr>
          <w:p>
            <w:pPr>
              <w:keepNext/>
              <w:spacing w:after="20" w:before="0"/>
              <w:jc w:val="left"/>
            </w:pPr>
            <w:r>
              <w:rPr>
                <w:sz w:val="17"/>
              </w:rPr>
              <w:t>3 / 0 / 2</w:t>
            </w:r>
          </w:p>
        </w:tc>
        <w:tc>
          <w:tcPr>
            <w:tcW w:type="dxa" w:w="3024"/>
          </w:tcPr>
          <w:p>
            <w:pPr>
              <w:keepNext/>
              <w:spacing w:after="20" w:before="0"/>
              <w:jc w:val="left"/>
            </w:pPr>
            <w:r>
              <w:rPr>
                <w:sz w:val="17"/>
              </w:rPr>
              <w:t>5 parça</w:t>
            </w:r>
          </w:p>
        </w:tc>
      </w:tr>
      <w:tr>
        <w:trPr>
          <w:cantSplit/>
        </w:trPr>
        <w:tc>
          <w:tcPr>
            <w:tcW w:type="dxa" w:w="3024"/>
          </w:tcPr>
          <w:p>
            <w:pPr>
              <w:keepNext/>
              <w:spacing w:after="20" w:before="0"/>
              <w:jc w:val="left"/>
            </w:pPr>
            <w:r>
              <w:rPr>
                <w:sz w:val="17"/>
              </w:rPr>
              <w:t>Model AÇIK dedi (örnek) → kapalı / açık / kararsız</w:t>
            </w:r>
          </w:p>
        </w:tc>
        <w:tc>
          <w:tcPr>
            <w:tcW w:type="dxa" w:w="3024"/>
          </w:tcPr>
          <w:p>
            <w:pPr>
              <w:keepNext/>
              <w:spacing w:after="20" w:before="0"/>
              <w:jc w:val="left"/>
            </w:pPr>
            <w:r>
              <w:rPr>
                <w:sz w:val="17"/>
              </w:rPr>
              <w:t>6 / 14 / 8</w:t>
            </w:r>
          </w:p>
        </w:tc>
        <w:tc>
          <w:tcPr>
            <w:tcW w:type="dxa" w:w="3024"/>
          </w:tcPr>
          <w:p>
            <w:pPr>
              <w:keepNext/>
              <w:spacing w:after="20" w:before="0"/>
              <w:jc w:val="left"/>
            </w:pPr>
            <w:r>
              <w:rPr>
                <w:sz w:val="17"/>
              </w:rPr>
              <w:t>28 örnek parça (%24,8)</w:t>
            </w:r>
          </w:p>
        </w:tc>
      </w:tr>
      <w:tr>
        <w:trPr>
          <w:cantSplit/>
        </w:trPr>
        <w:tc>
          <w:tcPr>
            <w:tcW w:type="dxa" w:w="3024"/>
          </w:tcPr>
          <w:p>
            <w:pPr>
              <w:keepNext/>
              <w:spacing w:after="20" w:before="0"/>
              <w:jc w:val="left"/>
            </w:pPr>
            <w:r>
              <w:rPr>
                <w:sz w:val="17"/>
              </w:rPr>
              <w:t>Kesinlik (kararsız hariç)</w:t>
            </w:r>
          </w:p>
        </w:tc>
        <w:tc>
          <w:tcPr>
            <w:tcW w:type="dxa" w:w="3024"/>
          </w:tcPr>
          <w:p>
            <w:pPr>
              <w:keepNext/>
              <w:spacing w:after="20" w:before="0"/>
              <w:jc w:val="left"/>
            </w:pPr>
            <w:r>
              <w:rPr>
                <w:sz w:val="17"/>
              </w:rPr>
              <w:t>3/3 = %100</w:t>
            </w:r>
          </w:p>
        </w:tc>
        <w:tc>
          <w:tcPr>
            <w:tcW w:type="dxa" w:w="3024"/>
          </w:tcPr>
          <w:p>
            <w:pPr>
              <w:keepNext/>
              <w:spacing w:after="20" w:before="0"/>
              <w:jc w:val="left"/>
            </w:pPr>
            <w:r>
              <w:rPr>
                <w:sz w:val="17"/>
              </w:rPr>
              <w:t>%95 Wilson aralığı %44–100; n=3</w:t>
            </w:r>
          </w:p>
        </w:tc>
      </w:tr>
      <w:tr>
        <w:trPr>
          <w:cantSplit/>
        </w:trPr>
        <w:tc>
          <w:tcPr>
            <w:tcW w:type="dxa" w:w="3024"/>
          </w:tcPr>
          <w:p>
            <w:pPr>
              <w:keepNext/>
              <w:spacing w:after="20" w:before="0"/>
              <w:jc w:val="left"/>
            </w:pPr>
            <w:r>
              <w:rPr>
                <w:sz w:val="17"/>
              </w:rPr>
              <w:t>Duyarlılık kestirimi</w:t>
            </w:r>
          </w:p>
        </w:tc>
        <w:tc>
          <w:tcPr>
            <w:tcW w:type="dxa" w:w="3024"/>
          </w:tcPr>
          <w:p>
            <w:pPr>
              <w:keepNext/>
              <w:spacing w:after="20" w:before="0"/>
              <w:jc w:val="left"/>
            </w:pPr>
            <w:r>
              <w:rPr>
                <w:sz w:val="17"/>
              </w:rPr>
              <w:t>3/27 ≈ %11</w:t>
            </w:r>
          </w:p>
        </w:tc>
        <w:tc>
          <w:tcPr>
            <w:tcW w:type="dxa" w:w="3024"/>
          </w:tcPr>
          <w:p>
            <w:pPr>
              <w:keepNext/>
              <w:spacing w:after="20" w:before="0"/>
              <w:jc w:val="left"/>
            </w:pPr>
            <w:r>
              <w:rPr>
                <w:sz w:val="17"/>
              </w:rPr>
              <w:t>tahmini ~27 gerçek kapanma</w:t>
            </w:r>
          </w:p>
        </w:tc>
      </w:tr>
      <w:tr>
        <w:trPr>
          <w:cantSplit/>
        </w:trPr>
        <w:tc>
          <w:tcPr>
            <w:tcW w:type="dxa" w:w="3024"/>
          </w:tcPr>
          <w:p>
            <w:pPr>
              <w:spacing w:after="20" w:before="0"/>
              <w:jc w:val="left"/>
            </w:pPr>
            <w:r>
              <w:rPr>
                <w:sz w:val="17"/>
              </w:rPr>
              <w:t>Yargılanamayan parça</w:t>
            </w:r>
          </w:p>
        </w:tc>
        <w:tc>
          <w:tcPr>
            <w:tcW w:type="dxa" w:w="3024"/>
          </w:tcPr>
          <w:p>
            <w:pPr>
              <w:spacing w:after="20" w:before="0"/>
              <w:jc w:val="left"/>
            </w:pPr>
            <w:r>
              <w:rPr>
                <w:sz w:val="17"/>
              </w:rPr>
              <w:t>10/33 (%30)</w:t>
            </w:r>
          </w:p>
        </w:tc>
        <w:tc>
          <w:tcPr>
            <w:tcW w:type="dxa" w:w="3024"/>
          </w:tcPr>
          <w:p>
            <w:pPr>
              <w:spacing w:after="20" w:before="0"/>
              <w:jc w:val="left"/>
            </w:pPr>
            <w:r>
              <w:rPr>
                <w:sz w:val="17"/>
              </w:rPr>
              <w:t>gölge / çözünürlük</w:t>
            </w:r>
          </w:p>
        </w:tc>
      </w:tr>
    </w:tbl>
    <w:p>
      <w:r>
        <w:t>Model yanlış alarm üretmemektedir: kapalı dediği üç karar verilebilir parçanın üçü de gerçekten kapalıdır. Ancak çok azını bulmaktadır: mahallede tahminen 27 kapanma varken üçünü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etiketleyici, ikinci görüş yok; parçaların %30'u yargılanamamış; görüntü depremden üç gün sonrasına ait olduğundan bir miktar açma çalışması başlamış olabilir; yalnız yukarıdan görünen moloz yakalanır; modelin 12 kapanmasından yalnız 5'i uçuş izinin dolu olduğu yere düşer; kararsızlar hata sayılırsa kesinlik 3/5 = %60'a iner.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iki il arasında çift yönlü bir genelleme deneyi tasarlanmıştır.</w:t>
      </w:r>
    </w:p>
    <w:p w14:paraId="3D91581A" w14:textId="64730A1F" w:rsidR="006B13C8" w:rsidRDefault="00BF64E8">
      <w:r>
        <w:t>İl-ayrık eğitim (modelin yalnız bir ilin verisiyle eğitilip diğer ilde sınanması) bu sürümde koşulmamıştır; bu nedenle bölgeler arası genelleme kaybı ölçülmemiştir. Birleşik eğitimle il bazında sınama sonuçları Bölüm 4.2'de verilmiştir: on mimarinin sınama IoU_hasar değerleri Hatay'da 0,267–0,425, Kahramanmaraş'ta 0,324–0,456 aralığındadır. İl-ayrık deney, eğitim kümesinin il etiketine göre yeniden bölünüp modellerin yeniden eğitilmesini gerektirmekte olup gelecek çalışmaya bırakılmıştır (Tablo 22).</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highlight w:val="yellow"/>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highlight w:val="yellow"/>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highlight w:val="yellow"/>
        </w:rPr>
        <w:t>Ekip–afetzede eşlemesi.</w:t>
      </w:r>
      <w:r>
        <w:rPr>
          <w:b w:val="0"/>
          <w:highlight w:val="yellow"/>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highlight w:val="yellow"/>
        </w:rPr>
        <w:t>Güzergâh iç tutarlılığı.</w:t>
      </w:r>
      <w:r>
        <w:rPr>
          <w:b w:val="0"/>
          <w:highlight w:val="yellow"/>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Bu, ayrı ve bağımsız bir yol bulucuyla çapraz doğrulanmamıştır; önceki sürümde anılan '90 görevde en fazla 0,00 m fark' denetimi bu sürümde yinelenmemiştir. Sahadaki geçilebilirliğin doğrulanması ayrı bir konudur ve burada iddia edilmemektedir.</w:t>
      </w:r>
    </w:p>
    <w:p w14:paraId="4054F514" w14:textId="17FD0B0A" w:rsidR="00B20134" w:rsidRDefault="00990031">
      <w:r>
        <w:rPr>
          <w:b/>
          <w:highlight w:val="yellow"/>
        </w:rPr>
        <w:t>Kanal ölçümleri.</w:t>
      </w:r>
      <w:r>
        <w:rPr>
          <w:b w:val="0"/>
          <w:highlight w:val="yellow"/>
        </w:rPr>
        <w:t xml:space="preserve"> Kamera kanalında 13 gerçek fotoğrafın tamamı tespit vermiş (toplam 47 çatlak, 65 bina); hibrit çıkarım medyanı 307,9 ms, en uzunu 383,0 ms'dir. Metin kanalında 18 ihbar metninin sınıflandırma medyanı 36,6 ms, en uzunu 43,0 ms'dir (gecikme, sınıflandırma katmanı düzeltilmeden önce ölçülmüştür; Bölüm 3.6); düzeltilmiş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14</w:t>
      </w:r>
      <w:r w:rsidR="00AE5951">
        <w:rPr>
          <w:b/>
          <w:noProof/>
        </w:rPr>
      </w:r>
      <w:r>
        <w:t>'te listelenmektedir.</w:t>
      </w:r>
    </w:p>
    <w:p w14:paraId="4FFFF698" w14:textId="5CF032AB" w:rsidR="00B20134" w:rsidRDefault="00990031">
      <w:pPr>
        <w:keepNext/>
      </w:pPr>
      <w:r>
        <w:rPr>
          <w:b/>
        </w:rPr>
        <w:t>Tablo 14.</w:t>
      </w:r>
      <w:r>
        <w:rPr>
          <w:b w:val="0"/>
        </w:rPr>
        <w:t xml:space="preserve"> Tatbikat kanallarının ölçümü — kamera (YOLO) ve metin (BERTurk). Değerler tespit sayısı ve gecikmedir; doğruluk (mAP, F₁) değildir.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36,6</w:t>
            </w:r>
          </w:p>
        </w:tc>
        <w:tc>
          <w:tcPr>
            <w:tcW w:type="dxa" w:w="1296"/>
          </w:tcPr>
          <w:p>
            <w:pPr>
              <w:spacing w:after="20" w:before="0"/>
              <w:jc w:val="left"/>
            </w:pPr>
            <w:r>
              <w:rPr>
                <w:sz w:val="17"/>
              </w:rPr>
              <w:t>43,0</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gecikme düzeltme öncesi ölçüldü</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highlight w:val="yellow"/>
        </w:rPr>
        <w:t>Metin kanalında bir eğilim gözlenmiştir.</w:t>
      </w:r>
      <w:r>
        <w:rPr>
          <w:b w:val="0"/>
          <w:highlight w:val="yellow"/>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165844"/>
            <wp:docPr id="56" name="Picture 56"/>
            <wp:cNvGraphicFramePr>
              <a:graphicFrameLocks noChangeAspect="1"/>
            </wp:cNvGraphicFramePr>
            <a:graphic>
              <a:graphicData uri="http://schemas.openxmlformats.org/drawingml/2006/picture">
                <pic:pic>
                  <pic:nvPicPr>
                    <pic:cNvPr id="0" name="sekil_uc_kanal_nurdagi.png"/>
                    <pic:cNvPicPr/>
                  </pic:nvPicPr>
                  <pic:blipFill>
                    <a:blip r:embed="rId62"/>
                    <a:stretch>
                      <a:fillRect/>
                    </a:stretch>
                  </pic:blipFill>
                  <pic:spPr>
                    <a:xfrm>
                      <a:off x="0" y="0"/>
                      <a:ext cx="3960000" cy="6165844"/>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highlight w:val="yellow"/>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highlight w:val="yellow"/>
        </w:rPr>
        <w:t>Ana sonuçlar Tablo 15'te verilmektedir. Kazanç keşif sayısını izler: ekip kaç kapanmaya fiilen denk gelirse kazanç o kadar büyüktür. Bu ilişkinin bir bölümü yapısaldır: farkın büyük bölümü keşif başına beyan edilen değerlendirme süresinden geldiğinden (aşağıda, Farkın ayrıştırılması), keşif sayısı ile kazanç arasındaki bağ ölçülen yol farkından çok bu süreyi yansıtır. Nurdağı'nda üç modelin üçü de beş farklı tohum kümesiyle koşabilmiş ve kazanç %54–60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%33,7 kazandırırken en iyi model %1,34 hasarla yalnız %8,3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15.</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kapanmayı bilmeyen ekip / telsizle paylaşan filo (tohum ortalaması). Ceza payı: kapanmayı bilmeyen ekibin ödediği toplam değerlendirme süresinin iki kol arasındaki toplam süre farkına oranı. Küme 1/5 satırlarında beş tohum aynı kurulumu verdiğinden kazanç ve ceza payının standart sapması yazılmamıştır.</w:t>
      </w:r>
      <w:bookmarkStart w:id="25" w:name="Tablo16"/>
      <w:bookmarkEnd w:id="25"/>
    </w:p>
    <w:tbl>
      <w:tblPr>
        <w:tblStyle w:val="TabloKlavuzu"/>
        <w:tblW w:type="pct" w:w="5000"/>
        <w:tblLook w:firstColumn="1" w:firstRow="1" w:lastColumn="0" w:lastRow="0" w:noHBand="0" w:noVBand="1" w:val="04A0"/>
        <w:jc w:val="center"/>
      </w:tblPr>
      <w:tblGrid>
        <w:gridCol w:w="879"/>
        <w:gridCol w:w="879"/>
        <w:gridCol w:w="595"/>
        <w:gridCol w:w="539"/>
        <w:gridCol w:w="595"/>
        <w:gridCol w:w="879"/>
        <w:gridCol w:w="879"/>
        <w:gridCol w:w="879"/>
        <w:gridCol w:w="822"/>
        <w:gridCol w:w="850"/>
        <w:gridCol w:w="595"/>
        <w:gridCol w:w="454"/>
      </w:tblGrid>
      <w:tr>
        <w:trPr>
          <w:cantSplit/>
          <w:tblHeader/>
        </w:trPr>
        <w:tc>
          <w:tcPr>
            <w:tcW w:type="dxa" w:w="879"/>
            <w:shd w:val="clear" w:color="auto" w:fill="E8E8E8"/>
          </w:tcPr>
          <w:p>
            <w:pPr>
              <w:keepNext/>
              <w:spacing w:after="20" w:before="0"/>
              <w:jc w:val="left"/>
            </w:pPr>
            <w:r>
              <w:rPr>
                <w:b/>
                <w:sz w:val="16"/>
              </w:rPr>
              <w:t>Alan</w:t>
            </w:r>
          </w:p>
        </w:tc>
        <w:tc>
          <w:tcPr>
            <w:tcW w:type="dxa" w:w="879"/>
            <w:shd w:val="clear" w:color="auto" w:fill="E8E8E8"/>
          </w:tcPr>
          <w:p>
            <w:pPr>
              <w:keepNext/>
              <w:spacing w:after="20" w:before="0"/>
              <w:jc w:val="left"/>
            </w:pPr>
            <w:r>
              <w:rPr>
                <w:b/>
                <w:sz w:val="16"/>
              </w:rPr>
              <w:t>Model</w:t>
            </w:r>
          </w:p>
        </w:tc>
        <w:tc>
          <w:tcPr>
            <w:tcW w:type="dxa" w:w="595"/>
            <w:shd w:val="clear" w:color="auto" w:fill="E8E8E8"/>
          </w:tcPr>
          <w:p>
            <w:pPr>
              <w:keepNext/>
              <w:spacing w:after="20" w:before="0"/>
              <w:jc w:val="left"/>
            </w:pPr>
            <w:r>
              <w:rPr>
                <w:b/>
                <w:sz w:val="16"/>
              </w:rPr>
              <w:t>Hasar</w:t>
            </w:r>
          </w:p>
        </w:tc>
        <w:tc>
          <w:tcPr>
            <w:tcW w:type="dxa" w:w="539"/>
            <w:shd w:val="clear" w:color="auto" w:fill="E8E8E8"/>
          </w:tcPr>
          <w:p>
            <w:pPr>
              <w:keepNext/>
              <w:spacing w:after="20" w:before="0"/>
              <w:jc w:val="left"/>
            </w:pPr>
            <w:r>
              <w:rPr>
                <w:b/>
                <w:sz w:val="16"/>
              </w:rPr>
              <w:t>Kapalı k.</w:t>
            </w:r>
          </w:p>
        </w:tc>
        <w:tc>
          <w:tcPr>
            <w:tcW w:type="dxa" w:w="595"/>
            <w:shd w:val="clear" w:color="auto" w:fill="E8E8E8"/>
          </w:tcPr>
          <w:p>
            <w:pPr>
              <w:keepNext/>
              <w:spacing w:after="20" w:before="0"/>
              <w:jc w:val="left"/>
            </w:pPr>
            <w:r>
              <w:rPr>
                <w:b/>
                <w:sz w:val="16"/>
              </w:rPr>
              <w:t>Afetzede</w:t>
            </w:r>
          </w:p>
        </w:tc>
        <w:tc>
          <w:tcPr>
            <w:tcW w:type="dxa" w:w="879"/>
            <w:shd w:val="clear" w:color="auto" w:fill="E8E8E8"/>
          </w:tcPr>
          <w:p>
            <w:pPr>
              <w:keepNext/>
              <w:spacing w:after="20" w:before="0"/>
              <w:jc w:val="left"/>
            </w:pPr>
            <w:r>
              <w:rPr>
                <w:b/>
                <w:sz w:val="16"/>
              </w:rPr>
              <w:t>Bilmeyen</w:t>
            </w:r>
          </w:p>
        </w:tc>
        <w:tc>
          <w:tcPr>
            <w:tcW w:type="dxa" w:w="879"/>
            <w:shd w:val="clear" w:color="auto" w:fill="E8E8E8"/>
          </w:tcPr>
          <w:p>
            <w:pPr>
              <w:keepNext/>
              <w:spacing w:after="20" w:before="0"/>
              <w:jc w:val="left"/>
            </w:pPr>
            <w:r>
              <w:rPr>
                <w:b/>
                <w:sz w:val="16"/>
              </w:rPr>
              <w:t>Telsizle paylaşan</w:t>
            </w:r>
          </w:p>
        </w:tc>
        <w:tc>
          <w:tcPr>
            <w:tcW w:type="dxa" w:w="879"/>
            <w:shd w:val="clear" w:color="auto" w:fill="E8E8E8"/>
          </w:tcPr>
          <w:p>
            <w:pPr>
              <w:keepNext/>
              <w:spacing w:after="20" w:before="0"/>
              <w:jc w:val="left"/>
            </w:pPr>
            <w:r>
              <w:rPr>
                <w:b/>
                <w:sz w:val="16"/>
              </w:rPr>
              <w:t>QuakeMind</w:t>
            </w:r>
          </w:p>
        </w:tc>
        <w:tc>
          <w:tcPr>
            <w:tcW w:type="dxa" w:w="822"/>
            <w:shd w:val="clear" w:color="auto" w:fill="E8E8E8"/>
          </w:tcPr>
          <w:p>
            <w:pPr>
              <w:keepNext/>
              <w:spacing w:after="20" w:before="0"/>
              <w:jc w:val="left"/>
            </w:pPr>
            <w:r>
              <w:rPr>
                <w:b/>
                <w:sz w:val="16"/>
              </w:rPr>
              <w:t>Kazanç</w:t>
            </w:r>
          </w:p>
        </w:tc>
        <w:tc>
          <w:tcPr>
            <w:tcW w:type="dxa" w:w="850"/>
            <w:shd w:val="clear" w:color="auto" w:fill="E8E8E8"/>
          </w:tcPr>
          <w:p>
            <w:pPr>
              <w:keepNext/>
              <w:spacing w:after="20" w:before="0"/>
              <w:jc w:val="left"/>
            </w:pPr>
            <w:r>
              <w:rPr>
                <w:b/>
                <w:sz w:val="16"/>
              </w:rPr>
              <w:t>Keşif (bilmeyen / telsiz)</w:t>
            </w:r>
          </w:p>
        </w:tc>
        <w:tc>
          <w:tcPr>
            <w:tcW w:type="dxa" w:w="595"/>
            <w:shd w:val="clear" w:color="auto" w:fill="E8E8E8"/>
          </w:tcPr>
          <w:p>
            <w:pPr>
              <w:keepNext/>
              <w:spacing w:after="20" w:before="0"/>
              <w:jc w:val="left"/>
            </w:pPr>
            <w:r>
              <w:rPr>
                <w:b/>
                <w:sz w:val="16"/>
              </w:rPr>
              <w:t>Ceza payı</w:t>
            </w:r>
          </w:p>
        </w:tc>
        <w:tc>
          <w:tcPr>
            <w:tcW w:type="dxa" w:w="454"/>
            <w:shd w:val="clear" w:color="auto" w:fill="E8E8E8"/>
          </w:tcPr>
          <w:p>
            <w:pPr>
              <w:keepNext/>
              <w:spacing w:after="20" w:before="0"/>
              <w:jc w:val="left"/>
            </w:pPr>
            <w:r>
              <w:rPr>
                <w:b/>
                <w:sz w:val="16"/>
              </w:rPr>
              <w:t>Küme</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Hızlı (MiT-B0)</w:t>
            </w:r>
          </w:p>
        </w:tc>
        <w:tc>
          <w:tcPr>
            <w:tcW w:type="dxa" w:w="595"/>
          </w:tcPr>
          <w:p>
            <w:pPr>
              <w:keepNext/>
              <w:spacing w:after="20" w:before="0"/>
              <w:jc w:val="left"/>
            </w:pPr>
            <w:r>
              <w:rPr>
                <w:sz w:val="16"/>
              </w:rPr>
              <w:t>%0,67</w:t>
            </w:r>
          </w:p>
        </w:tc>
        <w:tc>
          <w:tcPr>
            <w:tcW w:type="dxa" w:w="539"/>
          </w:tcPr>
          <w:p>
            <w:pPr>
              <w:keepNext/>
              <w:spacing w:after="20" w:before="0"/>
              <w:jc w:val="left"/>
            </w:pPr>
            <w:r>
              <w:rPr>
                <w:sz w:val="16"/>
              </w:rPr>
              <w:t>4</w:t>
            </w:r>
          </w:p>
        </w:tc>
        <w:tc>
          <w:tcPr>
            <w:tcW w:type="dxa" w:w="595"/>
          </w:tcPr>
          <w:p>
            <w:pPr>
              <w:keepNext/>
              <w:spacing w:after="20" w:before="0"/>
              <w:jc w:val="left"/>
            </w:pPr>
            <w:r>
              <w:rPr>
                <w:sz w:val="16"/>
              </w:rPr>
              <w:t>1</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22"/>
          </w:tcPr>
          <w:p>
            <w:pPr>
              <w:keepNext/>
              <w:spacing w:after="20" w:before="0"/>
              <w:jc w:val="left"/>
            </w:pPr>
            <w:r>
              <w:rPr>
                <w:sz w:val="16"/>
              </w:rPr>
              <w:t>araç rotası yok</w:t>
            </w:r>
          </w:p>
        </w:tc>
        <w:tc>
          <w:tcPr>
            <w:tcW w:type="dxa" w:w="850"/>
          </w:tcPr>
          <w:p>
            <w:pPr>
              <w:keepNext/>
              <w:spacing w:after="20" w:before="0"/>
              <w:jc w:val="left"/>
            </w:pPr>
            <w:r>
              <w:rPr>
                <w:sz w:val="16"/>
              </w:rPr>
              <w:t>—</w:t>
            </w:r>
          </w:p>
        </w:tc>
        <w:tc>
          <w:tcPr>
            <w:tcW w:type="dxa" w:w="595"/>
          </w:tcPr>
          <w:p>
            <w:pPr>
              <w:keepNext/>
              <w:spacing w:after="20" w:before="0"/>
              <w:jc w:val="left"/>
            </w:pPr>
            <w:r>
              <w:rPr>
                <w:sz w:val="16"/>
              </w:rPr>
              <w:t>—</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Dengeli (MiT-B2)</w:t>
            </w:r>
          </w:p>
        </w:tc>
        <w:tc>
          <w:tcPr>
            <w:tcW w:type="dxa" w:w="595"/>
          </w:tcPr>
          <w:p>
            <w:pPr>
              <w:keepNext/>
              <w:spacing w:after="20" w:before="0"/>
              <w:jc w:val="left"/>
            </w:pPr>
            <w:r>
              <w:rPr>
                <w:sz w:val="16"/>
              </w:rPr>
              <w:t>%1,26</w:t>
            </w:r>
          </w:p>
        </w:tc>
        <w:tc>
          <w:tcPr>
            <w:tcW w:type="dxa" w:w="539"/>
          </w:tcPr>
          <w:p>
            <w:pPr>
              <w:keepNext/>
              <w:spacing w:after="20" w:before="0"/>
              <w:jc w:val="left"/>
            </w:pPr>
            <w:r>
              <w:rPr>
                <w:sz w:val="16"/>
              </w:rPr>
              <w:t>10</w:t>
            </w:r>
          </w:p>
        </w:tc>
        <w:tc>
          <w:tcPr>
            <w:tcW w:type="dxa" w:w="595"/>
          </w:tcPr>
          <w:p>
            <w:pPr>
              <w:keepNext/>
              <w:spacing w:after="20" w:before="0"/>
              <w:jc w:val="left"/>
            </w:pPr>
            <w:r>
              <w:rPr>
                <w:sz w:val="16"/>
              </w:rPr>
              <w:t>5</w:t>
            </w:r>
          </w:p>
        </w:tc>
        <w:tc>
          <w:tcPr>
            <w:tcW w:type="dxa" w:w="879"/>
          </w:tcPr>
          <w:p>
            <w:pPr>
              <w:keepNext/>
              <w:spacing w:after="20" w:before="0"/>
              <w:jc w:val="left"/>
            </w:pPr>
            <w:r>
              <w:rPr>
                <w:sz w:val="16"/>
              </w:rPr>
              <w:t>2,03 ± 0,00</w:t>
            </w:r>
          </w:p>
        </w:tc>
        <w:tc>
          <w:tcPr>
            <w:tcW w:type="dxa" w:w="879"/>
          </w:tcPr>
          <w:p>
            <w:pPr>
              <w:keepNext/>
              <w:spacing w:after="20" w:before="0"/>
              <w:jc w:val="left"/>
            </w:pPr>
            <w:r>
              <w:rPr>
                <w:sz w:val="16"/>
              </w:rPr>
              <w:t>1,79 ± 0,00</w:t>
            </w:r>
          </w:p>
        </w:tc>
        <w:tc>
          <w:tcPr>
            <w:tcW w:type="dxa" w:w="879"/>
          </w:tcPr>
          <w:p>
            <w:pPr>
              <w:keepNext/>
              <w:spacing w:after="20" w:before="0"/>
              <w:jc w:val="left"/>
            </w:pPr>
            <w:r>
              <w:rPr>
                <w:sz w:val="16"/>
              </w:rPr>
              <w:t>1,47 ± 0,00</w:t>
            </w:r>
          </w:p>
        </w:tc>
        <w:tc>
          <w:tcPr>
            <w:tcW w:type="dxa" w:w="822"/>
          </w:tcPr>
          <w:p>
            <w:pPr>
              <w:keepNext/>
              <w:spacing w:after="20" w:before="0"/>
              <w:jc w:val="left"/>
            </w:pPr>
            <w:r>
              <w:rPr>
                <w:sz w:val="16"/>
              </w:rPr>
              <w:t>%27,5</w:t>
            </w:r>
          </w:p>
        </w:tc>
        <w:tc>
          <w:tcPr>
            <w:tcW w:type="dxa" w:w="850"/>
          </w:tcPr>
          <w:p>
            <w:pPr>
              <w:keepNext/>
              <w:spacing w:after="20" w:before="0"/>
              <w:jc w:val="left"/>
            </w:pPr>
            <w:r>
              <w:rPr>
                <w:sz w:val="16"/>
              </w:rPr>
              <w:t>8,0 / 5,0</w:t>
            </w:r>
          </w:p>
        </w:tc>
        <w:tc>
          <w:tcPr>
            <w:tcW w:type="dxa" w:w="595"/>
          </w:tcPr>
          <w:p>
            <w:pPr>
              <w:keepNext/>
              <w:spacing w:after="20" w:before="0"/>
              <w:jc w:val="left"/>
            </w:pPr>
            <w:r>
              <w:rPr>
                <w:sz w:val="16"/>
              </w:rPr>
              <w:t>%71</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En iyi (U-Net MiT-B4)</w:t>
            </w:r>
          </w:p>
        </w:tc>
        <w:tc>
          <w:tcPr>
            <w:tcW w:type="dxa" w:w="595"/>
          </w:tcPr>
          <w:p>
            <w:pPr>
              <w:keepNext/>
              <w:spacing w:after="20" w:before="0"/>
              <w:jc w:val="left"/>
            </w:pPr>
            <w:r>
              <w:rPr>
                <w:sz w:val="16"/>
              </w:rPr>
              <w:t>%1,49</w:t>
            </w:r>
          </w:p>
        </w:tc>
        <w:tc>
          <w:tcPr>
            <w:tcW w:type="dxa" w:w="539"/>
          </w:tcPr>
          <w:p>
            <w:pPr>
              <w:keepNext/>
              <w:spacing w:after="20" w:before="0"/>
              <w:jc w:val="left"/>
            </w:pPr>
            <w:r>
              <w:rPr>
                <w:sz w:val="16"/>
              </w:rPr>
              <w:t>12</w:t>
            </w:r>
          </w:p>
        </w:tc>
        <w:tc>
          <w:tcPr>
            <w:tcW w:type="dxa" w:w="595"/>
          </w:tcPr>
          <w:p>
            <w:pPr>
              <w:keepNext/>
              <w:spacing w:after="20" w:before="0"/>
              <w:jc w:val="left"/>
            </w:pPr>
            <w:r>
              <w:rPr>
                <w:sz w:val="16"/>
              </w:rPr>
              <w:t>3</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1,92 ± 0,00</w:t>
            </w:r>
          </w:p>
        </w:tc>
        <w:tc>
          <w:tcPr>
            <w:tcW w:type="dxa" w:w="822"/>
          </w:tcPr>
          <w:p>
            <w:pPr>
              <w:keepNext/>
              <w:spacing w:after="20" w:before="0"/>
              <w:jc w:val="left"/>
            </w:pPr>
            <w:r>
              <w:rPr>
                <w:sz w:val="16"/>
              </w:rPr>
              <w:t>%18,3</w:t>
            </w:r>
          </w:p>
        </w:tc>
        <w:tc>
          <w:tcPr>
            <w:tcW w:type="dxa" w:w="850"/>
          </w:tcPr>
          <w:p>
            <w:pPr>
              <w:keepNext/>
              <w:spacing w:after="20" w:before="0"/>
              <w:jc w:val="left"/>
            </w:pPr>
            <w:r>
              <w:rPr>
                <w:sz w:val="16"/>
              </w:rPr>
              <w:t>2,0 / 2,0</w:t>
            </w:r>
          </w:p>
        </w:tc>
        <w:tc>
          <w:tcPr>
            <w:tcW w:type="dxa" w:w="595"/>
          </w:tcPr>
          <w:p>
            <w:pPr>
              <w:keepNext/>
              <w:spacing w:after="20" w:before="0"/>
              <w:jc w:val="left"/>
            </w:pPr>
            <w:r>
              <w:rPr>
                <w:sz w:val="16"/>
              </w:rPr>
              <w:t>%78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%0,93</w:t>
            </w:r>
          </w:p>
        </w:tc>
        <w:tc>
          <w:tcPr>
            <w:tcW w:type="dxa" w:w="539"/>
          </w:tcPr>
          <w:p>
            <w:pPr>
              <w:keepNext/>
              <w:spacing w:after="20" w:before="0"/>
              <w:jc w:val="left"/>
            </w:pPr>
            <w:r>
              <w:rPr>
                <w:sz w:val="16"/>
              </w:rPr>
              <w:t>10</w:t>
            </w:r>
          </w:p>
        </w:tc>
        <w:tc>
          <w:tcPr>
            <w:tcW w:type="dxa" w:w="595"/>
          </w:tcPr>
          <w:p>
            <w:pPr>
              <w:keepNext/>
              <w:spacing w:after="20" w:before="0"/>
              <w:jc w:val="left"/>
            </w:pPr>
            <w:r>
              <w:rPr>
                <w:sz w:val="16"/>
              </w:rPr>
              <w:t>4</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1,28 ± 0,00</w:t>
            </w:r>
          </w:p>
        </w:tc>
        <w:tc>
          <w:tcPr>
            <w:tcW w:type="dxa" w:w="822"/>
          </w:tcPr>
          <w:p>
            <w:pPr>
              <w:keepNext/>
              <w:spacing w:after="20" w:before="0"/>
              <w:jc w:val="left"/>
            </w:pPr>
            <w:r>
              <w:rPr>
                <w:sz w:val="16"/>
              </w:rPr>
              <w:t>%8,7</w:t>
            </w:r>
          </w:p>
        </w:tc>
        <w:tc>
          <w:tcPr>
            <w:tcW w:type="dxa" w:w="850"/>
          </w:tcPr>
          <w:p>
            <w:pPr>
              <w:keepNext/>
              <w:spacing w:after="20" w:before="0"/>
              <w:jc w:val="left"/>
            </w:pPr>
            <w:r>
              <w:rPr>
                <w:sz w:val="16"/>
              </w:rPr>
              <w:t>1,0 / 1,0</w:t>
            </w:r>
          </w:p>
        </w:tc>
        <w:tc>
          <w:tcPr>
            <w:tcW w:type="dxa" w:w="595"/>
          </w:tcPr>
          <w:p>
            <w:pPr>
              <w:keepNext/>
              <w:spacing w:after="20" w:before="0"/>
              <w:jc w:val="left"/>
            </w:pPr>
            <w:r>
              <w:rPr>
                <w:sz w:val="16"/>
              </w:rPr>
              <w:t>%68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%2,06</w:t>
            </w:r>
          </w:p>
        </w:tc>
        <w:tc>
          <w:tcPr>
            <w:tcW w:type="dxa" w:w="539"/>
          </w:tcPr>
          <w:p>
            <w:pPr>
              <w:keepNext/>
              <w:spacing w:after="20" w:before="0"/>
              <w:jc w:val="left"/>
            </w:pPr>
            <w:r>
              <w:rPr>
                <w:sz w:val="16"/>
              </w:rPr>
              <w:t>16</w:t>
            </w:r>
          </w:p>
        </w:tc>
        <w:tc>
          <w:tcPr>
            <w:tcW w:type="dxa" w:w="595"/>
          </w:tcPr>
          <w:p>
            <w:pPr>
              <w:keepNext/>
              <w:spacing w:after="20" w:before="0"/>
              <w:jc w:val="left"/>
            </w:pPr>
            <w:r>
              <w:rPr>
                <w:sz w:val="16"/>
              </w:rPr>
              <w:t>5</w:t>
            </w:r>
          </w:p>
        </w:tc>
        <w:tc>
          <w:tcPr>
            <w:tcW w:type="dxa" w:w="879"/>
          </w:tcPr>
          <w:p>
            <w:pPr>
              <w:keepNext/>
              <w:spacing w:after="20" w:before="0"/>
              <w:jc w:val="left"/>
            </w:pPr>
            <w:r>
              <w:rPr>
                <w:sz w:val="16"/>
              </w:rPr>
              <w:t>1,94 ± 0,11</w:t>
            </w:r>
          </w:p>
        </w:tc>
        <w:tc>
          <w:tcPr>
            <w:tcW w:type="dxa" w:w="879"/>
          </w:tcPr>
          <w:p>
            <w:pPr>
              <w:keepNext/>
              <w:spacing w:after="20" w:before="0"/>
              <w:jc w:val="left"/>
            </w:pPr>
            <w:r>
              <w:rPr>
                <w:sz w:val="16"/>
              </w:rPr>
              <w:t>1,89 ± 0,09</w:t>
            </w:r>
          </w:p>
        </w:tc>
        <w:tc>
          <w:tcPr>
            <w:tcW w:type="dxa" w:w="879"/>
          </w:tcPr>
          <w:p>
            <w:pPr>
              <w:keepNext/>
              <w:spacing w:after="20" w:before="0"/>
              <w:jc w:val="left"/>
            </w:pPr>
            <w:r>
              <w:rPr>
                <w:sz w:val="16"/>
              </w:rPr>
              <w:t>1,28 ± 0,02</w:t>
            </w:r>
          </w:p>
        </w:tc>
        <w:tc>
          <w:tcPr>
            <w:tcW w:type="dxa" w:w="822"/>
          </w:tcPr>
          <w:p>
            <w:pPr>
              <w:keepNext/>
              <w:spacing w:after="20" w:before="0"/>
              <w:jc w:val="left"/>
            </w:pPr>
            <w:r>
              <w:rPr>
                <w:sz w:val="16"/>
              </w:rPr>
              <w:t>%33,7 ± 3,4</w:t>
            </w:r>
          </w:p>
        </w:tc>
        <w:tc>
          <w:tcPr>
            <w:tcW w:type="dxa" w:w="850"/>
          </w:tcPr>
          <w:p>
            <w:pPr>
              <w:keepNext/>
              <w:spacing w:after="20" w:before="0"/>
              <w:jc w:val="left"/>
            </w:pPr>
            <w:r>
              <w:rPr>
                <w:sz w:val="16"/>
              </w:rPr>
              <w:t>9,8 / 9,2</w:t>
            </w:r>
          </w:p>
        </w:tc>
        <w:tc>
          <w:tcPr>
            <w:tcW w:type="dxa" w:w="595"/>
          </w:tcPr>
          <w:p>
            <w:pPr>
              <w:keepNext/>
              <w:spacing w:after="20" w:before="0"/>
              <w:jc w:val="left"/>
            </w:pPr>
            <w:r>
              <w:rPr>
                <w:sz w:val="16"/>
              </w:rPr>
              <w:t>%69 ± 3</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En iyi</w:t>
            </w:r>
          </w:p>
        </w:tc>
        <w:tc>
          <w:tcPr>
            <w:tcW w:type="dxa" w:w="595"/>
          </w:tcPr>
          <w:p>
            <w:pPr>
              <w:keepNext/>
              <w:spacing w:after="20" w:before="0"/>
              <w:jc w:val="left"/>
            </w:pPr>
            <w:r>
              <w:rPr>
                <w:sz w:val="16"/>
              </w:rPr>
              <w:t>%1,34</w:t>
            </w:r>
          </w:p>
        </w:tc>
        <w:tc>
          <w:tcPr>
            <w:tcW w:type="dxa" w:w="539"/>
          </w:tcPr>
          <w:p>
            <w:pPr>
              <w:keepNext/>
              <w:spacing w:after="20" w:before="0"/>
              <w:jc w:val="left"/>
            </w:pPr>
            <w:r>
              <w:rPr>
                <w:sz w:val="16"/>
              </w:rPr>
              <w:t>12</w:t>
            </w:r>
          </w:p>
        </w:tc>
        <w:tc>
          <w:tcPr>
            <w:tcW w:type="dxa" w:w="595"/>
          </w:tcPr>
          <w:p>
            <w:pPr>
              <w:keepNext/>
              <w:spacing w:after="20" w:before="0"/>
              <w:jc w:val="left"/>
            </w:pPr>
            <w:r>
              <w:rPr>
                <w:sz w:val="16"/>
              </w:rPr>
              <w:t>5</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1,15 ± 0,06</w:t>
            </w:r>
          </w:p>
        </w:tc>
        <w:tc>
          <w:tcPr>
            <w:tcW w:type="dxa" w:w="822"/>
          </w:tcPr>
          <w:p>
            <w:pPr>
              <w:keepNext/>
              <w:spacing w:after="20" w:before="0"/>
              <w:jc w:val="left"/>
            </w:pPr>
            <w:r>
              <w:rPr>
                <w:sz w:val="16"/>
              </w:rPr>
              <w:t>%8,3 ± 2,6</w:t>
            </w:r>
          </w:p>
        </w:tc>
        <w:tc>
          <w:tcPr>
            <w:tcW w:type="dxa" w:w="850"/>
          </w:tcPr>
          <w:p>
            <w:pPr>
              <w:keepNext/>
              <w:spacing w:after="20" w:before="0"/>
              <w:jc w:val="left"/>
            </w:pPr>
            <w:r>
              <w:rPr>
                <w:sz w:val="16"/>
              </w:rPr>
              <w:t>1,8 / 1,8</w:t>
            </w:r>
          </w:p>
        </w:tc>
        <w:tc>
          <w:tcPr>
            <w:tcW w:type="dxa" w:w="595"/>
          </w:tcPr>
          <w:p>
            <w:pPr>
              <w:keepNext/>
              <w:spacing w:after="20" w:before="0"/>
              <w:jc w:val="left"/>
            </w:pPr>
            <w:r>
              <w:rPr>
                <w:sz w:val="16"/>
              </w:rPr>
              <w:t>%75 ± 2</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%3,80</w:t>
            </w:r>
          </w:p>
        </w:tc>
        <w:tc>
          <w:tcPr>
            <w:tcW w:type="dxa" w:w="539"/>
          </w:tcPr>
          <w:p>
            <w:pPr>
              <w:keepNext/>
              <w:spacing w:after="20" w:before="0"/>
              <w:jc w:val="left"/>
            </w:pPr>
            <w:r>
              <w:rPr>
                <w:sz w:val="16"/>
              </w:rPr>
              <w:t>22</w:t>
            </w:r>
          </w:p>
        </w:tc>
        <w:tc>
          <w:tcPr>
            <w:tcW w:type="dxa" w:w="595"/>
          </w:tcPr>
          <w:p>
            <w:pPr>
              <w:keepNext/>
              <w:spacing w:after="20" w:before="0"/>
              <w:jc w:val="left"/>
            </w:pPr>
            <w:r>
              <w:rPr>
                <w:sz w:val="16"/>
              </w:rPr>
              <w:t>5</w:t>
            </w:r>
          </w:p>
        </w:tc>
        <w:tc>
          <w:tcPr>
            <w:tcW w:type="dxa" w:w="879"/>
          </w:tcPr>
          <w:p>
            <w:pPr>
              <w:keepNext/>
              <w:spacing w:after="20" w:before="0"/>
              <w:jc w:val="left"/>
            </w:pPr>
            <w:r>
              <w:rPr>
                <w:sz w:val="16"/>
              </w:rPr>
              <w:t>2,93 ± 0,48</w:t>
            </w:r>
          </w:p>
        </w:tc>
        <w:tc>
          <w:tcPr>
            <w:tcW w:type="dxa" w:w="879"/>
          </w:tcPr>
          <w:p>
            <w:pPr>
              <w:keepNext/>
              <w:spacing w:after="20" w:before="0"/>
              <w:jc w:val="left"/>
            </w:pPr>
            <w:r>
              <w:rPr>
                <w:sz w:val="16"/>
              </w:rPr>
              <w:t>2,53 ± 0,26</w:t>
            </w:r>
          </w:p>
        </w:tc>
        <w:tc>
          <w:tcPr>
            <w:tcW w:type="dxa" w:w="879"/>
          </w:tcPr>
          <w:p>
            <w:pPr>
              <w:keepNext/>
              <w:spacing w:after="20" w:before="0"/>
              <w:jc w:val="left"/>
            </w:pPr>
            <w:r>
              <w:rPr>
                <w:sz w:val="16"/>
              </w:rPr>
              <w:t>1,33 ± 0,09</w:t>
            </w:r>
          </w:p>
        </w:tc>
        <w:tc>
          <w:tcPr>
            <w:tcW w:type="dxa" w:w="822"/>
          </w:tcPr>
          <w:p>
            <w:pPr>
              <w:keepNext/>
              <w:spacing w:after="20" w:before="0"/>
              <w:jc w:val="left"/>
            </w:pPr>
            <w:r>
              <w:rPr>
                <w:sz w:val="16"/>
              </w:rPr>
              <w:t>%53,9 ± 5,3</w:t>
            </w:r>
          </w:p>
        </w:tc>
        <w:tc>
          <w:tcPr>
            <w:tcW w:type="dxa" w:w="850"/>
          </w:tcPr>
          <w:p>
            <w:pPr>
              <w:keepNext/>
              <w:spacing w:after="20" w:before="0"/>
              <w:jc w:val="left"/>
            </w:pPr>
            <w:r>
              <w:rPr>
                <w:sz w:val="16"/>
              </w:rPr>
              <w:t>29,4 / 21,2</w:t>
            </w:r>
          </w:p>
        </w:tc>
        <w:tc>
          <w:tcPr>
            <w:tcW w:type="dxa" w:w="595"/>
          </w:tcPr>
          <w:p>
            <w:pPr>
              <w:keepNext/>
              <w:spacing w:after="20" w:before="0"/>
              <w:jc w:val="left"/>
            </w:pPr>
            <w:r>
              <w:rPr>
                <w:sz w:val="16"/>
              </w:rPr>
              <w:t>%73 ± 4</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%5,60</w:t>
            </w:r>
          </w:p>
        </w:tc>
        <w:tc>
          <w:tcPr>
            <w:tcW w:type="dxa" w:w="539"/>
          </w:tcPr>
          <w:p>
            <w:pPr>
              <w:keepNext/>
              <w:spacing w:after="20" w:before="0"/>
              <w:jc w:val="left"/>
            </w:pPr>
            <w:r>
              <w:rPr>
                <w:sz w:val="16"/>
              </w:rPr>
              <w:t>40</w:t>
            </w:r>
          </w:p>
        </w:tc>
        <w:tc>
          <w:tcPr>
            <w:tcW w:type="dxa" w:w="595"/>
          </w:tcPr>
          <w:p>
            <w:pPr>
              <w:keepNext/>
              <w:spacing w:after="20" w:before="0"/>
              <w:jc w:val="left"/>
            </w:pPr>
            <w:r>
              <w:rPr>
                <w:sz w:val="16"/>
              </w:rPr>
              <w:t>5</w:t>
            </w:r>
          </w:p>
        </w:tc>
        <w:tc>
          <w:tcPr>
            <w:tcW w:type="dxa" w:w="879"/>
          </w:tcPr>
          <w:p>
            <w:pPr>
              <w:keepNext/>
              <w:spacing w:after="20" w:before="0"/>
              <w:jc w:val="left"/>
            </w:pPr>
            <w:r>
              <w:rPr>
                <w:sz w:val="16"/>
              </w:rPr>
              <w:t>3,06 ± 0,52</w:t>
            </w:r>
          </w:p>
        </w:tc>
        <w:tc>
          <w:tcPr>
            <w:tcW w:type="dxa" w:w="879"/>
          </w:tcPr>
          <w:p>
            <w:pPr>
              <w:keepNext/>
              <w:spacing w:after="20" w:before="0"/>
              <w:jc w:val="left"/>
            </w:pPr>
            <w:r>
              <w:rPr>
                <w:sz w:val="16"/>
              </w:rPr>
              <w:t>2,70 ± 0,43</w:t>
            </w:r>
          </w:p>
        </w:tc>
        <w:tc>
          <w:tcPr>
            <w:tcW w:type="dxa" w:w="879"/>
          </w:tcPr>
          <w:p>
            <w:pPr>
              <w:keepNext/>
              <w:spacing w:after="20" w:before="0"/>
              <w:jc w:val="left"/>
            </w:pPr>
            <w:r>
              <w:rPr>
                <w:sz w:val="16"/>
              </w:rPr>
              <w:t>1,21 ± 0,07</w:t>
            </w:r>
          </w:p>
        </w:tc>
        <w:tc>
          <w:tcPr>
            <w:tcW w:type="dxa" w:w="822"/>
          </w:tcPr>
          <w:p>
            <w:pPr>
              <w:keepNext/>
              <w:spacing w:after="20" w:before="0"/>
              <w:jc w:val="left"/>
            </w:pPr>
            <w:r>
              <w:rPr>
                <w:sz w:val="16"/>
              </w:rPr>
              <w:t>%59,6 ± 5,5</w:t>
            </w:r>
          </w:p>
        </w:tc>
        <w:tc>
          <w:tcPr>
            <w:tcW w:type="dxa" w:w="850"/>
          </w:tcPr>
          <w:p>
            <w:pPr>
              <w:keepNext/>
              <w:spacing w:after="20" w:before="0"/>
              <w:jc w:val="left"/>
            </w:pPr>
            <w:r>
              <w:rPr>
                <w:sz w:val="16"/>
              </w:rPr>
              <w:t>34,2 / 27,4</w:t>
            </w:r>
          </w:p>
        </w:tc>
        <w:tc>
          <w:tcPr>
            <w:tcW w:type="dxa" w:w="595"/>
          </w:tcPr>
          <w:p>
            <w:pPr>
              <w:keepNext/>
              <w:spacing w:after="20" w:before="0"/>
              <w:jc w:val="left"/>
            </w:pPr>
            <w:r>
              <w:rPr>
                <w:sz w:val="16"/>
              </w:rPr>
              <w:t>%74 ± 3</w:t>
            </w:r>
          </w:p>
        </w:tc>
        <w:tc>
          <w:tcPr>
            <w:tcW w:type="dxa" w:w="454"/>
          </w:tcPr>
          <w:p>
            <w:pPr>
              <w:keepNext/>
              <w:spacing w:after="20" w:before="0"/>
              <w:jc w:val="left"/>
            </w:pPr>
            <w:r>
              <w:rPr>
                <w:sz w:val="16"/>
              </w:rPr>
              <w:t>5/5</w:t>
            </w:r>
          </w:p>
        </w:tc>
      </w:tr>
      <w:tr>
        <w:trPr>
          <w:cantSplit/>
        </w:trPr>
        <w:tc>
          <w:tcPr>
            <w:tcW w:type="dxa" w:w="879"/>
          </w:tcPr>
          <w:p>
            <w:pPr>
              <w:spacing w:after="20" w:before="0"/>
              <w:jc w:val="left"/>
            </w:pPr>
            <w:r>
              <w:rPr>
                <w:sz w:val="16"/>
              </w:rPr>
              <w:t>Nurdağı</w:t>
            </w:r>
          </w:p>
        </w:tc>
        <w:tc>
          <w:tcPr>
            <w:tcW w:type="dxa" w:w="879"/>
          </w:tcPr>
          <w:p>
            <w:pPr>
              <w:spacing w:after="20" w:before="0"/>
              <w:jc w:val="left"/>
            </w:pPr>
            <w:r>
              <w:rPr>
                <w:sz w:val="16"/>
              </w:rPr>
              <w:t>En iyi</w:t>
            </w:r>
          </w:p>
        </w:tc>
        <w:tc>
          <w:tcPr>
            <w:tcW w:type="dxa" w:w="595"/>
          </w:tcPr>
          <w:p>
            <w:pPr>
              <w:spacing w:after="20" w:before="0"/>
              <w:jc w:val="left"/>
            </w:pPr>
            <w:r>
              <w:rPr>
                <w:sz w:val="16"/>
              </w:rPr>
              <w:t>%3,55</w:t>
            </w:r>
          </w:p>
        </w:tc>
        <w:tc>
          <w:tcPr>
            <w:tcW w:type="dxa" w:w="539"/>
          </w:tcPr>
          <w:p>
            <w:pPr>
              <w:spacing w:after="20" w:before="0"/>
              <w:jc w:val="left"/>
            </w:pPr>
            <w:r>
              <w:rPr>
                <w:sz w:val="16"/>
              </w:rPr>
              <w:t>26</w:t>
            </w:r>
          </w:p>
        </w:tc>
        <w:tc>
          <w:tcPr>
            <w:tcW w:type="dxa" w:w="595"/>
          </w:tcPr>
          <w:p>
            <w:pPr>
              <w:spacing w:after="20" w:before="0"/>
              <w:jc w:val="left"/>
            </w:pPr>
            <w:r>
              <w:rPr>
                <w:sz w:val="16"/>
              </w:rPr>
              <w:t>5</w:t>
            </w:r>
          </w:p>
        </w:tc>
        <w:tc>
          <w:tcPr>
            <w:tcW w:type="dxa" w:w="879"/>
          </w:tcPr>
          <w:p>
            <w:pPr>
              <w:spacing w:after="20" w:before="0"/>
              <w:jc w:val="left"/>
            </w:pPr>
            <w:r>
              <w:rPr>
                <w:sz w:val="16"/>
              </w:rPr>
              <w:t>3,82 ± 0,67</w:t>
            </w:r>
          </w:p>
        </w:tc>
        <w:tc>
          <w:tcPr>
            <w:tcW w:type="dxa" w:w="879"/>
          </w:tcPr>
          <w:p>
            <w:pPr>
              <w:spacing w:after="20" w:before="0"/>
              <w:jc w:val="left"/>
            </w:pPr>
            <w:r>
              <w:rPr>
                <w:sz w:val="16"/>
              </w:rPr>
              <w:t>3,24 ± 0,59</w:t>
            </w:r>
          </w:p>
        </w:tc>
        <w:tc>
          <w:tcPr>
            <w:tcW w:type="dxa" w:w="879"/>
          </w:tcPr>
          <w:p>
            <w:pPr>
              <w:spacing w:after="20" w:before="0"/>
              <w:jc w:val="left"/>
            </w:pPr>
            <w:r>
              <w:rPr>
                <w:sz w:val="16"/>
              </w:rPr>
              <w:t>1,51 ± 0,14</w:t>
            </w:r>
          </w:p>
        </w:tc>
        <w:tc>
          <w:tcPr>
            <w:tcW w:type="dxa" w:w="822"/>
          </w:tcPr>
          <w:p>
            <w:pPr>
              <w:spacing w:after="20" w:before="0"/>
              <w:jc w:val="left"/>
            </w:pPr>
            <w:r>
              <w:rPr>
                <w:sz w:val="16"/>
              </w:rPr>
              <w:t>%60,0 ± 3,2</w:t>
            </w:r>
          </w:p>
        </w:tc>
        <w:tc>
          <w:tcPr>
            <w:tcW w:type="dxa" w:w="850"/>
          </w:tcPr>
          <w:p>
            <w:pPr>
              <w:spacing w:after="20" w:before="0"/>
              <w:jc w:val="left"/>
            </w:pPr>
            <w:r>
              <w:rPr>
                <w:sz w:val="16"/>
              </w:rPr>
              <w:t>43,8 / 32,0</w:t>
            </w:r>
          </w:p>
        </w:tc>
        <w:tc>
          <w:tcPr>
            <w:tcW w:type="dxa" w:w="595"/>
          </w:tcPr>
          <w:p>
            <w:pPr>
              <w:spacing w:after="20" w:before="0"/>
              <w:jc w:val="left"/>
            </w:pPr>
            <w:r>
              <w:rPr>
                <w:sz w:val="16"/>
              </w:rPr>
              <w:t>%76 ± 2</w:t>
            </w:r>
          </w:p>
        </w:tc>
        <w:tc>
          <w:tcPr>
            <w:tcW w:type="dxa" w:w="454"/>
          </w:tcPr>
          <w:p>
            <w:pPr>
              <w:spacing w:after="20" w:before="0"/>
              <w:jc w:val="left"/>
            </w:pPr>
            <w:r>
              <w:rPr>
                <w:sz w:val="16"/>
              </w:rPr>
              <w:t>5/5</w:t>
            </w:r>
          </w:p>
        </w:tc>
      </w:tr>
    </w:tbl>
    <w:p w14:paraId="6FC4A208" w14:textId="77777777" w:rsidR="00B20134" w:rsidRDefault="00B20134"/>
    <w:p w14:paraId="55E29BAE" w14:textId="7646D212" w:rsidR="00B20134" w:rsidRDefault="00990031">
      <w:r>
        <w:rPr>
          <w:b/>
          <w:highlight w:val="yellow"/>
        </w:rPr>
        <w:t>Farkın ayrıştırılması.</w:t>
      </w:r>
      <w:r>
        <w:rPr>
          <w:b w:val="0"/>
          <w:highlight w:val="yellow"/>
        </w:rPr>
        <w:t xml:space="preserve"> Kapanmayı bilmeyen ekip ile QuakeMind arasındaki süre farkı iki bileşenden oluşur (Denklem 11): ekibin fiilen fazladan sürdüğü yol ve dönüşlerden gelen fark ile kapanmaya her varışta yüklenen beyan edilmiş değerlendirme süresi (1,0 dk). Tablo 15'in ceza payı sütunu bu ayrımı ölçer: her tohumda, kapanmayı bilmeyen ekibin ortak görevlerde ödediği toplam değerlendirme süresinin iki kol arasındaki toplam süre farkına oranı. Pay %68–78 aralığındadır (Nurdağı'nda %73–76); yani keşif başına yalnız 1,0 dakikalık bir değerlendirme süresiyle bile farkın büyük bölümü bu beyan edilmiş süreden, kalanı çizgede fiilen fazladan sürülen yol ve dönüşlerden gelmektedir. 20 dakikalık sabit kaldırılmış olsa da sonuç bu nedenle değerlendirme süresine duyarlılığıyla birlikte bant olarak verilmiştir (Bölüm 4.9, Tablo 19).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highlight w:val="yellow"/>
        </w:rPr>
        <w:t>Telsizle paylaşan filo.</w:t>
      </w:r>
      <w:r>
        <w:rPr>
          <w:b w:val="0"/>
          <w:highlight w:val="yellow"/>
        </w:rPr>
        <w:t xml:space="preserve"> Bir ekibin keşfettiği kapanmanın anında tüm ekiplere yayıldığı bu kol, kapanmayı bilmeyen ekip ile QuakeMind arasında bir orta noktadır ve kazancın bir bölümünü yakalar (Nurdağı, en iyi model: kapanmayı bilmeyen 3,82 dk → telsizle paylaşan 3,24 dk → QuakeMind 1,51 dk); paylaşım keşif sayısını da düşürür (43,8 → 32,0).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16.</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%53,9 ± 5,3</w:t>
            </w:r>
          </w:p>
        </w:tc>
        <w:tc>
          <w:tcPr>
            <w:tcW w:type="dxa" w:w="1296"/>
          </w:tcPr>
          <w:p>
            <w:pPr>
              <w:keepNext/>
              <w:spacing w:after="20" w:before="0"/>
              <w:jc w:val="left"/>
            </w:pPr>
            <w:r>
              <w:rPr>
                <w:sz w:val="17"/>
              </w:rPr>
              <w:t>%8,7</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%59,6 ± 5,5</w:t>
            </w:r>
          </w:p>
        </w:tc>
        <w:tc>
          <w:tcPr>
            <w:tcW w:type="dxa" w:w="1296"/>
          </w:tcPr>
          <w:p>
            <w:pPr>
              <w:keepNext/>
              <w:spacing w:after="20" w:before="0"/>
              <w:jc w:val="left"/>
            </w:pPr>
            <w:r>
              <w:rPr>
                <w:sz w:val="17"/>
              </w:rPr>
              <w:t>%33,7 ± 3,4</w:t>
            </w:r>
          </w:p>
        </w:tc>
        <w:tc>
          <w:tcPr>
            <w:tcW w:type="dxa" w:w="1296"/>
          </w:tcPr>
          <w:p>
            <w:pPr>
              <w:keepNext/>
              <w:spacing w:after="20" w:before="0"/>
              <w:jc w:val="left"/>
            </w:pPr>
            <w:r>
              <w:rPr>
                <w:sz w:val="17"/>
              </w:rPr>
              <w:t>%27,5</w:t>
            </w:r>
          </w:p>
        </w:tc>
      </w:tr>
      <w:tr>
        <w:trPr>
          <w:cantSplit/>
        </w:trPr>
        <w:tc>
          <w:tcPr>
            <w:tcW w:type="dxa" w:w="1296"/>
          </w:tcPr>
          <w:p>
            <w:pPr>
              <w:spacing w:after="20" w:before="0"/>
              <w:jc w:val="left"/>
            </w:pPr>
            <w:r>
              <w:rPr>
                <w:sz w:val="17"/>
              </w:rPr>
              <w:t>En iyi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%60,0 ± 3,2</w:t>
            </w:r>
          </w:p>
        </w:tc>
        <w:tc>
          <w:tcPr>
            <w:tcW w:type="dxa" w:w="1296"/>
          </w:tcPr>
          <w:p>
            <w:pPr>
              <w:spacing w:after="20" w:before="0"/>
              <w:jc w:val="left"/>
            </w:pPr>
            <w:r>
              <w:rPr>
                <w:sz w:val="17"/>
              </w:rPr>
              <w:t>%8,3 ± 2,6</w:t>
            </w:r>
          </w:p>
        </w:tc>
        <w:tc>
          <w:tcPr>
            <w:tcW w:type="dxa" w:w="1296"/>
          </w:tcPr>
          <w:p>
            <w:pPr>
              <w:spacing w:after="20" w:before="0"/>
              <w:jc w:val="left"/>
            </w:pPr>
            <w:r>
              <w:rPr>
                <w:sz w:val="17"/>
              </w:rPr>
              <w:t>%18,3</w:t>
            </w:r>
          </w:p>
        </w:tc>
      </w:tr>
    </w:tbl>
    <w:p w14:paraId="77B734DF" w14:textId="77777777" w:rsidR="00B20134" w:rsidRDefault="00B20134"/>
    <w:p w14:paraId="4A744BB1" w14:textId="3CA297B0" w:rsidR="00B20134" w:rsidRDefault="00990031">
      <w:r>
        <w:rPr>
          <w:highlight w:val="yellow"/>
        </w:rPr>
        <w:t>Tablo 16, model seçiminin karşılığını göstermektedir. Çıkarım süresini 5,5 kat artırmak (1,91 → 10,50 sn) sınama IoU'sunu yalnız 0,051 yükseltmekte, operasyonel kazancı tek yönlü artırmamaktadır: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highlight w:val="yellow"/>
        </w:rPr>
        <w:t>Kazancın dağılımı.</w:t>
      </w:r>
      <w:r>
        <w:rPr>
          <w:b w:val="0"/>
          <w:highlight w:val="yellow"/>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58" name="Picture 58"/>
                  <wp:cNvGraphicFramePr>
                    <a:graphicFrameLocks noChangeAspect="1"/>
                  </wp:cNvGraphicFramePr>
                  <a:graphic>
                    <a:graphicData uri="http://schemas.openxmlformats.org/drawingml/2006/picture">
                      <pic:pic>
                        <pic:nvPicPr>
                          <pic:cNvPr id="0" name="sekil_kiyas_kollari.png"/>
                          <pic:cNvPicPr/>
                        </pic:nvPicPr>
                        <pic:blipFill>
                          <a:blip r:embed="rId64"/>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685079"/>
                  <wp:docPr id="59" name="Picture 59"/>
                  <wp:cNvGraphicFramePr>
                    <a:graphicFrameLocks noChangeAspect="1"/>
                  </wp:cNvGraphicFramePr>
                  <a:graphic>
                    <a:graphicData uri="http://schemas.openxmlformats.org/drawingml/2006/picture">
                      <pic:pic>
                        <pic:nvPicPr>
                          <pic:cNvPr id="0" name="sekil_duyarlilik.png"/>
                          <pic:cNvPicPr/>
                        </pic:nvPicPr>
                        <pic:blipFill>
                          <a:blip r:embed="rId65"/>
                          <a:stretch>
                            <a:fillRect/>
                          </a:stretch>
                        </pic:blipFill>
                        <pic:spPr>
                          <a:xfrm>
                            <a:off x="0" y="0"/>
                            <a:ext cx="2844000" cy="1685079"/>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duyarlılığı (U-Net MiT-B4, tohum 42; Tablo 19);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17):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95,0 m (%32,5) iken süre cinsinden 0,43 dk (%61,4),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17.</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Uzama ortalaması 25 ekip–afetzede çiftinin tamamından alınmıştır (hepsi araçla tamamlanmıştır).</w:t>
      </w:r>
      <w:bookmarkStart w:id="29" w:name="Tablo18"/>
      <w:bookmarkEnd w:id="29"/>
    </w:p>
    <w:tbl>
      <w:tblPr>
        <w:tblStyle w:val="TabloKlavuzu"/>
        <w:tblW w:type="pct" w:w="5000"/>
        <w:tblLook w:firstColumn="1" w:firstRow="1" w:lastColumn="0" w:lastRow="0" w:noHBand="0" w:noVBand="1" w:val="04A0"/>
        <w:jc w:val="center"/>
      </w:tblPr>
      <w:tblGrid>
        <w:gridCol w:w="1361"/>
        <w:gridCol w:w="1304"/>
        <w:gridCol w:w="1304"/>
        <w:gridCol w:w="1304"/>
        <w:gridCol w:w="3798"/>
      </w:tblGrid>
      <w:tr>
        <w:trPr>
          <w:cantSplit/>
          <w:tblHeader/>
        </w:trPr>
        <w:tc>
          <w:tcPr>
            <w:tcW w:type="dxa" w:w="1361"/>
            <w:shd w:val="clear" w:color="auto" w:fill="E8E8E8"/>
          </w:tcPr>
          <w:p>
            <w:pPr>
              <w:keepNext/>
              <w:spacing w:after="20" w:before="0"/>
              <w:jc w:val="left"/>
            </w:pPr>
            <w:r>
              <w:rPr>
                <w:b/>
                <w:sz w:val="17"/>
              </w:rPr>
              <w:t>Görev</w:t>
            </w:r>
          </w:p>
        </w:tc>
        <w:tc>
          <w:tcPr>
            <w:tcW w:type="dxa" w:w="1304"/>
            <w:shd w:val="clear" w:color="auto" w:fill="E8E8E8"/>
          </w:tcPr>
          <w:p>
            <w:pPr>
              <w:keepNext/>
              <w:spacing w:after="20" w:before="0"/>
              <w:jc w:val="left"/>
            </w:pPr>
            <w:r>
              <w:rPr>
                <w:b/>
                <w:sz w:val="17"/>
              </w:rPr>
              <w:t>Gri (kapanma yok)</w:t>
            </w:r>
          </w:p>
        </w:tc>
        <w:tc>
          <w:tcPr>
            <w:tcW w:type="dxa" w:w="1304"/>
            <w:shd w:val="clear" w:color="auto" w:fill="E8E8E8"/>
          </w:tcPr>
          <w:p>
            <w:pPr>
              <w:keepNext/>
              <w:spacing w:after="20" w:before="0"/>
              <w:jc w:val="left"/>
            </w:pPr>
            <w:r>
              <w:rPr>
                <w:b/>
                <w:sz w:val="17"/>
              </w:rPr>
              <w:t>Mavi (fiilen gidilen)</w:t>
            </w:r>
          </w:p>
        </w:tc>
        <w:tc>
          <w:tcPr>
            <w:tcW w:type="dxa" w:w="1304"/>
            <w:shd w:val="clear" w:color="auto" w:fill="E8E8E8"/>
          </w:tcPr>
          <w:p>
            <w:pPr>
              <w:keepNext/>
              <w:spacing w:after="20" w:before="0"/>
              <w:jc w:val="left"/>
            </w:pPr>
            <w:r>
              <w:rPr>
                <w:b/>
                <w:sz w:val="17"/>
              </w:rPr>
              <w:t>Sarı (enkazdan uzak)</w:t>
            </w:r>
          </w:p>
        </w:tc>
        <w:tc>
          <w:tcPr>
            <w:tcW w:type="dxa" w:w="3798"/>
            <w:shd w:val="clear" w:color="auto" w:fill="E8E8E8"/>
          </w:tcPr>
          <w:p>
            <w:pPr>
              <w:keepNext/>
              <w:spacing w:after="20" w:before="0"/>
              <w:jc w:val="left"/>
            </w:pPr>
            <w:r>
              <w:rPr>
                <w:b/>
                <w:sz w:val="17"/>
              </w:rPr>
              <w:t>Okunuşu</w:t>
            </w:r>
          </w:p>
        </w:tc>
      </w:tr>
      <w:tr>
        <w:trPr>
          <w:cantSplit/>
        </w:trPr>
        <w:tc>
          <w:tcPr>
            <w:tcW w:type="dxa" w:w="1361"/>
          </w:tcPr>
          <w:p>
            <w:pPr>
              <w:keepNext/>
              <w:spacing w:after="20" w:before="0"/>
              <w:jc w:val="left"/>
            </w:pPr>
            <w:r>
              <w:rPr>
                <w:sz w:val="17"/>
              </w:rPr>
              <w:t>Ekip 1</w:t>
            </w:r>
          </w:p>
        </w:tc>
        <w:tc>
          <w:tcPr>
            <w:tcW w:type="dxa" w:w="1304"/>
          </w:tcPr>
          <w:p>
            <w:pPr>
              <w:keepNext/>
              <w:spacing w:after="20" w:before="0"/>
              <w:jc w:val="left"/>
            </w:pPr>
            <w:r>
              <w:rPr>
                <w:sz w:val="17"/>
              </w:rPr>
              <w:t>467 m</w:t>
            </w:r>
          </w:p>
        </w:tc>
        <w:tc>
          <w:tcPr>
            <w:tcW w:type="dxa" w:w="1304"/>
          </w:tcPr>
          <w:p>
            <w:pPr>
              <w:keepNext/>
              <w:spacing w:after="20" w:before="0"/>
              <w:jc w:val="left"/>
            </w:pPr>
            <w:r>
              <w:rPr>
                <w:sz w:val="17"/>
              </w:rPr>
              <w:t>462 m</w:t>
            </w:r>
          </w:p>
        </w:tc>
        <w:tc>
          <w:tcPr>
            <w:tcW w:type="dxa" w:w="1304"/>
          </w:tcPr>
          <w:p>
            <w:pPr>
              <w:keepNext/>
              <w:spacing w:after="20" w:before="0"/>
              <w:jc w:val="left"/>
            </w:pPr>
            <w:r>
              <w:rPr>
                <w:sz w:val="17"/>
              </w:rPr>
              <w:t>462 m</w:t>
            </w:r>
          </w:p>
        </w:tc>
        <w:tc>
          <w:tcPr>
            <w:tcW w:type="dxa" w:w="3798"/>
          </w:tcPr>
          <w:p>
            <w:pPr>
              <w:keepNext/>
              <w:spacing w:after="20" w:before="0"/>
              <w:jc w:val="left"/>
            </w:pPr>
            <w:r>
              <w:rPr>
                <w:sz w:val="17"/>
              </w:rPr>
              <w:t>kapanma rotayı değiştiriyor: metrede kısa (467 → 462 m), sürede uzun (0,9 → 1,0 dk)</w:t>
            </w:r>
          </w:p>
        </w:tc>
      </w:tr>
      <w:tr>
        <w:trPr>
          <w:cantSplit/>
        </w:trPr>
        <w:tc>
          <w:tcPr>
            <w:tcW w:type="dxa" w:w="1361"/>
          </w:tcPr>
          <w:p>
            <w:pPr>
              <w:keepNext/>
              <w:spacing w:after="20" w:before="0"/>
              <w:jc w:val="left"/>
            </w:pPr>
            <w:r>
              <w:rPr>
                <w:sz w:val="17"/>
              </w:rPr>
              <w:t>Ekip 2</w:t>
            </w:r>
          </w:p>
        </w:tc>
        <w:tc>
          <w:tcPr>
            <w:tcW w:type="dxa" w:w="1304"/>
          </w:tcPr>
          <w:p>
            <w:pPr>
              <w:keepNext/>
              <w:spacing w:after="20" w:before="0"/>
              <w:jc w:val="left"/>
            </w:pPr>
            <w:r>
              <w:rPr>
                <w:sz w:val="17"/>
              </w:rPr>
              <w:t>463 m</w:t>
            </w:r>
          </w:p>
        </w:tc>
        <w:tc>
          <w:tcPr>
            <w:tcW w:type="dxa" w:w="1304"/>
          </w:tcPr>
          <w:p>
            <w:pPr>
              <w:keepNext/>
              <w:spacing w:after="20" w:before="0"/>
              <w:jc w:val="left"/>
            </w:pPr>
            <w:r>
              <w:rPr>
                <w:sz w:val="17"/>
              </w:rPr>
              <w:t>820 m</w:t>
            </w:r>
          </w:p>
        </w:tc>
        <w:tc>
          <w:tcPr>
            <w:tcW w:type="dxa" w:w="1304"/>
          </w:tcPr>
          <w:p>
            <w:pPr>
              <w:keepNext/>
              <w:spacing w:after="20" w:before="0"/>
              <w:jc w:val="left"/>
            </w:pPr>
            <w:r>
              <w:rPr>
                <w:sz w:val="17"/>
              </w:rPr>
              <w:t>820 m</w:t>
            </w:r>
          </w:p>
        </w:tc>
        <w:tc>
          <w:tcPr>
            <w:tcW w:type="dxa" w:w="3798"/>
          </w:tcPr>
          <w:p>
            <w:pPr>
              <w:keepNext/>
              <w:spacing w:after="20" w:before="0"/>
              <w:jc w:val="left"/>
            </w:pPr>
            <w:r>
              <w:rPr>
                <w:sz w:val="17"/>
              </w:rPr>
              <w:t>kapanma 357 m dolaştırıyor (0,7 → 2,5 dk)</w:t>
            </w:r>
          </w:p>
        </w:tc>
      </w:tr>
      <w:tr>
        <w:trPr>
          <w:cantSplit/>
        </w:trPr>
        <w:tc>
          <w:tcPr>
            <w:tcW w:type="dxa" w:w="1361"/>
          </w:tcPr>
          <w:p>
            <w:pPr>
              <w:keepNext/>
              <w:spacing w:after="20" w:before="0"/>
              <w:jc w:val="left"/>
            </w:pPr>
            <w:r>
              <w:rPr>
                <w:sz w:val="17"/>
              </w:rPr>
              <w:t>Ekip 3</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975 m</w:t>
            </w:r>
          </w:p>
        </w:tc>
        <w:tc>
          <w:tcPr>
            <w:tcW w:type="dxa" w:w="3798"/>
          </w:tcPr>
          <w:p>
            <w:pPr>
              <w:keepNext/>
              <w:spacing w:after="20" w:before="0"/>
              <w:jc w:val="left"/>
            </w:pPr>
            <w:r>
              <w:rPr>
                <w:sz w:val="17"/>
              </w:rPr>
              <w:t>yol kapalı değil ama sarı enkazdan uzak duruyor</w:t>
            </w:r>
          </w:p>
        </w:tc>
      </w:tr>
      <w:tr>
        <w:trPr>
          <w:cantSplit/>
        </w:trPr>
        <w:tc>
          <w:tcPr>
            <w:tcW w:type="dxa" w:w="1361"/>
          </w:tcPr>
          <w:p>
            <w:pPr>
              <w:keepNext/>
              <w:spacing w:after="20" w:before="0"/>
              <w:jc w:val="left"/>
            </w:pPr>
            <w:r>
              <w:rPr>
                <w:sz w:val="17"/>
              </w:rPr>
              <w:t>Ekip 4</w:t>
            </w:r>
          </w:p>
        </w:tc>
        <w:tc>
          <w:tcPr>
            <w:tcW w:type="dxa" w:w="1304"/>
          </w:tcPr>
          <w:p>
            <w:pPr>
              <w:keepNext/>
              <w:spacing w:after="20" w:before="0"/>
              <w:jc w:val="left"/>
            </w:pPr>
            <w:r>
              <w:rPr>
                <w:sz w:val="17"/>
              </w:rPr>
              <w:t>542 m</w:t>
            </w:r>
          </w:p>
        </w:tc>
        <w:tc>
          <w:tcPr>
            <w:tcW w:type="dxa" w:w="1304"/>
          </w:tcPr>
          <w:p>
            <w:pPr>
              <w:keepNext/>
              <w:spacing w:after="20" w:before="0"/>
              <w:jc w:val="left"/>
            </w:pPr>
            <w:r>
              <w:rPr>
                <w:sz w:val="17"/>
              </w:rPr>
              <w:t>704 m</w:t>
            </w:r>
          </w:p>
        </w:tc>
        <w:tc>
          <w:tcPr>
            <w:tcW w:type="dxa" w:w="1304"/>
          </w:tcPr>
          <w:p>
            <w:pPr>
              <w:keepNext/>
              <w:spacing w:after="20" w:before="0"/>
              <w:jc w:val="left"/>
            </w:pPr>
            <w:r>
              <w:rPr>
                <w:sz w:val="17"/>
              </w:rPr>
              <w:t>724 m</w:t>
            </w:r>
          </w:p>
        </w:tc>
        <w:tc>
          <w:tcPr>
            <w:tcW w:type="dxa" w:w="3798"/>
          </w:tcPr>
          <w:p>
            <w:pPr>
              <w:keepNext/>
              <w:spacing w:after="20" w:before="0"/>
              <w:jc w:val="left"/>
            </w:pPr>
            <w:r>
              <w:rPr>
                <w:sz w:val="17"/>
              </w:rPr>
              <w:t>kapanma 162 m dolaştırıyor (1,2 → 1,6 dk)</w:t>
            </w:r>
          </w:p>
        </w:tc>
      </w:tr>
      <w:tr>
        <w:trPr>
          <w:cantSplit/>
        </w:trPr>
        <w:tc>
          <w:tcPr>
            <w:tcW w:type="dxa" w:w="1361"/>
          </w:tcPr>
          <w:p>
            <w:pPr>
              <w:keepNext/>
              <w:spacing w:after="20" w:before="0"/>
              <w:jc w:val="left"/>
            </w:pPr>
            <w:r>
              <w:rPr>
                <w:sz w:val="17"/>
              </w:rPr>
              <w:t>Ekip 5</w:t>
            </w:r>
          </w:p>
        </w:tc>
        <w:tc>
          <w:tcPr>
            <w:tcW w:type="dxa" w:w="1304"/>
          </w:tcPr>
          <w:p>
            <w:pPr>
              <w:keepNext/>
              <w:spacing w:after="20" w:before="0"/>
              <w:jc w:val="left"/>
            </w:pPr>
            <w:r>
              <w:rPr>
                <w:sz w:val="17"/>
              </w:rPr>
              <w:t>449 m</w:t>
            </w:r>
          </w:p>
        </w:tc>
        <w:tc>
          <w:tcPr>
            <w:tcW w:type="dxa" w:w="1304"/>
          </w:tcPr>
          <w:p>
            <w:pPr>
              <w:keepNext/>
              <w:spacing w:after="20" w:before="0"/>
              <w:jc w:val="left"/>
            </w:pPr>
            <w:r>
              <w:rPr>
                <w:sz w:val="17"/>
              </w:rPr>
              <w:t>400 m</w:t>
            </w:r>
          </w:p>
        </w:tc>
        <w:tc>
          <w:tcPr>
            <w:tcW w:type="dxa" w:w="1304"/>
          </w:tcPr>
          <w:p>
            <w:pPr>
              <w:keepNext/>
              <w:spacing w:after="20" w:before="0"/>
              <w:jc w:val="left"/>
            </w:pPr>
            <w:r>
              <w:rPr>
                <w:sz w:val="17"/>
              </w:rPr>
              <w:t>466 m</w:t>
            </w:r>
          </w:p>
        </w:tc>
        <w:tc>
          <w:tcPr>
            <w:tcW w:type="dxa" w:w="3798"/>
          </w:tcPr>
          <w:p>
            <w:pPr>
              <w:keepNext/>
              <w:spacing w:after="20" w:before="0"/>
              <w:jc w:val="left"/>
            </w:pPr>
            <w:r>
              <w:rPr>
                <w:sz w:val="17"/>
              </w:rPr>
              <w:t>metrede kısa (449 → 400 m), sürede uzun (0,8 → 1,0 dk)</w:t>
            </w:r>
          </w:p>
        </w:tc>
      </w:tr>
      <w:tr>
        <w:trPr>
          <w:cantSplit/>
        </w:trPr>
        <w:tc>
          <w:tcPr>
            <w:tcW w:type="dxa" w:w="1361"/>
          </w:tcPr>
          <w:p>
            <w:pPr>
              <w:spacing w:after="20" w:before="0"/>
              <w:jc w:val="left"/>
            </w:pPr>
            <w:r>
              <w:rPr>
                <w:sz w:val="17"/>
              </w:rPr>
              <w:t>Ortalama uzama (mavi, griye göre)</w:t>
            </w:r>
          </w:p>
        </w:tc>
        <w:tc>
          <w:tcPr>
            <w:tcW w:type="dxa" w:w="1304"/>
          </w:tcPr>
          <w:p>
            <w:pPr>
              <w:spacing w:after="20" w:before="0"/>
              <w:jc w:val="left"/>
            </w:pPr>
            <w:r>
              <w:rPr>
                <w:sz w:val="17"/>
              </w:rPr>
              <w:t>—</w:t>
            </w:r>
          </w:p>
        </w:tc>
        <w:tc>
          <w:tcPr>
            <w:tcW w:type="dxa" w:w="1304"/>
          </w:tcPr>
          <w:p>
            <w:pPr>
              <w:spacing w:after="20" w:before="0"/>
              <w:jc w:val="left"/>
            </w:pPr>
            <w:r>
              <w:rPr>
                <w:sz w:val="17"/>
              </w:rPr>
              <w:t>95,0 m (%32,5)</w:t>
            </w:r>
          </w:p>
        </w:tc>
        <w:tc>
          <w:tcPr>
            <w:tcW w:type="dxa" w:w="1304"/>
          </w:tcPr>
          <w:p>
            <w:pPr>
              <w:spacing w:after="20" w:before="0"/>
              <w:jc w:val="left"/>
            </w:pPr>
            <w:r>
              <w:rPr>
                <w:sz w:val="17"/>
              </w:rPr>
              <w:t>—</w:t>
            </w:r>
          </w:p>
        </w:tc>
        <w:tc>
          <w:tcPr>
            <w:tcW w:type="dxa" w:w="3798"/>
          </w:tcPr>
          <w:p>
            <w:pPr>
              <w:spacing w:after="20" w:before="0"/>
              <w:jc w:val="left"/>
            </w:pPr>
            <w:r>
              <w:rPr>
                <w:sz w:val="17"/>
              </w:rPr>
              <w:t>süre: 0,43 dk (%61,4);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(kapanmayı bilmeyen ekip, tohum ortalaması) kazanç %54–60'a çıkarken İslahiye'de en iyi modelle 1,8 keşifle %8'de kalmıştır. Bölütleme başarımını artırmak bu kazancı orantılı biçimde artırmamaktadır: çıkarım süresini 5,5 kat artıran en büyük model (U-Net MiT-B4, 10,50 sn) sınama IoU'sunu yalnız +0,051 yükseltmekte, İslahiye'de orta boy modelin (4,71 sn) yaklaşık dörtte biri kadar kazanç vermektedir (Tablo 16).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seçilmiştir: kalan sekizinde kollar ayrışmamıştır, çünkü model ya kapanma bulmamış ya da bulduğu kapanmalar hiçbir rotanın üzerine düşmemiştir. Bu seçim bir kiraz toplama olarak okunmamalı, ayrışmanın hangi koşulda ortaya çıktığının bir bulgusu olarak alınmalıdır.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902500"/>
            <wp:docPr id="57" name="Picture 57"/>
            <wp:cNvGraphicFramePr>
              <a:graphicFrameLocks noChangeAspect="1"/>
            </wp:cNvGraphicFramePr>
            <a:graphic>
              <a:graphicData uri="http://schemas.openxmlformats.org/drawingml/2006/picture">
                <pic:pic>
                  <pic:nvPicPr>
                    <pic:cNvPr id="0" name="sekil_kesif_kazanc.png"/>
                    <pic:cNvPicPr/>
                  </pic:nvPicPr>
                  <pic:blipFill>
                    <a:blip r:embed="rId63"/>
                    <a:stretch>
                      <a:fillRect/>
                    </a:stretch>
                  </pic:blipFill>
                  <pic:spPr>
                    <a:xfrm>
                      <a:off x="0" y="0"/>
                      <a:ext cx="4680000" cy="2902500"/>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15'in sekiz satırı; yatay eksen kapanmayı bilmeyen ekibin keşif sayısı; hata çubukları beş tohum üzerinden standart sapma). Genel eğilim keşif sayısıyla artan kazançtır; Defne'de (boş işaret; beş tohum tek kurulum veriyor) ortak görev sayısı az olduğundan az sayıda keşif de görev başına yüksek bir kazanç üretebilmektedir. Farkın %68–78'i keşif başına beyan edilen değerlendirme süresinden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iyi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highlight w:val="yellow"/>
        </w:rPr>
        <w:t>Sonucun moloz yayılım yarıçapına (r_h) duyarlılığı üç alanda dört yarıçapla, U-Net MiT-B4 modeli ve tohum 42 ile ölçülmüştür (Tablo 18).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18.</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2,35</w:t>
            </w:r>
          </w:p>
        </w:tc>
        <w:tc>
          <w:tcPr>
            <w:tcW w:type="dxa" w:w="1296"/>
          </w:tcPr>
          <w:p>
            <w:pPr>
              <w:keepNext/>
              <w:spacing w:after="20" w:before="0"/>
              <w:jc w:val="left"/>
            </w:pPr>
            <w:r>
              <w:rPr>
                <w:sz w:val="17"/>
              </w:rPr>
              <w:t>1,92</w:t>
            </w:r>
          </w:p>
        </w:tc>
        <w:tc>
          <w:tcPr>
            <w:tcW w:type="dxa" w:w="1296"/>
          </w:tcPr>
          <w:p>
            <w:pPr>
              <w:keepNext/>
              <w:spacing w:after="20" w:before="0"/>
              <w:jc w:val="left"/>
            </w:pPr>
            <w:r>
              <w:rPr>
                <w:sz w:val="17"/>
              </w:rPr>
              <w:t>%18</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1,16</w:t>
            </w:r>
          </w:p>
        </w:tc>
        <w:tc>
          <w:tcPr>
            <w:tcW w:type="dxa" w:w="1296"/>
          </w:tcPr>
          <w:p>
            <w:pPr>
              <w:keepNext/>
              <w:spacing w:after="20" w:before="0"/>
              <w:jc w:val="left"/>
            </w:pPr>
            <w:r>
              <w:rPr>
                <w:sz w:val="17"/>
              </w:rPr>
              <w:t>1,09</w:t>
            </w:r>
          </w:p>
        </w:tc>
        <w:tc>
          <w:tcPr>
            <w:tcW w:type="dxa" w:w="1296"/>
          </w:tcPr>
          <w:p>
            <w:pPr>
              <w:keepNext/>
              <w:spacing w:after="20" w:before="0"/>
              <w:jc w:val="left"/>
            </w:pPr>
            <w:r>
              <w:rPr>
                <w:sz w:val="17"/>
              </w:rPr>
              <w:t>%6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2,95</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2,86</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%55</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3,70</w:t>
            </w:r>
          </w:p>
        </w:tc>
        <w:tc>
          <w:tcPr>
            <w:tcW w:type="dxa" w:w="1296"/>
          </w:tcPr>
          <w:p>
            <w:pPr>
              <w:keepNext/>
              <w:spacing w:after="20" w:before="0"/>
              <w:jc w:val="left"/>
            </w:pPr>
            <w:r>
              <w:rPr>
                <w:sz w:val="17"/>
              </w:rPr>
              <w:t>1,53</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6</w:t>
            </w:r>
          </w:p>
        </w:tc>
        <w:tc>
          <w:tcPr>
            <w:tcW w:type="dxa" w:w="1296"/>
          </w:tcPr>
          <w:p>
            <w:pPr>
              <w:keepNext/>
              <w:spacing w:after="20" w:before="0"/>
              <w:jc w:val="left"/>
            </w:pPr>
            <w:r>
              <w:rPr>
                <w:sz w:val="17"/>
              </w:rPr>
              <w:t>8,53</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6,05</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%71</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5,64</w:t>
            </w:r>
          </w:p>
        </w:tc>
        <w:tc>
          <w:tcPr>
            <w:tcW w:type="dxa" w:w="1296"/>
          </w:tcPr>
          <w:p>
            <w:pPr>
              <w:spacing w:after="20" w:before="0"/>
              <w:jc w:val="left"/>
            </w:pPr>
            <w:r>
              <w:rPr>
                <w:sz w:val="17"/>
              </w:rPr>
              <w:t>1,74</w:t>
            </w:r>
          </w:p>
        </w:tc>
        <w:tc>
          <w:tcPr>
            <w:tcW w:type="dxa" w:w="1296"/>
          </w:tcPr>
          <w:p>
            <w:pPr>
              <w:spacing w:after="20" w:before="0"/>
              <w:jc w:val="left"/>
            </w:pPr>
            <w:r>
              <w:rPr>
                <w:sz w:val="17"/>
              </w:rPr>
              <w:t>%69</w:t>
            </w:r>
          </w:p>
        </w:tc>
      </w:tr>
    </w:tbl>
    <w:p w14:paraId="4B278D50" w14:textId="77777777" w:rsidR="00B20134" w:rsidRDefault="00B20134"/>
    <w:p w14:paraId="476500EA" w14:textId="77777777" w:rsidR="00B20134" w:rsidRDefault="00990031">
      <w:r>
        <w:rPr>
          <w:highlight w:val="yellow"/>
        </w:rPr>
        <w:t>Buradaki tuzak görünür kazancın artmasıdır: r_h büyüdükçe 'kazanç' yükselir (%18→20, %6→56, %59→79) ama bu bir iyileşme değildir. Ortak görev sayısı çöker (6→3, 20→5, 25→6)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19). Bu koşu Tablo 15'teki en iyi modelle (U-Net MiT-B4) yapılmıştır; ANA satırı Tablo 15'in tohum 42'deki değeridir (Tablo 15 beş tohumun ortalamasını verdiğinden İslahiye ve Nurdağı'nda sayılar küçük farklarla ayrışır). Yalnızca beyan edilmiş sabitler değiştirilmiş; hücreler kapanmayı bilmeyen ekipten QuakeMind'e geçişi (dakika) ve kazancı göstermektedir.</w:t>
      </w:r>
    </w:p>
    <w:p w14:paraId="13B70C93" w14:textId="44EF4525" w:rsidR="00B20134" w:rsidRDefault="00990031">
      <w:pPr>
        <w:keepNext/>
      </w:pPr>
      <w:r>
        <w:rPr>
          <w:b/>
        </w:rPr>
        <w:t>Tablo 19. Beyan edilen değerlendirme süresine ve dönüş maliyetine duyarlılık (U-Net MiT-B4, tohum 42): kapanmayı bilmeyen → QuakeMind (dakika, kazanç). Son satır önceki taslaktaki 20 dakikalık sabittir ve sonuç olarak kullanılmamıştır.</w:t>
      </w:r>
      <w:r>
        <w:rPr>
          <w:b w:val="0"/>
        </w:rPr>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değerlendirme 1,0 dk, dönüş maliyetli</w:t>
            </w:r>
          </w:p>
        </w:tc>
        <w:tc>
          <w:tcPr>
            <w:tcW w:type="dxa" w:w="2268"/>
          </w:tcPr>
          <w:p>
            <w:pPr>
              <w:keepNext/>
              <w:spacing w:after="20" w:before="0"/>
              <w:jc w:val="left"/>
            </w:pPr>
            <w:r>
              <w:rPr>
                <w:sz w:val="17"/>
              </w:rPr>
              <w:t>2,35 → 1,92 (%18)</w:t>
            </w:r>
          </w:p>
        </w:tc>
        <w:tc>
          <w:tcPr>
            <w:tcW w:type="dxa" w:w="2268"/>
          </w:tcPr>
          <w:p>
            <w:pPr>
              <w:keepNext/>
              <w:spacing w:after="20" w:before="0"/>
              <w:jc w:val="left"/>
            </w:pPr>
            <w:r>
              <w:rPr>
                <w:sz w:val="17"/>
              </w:rPr>
              <w:t>1,16 → 1,09 (%6)</w:t>
            </w:r>
          </w:p>
        </w:tc>
        <w:tc>
          <w:tcPr>
            <w:tcW w:type="dxa" w:w="2268"/>
          </w:tcPr>
          <w:p>
            <w:pPr>
              <w:keepNext/>
              <w:spacing w:after="20" w:before="0"/>
              <w:jc w:val="left"/>
            </w:pPr>
            <w:r>
              <w:rPr>
                <w:sz w:val="17"/>
              </w:rPr>
              <w:t>3,70 → 1,53 (%59)</w:t>
            </w:r>
          </w:p>
        </w:tc>
      </w:tr>
      <w:tr>
        <w:trPr>
          <w:cantSplit/>
        </w:trPr>
        <w:tc>
          <w:tcPr>
            <w:tcW w:type="dxa" w:w="2268"/>
          </w:tcPr>
          <w:p>
            <w:pPr>
              <w:keepNext/>
              <w:spacing w:after="20" w:before="0"/>
              <w:jc w:val="left"/>
            </w:pPr>
            <w:r>
              <w:rPr>
                <w:sz w:val="17"/>
              </w:rPr>
              <w:t>Dönüş maliyeti kapalı (ceza 1,42 dk: değerlendirme + 25 sn manevra)</w:t>
            </w:r>
          </w:p>
        </w:tc>
        <w:tc>
          <w:tcPr>
            <w:tcW w:type="dxa" w:w="2268"/>
          </w:tcPr>
          <w:p>
            <w:pPr>
              <w:keepNext/>
              <w:spacing w:after="20" w:before="0"/>
              <w:jc w:val="left"/>
            </w:pPr>
            <w:r>
              <w:rPr>
                <w:sz w:val="17"/>
              </w:rPr>
              <w:t>2,04 → 1,54 (%24)</w:t>
            </w:r>
          </w:p>
        </w:tc>
        <w:tc>
          <w:tcPr>
            <w:tcW w:type="dxa" w:w="2268"/>
          </w:tcPr>
          <w:p>
            <w:pPr>
              <w:keepNext/>
              <w:spacing w:after="20" w:before="0"/>
              <w:jc w:val="left"/>
            </w:pPr>
            <w:r>
              <w:rPr>
                <w:sz w:val="17"/>
              </w:rPr>
              <w:t>1,04 → 0,94 (%9)</w:t>
            </w:r>
          </w:p>
        </w:tc>
        <w:tc>
          <w:tcPr>
            <w:tcW w:type="dxa" w:w="2268"/>
          </w:tcPr>
          <w:p>
            <w:pPr>
              <w:keepNext/>
              <w:spacing w:after="20" w:before="0"/>
              <w:jc w:val="left"/>
            </w:pPr>
            <w:r>
              <w:rPr>
                <w:sz w:val="17"/>
              </w:rPr>
              <w:t>3,30 → 1,20 (%64)</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2,18 → 1,92 (%12)</w:t>
            </w:r>
          </w:p>
        </w:tc>
        <w:tc>
          <w:tcPr>
            <w:tcW w:type="dxa" w:w="2268"/>
          </w:tcPr>
          <w:p>
            <w:pPr>
              <w:keepNext/>
              <w:spacing w:after="20" w:before="0"/>
              <w:jc w:val="left"/>
            </w:pPr>
            <w:r>
              <w:rPr>
                <w:sz w:val="17"/>
              </w:rPr>
              <w:t>1,13 → 1,09 (%4)</w:t>
            </w:r>
          </w:p>
        </w:tc>
        <w:tc>
          <w:tcPr>
            <w:tcW w:type="dxa" w:w="2268"/>
          </w:tcPr>
          <w:p>
            <w:pPr>
              <w:keepNext/>
              <w:spacing w:after="20" w:before="0"/>
              <w:jc w:val="left"/>
            </w:pPr>
            <w:r>
              <w:rPr>
                <w:sz w:val="17"/>
              </w:rPr>
              <w:t>2,90 → 1,53 (%47)</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2,68 → 1,92 (%28)</w:t>
            </w:r>
          </w:p>
        </w:tc>
        <w:tc>
          <w:tcPr>
            <w:tcW w:type="dxa" w:w="2268"/>
          </w:tcPr>
          <w:p>
            <w:pPr>
              <w:keepNext/>
              <w:spacing w:after="20" w:before="0"/>
              <w:jc w:val="left"/>
            </w:pPr>
            <w:r>
              <w:rPr>
                <w:sz w:val="17"/>
              </w:rPr>
              <w:t>1,21 → 1,09 (%10)</w:t>
            </w:r>
          </w:p>
        </w:tc>
        <w:tc>
          <w:tcPr>
            <w:tcW w:type="dxa" w:w="2268"/>
          </w:tcPr>
          <w:p>
            <w:pPr>
              <w:keepNext/>
              <w:spacing w:after="20" w:before="0"/>
              <w:jc w:val="left"/>
            </w:pPr>
            <w:r>
              <w:rPr>
                <w:sz w:val="17"/>
              </w:rPr>
              <w:t>5,30 → 1,53 (%71)</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8,68 → 1,92 (%78)</w:t>
            </w:r>
          </w:p>
        </w:tc>
        <w:tc>
          <w:tcPr>
            <w:tcW w:type="dxa" w:w="2268"/>
          </w:tcPr>
          <w:p>
            <w:pPr>
              <w:spacing w:after="20" w:before="0"/>
              <w:jc w:val="left"/>
            </w:pPr>
            <w:r>
              <w:rPr>
                <w:sz w:val="17"/>
              </w:rPr>
              <w:t>2,11 → 1,09 (%48)</w:t>
            </w:r>
          </w:p>
        </w:tc>
        <w:tc>
          <w:tcPr>
            <w:tcW w:type="dxa" w:w="2268"/>
          </w:tcPr>
          <w:p>
            <w:pPr>
              <w:spacing w:after="20" w:before="0"/>
              <w:jc w:val="left"/>
            </w:pPr>
            <w:r>
              <w:rPr>
                <w:sz w:val="17"/>
              </w:rPr>
              <w:t>34,10 → 1,53 (%96)</w:t>
            </w:r>
          </w:p>
        </w:tc>
      </w:tr>
    </w:tbl>
    <w:p w14:paraId="1C2764B7" w14:textId="77777777" w:rsidR="00B20134" w:rsidRDefault="00B20134"/>
    <w:p w14:paraId="66E3545B" w14:textId="77777777" w:rsidR="00B20134" w:rsidRDefault="00990031">
      <w:r>
        <w:rPr/>
        <w:t>Üç okunuş öne çıkar. Dönüş maliyeti (sağdan trafik kuralı) QuakeMind kolunun mutlak sürelerini %16–28 artırır; dönüş maliyeti kapatıldığında ceza, değerlendirme ile sabit bir manevradan oluştuğundan (1,42 dk) göreli kazanç üç alanda da birkaç puan yükselir (%18→24, %6→9, %59→64); dolayısıyla 'kapanmayı bilmek şu kadar kazandırıyor' cümlesi bu parametreden tümüyle bağımsız değildir. Değerlendirme süresi 0,5–2,0 dk aralığında ölçülü bir etki yapar (kazanç Defne %12–28, İslahiye %4–10, Nurdağı %47–71) ancak alanların sıralaması değişmez; sonuç tek sayı değil bant olarak raporlanmalıdır. Önceki taslaktaki 20 dakikalık sabit ise tek başına sonucu üretmektedir: aynı alan ve kapanmalarla Nurdağı '34,1 dk → 1,5 dk, %96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20</w:t>
      </w:r>
      <w:r w:rsidR="00AE5951">
        <w:rPr>
          <w:b/>
          <w:noProof/>
        </w:rPr>
      </w:r>
      <w:r>
        <w:t>'de verilmektedir.</w:t>
      </w:r>
    </w:p>
    <w:p w14:paraId="4A4165C7" w14:textId="253CED89" w:rsidR="00B20134" w:rsidRDefault="00990031">
      <w:pPr>
        <w:keepNext/>
      </w:pPr>
      <w:r>
        <w:rPr>
          <w:b/>
        </w:rPr>
        <w:t>Tablo 20</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highlight w:val="yellow"/>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beş üst kategori değil alt kategori kümesidir, dolayısıyla beş üst kategori üzerindeki ölçüm (</w:t>
      </w:r>
      <w:r w:rsidR="00572A67">
        <w:t>Tablo 22</w:t>
      </w:r>
      <w:r w:rsidR="00AE5951">
        <w:rPr>
          <w:b/>
          <w:noProof/>
        </w:rPr>
      </w:r>
      <w:r>
        <w:t>, üçüncü satır) bu tabloyla karşılanmamaktadır; (ii) sınama kümesi 305 kayıttır ve seyrek kategorilerde kategori başına örneklem sayısı güvenilir bir makro ölçüt için yetersizdir; (iii) eşik tüm kategorilerde 0,50'de sabitlenmiştir, kategori bazında eşik eniyilemesi yapılmamıştır.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21'de verilmektedir.</w:t>
      </w:r>
      <w:r w:rsidR="00572A67"/>
      <w:r w:rsidR="00AE5951">
        <w:rPr>
          <w:b/>
          <w:noProof/>
        </w:rPr>
      </w:r>
      <w:r/>
    </w:p>
    <w:p w14:paraId="59BBB5CB" w14:textId="24C2429B" w:rsidR="00B20134" w:rsidRDefault="00990031">
      <w:pPr>
        <w:keepNext/>
      </w:pPr>
      <w:r>
        <w:rPr>
          <w:b/>
        </w:rPr>
        <w:t>Tablo 21.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21'deki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highlight w:val="yellow"/>
        </w:rPr>
        <w:t>–</w:t>
      </w:r>
      <w:r w:rsidR="00AE5951">
        <w:rPr>
          <w:b/>
          <w:noProof/>
          <w:sz w:val="19"/>
        </w:rPr>
        <w:t>20</w:t>
      </w:r>
      <w:r>
        <w:rPr>
          <w:highlight w:val="yellow"/>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21–24, sırasıyla yer seviyesi hasar tespiti, deprem risk skorlaması, Türkçe afet metni analizi ve uydu tabanlı yol hasarı/güzergâh modüllerinin arayüz görünümlerini sunmaktadır. Şekil 21–23 modellerin gerçek çıktısını gösterir; Şekil 24 ise arayüzün yerleşik örnek veri (simülasyon) kipinde çekilmiştir ve gerçek bir analiz çıktısı değildir.</w:t>
      </w:r>
    </w:p>
    <w:tbl>
      <w:tblPr>
        <w:tblW w:type="auto" w:w="0"/>
        <w:jc w:val="center"/>
        <w:tblLayout w:type="fixed"/>
        <w:tblLook w:firstColumn="1" w:firstRow="1" w:lastColumn="0" w:lastRow="0" w:noHBand="0" w:noVBand="1" w:val="04A0"/>
      </w:tblPr>
      <w:tblGrid>
        <w:gridCol w:w="4536"/>
        <w:gridCol w:w="4536"/>
      </w:tblGrid>
      <w:t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c>
          <w:tcPr>
            <w:tcW w:type="dxa" w:w="442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c>
          <w:tcPr>
            <w:tcW w:type="dxa" w:w="4422"/>
          </w:tcPr>
          <w:p>
            <w:pPr>
              <w:jc w:val="center"/>
            </w:pPr>
            <w:r>
              <w:drawing>
                <wp:inline xmlns:a="http://schemas.openxmlformats.org/drawingml/2006/main" xmlns:pic="http://schemas.openxmlformats.org/drawingml/2006/picture">
                  <wp:extent cx="2628000" cy="1724625"/>
                  <wp:docPr id="40" name="Picture 40"/>
                  <wp:cNvGraphicFramePr>
                    <a:graphicFrameLocks noChangeAspect="1"/>
                  </wp:cNvGraphicFramePr>
                  <a:graphic>
                    <a:graphicData uri="http://schemas.openxmlformats.org/drawingml/2006/picture">
                      <pic:pic>
                        <pic:nvPicPr>
                          <pic:cNvPr id="0" name="4_isi_haritasi_guzergah.png"/>
                          <pic:cNvPicPr/>
                        </pic:nvPicPr>
                        <pic:blipFill>
                          <a:blip r:embed="rId46"/>
                          <a:stretch>
                            <a:fillRect/>
                          </a:stretch>
                        </pic:blipFill>
                        <pic:spPr>
                          <a:xfrm>
                            <a:off x="0" y="0"/>
                            <a:ext cx="2628000" cy="1724625"/>
                          </a:xfrm>
                          <a:prstGeom prst="rect"/>
                        </pic:spPr>
                      </pic:pic>
                    </a:graphicData>
                  </a:graphic>
                </wp:inline>
              </w:drawing>
            </w:r>
          </w:p>
          <w:p>
            <w:pPr>
              <w:jc w:val="center"/>
            </w:pPr>
            <w:r>
              <w:rPr>
                <w:b/>
                <w:sz w:val="18"/>
              </w:rPr>
              <w:t>Şekil 24.</w:t>
            </w:r>
            <w:r>
              <w:rPr>
                <w:sz w:val="18"/>
              </w:rPr>
              <w:t xml:space="preserve"> Uydu görüntüsünden yol hasarı ve güzergâh: Antakya üzerinde açık (yeşil) ve hasarlı/kapalı (kırmızı) yol ağı ile yıkım yoğunluğu ısı haritası katmanı. Arayüzün örnek veri kipiyle çekilmiştir (simüle veri; gerçek analiz çıktısı değildir).</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Kapanmayı önceden bilmenin katkısı, modelin bulduğu kapanmaların ekip rotalarına düştüğü alanlarda ortaya çıkmaktadır: ölçülen kazanç alan ve modele göre %8–60, en sağlam alanda (Nurdağı, üç model × beş tohum) %54–60'tır;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1,0 dakikalık değerlendirme süresine indirilmiş, geri dönüş manevrası çizgede fiilen yapılan dönüş olarak fiyatlanmıştır; buna karşın ölçülen ceza payına göre farkın %68–78'i hâlâ bu beyan edilmiş süreden gelmektedir (Bölüm 4.6), bu nedenle kazanç cezanın değerine duyarlılığıyla birlikte bant olarak okunmalıdır. Telsizle paylaşan filo kolu kazancın bir bölümünü yakalamaktadır (Nurdağı, en iyi model: 3,82 dk → 3,24 dk).</w:t>
      </w:r>
    </w:p>
    <w:p w14:paraId="1C269EDD" w14:textId="77777777" w:rsidR="00EB2207" w:rsidRDefault="00BF64E8">
      <w:r>
        <w:rPr>
          <w:highlight w:val="yellow"/>
        </w:rPr>
        <w:t>Bölütleme başarımını artırmak operasyonel faydayı orantılı biçimde artırmamaktadır: İslahiye'de dengeli model (sınama IoU 0,409) en büyük modelden (0,433) yaklaşık dört kat fazla kazanç sağlamıştır (%33,7'e karşı %8,3). Belirleyici olan bulunan hasarın miktarı değil, kapanmaların ekip rotalarına düşüp düşmediğidir; saniye başına operasyonel değeri en yüksek olan orta boy modeldir.</w:t>
      </w:r>
    </w:p>
    <w:p w14:paraId="10A93D29" w14:textId="77777777" w:rsidR="00EB2207" w:rsidRDefault="00BF64E8">
      <w:r>
        <w:rPr>
          <w:highlight w:val="yellow"/>
        </w:rPr>
        <w:t>Kapanma katmanının doğruluğu, bir mahallede kör etiketlemeyle sınanmış ve yüksek kesinlik (3/3) ancak düşük duyarlılık (≈%11) bulunmuştur (Bölüm 4.3): model yanlış alarm üretmemekte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Tatbikatta dünya modelin kendi çıktısıdır; bu nedenle Bölüm 4.6'daki süre farkları kapanmayı önceden bilmenin değerini ölçer, bölütleme doğruluğunun değil. Kapanma katmanının doğruluğu yalnızca bir mahallede, tek etiketleyiciyle ve küçük örneklemle sınanmıştır (Bölüm 4.3): yüksek kesinlik (3/3), düşük duyarlılık (≈%11).</w:t>
      </w:r>
    </w:p>
    <w:p w14:paraId="024CD920" w14:textId="77777777" w:rsidR="00B20134" w:rsidRDefault="00990031">
      <w:r>
        <w:rPr>
          <w:b w:val="0"/>
        </w:rPr>
        <w:t>(b) Kapanmaya varan ekibin kaybettiği süre bir model parametresidir; bu sürümde değerlendirme 1,0 dk olarak beyan edilmiş, geri dönüş manevrası çizgede fiilen yapılan dönüş olarak fiyatlanmıştır. Ölçülen ceza payına göre farkın %68–78'i bu beyan edilmiş süreden gelmektedir (Bölüm 4.6); değerlendirme süresine duyarlılık Bölüm 4.9'da taranmış ve alanların sıralamasının değişmediği gösterilmiştir, yine de mutlak süreler ve kazanç yüzdesi bu beyan edilmiş sabite bağlıdır. Taslağın önceki hâlinde tatbikat kodunda üç kusur bulunmuş ve düzeltilmiştir: kapanmada geri dönen ekibin manevrası iki kez sayılıyor, OSM'deki oneway = −1 etiketi ileri yön olarak yorumlanıyor ve A* sezgiseli sabit bir hız üst sınırı kullanıyordu (oneway = −1 etiketli kenar bu bölgenin verisinde bulunmadığından ikinci kusurun sonuca etkisi yoktur). Bu bölümdeki bütün tatbikat sayıları düzeltilmiş kodla yeniden üretilmiştir; düzeltme kazançları düşürmüş (Nurdağı bandı %59–66'dan %54–60'a, Defne'de %41'den %18–28'e), orta boy modelin İslahiye'deki üstünlüğünü değiştirmemiştir.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Sınıflandırıcının beş üst kategori üzerindeki kesinlik, duyarlılık ve F₁ değerleri henüz ölçülmemiştir.</w:t>
      </w:r>
    </w:p>
    <w:p w14:paraId="797E0A60" w14:textId="77777777" w:rsidR="00B20134" w:rsidRDefault="00990031">
      <w:r>
        <w:rPr>
          <w:highlight w:val="yellow"/>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Değerlendirme üç mahalle × üç model × beş tohumdan oluşmaktadır; üç alan on bir ölçülen alandan, karşılaştırma kollarının ayrıştığı alanlar olarak seçilmiştir (kalan sekizde kapanmalar rotalara düşmediğinden kollar ayrışmamıştır).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Yer seviyesi (kamera) ve Türkçe metin kanallarının başarımı bu sürümde ölçülmemiştir: kamera kanalında fotoğraflarda kutu düzeyinde yer gerçeği bulunmadığından raporlanan değerler tespit sayısıdır, mAP değildir; metin kanalında bağımsız etiket bulunmadığından raporlanan değer yazar niyetiyle örtüşmedir, F₁ değildir.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SegFormer-B4 için ikinci bir tohumla (7) ölçülen oynama ±0,02 mertebesindedir, ancak bu bant diğer dokuz mimari için ayrıca ölçülmemiştir. MiT-B4 ailesi içindeki 0,397-0,433 aralığındaki ince farkların (0,03 mertebesinde) varyans içinde kalıp kalmadığı bu nedenle kesin değildir; bkz. Tablo 12 dipnotu.</w:t>
      </w:r>
    </w:p>
    <w:p w14:paraId="52EED15B" w14:textId="77777777" w:rsidR="00EB2207" w:rsidRDefault="00BF64E8">
      <w:r>
        <w:rPr>
          <w:highlight w:val="yellow"/>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highlight w:val="yellow"/>
        </w:rPr>
        <w:t>(q) Yer seviyesi hasar tespiti (çatlak ve bina hasarı YOLOv8 modelleri) için nesne tespiti başarımı (mAP@0,5 ve mAP@0,5:0,95) bu sürümde ölçülmemiştir; ilgili eksen Tablo 22'de ölçülmedi olarak işaretlenmiştir.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etiketleyicinin ötesinde, çoklu etiketleyiciyle ve daha geniş bir örneklemle ölçülmesidir. Üçüncüsü, kamera ve metin kanallarının başarımının etiketli kümelerle (nesne tespiti için saha test kümesi, Türkçe metin için DepremKit/TSEqD gibi bir küme) mAP ve F₁ cinsinden ölçülmesi, 13 alt kategoriyi beş üst kategoriye indiren eşlemenin (Tablo 8) aynı etiketli kümeyle sınanması ve yol kapanması ihbarlarının anahtar sözcük yerine modelden tanınabilmesi için eğitim kümesinin genişletilmesidir.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22</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rPr>
                <w:sz w:val="19"/>
              </w:rPr>
              <w:t>Kendi yer gerçeğimiz (kör etiketleme)</w:t>
            </w:r>
          </w:p>
        </w:tc>
        <w:tc>
          <w:tcPr>
            <w:tcW w:w="1250" w:type="pct"/>
          </w:tcPr>
          <w:p>
            <w:pPr>
              <w:keepNext/>
              <w:jc w:val="left"/>
            </w:pPr>
            <w:r>
              <w:rPr>
                <w:sz w:val="19"/>
              </w:rPr>
              <w:t>Ön deneme (Tablo 13): kesinlik 3/3, duyarlılık ≈%11</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highlight w:val="yellow"/>
              </w:rPr>
              <w:t>Ölçülmedi (kutu düzeyinde etiketli saha kümesi yok)</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Elle etiketlenmiş ihbar kümesi</w:t>
            </w:r>
          </w:p>
        </w:tc>
        <w:tc>
          <w:tcPr>
            <w:tcW w:w="1250" w:type="pct"/>
          </w:tcPr>
          <w:p w14:paraId="0AB28077" w14:textId="77777777" w:rsidR="00B20134" w:rsidRDefault="00990031">
            <w:pPr>
              <w:keepNext/>
              <w:spacing w:before="20" w:after="20"/>
              <w:jc w:val="left"/>
            </w:pPr>
            <w:r>
              <w:rPr>
                <w:sz w:val="19"/>
              </w:rPr>
              <w:t>Beş üst kategori üzerinde ölçülmemiştir; çok etiketli alt kategori kümesinde ön kıyaslama yapılmıştır (</w:t>
            </w:r>
            <w:r>
              <w:rPr>
                <w:i/>
                <w:sz w:val="19"/>
              </w:rPr>
              <w:t>n</w:t>
            </w:r>
            <w:r>
              <w:rPr>
                <w:sz w:val="19"/>
              </w:rPr>
              <w:t>_test = 305): BERTurk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21;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highlight w:val="yellow"/>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çoklu tohum tekrarıyla yenilenecektir</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Karşı il</w:t>
            </w:r>
          </w:p>
        </w:tc>
        <w:tc>
          <w:tcPr>
            <w:tcW w:w="1250" w:type="pct"/>
          </w:tcPr>
          <w:p w14:paraId="1B6F8D09" w14:textId="77777777" w:rsidR="00B20134" w:rsidRDefault="00990031">
            <w:pPr>
              <w:keepNext/>
              <w:spacing w:before="20" w:after="20"/>
              <w:jc w:val="left"/>
            </w:pPr>
            <w:r>
              <w:rPr>
                <w:sz w:val="19"/>
                <w:highlight w:val="yellow"/>
              </w:rPr>
              <w:t>Ölçülmedi (il-ayrık eğitim koşulmadı; il bazında sınama Bölüm 4.2'de)</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rPr>
                <w:sz w:val="19"/>
              </w:rPr>
              <w:t>Kendi hasar modelimizin kapanma katmanı (üç gerçek mahalle)</w:t>
            </w:r>
          </w:p>
        </w:tc>
        <w:tc>
          <w:tcPr>
            <w:tcW w:w="1250" w:type="pct"/>
          </w:tcPr>
          <w:p>
            <w:pPr>
              <w:jc w:val="left"/>
            </w:pPr>
            <w:r>
              <w:rPr>
                <w:sz w:val="19"/>
              </w:rPr>
              <w:t>Ölçülmüştür (Tablo 15): kazanç alan/modele göre %8–60, Nurdağı %54–60;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kapanma katmanının kendi yer gerçeğimizle doğruluğu bu sürümde ölçülmüştür; kalan eksenler (yer seviyesi hasar tespiti mAP, çok mimarili yol kıyaslaması, bölgeler arası genelleme) bu sürümde ölçülmemiştir.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highlight w:val="yellow"/>
        </w:rPr>
        <w:t>Ölçülen sonuçlar üç başlıkta toplanmaktadır. Birincisi, kapanmayı önceden bilmenin operasyonel değeridir: üç gerçek mahallede, kapanmanın ekip rotalarına düştüğü alanlarda erişim süresi %8–60 kısalmış, en sağlam alanda (Nurdağı) %54–60 kazanç ölçülmüştür; kapanmanın rotaya düşmediği alanlarda fark yoktur. Ölçülen ceza payına göre farkın %68–78'i keşif başına beyan edilen değerlendirme süresinden geldiğinden sonuç, cezanın değerine duyarlılığıyla birlikte bant olarak okunmalıdır. Bu büyüklük, tatbikatta dünya modelin kendi çıktısı olduğundan kapanmayı önceden bilmenin değerini ölçer, modelin doğruluğunu değil. İkincisi, bölütleme başarımını artırmanın bu kazancı orantılı biçimde artırmadığıdır: saniye başına operasyonel değeri en yüksek olan orta boy modeldir. Üçüncüsü, kapanma katmanının doğruluğunun bir mahallede kör etiketlemeyle sınanması ve yüksek kesinlik (3/3) ile düşük duyarlılık (≈%11)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(mAP) ve bölgeler arası genelleme bu sürümde ölçülmemiş; kapanma katmanının yer gerçeğine göre değerlendirilmesi yalnızca bir mahallede, tek etiketleyiciyle ve ön deneme olarak yapılabilmiştir. Ölçülmeyen eksenler Tablo 22'de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tek tohumlu koşum, metinde beş üst kategori yerine çok etiketli alt kategori kümesi,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kıyas kollarının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yanlış alarm üretmemekte,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highlight w:val="yellow"/>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Bu çalışmada kullanılan tüm veriler açık erişimli kaynaklardan elde edilmiştir.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27.09.2026), (</w:t>
      </w:r>
      <w:r>
        <w:t>2023).</w:t>
      </w:r>
    </w:p>
    <w:p w14:paraId="20EFE28D" w14:textId="77777777" w:rsidR="00B20134" w:rsidRDefault="00990031">
      <w:r>
        <w:t xml:space="preserve">[45] Esri, "World Imagery Wayback", </w:t>
      </w:r>
      <w:r>
        <w:rPr>
          <w:highlight w:val="yellow"/>
        </w:rPr>
        <w:t>https://livingatlas.arcgis.com/wayback (Erişim tarihi: 27.09.2026),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highlight w:val="yellow"/>
        </w:rPr>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27.09.2026).</w:t>
      </w:r>
    </w:p>
    <w:p w14:paraId="0A5DE2B0" w14:textId="77777777" w:rsidR="00210E36" w:rsidRDefault="00BF64E8">
      <w:r>
        <w:rPr>
          <w:highlight w:val="yellow"/>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highlight w:val="yellow"/>
        </w:rPr>
        <w:t>[65] Xiao, T., Liu, Y., Zhou, B., Jiang, Y., Sun, J., "Unified perceptual parsing for scene understanding", Proceedings of the European Conference on Computer Vision (ECCV), 418-434, doi:10.1007/978-3-030-01228-1_26, (2018).</w:t>
      </w:r>
    </w:p>
    <w:p>
      <w:pPr/>
      <w:r>
        <w:rPr>
          <w:highlight w:val="yellow"/>
        </w:rPr>
        <w:t>[66] Liu, Z., Mao, H., Wu, C. Y., Feichtenhofer, C., Darrell, T., Xie, S., "A ConvNet for the 2020s", Proceedings of the IEEE/CVF Conference on Computer Vision and Pattern Recognition (CVPR), 11976-11986, doi:10.1109/CVPR52688.2022.01167, (2022).</w:t>
      </w:r>
    </w:p>
    <w:p>
      <w:pPr/>
      <w:r>
        <w:rPr>
          <w:highlight w:val="yellow"/>
        </w:rPr>
        <w:t>[67] Sun, Y., Wang, Y., Eineder, M., "QuickQuakeBuildings: Post-earthquake SAR-optical dataset for quick damaged-building detection", IEEE Geoscience and Remote Sensing Letters, 21: 1-5, doi:10.1109/LGRS.2024.3406966, (2024).</w:t>
      </w:r>
    </w:p>
    <w:p>
      <w:pPr/>
      <w:r>
        <w:rPr>
          <w:highlight w:val="yellow"/>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