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Pr>
        <w:pStyle w:val="Title"/>
        <w:jc w:val="center"/>
      </w:pPr>
      <w:r>
        <w:t>Business Document Generator</w:t>
      </w:r>
    </w:p>
    <w:p>
      <w:pPr>
        <w:jc w:val="center"/>
      </w:pPr>
      <w:r>
        <w:rPr>
          <w:b/>
          <w:sz w:val="32"/>
        </w:rPr>
        <w:t>Phase 1 QA Test Plan</w:t>
      </w:r>
    </w:p>
    <w:p/>
    <w:p>
      <w:pPr>
        <w:jc w:val="center"/>
      </w:pPr>
      <w:r>
        <w:rPr>
          <w:b/>
        </w:rPr>
        <w:t xml:space="preserve">Target Environment: </w:t>
      </w:r>
      <w:r>
        <w:t>Vercel Preview</w:t>
      </w:r>
    </w:p>
    <w:p>
      <w:pPr>
        <w:jc w:val="center"/>
      </w:pPr>
      <w:r>
        <w:rPr>
          <w:b/>
        </w:rPr>
        <w:t xml:space="preserve">Version: </w:t>
      </w:r>
      <w:r>
        <w:t>v1.0</w:t>
      </w:r>
    </w:p>
    <w:p>
      <w:pPr>
        <w:jc w:val="center"/>
      </w:pPr>
      <w:r>
        <w:rPr>
          <w:b/>
        </w:rPr>
        <w:t xml:space="preserve">Prepared For: </w:t>
      </w:r>
      <w:r>
        <w:t>Testing Team</w:t>
      </w:r>
    </w:p>
    <w:p>
      <w:pPr>
        <w:jc w:val="center"/>
      </w:pPr>
      <w:r>
        <w:rPr>
          <w:b/>
        </w:rPr>
        <w:t xml:space="preserve">Date: </w:t>
      </w:r>
      <w:r>
        <w:t>29 March 2026</w:t>
      </w:r>
    </w:p>
    <w:p>
      <w:r>
        <w:br w:type="page"/>
      </w:r>
    </w:p>
    <w:p>
      <w:pPr>
        <w:pStyle w:val="Heading1"/>
      </w:pPr>
      <w:r>
        <w:t>Document Purpose</w:t>
      </w:r>
    </w:p>
    <w:p>
      <w:r>
        <w:t>This document provides the testing team with a structured Phase 1 QA handoff for the Business Document Generator. It defines the product scope, test environment assumptions, detailed manual test cases, and the information required for defect logging and final sign-off.</w:t>
      </w:r>
    </w:p>
    <w:p>
      <w:r>
        <w:t>QA should use this pack to validate the deployed Vercel Preview build of the voucher, salary slip, and invoice generators, including live preview behavior, print flow, PDF export, PNG export, and responsive usability.</w:t>
      </w:r>
    </w:p>
    <w:p>
      <w:pPr>
        <w:pStyle w:val="Heading1"/>
      </w:pPr>
      <w:r>
        <w:t>In Scope</w:t>
      </w:r>
    </w:p>
    <w:p>
      <w:pPr>
        <w:pStyle w:val="ListBullet"/>
      </w:pPr>
      <w:r>
        <w:t>Voucher Generator</w:t>
      </w:r>
    </w:p>
    <w:p>
      <w:pPr>
        <w:pStyle w:val="ListBullet"/>
      </w:pPr>
      <w:r>
        <w:t>Salary Slip Generator</w:t>
      </w:r>
    </w:p>
    <w:p>
      <w:pPr>
        <w:pStyle w:val="ListBullet"/>
      </w:pPr>
      <w:r>
        <w:t>Invoice Generator</w:t>
      </w:r>
    </w:p>
    <w:p>
      <w:pPr>
        <w:pStyle w:val="ListBullet"/>
      </w:pPr>
      <w:r>
        <w:t>Live preview updates</w:t>
      </w:r>
    </w:p>
    <w:p>
      <w:pPr>
        <w:pStyle w:val="ListBullet"/>
      </w:pPr>
      <w:r>
        <w:t>Template switching</w:t>
      </w:r>
    </w:p>
    <w:p>
      <w:pPr>
        <w:pStyle w:val="ListBullet"/>
      </w:pPr>
      <w:r>
        <w:t>Branding controls including logo upload and accent color</w:t>
      </w:r>
    </w:p>
    <w:p>
      <w:pPr>
        <w:pStyle w:val="ListBullet"/>
      </w:pPr>
      <w:r>
        <w:t>Print flow</w:t>
      </w:r>
    </w:p>
    <w:p>
      <w:pPr>
        <w:pStyle w:val="ListBullet"/>
      </w:pPr>
      <w:r>
        <w:t>PDF export</w:t>
      </w:r>
    </w:p>
    <w:p>
      <w:pPr>
        <w:pStyle w:val="ListBullet"/>
      </w:pPr>
      <w:r>
        <w:t>PNG export</w:t>
      </w:r>
    </w:p>
    <w:p>
      <w:pPr>
        <w:pStyle w:val="ListBullet"/>
      </w:pPr>
      <w:r>
        <w:t>Desktop, tablet, and mobile usability</w:t>
      </w:r>
    </w:p>
    <w:p>
      <w:pPr>
        <w:pStyle w:val="ListBullet"/>
      </w:pPr>
      <w:r>
        <w:t>Serverless behavior on Vercel Preview</w:t>
      </w:r>
    </w:p>
    <w:p>
      <w:pPr>
        <w:pStyle w:val="Heading1"/>
      </w:pPr>
      <w:r>
        <w:t>Out of Scope</w:t>
      </w:r>
    </w:p>
    <w:p>
      <w:pPr>
        <w:pStyle w:val="ListBullet"/>
      </w:pPr>
      <w:r>
        <w:t>Authentication and user accounts</w:t>
      </w:r>
    </w:p>
    <w:p>
      <w:pPr>
        <w:pStyle w:val="ListBullet"/>
      </w:pPr>
      <w:r>
        <w:t>Saved drafts or document history</w:t>
      </w:r>
    </w:p>
    <w:p>
      <w:pPr>
        <w:pStyle w:val="ListBullet"/>
      </w:pPr>
      <w:r>
        <w:t>Cloud persistence</w:t>
      </w:r>
    </w:p>
    <w:p>
      <w:pPr>
        <w:pStyle w:val="ListBullet"/>
      </w:pPr>
      <w:r>
        <w:t>Team collaboration and approval workflows</w:t>
      </w:r>
    </w:p>
    <w:p>
      <w:pPr>
        <w:pStyle w:val="ListBullet"/>
      </w:pPr>
      <w:r>
        <w:t>Recurring automation</w:t>
      </w:r>
    </w:p>
    <w:p>
      <w:pPr>
        <w:pStyle w:val="ListBullet"/>
      </w:pPr>
      <w:r>
        <w:t>Database-backed functionality</w:t>
      </w:r>
    </w:p>
    <w:p>
      <w:pPr>
        <w:pStyle w:val="Heading1"/>
      </w:pPr>
      <w:r>
        <w:t>Test Environment and Preconditions</w:t>
      </w:r>
    </w:p>
    <w:p>
      <w:pPr>
        <w:pStyle w:val="ListBullet"/>
      </w:pPr>
      <w:r>
        <w:t>Primary target: Vercel Preview deployment</w:t>
      </w:r>
    </w:p>
    <w:p>
      <w:pPr>
        <w:pStyle w:val="ListBullet"/>
      </w:pPr>
      <w:r>
        <w:t>Preview URL: ______________________________</w:t>
      </w:r>
    </w:p>
    <w:p>
      <w:pPr>
        <w:pStyle w:val="ListBullet"/>
      </w:pPr>
      <w:r>
        <w:t>Preferred browser: Chromium / Google Chrome</w:t>
      </w:r>
    </w:p>
    <w:p>
      <w:pPr>
        <w:pStyle w:val="ListBullet"/>
      </w:pPr>
      <w:r>
        <w:t>Stable network connectivity is required</w:t>
      </w:r>
    </w:p>
    <w:p>
      <w:pPr>
        <w:pStyle w:val="ListBullet"/>
      </w:pPr>
      <w:r>
        <w:t>Allow browser pop-ups for print validation</w:t>
      </w:r>
    </w:p>
    <w:p>
      <w:pPr>
        <w:pStyle w:val="ListBullet"/>
      </w:pPr>
      <w:r>
        <w:t>Allow file downloads for PDF and PNG checks</w:t>
      </w:r>
    </w:p>
    <w:p>
      <w:pPr>
        <w:pStyle w:val="ListBullet"/>
      </w:pPr>
      <w:r>
        <w:t>Use at least one desktop viewport and one smaller tablet/mobile viewport during the run</w:t>
      </w:r>
    </w:p>
    <w:p>
      <w:pPr>
        <w:pStyle w:val="Heading1"/>
      </w:pPr>
      <w:r>
        <w:t>Entry and Exit Criteria</w:t>
      </w:r>
    </w:p>
    <w:p>
      <w:pPr>
        <w:pStyle w:val="Heading2"/>
      </w:pPr>
      <w:r>
        <w:t>Entry Criteria</w:t>
      </w:r>
    </w:p>
    <w:p>
      <w:pPr>
        <w:pStyle w:val="ListBullet"/>
      </w:pPr>
      <w:r>
        <w:t>The Vercel Preview deployment URL is reachable.</w:t>
      </w:r>
    </w:p>
    <w:p>
      <w:pPr>
        <w:pStyle w:val="ListBullet"/>
      </w:pPr>
      <w:r>
        <w:t>The `/`, `/voucher`, `/salary-slip`, and `/invoice` routes load successfully.</w:t>
      </w:r>
    </w:p>
    <w:p>
      <w:pPr>
        <w:pStyle w:val="ListBullet"/>
      </w:pPr>
      <w:r>
        <w:t>Export endpoints respond without deployment errors.</w:t>
      </w:r>
    </w:p>
    <w:p>
      <w:pPr>
        <w:pStyle w:val="Heading2"/>
      </w:pPr>
      <w:r>
        <w:t>Exit Criteria</w:t>
      </w:r>
    </w:p>
    <w:p>
      <w:pPr>
        <w:pStyle w:val="ListBullet"/>
      </w:pPr>
      <w:r>
        <w:t>All Blocker and High-priority test cases are passed.</w:t>
      </w:r>
    </w:p>
    <w:p>
      <w:pPr>
        <w:pStyle w:val="ListBullet"/>
      </w:pPr>
      <w:r>
        <w:t>No unresolved defect blocks voucher, salary slip, or invoice creation or export.</w:t>
      </w:r>
    </w:p>
    <w:p>
      <w:pPr>
        <w:pStyle w:val="ListBullet"/>
      </w:pPr>
      <w:r>
        <w:t>Print, PDF, and PNG flows complete successfully for each module.</w:t>
      </w:r>
    </w:p>
    <w:p>
      <w:pPr>
        <w:pStyle w:val="Heading1"/>
      </w:pPr>
      <w:r>
        <w:t>Severity / Priority Guide</w:t>
      </w:r>
    </w:p>
    <w:p>
      <w:pPr>
        <w:pStyle w:val="ListBullet"/>
      </w:pPr>
      <w:r>
        <w:t>Blocker: Core route or export flow is unusable.</w:t>
      </w:r>
    </w:p>
    <w:p>
      <w:pPr>
        <w:pStyle w:val="ListBullet"/>
      </w:pPr>
      <w:r>
        <w:t>High: Major workflow issue with incorrect output, broken layout, or failed export.</w:t>
      </w:r>
    </w:p>
    <w:p>
      <w:pPr>
        <w:pStyle w:val="ListBullet"/>
      </w:pPr>
      <w:r>
        <w:t>Medium: Functional issue with workaround available.</w:t>
      </w:r>
    </w:p>
    <w:p>
      <w:pPr>
        <w:pStyle w:val="ListBullet"/>
      </w:pPr>
      <w:r>
        <w:t>Low: Cosmetic or minor usability issue that does not block completion.</w:t>
      </w:r>
    </w:p>
    <w:p>
      <w:pPr>
        <w:pStyle w:val="Heading1"/>
      </w:pPr>
      <w:r>
        <w:t>Module Test Cases</w:t>
      </w:r>
    </w:p>
    <w:p>
      <w:pPr>
        <w:pStyle w:val="Heading2"/>
      </w:pPr>
      <w:r>
        <w:t>Home / Navigation</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vAlign w:val="center"/>
            <w:shd w:fill="EADFCB"/>
          </w:tcPr>
          <w:p>
            <w:pPr>
              <w:jc w:val="left"/>
            </w:pPr>
            <w:r/>
            <w:r>
              <w:rPr>
                <w:b/>
                <w:sz w:val="19"/>
              </w:rPr>
              <w:t>Test Case ID</w:t>
            </w:r>
          </w:p>
        </w:tc>
        <w:tc>
          <w:tcPr>
            <w:tcW w:type="dxa" w:w="1224"/>
            <w:vAlign w:val="center"/>
            <w:shd w:fill="EADFCB"/>
          </w:tcPr>
          <w:p>
            <w:pPr>
              <w:jc w:val="left"/>
            </w:pPr>
            <w:r/>
            <w:r>
              <w:rPr>
                <w:b/>
                <w:sz w:val="19"/>
              </w:rPr>
              <w:t>Module</w:t>
            </w:r>
          </w:p>
        </w:tc>
        <w:tc>
          <w:tcPr>
            <w:tcW w:type="dxa" w:w="1800"/>
            <w:vAlign w:val="center"/>
            <w:shd w:fill="EADFCB"/>
          </w:tcPr>
          <w:p>
            <w:pPr>
              <w:jc w:val="left"/>
            </w:pPr>
            <w:r/>
            <w:r>
              <w:rPr>
                <w:b/>
                <w:sz w:val="19"/>
              </w:rPr>
              <w:t>Scenario</w:t>
            </w:r>
          </w:p>
        </w:tc>
        <w:tc>
          <w:tcPr>
            <w:tcW w:type="dxa" w:w="1944"/>
            <w:vAlign w:val="center"/>
            <w:shd w:fill="EADFCB"/>
          </w:tcPr>
          <w:p>
            <w:pPr>
              <w:jc w:val="left"/>
            </w:pPr>
            <w:r/>
            <w:r>
              <w:rPr>
                <w:b/>
                <w:sz w:val="19"/>
              </w:rPr>
              <w:t>Preconditions</w:t>
            </w:r>
          </w:p>
        </w:tc>
        <w:tc>
          <w:tcPr>
            <w:tcW w:type="dxa" w:w="3384"/>
            <w:vAlign w:val="center"/>
            <w:shd w:fill="EADFCB"/>
          </w:tcPr>
          <w:p>
            <w:pPr>
              <w:jc w:val="left"/>
            </w:pPr>
            <w:r/>
            <w:r>
              <w:rPr>
                <w:b/>
                <w:sz w:val="19"/>
              </w:rPr>
              <w:t>Steps</w:t>
            </w:r>
          </w:p>
        </w:tc>
        <w:tc>
          <w:tcPr>
            <w:tcW w:type="dxa" w:w="3240"/>
            <w:vAlign w:val="center"/>
            <w:shd w:fill="EADFCB"/>
          </w:tcPr>
          <w:p>
            <w:pPr>
              <w:jc w:val="left"/>
            </w:pPr>
            <w:r/>
            <w:r>
              <w:rPr>
                <w:b/>
                <w:sz w:val="19"/>
              </w:rPr>
              <w:t>Expected Result</w:t>
            </w:r>
          </w:p>
        </w:tc>
        <w:tc>
          <w:tcPr>
            <w:tcW w:type="dxa" w:w="1008"/>
            <w:vAlign w:val="center"/>
            <w:shd w:fill="EADFCB"/>
          </w:tcPr>
          <w:p>
            <w:pPr>
              <w:jc w:val="left"/>
            </w:pPr>
            <w:r/>
            <w:r>
              <w:rPr>
                <w:b/>
                <w:sz w:val="19"/>
              </w:rPr>
              <w:t>Priority</w:t>
            </w:r>
          </w:p>
        </w:tc>
      </w:tr>
      <w:tr>
        <w:tc>
          <w:tcPr>
            <w:tcW w:type="dxa" w:w="1296"/>
            <w:vAlign w:val="center"/>
          </w:tcPr>
          <w:p>
            <w:pPr>
              <w:jc w:val="left"/>
            </w:pPr>
            <w:r/>
            <w:r>
              <w:rPr>
                <w:b w:val="0"/>
                <w:sz w:val="19"/>
              </w:rPr>
              <w:t>NAV-001</w:t>
            </w:r>
          </w:p>
        </w:tc>
        <w:tc>
          <w:tcPr>
            <w:tcW w:type="dxa" w:w="1224"/>
            <w:vAlign w:val="center"/>
          </w:tcPr>
          <w:p>
            <w:pPr>
              <w:jc w:val="left"/>
            </w:pPr>
            <w:r/>
            <w:r>
              <w:rPr>
                <w:b w:val="0"/>
                <w:sz w:val="19"/>
              </w:rPr>
              <w:t>Home</w:t>
            </w:r>
          </w:p>
        </w:tc>
        <w:tc>
          <w:tcPr>
            <w:tcW w:type="dxa" w:w="1800"/>
            <w:vAlign w:val="center"/>
          </w:tcPr>
          <w:p>
            <w:pPr>
              <w:jc w:val="left"/>
            </w:pPr>
            <w:r/>
            <w:r>
              <w:rPr>
                <w:b w:val="0"/>
                <w:sz w:val="19"/>
              </w:rPr>
              <w:t>Landing page loads</w:t>
            </w:r>
          </w:p>
        </w:tc>
        <w:tc>
          <w:tcPr>
            <w:tcW w:type="dxa" w:w="1944"/>
            <w:vAlign w:val="center"/>
          </w:tcPr>
          <w:p>
            <w:pPr>
              <w:jc w:val="left"/>
            </w:pPr>
            <w:r/>
            <w:r>
              <w:rPr>
                <w:b w:val="0"/>
                <w:sz w:val="19"/>
              </w:rPr>
              <w:t>Preview deployment is reachable.</w:t>
            </w:r>
          </w:p>
        </w:tc>
        <w:tc>
          <w:tcPr>
            <w:tcW w:type="dxa" w:w="3384"/>
            <w:vAlign w:val="center"/>
          </w:tcPr>
          <w:p>
            <w:pPr>
              <w:jc w:val="left"/>
            </w:pPr>
            <w:r/>
            <w:r>
              <w:rPr>
                <w:b w:val="0"/>
                <w:sz w:val="19"/>
              </w:rPr>
              <w:t>Open the preview URL. Wait for the home page to finish loading.</w:t>
            </w:r>
          </w:p>
        </w:tc>
        <w:tc>
          <w:tcPr>
            <w:tcW w:type="dxa" w:w="3240"/>
            <w:vAlign w:val="center"/>
          </w:tcPr>
          <w:p>
            <w:pPr>
              <w:jc w:val="left"/>
            </w:pPr>
            <w:r/>
            <w:r>
              <w:rPr>
                <w:b w:val="0"/>
                <w:sz w:val="19"/>
              </w:rPr>
              <w:t>The landing page loads without error and shows entry points for voucher, salary slip, and invoice modules.</w:t>
            </w:r>
          </w:p>
        </w:tc>
        <w:tc>
          <w:tcPr>
            <w:tcW w:type="dxa" w:w="1008"/>
            <w:vAlign w:val="center"/>
          </w:tcPr>
          <w:p>
            <w:pPr>
              <w:jc w:val="left"/>
            </w:pPr>
            <w:r/>
            <w:r>
              <w:rPr>
                <w:b w:val="0"/>
                <w:sz w:val="19"/>
              </w:rPr>
              <w:t>High</w:t>
            </w:r>
          </w:p>
        </w:tc>
      </w:tr>
      <w:tr>
        <w:tc>
          <w:tcPr>
            <w:tcW w:type="dxa" w:w="1296"/>
            <w:vAlign w:val="center"/>
          </w:tcPr>
          <w:p>
            <w:pPr>
              <w:jc w:val="left"/>
            </w:pPr>
            <w:r/>
            <w:r>
              <w:rPr>
                <w:b w:val="0"/>
                <w:sz w:val="19"/>
              </w:rPr>
              <w:t>NAV-002</w:t>
            </w:r>
          </w:p>
        </w:tc>
        <w:tc>
          <w:tcPr>
            <w:tcW w:type="dxa" w:w="1224"/>
            <w:vAlign w:val="center"/>
          </w:tcPr>
          <w:p>
            <w:pPr>
              <w:jc w:val="left"/>
            </w:pPr>
            <w:r/>
            <w:r>
              <w:rPr>
                <w:b w:val="0"/>
                <w:sz w:val="19"/>
              </w:rPr>
              <w:t>Navigation</w:t>
            </w:r>
          </w:p>
        </w:tc>
        <w:tc>
          <w:tcPr>
            <w:tcW w:type="dxa" w:w="1800"/>
            <w:vAlign w:val="center"/>
          </w:tcPr>
          <w:p>
            <w:pPr>
              <w:jc w:val="left"/>
            </w:pPr>
            <w:r/>
            <w:r>
              <w:rPr>
                <w:b w:val="0"/>
                <w:sz w:val="19"/>
              </w:rPr>
              <w:t>Workspace links open correctly</w:t>
            </w:r>
          </w:p>
        </w:tc>
        <w:tc>
          <w:tcPr>
            <w:tcW w:type="dxa" w:w="1944"/>
            <w:vAlign w:val="center"/>
          </w:tcPr>
          <w:p>
            <w:pPr>
              <w:jc w:val="left"/>
            </w:pPr>
            <w:r/>
            <w:r>
              <w:rPr>
                <w:b w:val="0"/>
                <w:sz w:val="19"/>
              </w:rPr>
              <w:t>Home page is open.</w:t>
            </w:r>
          </w:p>
        </w:tc>
        <w:tc>
          <w:tcPr>
            <w:tcW w:type="dxa" w:w="3384"/>
            <w:vAlign w:val="center"/>
          </w:tcPr>
          <w:p>
            <w:pPr>
              <w:jc w:val="left"/>
            </w:pPr>
            <w:r/>
            <w:r>
              <w:rPr>
                <w:b w:val="0"/>
                <w:sz w:val="19"/>
              </w:rPr>
              <w:t>Open the voucher workspace. Return to home. Open the salary slip workspace. Return to home. Open the invoice workspace.</w:t>
            </w:r>
          </w:p>
        </w:tc>
        <w:tc>
          <w:tcPr>
            <w:tcW w:type="dxa" w:w="3240"/>
            <w:vAlign w:val="center"/>
          </w:tcPr>
          <w:p>
            <w:pPr>
              <w:jc w:val="left"/>
            </w:pPr>
            <w:r/>
            <w:r>
              <w:rPr>
                <w:b w:val="0"/>
                <w:sz w:val="19"/>
              </w:rPr>
              <w:t>Each workspace route loads correctly and shows the correct generator heading and controls.</w:t>
            </w:r>
          </w:p>
        </w:tc>
        <w:tc>
          <w:tcPr>
            <w:tcW w:type="dxa" w:w="1008"/>
            <w:vAlign w:val="center"/>
          </w:tcPr>
          <w:p>
            <w:pPr>
              <w:jc w:val="left"/>
            </w:pPr>
            <w:r/>
            <w:r>
              <w:rPr>
                <w:b w:val="0"/>
                <w:sz w:val="19"/>
              </w:rPr>
              <w:t>High</w:t>
            </w:r>
          </w:p>
        </w:tc>
      </w:tr>
    </w:tbl>
    <w:p/>
    <w:p>
      <w:pPr>
        <w:pStyle w:val="Heading2"/>
      </w:pPr>
      <w:r>
        <w:t>Voucher Generator</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vAlign w:val="center"/>
            <w:shd w:fill="EADFCB"/>
          </w:tcPr>
          <w:p>
            <w:pPr>
              <w:jc w:val="left"/>
            </w:pPr>
            <w:r/>
            <w:r>
              <w:rPr>
                <w:b/>
                <w:sz w:val="19"/>
              </w:rPr>
              <w:t>Test Case ID</w:t>
            </w:r>
          </w:p>
        </w:tc>
        <w:tc>
          <w:tcPr>
            <w:tcW w:type="dxa" w:w="1224"/>
            <w:vAlign w:val="center"/>
            <w:shd w:fill="EADFCB"/>
          </w:tcPr>
          <w:p>
            <w:pPr>
              <w:jc w:val="left"/>
            </w:pPr>
            <w:r/>
            <w:r>
              <w:rPr>
                <w:b/>
                <w:sz w:val="19"/>
              </w:rPr>
              <w:t>Module</w:t>
            </w:r>
          </w:p>
        </w:tc>
        <w:tc>
          <w:tcPr>
            <w:tcW w:type="dxa" w:w="1800"/>
            <w:vAlign w:val="center"/>
            <w:shd w:fill="EADFCB"/>
          </w:tcPr>
          <w:p>
            <w:pPr>
              <w:jc w:val="left"/>
            </w:pPr>
            <w:r/>
            <w:r>
              <w:rPr>
                <w:b/>
                <w:sz w:val="19"/>
              </w:rPr>
              <w:t>Scenario</w:t>
            </w:r>
          </w:p>
        </w:tc>
        <w:tc>
          <w:tcPr>
            <w:tcW w:type="dxa" w:w="1944"/>
            <w:vAlign w:val="center"/>
            <w:shd w:fill="EADFCB"/>
          </w:tcPr>
          <w:p>
            <w:pPr>
              <w:jc w:val="left"/>
            </w:pPr>
            <w:r/>
            <w:r>
              <w:rPr>
                <w:b/>
                <w:sz w:val="19"/>
              </w:rPr>
              <w:t>Preconditions</w:t>
            </w:r>
          </w:p>
        </w:tc>
        <w:tc>
          <w:tcPr>
            <w:tcW w:type="dxa" w:w="3384"/>
            <w:vAlign w:val="center"/>
            <w:shd w:fill="EADFCB"/>
          </w:tcPr>
          <w:p>
            <w:pPr>
              <w:jc w:val="left"/>
            </w:pPr>
            <w:r/>
            <w:r>
              <w:rPr>
                <w:b/>
                <w:sz w:val="19"/>
              </w:rPr>
              <w:t>Steps</w:t>
            </w:r>
          </w:p>
        </w:tc>
        <w:tc>
          <w:tcPr>
            <w:tcW w:type="dxa" w:w="3240"/>
            <w:vAlign w:val="center"/>
            <w:shd w:fill="EADFCB"/>
          </w:tcPr>
          <w:p>
            <w:pPr>
              <w:jc w:val="left"/>
            </w:pPr>
            <w:r/>
            <w:r>
              <w:rPr>
                <w:b/>
                <w:sz w:val="19"/>
              </w:rPr>
              <w:t>Expected Result</w:t>
            </w:r>
          </w:p>
        </w:tc>
        <w:tc>
          <w:tcPr>
            <w:tcW w:type="dxa" w:w="1008"/>
            <w:vAlign w:val="center"/>
            <w:shd w:fill="EADFCB"/>
          </w:tcPr>
          <w:p>
            <w:pPr>
              <w:jc w:val="left"/>
            </w:pPr>
            <w:r/>
            <w:r>
              <w:rPr>
                <w:b/>
                <w:sz w:val="19"/>
              </w:rPr>
              <w:t>Priority</w:t>
            </w:r>
          </w:p>
        </w:tc>
      </w:tr>
      <w:tr>
        <w:tc>
          <w:tcPr>
            <w:tcW w:type="dxa" w:w="1296"/>
            <w:vAlign w:val="center"/>
          </w:tcPr>
          <w:p>
            <w:pPr>
              <w:jc w:val="left"/>
            </w:pPr>
            <w:r/>
            <w:r>
              <w:rPr>
                <w:b w:val="0"/>
                <w:sz w:val="19"/>
              </w:rPr>
              <w:t>VOU-001</w:t>
            </w:r>
          </w:p>
        </w:tc>
        <w:tc>
          <w:tcPr>
            <w:tcW w:type="dxa" w:w="1224"/>
            <w:vAlign w:val="center"/>
          </w:tcPr>
          <w:p>
            <w:pPr>
              <w:jc w:val="left"/>
            </w:pPr>
            <w:r/>
            <w:r>
              <w:rPr>
                <w:b w:val="0"/>
                <w:sz w:val="19"/>
              </w:rPr>
              <w:t>Voucher</w:t>
            </w:r>
          </w:p>
        </w:tc>
        <w:tc>
          <w:tcPr>
            <w:tcW w:type="dxa" w:w="1800"/>
            <w:vAlign w:val="center"/>
          </w:tcPr>
          <w:p>
            <w:pPr>
              <w:jc w:val="left"/>
            </w:pPr>
            <w:r/>
            <w:r>
              <w:rPr>
                <w:b w:val="0"/>
                <w:sz w:val="19"/>
              </w:rPr>
              <w:t>Voucher workspace renders with defaults</w:t>
            </w:r>
          </w:p>
        </w:tc>
        <w:tc>
          <w:tcPr>
            <w:tcW w:type="dxa" w:w="1944"/>
            <w:vAlign w:val="center"/>
          </w:tcPr>
          <w:p>
            <w:pPr>
              <w:jc w:val="left"/>
            </w:pPr>
            <w:r/>
            <w:r>
              <w:rPr>
                <w:b w:val="0"/>
                <w:sz w:val="19"/>
              </w:rPr>
              <w:t>Open `/voucher`.</w:t>
            </w:r>
          </w:p>
        </w:tc>
        <w:tc>
          <w:tcPr>
            <w:tcW w:type="dxa" w:w="3384"/>
            <w:vAlign w:val="center"/>
          </w:tcPr>
          <w:p>
            <w:pPr>
              <w:jc w:val="left"/>
            </w:pPr>
            <w:r/>
            <w:r>
              <w:rPr>
                <w:b w:val="0"/>
                <w:sz w:val="19"/>
              </w:rPr>
              <w:t>Wait for the workspace to load and inspect the form and preview.</w:t>
            </w:r>
          </w:p>
        </w:tc>
        <w:tc>
          <w:tcPr>
            <w:tcW w:type="dxa" w:w="3240"/>
            <w:vAlign w:val="center"/>
          </w:tcPr>
          <w:p>
            <w:pPr>
              <w:jc w:val="left"/>
            </w:pPr>
            <w:r/>
            <w:r>
              <w:rPr>
                <w:b w:val="0"/>
                <w:sz w:val="19"/>
              </w:rPr>
              <w:t>The voucher form, preview, template selector, and export buttons are visible with editable default values.</w:t>
            </w:r>
          </w:p>
        </w:tc>
        <w:tc>
          <w:tcPr>
            <w:tcW w:type="dxa" w:w="1008"/>
            <w:vAlign w:val="center"/>
          </w:tcPr>
          <w:p>
            <w:pPr>
              <w:jc w:val="left"/>
            </w:pPr>
            <w:r/>
            <w:r>
              <w:rPr>
                <w:b w:val="0"/>
                <w:sz w:val="19"/>
              </w:rPr>
              <w:t>High</w:t>
            </w:r>
          </w:p>
        </w:tc>
      </w:tr>
      <w:tr>
        <w:tc>
          <w:tcPr>
            <w:tcW w:type="dxa" w:w="1296"/>
            <w:vAlign w:val="center"/>
          </w:tcPr>
          <w:p>
            <w:pPr>
              <w:jc w:val="left"/>
            </w:pPr>
            <w:r/>
            <w:r>
              <w:rPr>
                <w:b w:val="0"/>
                <w:sz w:val="19"/>
              </w:rPr>
              <w:t>VOU-002</w:t>
            </w:r>
          </w:p>
        </w:tc>
        <w:tc>
          <w:tcPr>
            <w:tcW w:type="dxa" w:w="1224"/>
            <w:vAlign w:val="center"/>
          </w:tcPr>
          <w:p>
            <w:pPr>
              <w:jc w:val="left"/>
            </w:pPr>
            <w:r/>
            <w:r>
              <w:rPr>
                <w:b w:val="0"/>
                <w:sz w:val="19"/>
              </w:rPr>
              <w:t>Voucher</w:t>
            </w:r>
          </w:p>
        </w:tc>
        <w:tc>
          <w:tcPr>
            <w:tcW w:type="dxa" w:w="1800"/>
            <w:vAlign w:val="center"/>
          </w:tcPr>
          <w:p>
            <w:pPr>
              <w:jc w:val="left"/>
            </w:pPr>
            <w:r/>
            <w:r>
              <w:rPr>
                <w:b w:val="0"/>
                <w:sz w:val="19"/>
              </w:rPr>
              <w:t>Voucher type updates preview content</w:t>
            </w:r>
          </w:p>
        </w:tc>
        <w:tc>
          <w:tcPr>
            <w:tcW w:type="dxa" w:w="1944"/>
            <w:vAlign w:val="center"/>
          </w:tcPr>
          <w:p>
            <w:pPr>
              <w:jc w:val="left"/>
            </w:pPr>
            <w:r/>
            <w:r>
              <w:rPr>
                <w:b w:val="0"/>
                <w:sz w:val="19"/>
              </w:rPr>
              <w:t>Voucher workspace is open.</w:t>
            </w:r>
          </w:p>
        </w:tc>
        <w:tc>
          <w:tcPr>
            <w:tcW w:type="dxa" w:w="3384"/>
            <w:vAlign w:val="center"/>
          </w:tcPr>
          <w:p>
            <w:pPr>
              <w:jc w:val="left"/>
            </w:pPr>
            <w:r/>
            <w:r>
              <w:rPr>
                <w:b w:val="0"/>
                <w:sz w:val="19"/>
              </w:rPr>
              <w:t>Change voucher type from payment to receipt.</w:t>
            </w:r>
          </w:p>
        </w:tc>
        <w:tc>
          <w:tcPr>
            <w:tcW w:type="dxa" w:w="3240"/>
            <w:vAlign w:val="center"/>
          </w:tcPr>
          <w:p>
            <w:pPr>
              <w:jc w:val="left"/>
            </w:pPr>
            <w:r/>
            <w:r>
              <w:rPr>
                <w:b w:val="0"/>
                <w:sz w:val="19"/>
              </w:rPr>
              <w:t>The preview updates to receipt wording and the counterparty label changes accordingly.</w:t>
            </w:r>
          </w:p>
        </w:tc>
        <w:tc>
          <w:tcPr>
            <w:tcW w:type="dxa" w:w="1008"/>
            <w:vAlign w:val="center"/>
          </w:tcPr>
          <w:p>
            <w:pPr>
              <w:jc w:val="left"/>
            </w:pPr>
            <w:r/>
            <w:r>
              <w:rPr>
                <w:b w:val="0"/>
                <w:sz w:val="19"/>
              </w:rPr>
              <w:t>High</w:t>
            </w:r>
          </w:p>
        </w:tc>
      </w:tr>
      <w:tr>
        <w:tc>
          <w:tcPr>
            <w:tcW w:type="dxa" w:w="1296"/>
            <w:vAlign w:val="center"/>
          </w:tcPr>
          <w:p>
            <w:pPr>
              <w:jc w:val="left"/>
            </w:pPr>
            <w:r/>
            <w:r>
              <w:rPr>
                <w:b w:val="0"/>
                <w:sz w:val="19"/>
              </w:rPr>
              <w:t>VOU-003</w:t>
            </w:r>
          </w:p>
        </w:tc>
        <w:tc>
          <w:tcPr>
            <w:tcW w:type="dxa" w:w="1224"/>
            <w:vAlign w:val="center"/>
          </w:tcPr>
          <w:p>
            <w:pPr>
              <w:jc w:val="left"/>
            </w:pPr>
            <w:r/>
            <w:r>
              <w:rPr>
                <w:b w:val="0"/>
                <w:sz w:val="19"/>
              </w:rPr>
              <w:t>Voucher</w:t>
            </w:r>
          </w:p>
        </w:tc>
        <w:tc>
          <w:tcPr>
            <w:tcW w:type="dxa" w:w="1800"/>
            <w:vAlign w:val="center"/>
          </w:tcPr>
          <w:p>
            <w:pPr>
              <w:jc w:val="left"/>
            </w:pPr>
            <w:r/>
            <w:r>
              <w:rPr>
                <w:b w:val="0"/>
                <w:sz w:val="19"/>
              </w:rPr>
              <w:t>Template switching works</w:t>
            </w:r>
          </w:p>
        </w:tc>
        <w:tc>
          <w:tcPr>
            <w:tcW w:type="dxa" w:w="1944"/>
            <w:vAlign w:val="center"/>
          </w:tcPr>
          <w:p>
            <w:pPr>
              <w:jc w:val="left"/>
            </w:pPr>
            <w:r/>
            <w:r>
              <w:rPr>
                <w:b w:val="0"/>
                <w:sz w:val="19"/>
              </w:rPr>
              <w:t>Voucher workspace is open.</w:t>
            </w:r>
          </w:p>
        </w:tc>
        <w:tc>
          <w:tcPr>
            <w:tcW w:type="dxa" w:w="3384"/>
            <w:vAlign w:val="center"/>
          </w:tcPr>
          <w:p>
            <w:pPr>
              <w:jc w:val="left"/>
            </w:pPr>
            <w:r/>
            <w:r>
              <w:rPr>
                <w:b w:val="0"/>
                <w:sz w:val="19"/>
              </w:rPr>
              <w:t>Switch between Minimal Office and Traditional Ledger templates.</w:t>
            </w:r>
          </w:p>
        </w:tc>
        <w:tc>
          <w:tcPr>
            <w:tcW w:type="dxa" w:w="3240"/>
            <w:vAlign w:val="center"/>
          </w:tcPr>
          <w:p>
            <w:pPr>
              <w:jc w:val="left"/>
            </w:pPr>
            <w:r/>
            <w:r>
              <w:rPr>
                <w:b w:val="0"/>
                <w:sz w:val="19"/>
              </w:rPr>
              <w:t>The preview updates to the selected template without losing the entered form data.</w:t>
            </w:r>
          </w:p>
        </w:tc>
        <w:tc>
          <w:tcPr>
            <w:tcW w:type="dxa" w:w="1008"/>
            <w:vAlign w:val="center"/>
          </w:tcPr>
          <w:p>
            <w:pPr>
              <w:jc w:val="left"/>
            </w:pPr>
            <w:r/>
            <w:r>
              <w:rPr>
                <w:b w:val="0"/>
                <w:sz w:val="19"/>
              </w:rPr>
              <w:t>High</w:t>
            </w:r>
          </w:p>
        </w:tc>
      </w:tr>
      <w:tr>
        <w:tc>
          <w:tcPr>
            <w:tcW w:type="dxa" w:w="1296"/>
            <w:vAlign w:val="center"/>
          </w:tcPr>
          <w:p>
            <w:pPr>
              <w:jc w:val="left"/>
            </w:pPr>
            <w:r/>
            <w:r>
              <w:rPr>
                <w:b w:val="0"/>
                <w:sz w:val="19"/>
              </w:rPr>
              <w:t>VOU-004</w:t>
            </w:r>
          </w:p>
        </w:tc>
        <w:tc>
          <w:tcPr>
            <w:tcW w:type="dxa" w:w="1224"/>
            <w:vAlign w:val="center"/>
          </w:tcPr>
          <w:p>
            <w:pPr>
              <w:jc w:val="left"/>
            </w:pPr>
            <w:r/>
            <w:r>
              <w:rPr>
                <w:b w:val="0"/>
                <w:sz w:val="19"/>
              </w:rPr>
              <w:t>Voucher</w:t>
            </w:r>
          </w:p>
        </w:tc>
        <w:tc>
          <w:tcPr>
            <w:tcW w:type="dxa" w:w="1800"/>
            <w:vAlign w:val="center"/>
          </w:tcPr>
          <w:p>
            <w:pPr>
              <w:jc w:val="left"/>
            </w:pPr>
            <w:r/>
            <w:r>
              <w:rPr>
                <w:b w:val="0"/>
                <w:sz w:val="19"/>
              </w:rPr>
              <w:t>Visibility toggle hides notes</w:t>
            </w:r>
          </w:p>
        </w:tc>
        <w:tc>
          <w:tcPr>
            <w:tcW w:type="dxa" w:w="1944"/>
            <w:vAlign w:val="center"/>
          </w:tcPr>
          <w:p>
            <w:pPr>
              <w:jc w:val="left"/>
            </w:pPr>
            <w:r/>
            <w:r>
              <w:rPr>
                <w:b w:val="0"/>
                <w:sz w:val="19"/>
              </w:rPr>
              <w:t>Voucher workspace is open with default notes visible.</w:t>
            </w:r>
          </w:p>
        </w:tc>
        <w:tc>
          <w:tcPr>
            <w:tcW w:type="dxa" w:w="3384"/>
            <w:vAlign w:val="center"/>
          </w:tcPr>
          <w:p>
            <w:pPr>
              <w:jc w:val="left"/>
            </w:pPr>
            <w:r/>
            <w:r>
              <w:rPr>
                <w:b w:val="0"/>
                <w:sz w:val="19"/>
              </w:rPr>
              <w:t>Turn off the Notes visibility toggle.</w:t>
            </w:r>
          </w:p>
        </w:tc>
        <w:tc>
          <w:tcPr>
            <w:tcW w:type="dxa" w:w="3240"/>
            <w:vAlign w:val="center"/>
          </w:tcPr>
          <w:p>
            <w:pPr>
              <w:jc w:val="left"/>
            </w:pPr>
            <w:r/>
            <w:r>
              <w:rPr>
                <w:b w:val="0"/>
                <w:sz w:val="19"/>
              </w:rPr>
              <w:t>The notes section disappears from the live preview and layout reflows cleanly.</w:t>
            </w:r>
          </w:p>
        </w:tc>
        <w:tc>
          <w:tcPr>
            <w:tcW w:type="dxa" w:w="1008"/>
            <w:vAlign w:val="center"/>
          </w:tcPr>
          <w:p>
            <w:pPr>
              <w:jc w:val="left"/>
            </w:pPr>
            <w:r/>
            <w:r>
              <w:rPr>
                <w:b w:val="0"/>
                <w:sz w:val="19"/>
              </w:rPr>
              <w:t>Medium</w:t>
            </w:r>
          </w:p>
        </w:tc>
      </w:tr>
      <w:tr>
        <w:tc>
          <w:tcPr>
            <w:tcW w:type="dxa" w:w="1296"/>
            <w:vAlign w:val="center"/>
          </w:tcPr>
          <w:p>
            <w:pPr>
              <w:jc w:val="left"/>
            </w:pPr>
            <w:r/>
            <w:r>
              <w:rPr>
                <w:b w:val="0"/>
                <w:sz w:val="19"/>
              </w:rPr>
              <w:t>VOU-005</w:t>
            </w:r>
          </w:p>
        </w:tc>
        <w:tc>
          <w:tcPr>
            <w:tcW w:type="dxa" w:w="1224"/>
            <w:vAlign w:val="center"/>
          </w:tcPr>
          <w:p>
            <w:pPr>
              <w:jc w:val="left"/>
            </w:pPr>
            <w:r/>
            <w:r>
              <w:rPr>
                <w:b w:val="0"/>
                <w:sz w:val="19"/>
              </w:rPr>
              <w:t>Voucher</w:t>
            </w:r>
          </w:p>
        </w:tc>
        <w:tc>
          <w:tcPr>
            <w:tcW w:type="dxa" w:w="1800"/>
            <w:vAlign w:val="center"/>
          </w:tcPr>
          <w:p>
            <w:pPr>
              <w:jc w:val="left"/>
            </w:pPr>
            <w:r/>
            <w:r>
              <w:rPr>
                <w:b w:val="0"/>
                <w:sz w:val="19"/>
              </w:rPr>
              <w:t>PDF export completes</w:t>
            </w:r>
          </w:p>
        </w:tc>
        <w:tc>
          <w:tcPr>
            <w:tcW w:type="dxa" w:w="1944"/>
            <w:vAlign w:val="center"/>
          </w:tcPr>
          <w:p>
            <w:pPr>
              <w:jc w:val="left"/>
            </w:pPr>
            <w:r/>
            <w:r>
              <w:rPr>
                <w:b w:val="0"/>
                <w:sz w:val="19"/>
              </w:rPr>
              <w:t>Voucher workspace is open with valid data.</w:t>
            </w:r>
          </w:p>
        </w:tc>
        <w:tc>
          <w:tcPr>
            <w:tcW w:type="dxa" w:w="3384"/>
            <w:vAlign w:val="center"/>
          </w:tcPr>
          <w:p>
            <w:pPr>
              <w:jc w:val="left"/>
            </w:pPr>
            <w:r/>
            <w:r>
              <w:rPr>
                <w:b w:val="0"/>
                <w:sz w:val="19"/>
              </w:rPr>
              <w:t>Click Export PDF and download the file. Open the downloaded PDF.</w:t>
            </w:r>
          </w:p>
        </w:tc>
        <w:tc>
          <w:tcPr>
            <w:tcW w:type="dxa" w:w="3240"/>
            <w:vAlign w:val="center"/>
          </w:tcPr>
          <w:p>
            <w:pPr>
              <w:jc w:val="left"/>
            </w:pPr>
            <w:r/>
            <w:r>
              <w:rPr>
                <w:b w:val="0"/>
                <w:sz w:val="19"/>
              </w:rPr>
              <w:t>A PDF file downloads successfully, opens without corruption, and contains the expected voucher text.</w:t>
            </w:r>
          </w:p>
        </w:tc>
        <w:tc>
          <w:tcPr>
            <w:tcW w:type="dxa" w:w="1008"/>
            <w:vAlign w:val="center"/>
          </w:tcPr>
          <w:p>
            <w:pPr>
              <w:jc w:val="left"/>
            </w:pPr>
            <w:r/>
            <w:r>
              <w:rPr>
                <w:b w:val="0"/>
                <w:sz w:val="19"/>
              </w:rPr>
              <w:t>Blocker</w:t>
            </w:r>
          </w:p>
        </w:tc>
      </w:tr>
      <w:tr>
        <w:tc>
          <w:tcPr>
            <w:tcW w:type="dxa" w:w="1296"/>
            <w:vAlign w:val="center"/>
          </w:tcPr>
          <w:p>
            <w:pPr>
              <w:jc w:val="left"/>
            </w:pPr>
            <w:r/>
            <w:r>
              <w:rPr>
                <w:b w:val="0"/>
                <w:sz w:val="19"/>
              </w:rPr>
              <w:t>VOU-006</w:t>
            </w:r>
          </w:p>
        </w:tc>
        <w:tc>
          <w:tcPr>
            <w:tcW w:type="dxa" w:w="1224"/>
            <w:vAlign w:val="center"/>
          </w:tcPr>
          <w:p>
            <w:pPr>
              <w:jc w:val="left"/>
            </w:pPr>
            <w:r/>
            <w:r>
              <w:rPr>
                <w:b w:val="0"/>
                <w:sz w:val="19"/>
              </w:rPr>
              <w:t>Voucher</w:t>
            </w:r>
          </w:p>
        </w:tc>
        <w:tc>
          <w:tcPr>
            <w:tcW w:type="dxa" w:w="1800"/>
            <w:vAlign w:val="center"/>
          </w:tcPr>
          <w:p>
            <w:pPr>
              <w:jc w:val="left"/>
            </w:pPr>
            <w:r/>
            <w:r>
              <w:rPr>
                <w:b w:val="0"/>
                <w:sz w:val="19"/>
              </w:rPr>
              <w:t>PNG export completes</w:t>
            </w:r>
          </w:p>
        </w:tc>
        <w:tc>
          <w:tcPr>
            <w:tcW w:type="dxa" w:w="1944"/>
            <w:vAlign w:val="center"/>
          </w:tcPr>
          <w:p>
            <w:pPr>
              <w:jc w:val="left"/>
            </w:pPr>
            <w:r/>
            <w:r>
              <w:rPr>
                <w:b w:val="0"/>
                <w:sz w:val="19"/>
              </w:rPr>
              <w:t>Voucher workspace is open with valid data.</w:t>
            </w:r>
          </w:p>
        </w:tc>
        <w:tc>
          <w:tcPr>
            <w:tcW w:type="dxa" w:w="3384"/>
            <w:vAlign w:val="center"/>
          </w:tcPr>
          <w:p>
            <w:pPr>
              <w:jc w:val="left"/>
            </w:pPr>
            <w:r/>
            <w:r>
              <w:rPr>
                <w:b w:val="0"/>
                <w:sz w:val="19"/>
              </w:rPr>
              <w:t>Click Export PNG and open the downloaded file.</w:t>
            </w:r>
          </w:p>
        </w:tc>
        <w:tc>
          <w:tcPr>
            <w:tcW w:type="dxa" w:w="3240"/>
            <w:vAlign w:val="center"/>
          </w:tcPr>
          <w:p>
            <w:pPr>
              <w:jc w:val="left"/>
            </w:pPr>
            <w:r/>
            <w:r>
              <w:rPr>
                <w:b w:val="0"/>
                <w:sz w:val="19"/>
              </w:rPr>
              <w:t>A PNG file downloads successfully and the document image is complete and readable.</w:t>
            </w:r>
          </w:p>
        </w:tc>
        <w:tc>
          <w:tcPr>
            <w:tcW w:type="dxa" w:w="1008"/>
            <w:vAlign w:val="center"/>
          </w:tcPr>
          <w:p>
            <w:pPr>
              <w:jc w:val="left"/>
            </w:pPr>
            <w:r/>
            <w:r>
              <w:rPr>
                <w:b w:val="0"/>
                <w:sz w:val="19"/>
              </w:rPr>
              <w:t>Blocker</w:t>
            </w:r>
          </w:p>
        </w:tc>
      </w:tr>
    </w:tbl>
    <w:p/>
    <w:p>
      <w:pPr>
        <w:pStyle w:val="Heading2"/>
      </w:pPr>
      <w:r>
        <w:t>Salary Slip Generator</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vAlign w:val="center"/>
            <w:shd w:fill="EADFCB"/>
          </w:tcPr>
          <w:p>
            <w:pPr>
              <w:jc w:val="left"/>
            </w:pPr>
            <w:r/>
            <w:r>
              <w:rPr>
                <w:b/>
                <w:sz w:val="19"/>
              </w:rPr>
              <w:t>Test Case ID</w:t>
            </w:r>
          </w:p>
        </w:tc>
        <w:tc>
          <w:tcPr>
            <w:tcW w:type="dxa" w:w="1224"/>
            <w:vAlign w:val="center"/>
            <w:shd w:fill="EADFCB"/>
          </w:tcPr>
          <w:p>
            <w:pPr>
              <w:jc w:val="left"/>
            </w:pPr>
            <w:r/>
            <w:r>
              <w:rPr>
                <w:b/>
                <w:sz w:val="19"/>
              </w:rPr>
              <w:t>Module</w:t>
            </w:r>
          </w:p>
        </w:tc>
        <w:tc>
          <w:tcPr>
            <w:tcW w:type="dxa" w:w="1800"/>
            <w:vAlign w:val="center"/>
            <w:shd w:fill="EADFCB"/>
          </w:tcPr>
          <w:p>
            <w:pPr>
              <w:jc w:val="left"/>
            </w:pPr>
            <w:r/>
            <w:r>
              <w:rPr>
                <w:b/>
                <w:sz w:val="19"/>
              </w:rPr>
              <w:t>Scenario</w:t>
            </w:r>
          </w:p>
        </w:tc>
        <w:tc>
          <w:tcPr>
            <w:tcW w:type="dxa" w:w="1944"/>
            <w:vAlign w:val="center"/>
            <w:shd w:fill="EADFCB"/>
          </w:tcPr>
          <w:p>
            <w:pPr>
              <w:jc w:val="left"/>
            </w:pPr>
            <w:r/>
            <w:r>
              <w:rPr>
                <w:b/>
                <w:sz w:val="19"/>
              </w:rPr>
              <w:t>Preconditions</w:t>
            </w:r>
          </w:p>
        </w:tc>
        <w:tc>
          <w:tcPr>
            <w:tcW w:type="dxa" w:w="3384"/>
            <w:vAlign w:val="center"/>
            <w:shd w:fill="EADFCB"/>
          </w:tcPr>
          <w:p>
            <w:pPr>
              <w:jc w:val="left"/>
            </w:pPr>
            <w:r/>
            <w:r>
              <w:rPr>
                <w:b/>
                <w:sz w:val="19"/>
              </w:rPr>
              <w:t>Steps</w:t>
            </w:r>
          </w:p>
        </w:tc>
        <w:tc>
          <w:tcPr>
            <w:tcW w:type="dxa" w:w="3240"/>
            <w:vAlign w:val="center"/>
            <w:shd w:fill="EADFCB"/>
          </w:tcPr>
          <w:p>
            <w:pPr>
              <w:jc w:val="left"/>
            </w:pPr>
            <w:r/>
            <w:r>
              <w:rPr>
                <w:b/>
                <w:sz w:val="19"/>
              </w:rPr>
              <w:t>Expected Result</w:t>
            </w:r>
          </w:p>
        </w:tc>
        <w:tc>
          <w:tcPr>
            <w:tcW w:type="dxa" w:w="1008"/>
            <w:vAlign w:val="center"/>
            <w:shd w:fill="EADFCB"/>
          </w:tcPr>
          <w:p>
            <w:pPr>
              <w:jc w:val="left"/>
            </w:pPr>
            <w:r/>
            <w:r>
              <w:rPr>
                <w:b/>
                <w:sz w:val="19"/>
              </w:rPr>
              <w:t>Priority</w:t>
            </w:r>
          </w:p>
        </w:tc>
      </w:tr>
      <w:tr>
        <w:tc>
          <w:tcPr>
            <w:tcW w:type="dxa" w:w="1296"/>
            <w:vAlign w:val="center"/>
          </w:tcPr>
          <w:p>
            <w:pPr>
              <w:jc w:val="left"/>
            </w:pPr>
            <w:r/>
            <w:r>
              <w:rPr>
                <w:b w:val="0"/>
                <w:sz w:val="19"/>
              </w:rPr>
              <w:t>SAL-001</w:t>
            </w:r>
          </w:p>
        </w:tc>
        <w:tc>
          <w:tcPr>
            <w:tcW w:type="dxa" w:w="1224"/>
            <w:vAlign w:val="center"/>
          </w:tcPr>
          <w:p>
            <w:pPr>
              <w:jc w:val="left"/>
            </w:pPr>
            <w:r/>
            <w:r>
              <w:rPr>
                <w:b w:val="0"/>
                <w:sz w:val="19"/>
              </w:rPr>
              <w:t>Salary Slip</w:t>
            </w:r>
          </w:p>
        </w:tc>
        <w:tc>
          <w:tcPr>
            <w:tcW w:type="dxa" w:w="1800"/>
            <w:vAlign w:val="center"/>
          </w:tcPr>
          <w:p>
            <w:pPr>
              <w:jc w:val="left"/>
            </w:pPr>
            <w:r/>
            <w:r>
              <w:rPr>
                <w:b w:val="0"/>
                <w:sz w:val="19"/>
              </w:rPr>
              <w:t>Salary slip workspace renders with defaults</w:t>
            </w:r>
          </w:p>
        </w:tc>
        <w:tc>
          <w:tcPr>
            <w:tcW w:type="dxa" w:w="1944"/>
            <w:vAlign w:val="center"/>
          </w:tcPr>
          <w:p>
            <w:pPr>
              <w:jc w:val="left"/>
            </w:pPr>
            <w:r/>
            <w:r>
              <w:rPr>
                <w:b w:val="0"/>
                <w:sz w:val="19"/>
              </w:rPr>
              <w:t>Open `/salary-slip`.</w:t>
            </w:r>
          </w:p>
        </w:tc>
        <w:tc>
          <w:tcPr>
            <w:tcW w:type="dxa" w:w="3384"/>
            <w:vAlign w:val="center"/>
          </w:tcPr>
          <w:p>
            <w:pPr>
              <w:jc w:val="left"/>
            </w:pPr>
            <w:r/>
            <w:r>
              <w:rPr>
                <w:b w:val="0"/>
                <w:sz w:val="19"/>
              </w:rPr>
              <w:t>Wait for the workspace to load and inspect the form and preview.</w:t>
            </w:r>
          </w:p>
        </w:tc>
        <w:tc>
          <w:tcPr>
            <w:tcW w:type="dxa" w:w="3240"/>
            <w:vAlign w:val="center"/>
          </w:tcPr>
          <w:p>
            <w:pPr>
              <w:jc w:val="left"/>
            </w:pPr>
            <w:r/>
            <w:r>
              <w:rPr>
                <w:b w:val="0"/>
                <w:sz w:val="19"/>
              </w:rPr>
              <w:t>The salary slip form, preview, template selector, and export actions are visible with editable defaults.</w:t>
            </w:r>
          </w:p>
        </w:tc>
        <w:tc>
          <w:tcPr>
            <w:tcW w:type="dxa" w:w="1008"/>
            <w:vAlign w:val="center"/>
          </w:tcPr>
          <w:p>
            <w:pPr>
              <w:jc w:val="left"/>
            </w:pPr>
            <w:r/>
            <w:r>
              <w:rPr>
                <w:b w:val="0"/>
                <w:sz w:val="19"/>
              </w:rPr>
              <w:t>High</w:t>
            </w:r>
          </w:p>
        </w:tc>
      </w:tr>
      <w:tr>
        <w:tc>
          <w:tcPr>
            <w:tcW w:type="dxa" w:w="1296"/>
            <w:vAlign w:val="center"/>
          </w:tcPr>
          <w:p>
            <w:pPr>
              <w:jc w:val="left"/>
            </w:pPr>
            <w:r/>
            <w:r>
              <w:rPr>
                <w:b w:val="0"/>
                <w:sz w:val="19"/>
              </w:rPr>
              <w:t>SAL-002</w:t>
            </w:r>
          </w:p>
        </w:tc>
        <w:tc>
          <w:tcPr>
            <w:tcW w:type="dxa" w:w="1224"/>
            <w:vAlign w:val="center"/>
          </w:tcPr>
          <w:p>
            <w:pPr>
              <w:jc w:val="left"/>
            </w:pPr>
            <w:r/>
            <w:r>
              <w:rPr>
                <w:b w:val="0"/>
                <w:sz w:val="19"/>
              </w:rPr>
              <w:t>Salary Slip</w:t>
            </w:r>
          </w:p>
        </w:tc>
        <w:tc>
          <w:tcPr>
            <w:tcW w:type="dxa" w:w="1800"/>
            <w:vAlign w:val="center"/>
          </w:tcPr>
          <w:p>
            <w:pPr>
              <w:jc w:val="left"/>
            </w:pPr>
            <w:r/>
            <w:r>
              <w:rPr>
                <w:b w:val="0"/>
                <w:sz w:val="19"/>
              </w:rPr>
              <w:t>Earnings and deductions update totals</w:t>
            </w:r>
          </w:p>
        </w:tc>
        <w:tc>
          <w:tcPr>
            <w:tcW w:type="dxa" w:w="1944"/>
            <w:vAlign w:val="center"/>
          </w:tcPr>
          <w:p>
            <w:pPr>
              <w:jc w:val="left"/>
            </w:pPr>
            <w:r/>
            <w:r>
              <w:rPr>
                <w:b w:val="0"/>
                <w:sz w:val="19"/>
              </w:rPr>
              <w:t>Salary slip workspace is open.</w:t>
            </w:r>
          </w:p>
        </w:tc>
        <w:tc>
          <w:tcPr>
            <w:tcW w:type="dxa" w:w="3384"/>
            <w:vAlign w:val="center"/>
          </w:tcPr>
          <w:p>
            <w:pPr>
              <w:jc w:val="left"/>
            </w:pPr>
            <w:r/>
            <w:r>
              <w:rPr>
                <w:b w:val="0"/>
                <w:sz w:val="19"/>
              </w:rPr>
              <w:t>Add a new earning row. Enter a label and amount. Review the preview totals.</w:t>
            </w:r>
          </w:p>
        </w:tc>
        <w:tc>
          <w:tcPr>
            <w:tcW w:type="dxa" w:w="3240"/>
            <w:vAlign w:val="center"/>
          </w:tcPr>
          <w:p>
            <w:pPr>
              <w:jc w:val="left"/>
            </w:pPr>
            <w:r/>
            <w:r>
              <w:rPr>
                <w:b w:val="0"/>
                <w:sz w:val="19"/>
              </w:rPr>
              <w:t>The new row appears in the preview and the total earnings and net salary update immediately.</w:t>
            </w:r>
          </w:p>
        </w:tc>
        <w:tc>
          <w:tcPr>
            <w:tcW w:type="dxa" w:w="1008"/>
            <w:vAlign w:val="center"/>
          </w:tcPr>
          <w:p>
            <w:pPr>
              <w:jc w:val="left"/>
            </w:pPr>
            <w:r/>
            <w:r>
              <w:rPr>
                <w:b w:val="0"/>
                <w:sz w:val="19"/>
              </w:rPr>
              <w:t>High</w:t>
            </w:r>
          </w:p>
        </w:tc>
      </w:tr>
      <w:tr>
        <w:tc>
          <w:tcPr>
            <w:tcW w:type="dxa" w:w="1296"/>
            <w:vAlign w:val="center"/>
          </w:tcPr>
          <w:p>
            <w:pPr>
              <w:jc w:val="left"/>
            </w:pPr>
            <w:r/>
            <w:r>
              <w:rPr>
                <w:b w:val="0"/>
                <w:sz w:val="19"/>
              </w:rPr>
              <w:t>SAL-003</w:t>
            </w:r>
          </w:p>
        </w:tc>
        <w:tc>
          <w:tcPr>
            <w:tcW w:type="dxa" w:w="1224"/>
            <w:vAlign w:val="center"/>
          </w:tcPr>
          <w:p>
            <w:pPr>
              <w:jc w:val="left"/>
            </w:pPr>
            <w:r/>
            <w:r>
              <w:rPr>
                <w:b w:val="0"/>
                <w:sz w:val="19"/>
              </w:rPr>
              <w:t>Salary Slip</w:t>
            </w:r>
          </w:p>
        </w:tc>
        <w:tc>
          <w:tcPr>
            <w:tcW w:type="dxa" w:w="1800"/>
            <w:vAlign w:val="center"/>
          </w:tcPr>
          <w:p>
            <w:pPr>
              <w:jc w:val="left"/>
            </w:pPr>
            <w:r/>
            <w:r>
              <w:rPr>
                <w:b w:val="0"/>
                <w:sz w:val="19"/>
              </w:rPr>
              <w:t>Visibility toggles hide optional sections</w:t>
            </w:r>
          </w:p>
        </w:tc>
        <w:tc>
          <w:tcPr>
            <w:tcW w:type="dxa" w:w="1944"/>
            <w:vAlign w:val="center"/>
          </w:tcPr>
          <w:p>
            <w:pPr>
              <w:jc w:val="left"/>
            </w:pPr>
            <w:r/>
            <w:r>
              <w:rPr>
                <w:b w:val="0"/>
                <w:sz w:val="19"/>
              </w:rPr>
              <w:t>Salary slip workspace is open.</w:t>
            </w:r>
          </w:p>
        </w:tc>
        <w:tc>
          <w:tcPr>
            <w:tcW w:type="dxa" w:w="3384"/>
            <w:vAlign w:val="center"/>
          </w:tcPr>
          <w:p>
            <w:pPr>
              <w:jc w:val="left"/>
            </w:pPr>
            <w:r/>
            <w:r>
              <w:rPr>
                <w:b w:val="0"/>
                <w:sz w:val="19"/>
              </w:rPr>
              <w:t>Disable bank details, notes, and signature-related toggles one by one.</w:t>
            </w:r>
          </w:p>
        </w:tc>
        <w:tc>
          <w:tcPr>
            <w:tcW w:type="dxa" w:w="3240"/>
            <w:vAlign w:val="center"/>
          </w:tcPr>
          <w:p>
            <w:pPr>
              <w:jc w:val="left"/>
            </w:pPr>
            <w:r/>
            <w:r>
              <w:rPr>
                <w:b w:val="0"/>
                <w:sz w:val="19"/>
              </w:rPr>
              <w:t>The corresponding preview sections disappear and surrounding layout remains balanced.</w:t>
            </w:r>
          </w:p>
        </w:tc>
        <w:tc>
          <w:tcPr>
            <w:tcW w:type="dxa" w:w="1008"/>
            <w:vAlign w:val="center"/>
          </w:tcPr>
          <w:p>
            <w:pPr>
              <w:jc w:val="left"/>
            </w:pPr>
            <w:r/>
            <w:r>
              <w:rPr>
                <w:b w:val="0"/>
                <w:sz w:val="19"/>
              </w:rPr>
              <w:t>High</w:t>
            </w:r>
          </w:p>
        </w:tc>
      </w:tr>
      <w:tr>
        <w:tc>
          <w:tcPr>
            <w:tcW w:type="dxa" w:w="1296"/>
            <w:vAlign w:val="center"/>
          </w:tcPr>
          <w:p>
            <w:pPr>
              <w:jc w:val="left"/>
            </w:pPr>
            <w:r/>
            <w:r>
              <w:rPr>
                <w:b w:val="0"/>
                <w:sz w:val="19"/>
              </w:rPr>
              <w:t>SAL-004</w:t>
            </w:r>
          </w:p>
        </w:tc>
        <w:tc>
          <w:tcPr>
            <w:tcW w:type="dxa" w:w="1224"/>
            <w:vAlign w:val="center"/>
          </w:tcPr>
          <w:p>
            <w:pPr>
              <w:jc w:val="left"/>
            </w:pPr>
            <w:r/>
            <w:r>
              <w:rPr>
                <w:b w:val="0"/>
                <w:sz w:val="19"/>
              </w:rPr>
              <w:t>Salary Slip</w:t>
            </w:r>
          </w:p>
        </w:tc>
        <w:tc>
          <w:tcPr>
            <w:tcW w:type="dxa" w:w="1800"/>
            <w:vAlign w:val="center"/>
          </w:tcPr>
          <w:p>
            <w:pPr>
              <w:jc w:val="left"/>
            </w:pPr>
            <w:r/>
            <w:r>
              <w:rPr>
                <w:b w:val="0"/>
                <w:sz w:val="19"/>
              </w:rPr>
              <w:t>Template switching works</w:t>
            </w:r>
          </w:p>
        </w:tc>
        <w:tc>
          <w:tcPr>
            <w:tcW w:type="dxa" w:w="1944"/>
            <w:vAlign w:val="center"/>
          </w:tcPr>
          <w:p>
            <w:pPr>
              <w:jc w:val="left"/>
            </w:pPr>
            <w:r/>
            <w:r>
              <w:rPr>
                <w:b w:val="0"/>
                <w:sz w:val="19"/>
              </w:rPr>
              <w:t>Salary slip workspace is open.</w:t>
            </w:r>
          </w:p>
        </w:tc>
        <w:tc>
          <w:tcPr>
            <w:tcW w:type="dxa" w:w="3384"/>
            <w:vAlign w:val="center"/>
          </w:tcPr>
          <w:p>
            <w:pPr>
              <w:jc w:val="left"/>
            </w:pPr>
            <w:r/>
            <w:r>
              <w:rPr>
                <w:b w:val="0"/>
                <w:sz w:val="19"/>
              </w:rPr>
              <w:t>Switch between Corporate Clean and Modern Premium templates.</w:t>
            </w:r>
          </w:p>
        </w:tc>
        <w:tc>
          <w:tcPr>
            <w:tcW w:type="dxa" w:w="3240"/>
            <w:vAlign w:val="center"/>
          </w:tcPr>
          <w:p>
            <w:pPr>
              <w:jc w:val="left"/>
            </w:pPr>
            <w:r/>
            <w:r>
              <w:rPr>
                <w:b w:val="0"/>
                <w:sz w:val="19"/>
              </w:rPr>
              <w:t>The selected template renders correctly and all entered values remain intact.</w:t>
            </w:r>
          </w:p>
        </w:tc>
        <w:tc>
          <w:tcPr>
            <w:tcW w:type="dxa" w:w="1008"/>
            <w:vAlign w:val="center"/>
          </w:tcPr>
          <w:p>
            <w:pPr>
              <w:jc w:val="left"/>
            </w:pPr>
            <w:r/>
            <w:r>
              <w:rPr>
                <w:b w:val="0"/>
                <w:sz w:val="19"/>
              </w:rPr>
              <w:t>High</w:t>
            </w:r>
          </w:p>
        </w:tc>
      </w:tr>
      <w:tr>
        <w:tc>
          <w:tcPr>
            <w:tcW w:type="dxa" w:w="1296"/>
            <w:vAlign w:val="center"/>
          </w:tcPr>
          <w:p>
            <w:pPr>
              <w:jc w:val="left"/>
            </w:pPr>
            <w:r/>
            <w:r>
              <w:rPr>
                <w:b w:val="0"/>
                <w:sz w:val="19"/>
              </w:rPr>
              <w:t>SAL-005</w:t>
            </w:r>
          </w:p>
        </w:tc>
        <w:tc>
          <w:tcPr>
            <w:tcW w:type="dxa" w:w="1224"/>
            <w:vAlign w:val="center"/>
          </w:tcPr>
          <w:p>
            <w:pPr>
              <w:jc w:val="left"/>
            </w:pPr>
            <w:r/>
            <w:r>
              <w:rPr>
                <w:b w:val="0"/>
                <w:sz w:val="19"/>
              </w:rPr>
              <w:t>Salary Slip</w:t>
            </w:r>
          </w:p>
        </w:tc>
        <w:tc>
          <w:tcPr>
            <w:tcW w:type="dxa" w:w="1800"/>
            <w:vAlign w:val="center"/>
          </w:tcPr>
          <w:p>
            <w:pPr>
              <w:jc w:val="left"/>
            </w:pPr>
            <w:r/>
            <w:r>
              <w:rPr>
                <w:b w:val="0"/>
                <w:sz w:val="19"/>
              </w:rPr>
              <w:t>Print route renders correctly</w:t>
            </w:r>
          </w:p>
        </w:tc>
        <w:tc>
          <w:tcPr>
            <w:tcW w:type="dxa" w:w="1944"/>
            <w:vAlign w:val="center"/>
          </w:tcPr>
          <w:p>
            <w:pPr>
              <w:jc w:val="left"/>
            </w:pPr>
            <w:r/>
            <w:r>
              <w:rPr>
                <w:b w:val="0"/>
                <w:sz w:val="19"/>
              </w:rPr>
              <w:t>Salary slip workspace is open with valid data.</w:t>
            </w:r>
          </w:p>
        </w:tc>
        <w:tc>
          <w:tcPr>
            <w:tcW w:type="dxa" w:w="3384"/>
            <w:vAlign w:val="center"/>
          </w:tcPr>
          <w:p>
            <w:pPr>
              <w:jc w:val="left"/>
            </w:pPr>
            <w:r/>
            <w:r>
              <w:rPr>
                <w:b w:val="0"/>
                <w:sz w:val="19"/>
              </w:rPr>
              <w:t>Click Print Salary Slip and allow the print surface to open.</w:t>
            </w:r>
          </w:p>
        </w:tc>
        <w:tc>
          <w:tcPr>
            <w:tcW w:type="dxa" w:w="3240"/>
            <w:vAlign w:val="center"/>
          </w:tcPr>
          <w:p>
            <w:pPr>
              <w:jc w:val="left"/>
            </w:pPr>
            <w:r/>
            <w:r>
              <w:rPr>
                <w:b w:val="0"/>
                <w:sz w:val="19"/>
              </w:rPr>
              <w:t>The print page opens successfully and shows the correct salary-slip render-ready surface.</w:t>
            </w:r>
          </w:p>
        </w:tc>
        <w:tc>
          <w:tcPr>
            <w:tcW w:type="dxa" w:w="1008"/>
            <w:vAlign w:val="center"/>
          </w:tcPr>
          <w:p>
            <w:pPr>
              <w:jc w:val="left"/>
            </w:pPr>
            <w:r/>
            <w:r>
              <w:rPr>
                <w:b w:val="0"/>
                <w:sz w:val="19"/>
              </w:rPr>
              <w:t>Blocker</w:t>
            </w:r>
          </w:p>
        </w:tc>
      </w:tr>
      <w:tr>
        <w:tc>
          <w:tcPr>
            <w:tcW w:type="dxa" w:w="1296"/>
            <w:vAlign w:val="center"/>
          </w:tcPr>
          <w:p>
            <w:pPr>
              <w:jc w:val="left"/>
            </w:pPr>
            <w:r/>
            <w:r>
              <w:rPr>
                <w:b w:val="0"/>
                <w:sz w:val="19"/>
              </w:rPr>
              <w:t>SAL-006</w:t>
            </w:r>
          </w:p>
        </w:tc>
        <w:tc>
          <w:tcPr>
            <w:tcW w:type="dxa" w:w="1224"/>
            <w:vAlign w:val="center"/>
          </w:tcPr>
          <w:p>
            <w:pPr>
              <w:jc w:val="left"/>
            </w:pPr>
            <w:r/>
            <w:r>
              <w:rPr>
                <w:b w:val="0"/>
                <w:sz w:val="19"/>
              </w:rPr>
              <w:t>Salary Slip</w:t>
            </w:r>
          </w:p>
        </w:tc>
        <w:tc>
          <w:tcPr>
            <w:tcW w:type="dxa" w:w="1800"/>
            <w:vAlign w:val="center"/>
          </w:tcPr>
          <w:p>
            <w:pPr>
              <w:jc w:val="left"/>
            </w:pPr>
            <w:r/>
            <w:r>
              <w:rPr>
                <w:b w:val="0"/>
                <w:sz w:val="19"/>
              </w:rPr>
              <w:t>PDF export completes</w:t>
            </w:r>
          </w:p>
        </w:tc>
        <w:tc>
          <w:tcPr>
            <w:tcW w:type="dxa" w:w="1944"/>
            <w:vAlign w:val="center"/>
          </w:tcPr>
          <w:p>
            <w:pPr>
              <w:jc w:val="left"/>
            </w:pPr>
            <w:r/>
            <w:r>
              <w:rPr>
                <w:b w:val="0"/>
                <w:sz w:val="19"/>
              </w:rPr>
              <w:t>Salary slip workspace is open with valid data.</w:t>
            </w:r>
          </w:p>
        </w:tc>
        <w:tc>
          <w:tcPr>
            <w:tcW w:type="dxa" w:w="3384"/>
            <w:vAlign w:val="center"/>
          </w:tcPr>
          <w:p>
            <w:pPr>
              <w:jc w:val="left"/>
            </w:pPr>
            <w:r/>
            <w:r>
              <w:rPr>
                <w:b w:val="0"/>
                <w:sz w:val="19"/>
              </w:rPr>
              <w:t>Click Export PDF and open the downloaded file.</w:t>
            </w:r>
          </w:p>
        </w:tc>
        <w:tc>
          <w:tcPr>
            <w:tcW w:type="dxa" w:w="3240"/>
            <w:vAlign w:val="center"/>
          </w:tcPr>
          <w:p>
            <w:pPr>
              <w:jc w:val="left"/>
            </w:pPr>
            <w:r/>
            <w:r>
              <w:rPr>
                <w:b w:val="0"/>
                <w:sz w:val="19"/>
              </w:rPr>
              <w:t>A salary-slip PDF downloads successfully and contains the expected employee and pay-period text.</w:t>
            </w:r>
          </w:p>
        </w:tc>
        <w:tc>
          <w:tcPr>
            <w:tcW w:type="dxa" w:w="1008"/>
            <w:vAlign w:val="center"/>
          </w:tcPr>
          <w:p>
            <w:pPr>
              <w:jc w:val="left"/>
            </w:pPr>
            <w:r/>
            <w:r>
              <w:rPr>
                <w:b w:val="0"/>
                <w:sz w:val="19"/>
              </w:rPr>
              <w:t>Blocker</w:t>
            </w:r>
          </w:p>
        </w:tc>
      </w:tr>
      <w:tr>
        <w:tc>
          <w:tcPr>
            <w:tcW w:type="dxa" w:w="1296"/>
            <w:vAlign w:val="center"/>
          </w:tcPr>
          <w:p>
            <w:pPr>
              <w:jc w:val="left"/>
            </w:pPr>
            <w:r/>
            <w:r>
              <w:rPr>
                <w:b w:val="0"/>
                <w:sz w:val="19"/>
              </w:rPr>
              <w:t>SAL-007</w:t>
            </w:r>
          </w:p>
        </w:tc>
        <w:tc>
          <w:tcPr>
            <w:tcW w:type="dxa" w:w="1224"/>
            <w:vAlign w:val="center"/>
          </w:tcPr>
          <w:p>
            <w:pPr>
              <w:jc w:val="left"/>
            </w:pPr>
            <w:r/>
            <w:r>
              <w:rPr>
                <w:b w:val="0"/>
                <w:sz w:val="19"/>
              </w:rPr>
              <w:t>Salary Slip</w:t>
            </w:r>
          </w:p>
        </w:tc>
        <w:tc>
          <w:tcPr>
            <w:tcW w:type="dxa" w:w="1800"/>
            <w:vAlign w:val="center"/>
          </w:tcPr>
          <w:p>
            <w:pPr>
              <w:jc w:val="left"/>
            </w:pPr>
            <w:r/>
            <w:r>
              <w:rPr>
                <w:b w:val="0"/>
                <w:sz w:val="19"/>
              </w:rPr>
              <w:t>PNG export completes</w:t>
            </w:r>
          </w:p>
        </w:tc>
        <w:tc>
          <w:tcPr>
            <w:tcW w:type="dxa" w:w="1944"/>
            <w:vAlign w:val="center"/>
          </w:tcPr>
          <w:p>
            <w:pPr>
              <w:jc w:val="left"/>
            </w:pPr>
            <w:r/>
            <w:r>
              <w:rPr>
                <w:b w:val="0"/>
                <w:sz w:val="19"/>
              </w:rPr>
              <w:t>Salary slip workspace is open with valid data.</w:t>
            </w:r>
          </w:p>
        </w:tc>
        <w:tc>
          <w:tcPr>
            <w:tcW w:type="dxa" w:w="3384"/>
            <w:vAlign w:val="center"/>
          </w:tcPr>
          <w:p>
            <w:pPr>
              <w:jc w:val="left"/>
            </w:pPr>
            <w:r/>
            <w:r>
              <w:rPr>
                <w:b w:val="0"/>
                <w:sz w:val="19"/>
              </w:rPr>
              <w:t>Click Export PNG and open the downloaded file.</w:t>
            </w:r>
          </w:p>
        </w:tc>
        <w:tc>
          <w:tcPr>
            <w:tcW w:type="dxa" w:w="3240"/>
            <w:vAlign w:val="center"/>
          </w:tcPr>
          <w:p>
            <w:pPr>
              <w:jc w:val="left"/>
            </w:pPr>
            <w:r/>
            <w:r>
              <w:rPr>
                <w:b w:val="0"/>
                <w:sz w:val="19"/>
              </w:rPr>
              <w:t>A salary-slip PNG downloads successfully and the document image is complete and readable.</w:t>
            </w:r>
          </w:p>
        </w:tc>
        <w:tc>
          <w:tcPr>
            <w:tcW w:type="dxa" w:w="1008"/>
            <w:vAlign w:val="center"/>
          </w:tcPr>
          <w:p>
            <w:pPr>
              <w:jc w:val="left"/>
            </w:pPr>
            <w:r/>
            <w:r>
              <w:rPr>
                <w:b w:val="0"/>
                <w:sz w:val="19"/>
              </w:rPr>
              <w:t>Blocker</w:t>
            </w:r>
          </w:p>
        </w:tc>
      </w:tr>
      <w:tr>
        <w:tc>
          <w:tcPr>
            <w:tcW w:type="dxa" w:w="1296"/>
            <w:vAlign w:val="center"/>
          </w:tcPr>
          <w:p>
            <w:pPr>
              <w:jc w:val="left"/>
            </w:pPr>
            <w:r/>
            <w:r>
              <w:rPr>
                <w:b w:val="0"/>
                <w:sz w:val="19"/>
              </w:rPr>
              <w:t>SAL-008</w:t>
            </w:r>
          </w:p>
        </w:tc>
        <w:tc>
          <w:tcPr>
            <w:tcW w:type="dxa" w:w="1224"/>
            <w:vAlign w:val="center"/>
          </w:tcPr>
          <w:p>
            <w:pPr>
              <w:jc w:val="left"/>
            </w:pPr>
            <w:r/>
            <w:r>
              <w:rPr>
                <w:b w:val="0"/>
                <w:sz w:val="19"/>
              </w:rPr>
              <w:t>Salary Slip</w:t>
            </w:r>
          </w:p>
        </w:tc>
        <w:tc>
          <w:tcPr>
            <w:tcW w:type="dxa" w:w="1800"/>
            <w:vAlign w:val="center"/>
          </w:tcPr>
          <w:p>
            <w:pPr>
              <w:jc w:val="left"/>
            </w:pPr>
            <w:r/>
            <w:r>
              <w:rPr>
                <w:b w:val="0"/>
                <w:sz w:val="19"/>
              </w:rPr>
              <w:t>PDF page splitting does not cut boxed sections</w:t>
            </w:r>
          </w:p>
        </w:tc>
        <w:tc>
          <w:tcPr>
            <w:tcW w:type="dxa" w:w="1944"/>
            <w:vAlign w:val="center"/>
          </w:tcPr>
          <w:p>
            <w:pPr>
              <w:jc w:val="left"/>
            </w:pPr>
            <w:r/>
            <w:r>
              <w:rPr>
                <w:b w:val="0"/>
                <w:sz w:val="19"/>
              </w:rPr>
              <w:t>Salary slip workspace is open with enough visible sections to extend the output vertically.</w:t>
            </w:r>
          </w:p>
        </w:tc>
        <w:tc>
          <w:tcPr>
            <w:tcW w:type="dxa" w:w="3384"/>
            <w:vAlign w:val="center"/>
          </w:tcPr>
          <w:p>
            <w:pPr>
              <w:jc w:val="left"/>
            </w:pPr>
            <w:r/>
            <w:r>
              <w:rPr>
                <w:b w:val="0"/>
                <w:sz w:val="19"/>
              </w:rPr>
              <w:t>Export the salary slip as PDF. Review the page boundary around bank details, notes, and signature sections.</w:t>
            </w:r>
          </w:p>
        </w:tc>
        <w:tc>
          <w:tcPr>
            <w:tcW w:type="dxa" w:w="3240"/>
            <w:vAlign w:val="center"/>
          </w:tcPr>
          <w:p>
            <w:pPr>
              <w:jc w:val="left"/>
            </w:pPr>
            <w:r/>
            <w:r>
              <w:rPr>
                <w:b w:val="0"/>
                <w:sz w:val="19"/>
              </w:rPr>
              <w:t>Bordered sections are not cut in the middle. If a section does not fit, it moves fully to the next page.</w:t>
            </w:r>
          </w:p>
        </w:tc>
        <w:tc>
          <w:tcPr>
            <w:tcW w:type="dxa" w:w="1008"/>
            <w:vAlign w:val="center"/>
          </w:tcPr>
          <w:p>
            <w:pPr>
              <w:jc w:val="left"/>
            </w:pPr>
            <w:r/>
            <w:r>
              <w:rPr>
                <w:b w:val="0"/>
                <w:sz w:val="19"/>
              </w:rPr>
              <w:t>High</w:t>
            </w:r>
          </w:p>
        </w:tc>
      </w:tr>
    </w:tbl>
    <w:p/>
    <w:p>
      <w:pPr>
        <w:pStyle w:val="Heading2"/>
      </w:pPr>
      <w:r>
        <w:t>Invoice Generator</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vAlign w:val="center"/>
            <w:shd w:fill="EADFCB"/>
          </w:tcPr>
          <w:p>
            <w:pPr>
              <w:jc w:val="left"/>
            </w:pPr>
            <w:r/>
            <w:r>
              <w:rPr>
                <w:b/>
                <w:sz w:val="19"/>
              </w:rPr>
              <w:t>Test Case ID</w:t>
            </w:r>
          </w:p>
        </w:tc>
        <w:tc>
          <w:tcPr>
            <w:tcW w:type="dxa" w:w="1224"/>
            <w:vAlign w:val="center"/>
            <w:shd w:fill="EADFCB"/>
          </w:tcPr>
          <w:p>
            <w:pPr>
              <w:jc w:val="left"/>
            </w:pPr>
            <w:r/>
            <w:r>
              <w:rPr>
                <w:b/>
                <w:sz w:val="19"/>
              </w:rPr>
              <w:t>Module</w:t>
            </w:r>
          </w:p>
        </w:tc>
        <w:tc>
          <w:tcPr>
            <w:tcW w:type="dxa" w:w="1800"/>
            <w:vAlign w:val="center"/>
            <w:shd w:fill="EADFCB"/>
          </w:tcPr>
          <w:p>
            <w:pPr>
              <w:jc w:val="left"/>
            </w:pPr>
            <w:r/>
            <w:r>
              <w:rPr>
                <w:b/>
                <w:sz w:val="19"/>
              </w:rPr>
              <w:t>Scenario</w:t>
            </w:r>
          </w:p>
        </w:tc>
        <w:tc>
          <w:tcPr>
            <w:tcW w:type="dxa" w:w="1944"/>
            <w:vAlign w:val="center"/>
            <w:shd w:fill="EADFCB"/>
          </w:tcPr>
          <w:p>
            <w:pPr>
              <w:jc w:val="left"/>
            </w:pPr>
            <w:r/>
            <w:r>
              <w:rPr>
                <w:b/>
                <w:sz w:val="19"/>
              </w:rPr>
              <w:t>Preconditions</w:t>
            </w:r>
          </w:p>
        </w:tc>
        <w:tc>
          <w:tcPr>
            <w:tcW w:type="dxa" w:w="3384"/>
            <w:vAlign w:val="center"/>
            <w:shd w:fill="EADFCB"/>
          </w:tcPr>
          <w:p>
            <w:pPr>
              <w:jc w:val="left"/>
            </w:pPr>
            <w:r/>
            <w:r>
              <w:rPr>
                <w:b/>
                <w:sz w:val="19"/>
              </w:rPr>
              <w:t>Steps</w:t>
            </w:r>
          </w:p>
        </w:tc>
        <w:tc>
          <w:tcPr>
            <w:tcW w:type="dxa" w:w="3240"/>
            <w:vAlign w:val="center"/>
            <w:shd w:fill="EADFCB"/>
          </w:tcPr>
          <w:p>
            <w:pPr>
              <w:jc w:val="left"/>
            </w:pPr>
            <w:r/>
            <w:r>
              <w:rPr>
                <w:b/>
                <w:sz w:val="19"/>
              </w:rPr>
              <w:t>Expected Result</w:t>
            </w:r>
          </w:p>
        </w:tc>
        <w:tc>
          <w:tcPr>
            <w:tcW w:type="dxa" w:w="1008"/>
            <w:vAlign w:val="center"/>
            <w:shd w:fill="EADFCB"/>
          </w:tcPr>
          <w:p>
            <w:pPr>
              <w:jc w:val="left"/>
            </w:pPr>
            <w:r/>
            <w:r>
              <w:rPr>
                <w:b/>
                <w:sz w:val="19"/>
              </w:rPr>
              <w:t>Priority</w:t>
            </w:r>
          </w:p>
        </w:tc>
      </w:tr>
      <w:tr>
        <w:tc>
          <w:tcPr>
            <w:tcW w:type="dxa" w:w="1296"/>
            <w:vAlign w:val="center"/>
          </w:tcPr>
          <w:p>
            <w:pPr>
              <w:jc w:val="left"/>
            </w:pPr>
            <w:r/>
            <w:r>
              <w:rPr>
                <w:b w:val="0"/>
                <w:sz w:val="19"/>
              </w:rPr>
              <w:t>INV-001</w:t>
            </w:r>
          </w:p>
        </w:tc>
        <w:tc>
          <w:tcPr>
            <w:tcW w:type="dxa" w:w="1224"/>
            <w:vAlign w:val="center"/>
          </w:tcPr>
          <w:p>
            <w:pPr>
              <w:jc w:val="left"/>
            </w:pPr>
            <w:r/>
            <w:r>
              <w:rPr>
                <w:b w:val="0"/>
                <w:sz w:val="19"/>
              </w:rPr>
              <w:t>Invoice</w:t>
            </w:r>
          </w:p>
        </w:tc>
        <w:tc>
          <w:tcPr>
            <w:tcW w:type="dxa" w:w="1800"/>
            <w:vAlign w:val="center"/>
          </w:tcPr>
          <w:p>
            <w:pPr>
              <w:jc w:val="left"/>
            </w:pPr>
            <w:r/>
            <w:r>
              <w:rPr>
                <w:b w:val="0"/>
                <w:sz w:val="19"/>
              </w:rPr>
              <w:t>Invoice workspace renders with defaults</w:t>
            </w:r>
          </w:p>
        </w:tc>
        <w:tc>
          <w:tcPr>
            <w:tcW w:type="dxa" w:w="1944"/>
            <w:vAlign w:val="center"/>
          </w:tcPr>
          <w:p>
            <w:pPr>
              <w:jc w:val="left"/>
            </w:pPr>
            <w:r/>
            <w:r>
              <w:rPr>
                <w:b w:val="0"/>
                <w:sz w:val="19"/>
              </w:rPr>
              <w:t>Open `/invoice`.</w:t>
            </w:r>
          </w:p>
        </w:tc>
        <w:tc>
          <w:tcPr>
            <w:tcW w:type="dxa" w:w="3384"/>
            <w:vAlign w:val="center"/>
          </w:tcPr>
          <w:p>
            <w:pPr>
              <w:jc w:val="left"/>
            </w:pPr>
            <w:r/>
            <w:r>
              <w:rPr>
                <w:b w:val="0"/>
                <w:sz w:val="19"/>
              </w:rPr>
              <w:t>Wait for the workspace to load and inspect the form and preview.</w:t>
            </w:r>
          </w:p>
        </w:tc>
        <w:tc>
          <w:tcPr>
            <w:tcW w:type="dxa" w:w="3240"/>
            <w:vAlign w:val="center"/>
          </w:tcPr>
          <w:p>
            <w:pPr>
              <w:jc w:val="left"/>
            </w:pPr>
            <w:r/>
            <w:r>
              <w:rPr>
                <w:b w:val="0"/>
                <w:sz w:val="19"/>
              </w:rPr>
              <w:t>The invoice form, preview, template selector, and export actions are visible with editable defaults.</w:t>
            </w:r>
          </w:p>
        </w:tc>
        <w:tc>
          <w:tcPr>
            <w:tcW w:type="dxa" w:w="1008"/>
            <w:vAlign w:val="center"/>
          </w:tcPr>
          <w:p>
            <w:pPr>
              <w:jc w:val="left"/>
            </w:pPr>
            <w:r/>
            <w:r>
              <w:rPr>
                <w:b w:val="0"/>
                <w:sz w:val="19"/>
              </w:rPr>
              <w:t>High</w:t>
            </w:r>
          </w:p>
        </w:tc>
      </w:tr>
      <w:tr>
        <w:tc>
          <w:tcPr>
            <w:tcW w:type="dxa" w:w="1296"/>
            <w:vAlign w:val="center"/>
          </w:tcPr>
          <w:p>
            <w:pPr>
              <w:jc w:val="left"/>
            </w:pPr>
            <w:r/>
            <w:r>
              <w:rPr>
                <w:b w:val="0"/>
                <w:sz w:val="19"/>
              </w:rPr>
              <w:t>INV-002</w:t>
            </w:r>
          </w:p>
        </w:tc>
        <w:tc>
          <w:tcPr>
            <w:tcW w:type="dxa" w:w="1224"/>
            <w:vAlign w:val="center"/>
          </w:tcPr>
          <w:p>
            <w:pPr>
              <w:jc w:val="left"/>
            </w:pPr>
            <w:r/>
            <w:r>
              <w:rPr>
                <w:b w:val="0"/>
                <w:sz w:val="19"/>
              </w:rPr>
              <w:t>Invoice</w:t>
            </w:r>
          </w:p>
        </w:tc>
        <w:tc>
          <w:tcPr>
            <w:tcW w:type="dxa" w:w="1800"/>
            <w:vAlign w:val="center"/>
          </w:tcPr>
          <w:p>
            <w:pPr>
              <w:jc w:val="left"/>
            </w:pPr>
            <w:r/>
            <w:r>
              <w:rPr>
                <w:b w:val="0"/>
                <w:sz w:val="19"/>
              </w:rPr>
              <w:t>Line item math updates preview totals</w:t>
            </w:r>
          </w:p>
        </w:tc>
        <w:tc>
          <w:tcPr>
            <w:tcW w:type="dxa" w:w="1944"/>
            <w:vAlign w:val="center"/>
          </w:tcPr>
          <w:p>
            <w:pPr>
              <w:jc w:val="left"/>
            </w:pPr>
            <w:r/>
            <w:r>
              <w:rPr>
                <w:b w:val="0"/>
                <w:sz w:val="19"/>
              </w:rPr>
              <w:t>Invoice workspace is open.</w:t>
            </w:r>
          </w:p>
        </w:tc>
        <w:tc>
          <w:tcPr>
            <w:tcW w:type="dxa" w:w="3384"/>
            <w:vAlign w:val="center"/>
          </w:tcPr>
          <w:p>
            <w:pPr>
              <w:jc w:val="left"/>
            </w:pPr>
            <w:r/>
            <w:r>
              <w:rPr>
                <w:b w:val="0"/>
                <w:sz w:val="19"/>
              </w:rPr>
              <w:t>Change a discount amount and amount paid value. Review totals in the preview.</w:t>
            </w:r>
          </w:p>
        </w:tc>
        <w:tc>
          <w:tcPr>
            <w:tcW w:type="dxa" w:w="3240"/>
            <w:vAlign w:val="center"/>
          </w:tcPr>
          <w:p>
            <w:pPr>
              <w:jc w:val="left"/>
            </w:pPr>
            <w:r/>
            <w:r>
              <w:rPr>
                <w:b w:val="0"/>
                <w:sz w:val="19"/>
              </w:rPr>
              <w:t>Subtotal, tax, grand total, amount paid, and balance due update correctly without reload.</w:t>
            </w:r>
          </w:p>
        </w:tc>
        <w:tc>
          <w:tcPr>
            <w:tcW w:type="dxa" w:w="1008"/>
            <w:vAlign w:val="center"/>
          </w:tcPr>
          <w:p>
            <w:pPr>
              <w:jc w:val="left"/>
            </w:pPr>
            <w:r/>
            <w:r>
              <w:rPr>
                <w:b w:val="0"/>
                <w:sz w:val="19"/>
              </w:rPr>
              <w:t>High</w:t>
            </w:r>
          </w:p>
        </w:tc>
      </w:tr>
      <w:tr>
        <w:tc>
          <w:tcPr>
            <w:tcW w:type="dxa" w:w="1296"/>
            <w:vAlign w:val="center"/>
          </w:tcPr>
          <w:p>
            <w:pPr>
              <w:jc w:val="left"/>
            </w:pPr>
            <w:r/>
            <w:r>
              <w:rPr>
                <w:b w:val="0"/>
                <w:sz w:val="19"/>
              </w:rPr>
              <w:t>INV-003</w:t>
            </w:r>
          </w:p>
        </w:tc>
        <w:tc>
          <w:tcPr>
            <w:tcW w:type="dxa" w:w="1224"/>
            <w:vAlign w:val="center"/>
          </w:tcPr>
          <w:p>
            <w:pPr>
              <w:jc w:val="left"/>
            </w:pPr>
            <w:r/>
            <w:r>
              <w:rPr>
                <w:b w:val="0"/>
                <w:sz w:val="19"/>
              </w:rPr>
              <w:t>Invoice</w:t>
            </w:r>
          </w:p>
        </w:tc>
        <w:tc>
          <w:tcPr>
            <w:tcW w:type="dxa" w:w="1800"/>
            <w:vAlign w:val="center"/>
          </w:tcPr>
          <w:p>
            <w:pPr>
              <w:jc w:val="left"/>
            </w:pPr>
            <w:r/>
            <w:r>
              <w:rPr>
                <w:b w:val="0"/>
                <w:sz w:val="19"/>
              </w:rPr>
              <w:t>Template switching works</w:t>
            </w:r>
          </w:p>
        </w:tc>
        <w:tc>
          <w:tcPr>
            <w:tcW w:type="dxa" w:w="1944"/>
            <w:vAlign w:val="center"/>
          </w:tcPr>
          <w:p>
            <w:pPr>
              <w:jc w:val="left"/>
            </w:pPr>
            <w:r/>
            <w:r>
              <w:rPr>
                <w:b w:val="0"/>
                <w:sz w:val="19"/>
              </w:rPr>
              <w:t>Invoice workspace is open.</w:t>
            </w:r>
          </w:p>
        </w:tc>
        <w:tc>
          <w:tcPr>
            <w:tcW w:type="dxa" w:w="3384"/>
            <w:vAlign w:val="center"/>
          </w:tcPr>
          <w:p>
            <w:pPr>
              <w:jc w:val="left"/>
            </w:pPr>
            <w:r/>
            <w:r>
              <w:rPr>
                <w:b w:val="0"/>
                <w:sz w:val="19"/>
              </w:rPr>
              <w:t>Switch between Minimal, Professional, and Bold Brand templates.</w:t>
            </w:r>
          </w:p>
        </w:tc>
        <w:tc>
          <w:tcPr>
            <w:tcW w:type="dxa" w:w="3240"/>
            <w:vAlign w:val="center"/>
          </w:tcPr>
          <w:p>
            <w:pPr>
              <w:jc w:val="left"/>
            </w:pPr>
            <w:r/>
            <w:r>
              <w:rPr>
                <w:b w:val="0"/>
                <w:sz w:val="19"/>
              </w:rPr>
              <w:t>Each template renders correctly and form values remain intact.</w:t>
            </w:r>
          </w:p>
        </w:tc>
        <w:tc>
          <w:tcPr>
            <w:tcW w:type="dxa" w:w="1008"/>
            <w:vAlign w:val="center"/>
          </w:tcPr>
          <w:p>
            <w:pPr>
              <w:jc w:val="left"/>
            </w:pPr>
            <w:r/>
            <w:r>
              <w:rPr>
                <w:b w:val="0"/>
                <w:sz w:val="19"/>
              </w:rPr>
              <w:t>High</w:t>
            </w:r>
          </w:p>
        </w:tc>
      </w:tr>
      <w:tr>
        <w:tc>
          <w:tcPr>
            <w:tcW w:type="dxa" w:w="1296"/>
            <w:vAlign w:val="center"/>
          </w:tcPr>
          <w:p>
            <w:pPr>
              <w:jc w:val="left"/>
            </w:pPr>
            <w:r/>
            <w:r>
              <w:rPr>
                <w:b w:val="0"/>
                <w:sz w:val="19"/>
              </w:rPr>
              <w:t>INV-004</w:t>
            </w:r>
          </w:p>
        </w:tc>
        <w:tc>
          <w:tcPr>
            <w:tcW w:type="dxa" w:w="1224"/>
            <w:vAlign w:val="center"/>
          </w:tcPr>
          <w:p>
            <w:pPr>
              <w:jc w:val="left"/>
            </w:pPr>
            <w:r/>
            <w:r>
              <w:rPr>
                <w:b w:val="0"/>
                <w:sz w:val="19"/>
              </w:rPr>
              <w:t>Invoice</w:t>
            </w:r>
          </w:p>
        </w:tc>
        <w:tc>
          <w:tcPr>
            <w:tcW w:type="dxa" w:w="1800"/>
            <w:vAlign w:val="center"/>
          </w:tcPr>
          <w:p>
            <w:pPr>
              <w:jc w:val="left"/>
            </w:pPr>
            <w:r/>
            <w:r>
              <w:rPr>
                <w:b w:val="0"/>
                <w:sz w:val="19"/>
              </w:rPr>
              <w:t>Visibility toggles hide optional blocks</w:t>
            </w:r>
          </w:p>
        </w:tc>
        <w:tc>
          <w:tcPr>
            <w:tcW w:type="dxa" w:w="1944"/>
            <w:vAlign w:val="center"/>
          </w:tcPr>
          <w:p>
            <w:pPr>
              <w:jc w:val="left"/>
            </w:pPr>
            <w:r/>
            <w:r>
              <w:rPr>
                <w:b w:val="0"/>
                <w:sz w:val="19"/>
              </w:rPr>
              <w:t>Invoice workspace is open.</w:t>
            </w:r>
          </w:p>
        </w:tc>
        <w:tc>
          <w:tcPr>
            <w:tcW w:type="dxa" w:w="3384"/>
            <w:vAlign w:val="center"/>
          </w:tcPr>
          <w:p>
            <w:pPr>
              <w:jc w:val="left"/>
            </w:pPr>
            <w:r/>
            <w:r>
              <w:rPr>
                <w:b w:val="0"/>
                <w:sz w:val="19"/>
              </w:rPr>
              <w:t>Disable Notes and Payment Summary visibility toggles.</w:t>
            </w:r>
          </w:p>
        </w:tc>
        <w:tc>
          <w:tcPr>
            <w:tcW w:type="dxa" w:w="3240"/>
            <w:vAlign w:val="center"/>
          </w:tcPr>
          <w:p>
            <w:pPr>
              <w:jc w:val="left"/>
            </w:pPr>
            <w:r/>
            <w:r>
              <w:rPr>
                <w:b w:val="0"/>
                <w:sz w:val="19"/>
              </w:rPr>
              <w:t>The affected sections disappear from preview and layout remains balanced.</w:t>
            </w:r>
          </w:p>
        </w:tc>
        <w:tc>
          <w:tcPr>
            <w:tcW w:type="dxa" w:w="1008"/>
            <w:vAlign w:val="center"/>
          </w:tcPr>
          <w:p>
            <w:pPr>
              <w:jc w:val="left"/>
            </w:pPr>
            <w:r/>
            <w:r>
              <w:rPr>
                <w:b w:val="0"/>
                <w:sz w:val="19"/>
              </w:rPr>
              <w:t>Medium</w:t>
            </w:r>
          </w:p>
        </w:tc>
      </w:tr>
      <w:tr>
        <w:tc>
          <w:tcPr>
            <w:tcW w:type="dxa" w:w="1296"/>
            <w:vAlign w:val="center"/>
          </w:tcPr>
          <w:p>
            <w:pPr>
              <w:jc w:val="left"/>
            </w:pPr>
            <w:r/>
            <w:r>
              <w:rPr>
                <w:b w:val="0"/>
                <w:sz w:val="19"/>
              </w:rPr>
              <w:t>INV-005</w:t>
            </w:r>
          </w:p>
        </w:tc>
        <w:tc>
          <w:tcPr>
            <w:tcW w:type="dxa" w:w="1224"/>
            <w:vAlign w:val="center"/>
          </w:tcPr>
          <w:p>
            <w:pPr>
              <w:jc w:val="left"/>
            </w:pPr>
            <w:r/>
            <w:r>
              <w:rPr>
                <w:b w:val="0"/>
                <w:sz w:val="19"/>
              </w:rPr>
              <w:t>Invoice</w:t>
            </w:r>
          </w:p>
        </w:tc>
        <w:tc>
          <w:tcPr>
            <w:tcW w:type="dxa" w:w="1800"/>
            <w:vAlign w:val="center"/>
          </w:tcPr>
          <w:p>
            <w:pPr>
              <w:jc w:val="left"/>
            </w:pPr>
            <w:r/>
            <w:r>
              <w:rPr>
                <w:b w:val="0"/>
                <w:sz w:val="19"/>
              </w:rPr>
              <w:t>PDF export completes</w:t>
            </w:r>
          </w:p>
        </w:tc>
        <w:tc>
          <w:tcPr>
            <w:tcW w:type="dxa" w:w="1944"/>
            <w:vAlign w:val="center"/>
          </w:tcPr>
          <w:p>
            <w:pPr>
              <w:jc w:val="left"/>
            </w:pPr>
            <w:r/>
            <w:r>
              <w:rPr>
                <w:b w:val="0"/>
                <w:sz w:val="19"/>
              </w:rPr>
              <w:t>Invoice workspace is open with valid data.</w:t>
            </w:r>
          </w:p>
        </w:tc>
        <w:tc>
          <w:tcPr>
            <w:tcW w:type="dxa" w:w="3384"/>
            <w:vAlign w:val="center"/>
          </w:tcPr>
          <w:p>
            <w:pPr>
              <w:jc w:val="left"/>
            </w:pPr>
            <w:r/>
            <w:r>
              <w:rPr>
                <w:b w:val="0"/>
                <w:sz w:val="19"/>
              </w:rPr>
              <w:t>Click Export PDF and open the downloaded file.</w:t>
            </w:r>
          </w:p>
        </w:tc>
        <w:tc>
          <w:tcPr>
            <w:tcW w:type="dxa" w:w="3240"/>
            <w:vAlign w:val="center"/>
          </w:tcPr>
          <w:p>
            <w:pPr>
              <w:jc w:val="left"/>
            </w:pPr>
            <w:r/>
            <w:r>
              <w:rPr>
                <w:b w:val="0"/>
                <w:sz w:val="19"/>
              </w:rPr>
              <w:t>An invoice PDF downloads successfully and contains the expected business, invoice number, and client text.</w:t>
            </w:r>
          </w:p>
        </w:tc>
        <w:tc>
          <w:tcPr>
            <w:tcW w:type="dxa" w:w="1008"/>
            <w:vAlign w:val="center"/>
          </w:tcPr>
          <w:p>
            <w:pPr>
              <w:jc w:val="left"/>
            </w:pPr>
            <w:r/>
            <w:r>
              <w:rPr>
                <w:b w:val="0"/>
                <w:sz w:val="19"/>
              </w:rPr>
              <w:t>Blocker</w:t>
            </w:r>
          </w:p>
        </w:tc>
      </w:tr>
      <w:tr>
        <w:tc>
          <w:tcPr>
            <w:tcW w:type="dxa" w:w="1296"/>
            <w:vAlign w:val="center"/>
          </w:tcPr>
          <w:p>
            <w:pPr>
              <w:jc w:val="left"/>
            </w:pPr>
            <w:r/>
            <w:r>
              <w:rPr>
                <w:b w:val="0"/>
                <w:sz w:val="19"/>
              </w:rPr>
              <w:t>INV-006</w:t>
            </w:r>
          </w:p>
        </w:tc>
        <w:tc>
          <w:tcPr>
            <w:tcW w:type="dxa" w:w="1224"/>
            <w:vAlign w:val="center"/>
          </w:tcPr>
          <w:p>
            <w:pPr>
              <w:jc w:val="left"/>
            </w:pPr>
            <w:r/>
            <w:r>
              <w:rPr>
                <w:b w:val="0"/>
                <w:sz w:val="19"/>
              </w:rPr>
              <w:t>Invoice</w:t>
            </w:r>
          </w:p>
        </w:tc>
        <w:tc>
          <w:tcPr>
            <w:tcW w:type="dxa" w:w="1800"/>
            <w:vAlign w:val="center"/>
          </w:tcPr>
          <w:p>
            <w:pPr>
              <w:jc w:val="left"/>
            </w:pPr>
            <w:r/>
            <w:r>
              <w:rPr>
                <w:b w:val="0"/>
                <w:sz w:val="19"/>
              </w:rPr>
              <w:t>PNG export completes</w:t>
            </w:r>
          </w:p>
        </w:tc>
        <w:tc>
          <w:tcPr>
            <w:tcW w:type="dxa" w:w="1944"/>
            <w:vAlign w:val="center"/>
          </w:tcPr>
          <w:p>
            <w:pPr>
              <w:jc w:val="left"/>
            </w:pPr>
            <w:r/>
            <w:r>
              <w:rPr>
                <w:b w:val="0"/>
                <w:sz w:val="19"/>
              </w:rPr>
              <w:t>Invoice workspace is open with valid data.</w:t>
            </w:r>
          </w:p>
        </w:tc>
        <w:tc>
          <w:tcPr>
            <w:tcW w:type="dxa" w:w="3384"/>
            <w:vAlign w:val="center"/>
          </w:tcPr>
          <w:p>
            <w:pPr>
              <w:jc w:val="left"/>
            </w:pPr>
            <w:r/>
            <w:r>
              <w:rPr>
                <w:b w:val="0"/>
                <w:sz w:val="19"/>
              </w:rPr>
              <w:t>Click Export PNG and open the downloaded file.</w:t>
            </w:r>
          </w:p>
        </w:tc>
        <w:tc>
          <w:tcPr>
            <w:tcW w:type="dxa" w:w="3240"/>
            <w:vAlign w:val="center"/>
          </w:tcPr>
          <w:p>
            <w:pPr>
              <w:jc w:val="left"/>
            </w:pPr>
            <w:r/>
            <w:r>
              <w:rPr>
                <w:b w:val="0"/>
                <w:sz w:val="19"/>
              </w:rPr>
              <w:t>An invoice PNG downloads successfully and the document image is complete and readable.</w:t>
            </w:r>
          </w:p>
        </w:tc>
        <w:tc>
          <w:tcPr>
            <w:tcW w:type="dxa" w:w="1008"/>
            <w:vAlign w:val="center"/>
          </w:tcPr>
          <w:p>
            <w:pPr>
              <w:jc w:val="left"/>
            </w:pPr>
            <w:r/>
            <w:r>
              <w:rPr>
                <w:b w:val="0"/>
                <w:sz w:val="19"/>
              </w:rPr>
              <w:t>Blocker</w:t>
            </w:r>
          </w:p>
        </w:tc>
      </w:tr>
    </w:tbl>
    <w:p/>
    <w:p>
      <w:pPr>
        <w:pStyle w:val="Heading2"/>
      </w:pPr>
      <w:r>
        <w:t>Export and Print</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vAlign w:val="center"/>
            <w:shd w:fill="EADFCB"/>
          </w:tcPr>
          <w:p>
            <w:pPr>
              <w:jc w:val="left"/>
            </w:pPr>
            <w:r/>
            <w:r>
              <w:rPr>
                <w:b/>
                <w:sz w:val="19"/>
              </w:rPr>
              <w:t>Test Case ID</w:t>
            </w:r>
          </w:p>
        </w:tc>
        <w:tc>
          <w:tcPr>
            <w:tcW w:type="dxa" w:w="1224"/>
            <w:vAlign w:val="center"/>
            <w:shd w:fill="EADFCB"/>
          </w:tcPr>
          <w:p>
            <w:pPr>
              <w:jc w:val="left"/>
            </w:pPr>
            <w:r/>
            <w:r>
              <w:rPr>
                <w:b/>
                <w:sz w:val="19"/>
              </w:rPr>
              <w:t>Module</w:t>
            </w:r>
          </w:p>
        </w:tc>
        <w:tc>
          <w:tcPr>
            <w:tcW w:type="dxa" w:w="1800"/>
            <w:vAlign w:val="center"/>
            <w:shd w:fill="EADFCB"/>
          </w:tcPr>
          <w:p>
            <w:pPr>
              <w:jc w:val="left"/>
            </w:pPr>
            <w:r/>
            <w:r>
              <w:rPr>
                <w:b/>
                <w:sz w:val="19"/>
              </w:rPr>
              <w:t>Scenario</w:t>
            </w:r>
          </w:p>
        </w:tc>
        <w:tc>
          <w:tcPr>
            <w:tcW w:type="dxa" w:w="1944"/>
            <w:vAlign w:val="center"/>
            <w:shd w:fill="EADFCB"/>
          </w:tcPr>
          <w:p>
            <w:pPr>
              <w:jc w:val="left"/>
            </w:pPr>
            <w:r/>
            <w:r>
              <w:rPr>
                <w:b/>
                <w:sz w:val="19"/>
              </w:rPr>
              <w:t>Preconditions</w:t>
            </w:r>
          </w:p>
        </w:tc>
        <w:tc>
          <w:tcPr>
            <w:tcW w:type="dxa" w:w="3384"/>
            <w:vAlign w:val="center"/>
            <w:shd w:fill="EADFCB"/>
          </w:tcPr>
          <w:p>
            <w:pPr>
              <w:jc w:val="left"/>
            </w:pPr>
            <w:r/>
            <w:r>
              <w:rPr>
                <w:b/>
                <w:sz w:val="19"/>
              </w:rPr>
              <w:t>Steps</w:t>
            </w:r>
          </w:p>
        </w:tc>
        <w:tc>
          <w:tcPr>
            <w:tcW w:type="dxa" w:w="3240"/>
            <w:vAlign w:val="center"/>
            <w:shd w:fill="EADFCB"/>
          </w:tcPr>
          <w:p>
            <w:pPr>
              <w:jc w:val="left"/>
            </w:pPr>
            <w:r/>
            <w:r>
              <w:rPr>
                <w:b/>
                <w:sz w:val="19"/>
              </w:rPr>
              <w:t>Expected Result</w:t>
            </w:r>
          </w:p>
        </w:tc>
        <w:tc>
          <w:tcPr>
            <w:tcW w:type="dxa" w:w="1008"/>
            <w:vAlign w:val="center"/>
            <w:shd w:fill="EADFCB"/>
          </w:tcPr>
          <w:p>
            <w:pPr>
              <w:jc w:val="left"/>
            </w:pPr>
            <w:r/>
            <w:r>
              <w:rPr>
                <w:b/>
                <w:sz w:val="19"/>
              </w:rPr>
              <w:t>Priority</w:t>
            </w:r>
          </w:p>
        </w:tc>
      </w:tr>
      <w:tr>
        <w:tc>
          <w:tcPr>
            <w:tcW w:type="dxa" w:w="1296"/>
            <w:vAlign w:val="center"/>
          </w:tcPr>
          <w:p>
            <w:pPr>
              <w:jc w:val="left"/>
            </w:pPr>
            <w:r/>
            <w:r>
              <w:rPr>
                <w:b w:val="0"/>
                <w:sz w:val="19"/>
              </w:rPr>
              <w:t>EXP-001</w:t>
            </w:r>
          </w:p>
        </w:tc>
        <w:tc>
          <w:tcPr>
            <w:tcW w:type="dxa" w:w="1224"/>
            <w:vAlign w:val="center"/>
          </w:tcPr>
          <w:p>
            <w:pPr>
              <w:jc w:val="left"/>
            </w:pPr>
            <w:r/>
            <w:r>
              <w:rPr>
                <w:b w:val="0"/>
                <w:sz w:val="19"/>
              </w:rPr>
              <w:t>Export</w:t>
            </w:r>
          </w:p>
        </w:tc>
        <w:tc>
          <w:tcPr>
            <w:tcW w:type="dxa" w:w="1800"/>
            <w:vAlign w:val="center"/>
          </w:tcPr>
          <w:p>
            <w:pPr>
              <w:jc w:val="left"/>
            </w:pPr>
            <w:r/>
            <w:r>
              <w:rPr>
                <w:b w:val="0"/>
                <w:sz w:val="19"/>
              </w:rPr>
              <w:t>PDF files contain expected document text</w:t>
            </w:r>
          </w:p>
        </w:tc>
        <w:tc>
          <w:tcPr>
            <w:tcW w:type="dxa" w:w="1944"/>
            <w:vAlign w:val="center"/>
          </w:tcPr>
          <w:p>
            <w:pPr>
              <w:jc w:val="left"/>
            </w:pPr>
            <w:r/>
            <w:r>
              <w:rPr>
                <w:b w:val="0"/>
                <w:sz w:val="19"/>
              </w:rPr>
              <w:t>One PDF has been exported from each module.</w:t>
            </w:r>
          </w:p>
        </w:tc>
        <w:tc>
          <w:tcPr>
            <w:tcW w:type="dxa" w:w="3384"/>
            <w:vAlign w:val="center"/>
          </w:tcPr>
          <w:p>
            <w:pPr>
              <w:jc w:val="left"/>
            </w:pPr>
            <w:r/>
            <w:r>
              <w:rPr>
                <w:b w:val="0"/>
                <w:sz w:val="19"/>
              </w:rPr>
              <w:t>Open each downloaded PDF and review the main document identity fields.</w:t>
            </w:r>
          </w:p>
        </w:tc>
        <w:tc>
          <w:tcPr>
            <w:tcW w:type="dxa" w:w="3240"/>
            <w:vAlign w:val="center"/>
          </w:tcPr>
          <w:p>
            <w:pPr>
              <w:jc w:val="left"/>
            </w:pPr>
            <w:r/>
            <w:r>
              <w:rPr>
                <w:b w:val="0"/>
                <w:sz w:val="19"/>
              </w:rPr>
              <w:t>The PDF text is selectable and includes the expected company, employee, client, or voucher reference content.</w:t>
            </w:r>
          </w:p>
        </w:tc>
        <w:tc>
          <w:tcPr>
            <w:tcW w:type="dxa" w:w="1008"/>
            <w:vAlign w:val="center"/>
          </w:tcPr>
          <w:p>
            <w:pPr>
              <w:jc w:val="left"/>
            </w:pPr>
            <w:r/>
            <w:r>
              <w:rPr>
                <w:b w:val="0"/>
                <w:sz w:val="19"/>
              </w:rPr>
              <w:t>High</w:t>
            </w:r>
          </w:p>
        </w:tc>
      </w:tr>
      <w:tr>
        <w:tc>
          <w:tcPr>
            <w:tcW w:type="dxa" w:w="1296"/>
            <w:vAlign w:val="center"/>
          </w:tcPr>
          <w:p>
            <w:pPr>
              <w:jc w:val="left"/>
            </w:pPr>
            <w:r/>
            <w:r>
              <w:rPr>
                <w:b w:val="0"/>
                <w:sz w:val="19"/>
              </w:rPr>
              <w:t>EXP-002</w:t>
            </w:r>
          </w:p>
        </w:tc>
        <w:tc>
          <w:tcPr>
            <w:tcW w:type="dxa" w:w="1224"/>
            <w:vAlign w:val="center"/>
          </w:tcPr>
          <w:p>
            <w:pPr>
              <w:jc w:val="left"/>
            </w:pPr>
            <w:r/>
            <w:r>
              <w:rPr>
                <w:b w:val="0"/>
                <w:sz w:val="19"/>
              </w:rPr>
              <w:t>Print</w:t>
            </w:r>
          </w:p>
        </w:tc>
        <w:tc>
          <w:tcPr>
            <w:tcW w:type="dxa" w:w="1800"/>
            <w:vAlign w:val="center"/>
          </w:tcPr>
          <w:p>
            <w:pPr>
              <w:jc w:val="left"/>
            </w:pPr>
            <w:r/>
            <w:r>
              <w:rPr>
                <w:b w:val="0"/>
                <w:sz w:val="19"/>
              </w:rPr>
              <w:t>Print surfaces load correctly</w:t>
            </w:r>
          </w:p>
        </w:tc>
        <w:tc>
          <w:tcPr>
            <w:tcW w:type="dxa" w:w="1944"/>
            <w:vAlign w:val="center"/>
          </w:tcPr>
          <w:p>
            <w:pPr>
              <w:jc w:val="left"/>
            </w:pPr>
            <w:r/>
            <w:r>
              <w:rPr>
                <w:b w:val="0"/>
                <w:sz w:val="19"/>
              </w:rPr>
              <w:t>A tester can allow pop-ups in the browser.</w:t>
            </w:r>
          </w:p>
        </w:tc>
        <w:tc>
          <w:tcPr>
            <w:tcW w:type="dxa" w:w="3384"/>
            <w:vAlign w:val="center"/>
          </w:tcPr>
          <w:p>
            <w:pPr>
              <w:jc w:val="left"/>
            </w:pPr>
            <w:r/>
            <w:r>
              <w:rPr>
                <w:b w:val="0"/>
                <w:sz w:val="19"/>
              </w:rPr>
              <w:t>Open the print flow from voucher, salary slip, and invoice workspaces.</w:t>
            </w:r>
          </w:p>
        </w:tc>
        <w:tc>
          <w:tcPr>
            <w:tcW w:type="dxa" w:w="3240"/>
            <w:vAlign w:val="center"/>
          </w:tcPr>
          <w:p>
            <w:pPr>
              <w:jc w:val="left"/>
            </w:pPr>
            <w:r/>
            <w:r>
              <w:rPr>
                <w:b w:val="0"/>
                <w:sz w:val="19"/>
              </w:rPr>
              <w:t>Each print page opens on the correct render-ready document surface without missing payload errors.</w:t>
            </w:r>
          </w:p>
        </w:tc>
        <w:tc>
          <w:tcPr>
            <w:tcW w:type="dxa" w:w="1008"/>
            <w:vAlign w:val="center"/>
          </w:tcPr>
          <w:p>
            <w:pPr>
              <w:jc w:val="left"/>
            </w:pPr>
            <w:r/>
            <w:r>
              <w:rPr>
                <w:b w:val="0"/>
                <w:sz w:val="19"/>
              </w:rPr>
              <w:t>High</w:t>
            </w:r>
          </w:p>
        </w:tc>
      </w:tr>
      <w:tr>
        <w:tc>
          <w:tcPr>
            <w:tcW w:type="dxa" w:w="1296"/>
            <w:vAlign w:val="center"/>
          </w:tcPr>
          <w:p>
            <w:pPr>
              <w:jc w:val="left"/>
            </w:pPr>
            <w:r/>
            <w:r>
              <w:rPr>
                <w:b w:val="0"/>
                <w:sz w:val="19"/>
              </w:rPr>
              <w:t>EXP-003</w:t>
            </w:r>
          </w:p>
        </w:tc>
        <w:tc>
          <w:tcPr>
            <w:tcW w:type="dxa" w:w="1224"/>
            <w:vAlign w:val="center"/>
          </w:tcPr>
          <w:p>
            <w:pPr>
              <w:jc w:val="left"/>
            </w:pPr>
            <w:r/>
            <w:r>
              <w:rPr>
                <w:b w:val="0"/>
                <w:sz w:val="19"/>
              </w:rPr>
              <w:t>Runtime</w:t>
            </w:r>
          </w:p>
        </w:tc>
        <w:tc>
          <w:tcPr>
            <w:tcW w:type="dxa" w:w="1800"/>
            <w:vAlign w:val="center"/>
          </w:tcPr>
          <w:p>
            <w:pPr>
              <w:jc w:val="left"/>
            </w:pPr>
            <w:r/>
            <w:r>
              <w:rPr>
                <w:b w:val="0"/>
                <w:sz w:val="19"/>
              </w:rPr>
              <w:t>Serverless export works on deployed preview</w:t>
            </w:r>
          </w:p>
        </w:tc>
        <w:tc>
          <w:tcPr>
            <w:tcW w:type="dxa" w:w="1944"/>
            <w:vAlign w:val="center"/>
          </w:tcPr>
          <w:p>
            <w:pPr>
              <w:jc w:val="left"/>
            </w:pPr>
            <w:r/>
            <w:r>
              <w:rPr>
                <w:b w:val="0"/>
                <w:sz w:val="19"/>
              </w:rPr>
              <w:t>Testing is being performed on Vercel Preview.</w:t>
            </w:r>
          </w:p>
        </w:tc>
        <w:tc>
          <w:tcPr>
            <w:tcW w:type="dxa" w:w="3384"/>
            <w:vAlign w:val="center"/>
          </w:tcPr>
          <w:p>
            <w:pPr>
              <w:jc w:val="left"/>
            </w:pPr>
            <w:r/>
            <w:r>
              <w:rPr>
                <w:b w:val="0"/>
                <w:sz w:val="19"/>
              </w:rPr>
              <w:t>Run one PDF and one PNG export from each module on the deployed preview.</w:t>
            </w:r>
          </w:p>
        </w:tc>
        <w:tc>
          <w:tcPr>
            <w:tcW w:type="dxa" w:w="3240"/>
            <w:vAlign w:val="center"/>
          </w:tcPr>
          <w:p>
            <w:pPr>
              <w:jc w:val="left"/>
            </w:pPr>
            <w:r/>
            <w:r>
              <w:rPr>
                <w:b w:val="0"/>
                <w:sz w:val="19"/>
              </w:rPr>
              <w:t>Exports complete successfully without deployment-specific runtime failures.</w:t>
            </w:r>
          </w:p>
        </w:tc>
        <w:tc>
          <w:tcPr>
            <w:tcW w:type="dxa" w:w="1008"/>
            <w:vAlign w:val="center"/>
          </w:tcPr>
          <w:p>
            <w:pPr>
              <w:jc w:val="left"/>
            </w:pPr>
            <w:r/>
            <w:r>
              <w:rPr>
                <w:b w:val="0"/>
                <w:sz w:val="19"/>
              </w:rPr>
              <w:t>Blocker</w:t>
            </w:r>
          </w:p>
        </w:tc>
      </w:tr>
    </w:tbl>
    <w:p/>
    <w:p>
      <w:pPr>
        <w:pStyle w:val="Heading2"/>
      </w:pPr>
      <w:r>
        <w:t>Responsive / Layout</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vAlign w:val="center"/>
            <w:shd w:fill="EADFCB"/>
          </w:tcPr>
          <w:p>
            <w:pPr>
              <w:jc w:val="left"/>
            </w:pPr>
            <w:r/>
            <w:r>
              <w:rPr>
                <w:b/>
                <w:sz w:val="19"/>
              </w:rPr>
              <w:t>Test Case ID</w:t>
            </w:r>
          </w:p>
        </w:tc>
        <w:tc>
          <w:tcPr>
            <w:tcW w:type="dxa" w:w="1224"/>
            <w:vAlign w:val="center"/>
            <w:shd w:fill="EADFCB"/>
          </w:tcPr>
          <w:p>
            <w:pPr>
              <w:jc w:val="left"/>
            </w:pPr>
            <w:r/>
            <w:r>
              <w:rPr>
                <w:b/>
                <w:sz w:val="19"/>
              </w:rPr>
              <w:t>Module</w:t>
            </w:r>
          </w:p>
        </w:tc>
        <w:tc>
          <w:tcPr>
            <w:tcW w:type="dxa" w:w="1800"/>
            <w:vAlign w:val="center"/>
            <w:shd w:fill="EADFCB"/>
          </w:tcPr>
          <w:p>
            <w:pPr>
              <w:jc w:val="left"/>
            </w:pPr>
            <w:r/>
            <w:r>
              <w:rPr>
                <w:b/>
                <w:sz w:val="19"/>
              </w:rPr>
              <w:t>Scenario</w:t>
            </w:r>
          </w:p>
        </w:tc>
        <w:tc>
          <w:tcPr>
            <w:tcW w:type="dxa" w:w="1944"/>
            <w:vAlign w:val="center"/>
            <w:shd w:fill="EADFCB"/>
          </w:tcPr>
          <w:p>
            <w:pPr>
              <w:jc w:val="left"/>
            </w:pPr>
            <w:r/>
            <w:r>
              <w:rPr>
                <w:b/>
                <w:sz w:val="19"/>
              </w:rPr>
              <w:t>Preconditions</w:t>
            </w:r>
          </w:p>
        </w:tc>
        <w:tc>
          <w:tcPr>
            <w:tcW w:type="dxa" w:w="3384"/>
            <w:vAlign w:val="center"/>
            <w:shd w:fill="EADFCB"/>
          </w:tcPr>
          <w:p>
            <w:pPr>
              <w:jc w:val="left"/>
            </w:pPr>
            <w:r/>
            <w:r>
              <w:rPr>
                <w:b/>
                <w:sz w:val="19"/>
              </w:rPr>
              <w:t>Steps</w:t>
            </w:r>
          </w:p>
        </w:tc>
        <w:tc>
          <w:tcPr>
            <w:tcW w:type="dxa" w:w="3240"/>
            <w:vAlign w:val="center"/>
            <w:shd w:fill="EADFCB"/>
          </w:tcPr>
          <w:p>
            <w:pPr>
              <w:jc w:val="left"/>
            </w:pPr>
            <w:r/>
            <w:r>
              <w:rPr>
                <w:b/>
                <w:sz w:val="19"/>
              </w:rPr>
              <w:t>Expected Result</w:t>
            </w:r>
          </w:p>
        </w:tc>
        <w:tc>
          <w:tcPr>
            <w:tcW w:type="dxa" w:w="1008"/>
            <w:vAlign w:val="center"/>
            <w:shd w:fill="EADFCB"/>
          </w:tcPr>
          <w:p>
            <w:pPr>
              <w:jc w:val="left"/>
            </w:pPr>
            <w:r/>
            <w:r>
              <w:rPr>
                <w:b/>
                <w:sz w:val="19"/>
              </w:rPr>
              <w:t>Priority</w:t>
            </w:r>
          </w:p>
        </w:tc>
      </w:tr>
      <w:tr>
        <w:tc>
          <w:tcPr>
            <w:tcW w:type="dxa" w:w="1296"/>
            <w:vAlign w:val="center"/>
          </w:tcPr>
          <w:p>
            <w:pPr>
              <w:jc w:val="left"/>
            </w:pPr>
            <w:r/>
            <w:r>
              <w:rPr>
                <w:b w:val="0"/>
                <w:sz w:val="19"/>
              </w:rPr>
              <w:t>RWD-001</w:t>
            </w:r>
          </w:p>
        </w:tc>
        <w:tc>
          <w:tcPr>
            <w:tcW w:type="dxa" w:w="1224"/>
            <w:vAlign w:val="center"/>
          </w:tcPr>
          <w:p>
            <w:pPr>
              <w:jc w:val="left"/>
            </w:pPr>
            <w:r/>
            <w:r>
              <w:rPr>
                <w:b w:val="0"/>
                <w:sz w:val="19"/>
              </w:rPr>
              <w:t>Responsive</w:t>
            </w:r>
          </w:p>
        </w:tc>
        <w:tc>
          <w:tcPr>
            <w:tcW w:type="dxa" w:w="1800"/>
            <w:vAlign w:val="center"/>
          </w:tcPr>
          <w:p>
            <w:pPr>
              <w:jc w:val="left"/>
            </w:pPr>
            <w:r/>
            <w:r>
              <w:rPr>
                <w:b w:val="0"/>
                <w:sz w:val="19"/>
              </w:rPr>
              <w:t>Desktop layout remains usable</w:t>
            </w:r>
          </w:p>
        </w:tc>
        <w:tc>
          <w:tcPr>
            <w:tcW w:type="dxa" w:w="1944"/>
            <w:vAlign w:val="center"/>
          </w:tcPr>
          <w:p>
            <w:pPr>
              <w:jc w:val="left"/>
            </w:pPr>
            <w:r/>
            <w:r>
              <w:rPr>
                <w:b w:val="0"/>
                <w:sz w:val="19"/>
              </w:rPr>
              <w:t>Use a desktop viewport.</w:t>
            </w:r>
          </w:p>
        </w:tc>
        <w:tc>
          <w:tcPr>
            <w:tcW w:type="dxa" w:w="3384"/>
            <w:vAlign w:val="center"/>
          </w:tcPr>
          <w:p>
            <w:pPr>
              <w:jc w:val="left"/>
            </w:pPr>
            <w:r/>
            <w:r>
              <w:rPr>
                <w:b w:val="0"/>
                <w:sz w:val="19"/>
              </w:rPr>
              <w:t>Open each module and review the form and preview layout.</w:t>
            </w:r>
          </w:p>
        </w:tc>
        <w:tc>
          <w:tcPr>
            <w:tcW w:type="dxa" w:w="3240"/>
            <w:vAlign w:val="center"/>
          </w:tcPr>
          <w:p>
            <w:pPr>
              <w:jc w:val="left"/>
            </w:pPr>
            <w:r/>
            <w:r>
              <w:rPr>
                <w:b w:val="0"/>
                <w:sz w:val="19"/>
              </w:rPr>
              <w:t>The workspace remains readable, preview fits properly, and controls are accessible.</w:t>
            </w:r>
          </w:p>
        </w:tc>
        <w:tc>
          <w:tcPr>
            <w:tcW w:type="dxa" w:w="1008"/>
            <w:vAlign w:val="center"/>
          </w:tcPr>
          <w:p>
            <w:pPr>
              <w:jc w:val="left"/>
            </w:pPr>
            <w:r/>
            <w:r>
              <w:rPr>
                <w:b w:val="0"/>
                <w:sz w:val="19"/>
              </w:rPr>
              <w:t>Medium</w:t>
            </w:r>
          </w:p>
        </w:tc>
      </w:tr>
      <w:tr>
        <w:tc>
          <w:tcPr>
            <w:tcW w:type="dxa" w:w="1296"/>
            <w:vAlign w:val="center"/>
          </w:tcPr>
          <w:p>
            <w:pPr>
              <w:jc w:val="left"/>
            </w:pPr>
            <w:r/>
            <w:r>
              <w:rPr>
                <w:b w:val="0"/>
                <w:sz w:val="19"/>
              </w:rPr>
              <w:t>RWD-002</w:t>
            </w:r>
          </w:p>
        </w:tc>
        <w:tc>
          <w:tcPr>
            <w:tcW w:type="dxa" w:w="1224"/>
            <w:vAlign w:val="center"/>
          </w:tcPr>
          <w:p>
            <w:pPr>
              <w:jc w:val="left"/>
            </w:pPr>
            <w:r/>
            <w:r>
              <w:rPr>
                <w:b w:val="0"/>
                <w:sz w:val="19"/>
              </w:rPr>
              <w:t>Responsive</w:t>
            </w:r>
          </w:p>
        </w:tc>
        <w:tc>
          <w:tcPr>
            <w:tcW w:type="dxa" w:w="1800"/>
            <w:vAlign w:val="center"/>
          </w:tcPr>
          <w:p>
            <w:pPr>
              <w:jc w:val="left"/>
            </w:pPr>
            <w:r/>
            <w:r>
              <w:rPr>
                <w:b w:val="0"/>
                <w:sz w:val="19"/>
              </w:rPr>
              <w:t>Tablet/mobile layout remains usable</w:t>
            </w:r>
          </w:p>
        </w:tc>
        <w:tc>
          <w:tcPr>
            <w:tcW w:type="dxa" w:w="1944"/>
            <w:vAlign w:val="center"/>
          </w:tcPr>
          <w:p>
            <w:pPr>
              <w:jc w:val="left"/>
            </w:pPr>
            <w:r/>
            <w:r>
              <w:rPr>
                <w:b w:val="0"/>
                <w:sz w:val="19"/>
              </w:rPr>
              <w:t>Use at least one tablet or mobile-sized viewport.</w:t>
            </w:r>
          </w:p>
        </w:tc>
        <w:tc>
          <w:tcPr>
            <w:tcW w:type="dxa" w:w="3384"/>
            <w:vAlign w:val="center"/>
          </w:tcPr>
          <w:p>
            <w:pPr>
              <w:jc w:val="left"/>
            </w:pPr>
            <w:r/>
            <w:r>
              <w:rPr>
                <w:b w:val="0"/>
                <w:sz w:val="19"/>
              </w:rPr>
              <w:t>Open each module and review form flow, preview scaling, and action buttons.</w:t>
            </w:r>
          </w:p>
        </w:tc>
        <w:tc>
          <w:tcPr>
            <w:tcW w:type="dxa" w:w="3240"/>
            <w:vAlign w:val="center"/>
          </w:tcPr>
          <w:p>
            <w:pPr>
              <w:jc w:val="left"/>
            </w:pPr>
            <w:r/>
            <w:r>
              <w:rPr>
                <w:b w:val="0"/>
                <w:sz w:val="19"/>
              </w:rPr>
              <w:t>The workspace remains usable without broken layout, clipped controls, or unreadable preview content.</w:t>
            </w:r>
          </w:p>
        </w:tc>
        <w:tc>
          <w:tcPr>
            <w:tcW w:type="dxa" w:w="1008"/>
            <w:vAlign w:val="center"/>
          </w:tcPr>
          <w:p>
            <w:pPr>
              <w:jc w:val="left"/>
            </w:pPr>
            <w:r/>
            <w:r>
              <w:rPr>
                <w:b w:val="0"/>
                <w:sz w:val="19"/>
              </w:rPr>
              <w:t>Medium</w:t>
            </w:r>
          </w:p>
        </w:tc>
      </w:tr>
    </w:tbl>
    <w:p/>
    <w:p>
      <w:pPr>
        <w:pStyle w:val="Heading2"/>
      </w:pPr>
      <w:r>
        <w:t>Negative / Validation</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vAlign w:val="center"/>
            <w:shd w:fill="EADFCB"/>
          </w:tcPr>
          <w:p>
            <w:pPr>
              <w:jc w:val="left"/>
            </w:pPr>
            <w:r/>
            <w:r>
              <w:rPr>
                <w:b/>
                <w:sz w:val="19"/>
              </w:rPr>
              <w:t>Test Case ID</w:t>
            </w:r>
          </w:p>
        </w:tc>
        <w:tc>
          <w:tcPr>
            <w:tcW w:type="dxa" w:w="1224"/>
            <w:vAlign w:val="center"/>
            <w:shd w:fill="EADFCB"/>
          </w:tcPr>
          <w:p>
            <w:pPr>
              <w:jc w:val="left"/>
            </w:pPr>
            <w:r/>
            <w:r>
              <w:rPr>
                <w:b/>
                <w:sz w:val="19"/>
              </w:rPr>
              <w:t>Module</w:t>
            </w:r>
          </w:p>
        </w:tc>
        <w:tc>
          <w:tcPr>
            <w:tcW w:type="dxa" w:w="1800"/>
            <w:vAlign w:val="center"/>
            <w:shd w:fill="EADFCB"/>
          </w:tcPr>
          <w:p>
            <w:pPr>
              <w:jc w:val="left"/>
            </w:pPr>
            <w:r/>
            <w:r>
              <w:rPr>
                <w:b/>
                <w:sz w:val="19"/>
              </w:rPr>
              <w:t>Scenario</w:t>
            </w:r>
          </w:p>
        </w:tc>
        <w:tc>
          <w:tcPr>
            <w:tcW w:type="dxa" w:w="1944"/>
            <w:vAlign w:val="center"/>
            <w:shd w:fill="EADFCB"/>
          </w:tcPr>
          <w:p>
            <w:pPr>
              <w:jc w:val="left"/>
            </w:pPr>
            <w:r/>
            <w:r>
              <w:rPr>
                <w:b/>
                <w:sz w:val="19"/>
              </w:rPr>
              <w:t>Preconditions</w:t>
            </w:r>
          </w:p>
        </w:tc>
        <w:tc>
          <w:tcPr>
            <w:tcW w:type="dxa" w:w="3384"/>
            <w:vAlign w:val="center"/>
            <w:shd w:fill="EADFCB"/>
          </w:tcPr>
          <w:p>
            <w:pPr>
              <w:jc w:val="left"/>
            </w:pPr>
            <w:r/>
            <w:r>
              <w:rPr>
                <w:b/>
                <w:sz w:val="19"/>
              </w:rPr>
              <w:t>Steps</w:t>
            </w:r>
          </w:p>
        </w:tc>
        <w:tc>
          <w:tcPr>
            <w:tcW w:type="dxa" w:w="3240"/>
            <w:vAlign w:val="center"/>
            <w:shd w:fill="EADFCB"/>
          </w:tcPr>
          <w:p>
            <w:pPr>
              <w:jc w:val="left"/>
            </w:pPr>
            <w:r/>
            <w:r>
              <w:rPr>
                <w:b/>
                <w:sz w:val="19"/>
              </w:rPr>
              <w:t>Expected Result</w:t>
            </w:r>
          </w:p>
        </w:tc>
        <w:tc>
          <w:tcPr>
            <w:tcW w:type="dxa" w:w="1008"/>
            <w:vAlign w:val="center"/>
            <w:shd w:fill="EADFCB"/>
          </w:tcPr>
          <w:p>
            <w:pPr>
              <w:jc w:val="left"/>
            </w:pPr>
            <w:r/>
            <w:r>
              <w:rPr>
                <w:b/>
                <w:sz w:val="19"/>
              </w:rPr>
              <w:t>Priority</w:t>
            </w:r>
          </w:p>
        </w:tc>
      </w:tr>
      <w:tr>
        <w:tc>
          <w:tcPr>
            <w:tcW w:type="dxa" w:w="1296"/>
            <w:vAlign w:val="center"/>
          </w:tcPr>
          <w:p>
            <w:pPr>
              <w:jc w:val="left"/>
            </w:pPr>
            <w:r/>
            <w:r>
              <w:rPr>
                <w:b w:val="0"/>
                <w:sz w:val="19"/>
              </w:rPr>
              <w:t>NEG-001</w:t>
            </w:r>
          </w:p>
        </w:tc>
        <w:tc>
          <w:tcPr>
            <w:tcW w:type="dxa" w:w="1224"/>
            <w:vAlign w:val="center"/>
          </w:tcPr>
          <w:p>
            <w:pPr>
              <w:jc w:val="left"/>
            </w:pPr>
            <w:r/>
            <w:r>
              <w:rPr>
                <w:b w:val="0"/>
                <w:sz w:val="19"/>
              </w:rPr>
              <w:t>Validation</w:t>
            </w:r>
          </w:p>
        </w:tc>
        <w:tc>
          <w:tcPr>
            <w:tcW w:type="dxa" w:w="1800"/>
            <w:vAlign w:val="center"/>
          </w:tcPr>
          <w:p>
            <w:pPr>
              <w:jc w:val="left"/>
            </w:pPr>
            <w:r/>
            <w:r>
              <w:rPr>
                <w:b w:val="0"/>
                <w:sz w:val="19"/>
              </w:rPr>
              <w:t>Required-field validation blocks export</w:t>
            </w:r>
          </w:p>
        </w:tc>
        <w:tc>
          <w:tcPr>
            <w:tcW w:type="dxa" w:w="1944"/>
            <w:vAlign w:val="center"/>
          </w:tcPr>
          <w:p>
            <w:pPr>
              <w:jc w:val="left"/>
            </w:pPr>
            <w:r/>
            <w:r>
              <w:rPr>
                <w:b w:val="0"/>
                <w:sz w:val="19"/>
              </w:rPr>
              <w:t>Open any module workspace.</w:t>
            </w:r>
          </w:p>
        </w:tc>
        <w:tc>
          <w:tcPr>
            <w:tcW w:type="dxa" w:w="3384"/>
            <w:vAlign w:val="center"/>
          </w:tcPr>
          <w:p>
            <w:pPr>
              <w:jc w:val="left"/>
            </w:pPr>
            <w:r/>
            <w:r>
              <w:rPr>
                <w:b w:val="0"/>
                <w:sz w:val="19"/>
              </w:rPr>
              <w:t>Clear a required field such as voucher number or equivalent core field. Attempt export.</w:t>
            </w:r>
          </w:p>
        </w:tc>
        <w:tc>
          <w:tcPr>
            <w:tcW w:type="dxa" w:w="3240"/>
            <w:vAlign w:val="center"/>
          </w:tcPr>
          <w:p>
            <w:pPr>
              <w:jc w:val="left"/>
            </w:pPr>
            <w:r/>
            <w:r>
              <w:rPr>
                <w:b w:val="0"/>
                <w:sz w:val="19"/>
              </w:rPr>
              <w:t>Export is blocked and a readable validation message appears.</w:t>
            </w:r>
          </w:p>
        </w:tc>
        <w:tc>
          <w:tcPr>
            <w:tcW w:type="dxa" w:w="1008"/>
            <w:vAlign w:val="center"/>
          </w:tcPr>
          <w:p>
            <w:pPr>
              <w:jc w:val="left"/>
            </w:pPr>
            <w:r/>
            <w:r>
              <w:rPr>
                <w:b w:val="0"/>
                <w:sz w:val="19"/>
              </w:rPr>
              <w:t>High</w:t>
            </w:r>
          </w:p>
        </w:tc>
      </w:tr>
      <w:tr>
        <w:tc>
          <w:tcPr>
            <w:tcW w:type="dxa" w:w="1296"/>
            <w:vAlign w:val="center"/>
          </w:tcPr>
          <w:p>
            <w:pPr>
              <w:jc w:val="left"/>
            </w:pPr>
            <w:r/>
            <w:r>
              <w:rPr>
                <w:b w:val="0"/>
                <w:sz w:val="19"/>
              </w:rPr>
              <w:t>NEG-002</w:t>
            </w:r>
          </w:p>
        </w:tc>
        <w:tc>
          <w:tcPr>
            <w:tcW w:type="dxa" w:w="1224"/>
            <w:vAlign w:val="center"/>
          </w:tcPr>
          <w:p>
            <w:pPr>
              <w:jc w:val="left"/>
            </w:pPr>
            <w:r/>
            <w:r>
              <w:rPr>
                <w:b w:val="0"/>
                <w:sz w:val="19"/>
              </w:rPr>
              <w:t>Render</w:t>
            </w:r>
          </w:p>
        </w:tc>
        <w:tc>
          <w:tcPr>
            <w:tcW w:type="dxa" w:w="1800"/>
            <w:vAlign w:val="center"/>
          </w:tcPr>
          <w:p>
            <w:pPr>
              <w:jc w:val="left"/>
            </w:pPr>
            <w:r/>
            <w:r>
              <w:rPr>
                <w:b w:val="0"/>
                <w:sz w:val="19"/>
              </w:rPr>
              <w:t>Unavailable payload pages are understandable</w:t>
            </w:r>
          </w:p>
        </w:tc>
        <w:tc>
          <w:tcPr>
            <w:tcW w:type="dxa" w:w="1944"/>
            <w:vAlign w:val="center"/>
          </w:tcPr>
          <w:p>
            <w:pPr>
              <w:jc w:val="left"/>
            </w:pPr>
            <w:r/>
            <w:r>
              <w:rPr>
                <w:b w:val="0"/>
                <w:sz w:val="19"/>
              </w:rPr>
              <w:t>Open a print route directly without going through the workspace flow if possible.</w:t>
            </w:r>
          </w:p>
        </w:tc>
        <w:tc>
          <w:tcPr>
            <w:tcW w:type="dxa" w:w="3384"/>
            <w:vAlign w:val="center"/>
          </w:tcPr>
          <w:p>
            <w:pPr>
              <w:jc w:val="left"/>
            </w:pPr>
            <w:r/>
            <w:r>
              <w:rPr>
                <w:b w:val="0"/>
                <w:sz w:val="19"/>
              </w:rPr>
              <w:t>Load the print URL without a valid session payload.</w:t>
            </w:r>
          </w:p>
        </w:tc>
        <w:tc>
          <w:tcPr>
            <w:tcW w:type="dxa" w:w="3240"/>
            <w:vAlign w:val="center"/>
          </w:tcPr>
          <w:p>
            <w:pPr>
              <w:jc w:val="left"/>
            </w:pPr>
            <w:r/>
            <w:r>
              <w:rPr>
                <w:b w:val="0"/>
                <w:sz w:val="19"/>
              </w:rPr>
              <w:t>A clear render payload unavailable message is shown instead of a broken blank page.</w:t>
            </w:r>
          </w:p>
        </w:tc>
        <w:tc>
          <w:tcPr>
            <w:tcW w:type="dxa" w:w="1008"/>
            <w:vAlign w:val="center"/>
          </w:tcPr>
          <w:p>
            <w:pPr>
              <w:jc w:val="left"/>
            </w:pPr>
            <w:r/>
            <w:r>
              <w:rPr>
                <w:b w:val="0"/>
                <w:sz w:val="19"/>
              </w:rPr>
              <w:t>Medium</w:t>
            </w:r>
          </w:p>
        </w:tc>
      </w:tr>
    </w:tbl>
    <w:p/>
    <w:p>
      <w:pPr>
        <w:pStyle w:val="Heading1"/>
      </w:pPr>
      <w:r>
        <w:t>Defect Logging Notes</w:t>
      </w:r>
    </w:p>
    <w:p>
      <w:pPr>
        <w:pStyle w:val="ListNumber"/>
      </w:pPr>
      <w:r>
        <w:t>Capture at least one screenshot of the visible issue.</w:t>
      </w:r>
    </w:p>
    <w:p>
      <w:pPr>
        <w:pStyle w:val="ListNumber"/>
      </w:pPr>
      <w:r>
        <w:t>Record the exact route and module where the issue occurred.</w:t>
      </w:r>
    </w:p>
    <w:p>
      <w:pPr>
        <w:pStyle w:val="ListNumber"/>
      </w:pPr>
      <w:r>
        <w:t>Record the selected template name.</w:t>
      </w:r>
    </w:p>
    <w:p>
      <w:pPr>
        <w:pStyle w:val="ListNumber"/>
      </w:pPr>
      <w:r>
        <w:t>Record the browser and viewport used.</w:t>
      </w:r>
    </w:p>
    <w:p>
      <w:pPr>
        <w:pStyle w:val="ListNumber"/>
      </w:pPr>
      <w:r>
        <w:t>Record the input data entered before the issue occurred.</w:t>
      </w:r>
    </w:p>
    <w:p>
      <w:pPr>
        <w:pStyle w:val="ListNumber"/>
      </w:pPr>
      <w:r>
        <w:t>For export issues, record whether the flow was Print, PDF, or PNG.</w:t>
      </w:r>
    </w:p>
    <w:p>
      <w:pPr>
        <w:pStyle w:val="ListNumber"/>
      </w:pPr>
      <w:r>
        <w:t>Record the actual result and expected result in one concise statement each.</w:t>
      </w:r>
    </w:p>
    <w:p>
      <w:pPr>
        <w:pStyle w:val="Heading1"/>
      </w:pPr>
      <w:r>
        <w:t>Sign-off Section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DFCB"/>
          </w:tcPr>
          <w:p>
            <w:pPr>
              <w:jc w:val="left"/>
            </w:pPr>
            <w:r/>
            <w:r>
              <w:rPr>
                <w:b/>
                <w:sz w:val="19"/>
              </w:rPr>
              <w:t>QA Tester Name</w:t>
            </w:r>
          </w:p>
        </w:tc>
        <w:tc>
          <w:tcPr>
            <w:tcW w:type="dxa" w:w="5040"/>
            <w:vAlign w:val="center"/>
          </w:tcPr>
          <w:p>
            <w:pPr>
              <w:jc w:val="left"/>
            </w:pPr>
            <w:r/>
            <w:r>
              <w:rPr>
                <w:b w:val="0"/>
                <w:sz w:val="19"/>
              </w:rPr>
              <w:t>______________________________</w:t>
            </w:r>
          </w:p>
        </w:tc>
      </w:tr>
      <w:tr>
        <w:tc>
          <w:tcPr>
            <w:tcW w:type="dxa" w:w="5040"/>
            <w:vAlign w:val="center"/>
            <w:shd w:fill="EADFCB"/>
          </w:tcPr>
          <w:p>
            <w:pPr>
              <w:jc w:val="left"/>
            </w:pPr>
            <w:r/>
            <w:r>
              <w:rPr>
                <w:b/>
                <w:sz w:val="19"/>
              </w:rPr>
              <w:t>Test Date</w:t>
            </w:r>
          </w:p>
        </w:tc>
        <w:tc>
          <w:tcPr>
            <w:tcW w:type="dxa" w:w="5040"/>
            <w:vAlign w:val="center"/>
          </w:tcPr>
          <w:p>
            <w:pPr>
              <w:jc w:val="left"/>
            </w:pPr>
            <w:r/>
            <w:r>
              <w:rPr>
                <w:b w:val="0"/>
                <w:sz w:val="19"/>
              </w:rPr>
              <w:t>______________________________</w:t>
            </w:r>
          </w:p>
        </w:tc>
      </w:tr>
      <w:tr>
        <w:tc>
          <w:tcPr>
            <w:tcW w:type="dxa" w:w="5040"/>
            <w:vAlign w:val="center"/>
            <w:shd w:fill="EADFCB"/>
          </w:tcPr>
          <w:p>
            <w:pPr>
              <w:jc w:val="left"/>
            </w:pPr>
            <w:r/>
            <w:r>
              <w:rPr>
                <w:b/>
                <w:sz w:val="19"/>
              </w:rPr>
              <w:t>Environment</w:t>
            </w:r>
          </w:p>
        </w:tc>
        <w:tc>
          <w:tcPr>
            <w:tcW w:type="dxa" w:w="5040"/>
            <w:vAlign w:val="center"/>
          </w:tcPr>
          <w:p>
            <w:pPr>
              <w:jc w:val="left"/>
            </w:pPr>
            <w:r/>
            <w:r>
              <w:rPr>
                <w:b w:val="0"/>
                <w:sz w:val="19"/>
              </w:rPr>
              <w:t>Vercel Preview</w:t>
            </w:r>
          </w:p>
        </w:tc>
      </w:tr>
      <w:tr>
        <w:tc>
          <w:tcPr>
            <w:tcW w:type="dxa" w:w="5040"/>
            <w:vAlign w:val="center"/>
            <w:shd w:fill="EADFCB"/>
          </w:tcPr>
          <w:p>
            <w:pPr>
              <w:jc w:val="left"/>
            </w:pPr>
            <w:r/>
            <w:r>
              <w:rPr>
                <w:b/>
                <w:sz w:val="19"/>
              </w:rPr>
              <w:t>Result</w:t>
            </w:r>
          </w:p>
        </w:tc>
        <w:tc>
          <w:tcPr>
            <w:tcW w:type="dxa" w:w="5040"/>
            <w:vAlign w:val="center"/>
          </w:tcPr>
          <w:p>
            <w:pPr>
              <w:jc w:val="left"/>
            </w:pPr>
            <w:r/>
            <w:r>
              <w:rPr>
                <w:b w:val="0"/>
                <w:sz w:val="19"/>
              </w:rPr>
              <w:t>Pass / Fail / Blocked</w:t>
            </w:r>
          </w:p>
        </w:tc>
      </w:tr>
      <w:tr>
        <w:tc>
          <w:tcPr>
            <w:tcW w:type="dxa" w:w="5040"/>
            <w:vAlign w:val="center"/>
            <w:shd w:fill="EADFCB"/>
          </w:tcPr>
          <w:p>
            <w:pPr>
              <w:jc w:val="left"/>
            </w:pPr>
            <w:r/>
            <w:r>
              <w:rPr>
                <w:b/>
                <w:sz w:val="19"/>
              </w:rPr>
              <w:t>Notes</w:t>
            </w:r>
          </w:p>
        </w:tc>
        <w:tc>
          <w:tcPr>
            <w:tcW w:type="dxa" w:w="5040"/>
            <w:vAlign w:val="center"/>
          </w:tcPr>
          <w:p>
            <w:pPr>
              <w:jc w:val="left"/>
            </w:pPr>
            <w:r/>
            <w:r>
              <w:rPr>
                <w:b w:val="0"/>
                <w:sz w:val="19"/>
              </w:rPr>
              <w:t>______________________________</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171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171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171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171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