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CustomTitle"/>
        <w:jc w:val="center"/>
      </w:pPr>
      <w:r>
        <w:t>AWS CLOUD MIGRATION &amp; SCALABILITY ARCHITECTURE</w:t>
      </w:r>
    </w:p>
    <w:p>
      <w:pPr>
        <w:pStyle w:val="Heading2"/>
        <w:jc w:val="center"/>
      </w:pPr>
      <w:r>
        <w:rPr>
          <w:color w:val="666666"/>
        </w:rPr>
        <w:t>Hostel Management Platform</w:t>
      </w:r>
    </w:p>
    <w:p/>
    <w:p/>
    <w:p/>
    <w:p/>
    <w:p/>
    <w:p>
      <w:pPr>
        <w:jc w:val="center"/>
      </w:pPr>
      <w:r>
        <w:t>Date: July 11, 2026</w:t>
      </w:r>
    </w:p>
    <w:p>
      <w:pPr>
        <w:jc w:val="center"/>
      </w:pPr>
      <w:r>
        <w:t>Prepared for: Chief Technology Officer</w:t>
      </w:r>
    </w:p>
    <w:p>
      <w:pPr>
        <w:jc w:val="center"/>
      </w:pPr>
      <w:r>
        <w:t>Document Version: 1.0.0 (Final)</w:t>
      </w:r>
    </w:p>
    <w:p>
      <w:r>
        <w:br w:type="page"/>
      </w:r>
    </w:p>
    <w:p>
      <w:pPr>
        <w:pStyle w:val="Heading1"/>
      </w:pPr>
      <w:r>
        <w:t>Document Control</w:t>
      </w:r>
    </w:p>
    <w:p>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1.0.0</w:t>
            </w:r>
          </w:p>
        </w:tc>
        <w:tc>
          <w:tcPr>
            <w:tcW w:type="dxa" w:w="2160"/>
          </w:tcPr>
          <w:p>
            <w:r>
              <w:t>2026-07-11</w:t>
            </w:r>
          </w:p>
        </w:tc>
        <w:tc>
          <w:tcPr>
            <w:tcW w:type="dxa" w:w="2160"/>
          </w:tcPr>
          <w:p>
            <w:r>
              <w:t>Lead Cloud Architect</w:t>
            </w:r>
          </w:p>
        </w:tc>
        <w:tc>
          <w:tcPr>
            <w:tcW w:type="dxa" w:w="2160"/>
          </w:tcPr>
          <w:p>
            <w:r>
              <w:t>Initial AWS Architecture Blueprint for MVP to Enterprise Scale</w:t>
            </w:r>
          </w:p>
        </w:tc>
      </w:tr>
    </w:tbl>
    <w:p>
      <w:r>
        <w:br w:type="page"/>
      </w:r>
    </w:p>
    <w:p>
      <w:pPr>
        <w:pStyle w:val="Heading1"/>
      </w:pPr>
      <w:r>
        <w:t>1. Executive Summary</w:t>
      </w:r>
    </w:p>
    <w:p>
      <w:r>
        <w:t>This technical blueprint details the comprehensive Amazon Web Services (AWS) infrastructure design for the Hostel Management Platform. The platform leverages Next.js (App Router), Prisma ORM, and PostgreSQL. The primary objective is to migrate from the current MVP phase (approx. 4 hostels, 500 students) to a highly available, fault-tolerant, and dynamically scalable enterprise environment.</w:t>
      </w:r>
    </w:p>
    <w:p>
      <w:r>
        <w:t>Key architectural mandates fulfilled in this design:</w:t>
        <w:br/>
        <w:t>• Cost Optimization: Utilizing AWS Free Tier, Spot Instances, and Graviton processors to ensure Year 1 costs remain near-zero.</w:t>
        <w:br/>
        <w:t>• Next.js Monolithic Containerization: Avoiding the "Serverless API Cold Start" and Prisma connection pool exhaustion by deploying a unified Docker container to ECS Fargate.</w:t>
        <w:br/>
        <w:t>• Zero-Downtime Deployments: Dual-environment CI/CD pipeline via GitHub Actions.</w:t>
        <w:br/>
        <w:t>• Security &amp; Compliance: Complete network isolation (Private VPCs), edge protection (WAF), and automated disaster recovery.</w:t>
      </w:r>
    </w:p>
    <w:p>
      <w:pPr>
        <w:pStyle w:val="Heading1"/>
      </w:pPr>
      <w:r>
        <w:t>2. Network Architecture &amp; Security</w:t>
      </w:r>
    </w:p>
    <w:p>
      <w:pPr>
        <w:pStyle w:val="Heading2"/>
      </w:pPr>
      <w:r>
        <w:t>2.1 Virtual Private Cloud (VPC) Topology</w:t>
      </w:r>
    </w:p>
    <w:p>
      <w:r>
        <w:t>The infrastructure will be deployed in the ap-south-1 (Mumbai) region for minimum latency. A custom VPC (CIDR: 10.0.0.0/16) will be provisioned across three Availability Zones (AZs) for high availability.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Subnet Type</w:t>
            </w:r>
          </w:p>
        </w:tc>
        <w:tc>
          <w:tcPr>
            <w:tcW w:type="dxa" w:w="2880"/>
          </w:tcPr>
          <w:p>
            <w:r>
              <w:rPr>
                <w:b/>
              </w:rPr>
              <w:t>Resources Contained</w:t>
            </w:r>
          </w:p>
        </w:tc>
        <w:tc>
          <w:tcPr>
            <w:tcW w:type="dxa" w:w="2880"/>
          </w:tcPr>
          <w:p>
            <w:r>
              <w:rPr>
                <w:b/>
              </w:rPr>
              <w:t>Routing / Access</w:t>
            </w:r>
          </w:p>
        </w:tc>
      </w:tr>
      <w:tr>
        <w:tc>
          <w:tcPr>
            <w:tcW w:type="dxa" w:w="2880"/>
          </w:tcPr>
          <w:p>
            <w:r>
              <w:t>Public Subnets</w:t>
            </w:r>
          </w:p>
        </w:tc>
        <w:tc>
          <w:tcPr>
            <w:tcW w:type="dxa" w:w="2880"/>
          </w:tcPr>
          <w:p>
            <w:r>
              <w:t>Application Load Balancer (ALB), NAT Gateway</w:t>
            </w:r>
          </w:p>
        </w:tc>
        <w:tc>
          <w:tcPr>
            <w:tcW w:type="dxa" w:w="2880"/>
          </w:tcPr>
          <w:p>
            <w:r>
              <w:t>Direct route to Internet Gateway. Accepts inbound HTTP/HTTPS.</w:t>
            </w:r>
          </w:p>
        </w:tc>
      </w:tr>
      <w:tr>
        <w:tc>
          <w:tcPr>
            <w:tcW w:type="dxa" w:w="2880"/>
          </w:tcPr>
          <w:p>
            <w:r>
              <w:t>Private Subnets (App)</w:t>
            </w:r>
          </w:p>
        </w:tc>
        <w:tc>
          <w:tcPr>
            <w:tcW w:type="dxa" w:w="2880"/>
          </w:tcPr>
          <w:p>
            <w:r>
              <w:t>ECS Fargate (Next.js Containers)</w:t>
            </w:r>
          </w:p>
        </w:tc>
        <w:tc>
          <w:tcPr>
            <w:tcW w:type="dxa" w:w="2880"/>
          </w:tcPr>
          <w:p>
            <w:r>
              <w:t>No public IP. Outbound internet access via NAT Gateway only.</w:t>
            </w:r>
          </w:p>
        </w:tc>
      </w:tr>
      <w:tr>
        <w:tc>
          <w:tcPr>
            <w:tcW w:type="dxa" w:w="2880"/>
          </w:tcPr>
          <w:p>
            <w:r>
              <w:t>Private Subnets (DB)</w:t>
            </w:r>
          </w:p>
        </w:tc>
        <w:tc>
          <w:tcPr>
            <w:tcW w:type="dxa" w:w="2880"/>
          </w:tcPr>
          <w:p>
            <w:r>
              <w:t>Amazon RDS PostgreSQL</w:t>
            </w:r>
          </w:p>
        </w:tc>
        <w:tc>
          <w:tcPr>
            <w:tcW w:type="dxa" w:w="2880"/>
          </w:tcPr>
          <w:p>
            <w:r>
              <w:t>No internet access. Only accepts traffic from ECS Security Group.</w:t>
            </w:r>
          </w:p>
        </w:tc>
      </w:tr>
    </w:tbl>
    <w:p>
      <w:pPr>
        <w:pStyle w:val="Heading2"/>
      </w:pPr>
      <w:r>
        <w:t>2.2 Edge Protection &amp; WAF</w:t>
      </w:r>
    </w:p>
    <w:p>
      <w:r>
        <w:t>Amazon CloudFront will serve as the global CDN, caching static assets (images, CSS, JS) at edge locations. AWS WAF (Web Application Firewall) will be attached to CloudFront with managed rule groups to automatically drop SQL injection, Cross-Site Scripting (XSS), and known bad bot IPs before they reach the Load Balancer.</w:t>
      </w:r>
    </w:p>
    <w:p>
      <w:pPr>
        <w:pStyle w:val="Heading1"/>
      </w:pPr>
      <w:r>
        <w:t>3. Compute &amp; Application Architecture</w:t>
      </w:r>
    </w:p>
    <w:p>
      <w:pPr>
        <w:pStyle w:val="Heading2"/>
      </w:pPr>
      <w:r>
        <w:t>3.1 The "Majestic Monolith" on ECS Fargate</w:t>
      </w:r>
    </w:p>
    <w:p>
      <w:r>
        <w:t>Deploying 70+ Next.js API routes into individual AWS Lambda functions introduces severe Prisma connection pooling bottlenecks. Instead, the entire application will be packaged into a single Docker image and deployed to AWS Elastic Container Service (ECS) using the serverless Fargate launch type.</w:t>
      </w:r>
    </w:p>
    <w:p>
      <w:pPr>
        <w:pStyle w:val="Heading2"/>
      </w:pPr>
      <w:r>
        <w:t>3.2 Auto-Scaling Policies</w:t>
      </w:r>
    </w:p>
    <w:p>
      <w:r>
        <w:t>Fargate tasks will scale dynamically based on real-time metrics:</w:t>
      </w:r>
    </w:p>
    <w:p>
      <w:pPr>
        <w:pStyle w:val="ListBullet"/>
      </w:pPr>
      <w:r>
        <w:t>• Target Tracking Policy: Trigger scale-out if average CPU utilization exceeds 70%.</w:t>
      </w:r>
    </w:p>
    <w:p>
      <w:pPr>
        <w:pStyle w:val="ListBullet"/>
      </w:pPr>
      <w:r>
        <w:t>• Step Scaling: Add 2 containers during beginning-of-month billing cycles when API traffic spikes.</w:t>
      </w:r>
    </w:p>
    <w:p>
      <w:pPr>
        <w:pStyle w:val="Heading1"/>
      </w:pPr>
      <w:r>
        <w:t>4. Database &amp; Storage Strategy</w:t>
      </w:r>
    </w:p>
    <w:p>
      <w:pPr>
        <w:pStyle w:val="Heading2"/>
      </w:pPr>
      <w:r>
        <w:t>4.1 Amazon RDS for PostgreSQL</w:t>
      </w:r>
    </w:p>
    <w:p>
      <w:r>
        <w:t>The primary data store is Amazon RDS running PostgreSQL 15+. For the Staging environment, a Single-AZ t4g.micro instance will be used to minimize costs. For Production, a Multi-AZ deployment will be utilized, providing synchronous replication to a standby instance for instant failover capability.</w:t>
      </w:r>
    </w:p>
    <w:p>
      <w:pPr>
        <w:pStyle w:val="Heading2"/>
      </w:pPr>
      <w:r>
        <w:t>4.2 File Storage (Amazon S3)</w:t>
      </w:r>
    </w:p>
    <w:p>
      <w:r>
        <w:t>Tenant KYC documents, payment screenshots, and hostel assets will be stored in S3. S3 Bucket Policies will restrict direct public access. Instead, Pre-Signed URLs will be generated by the Next.js API for secure, time-limited document retrieval.</w:t>
      </w:r>
    </w:p>
    <w:p>
      <w:pPr>
        <w:pStyle w:val="Heading1"/>
      </w:pPr>
      <w:r>
        <w:t>5. Identity &amp; Authentication</w:t>
      </w:r>
    </w:p>
    <w:p>
      <w:pPr>
        <w:pStyle w:val="Heading2"/>
      </w:pPr>
      <w:r>
        <w:t>5.1 AWS Cognito User Pools</w:t>
      </w:r>
    </w:p>
    <w:p>
      <w:r>
        <w:t>AWS Cognito will replace the current auth provider. It provides a permanent free tier for 50,000 MAUs. Cognito natively handles secure password hashing, JWT token generation, and integrates directly with Next.js middleware. Crucially, it provides a seamless upgrade path to SMS/Email OTP Multi-Factor Authentication (MFA) via AWS SNS integration without requiring database schema changes.</w:t>
      </w:r>
    </w:p>
    <w:p>
      <w:pPr>
        <w:pStyle w:val="Heading1"/>
      </w:pPr>
      <w:r>
        <w:t>6. CI/CD Pipeline &amp; Environments</w:t>
      </w:r>
    </w:p>
    <w:p>
      <w:r>
        <w:t>Deployment automation is handled exclusively via GitHub Actions with OIDC (OpenID Connect) authentication to AWS, avoiding long-lived IAM keys.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Trigger</w:t>
            </w:r>
          </w:p>
        </w:tc>
        <w:tc>
          <w:tcPr>
            <w:tcW w:type="dxa" w:w="2880"/>
          </w:tcPr>
          <w:p>
            <w:r>
              <w:rPr>
                <w:b/>
              </w:rPr>
              <w:t>Architecture</w:t>
            </w:r>
          </w:p>
        </w:tc>
      </w:tr>
      <w:tr>
        <w:tc>
          <w:tcPr>
            <w:tcW w:type="dxa" w:w="2880"/>
          </w:tcPr>
          <w:p>
            <w:r>
              <w:t>Staging (Testing)</w:t>
            </w:r>
          </w:p>
        </w:tc>
        <w:tc>
          <w:tcPr>
            <w:tcW w:type="dxa" w:w="2880"/>
          </w:tcPr>
          <w:p>
            <w:r>
              <w:t>Push to `staging` branch</w:t>
            </w:r>
          </w:p>
        </w:tc>
        <w:tc>
          <w:tcPr>
            <w:tcW w:type="dxa" w:w="2880"/>
          </w:tcPr>
          <w:p>
            <w:r>
              <w:t>ECS Fargate Spot (70% discount)</w:t>
              <w:br/>
              <w:t>Single-AZ RDS t4g.micro</w:t>
            </w:r>
          </w:p>
        </w:tc>
      </w:tr>
      <w:tr>
        <w:tc>
          <w:tcPr>
            <w:tcW w:type="dxa" w:w="2880"/>
          </w:tcPr>
          <w:p>
            <w:r>
              <w:t>Production</w:t>
            </w:r>
          </w:p>
        </w:tc>
        <w:tc>
          <w:tcPr>
            <w:tcW w:type="dxa" w:w="2880"/>
          </w:tcPr>
          <w:p>
            <w:r>
              <w:t>Merge to `main` branch</w:t>
            </w:r>
          </w:p>
        </w:tc>
        <w:tc>
          <w:tcPr>
            <w:tcW w:type="dxa" w:w="2880"/>
          </w:tcPr>
          <w:p>
            <w:r>
              <w:t>ECS Fargate Standard</w:t>
              <w:br/>
              <w:t>Multi-AZ RDS High Availability</w:t>
            </w:r>
          </w:p>
        </w:tc>
      </w:tr>
    </w:tbl>
    <w:p>
      <w:pPr>
        <w:pStyle w:val="Heading1"/>
      </w:pPr>
      <w:r>
        <w:t>7. Total Cost of Ownership (TCO) Estimates</w:t>
      </w:r>
    </w:p>
    <w:p>
      <w:r>
        <w:t>AWS costs are aggressively optimized for the MVP phase utilizing the AWS Free Tier and Graviton processors.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Year 1 (MVP Phase)</w:t>
            </w:r>
          </w:p>
        </w:tc>
        <w:tc>
          <w:tcPr>
            <w:tcW w:type="dxa" w:w="2880"/>
          </w:tcPr>
          <w:p>
            <w:r>
              <w:rPr>
                <w:b/>
              </w:rPr>
              <w:t>Year 2 (Scale Phase)</w:t>
            </w:r>
          </w:p>
        </w:tc>
      </w:tr>
      <w:tr>
        <w:tc>
          <w:tcPr>
            <w:tcW w:type="dxa" w:w="2880"/>
          </w:tcPr>
          <w:p>
            <w:r>
              <w:t>Compute (EC2/ECS)</w:t>
            </w:r>
          </w:p>
        </w:tc>
        <w:tc>
          <w:tcPr>
            <w:tcW w:type="dxa" w:w="2880"/>
          </w:tcPr>
          <w:p>
            <w:r>
              <w:t>₹0 (t2.micro free tier)</w:t>
            </w:r>
          </w:p>
        </w:tc>
        <w:tc>
          <w:tcPr>
            <w:tcW w:type="dxa" w:w="2880"/>
          </w:tcPr>
          <w:p>
            <w:r>
              <w:t>₹2,500 (Fargate Auto-scaling)</w:t>
            </w:r>
          </w:p>
        </w:tc>
      </w:tr>
      <w:tr>
        <w:tc>
          <w:tcPr>
            <w:tcW w:type="dxa" w:w="2880"/>
          </w:tcPr>
          <w:p>
            <w:r>
              <w:t>Database (RDS PG)</w:t>
            </w:r>
          </w:p>
        </w:tc>
        <w:tc>
          <w:tcPr>
            <w:tcW w:type="dxa" w:w="2880"/>
          </w:tcPr>
          <w:p>
            <w:r>
              <w:t>₹0 (t3.micro free tier)</w:t>
            </w:r>
          </w:p>
        </w:tc>
        <w:tc>
          <w:tcPr>
            <w:tcW w:type="dxa" w:w="2880"/>
          </w:tcPr>
          <w:p>
            <w:r>
              <w:t>₹4,500 (Multi-AZ t4g.medium)</w:t>
            </w:r>
          </w:p>
        </w:tc>
      </w:tr>
      <w:tr>
        <w:tc>
          <w:tcPr>
            <w:tcW w:type="dxa" w:w="2880"/>
          </w:tcPr>
          <w:p>
            <w:r>
              <w:t>Auth (Cognito)</w:t>
            </w:r>
          </w:p>
        </w:tc>
        <w:tc>
          <w:tcPr>
            <w:tcW w:type="dxa" w:w="2880"/>
          </w:tcPr>
          <w:p>
            <w:r>
              <w:t>₹0 (Under 50k MAU)</w:t>
            </w:r>
          </w:p>
        </w:tc>
        <w:tc>
          <w:tcPr>
            <w:tcW w:type="dxa" w:w="2880"/>
          </w:tcPr>
          <w:p>
            <w:r>
              <w:t>₹0 (Under 50k MAU)</w:t>
            </w:r>
          </w:p>
        </w:tc>
      </w:tr>
      <w:tr>
        <w:tc>
          <w:tcPr>
            <w:tcW w:type="dxa" w:w="2880"/>
          </w:tcPr>
          <w:p>
            <w:r>
              <w:rPr>
                <w:b/>
              </w:rPr>
              <w:t>Total Est. Monthly</w:t>
            </w:r>
          </w:p>
        </w:tc>
        <w:tc>
          <w:tcPr>
            <w:tcW w:type="dxa" w:w="2880"/>
          </w:tcPr>
          <w:p>
            <w:r>
              <w:t>₹100 (Route53/DNS only)</w:t>
            </w:r>
          </w:p>
        </w:tc>
        <w:tc>
          <w:tcPr>
            <w:tcW w:type="dxa" w:w="2880"/>
          </w:tcPr>
          <w:p>
            <w:r>
              <w:t>₹7,500 - ₹10,000</w:t>
            </w:r>
          </w:p>
        </w:tc>
      </w:tr>
    </w:tbl>
    <w:p>
      <w:r>
        <w:br/>
        <w:t>Conclusion: The proposed architecture securely handles the MVP constraints while laying an unbroken foundation for enterprise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color w:val="003366"/>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