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7. </w:t>
      </w:r>
      <w:r>
        <w:t>Proponowany skład pięcioosobowej drużyny przedstawia się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wchodzi w życie w terminie określonym w uchwale zatwierdzającej go przez właściwy organ PZSz.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p>
      <w:pPr/>
      <w:r>
        <w:rPr>
          <w:b/>
        </w:rPr>
        <w:t>Informacja o prototypie</w:t>
      </w:r>
    </w:p>
    <w:p>
      <w:pPr>
        <w:pStyle w:val="Tekstroboczy"/>
      </w:pPr>
      <w:r>
        <w:t>Dokument jest projektem. Przyjęcie treści podczas prac redakcyjnych nie zastępuje formalnego zatwierdzenia przez właściwy organ PZSz.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formalnego zatwierdzenia PZSz.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