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  <w:jc w:val="right"/>
      </w:pPr>
      <w:r>
        <w:rPr>
          <w:rFonts w:ascii="Aptos" w:hAnsi="Aptos"/>
          <w:b/>
          <w:color w:val="A03A2D"/>
          <w:bdr w:val="single" w:sz="14" w:space="4" w:color="A03A2D"/>
        </w:rPr>
        <w:t>PROJEKT</w:t>
      </w:r>
    </w:p>
    <w:p>
      <w:pPr>
        <w:spacing w:after="640"/>
      </w:pPr>
    </w:p>
    <w:p>
      <w:pPr>
        <w:pStyle w:val="Title"/>
      </w:pPr>
      <w:r>
        <w:t>Regulamin współzawodnictwa sportowego w kategorii Weteran</w:t>
      </w:r>
    </w:p>
    <w:p>
      <w:pPr>
        <w:spacing w:after="1920"/>
      </w:pPr>
      <w:r>
        <w:rPr>
          <w:rFonts w:ascii="Aptos Display" w:hAnsi="Aptos Display"/>
          <w:b/>
          <w:color w:val="174A84"/>
          <w:sz w:val="34"/>
        </w:rPr>
        <w:t>w sezonie 2026/2027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E"/>
          <w:left w:val="single" w:sz="4" w:color="CDD4DE"/>
          <w:bottom w:val="single" w:sz="4" w:color="CDD4DE"/>
          <w:right w:val="single" w:sz="4" w:color="CDD4DE"/>
          <w:insideH w:val="single" w:sz="4" w:color="CDD4DE"/>
          <w:insideV w:val="single" w:sz="4" w:color="CDD4DE"/>
        </w:tblBorders>
      </w:tblPr>
      <w:tblGrid>
        <w:gridCol w:w="2948"/>
        <w:gridCol w:w="5669"/>
      </w:tblGrid>
      <w:tr>
        <w:trPr>
          <w:cantSplit/>
        </w:trPr>
        <w:tc>
          <w:tcPr>
            <w:tcW w:type="dxa" w:w="2948"/>
            <w:vAlign w:val="center"/>
            <w:shd w:fill="E7EBF1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color w:val="667386"/>
                <w:sz w:val="18"/>
              </w:rPr>
              <w:t>Wersja dokumentu</w:t>
            </w:r>
          </w:p>
        </w:tc>
        <w:tc>
          <w:tcPr>
            <w:tcW w:type="dxa" w:w="5669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sz w:val="20"/>
              </w:rPr>
              <w:t>0.2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7EBF1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color w:val="667386"/>
                <w:sz w:val="18"/>
              </w:rPr>
              <w:t>Status</w:t>
            </w:r>
          </w:p>
        </w:tc>
        <w:tc>
          <w:tcPr>
            <w:tcW w:type="dxa" w:w="5669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sz w:val="20"/>
              </w:rPr>
              <w:t>projekt do konsultacji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7EBF1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color w:val="667386"/>
                <w:sz w:val="18"/>
              </w:rPr>
              <w:t>Data projektu</w:t>
            </w:r>
          </w:p>
        </w:tc>
        <w:tc>
          <w:tcPr>
            <w:tcW w:type="dxa" w:w="5669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20"/>
              </w:rPr>
              <w:t>2026-09-27</w:t>
            </w:r>
          </w:p>
        </w:tc>
      </w:tr>
    </w:tbl>
    <w:p>
      <w:r>
        <w:br w:type="page"/>
      </w:r>
    </w:p>
    <w:p>
      <w:bookmarkStart w:id="239877506" w:name="_Toc239877506"/>
      <w:pPr>
        <w:pStyle w:val="Heading1"/>
        <w:spacing w:after="320"/>
      </w:pPr>
      <w:r>
        <w:t>Spis treści</w:t>
      </w:r>
      <w:bookmarkEnd w:id="239877506"/>
    </w:p>
    <w:p>
      <w:pPr>
        <w:pStyle w:val="TOC1"/>
        <w:tabs>
          <w:tab w:val="right" w:leader="dot" w:pos="9062"/>
        </w:tabs>
        <w:rPr>
          <w:noProof/>
        </w:rPr>
      </w:pPr>
      <w:r>
        <w:fldChar w:fldCharType="begin"/>
        <w:instrText xml:space="preserve">TOC \o "1-2" \h \z \u</w:instrText>
        <w:fldChar w:fldCharType="separate"/>
      </w:r>
      <w:hyperlink w:anchor="_Toc239877506" w:history="1">
        <w:r>
          <w:rPr>
            <w:rStyle w:val="Hyperlink"/>
            <w:noProof/>
          </w:rPr>
          <w:t>Spis treści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07" w:history="1">
        <w:r>
          <w:rPr>
            <w:rStyle w:val="Hyperlink"/>
            <w:noProof/>
          </w:rPr>
          <w:t>Konstrukcja Regulaminu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08" w:history="1">
        <w:r>
          <w:rPr>
            <w:rStyle w:val="Hyperlink"/>
            <w:noProof/>
          </w:rPr>
          <w:t>Postanowienia ogólne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09" w:history="1">
        <w:r>
          <w:rPr>
            <w:rStyle w:val="Hyperlink"/>
            <w:noProof/>
          </w:rPr>
          <w:t>Kalendarz i organizacja zawodów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0" w:history="1">
        <w:r>
          <w:rPr>
            <w:rStyle w:val="Hyperlink"/>
            <w:noProof/>
          </w:rPr>
          <w:t>Uczestnicy i osoby funkcyjne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1" w:history="1">
        <w:r>
          <w:rPr>
            <w:rStyle w:val="Hyperlink"/>
            <w:noProof/>
          </w:rPr>
          <w:t>PPW i indywidualne MPW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2" w:history="1">
        <w:r>
          <w:rPr>
            <w:rStyle w:val="Hyperlink"/>
            <w:noProof/>
          </w:rPr>
          <w:t>Drużynowe MPW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3" w:history="1">
        <w:r>
          <w:rPr>
            <w:rStyle w:val="Hyperlink"/>
            <w:noProof/>
          </w:rPr>
          <w:t>Ranking i klasyfikacje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4" w:history="1">
        <w:r>
          <w:rPr>
            <w:rStyle w:val="Hyperlink"/>
            <w:noProof/>
          </w:rPr>
          <w:t>Wyniki, protokoły i dane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5" w:history="1">
        <w:r>
          <w:rPr>
            <w:rStyle w:val="Hyperlink"/>
            <w:noProof/>
          </w:rPr>
          <w:t>Postanowienia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062"/>
        </w:tabs>
        <w:rPr>
          <w:noProof/>
        </w:rPr>
      </w:pPr>
      <w:hyperlink w:anchor="_Toc239877516" w:history="1">
        <w:r>
          <w:rPr>
            <w:rStyle w:val="Hyperlink"/>
            <w:noProof/>
          </w:rPr>
          <w:t>Historia wersji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_Toc239877516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spacing w:after="320"/>
      </w:pPr>
      <w:r>
        <w:fldChar w:fldCharType="end"/>
      </w:r>
    </w:p>
    <w:p>
      <w:r>
        <w:br w:type="page"/>
      </w:r>
    </w:p>
    <w:p>
      <w:bookmarkStart w:id="239877507" w:name="_Toc239877507"/>
      <w:pPr>
        <w:pStyle w:val="Heading1"/>
      </w:pPr>
      <w:r>
        <w:t>Konstrukcja Regulaminu</w:t>
      </w:r>
      <w:bookmarkEnd w:id="239877507"/>
    </w:p>
    <w:p>
      <w:r>
        <w:t>Treść dokumentu podzielono następująco: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4DE"/>
          <w:left w:val="single" w:sz="4" w:color="CDD4DE"/>
          <w:bottom w:val="single" w:sz="4" w:color="CDD4DE"/>
          <w:right w:val="single" w:sz="4" w:color="CDD4DE"/>
          <w:insideH w:val="single" w:sz="4" w:color="CDD4DE"/>
          <w:insideV w:val="single" w:sz="4" w:color="CDD4DE"/>
        </w:tblBorders>
      </w:tblPr>
      <w:tblGrid>
        <w:gridCol w:w="1020"/>
        <w:gridCol w:w="2948"/>
        <w:gridCol w:w="5102"/>
      </w:tblGrid>
      <w:tr>
        <w:trPr>
          <w:tblHeader w:val="true"/>
          <w:cantSplit/>
        </w:trPr>
        <w:tc>
          <w:tcPr>
            <w:tcW w:type="dxa" w:w="1020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Rozdział</w:t>
            </w:r>
          </w:p>
        </w:tc>
        <w:tc>
          <w:tcPr>
            <w:tcW w:type="dxa" w:w="294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Tytuł</w:t>
            </w:r>
          </w:p>
        </w:tc>
        <w:tc>
          <w:tcPr>
            <w:tcW w:type="dxa" w:w="5102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Zakres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1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Postanowienia ogólne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przedmiot, zakres, definicje, cel i zasady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2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Kalendarz i organizacja zawodów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powierzenie zawodów, komunikat, warunki organizacyjne i bezpieczeństwo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3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Uczestnicy i osoby funkcyjne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zgłoszenia, dopuszczenie, Komisja Techniczna i sędziowie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4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PPW i indywidualne MPW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formuła walk, grupy, Klasyfikacja łączona i eliminacja bezpośrednia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5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Drużynowe MPW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skład drużyny, system rozgrywek i klasyfikacja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6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Ranking i klasyfikacje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źródło danych, krajowa część Rankingu i Klasyfikacja PPW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color w:val="174A84"/>
                <w:sz w:val="18"/>
              </w:rPr>
              <w:t>7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sz w:val="18"/>
              </w:rPr>
              <w:t>Wyniki, protokoły i dane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</w:pPr>
            <w:r>
              <w:rPr>
                <w:rFonts w:ascii="Aptos" w:hAnsi="Aptos"/>
                <w:color w:val="667386"/>
                <w:sz w:val="18"/>
              </w:rPr>
              <w:t>ogłaszanie wyników, protokoły, publikacja i korekty danych</w:t>
            </w:r>
          </w:p>
        </w:tc>
      </w:tr>
      <w:tr>
        <w:trPr>
          <w:cantSplit/>
        </w:trPr>
        <w:tc>
          <w:tcPr>
            <w:tcW w:type="dxa" w:w="1020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</w:pPr>
            <w:r>
              <w:rPr>
                <w:rFonts w:ascii="Aptos" w:hAnsi="Aptos"/>
                <w:b/>
                <w:color w:val="174A84"/>
                <w:sz w:val="18"/>
              </w:rPr>
              <w:t>8</w:t>
            </w:r>
          </w:p>
        </w:tc>
        <w:tc>
          <w:tcPr>
            <w:tcW w:type="dxa" w:w="294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</w:pPr>
            <w:r>
              <w:rPr>
                <w:rFonts w:ascii="Aptos" w:hAnsi="Aptos"/>
                <w:b/>
                <w:sz w:val="18"/>
              </w:rPr>
              <w:t>Postanowienia końcowe</w:t>
            </w:r>
          </w:p>
        </w:tc>
        <w:tc>
          <w:tcPr>
            <w:tcW w:type="dxa" w:w="5102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</w:pPr>
            <w:r>
              <w:rPr>
                <w:rFonts w:ascii="Aptos" w:hAnsi="Aptos"/>
                <w:color w:val="667386"/>
                <w:sz w:val="18"/>
              </w:rPr>
              <w:t>odesłania, zasady bezpieczeństwa i wejście w życie</w:t>
            </w:r>
          </w:p>
        </w:tc>
      </w:tr>
    </w:tbl>
    <w:p>
      <w:r>
        <w:br w:type="page"/>
      </w:r>
    </w:p>
    <w:p>
      <w:pPr>
        <w:pStyle w:val="Etykietarozdzialu"/>
        <w:pageBreakBefore/>
      </w:pPr>
      <w:r>
        <w:t>Rozdział 1</w:t>
      </w:r>
    </w:p>
    <w:p>
      <w:bookmarkStart w:id="239877508" w:name="_Toc239877508"/>
      <w:pPr>
        <w:pStyle w:val="Heading1"/>
        <w:jc w:val="center"/>
      </w:pPr>
      <w:r>
        <w:t>Postanowienia ogólne</w:t>
      </w:r>
      <w:bookmarkEnd w:id="239877508"/>
    </w:p>
    <w:p>
      <w:pPr>
        <w:pStyle w:val="Paragraf"/>
        <w:keepNext/>
      </w:pPr>
      <w:r>
        <w:t>§ 1</w:t>
      </w:r>
    </w:p>
    <w:p>
      <w:pPr>
        <w:pStyle w:val="Tytułparagrafu"/>
        <w:keepNext/>
      </w:pPr>
      <w:r>
        <w:t>Przedmiot Regulaminu</w:t>
      </w:r>
    </w:p>
    <w:p>
      <w:pPr>
        <w:keepLines/>
        <w:ind w:left="312" w:hanging="227"/>
      </w:pPr>
      <w:r>
        <w:t xml:space="preserve">1. </w:t>
      </w:r>
      <w:r>
        <w:t>Regulamin określa organizację i przebieg Pucharu Polski Weteranów, indywidualnych Mistrzostw Polski Weteranów oraz Drużynowych Mistrzostw Polski Weteranów w szermierce, a także sporządzanie i publikowanie wyników tych zawodów.</w:t>
      </w:r>
    </w:p>
    <w:p>
      <w:pPr>
        <w:ind w:left="312" w:hanging="227"/>
      </w:pPr>
      <w:r>
        <w:t xml:space="preserve">2. </w:t>
      </w:r>
      <w:r>
        <w:t>Regulamin nie określa zasad kwalifikowania ani powoływania zawodników do reprezentacji Polski i nie reguluje przebiegu zawodów organizowanych przez EVF albo FIE.</w:t>
      </w:r>
    </w:p>
    <w:p>
      <w:pPr>
        <w:ind w:left="312" w:hanging="227"/>
      </w:pPr>
      <w:r>
        <w:t xml:space="preserve">3. </w:t>
      </w:r>
      <w:r>
        <w:t>Zasady tworzenia i prowadzenia Rankingu oraz zasady wyłaniania reprezentacji określa „Regulamin powoływania Reprezentacji Polski Weteranów w szermierce”, który w tych sprawach jest dokumentem nadrzędnym.</w:t>
      </w:r>
    </w:p>
    <w:p>
      <w:pPr>
        <w:pStyle w:val="Paragraf"/>
        <w:keepNext/>
      </w:pPr>
      <w:r>
        <w:t>§ 2</w:t>
      </w:r>
    </w:p>
    <w:p>
      <w:pPr>
        <w:pStyle w:val="Tytułparagrafu"/>
        <w:keepNext/>
      </w:pPr>
      <w:r>
        <w:t>Zakres stosowania</w:t>
      </w:r>
    </w:p>
    <w:p>
      <w:pPr>
        <w:keepLines/>
        <w:ind w:left="312" w:hanging="227"/>
      </w:pPr>
      <w:r>
        <w:t xml:space="preserve">1. </w:t>
      </w:r>
      <w:r>
        <w:t>Regulamin stosuje się do zawodów PPW, indywidualnych MPW i Drużynowych MPW ujętych w kalendarzu SPWS.</w:t>
      </w:r>
    </w:p>
    <w:p>
      <w:pPr>
        <w:ind w:left="312" w:hanging="227"/>
      </w:pPr>
      <w:r>
        <w:t xml:space="preserve">2. </w:t>
      </w:r>
      <w:r>
        <w:t>W sprawach technicznych nieuregulowanych w Regulaminie Komisja Techniczna stosuje odpowiednio aktualne przepisy PZSz i FIE, o ile nie są sprzeczne z Regulaminem i komunikatem organizacyjnym zawodów.</w:t>
      </w:r>
    </w:p>
    <w:p>
      <w:pPr>
        <w:ind w:left="312" w:hanging="227"/>
      </w:pPr>
      <w:r>
        <w:t xml:space="preserve">3. </w:t>
      </w:r>
      <w:r>
        <w:t>Komunikat organizacyjny może doprecyzować warunki techniczne zawodów, lecz nie może zmieniać zasad sportowych, zasad klasyfikacji ani praw i obowiązków określonych w Regulaminie.</w:t>
      </w:r>
    </w:p>
    <w:p>
      <w:pPr>
        <w:pStyle w:val="Paragraf"/>
        <w:keepNext/>
        <w:ind w:left="85"/>
      </w:pPr>
      <w:r>
        <w:t>§ 3</w:t>
      </w:r>
    </w:p>
    <w:p>
      <w:pPr>
        <w:pStyle w:val="Tytułparagrafu"/>
        <w:keepNext/>
      </w:pPr>
      <w:r>
        <w:t>Definicje</w:t>
      </w:r>
    </w:p>
    <w:p>
      <w:pPr>
        <w:keepLines/>
        <w:ind w:left="85"/>
      </w:pPr>
      <w:r>
        <w:t>Ilekroć w Regulaminie jest mowa o:</w:t>
      </w:r>
    </w:p>
    <w:p>
      <w:pPr>
        <w:ind w:left="595" w:hanging="255"/>
      </w:pPr>
      <w:r>
        <w:t xml:space="preserve">1) </w:t>
      </w:r>
      <w:r>
        <w:rPr>
          <w:b/>
        </w:rPr>
        <w:t>SPWS</w:t>
      </w:r>
      <w:r>
        <w:t xml:space="preserve"> – należy przez to rozumieć Stowarzyszenie Polskich Weteranów Szermierki;</w:t>
      </w:r>
    </w:p>
    <w:p>
      <w:pPr>
        <w:ind w:left="595" w:hanging="255"/>
      </w:pPr>
      <w:r>
        <w:t xml:space="preserve">2) </w:t>
      </w:r>
      <w:r>
        <w:rPr>
          <w:b/>
        </w:rPr>
        <w:t>PZSz</w:t>
      </w:r>
      <w:r>
        <w:t xml:space="preserve"> – należy przez to rozumieć Polski Związek Szermierczy;</w:t>
      </w:r>
    </w:p>
    <w:p>
      <w:pPr>
        <w:ind w:left="595" w:hanging="255"/>
      </w:pPr>
      <w:r>
        <w:t xml:space="preserve">3) </w:t>
      </w:r>
      <w:r>
        <w:rPr>
          <w:b/>
        </w:rPr>
        <w:t>PPW</w:t>
      </w:r>
      <w:r>
        <w:t xml:space="preserve"> – należy przez to rozumieć Puchar Polski Weteranów w szermierce;</w:t>
      </w:r>
    </w:p>
    <w:p>
      <w:pPr>
        <w:ind w:left="595" w:hanging="255"/>
      </w:pPr>
      <w:r>
        <w:t xml:space="preserve">4) </w:t>
      </w:r>
      <w:r>
        <w:rPr>
          <w:b/>
        </w:rPr>
        <w:t>MPW</w:t>
      </w:r>
      <w:r>
        <w:t xml:space="preserve"> – należy przez to rozumieć indywidualne Mistrzostwa Polski Weteranów w szermierce;</w:t>
      </w:r>
    </w:p>
    <w:p>
      <w:pPr>
        <w:ind w:left="595" w:hanging="255"/>
      </w:pPr>
      <w:r>
        <w:t xml:space="preserve">5) </w:t>
      </w:r>
      <w:r>
        <w:rPr>
          <w:b/>
        </w:rPr>
        <w:t>Drużynowych MPW</w:t>
      </w:r>
      <w:r>
        <w:t xml:space="preserve"> – należy przez to rozumieć Drużynowe Mistrzostwa Polski Weteranów w szermierce;</w:t>
      </w:r>
    </w:p>
    <w:p>
      <w:pPr>
        <w:ind w:left="595" w:hanging="255"/>
      </w:pPr>
      <w:r>
        <w:t xml:space="preserve">6) </w:t>
      </w:r>
      <w:r>
        <w:rPr>
          <w:b/>
        </w:rPr>
        <w:t>Rankingu</w:t>
      </w:r>
      <w:r>
        <w:t xml:space="preserve"> – należy przez to rozumieć Ranking wyłaniania Reprezentacji Polski Weteranów;</w:t>
      </w:r>
    </w:p>
    <w:p>
      <w:pPr>
        <w:ind w:left="595" w:hanging="255"/>
      </w:pPr>
      <w:r>
        <w:t xml:space="preserve">7) </w:t>
      </w:r>
      <w:r>
        <w:rPr>
          <w:b/>
        </w:rPr>
        <w:t>Klasyfikacji łączonej</w:t>
      </w:r>
      <w:r>
        <w:t xml:space="preserve"> – należy przez to rozumieć techniczną listę rozstawienia wspólnej puli zawodników do pierwszej rundy grupowej PPW i indywidualnych MPW, sporządzaną zgodnie z § 14 ust. 1;</w:t>
      </w:r>
    </w:p>
    <w:p>
      <w:pPr>
        <w:ind w:left="595" w:hanging="255"/>
      </w:pPr>
      <w:r>
        <w:t xml:space="preserve">8) </w:t>
      </w:r>
      <w:r>
        <w:rPr>
          <w:b/>
        </w:rPr>
        <w:t>Komisji Technicznej</w:t>
      </w:r>
      <w:r>
        <w:t xml:space="preserve"> – należy przez to rozumieć zespół powołany przez organizatora do przeprowadzenia zawodów;</w:t>
      </w:r>
    </w:p>
    <w:p>
      <w:pPr>
        <w:ind w:left="595" w:hanging="255"/>
      </w:pPr>
      <w:r>
        <w:t xml:space="preserve">9) </w:t>
      </w:r>
      <w:r>
        <w:rPr>
          <w:b/>
        </w:rPr>
        <w:t>programie zawodów</w:t>
      </w:r>
      <w:r>
        <w:t xml:space="preserve"> – należy przez to rozumieć program informatyczny używany do obsługi zgłoszeń, rozstawienia, walk i wyników;</w:t>
      </w:r>
    </w:p>
    <w:p>
      <w:pPr>
        <w:ind w:left="595" w:hanging="255"/>
      </w:pPr>
      <w:r>
        <w:t xml:space="preserve">10) </w:t>
      </w:r>
      <w:r>
        <w:rPr>
          <w:b/>
        </w:rPr>
        <w:t>kategoriach wiekowych V0–V4</w:t>
      </w:r>
      <w:r>
        <w:t xml:space="preserve"> – należy przez to rozumieć kategorie ustalane według wieku osiąganego przez zawodnika w roku kalendarzowym, w którym odbywają się zawody:</w:t>
      </w:r>
    </w:p>
    <w:p>
      <w:pPr>
        <w:ind w:left="879" w:hanging="255"/>
      </w:pPr>
      <w:r>
        <w:t xml:space="preserve">a) </w:t>
      </w:r>
      <w:r>
        <w:t>V0 obejmuje zawodników w wieku od 30 do 39 lat,</w:t>
      </w:r>
    </w:p>
    <w:p>
      <w:pPr>
        <w:ind w:left="879" w:hanging="255"/>
      </w:pPr>
      <w:r>
        <w:t xml:space="preserve">b) </w:t>
      </w:r>
      <w:r>
        <w:t>V1 obejmuje zawodników w wieku od 40 do 49 lat,</w:t>
      </w:r>
    </w:p>
    <w:p>
      <w:pPr>
        <w:ind w:left="879" w:hanging="255"/>
      </w:pPr>
      <w:r>
        <w:t xml:space="preserve">c) </w:t>
      </w:r>
      <w:r>
        <w:t>V2 obejmuje zawodników w wieku od 50 do 59 lat,</w:t>
      </w:r>
    </w:p>
    <w:p>
      <w:pPr>
        <w:ind w:left="879" w:hanging="255"/>
      </w:pPr>
      <w:r>
        <w:t xml:space="preserve">d) </w:t>
      </w:r>
      <w:r>
        <w:t>V3 obejmuje zawodników w wieku od 60 do 69 lat,</w:t>
      </w:r>
    </w:p>
    <w:p>
      <w:pPr>
        <w:ind w:left="879" w:hanging="255"/>
      </w:pPr>
      <w:r>
        <w:t xml:space="preserve">e) </w:t>
      </w:r>
      <w:r>
        <w:t>V4 obejmuje zawodników w wieku 70 lat i starszych.</w:t>
      </w:r>
    </w:p>
    <w:p>
      <w:pPr>
        <w:pStyle w:val="Paragraf"/>
        <w:keepNext/>
        <w:ind w:left="85"/>
      </w:pPr>
      <w:r>
        <w:t>§ 4</w:t>
      </w:r>
    </w:p>
    <w:p>
      <w:pPr>
        <w:pStyle w:val="Tytułparagrafu"/>
        <w:keepNext/>
      </w:pPr>
      <w:r>
        <w:t>Cel i zasady Regulaminu</w:t>
      </w:r>
    </w:p>
    <w:p>
      <w:pPr>
        <w:keepLines/>
        <w:ind w:left="312" w:hanging="227"/>
      </w:pPr>
      <w:r>
        <w:t xml:space="preserve">1. </w:t>
      </w:r>
      <w:r>
        <w:t>Celem Regulaminu jest zapewnienie przejrzystej, równej i bezpiecznej rywalizacji w krajowych zawodach weteranów oraz uzyskiwanie kompletnych, wiarygodnych i porównywalnych wyników, które zasilają Ranking i wspierają wyłonienie możliwie najsilniejszej reprezentacji Polski weteranów w szermierce.</w:t>
      </w:r>
    </w:p>
    <w:p>
      <w:pPr>
        <w:ind w:left="312" w:hanging="227"/>
      </w:pPr>
      <w:r>
        <w:t xml:space="preserve">2. </w:t>
      </w:r>
      <w:r>
        <w:t>Stosowanie Regulaminu opiera się na równym traktowaniu zawodników, przejrzystości zasad, porównywalności wyników, wiarygodności danych oraz stosowaniu zasad opublikowanych przed zawodami.</w:t>
      </w:r>
    </w:p>
    <w:p>
      <w:pPr>
        <w:pStyle w:val="Etykietarozdzialu"/>
        <w:pageBreakBefore/>
      </w:pPr>
      <w:r>
        <w:t>Rozdział 2</w:t>
      </w:r>
    </w:p>
    <w:p>
      <w:bookmarkStart w:id="239877509" w:name="_Toc239877509"/>
      <w:pPr>
        <w:pStyle w:val="Heading1"/>
        <w:jc w:val="center"/>
      </w:pPr>
      <w:r>
        <w:t>Kalendarz i organizacja zawodów</w:t>
      </w:r>
      <w:bookmarkEnd w:id="239877509"/>
    </w:p>
    <w:p>
      <w:pPr>
        <w:pStyle w:val="Paragraf"/>
        <w:keepNext/>
      </w:pPr>
      <w:r>
        <w:t>§ 5</w:t>
      </w:r>
    </w:p>
    <w:p>
      <w:pPr>
        <w:pStyle w:val="Tytułparagrafu"/>
        <w:keepNext/>
      </w:pPr>
      <w:r>
        <w:t>Powierzenie organizacji zawodów</w:t>
      </w:r>
    </w:p>
    <w:p>
      <w:pPr>
        <w:keepLines/>
        <w:ind w:left="312" w:hanging="227"/>
      </w:pPr>
      <w:r>
        <w:t xml:space="preserve">1. </w:t>
      </w:r>
      <w:r>
        <w:t>Podmiot ubiegający się o organizację zawodów składa Zarządowi SPWS w terminie przez niego wyznaczonym wniosek obejmujący rodzaj zawodów, proponowany termin i miejsce, dane organizatora, osobę odpowiedzialną oraz opis warunków technicznych, socjalnych i łączności.</w:t>
      </w:r>
    </w:p>
    <w:p>
      <w:pPr>
        <w:ind w:left="312" w:hanging="227"/>
      </w:pPr>
      <w:r>
        <w:t xml:space="preserve">2. </w:t>
      </w:r>
      <w:r>
        <w:t>Zarząd SPWS, po weryfikacji wniosku, powierza organizację zawodów i ogłasza ich termin oraz miejsce w kalendarzu SPWS.</w:t>
      </w:r>
    </w:p>
    <w:p>
      <w:pPr>
        <w:ind w:left="312" w:hanging="227"/>
      </w:pPr>
      <w:r>
        <w:t xml:space="preserve">3. </w:t>
      </w:r>
      <w:r>
        <w:t>Organizator, który rezygnuje z przeprowadzenia zawodów, zawiadamia Zarząd SPWS nie później niż dwa miesiące przed terminem zawodów, a w przypadku nadzwyczajnej przeszkody — niezwłocznie po jej powstaniu.</w:t>
      </w:r>
    </w:p>
    <w:p>
      <w:pPr>
        <w:pStyle w:val="Paragraf"/>
        <w:keepNext/>
      </w:pPr>
      <w:r>
        <w:t>§ 6</w:t>
      </w:r>
    </w:p>
    <w:p>
      <w:pPr>
        <w:pStyle w:val="Tytułparagrafu"/>
        <w:keepNext/>
      </w:pPr>
      <w:r>
        <w:t>Komunikat organizacyjny</w:t>
      </w:r>
    </w:p>
    <w:p>
      <w:pPr>
        <w:keepLines/>
        <w:ind w:left="312" w:hanging="227"/>
      </w:pPr>
      <w:r>
        <w:t xml:space="preserve">1. </w:t>
      </w:r>
      <w:r>
        <w:t>Organizator przekazuje SPWS komunikat organizacyjny w postaci elektronicznej nie później niż 30 dni przed pierwszym dniem zawodów. W nadzwyczajnej sytuacji Zarząd SPWS może zaakceptować krótszy termin, nie krótszy jednak niż 10 dni.</w:t>
      </w:r>
    </w:p>
    <w:p>
      <w:pPr>
        <w:ind w:left="312" w:hanging="227"/>
      </w:pPr>
      <w:r>
        <w:t xml:space="preserve">2. </w:t>
      </w:r>
      <w:r>
        <w:t>Komunikat organizacyjny określa co najmniej:</w:t>
      </w:r>
    </w:p>
    <w:p>
      <w:pPr>
        <w:ind w:left="595" w:hanging="255"/>
      </w:pPr>
      <w:r>
        <w:t xml:space="preserve">1) </w:t>
      </w:r>
      <w:r>
        <w:t>nazwę i adres miejsca zawodów;</w:t>
      </w:r>
    </w:p>
    <w:p>
      <w:pPr>
        <w:ind w:left="595" w:hanging="255"/>
      </w:pPr>
      <w:r>
        <w:t xml:space="preserve">2) </w:t>
      </w:r>
      <w:r>
        <w:t>program godzinowy, broń, płeć i rozgrywane kategorie;</w:t>
      </w:r>
    </w:p>
    <w:p>
      <w:pPr>
        <w:ind w:left="595" w:hanging="255"/>
      </w:pPr>
      <w:r>
        <w:t xml:space="preserve">3) </w:t>
      </w:r>
      <w:r>
        <w:t>dane kontaktowe organizatora i osoby odpowiedzialnej;</w:t>
      </w:r>
    </w:p>
    <w:p>
      <w:pPr>
        <w:ind w:left="595" w:hanging="255"/>
      </w:pPr>
      <w:r>
        <w:t xml:space="preserve">4) </w:t>
      </w:r>
      <w:r>
        <w:t>sposób i termin zgłoszeń oraz potwierdzania udziału;</w:t>
      </w:r>
    </w:p>
    <w:p>
      <w:pPr>
        <w:ind w:left="595" w:hanging="255"/>
      </w:pPr>
      <w:r>
        <w:t xml:space="preserve">5) </w:t>
      </w:r>
      <w:r>
        <w:t>wysokość, termin i sposób wniesienia opłaty startowej;</w:t>
      </w:r>
    </w:p>
    <w:p>
      <w:pPr>
        <w:ind w:left="595" w:hanging="255"/>
      </w:pPr>
      <w:r>
        <w:t xml:space="preserve">6) </w:t>
      </w:r>
      <w:r>
        <w:t>wymagane dokumenty zdrowotne i oświadczenia;</w:t>
      </w:r>
    </w:p>
    <w:p>
      <w:pPr>
        <w:ind w:left="595" w:hanging="255"/>
      </w:pPr>
      <w:r>
        <w:t xml:space="preserve">7) </w:t>
      </w:r>
      <w:r>
        <w:t>adres strony, pod którym zostaną opublikowane wyniki i protokoły.</w:t>
      </w:r>
    </w:p>
    <w:p>
      <w:pPr>
        <w:ind w:left="312" w:hanging="227"/>
      </w:pPr>
      <w:r>
        <w:t xml:space="preserve">3. </w:t>
      </w:r>
      <w:r>
        <w:t>SPWS publikuje zaakceptowany komunikat w ogólnodostępnym serwisie internetowym.</w:t>
      </w:r>
    </w:p>
    <w:p>
      <w:pPr>
        <w:pStyle w:val="Paragraf"/>
        <w:keepNext/>
      </w:pPr>
      <w:r>
        <w:t>§ 7</w:t>
      </w:r>
    </w:p>
    <w:p>
      <w:pPr>
        <w:pStyle w:val="Tytułparagrafu"/>
        <w:keepNext/>
      </w:pPr>
      <w:r>
        <w:t>Obowiązki organizatora</w:t>
      </w:r>
    </w:p>
    <w:p>
      <w:pPr>
        <w:keepLines/>
        <w:ind w:left="312" w:hanging="227"/>
      </w:pPr>
      <w:r>
        <w:t xml:space="preserve">1. </w:t>
      </w:r>
      <w:r>
        <w:t>Organizator zapewnia salę i wyposażenie umożliwiające sprawne przeprowadzenie zawodów, w tym odpowiednią liczbę plansz, aparaty sędziowskie z czasomierzem, stanowisko Komisji Technicznej, łączność, sekretariat, szatnie oraz warunki pracy sędziów.</w:t>
      </w:r>
    </w:p>
    <w:p>
      <w:pPr>
        <w:ind w:left="312" w:hanging="227"/>
      </w:pPr>
      <w:r>
        <w:t xml:space="preserve">2. </w:t>
      </w:r>
      <w:r>
        <w:t>Organizator zapewnia opiekę medyczną, możliwość natychmiastowego wezwania pomocy oraz wyposażenie pierwszej pomocy.</w:t>
      </w:r>
    </w:p>
    <w:p>
      <w:pPr>
        <w:ind w:left="312" w:hanging="227"/>
      </w:pPr>
      <w:r>
        <w:t xml:space="preserve">3. </w:t>
      </w:r>
      <w:r>
        <w:t>Organizator zapewnia ogłoszenie wyników i dekorację zwycięzców, a w przypadku MPW — uroczyste otwarcie z należytą oprawą.</w:t>
      </w:r>
    </w:p>
    <w:p>
      <w:pPr>
        <w:ind w:left="312" w:hanging="227"/>
      </w:pPr>
      <w:r>
        <w:t xml:space="preserve">4. </w:t>
      </w:r>
      <w:r>
        <w:t>Organizator zapewnia wymagane prawem ubezpieczenie imprezy i podaje w komunikacie informację o ubezpieczeniu uczestników, jeżeli zostało wykupione.</w:t>
      </w:r>
    </w:p>
    <w:p>
      <w:pPr>
        <w:pStyle w:val="Paragraf"/>
        <w:keepNext/>
      </w:pPr>
      <w:r>
        <w:t>§ 8</w:t>
      </w:r>
    </w:p>
    <w:p>
      <w:pPr>
        <w:pStyle w:val="Tytułparagrafu"/>
        <w:keepNext/>
      </w:pPr>
      <w:r>
        <w:t>Bezpieczeństwo</w:t>
      </w:r>
    </w:p>
    <w:p>
      <w:pPr>
        <w:keepLines/>
        <w:ind w:left="312" w:hanging="227"/>
      </w:pPr>
      <w:r>
        <w:t xml:space="preserve">1. </w:t>
      </w:r>
      <w:r>
        <w:t>Organizator, osoby funkcyjne i zawodnicy przestrzegają zasad bezpieczeństwa określonych w załączniku nr 1 oraz aktualnych przepisach bezpieczeństwa PZSz.</w:t>
      </w:r>
    </w:p>
    <w:p>
      <w:pPr>
        <w:ind w:left="312" w:hanging="227"/>
      </w:pPr>
      <w:r>
        <w:t xml:space="preserve">2. </w:t>
      </w:r>
      <w:r>
        <w:t>W strefie walki mogą przebywać wyłącznie osoby, których obecność jest niezbędna do prowadzenia walki albo zapewnienia bezpieczeństwa.</w:t>
      </w:r>
    </w:p>
    <w:p>
      <w:pPr>
        <w:ind w:left="312" w:hanging="227"/>
      </w:pPr>
      <w:r>
        <w:t xml:space="preserve">3. </w:t>
      </w:r>
      <w:r>
        <w:t>Sędzia albo Komisja Techniczna nie dopuszcza do rozpoczęcia lub nakazuje przerwanie walki, jeżeli miejsce, ubiór, broń lub inne wyposażenie stwarzają zagrożenie albo nie spełniają wymagań.</w:t>
      </w:r>
    </w:p>
    <w:p>
      <w:pPr>
        <w:ind w:left="312" w:hanging="227"/>
      </w:pPr>
      <w:r>
        <w:t xml:space="preserve">4. </w:t>
      </w:r>
      <w:r>
        <w:t>Organizator dokumentuje każdy wypadek powstały podczas zawodów i przekazuje informację właściwym podmiotom zgodnie z przepisami prawa oraz wymaganiami PZSz.</w:t>
      </w:r>
    </w:p>
    <w:p>
      <w:pPr>
        <w:pStyle w:val="Etykietarozdzialu"/>
        <w:pageBreakBefore/>
      </w:pPr>
      <w:r>
        <w:t>Rozdział 3</w:t>
      </w:r>
    </w:p>
    <w:p>
      <w:bookmarkStart w:id="239877510" w:name="_Toc239877510"/>
      <w:pPr>
        <w:pStyle w:val="Heading1"/>
        <w:jc w:val="center"/>
      </w:pPr>
      <w:r>
        <w:t>Uczestnicy i osoby funkcyjne</w:t>
      </w:r>
      <w:bookmarkEnd w:id="239877510"/>
    </w:p>
    <w:p>
      <w:pPr>
        <w:pStyle w:val="Paragraf"/>
        <w:keepNext/>
      </w:pPr>
      <w:r>
        <w:t>§ 9</w:t>
      </w:r>
    </w:p>
    <w:p>
      <w:pPr>
        <w:pStyle w:val="Tytułparagrafu"/>
        <w:keepNext/>
      </w:pPr>
      <w:r>
        <w:t>Zgłoszenia i potwierdzenie udziału</w:t>
      </w:r>
    </w:p>
    <w:p>
      <w:pPr>
        <w:keepLines/>
        <w:ind w:left="312" w:hanging="227"/>
      </w:pPr>
      <w:r>
        <w:t xml:space="preserve">1. </w:t>
      </w:r>
      <w:r>
        <w:t>Zawodnik albo kapitan drużyny dokonuje zgłoszenia w sposób i w terminie określonym w komunikacie organizacyjnym.</w:t>
      </w:r>
    </w:p>
    <w:p>
      <w:pPr>
        <w:ind w:left="312" w:hanging="227"/>
      </w:pPr>
      <w:r>
        <w:t xml:space="preserve">2. </w:t>
      </w:r>
      <w:r>
        <w:t>Udział potwierdza się Komisji Technicznej nie później niż 45 minut przed podaną w komunikacie godziną rozpoczęcia właściwego turnieju, chyba że komunikat przewiduje wcześniejszy termin.</w:t>
      </w:r>
    </w:p>
    <w:p>
      <w:pPr>
        <w:ind w:left="312" w:hanging="227"/>
      </w:pPr>
      <w:r>
        <w:t xml:space="preserve">3. </w:t>
      </w:r>
      <w:r>
        <w:t>Zgłoszenie wiąże się z obowiązkiem wniesienia opłaty startowej. Zasady zwrotu opłaty określa komunikat organizacyjny z uwzględnieniem rezygnacji z przyczyn losowych.</w:t>
      </w:r>
    </w:p>
    <w:p>
      <w:pPr>
        <w:pStyle w:val="Paragraf"/>
        <w:keepNext/>
      </w:pPr>
      <w:r>
        <w:t>§ 10</w:t>
      </w:r>
    </w:p>
    <w:p>
      <w:pPr>
        <w:pStyle w:val="Tytułparagrafu"/>
        <w:keepNext/>
      </w:pPr>
      <w:r>
        <w:t>Warunki dopuszczenia zawodnika</w:t>
      </w:r>
    </w:p>
    <w:p>
      <w:pPr>
        <w:keepLines/>
        <w:ind w:left="312" w:hanging="227"/>
      </w:pPr>
      <w:r>
        <w:t xml:space="preserve">1. </w:t>
      </w:r>
      <w:r>
        <w:t>Do zawodów może zostać dopuszczony zawodnik, który łącznie:</w:t>
      </w:r>
    </w:p>
    <w:p>
      <w:pPr>
        <w:ind w:left="595" w:hanging="255"/>
      </w:pPr>
      <w:r>
        <w:t xml:space="preserve">1) </w:t>
      </w:r>
      <w:r>
        <w:t>należy do właściwej kategorii wiekowej;</w:t>
      </w:r>
    </w:p>
    <w:p>
      <w:pPr>
        <w:ind w:left="595" w:hanging="255"/>
      </w:pPr>
      <w:r>
        <w:t xml:space="preserve">2) </w:t>
      </w:r>
      <w:r>
        <w:t>przedstawia dokument zdrowotny wymagany przepisami albo składa oświadczenie o stanie zdrowia według zasad podanych w komunikacie;</w:t>
      </w:r>
    </w:p>
    <w:p>
      <w:pPr>
        <w:ind w:left="595" w:hanging="255"/>
      </w:pPr>
      <w:r>
        <w:t xml:space="preserve">3) </w:t>
      </w:r>
      <w:r>
        <w:t>posiada kompletny sprzęt zgodny z przepisami PZSz właściwymi dla kategorii seniorów;</w:t>
      </w:r>
    </w:p>
    <w:p>
      <w:pPr>
        <w:ind w:left="595" w:hanging="255"/>
      </w:pPr>
      <w:r>
        <w:t xml:space="preserve">4) </w:t>
      </w:r>
      <w:r>
        <w:t>został prawidłowo zgłoszony, potwierdził udział i wniósł opłatę startową;</w:t>
      </w:r>
    </w:p>
    <w:p>
      <w:pPr>
        <w:ind w:left="595" w:hanging="255"/>
      </w:pPr>
      <w:r>
        <w:t xml:space="preserve">5) </w:t>
      </w:r>
      <w:r>
        <w:t>składa wymagane oświadczenia organizacyjne, przy czym ich treść nie może wyłączać odpowiedzialności wynikającej z bezwzględnie obowiązujących przepisów prawa.</w:t>
      </w:r>
    </w:p>
    <w:p>
      <w:pPr>
        <w:ind w:left="312" w:hanging="227"/>
      </w:pPr>
      <w:r>
        <w:t xml:space="preserve">2. </w:t>
      </w:r>
      <w:r>
        <w:t>W indywidualnych i Drużynowych MPW mogą startować zawodnicy uprawnieni do reprezentowania Polski zgodnie z właściwymi przepisami sportowymi. PPW są otwarte również dla zawodników zagranicznych spełniających warunki Regulaminu i komunikatu.</w:t>
      </w:r>
    </w:p>
    <w:p>
      <w:pPr>
        <w:ind w:left="312" w:hanging="227"/>
      </w:pPr>
      <w:r>
        <w:t xml:space="preserve">3. </w:t>
      </w:r>
      <w:r>
        <w:t>Komisja Techniczna może zweryfikować tożsamość i rok urodzenia zawodnika. Zgłoszenie w niewłaściwej kategorii podlega skorygowaniu przed sporządzeniem list startowych, a jeżeli korekta nie jest możliwa — zawodnik nie zostaje dopuszczony.</w:t>
      </w:r>
    </w:p>
    <w:p>
      <w:pPr>
        <w:pStyle w:val="Paragraf"/>
        <w:keepNext/>
      </w:pPr>
      <w:r>
        <w:t>§ 11</w:t>
      </w:r>
    </w:p>
    <w:p>
      <w:pPr>
        <w:pStyle w:val="Tytułparagrafu"/>
        <w:keepNext/>
      </w:pPr>
      <w:r>
        <w:t>Komisja Techniczna i sędziowie</w:t>
      </w:r>
    </w:p>
    <w:p>
      <w:pPr>
        <w:keepLines/>
        <w:ind w:left="312" w:hanging="227"/>
      </w:pPr>
      <w:r>
        <w:t xml:space="preserve">1. </w:t>
      </w:r>
      <w:r>
        <w:t>Organizator powołuje Komisję Techniczną odpowiedzialną za zgodne z Regulaminem i sprawne przeprowadzenie zawodów. Zaleca się udział w niej sędziego posiadającego licencję co najmniej sędziego okręgowego.</w:t>
      </w:r>
    </w:p>
    <w:p>
      <w:pPr>
        <w:ind w:left="312" w:hanging="227"/>
      </w:pPr>
      <w:r>
        <w:t xml:space="preserve">2. </w:t>
      </w:r>
      <w:r>
        <w:t>Do zadań Komisji Technicznej należy w szczególności weryfikacja zgłoszeń i dokumentów, przygotowanie list oraz rozstawień, nadzór nad programem zawodów i pracą sekretariatu, ogłaszanie wyników, wprowadzanie uzasadnionych korekt oraz rozstrzyganie kwestii spornych w pierwszej instancji.</w:t>
      </w:r>
    </w:p>
    <w:p>
      <w:pPr>
        <w:ind w:left="312" w:hanging="227"/>
      </w:pPr>
      <w:r>
        <w:t xml:space="preserve">3. </w:t>
      </w:r>
      <w:r>
        <w:t>Organizator wyznacza sędziów w liczbie odpowiedniej do programu zawodów i liczby plansz.</w:t>
      </w:r>
    </w:p>
    <w:p>
      <w:pPr>
        <w:ind w:left="312" w:hanging="227"/>
      </w:pPr>
      <w:r>
        <w:t xml:space="preserve">4. </w:t>
      </w:r>
      <w:r>
        <w:t>Sędzia prowadzi walkę zgodnie z właściwymi przepisami, sprawdza sprzęt zawodników w zakresie należącym do sędziego i reaguje na każde zagrożenie bezpieczeństwa.</w:t>
      </w:r>
    </w:p>
    <w:p>
      <w:pPr>
        <w:pStyle w:val="Etykietarozdzialu"/>
        <w:pageBreakBefore/>
      </w:pPr>
      <w:r>
        <w:t>Rozdział 4</w:t>
      </w:r>
    </w:p>
    <w:p>
      <w:bookmarkStart w:id="239877511" w:name="_Toc239877511"/>
      <w:pPr>
        <w:pStyle w:val="Heading1"/>
        <w:jc w:val="center"/>
      </w:pPr>
      <w:r>
        <w:t>PPW i indywidualne MPW</w:t>
      </w:r>
      <w:bookmarkEnd w:id="239877511"/>
    </w:p>
    <w:p>
      <w:pPr>
        <w:pStyle w:val="Paragraf"/>
        <w:keepNext/>
      </w:pPr>
      <w:r>
        <w:t>§ 12</w:t>
      </w:r>
    </w:p>
    <w:p>
      <w:pPr>
        <w:pStyle w:val="Tytułparagrafu"/>
        <w:keepNext/>
      </w:pPr>
      <w:r>
        <w:t>Formuła turnieju indywidualnego</w:t>
      </w:r>
    </w:p>
    <w:p>
      <w:pPr>
        <w:keepLines/>
        <w:ind w:left="312" w:hanging="227"/>
      </w:pPr>
      <w:r>
        <w:t xml:space="preserve">1. </w:t>
      </w:r>
      <w:r>
        <w:t>Turniej obejmuje dwie rundy grupowe rozgrywane we wspólnej puli kobiet i mężczyzn oraz kategorii V0–V4, a następnie eliminację bezpośrednią rozgrywaną w klasyfikacjach określonych w § 15 ust. 1.</w:t>
      </w:r>
    </w:p>
    <w:p>
      <w:pPr>
        <w:ind w:left="312" w:hanging="227"/>
      </w:pPr>
      <w:r>
        <w:t xml:space="preserve">2. </w:t>
      </w:r>
      <w:r>
        <w:t>Komisja Techniczna tworzy grupy możliwie wyrównane liczebnie; zalecana liczba zawodników w grupie wynosi od 6 do 8.</w:t>
      </w:r>
    </w:p>
    <w:p>
      <w:pPr>
        <w:ind w:left="312" w:hanging="227"/>
      </w:pPr>
      <w:r>
        <w:t xml:space="preserve">3. </w:t>
      </w:r>
      <w:r>
        <w:t>Zawodnik, który ukończył prawidłowo obie rundy grupowe, awansuje do eliminacji bezpośredniej, chyba że został wykluczony zgodnie z przepisami sportowymi.</w:t>
      </w:r>
    </w:p>
    <w:p>
      <w:pPr>
        <w:pStyle w:val="Paragraf"/>
        <w:keepNext/>
      </w:pPr>
      <w:r>
        <w:t>§ 13</w:t>
      </w:r>
    </w:p>
    <w:p>
      <w:pPr>
        <w:pStyle w:val="Tytułparagrafu"/>
        <w:keepNext/>
      </w:pPr>
      <w:r>
        <w:t>Walki grupowe</w:t>
      </w:r>
    </w:p>
    <w:p>
      <w:pPr>
        <w:keepLines/>
        <w:ind w:left="312" w:hanging="227"/>
      </w:pPr>
      <w:r>
        <w:t xml:space="preserve">1. </w:t>
      </w:r>
      <w:r>
        <w:t>Walkę grupową rozgrywa się do 5 trafień w czasie 3 minut.</w:t>
      </w:r>
    </w:p>
    <w:p>
      <w:pPr>
        <w:ind w:left="312" w:hanging="227"/>
      </w:pPr>
      <w:r>
        <w:t xml:space="preserve">2. </w:t>
      </w:r>
      <w:r>
        <w:t>Komisja Techniczna ogłasza wyniki każdej rundy grupowej niezwłocznie po jej zakończeniu i wyznacza rozsądny czas na zgłoszenie błędu w zapisie wyniku.</w:t>
      </w:r>
    </w:p>
    <w:p>
      <w:pPr>
        <w:ind w:left="312" w:hanging="227"/>
      </w:pPr>
      <w:r>
        <w:t xml:space="preserve">3. </w:t>
      </w:r>
      <w:r>
        <w:t>Po upływie czasu na korekty wynik rundy może zostać zmieniony wyłącznie w celu usunięcia oczywistego błędu danych, udokumentowanego przez Komisję Techniczną.</w:t>
      </w:r>
    </w:p>
    <w:p>
      <w:pPr>
        <w:pStyle w:val="Paragraf"/>
        <w:keepNext/>
      </w:pPr>
      <w:r>
        <w:t>§ 14</w:t>
      </w:r>
    </w:p>
    <w:p>
      <w:pPr>
        <w:pStyle w:val="Tytułparagrafu"/>
        <w:keepNext/>
      </w:pPr>
      <w:r>
        <w:t>Klasyfikacja łączona</w:t>
      </w:r>
    </w:p>
    <w:p>
      <w:pPr>
        <w:keepLines/>
        <w:ind w:left="312" w:hanging="227"/>
      </w:pPr>
      <w:r>
        <w:t xml:space="preserve">1. </w:t>
      </w:r>
      <w:r>
        <w:t>W PPW i indywidualnych MPW Klasyfikację łączoną stosuje się wyłącznie do rozstawienia zawodników w pierwszej rundzie grupowej. Sporządza się ją osobno dla każdej broni na podstawie bieżącego stanu Rankingu w chwili wygenerowania pliku XML służącego do zasilenia programu zawodów.</w:t>
      </w:r>
    </w:p>
    <w:p>
      <w:pPr>
        <w:ind w:left="312" w:hanging="227"/>
      </w:pPr>
      <w:r>
        <w:t xml:space="preserve">2. </w:t>
      </w:r>
      <w:r>
        <w:t>Ranking prowadzi się osobno dla każdej broni, płci i kategorii wiekowej.</w:t>
      </w:r>
    </w:p>
    <w:p>
      <w:pPr>
        <w:ind w:left="312" w:hanging="227"/>
      </w:pPr>
      <w:r>
        <w:t xml:space="preserve">3. </w:t>
      </w:r>
      <w:r>
        <w:t>Dla kategorii V0 w Rankingu uwzględnia się wyłącznie punkty z PPW, MPW, PPS i MPS; nie uwzględnia się punktów z zawodów EVF ani FIE. Kategoria V0 i jej pozycje nie stanowią podstawy powołania do reprezentacji.</w:t>
      </w:r>
    </w:p>
    <w:p>
      <w:pPr>
        <w:ind w:left="312" w:hanging="227"/>
      </w:pPr>
      <w:r>
        <w:t xml:space="preserve">4. </w:t>
      </w:r>
      <w:r>
        <w:t>Dla każdego zgłoszonego zawodnika posiadającego dodatni dorobek punktowy przyjmuje się jego rzeczywiste miejsce w Rankingu. Nie przelicza się tego miejsca z powodu niezgłoszenia zawodników sklasyfikowanych wyżej.</w:t>
      </w:r>
    </w:p>
    <w:p>
      <w:pPr>
        <w:ind w:left="312" w:hanging="227"/>
      </w:pPr>
      <w:r>
        <w:t xml:space="preserve">5. </w:t>
      </w:r>
      <w:r>
        <w:t>Listę układa się krokami. W pierwszym kroku umieszcza się wszystkich zawodników zajmujących pierwsze miejsce we właściwym Rankingu, w drugim — wszystkich zajmujących drugie miejsce, w trzecim — wszystkich zajmujących trzecie miejsce, i analogicznie dla kolejnych rzeczywistych miejsc.</w:t>
      </w:r>
    </w:p>
    <w:p>
      <w:pPr>
        <w:ind w:left="312" w:hanging="227"/>
      </w:pPr>
      <w:r>
        <w:t xml:space="preserve">6. </w:t>
      </w:r>
      <w:r>
        <w:t>W obrębie jednego kroku o kolejności decydują kolejno:</w:t>
      </w:r>
    </w:p>
    <w:p>
      <w:pPr>
        <w:ind w:left="595" w:hanging="255"/>
      </w:pPr>
      <w:r>
        <w:t xml:space="preserve">1) </w:t>
      </w:r>
      <w:r>
        <w:t>liczba punktów rankingowych — od najwyższej do najniższej;</w:t>
      </w:r>
    </w:p>
    <w:p>
      <w:pPr>
        <w:ind w:left="595" w:hanging="255"/>
      </w:pPr>
      <w:r>
        <w:t xml:space="preserve">2) </w:t>
      </w:r>
      <w:r>
        <w:t>kolejność kategorii: MV0, MV1, MV2, MV3, MV4, KV0, KV1, KV2, KV3, KV4;</w:t>
      </w:r>
    </w:p>
    <w:p>
      <w:pPr>
        <w:ind w:left="595" w:hanging="255"/>
      </w:pPr>
      <w:r>
        <w:t xml:space="preserve">3) </w:t>
      </w:r>
      <w:r>
        <w:t>nazwisko i imię — alfabetycznie.</w:t>
      </w:r>
    </w:p>
    <w:p>
      <w:pPr>
        <w:ind w:left="312" w:hanging="227"/>
      </w:pPr>
      <w:r>
        <w:t xml:space="preserve">7. </w:t>
      </w:r>
      <w:r>
        <w:t>Po wszystkich zawodnikach z dodatnim dorobkiem punktowym umieszcza się zawodników bez punktów rankingowych, w tym zgłoszonych po raz pierwszy: najpierw mężczyzn, a następnie kobiety; w każdej płci od najmłodszych do najstarszych według roku urodzenia, a przy tym samym roku urodzenia — alfabetycznie według nazwiska i imienia.</w:t>
      </w:r>
    </w:p>
    <w:p>
      <w:pPr>
        <w:ind w:left="312" w:hanging="227"/>
      </w:pPr>
      <w:r>
        <w:t xml:space="preserve">8. </w:t>
      </w:r>
      <w:r>
        <w:t>Kolejne pozycje Klasyfikacji łączonej są numerami rozstawienia do pierwszej rundy grupowej.</w:t>
      </w:r>
    </w:p>
    <w:p>
      <w:pPr>
        <w:ind w:left="312" w:hanging="227"/>
      </w:pPr>
      <w:r>
        <w:t xml:space="preserve">9. </w:t>
      </w:r>
      <w:r>
        <w:t>Rozstawienie do drugiej rundy grupowej ustala się wyłącznie na podstawie wyników pierwszej rundy grupowej, zgodnie z kolejnością stosowaną przez program zawodów.</w:t>
      </w:r>
    </w:p>
    <w:p>
      <w:pPr>
        <w:pStyle w:val="Paragraf"/>
        <w:keepNext/>
      </w:pPr>
      <w:r>
        <w:t>§ 15</w:t>
      </w:r>
    </w:p>
    <w:p>
      <w:pPr>
        <w:pStyle w:val="Tytułparagrafu"/>
        <w:keepNext/>
      </w:pPr>
      <w:r>
        <w:t>Eliminacja bezpośrednia</w:t>
      </w:r>
    </w:p>
    <w:p>
      <w:pPr>
        <w:keepLines/>
        <w:ind w:left="312" w:hanging="227"/>
      </w:pPr>
      <w:r>
        <w:t xml:space="preserve">1. </w:t>
      </w:r>
      <w:r>
        <w:t>Eliminację bezpośrednią tworzy się według płci i kategorii wiekowej na podstawie łącznych wyników obu rund grupowych.</w:t>
      </w:r>
    </w:p>
    <w:p>
      <w:pPr>
        <w:ind w:left="312" w:hanging="227"/>
      </w:pPr>
      <w:r>
        <w:t xml:space="preserve">2. </w:t>
      </w:r>
      <w:r>
        <w:t>Jeżeli w danej kategorii wiekowej zgłoszono mniej niż czterech zawodników, Komisja Techniczna może przeprowadzić walki w połączonej drabince z kategorią młodszą, a V0 — z V1. Każdy zawodnik pozostaje klasyfikowany i nagradzany we własnej kategorii.</w:t>
      </w:r>
    </w:p>
    <w:p>
      <w:pPr>
        <w:ind w:left="312" w:hanging="227"/>
      </w:pPr>
      <w:r>
        <w:t xml:space="preserve">3. </w:t>
      </w:r>
      <w:r>
        <w:t>Jeżeli w danej broni i kategorii występuje tylko jedna osoba danej płci, Komisja Techniczna może włączyć ją do drabinki drugiej płci we właściwej kategorii, a jeżeli nie jest to możliwe — do kategorii sąsiedniej. Zawodnik pozostaje klasyfikowany we własnej płci i kategorii.</w:t>
      </w:r>
    </w:p>
    <w:p>
      <w:pPr>
        <w:ind w:left="312" w:hanging="227"/>
      </w:pPr>
      <w:r>
        <w:t xml:space="preserve">4. </w:t>
      </w:r>
      <w:r>
        <w:t>Walkę eliminacji bezpośredniej rozgrywa się do 10 trafień w dwóch rundach po 3 minuty, z jednominutową przerwą. Przy remisie po upływie czasu przeprowadza się jednominutową dogrywkę po uprzednim wylosowaniu priorytetu.</w:t>
      </w:r>
    </w:p>
    <w:p>
      <w:pPr>
        <w:ind w:left="312" w:hanging="227"/>
      </w:pPr>
      <w:r>
        <w:t xml:space="preserve">5. </w:t>
      </w:r>
      <w:r>
        <w:t>Rozgrywa się walki o wszystkie miejsca, w tym walkę o trzecie miejsce; zawodnicy zajmujący trzecie i czwarte miejsce otrzymują brązowe medale, a wynik walki rozstrzyga kolejność i punkty rankingowe.</w:t>
      </w:r>
    </w:p>
    <w:p>
      <w:pPr>
        <w:pStyle w:val="Etykietarozdzialu"/>
        <w:pageBreakBefore/>
      </w:pPr>
      <w:r>
        <w:t>Rozdział 5</w:t>
      </w:r>
    </w:p>
    <w:p>
      <w:bookmarkStart w:id="239877512" w:name="_Toc239877512"/>
      <w:pPr>
        <w:pStyle w:val="Heading1"/>
        <w:jc w:val="center"/>
      </w:pPr>
      <w:r>
        <w:t>Drużynowe MPW</w:t>
      </w:r>
      <w:bookmarkEnd w:id="239877512"/>
    </w:p>
    <w:p>
      <w:pPr>
        <w:pStyle w:val="Paragraf"/>
        <w:keepNext/>
      </w:pPr>
      <w:r>
        <w:t>§ 16</w:t>
      </w:r>
    </w:p>
    <w:p>
      <w:pPr>
        <w:pStyle w:val="Tytułparagrafu"/>
        <w:keepNext/>
      </w:pPr>
      <w:r>
        <w:t>Skład i zgłoszenie drużyny</w:t>
      </w:r>
    </w:p>
    <w:p>
      <w:pPr>
        <w:keepLines/>
        <w:ind w:left="312" w:hanging="227"/>
      </w:pPr>
      <w:r>
        <w:t xml:space="preserve">1. </w:t>
      </w:r>
      <w:r>
        <w:t>Drużyna składa się z trzech zawodników walczących oraz nie więcej niż dwóch zawodników rezerwowych. Dopuszcza się udział drużyny bez zawodników rezerwowych.</w:t>
      </w:r>
    </w:p>
    <w:p>
      <w:pPr>
        <w:ind w:left="312" w:hanging="227"/>
      </w:pPr>
      <w:r>
        <w:t xml:space="preserve">2. </w:t>
      </w:r>
      <w:r>
        <w:t>Każdy zawodnik drużyny musi w roku zawodów ukończyć co najmniej 30 lat i spełniać warunki dopuszczenia określone w § 10 ust. 1.</w:t>
      </w:r>
    </w:p>
    <w:p>
      <w:pPr>
        <w:ind w:left="312" w:hanging="227"/>
      </w:pPr>
      <w:r>
        <w:t xml:space="preserve">3. </w:t>
      </w:r>
      <w:r>
        <w:t>Kapitan zgłasza nazwę i skład drużyny, odpowiada za potwierdzenie udziału oraz wskazuje kolejność zawodników zgodnie z przepisami meczu drużynowego.</w:t>
      </w:r>
    </w:p>
    <w:p>
      <w:pPr>
        <w:ind w:left="312" w:hanging="227"/>
      </w:pPr>
      <w:r>
        <w:t xml:space="preserve">4. </w:t>
      </w:r>
      <w:r>
        <w:t>W składzie mogą występować zawodnicy różnych klubów. Dopuszcza się więcej niż dwie drużyny związane z tym samym klubem.</w:t>
      </w:r>
    </w:p>
    <w:p>
      <w:pPr>
        <w:ind w:left="312" w:hanging="227"/>
      </w:pPr>
      <w:r>
        <w:t xml:space="preserve">5. </w:t>
      </w:r>
      <w:r>
        <w:t>Drużyna mieszana płciowo startuje w kategorii mężczyzn.</w:t>
      </w:r>
    </w:p>
    <w:p>
      <w:pPr>
        <w:pStyle w:val="Paragraf"/>
        <w:keepNext/>
      </w:pPr>
      <w:r>
        <w:t>§ 17</w:t>
      </w:r>
    </w:p>
    <w:p>
      <w:pPr>
        <w:pStyle w:val="Tytułparagrafu"/>
        <w:keepNext/>
      </w:pPr>
      <w:r>
        <w:t>System rozgrywek drużynowych</w:t>
      </w:r>
    </w:p>
    <w:p>
      <w:pPr>
        <w:keepLines/>
        <w:ind w:left="312" w:hanging="227"/>
      </w:pPr>
      <w:r>
        <w:t xml:space="preserve">1. </w:t>
      </w:r>
      <w:r>
        <w:t>Mecz drużynowy rozgrywa się do 45 trafień zgodnie z właściwymi przepisami meczu sztafetowego.</w:t>
      </w:r>
    </w:p>
    <w:p>
      <w:pPr>
        <w:ind w:left="312" w:hanging="227"/>
      </w:pPr>
      <w:r>
        <w:t xml:space="preserve">2. </w:t>
      </w:r>
      <w:r>
        <w:t>Jeżeli w danej klasyfikacji startuje nie więcej niż pięć drużyn, zawody rozgrywa się systemem „każdy z każdym”.</w:t>
      </w:r>
    </w:p>
    <w:p>
      <w:pPr>
        <w:ind w:left="312" w:hanging="227"/>
      </w:pPr>
      <w:r>
        <w:t xml:space="preserve">3. </w:t>
      </w:r>
      <w:r>
        <w:t>Jeżeli startuje więcej niż pięć drużyn, rozgrywa się rundę grupową, a następnie eliminację bezpośrednią z walkami o wszystkie miejsca.</w:t>
      </w:r>
    </w:p>
    <w:p>
      <w:pPr>
        <w:ind w:left="312" w:hanging="227"/>
      </w:pPr>
      <w:r>
        <w:t xml:space="preserve">4. </w:t>
      </w:r>
      <w:r>
        <w:t>Drużyny kobiet i mężczyzn mogą walczyć we wspólnej rundzie grupowej, chyba że do rywalizacji przystąpi więcej niż pięć drużyn jednej z płci. Klasyfikację końcową prowadzi się osobno dla kobiet i mężczyzn.</w:t>
      </w:r>
    </w:p>
    <w:p>
      <w:pPr>
        <w:ind w:left="312" w:hanging="227"/>
      </w:pPr>
      <w:r>
        <w:t xml:space="preserve">5. </w:t>
      </w:r>
      <w:r>
        <w:t>Jeżeli w klasyfikacji końcowej zgłoszono jedną drużynę, rywalizacji o tytuł w tej klasyfikacji nie przeprowadza się.</w:t>
      </w:r>
    </w:p>
    <w:p>
      <w:pPr>
        <w:pStyle w:val="Paragraf"/>
        <w:keepNext/>
      </w:pPr>
      <w:r>
        <w:t>§ 18</w:t>
      </w:r>
    </w:p>
    <w:p>
      <w:pPr>
        <w:pStyle w:val="Tytułparagrafu"/>
        <w:keepNext/>
      </w:pPr>
      <w:r>
        <w:t>Rozstawienie i tytuł</w:t>
      </w:r>
    </w:p>
    <w:p>
      <w:pPr>
        <w:keepLines/>
        <w:ind w:left="312" w:hanging="227"/>
      </w:pPr>
      <w:r>
        <w:t xml:space="preserve">1. </w:t>
      </w:r>
      <w:r>
        <w:t>O numerze rozstawienia drużyny decyduje suma punktów w Rankingu trzech najwyżej sklasyfikowanych zawodników zgłoszonych do tej drużyny.</w:t>
      </w:r>
    </w:p>
    <w:p>
      <w:pPr>
        <w:ind w:left="312" w:hanging="227"/>
      </w:pPr>
      <w:r>
        <w:t xml:space="preserve">2. </w:t>
      </w:r>
      <w:r>
        <w:t>Komisja Techniczna rozdziela drużyny do grup z uwzględnieniem numerów rozstawienia, stosując naprzemienny klucz pierwsza–ostatnia, druga–przedostatnia i analogicznie dla kolejnych par.</w:t>
      </w:r>
    </w:p>
    <w:p>
      <w:pPr>
        <w:ind w:left="312" w:hanging="227"/>
      </w:pPr>
      <w:r>
        <w:t xml:space="preserve">3. </w:t>
      </w:r>
      <w:r>
        <w:t>Zwycięska drużyna właściwej klasyfikacji otrzymuje tytuł Drużynowego Mistrza Polski Weteranów w szermierce.</w:t>
      </w:r>
    </w:p>
    <w:p>
      <w:pPr>
        <w:pStyle w:val="Etykietarozdzialu"/>
        <w:pageBreakBefore/>
      </w:pPr>
      <w:r>
        <w:t>Rozdział 6</w:t>
      </w:r>
    </w:p>
    <w:p>
      <w:bookmarkStart w:id="239877513" w:name="_Toc239877513"/>
      <w:pPr>
        <w:pStyle w:val="Heading1"/>
        <w:jc w:val="center"/>
      </w:pPr>
      <w:r>
        <w:t>Ranking i klasyfikacje</w:t>
      </w:r>
      <w:bookmarkEnd w:id="239877513"/>
    </w:p>
    <w:p>
      <w:pPr>
        <w:pStyle w:val="Paragraf"/>
        <w:keepNext/>
      </w:pPr>
      <w:r>
        <w:t>§ 19</w:t>
      </w:r>
    </w:p>
    <w:p>
      <w:pPr>
        <w:pStyle w:val="Tytułparagrafu"/>
        <w:keepNext/>
      </w:pPr>
      <w:r>
        <w:t>Ranking jako źródło danych</w:t>
      </w:r>
    </w:p>
    <w:p>
      <w:pPr>
        <w:keepLines/>
        <w:ind w:left="312" w:hanging="227"/>
      </w:pPr>
      <w:r>
        <w:t xml:space="preserve">1. </w:t>
      </w:r>
      <w:r>
        <w:t>Ranking wyłaniania Reprezentacji Polski Weteranów jest prowadzony na zasadach określonych w regulaminie, o którym mowa w § 1 ust. 3, osobno dla każdej broni, płci i kategorii wiekowej.</w:t>
      </w:r>
    </w:p>
    <w:p>
      <w:pPr>
        <w:ind w:left="312" w:hanging="227"/>
      </w:pPr>
      <w:r>
        <w:t xml:space="preserve">2. </w:t>
      </w:r>
      <w:r>
        <w:t>Wyniki zatwierdzone przez SPWS są wprowadzane do systemu online, a bieżący stan Rankingu zmienia się po uwzględnieniu wyników kolejnych zawodów.</w:t>
      </w:r>
    </w:p>
    <w:p>
      <w:pPr>
        <w:ind w:left="312" w:hanging="227"/>
      </w:pPr>
      <w:r>
        <w:t xml:space="preserve">3. </w:t>
      </w:r>
      <w:r>
        <w:t>Regulamin nie ustanawia konkurencyjnego rankingu; określa wyłącznie krajowe widoki i techniczne wykorzystanie danych Rankingu podczas zawodów.</w:t>
      </w:r>
    </w:p>
    <w:p>
      <w:pPr>
        <w:pStyle w:val="Paragraf"/>
        <w:keepNext/>
      </w:pPr>
      <w:r>
        <w:t>§ 20</w:t>
      </w:r>
    </w:p>
    <w:p>
      <w:pPr>
        <w:pStyle w:val="Tytułparagrafu"/>
        <w:keepNext/>
      </w:pPr>
      <w:r>
        <w:t>Krajowa część Rankingu</w:t>
      </w:r>
    </w:p>
    <w:p>
      <w:pPr>
        <w:keepLines/>
        <w:ind w:left="312" w:hanging="227"/>
      </w:pPr>
      <w:r>
        <w:t xml:space="preserve">1. </w:t>
      </w:r>
      <w:r>
        <w:t>Krajową część Rankingu tworzą trzy pozycje wynikowe: dwa najlepsze wyniki punktowe zawodnika uzyskane w PPW oraz wynik punktowy uzyskany w MPW.</w:t>
      </w:r>
    </w:p>
    <w:p>
      <w:pPr>
        <w:ind w:left="312" w:hanging="227"/>
      </w:pPr>
      <w:r>
        <w:t xml:space="preserve">2. </w:t>
      </w:r>
      <w:r>
        <w:t>Jeżeli zawodnik uzyskał mniej niż dwa wyniki w PPW, za każdą niewypełnioną pozycję PPW przyjmuje się 0 punktów.</w:t>
      </w:r>
    </w:p>
    <w:p>
      <w:pPr>
        <w:ind w:left="312" w:hanging="227"/>
      </w:pPr>
      <w:r>
        <w:t xml:space="preserve">3. </w:t>
      </w:r>
      <w:r>
        <w:t>Jeżeli zawodnik nie wystartował w MPW, za obowiązkową pozycję MPW przyjmuje się 0 punktów.</w:t>
      </w:r>
    </w:p>
    <w:p>
      <w:pPr>
        <w:ind w:left="312" w:hanging="227"/>
      </w:pPr>
      <w:r>
        <w:t xml:space="preserve">4. </w:t>
      </w:r>
      <w:r>
        <w:t>Sposób obliczania punktów za pojedynczy wynik oraz współczynniki zawodów określa regulamin, o którym mowa w § 1 ust. 3.</w:t>
      </w:r>
    </w:p>
    <w:p>
      <w:pPr>
        <w:pStyle w:val="Paragraf"/>
        <w:keepNext/>
      </w:pPr>
      <w:r>
        <w:t>§ 21</w:t>
      </w:r>
    </w:p>
    <w:p>
      <w:pPr>
        <w:pStyle w:val="Tytułparagrafu"/>
        <w:keepNext/>
      </w:pPr>
      <w:r>
        <w:t>Klasyfikacja Pucharu Polski Weteranów</w:t>
      </w:r>
    </w:p>
    <w:p>
      <w:pPr>
        <w:keepLines/>
        <w:ind w:left="312" w:hanging="227"/>
      </w:pPr>
      <w:r>
        <w:t xml:space="preserve">1. </w:t>
      </w:r>
      <w:r>
        <w:t>Klasyfikacja Pucharu Polski Weteranów jest filtrowanym podzbiorem Rankingu, a nie odrębną bazą ani konkurencyjnym systemem rankingowym.</w:t>
      </w:r>
    </w:p>
    <w:p>
      <w:pPr>
        <w:ind w:left="312" w:hanging="227"/>
      </w:pPr>
      <w:r>
        <w:t xml:space="preserve">2. </w:t>
      </w:r>
      <w:r>
        <w:t>Klasyfikację PPW otrzymuje się przez zastosowanie w systemie online filtra obejmującego PPW i MPW; pokazuje ona sumę dwóch najlepszych pozycji PPW i obowiązkowej pozycji MPW zgodnie z § 20 ust. 1.</w:t>
      </w:r>
    </w:p>
    <w:p>
      <w:pPr>
        <w:ind w:left="312" w:hanging="227"/>
      </w:pPr>
      <w:r>
        <w:t xml:space="preserve">3. </w:t>
      </w:r>
      <w:r>
        <w:t>Klasyfikację końcową ustala się po ostatnich zawodach krajowych zaliczanych do danego sezonu.</w:t>
      </w:r>
    </w:p>
    <w:p>
      <w:pPr>
        <w:pStyle w:val="Etykietarozdzialu"/>
        <w:pageBreakBefore/>
      </w:pPr>
      <w:r>
        <w:t>Rozdział 7</w:t>
      </w:r>
    </w:p>
    <w:p>
      <w:bookmarkStart w:id="239877514" w:name="_Toc239877514"/>
      <w:pPr>
        <w:pStyle w:val="Heading1"/>
        <w:jc w:val="center"/>
      </w:pPr>
      <w:r>
        <w:t>Wyniki, protokoły i dane</w:t>
      </w:r>
      <w:bookmarkEnd w:id="239877514"/>
    </w:p>
    <w:p>
      <w:pPr>
        <w:pStyle w:val="Paragraf"/>
        <w:keepNext/>
      </w:pPr>
      <w:r>
        <w:t>§ 22</w:t>
      </w:r>
    </w:p>
    <w:p>
      <w:pPr>
        <w:pStyle w:val="Tytułparagrafu"/>
        <w:keepNext/>
      </w:pPr>
      <w:r>
        <w:t>Ogłaszanie i zatwierdzanie wyników</w:t>
      </w:r>
    </w:p>
    <w:p>
      <w:pPr>
        <w:keepLines/>
        <w:ind w:left="312" w:hanging="227"/>
      </w:pPr>
      <w:r>
        <w:t xml:space="preserve">1. </w:t>
      </w:r>
      <w:r>
        <w:t>Komisja Techniczna ogłasza wyniki poszczególnych faz w miejscu zawodów, a najpóźniej do 7 dni po zawodach publikuje je w serwisie internetowym używanym do obsługi zawodów.</w:t>
      </w:r>
    </w:p>
    <w:p>
      <w:pPr>
        <w:ind w:left="312" w:hanging="227"/>
      </w:pPr>
      <w:r>
        <w:t xml:space="preserve">2. </w:t>
      </w:r>
      <w:r>
        <w:t>Zawodnik albo kapitan drużyny zgłasza zauważony błąd Komisji Technicznej niezwłocznie po ogłoszeniu wyniku właściwej fazy.</w:t>
      </w:r>
    </w:p>
    <w:p>
      <w:pPr>
        <w:ind w:left="312" w:hanging="227"/>
      </w:pPr>
      <w:r>
        <w:t xml:space="preserve">3. </w:t>
      </w:r>
      <w:r>
        <w:t>Po zakończeniu weryfikacji Komisja Techniczna zatwierdza klasyfikacje końcowe i zapewnia ich publikację w serwisie internetowym używanym do obsługi zawodów.</w:t>
      </w:r>
    </w:p>
    <w:p>
      <w:pPr>
        <w:pStyle w:val="Paragraf"/>
        <w:keepNext/>
      </w:pPr>
      <w:r>
        <w:t>§ 23</w:t>
      </w:r>
    </w:p>
    <w:p>
      <w:pPr>
        <w:pStyle w:val="Tytułparagrafu"/>
        <w:keepNext/>
      </w:pPr>
      <w:r>
        <w:t>Protokół i publikacja danych</w:t>
      </w:r>
    </w:p>
    <w:p>
      <w:pPr>
        <w:keepLines/>
        <w:ind w:left="312" w:hanging="227"/>
      </w:pPr>
      <w:r>
        <w:t xml:space="preserve">1. </w:t>
      </w:r>
      <w:r>
        <w:t>Organizator sporządza protokół zawodów obejmujący listy startowe, składy grup i drużyn, wyniki każdej walki grupowej i eliminacyjnej, klasyfikacje końcowe oraz decyzje Komisji Technicznej wpływające na wynik.</w:t>
      </w:r>
    </w:p>
    <w:p>
      <w:pPr>
        <w:ind w:left="312" w:hanging="227"/>
      </w:pPr>
      <w:r>
        <w:t xml:space="preserve">2. </w:t>
      </w:r>
      <w:r>
        <w:t>Organizator publikuje w ogólnodostępnym serwisie internetowym kompletne protokoły wszystkich rozegranych walk wraz z klasyfikacjami końcowymi i liczbą uczestników oraz zapewnia ich dostępność przez co najmniej 36 miesięcy.</w:t>
      </w:r>
    </w:p>
    <w:p>
      <w:pPr>
        <w:ind w:left="312" w:hanging="227"/>
      </w:pPr>
      <w:r>
        <w:t xml:space="preserve">3. </w:t>
      </w:r>
      <w:r>
        <w:t>W przypadku pomyłki w protokole internetowym korekta opublikowanego protokołu wymaga wskazania przyczyny, daty i zakresu zmiany; organizator przekazuje skorygowany plik do SPWS bez zbędnej zwłoki.</w:t>
      </w:r>
    </w:p>
    <w:p>
      <w:pPr>
        <w:ind w:left="312" w:hanging="227"/>
      </w:pPr>
      <w:r>
        <w:t xml:space="preserve">4. </w:t>
      </w:r>
      <w:r>
        <w:t>Zakres publikowanych danych ogranicza się do danych niezbędnych do identyfikacji wyniku sportowego i prowadzenia Rankingu, z zachowaniem przepisów o ochronie danych osobowych.</w:t>
      </w:r>
    </w:p>
    <w:p>
      <w:pPr>
        <w:pStyle w:val="Etykietarozdzialu"/>
        <w:pageBreakBefore/>
      </w:pPr>
      <w:r>
        <w:t>Rozdział 8</w:t>
      </w:r>
    </w:p>
    <w:p>
      <w:bookmarkStart w:id="239877515" w:name="_Toc239877515"/>
      <w:pPr>
        <w:pStyle w:val="Heading1"/>
        <w:jc w:val="center"/>
      </w:pPr>
      <w:r>
        <w:t>Postanowienia końcowe</w:t>
      </w:r>
      <w:bookmarkEnd w:id="239877515"/>
    </w:p>
    <w:p>
      <w:pPr>
        <w:pStyle w:val="Paragraf"/>
        <w:keepNext/>
      </w:pPr>
      <w:r>
        <w:t>§ 24</w:t>
      </w:r>
    </w:p>
    <w:p>
      <w:pPr>
        <w:pStyle w:val="Tytułparagrafu"/>
        <w:keepNext/>
      </w:pPr>
      <w:r>
        <w:t>Odesłania i rozstrzyganie wątpliwości</w:t>
      </w:r>
    </w:p>
    <w:p>
      <w:pPr>
        <w:keepLines/>
        <w:ind w:left="312" w:hanging="227"/>
      </w:pPr>
      <w:r>
        <w:t xml:space="preserve">1. </w:t>
      </w:r>
      <w:r>
        <w:t>W sprawach dotyczących Rankingu i powołań stosuje się regulamin, o którym mowa w § 1 ust. 3.</w:t>
      </w:r>
    </w:p>
    <w:p>
      <w:pPr>
        <w:ind w:left="312" w:hanging="227"/>
      </w:pPr>
      <w:r>
        <w:t xml:space="preserve">2. </w:t>
      </w:r>
      <w:r>
        <w:t>W sprawach sportowych nieuregulowanych w Regulaminie stosuje się odpowiednio aktualne przepisy PZSz i FIE, z uwzględnieniem specyfiki kategorii weteranów.</w:t>
      </w:r>
    </w:p>
    <w:p>
      <w:pPr>
        <w:ind w:left="312" w:hanging="227"/>
      </w:pPr>
      <w:r>
        <w:t xml:space="preserve">3. </w:t>
      </w:r>
      <w:r>
        <w:t>Wątpliwości dotyczące stosowania Regulaminu podczas zawodów rozstrzyga Komisja Techniczna, a poza zawodami — Zarząd SPWS po zasięgnięciu opinii właściwej komisji SPWS.</w:t>
      </w:r>
    </w:p>
    <w:p>
      <w:pPr>
        <w:pStyle w:val="Paragraf"/>
        <w:keepNext/>
      </w:pPr>
      <w:r>
        <w:t>§ 25</w:t>
      </w:r>
    </w:p>
    <w:p>
      <w:pPr>
        <w:pStyle w:val="Tytułparagrafu"/>
        <w:keepNext/>
      </w:pPr>
      <w:r>
        <w:t>Zasady bezpieczeństwa i wejście w życie</w:t>
      </w:r>
    </w:p>
    <w:p>
      <w:pPr>
        <w:keepLines/>
        <w:ind w:left="312" w:hanging="227"/>
      </w:pPr>
      <w:r>
        <w:t xml:space="preserve">1. </w:t>
      </w:r>
      <w:r>
        <w:t>Organizator odpowiada za przygotowanie bezpiecznego miejsca zawodów, właściwe rozmieszczenie plansz, zabezpieczenie okablowania, sprawność instalacji i urządzeń oraz zapewnienie opieki medycznej i drogi wezwania pomocy.</w:t>
      </w:r>
    </w:p>
    <w:p>
      <w:pPr>
        <w:ind w:left="312" w:hanging="227"/>
      </w:pPr>
      <w:r>
        <w:t xml:space="preserve">2. </w:t>
      </w:r>
      <w:r>
        <w:t>Zawodnik odpowiada za stan i zgodność używanego sprzętu, w szczególności maski, ubioru ochronnego, rękawicy, przewodów, gardy i klingi, oraz nie używa sprzętu uszkodzonego albo stwarzającego zagrożenie.</w:t>
      </w:r>
    </w:p>
    <w:p>
      <w:pPr>
        <w:ind w:left="312" w:hanging="227"/>
      </w:pPr>
      <w:r>
        <w:t xml:space="preserve">3. </w:t>
      </w:r>
      <w:r>
        <w:t>Sędzia nie rozpoczyna albo przerywa walkę, jeżeli ubiór, broń, plansza lub otoczenie nie zapewniają bezpieczeństwa. Broń poza walką przenosi się końcem skierowanym w dół.</w:t>
      </w:r>
    </w:p>
    <w:p>
      <w:pPr>
        <w:ind w:left="312" w:hanging="227"/>
      </w:pPr>
      <w:r>
        <w:t xml:space="preserve">4. </w:t>
      </w:r>
      <w:r>
        <w:t>Organizator wyznacza strefę walki wolną od widzów i przeszkód, zapewnia bezpieczne odległości pomiędzy planszami i od ich końców oraz chroni przewody przed przesunięciem i potknięciem.</w:t>
      </w:r>
    </w:p>
    <w:p>
      <w:pPr>
        <w:ind w:left="312" w:hanging="227"/>
      </w:pPr>
      <w:r>
        <w:t xml:space="preserve">5. </w:t>
      </w:r>
      <w:r>
        <w:t>Każdy uczestnik ma obowiązek udzielić pomocy w granicach swoich umiejętności i niezwłocznie zawiadomić osobę odpowiedzialną. Organizator rejestruje wypadek, opisuje jego okoliczności i skutki oraz przekazuje wymagane informacje właściwym podmiotom.</w:t>
      </w:r>
    </w:p>
    <w:p>
      <w:pPr>
        <w:ind w:left="312" w:hanging="227"/>
      </w:pPr>
      <w:r>
        <w:t xml:space="preserve">6. </w:t>
      </w:r>
      <w:r>
        <w:t>Świadomość typowego ryzyka szermierki nie zwalnia żadnej osoby z obowiązku należytej staranności, przestrzegania zasad bezpieczeństwa ani odpowiedzialności za własne działanie; żadne oświadczenie wymagane od uczestnika nie wyłącza odpowiedzialności wynikającej z przepisów prawa.</w:t>
      </w:r>
    </w:p>
    <w:p>
      <w:pPr>
        <w:ind w:left="312" w:hanging="227"/>
      </w:pPr>
      <w:r>
        <w:t xml:space="preserve">7. </w:t>
      </w:r>
      <w:r>
        <w:t>Wzory oświadczeń organizacyjnych publikuje SPWS jako materiały wykonawcze zgodne z Regulaminem i obowiązującym prawem.</w:t>
      </w:r>
    </w:p>
    <w:p>
      <w:pPr>
        <w:ind w:left="312" w:hanging="227"/>
      </w:pPr>
      <w:r>
        <w:t xml:space="preserve">8. </w:t>
      </w:r>
      <w:r>
        <w:t>Regulamin wchodzi w życie z dniem wskazanym w uchwale Zarządu SPWS i ma zastosowanie do zawodów rozpoczynających się od tego dnia.</w:t>
      </w:r>
    </w:p>
    <w:p>
      <w:pPr>
        <w:ind w:left="312" w:hanging="227"/>
      </w:pPr>
      <w:r>
        <w:t xml:space="preserve">9. </w:t>
      </w:r>
      <w:r>
        <w:t>Komunikaty zawodów opublikowane przed wejściem w życie Regulaminu zachowują ważność, o ile nie są z nim sprzeczne.</w:t>
      </w:r>
    </w:p>
    <w:p>
      <w:bookmarkStart w:id="239877515" w:name="_Toc239877515"/>
      <w:pPr>
        <w:pStyle w:val="Heading1"/>
      </w:pPr>
      <w:r>
        <w:t>Historia wersji</w:t>
      </w:r>
      <w:bookmarkEnd w:id="239877515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DD4DE"/>
          <w:left w:val="single" w:sz="4" w:color="CDD4DE"/>
          <w:bottom w:val="single" w:sz="4" w:color="CDD4DE"/>
          <w:right w:val="single" w:sz="4" w:color="CDD4DE"/>
          <w:insideH w:val="single" w:sz="4" w:color="CDD4DE"/>
          <w:insideV w:val="single" w:sz="4" w:color="CDD4DE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Wersja</w:t>
            </w:r>
          </w:p>
        </w:tc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Zakres zmian</w:t>
            </w:r>
          </w:p>
        </w:tc>
        <w:tc>
          <w:tcPr>
            <w:tcW w:type="dxa" w:w="2268"/>
            <w:shd w:fill="174A84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0.2</w:t>
            </w:r>
          </w:p>
        </w:tc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2026-09-27</w:t>
            </w:r>
          </w:p>
        </w:tc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Pełna redakcja ZTP zawodów krajowych i Klasyfikacji łączonej</w:t>
            </w:r>
          </w:p>
        </w:tc>
        <w:tc>
          <w:tcPr>
            <w:tcW w:type="dxa" w:w="2268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>
              <w:keepNext w:val="0"/>
              <w:spacing w:after="0"/>
            </w:pPr>
            <w:r>
              <w:rPr>
                <w:rFonts w:ascii="Aptos" w:hAnsi="Aptos"/>
                <w:sz w:val="18"/>
              </w:rPr>
              <w:t>projekt do konsultacji</w:t>
            </w:r>
          </w:p>
        </w:tc>
      </w:tr>
    </w:tbl>
    <w:p>
      <w:pPr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417" w:bottom="1134" w:left="141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386"/>
        <w:sz w:val="16"/>
      </w:rPr>
      <w:t xml:space="preserve">Projekt · wersja 0.2     |     Strona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z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386"/>
        <w:sz w:val="16"/>
      </w:rPr>
      <w:t>Projekt regulaminu · sezon 2026/2027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5" w:color="CDD4DE"/>
      </w:pBdr>
    </w:pPr>
    <w:r>
      <w:rPr>
        <w:rFonts w:ascii="Aptos" w:hAnsi="Aptos"/>
        <w:color w:val="667386"/>
        <w:sz w:val="16"/>
      </w:rPr>
      <w:t>Regulamin współzawodnictwa sportowego w kategorii Weteran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721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174A8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zdzial">
    <w:name w:val="Rozdzial"/>
    <w:basedOn w:val="Heading1"/>
    <w:pPr>
      <w:keepNext/>
      <w:spacing w:before="0" w:after="400"/>
      <w:jc w:val="center"/>
      <w:pageBreakBefore/>
    </w:pPr>
    <w:rPr>
      <w:rFonts w:ascii="Georgia" w:hAnsi="Georgia"/>
      <w:b/>
      <w:color w:val="174A84"/>
      <w:sz w:val="40"/>
    </w:rPr>
  </w:style>
  <w:style w:type="paragraph" w:customStyle="1" w:styleId="Etykietarozdzialu">
    <w:name w:val="Etykieta rozdzialu"/>
    <w:pPr>
      <w:keepNext/>
      <w:spacing w:after="100"/>
      <w:jc w:val="center"/>
    </w:pPr>
    <w:rPr>
      <w:rFonts w:ascii="Aptos" w:hAnsi="Aptos"/>
      <w:b/>
      <w:color w:val="174A84"/>
      <w:sz w:val="18"/>
    </w:rPr>
  </w:style>
  <w:style w:type="paragraph" w:customStyle="1" w:styleId="Paragraf">
    <w:name w:val="Paragraf"/>
    <w:pPr>
      <w:keepNext/>
      <w:spacing w:before="300" w:after="160"/>
      <w:jc w:val="center"/>
    </w:pPr>
    <w:rPr>
      <w:rFonts w:ascii="Georgia" w:hAnsi="Georgia"/>
      <w:b/>
      <w:color w:val="172131"/>
      <w:sz w:val="26"/>
    </w:rPr>
  </w:style>
  <w:style w:type="paragraph" w:customStyle="1" w:styleId="Tekstroboczy">
    <w:name w:val="Tekst roboczy"/>
    <w:basedOn w:val="Normal"/>
    <w:rPr>
      <w:i/>
      <w:color w:val="667386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customStyle="1" w:styleId="Tytułparagrafu">
    <w:name w:val="Tytuł paragrafu"/>
    <w:basedOn w:val="Heading3"/>
  </w:style>
  <w:style w:type="paragraph" w:customStyle="1" w:styleId="Etykietabrudnopisu">
    <w:name w:val="Etykieta brudnopisu"/>
    <w:basedOn w:val="Normal"/>
    <w:rPr>
      <w:b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Regulamin współzawodnictwa sportowego w kategorii Weteran</dc:title>
  <dc:subject>Projekt Regulaminu współzawodnictwa sportowego w kategorii Weteran — sezon 2026/2027</dc:subject>
  <dc:creator>Komisja regulaminowa SPWS</dc:creator>
  <cp:keywords/>
  <dc:description>Projekt do konsultacji. Wymaga przyjęcia przez Zarząd SPWS.</dc:description>
  <cp:lastModifiedBy>Komisja regulaminowa SPWS</cp:lastModifiedBy>
  <cp:revision>1</cp:revision>
  <dcterms:created xsi:type="dcterms:W3CDTF">2013-12-23T23:15:00Z</dcterms:created>
  <dcterms:modified xsi:type="dcterms:W3CDTF">2013-12-23T23:15:00Z</dcterms:modified>
  <cp:category/>
</cp:coreProperties>
</file>