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160"/>
        <w:jc w:val="right"/>
      </w:pPr>
      <w:r>
        <w:rPr>
          <w:rFonts w:ascii="Aptos" w:hAnsi="Aptos"/>
          <w:b/>
          <w:color w:val="A03A2D"/>
          <w:bdr w:val="single" w:sz="14" w:space="4" w:color="A03A2D"/>
        </w:rPr>
        <w:t>PROJEKT</w:t>
      </w:r>
    </w:p>
    <w:p>
      <w:pPr>
        <w:spacing w:after="640"/>
      </w:pPr>
    </w:p>
    <w:p>
      <w:pPr>
        <w:pStyle w:val="Title"/>
      </w:pPr>
      <w:r>
        <w:t>Regulamin powoływania Reprezentacji Polski Weteranów w szermierce</w:t>
      </w:r>
    </w:p>
    <w:p>
      <w:pPr>
        <w:spacing w:after="1920"/>
      </w:pPr>
      <w:r>
        <w:rPr>
          <w:rFonts w:ascii="Aptos Display" w:hAnsi="Aptos Display"/>
          <w:b/>
          <w:color w:val="174A84"/>
          <w:sz w:val="34"/>
        </w:rPr>
        <w:t>w sezonie 2026/2027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DD4DE"/>
          <w:left w:val="single" w:sz="4" w:color="CDD4DE"/>
          <w:bottom w:val="single" w:sz="4" w:color="CDD4DE"/>
          <w:right w:val="single" w:sz="4" w:color="CDD4DE"/>
          <w:insideH w:val="single" w:sz="4" w:color="CDD4DE"/>
          <w:insideV w:val="single" w:sz="4" w:color="CDD4DE"/>
        </w:tblBorders>
      </w:tblPr>
      <w:tblGrid>
        <w:gridCol w:w="2948"/>
        <w:gridCol w:w="5669"/>
      </w:tblGrid>
      <w:tr>
        <w:trPr>
          <w:cantSplit/>
        </w:trPr>
        <w:tc>
          <w:tcPr>
            <w:tcW w:type="dxa" w:w="2948"/>
            <w:vAlign w:val="center"/>
            <w:shd w:fill="E7EBF1"/>
            <w:tcMar>
              <w:top w:w="110" w:type="dxa"/>
              <w:left w:w="130" w:type="dxa"/>
              <w:bottom w:w="110" w:type="dxa"/>
              <w:right w:w="13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color w:val="667386"/>
                <w:sz w:val="18"/>
              </w:rPr>
              <w:t>Wersja dokumentu</w:t>
            </w:r>
          </w:p>
        </w:tc>
        <w:tc>
          <w:tcPr>
            <w:tcW w:type="dxa" w:w="5669"/>
            <w:vAlign w:val="center"/>
            <w:tcMar>
              <w:top w:w="110" w:type="dxa"/>
              <w:left w:w="130" w:type="dxa"/>
              <w:bottom w:w="110" w:type="dxa"/>
              <w:right w:w="13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sz w:val="20"/>
              </w:rPr>
              <w:t>0.1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E7EBF1"/>
            <w:tcMar>
              <w:top w:w="110" w:type="dxa"/>
              <w:left w:w="130" w:type="dxa"/>
              <w:bottom w:w="110" w:type="dxa"/>
              <w:right w:w="13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color w:val="667386"/>
                <w:sz w:val="18"/>
              </w:rPr>
              <w:t>Status</w:t>
            </w:r>
          </w:p>
        </w:tc>
        <w:tc>
          <w:tcPr>
            <w:tcW w:type="dxa" w:w="5669"/>
            <w:vAlign w:val="center"/>
            <w:tcMar>
              <w:top w:w="110" w:type="dxa"/>
              <w:left w:w="130" w:type="dxa"/>
              <w:bottom w:w="110" w:type="dxa"/>
              <w:right w:w="13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sz w:val="20"/>
              </w:rPr>
              <w:t>projekt do konsultacji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E7EBF1"/>
            <w:tcMar>
              <w:top w:w="110" w:type="dxa"/>
              <w:left w:w="130" w:type="dxa"/>
              <w:bottom w:w="110" w:type="dxa"/>
              <w:right w:w="130" w:type="dxa"/>
            </w:tcMar>
          </w:tcPr>
          <w:p>
            <w:pPr>
              <w:keepNext w:val="0"/>
              <w:spacing w:after="0"/>
            </w:pPr>
            <w:r>
              <w:rPr>
                <w:rFonts w:ascii="Aptos" w:hAnsi="Aptos"/>
                <w:color w:val="667386"/>
                <w:sz w:val="18"/>
              </w:rPr>
              <w:t>Data projektu</w:t>
            </w:r>
          </w:p>
        </w:tc>
        <w:tc>
          <w:tcPr>
            <w:tcW w:type="dxa" w:w="5669"/>
            <w:vAlign w:val="center"/>
            <w:tcMar>
              <w:top w:w="110" w:type="dxa"/>
              <w:left w:w="130" w:type="dxa"/>
              <w:bottom w:w="110" w:type="dxa"/>
              <w:right w:w="130" w:type="dxa"/>
            </w:tcMar>
          </w:tcPr>
          <w:p>
            <w:pPr>
              <w:keepNext w:val="0"/>
              <w:spacing w:after="0"/>
            </w:pPr>
            <w:r>
              <w:rPr>
                <w:rFonts w:ascii="Aptos" w:hAnsi="Aptos"/>
                <w:sz w:val="20"/>
              </w:rPr>
              <w:t>[data]</w:t>
            </w:r>
          </w:p>
        </w:tc>
      </w:tr>
    </w:tbl>
    <w:p>
      <w:r>
        <w:br w:type="page"/>
      </w:r>
    </w:p>
    <w:p>
      <w:bookmarkStart w:id="239877506" w:name="_Toc239877506"/>
      <w:pPr>
        <w:pStyle w:val="Heading1"/>
        <w:spacing w:after="320"/>
      </w:pPr>
      <w:r>
        <w:t>Spis treści</w:t>
      </w:r>
      <w:bookmarkEnd w:id="239877506"/>
    </w:p>
    <w:p>
      <w:pPr>
        <w:pStyle w:val="TOC1"/>
        <w:tabs>
          <w:tab w:val="right" w:leader="dot" w:pos="9062"/>
        </w:tabs>
        <w:rPr>
          <w:noProof/>
        </w:rPr>
      </w:pPr>
      <w:r>
        <w:fldChar w:fldCharType="begin"/>
        <w:instrText xml:space="preserve">TOC \o "1-2" \h \z \u</w:instrText>
        <w:fldChar w:fldCharType="separate"/>
      </w:r>
      <w:hyperlink w:anchor="_Toc239877506" w:history="1">
        <w:r>
          <w:rPr>
            <w:rStyle w:val="Hyperlink"/>
            <w:noProof/>
          </w:rPr>
          <w:t>Spis treści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_Toc239877506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>
      <w:pPr>
        <w:pStyle w:val="TOC1"/>
        <w:tabs>
          <w:tab w:val="right" w:leader="dot" w:pos="9062"/>
        </w:tabs>
        <w:rPr>
          <w:noProof/>
        </w:rPr>
      </w:pPr>
      <w:hyperlink w:anchor="_Toc239877507" w:history="1">
        <w:r>
          <w:rPr>
            <w:rStyle w:val="Hyperlink"/>
            <w:noProof/>
          </w:rPr>
          <w:t>Konstrukcja regulaminu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_Toc239877507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>
      <w:pPr>
        <w:pStyle w:val="TOC1"/>
        <w:tabs>
          <w:tab w:val="right" w:leader="dot" w:pos="9062"/>
        </w:tabs>
        <w:rPr>
          <w:noProof/>
        </w:rPr>
      </w:pPr>
      <w:hyperlink w:anchor="_Toc239877508" w:history="1">
        <w:r>
          <w:rPr>
            <w:rStyle w:val="Hyperlink"/>
            <w:noProof/>
          </w:rPr>
          <w:t>Postanowienia ogólne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_Toc239877508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>
      <w:pPr>
        <w:pStyle w:val="TOC1"/>
        <w:tabs>
          <w:tab w:val="right" w:leader="dot" w:pos="9062"/>
        </w:tabs>
        <w:rPr>
          <w:noProof/>
        </w:rPr>
      </w:pPr>
      <w:hyperlink w:anchor="_Toc239877509" w:history="1">
        <w:r>
          <w:rPr>
            <w:rStyle w:val="Hyperlink"/>
            <w:noProof/>
          </w:rPr>
          <w:t>Ranking wyłaniania reprezentacji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_Toc239877509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>
      <w:pPr>
        <w:pStyle w:val="TOC1"/>
        <w:tabs>
          <w:tab w:val="right" w:leader="dot" w:pos="9062"/>
        </w:tabs>
        <w:rPr>
          <w:noProof/>
        </w:rPr>
      </w:pPr>
      <w:hyperlink w:anchor="_Toc239877510" w:history="1">
        <w:r>
          <w:rPr>
            <w:rStyle w:val="Hyperlink"/>
            <w:noProof/>
          </w:rPr>
          <w:t>Powołania do startów indywidualnych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_Toc239877510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>
      <w:pPr>
        <w:pStyle w:val="TOC1"/>
        <w:tabs>
          <w:tab w:val="right" w:leader="dot" w:pos="9062"/>
        </w:tabs>
        <w:rPr>
          <w:noProof/>
        </w:rPr>
      </w:pPr>
      <w:hyperlink w:anchor="_Toc239877511" w:history="1">
        <w:r>
          <w:rPr>
            <w:rStyle w:val="Hyperlink"/>
            <w:noProof/>
          </w:rPr>
          <w:t>Dobór składu drużyny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_Toc239877511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>
      <w:pPr>
        <w:pStyle w:val="TOC1"/>
        <w:tabs>
          <w:tab w:val="right" w:leader="dot" w:pos="9062"/>
        </w:tabs>
        <w:rPr>
          <w:noProof/>
        </w:rPr>
      </w:pPr>
      <w:hyperlink w:anchor="_Toc239877512" w:history="1">
        <w:r>
          <w:rPr>
            <w:rStyle w:val="Hyperlink"/>
            <w:noProof/>
          </w:rPr>
          <w:t>Terminarz procesu powoływania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_Toc239877512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>
      <w:pPr>
        <w:pStyle w:val="TOC1"/>
        <w:tabs>
          <w:tab w:val="right" w:leader="dot" w:pos="9062"/>
        </w:tabs>
        <w:rPr>
          <w:noProof/>
        </w:rPr>
      </w:pPr>
      <w:hyperlink w:anchor="_Toc239877513" w:history="1">
        <w:r>
          <w:rPr>
            <w:rStyle w:val="Hyperlink"/>
            <w:noProof/>
          </w:rPr>
          <w:t>Ocena regulaminu i doskonalenie metody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_Toc239877513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>
      <w:pPr>
        <w:pStyle w:val="TOC1"/>
        <w:tabs>
          <w:tab w:val="right" w:leader="dot" w:pos="9062"/>
        </w:tabs>
        <w:rPr>
          <w:noProof/>
        </w:rPr>
      </w:pPr>
      <w:hyperlink w:anchor="_Toc239877514" w:history="1">
        <w:r>
          <w:rPr>
            <w:rStyle w:val="Hyperlink"/>
            <w:noProof/>
          </w:rPr>
          <w:t>Postanowienia końcowe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_Toc239877514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>
      <w:pPr>
        <w:pStyle w:val="TOC1"/>
        <w:tabs>
          <w:tab w:val="right" w:leader="dot" w:pos="9062"/>
        </w:tabs>
        <w:rPr>
          <w:noProof/>
        </w:rPr>
      </w:pPr>
      <w:hyperlink w:anchor="_Toc239877515" w:history="1">
        <w:r>
          <w:rPr>
            <w:rStyle w:val="Hyperlink"/>
            <w:noProof/>
          </w:rPr>
          <w:t>Historia wersji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_Toc239877515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>
      <w:pPr>
        <w:spacing w:after="320"/>
      </w:pPr>
      <w:r>
        <w:fldChar w:fldCharType="end"/>
      </w:r>
    </w:p>
    <w:p>
      <w:r>
        <w:br w:type="page"/>
      </w:r>
    </w:p>
    <w:p>
      <w:bookmarkStart w:id="239877507" w:name="_Toc239877507"/>
      <w:pPr>
        <w:pStyle w:val="Heading1"/>
      </w:pPr>
      <w:r>
        <w:t>Konstrukcja Regulaminu</w:t>
      </w:r>
      <w:bookmarkEnd w:id="239877507"/>
    </w:p>
    <w:p>
      <w:r>
        <w:t>Treść dokumentu podzielono następująco: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DD4DE"/>
          <w:left w:val="single" w:sz="4" w:color="CDD4DE"/>
          <w:bottom w:val="single" w:sz="4" w:color="CDD4DE"/>
          <w:right w:val="single" w:sz="4" w:color="CDD4DE"/>
          <w:insideH w:val="single" w:sz="4" w:color="CDD4DE"/>
          <w:insideV w:val="single" w:sz="4" w:color="CDD4DE"/>
        </w:tblBorders>
      </w:tblPr>
      <w:tblGrid>
        <w:gridCol w:w="1020"/>
        <w:gridCol w:w="2948"/>
        <w:gridCol w:w="5102"/>
      </w:tblGrid>
      <w:tr>
        <w:trPr>
          <w:tblHeader w:val="true"/>
          <w:cantSplit/>
        </w:trPr>
        <w:tc>
          <w:tcPr>
            <w:tcW w:type="dxa" w:w="1020"/>
            <w:shd w:fill="174A84"/>
            <w:tcMar>
              <w:top w:w="110" w:type="dxa"/>
              <w:left w:w="130" w:type="dxa"/>
              <w:bottom w:w="110" w:type="dxa"/>
              <w:right w:w="13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Rozdział</w:t>
            </w:r>
          </w:p>
        </w:tc>
        <w:tc>
          <w:tcPr>
            <w:tcW w:type="dxa" w:w="2948"/>
            <w:shd w:fill="174A84"/>
            <w:tcMar>
              <w:top w:w="110" w:type="dxa"/>
              <w:left w:w="130" w:type="dxa"/>
              <w:bottom w:w="110" w:type="dxa"/>
              <w:right w:w="13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Tytuł</w:t>
            </w:r>
          </w:p>
        </w:tc>
        <w:tc>
          <w:tcPr>
            <w:tcW w:type="dxa" w:w="5102"/>
            <w:shd w:fill="174A84"/>
            <w:tcMar>
              <w:top w:w="110" w:type="dxa"/>
              <w:left w:w="130" w:type="dxa"/>
              <w:bottom w:w="110" w:type="dxa"/>
              <w:right w:w="13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Zakres</w:t>
            </w:r>
          </w:p>
        </w:tc>
      </w:tr>
      <w:tr>
        <w:trPr>
          <w:cantSplit/>
        </w:trPr>
        <w:tc>
          <w:tcPr>
            <w:tcW w:type="dxa" w:w="1020"/>
            <w:tcMar>
              <w:top w:w="110" w:type="dxa"/>
              <w:left w:w="130" w:type="dxa"/>
              <w:bottom w:w="110" w:type="dxa"/>
              <w:right w:w="130" w:type="dxa"/>
            </w:tcMar>
          </w:tcPr>
          <w:p>
            <w:pPr>
              <w:keepNext/>
            </w:pPr>
            <w:r>
              <w:rPr>
                <w:rFonts w:ascii="Aptos" w:hAnsi="Aptos"/>
                <w:b/>
                <w:color w:val="174A84"/>
                <w:sz w:val="18"/>
              </w:rPr>
              <w:t>1</w:t>
            </w:r>
          </w:p>
        </w:tc>
        <w:tc>
          <w:tcPr>
            <w:tcW w:type="dxa" w:w="2948"/>
            <w:tcMar>
              <w:top w:w="110" w:type="dxa"/>
              <w:left w:w="130" w:type="dxa"/>
              <w:bottom w:w="110" w:type="dxa"/>
              <w:right w:w="130" w:type="dxa"/>
            </w:tcMar>
          </w:tcPr>
          <w:p>
            <w:pPr>
              <w:keepNext/>
            </w:pPr>
            <w:r>
              <w:rPr>
                <w:rFonts w:ascii="Aptos" w:hAnsi="Aptos"/>
                <w:b/>
                <w:sz w:val="18"/>
              </w:rPr>
              <w:t>Postanowienia ogólne</w:t>
            </w:r>
          </w:p>
        </w:tc>
        <w:tc>
          <w:tcPr>
            <w:tcW w:type="dxa" w:w="5102"/>
            <w:tcMar>
              <w:top w:w="110" w:type="dxa"/>
              <w:left w:w="130" w:type="dxa"/>
              <w:bottom w:w="110" w:type="dxa"/>
              <w:right w:w="130" w:type="dxa"/>
            </w:tcMar>
          </w:tcPr>
          <w:p>
            <w:pPr>
              <w:keepNext/>
            </w:pPr>
            <w:r>
              <w:rPr>
                <w:rFonts w:ascii="Aptos" w:hAnsi="Aptos"/>
                <w:color w:val="667386"/>
                <w:sz w:val="18"/>
              </w:rPr>
              <w:t>przedmiot, definicje i zasady wyłaniania reprezentacji</w:t>
            </w:r>
          </w:p>
        </w:tc>
      </w:tr>
      <w:tr>
        <w:trPr>
          <w:cantSplit/>
        </w:trPr>
        <w:tc>
          <w:tcPr>
            <w:tcW w:type="dxa" w:w="1020"/>
            <w:tcMar>
              <w:top w:w="110" w:type="dxa"/>
              <w:left w:w="130" w:type="dxa"/>
              <w:bottom w:w="110" w:type="dxa"/>
              <w:right w:w="130" w:type="dxa"/>
            </w:tcMar>
          </w:tcPr>
          <w:p>
            <w:pPr>
              <w:keepNext/>
            </w:pPr>
            <w:r>
              <w:rPr>
                <w:rFonts w:ascii="Aptos" w:hAnsi="Aptos"/>
                <w:b/>
                <w:color w:val="174A84"/>
                <w:sz w:val="18"/>
              </w:rPr>
              <w:t>2</w:t>
            </w:r>
          </w:p>
        </w:tc>
        <w:tc>
          <w:tcPr>
            <w:tcW w:type="dxa" w:w="2948"/>
            <w:tcMar>
              <w:top w:w="110" w:type="dxa"/>
              <w:left w:w="130" w:type="dxa"/>
              <w:bottom w:w="110" w:type="dxa"/>
              <w:right w:w="130" w:type="dxa"/>
            </w:tcMar>
          </w:tcPr>
          <w:p>
            <w:pPr>
              <w:keepNext/>
            </w:pPr>
            <w:r>
              <w:rPr>
                <w:rFonts w:ascii="Aptos" w:hAnsi="Aptos"/>
                <w:b/>
                <w:sz w:val="18"/>
              </w:rPr>
              <w:t>Ranking wyłaniania reprezentacji</w:t>
            </w:r>
          </w:p>
        </w:tc>
        <w:tc>
          <w:tcPr>
            <w:tcW w:type="dxa" w:w="5102"/>
            <w:tcMar>
              <w:top w:w="110" w:type="dxa"/>
              <w:left w:w="130" w:type="dxa"/>
              <w:bottom w:w="110" w:type="dxa"/>
              <w:right w:w="130" w:type="dxa"/>
            </w:tcMar>
          </w:tcPr>
          <w:p>
            <w:pPr>
              <w:keepNext/>
            </w:pPr>
            <w:r>
              <w:rPr>
                <w:rFonts w:ascii="Aptos" w:hAnsi="Aptos"/>
                <w:color w:val="667386"/>
                <w:sz w:val="18"/>
              </w:rPr>
              <w:t>rola Rankingu, zawody, punktacja i warunki ujęcia wyników</w:t>
            </w:r>
          </w:p>
        </w:tc>
      </w:tr>
      <w:tr>
        <w:trPr>
          <w:cantSplit/>
        </w:trPr>
        <w:tc>
          <w:tcPr>
            <w:tcW w:type="dxa" w:w="1020"/>
            <w:tcMar>
              <w:top w:w="110" w:type="dxa"/>
              <w:left w:w="130" w:type="dxa"/>
              <w:bottom w:w="110" w:type="dxa"/>
              <w:right w:w="130" w:type="dxa"/>
            </w:tcMar>
          </w:tcPr>
          <w:p>
            <w:pPr>
              <w:keepNext/>
            </w:pPr>
            <w:r>
              <w:rPr>
                <w:rFonts w:ascii="Aptos" w:hAnsi="Aptos"/>
                <w:b/>
                <w:color w:val="174A84"/>
                <w:sz w:val="18"/>
              </w:rPr>
              <w:t>3</w:t>
            </w:r>
          </w:p>
        </w:tc>
        <w:tc>
          <w:tcPr>
            <w:tcW w:type="dxa" w:w="2948"/>
            <w:tcMar>
              <w:top w:w="110" w:type="dxa"/>
              <w:left w:w="130" w:type="dxa"/>
              <w:bottom w:w="110" w:type="dxa"/>
              <w:right w:w="130" w:type="dxa"/>
            </w:tcMar>
          </w:tcPr>
          <w:p>
            <w:pPr>
              <w:keepNext/>
            </w:pPr>
            <w:r>
              <w:rPr>
                <w:rFonts w:ascii="Aptos" w:hAnsi="Aptos"/>
                <w:b/>
                <w:sz w:val="18"/>
              </w:rPr>
              <w:t>Powołania do startów indywidualnych</w:t>
            </w:r>
          </w:p>
        </w:tc>
        <w:tc>
          <w:tcPr>
            <w:tcW w:type="dxa" w:w="5102"/>
            <w:tcMar>
              <w:top w:w="110" w:type="dxa"/>
              <w:left w:w="130" w:type="dxa"/>
              <w:bottom w:w="110" w:type="dxa"/>
              <w:right w:w="130" w:type="dxa"/>
            </w:tcMar>
          </w:tcPr>
          <w:p>
            <w:pPr>
              <w:keepNext/>
            </w:pPr>
            <w:r>
              <w:rPr>
                <w:rFonts w:ascii="Aptos" w:hAnsi="Aptos"/>
                <w:color w:val="667386"/>
                <w:sz w:val="18"/>
              </w:rPr>
              <w:t>kolejność kandydatów, rezygnacje i zastępstwa</w:t>
            </w:r>
          </w:p>
        </w:tc>
      </w:tr>
      <w:tr>
        <w:trPr>
          <w:cantSplit/>
        </w:trPr>
        <w:tc>
          <w:tcPr>
            <w:tcW w:type="dxa" w:w="1020"/>
            <w:tcMar>
              <w:top w:w="110" w:type="dxa"/>
              <w:left w:w="130" w:type="dxa"/>
              <w:bottom w:w="110" w:type="dxa"/>
              <w:right w:w="130" w:type="dxa"/>
            </w:tcMar>
          </w:tcPr>
          <w:p>
            <w:pPr>
              <w:keepNext/>
            </w:pPr>
            <w:r>
              <w:rPr>
                <w:rFonts w:ascii="Aptos" w:hAnsi="Aptos"/>
                <w:b/>
                <w:color w:val="174A84"/>
                <w:sz w:val="18"/>
              </w:rPr>
              <w:t>4</w:t>
            </w:r>
          </w:p>
        </w:tc>
        <w:tc>
          <w:tcPr>
            <w:tcW w:type="dxa" w:w="2948"/>
            <w:tcMar>
              <w:top w:w="110" w:type="dxa"/>
              <w:left w:w="130" w:type="dxa"/>
              <w:bottom w:w="110" w:type="dxa"/>
              <w:right w:w="130" w:type="dxa"/>
            </w:tcMar>
          </w:tcPr>
          <w:p>
            <w:pPr>
              <w:keepNext/>
            </w:pPr>
            <w:r>
              <w:rPr>
                <w:rFonts w:ascii="Aptos" w:hAnsi="Aptos"/>
                <w:b/>
                <w:sz w:val="18"/>
              </w:rPr>
              <w:t>Dobór składu drużyny</w:t>
            </w:r>
          </w:p>
        </w:tc>
        <w:tc>
          <w:tcPr>
            <w:tcW w:type="dxa" w:w="5102"/>
            <w:tcMar>
              <w:top w:w="110" w:type="dxa"/>
              <w:left w:w="130" w:type="dxa"/>
              <w:bottom w:w="110" w:type="dxa"/>
              <w:right w:w="130" w:type="dxa"/>
            </w:tcMar>
          </w:tcPr>
          <w:p>
            <w:pPr>
              <w:keepNext/>
            </w:pPr>
            <w:r>
              <w:rPr>
                <w:rFonts w:ascii="Aptos" w:hAnsi="Aptos"/>
                <w:color w:val="667386"/>
                <w:sz w:val="18"/>
              </w:rPr>
              <w:t>pula kandydatów, wymogi kategorii i procedury wyboru</w:t>
            </w:r>
          </w:p>
        </w:tc>
      </w:tr>
      <w:tr>
        <w:trPr>
          <w:cantSplit/>
        </w:trPr>
        <w:tc>
          <w:tcPr>
            <w:tcW w:type="dxa" w:w="1020"/>
            <w:tcMar>
              <w:top w:w="110" w:type="dxa"/>
              <w:left w:w="130" w:type="dxa"/>
              <w:bottom w:w="110" w:type="dxa"/>
              <w:right w:w="130" w:type="dxa"/>
            </w:tcMar>
          </w:tcPr>
          <w:p>
            <w:pPr>
              <w:keepNext/>
            </w:pPr>
            <w:r>
              <w:rPr>
                <w:rFonts w:ascii="Aptos" w:hAnsi="Aptos"/>
                <w:b/>
                <w:color w:val="174A84"/>
                <w:sz w:val="18"/>
              </w:rPr>
              <w:t>5</w:t>
            </w:r>
          </w:p>
        </w:tc>
        <w:tc>
          <w:tcPr>
            <w:tcW w:type="dxa" w:w="2948"/>
            <w:tcMar>
              <w:top w:w="110" w:type="dxa"/>
              <w:left w:w="130" w:type="dxa"/>
              <w:bottom w:w="110" w:type="dxa"/>
              <w:right w:w="130" w:type="dxa"/>
            </w:tcMar>
          </w:tcPr>
          <w:p>
            <w:pPr>
              <w:keepNext/>
            </w:pPr>
            <w:r>
              <w:rPr>
                <w:rFonts w:ascii="Aptos" w:hAnsi="Aptos"/>
                <w:b/>
                <w:sz w:val="18"/>
              </w:rPr>
              <w:t>Terminarz procesu powoływania</w:t>
            </w:r>
          </w:p>
        </w:tc>
        <w:tc>
          <w:tcPr>
            <w:tcW w:type="dxa" w:w="5102"/>
            <w:tcMar>
              <w:top w:w="110" w:type="dxa"/>
              <w:left w:w="130" w:type="dxa"/>
              <w:bottom w:w="110" w:type="dxa"/>
              <w:right w:w="130" w:type="dxa"/>
            </w:tcMar>
          </w:tcPr>
          <w:p>
            <w:pPr>
              <w:keepNext/>
            </w:pPr>
            <w:r>
              <w:rPr>
                <w:rFonts w:ascii="Aptos" w:hAnsi="Aptos"/>
                <w:color w:val="667386"/>
                <w:sz w:val="18"/>
              </w:rPr>
              <w:t>terminy, deklaracje, odpowiedzialność, korekty danych i dokumentacja powołań</w:t>
            </w:r>
          </w:p>
        </w:tc>
      </w:tr>
      <w:tr>
        <w:trPr>
          <w:cantSplit/>
        </w:trPr>
        <w:tc>
          <w:tcPr>
            <w:tcW w:type="dxa" w:w="1020"/>
            <w:tcMar>
              <w:top w:w="110" w:type="dxa"/>
              <w:left w:w="130" w:type="dxa"/>
              <w:bottom w:w="110" w:type="dxa"/>
              <w:right w:w="130" w:type="dxa"/>
            </w:tcMar>
          </w:tcPr>
          <w:p>
            <w:pPr>
              <w:keepNext/>
            </w:pPr>
            <w:r>
              <w:rPr>
                <w:rFonts w:ascii="Aptos" w:hAnsi="Aptos"/>
                <w:b/>
                <w:color w:val="174A84"/>
                <w:sz w:val="18"/>
              </w:rPr>
              <w:t>6</w:t>
            </w:r>
          </w:p>
        </w:tc>
        <w:tc>
          <w:tcPr>
            <w:tcW w:type="dxa" w:w="2948"/>
            <w:tcMar>
              <w:top w:w="110" w:type="dxa"/>
              <w:left w:w="130" w:type="dxa"/>
              <w:bottom w:w="110" w:type="dxa"/>
              <w:right w:w="130" w:type="dxa"/>
            </w:tcMar>
          </w:tcPr>
          <w:p>
            <w:pPr>
              <w:keepNext/>
            </w:pPr>
            <w:r>
              <w:rPr>
                <w:rFonts w:ascii="Aptos" w:hAnsi="Aptos"/>
                <w:b/>
                <w:sz w:val="18"/>
              </w:rPr>
              <w:t>Ocena Regulaminu i doskonalenie metody</w:t>
            </w:r>
          </w:p>
        </w:tc>
        <w:tc>
          <w:tcPr>
            <w:tcW w:type="dxa" w:w="5102"/>
            <w:tcMar>
              <w:top w:w="110" w:type="dxa"/>
              <w:left w:w="130" w:type="dxa"/>
              <w:bottom w:w="110" w:type="dxa"/>
              <w:right w:w="130" w:type="dxa"/>
            </w:tcMar>
          </w:tcPr>
          <w:p>
            <w:pPr>
              <w:keepNext/>
            </w:pPr>
            <w:r>
              <w:rPr>
                <w:rFonts w:ascii="Aptos" w:hAnsi="Aptos"/>
                <w:color w:val="667386"/>
                <w:sz w:val="18"/>
              </w:rPr>
              <w:t>ewaluacja sezonowa i przygotowanie zmian</w:t>
            </w:r>
          </w:p>
        </w:tc>
      </w:tr>
      <w:tr>
        <w:trPr>
          <w:cantSplit/>
        </w:trPr>
        <w:tc>
          <w:tcPr>
            <w:tcW w:type="dxa" w:w="1020"/>
            <w:tcMar>
              <w:top w:w="110" w:type="dxa"/>
              <w:left w:w="130" w:type="dxa"/>
              <w:bottom w:w="110" w:type="dxa"/>
              <w:right w:w="130" w:type="dxa"/>
            </w:tcMar>
          </w:tcPr>
          <w:p>
            <w:pPr>
              <w:keepNext w:val="0"/>
            </w:pPr>
            <w:r>
              <w:rPr>
                <w:rFonts w:ascii="Aptos" w:hAnsi="Aptos"/>
                <w:b/>
                <w:color w:val="174A84"/>
                <w:sz w:val="18"/>
              </w:rPr>
              <w:t>7</w:t>
            </w:r>
          </w:p>
        </w:tc>
        <w:tc>
          <w:tcPr>
            <w:tcW w:type="dxa" w:w="2948"/>
            <w:tcMar>
              <w:top w:w="110" w:type="dxa"/>
              <w:left w:w="130" w:type="dxa"/>
              <w:bottom w:w="110" w:type="dxa"/>
              <w:right w:w="130" w:type="dxa"/>
            </w:tcMar>
          </w:tcPr>
          <w:p>
            <w:pPr>
              <w:keepNext w:val="0"/>
            </w:pPr>
            <w:r>
              <w:rPr>
                <w:rFonts w:ascii="Aptos" w:hAnsi="Aptos"/>
                <w:b/>
                <w:sz w:val="18"/>
              </w:rPr>
              <w:t>Postanowienia końcowe</w:t>
            </w:r>
          </w:p>
        </w:tc>
        <w:tc>
          <w:tcPr>
            <w:tcW w:type="dxa" w:w="5102"/>
            <w:tcMar>
              <w:top w:w="110" w:type="dxa"/>
              <w:left w:w="130" w:type="dxa"/>
              <w:bottom w:w="110" w:type="dxa"/>
              <w:right w:w="130" w:type="dxa"/>
            </w:tcMar>
          </w:tcPr>
          <w:p>
            <w:pPr>
              <w:keepNext w:val="0"/>
            </w:pPr>
            <w:r>
              <w:rPr>
                <w:rFonts w:ascii="Aptos" w:hAnsi="Aptos"/>
                <w:color w:val="667386"/>
                <w:sz w:val="18"/>
              </w:rPr>
              <w:t>wejście w życie i przepis przejściowy</w:t>
            </w:r>
          </w:p>
        </w:tc>
      </w:tr>
    </w:tbl>
    <w:p>
      <w:r>
        <w:br w:type="page"/>
      </w:r>
    </w:p>
    <w:p>
      <w:pPr>
        <w:pStyle w:val="Etykietarozdzialu"/>
        <w:pageBreakBefore/>
      </w:pPr>
      <w:r>
        <w:t>Rozdział 1</w:t>
      </w:r>
    </w:p>
    <w:p>
      <w:bookmarkStart w:id="239877508" w:name="_Toc239877508"/>
      <w:pPr>
        <w:pStyle w:val="Heading1"/>
        <w:jc w:val="center"/>
      </w:pPr>
      <w:r>
        <w:t>Postanowienia ogólne</w:t>
      </w:r>
      <w:bookmarkEnd w:id="239877508"/>
    </w:p>
    <w:p>
      <w:pPr>
        <w:pStyle w:val="Paragraf"/>
        <w:keepNext/>
      </w:pPr>
      <w:r>
        <w:t>§ 1</w:t>
      </w:r>
    </w:p>
    <w:p>
      <w:pPr>
        <w:pStyle w:val="Tytułparagrafu"/>
        <w:keepNext/>
      </w:pPr>
      <w:r>
        <w:t>Przedmiot regulaminu</w:t>
      </w:r>
    </w:p>
    <w:p>
      <w:pPr>
        <w:keepLines/>
        <w:ind w:left="85"/>
      </w:pPr>
      <w:r>
        <w:t>Regulamin powoływania Reprezentacji Polski Weteranów w Szermierce zwany dalej “Regulaminem” określa zasady kwalifikowania i powoływania zawodników do reprezentacji Polski na indywidualne i drużynowe zawody międzynarodowe rangi mistrzowskiej, w których liczba zawodników reprezentujących państwo podlega ograniczeniom określonym przez organizatora zawodów.</w:t>
      </w:r>
    </w:p>
    <w:p>
      <w:pPr>
        <w:pStyle w:val="Paragraf"/>
        <w:keepNext/>
        <w:ind w:left="85"/>
      </w:pPr>
      <w:r>
        <w:t>§ 2</w:t>
      </w:r>
    </w:p>
    <w:p>
      <w:pPr>
        <w:pStyle w:val="Tytułparagrafu"/>
        <w:keepNext/>
      </w:pPr>
      <w:r>
        <w:t>Definicje</w:t>
      </w:r>
    </w:p>
    <w:p>
      <w:pPr>
        <w:keepLines/>
        <w:ind w:left="85"/>
      </w:pPr>
      <w:r>
        <w:t>Ilekroć w Regulaminie jest mowa o:</w:t>
      </w:r>
    </w:p>
    <w:p>
      <w:pPr>
        <w:ind w:left="595" w:hanging="255"/>
      </w:pPr>
      <w:r>
        <w:t xml:space="preserve">1) </w:t>
      </w:r>
      <w:r>
        <w:rPr>
          <w:b/>
        </w:rPr>
        <w:t>SPWS</w:t>
      </w:r>
      <w:r>
        <w:t xml:space="preserve"> – należy przez to rozumieć Stowarzyszenie Polskich Weteranów Szermierki;</w:t>
      </w:r>
    </w:p>
    <w:p>
      <w:pPr>
        <w:ind w:left="595" w:hanging="255"/>
      </w:pPr>
      <w:r>
        <w:t xml:space="preserve">2) </w:t>
      </w:r>
      <w:r>
        <w:rPr>
          <w:b/>
        </w:rPr>
        <w:t>PZSz</w:t>
      </w:r>
      <w:r>
        <w:t xml:space="preserve"> – należy przez to rozumieć Polski Związek Szermierczy;</w:t>
      </w:r>
    </w:p>
    <w:p>
      <w:pPr>
        <w:ind w:left="595" w:hanging="255"/>
      </w:pPr>
      <w:r>
        <w:t xml:space="preserve">3) </w:t>
      </w:r>
      <w:r>
        <w:rPr>
          <w:b/>
        </w:rPr>
        <w:t>EVF</w:t>
      </w:r>
      <w:r>
        <w:t xml:space="preserve"> – należy przez to rozumieć European Veterans Fencing;</w:t>
      </w:r>
    </w:p>
    <w:p>
      <w:pPr>
        <w:ind w:left="595" w:hanging="255"/>
      </w:pPr>
      <w:r>
        <w:t xml:space="preserve">4) </w:t>
      </w:r>
      <w:r>
        <w:rPr>
          <w:b/>
        </w:rPr>
        <w:t>FIE</w:t>
      </w:r>
      <w:r>
        <w:t xml:space="preserve"> – należy przez to rozumieć Fédération Internationale d’Escrime (Międzynarodową Federację Szermierczą);</w:t>
      </w:r>
    </w:p>
    <w:p>
      <w:pPr>
        <w:ind w:left="595" w:hanging="255"/>
      </w:pPr>
      <w:r>
        <w:t xml:space="preserve">5) </w:t>
      </w:r>
      <w:r>
        <w:rPr>
          <w:b/>
        </w:rPr>
        <w:t>Rankingu</w:t>
      </w:r>
      <w:r>
        <w:t xml:space="preserve"> – należy przez to rozumieć Ranking wyłaniania Reprezentacji Polski Weteranów, prowadzony osobno dla każdej broni, płci i kategorii wiekowej;</w:t>
      </w:r>
    </w:p>
    <w:p>
      <w:pPr>
        <w:ind w:left="595" w:hanging="255"/>
      </w:pPr>
      <w:r>
        <w:t xml:space="preserve">6) </w:t>
      </w:r>
      <w:r>
        <w:rPr>
          <w:b/>
        </w:rPr>
        <w:t>rankingu hybrydowym</w:t>
      </w:r>
      <w:r>
        <w:t xml:space="preserve"> – należy przez to rozumieć Ranking, w którym wyniki są aktualizowane z zastosowaniem aktualizacji krokowej albo wygaszania kalendarzowego, zależnie od organizatora i rodzaju zawodów;</w:t>
      </w:r>
    </w:p>
    <w:p>
      <w:pPr>
        <w:ind w:left="595" w:hanging="255"/>
      </w:pPr>
      <w:r>
        <w:t xml:space="preserve">7) </w:t>
      </w:r>
      <w:r>
        <w:rPr>
          <w:b/>
        </w:rPr>
        <w:t>aktualizacji krokowej</w:t>
      </w:r>
      <w:r>
        <w:t xml:space="preserve"> – należy przez to rozumieć sposób aktualizacji wyników zawodów organizowanych przez SPWS, PZSz lub FIE, zgodnie z którym punkty za zawody z poprzedniego sezonu pozostają w Rankingu do czasu uwzględnienia punktów za odpowiadające im zawody w sezonie bieżącym, po czym poprzedni wynik przestaje być uwzględniany;</w:t>
      </w:r>
    </w:p>
    <w:p>
      <w:pPr>
        <w:ind w:left="595" w:hanging="255"/>
      </w:pPr>
      <w:r>
        <w:t xml:space="preserve">8) </w:t>
      </w:r>
      <w:r>
        <w:rPr>
          <w:b/>
        </w:rPr>
        <w:t>wygaszaniu kalendarzowym</w:t>
      </w:r>
      <w:r>
        <w:t xml:space="preserve"> – należy przez to rozumieć sposób uwzględniania wyników zawodów organizowanych przez EVF, zgodnie z którym uzyskane punkty pozostają w Rankingu przez okres właściwy dla danego rodzaju zawodów, liczony od dnia zakończenia zawodów, niezależnie od tego, czy zawody mają odpowiednik w kolejnym sezonie, a po upływie tego okresu przestają być uwzględniane;</w:t>
      </w:r>
    </w:p>
    <w:p>
      <w:pPr>
        <w:ind w:left="595" w:hanging="255"/>
      </w:pPr>
      <w:r>
        <w:t xml:space="preserve">9) </w:t>
      </w:r>
      <w:r>
        <w:rPr>
          <w:b/>
        </w:rPr>
        <w:t>limitowanych zawodach międzynarodowych</w:t>
      </w:r>
      <w:r>
        <w:t xml:space="preserve"> – należy przez to rozumieć indywidualne lub drużynowe zawody międzynarodowe rangi mistrzowskiej, w których liczba zawodników reprezentujących dane państwo jest ograniczona przepisami organizatora zawodów;</w:t>
      </w:r>
    </w:p>
    <w:p>
      <w:pPr>
        <w:ind w:left="595" w:hanging="255"/>
      </w:pPr>
      <w:r>
        <w:t xml:space="preserve">10) </w:t>
      </w:r>
      <w:r>
        <w:rPr>
          <w:b/>
        </w:rPr>
        <w:t>powołaniu uzupełniającym</w:t>
      </w:r>
      <w:r>
        <w:t xml:space="preserve"> – należy przez to rozumieć wyjątkowe powołanie do startu drużynowego zawodnika nieposiadającego dodatniego dorobku punktowego, dokonywane wyłącznie w celu uzupełnienia braków uniemożliwiających wystawienie kompletnej i zgodnej z przepisami drużyny;</w:t>
      </w:r>
    </w:p>
    <w:p>
      <w:pPr>
        <w:ind w:left="595" w:hanging="255"/>
      </w:pPr>
      <w:r>
        <w:t xml:space="preserve">11) </w:t>
      </w:r>
      <w:r>
        <w:rPr>
          <w:b/>
        </w:rPr>
        <w:t>kategorii V0</w:t>
      </w:r>
      <w:r>
        <w:t xml:space="preserve"> – należy przez to rozumieć krajową kategorię zawodników w wieku od 30 do 39 lat, która nie występuje w klasyfikacjach EVF ani FIE:</w:t>
      </w:r>
    </w:p>
    <w:p>
      <w:pPr>
        <w:ind w:left="879" w:hanging="255"/>
      </w:pPr>
      <w:r>
        <w:t xml:space="preserve">a) </w:t>
      </w:r>
      <w:r>
        <w:t>V0 – od 30 do 39 lat.</w:t>
      </w:r>
    </w:p>
    <w:p>
      <w:pPr>
        <w:ind w:left="595" w:hanging="255"/>
      </w:pPr>
      <w:r>
        <w:t xml:space="preserve">12) </w:t>
      </w:r>
      <w:r>
        <w:rPr>
          <w:b/>
        </w:rPr>
        <w:t>kategoriach wiekowych V1–V4</w:t>
      </w:r>
      <w:r>
        <w:t xml:space="preserve"> – należy przez to rozumieć następujące kategorie wiekowe EVF, ustalane według wieku zawodnika na dzień 31 grudnia roku, w którym odbywają się mistrzostwa:</w:t>
      </w:r>
    </w:p>
    <w:p>
      <w:pPr>
        <w:ind w:left="879" w:hanging="255"/>
      </w:pPr>
      <w:r>
        <w:t xml:space="preserve">a) </w:t>
      </w:r>
      <w:r>
        <w:t>V1 – od 40 do 49 lat,</w:t>
      </w:r>
    </w:p>
    <w:p>
      <w:pPr>
        <w:ind w:left="879" w:hanging="255"/>
      </w:pPr>
      <w:r>
        <w:t xml:space="preserve">b) </w:t>
      </w:r>
      <w:r>
        <w:t>V2 – od 50 do 59 lat,</w:t>
      </w:r>
    </w:p>
    <w:p>
      <w:pPr>
        <w:ind w:left="879" w:hanging="255"/>
      </w:pPr>
      <w:r>
        <w:t xml:space="preserve">c) </w:t>
      </w:r>
      <w:r>
        <w:t>V3 – od 60 do 69 lat,</w:t>
      </w:r>
    </w:p>
    <w:p>
      <w:pPr>
        <w:ind w:left="879" w:hanging="255"/>
      </w:pPr>
      <w:r>
        <w:t xml:space="preserve">d) </w:t>
      </w:r>
      <w:r>
        <w:t>V4 – 70 lat i więcej.</w:t>
      </w:r>
    </w:p>
    <w:p>
      <w:pPr>
        <w:pStyle w:val="Paragraf"/>
        <w:keepNext/>
        <w:ind w:left="85"/>
      </w:pPr>
      <w:r>
        <w:t>§ 3</w:t>
      </w:r>
    </w:p>
    <w:p>
      <w:pPr>
        <w:pStyle w:val="Tytułparagrafu"/>
        <w:keepNext/>
      </w:pPr>
      <w:r>
        <w:t>Cel i zasady wyłaniania reprezentacji</w:t>
      </w:r>
    </w:p>
    <w:p>
      <w:pPr>
        <w:keepLines/>
        <w:ind w:left="312" w:hanging="227"/>
      </w:pPr>
      <w:r>
        <w:t xml:space="preserve">1. </w:t>
      </w:r>
      <w:r>
        <w:t>Celem Regulaminu jest wyłonienie możliwie najsilniejszej reprezentacji Polski weteranów w szermierce. Równe traktowanie zawodników oraz przejrzystość zasad stanowią podstawę przyjętego procesu wyłaniania reprezentacji.</w:t>
      </w:r>
    </w:p>
    <w:p>
      <w:pPr>
        <w:ind w:left="312" w:hanging="227"/>
      </w:pPr>
      <w:r>
        <w:t xml:space="preserve">2. </w:t>
      </w:r>
      <w:r>
        <w:t>Proces wyłaniania reprezentacji opiera się na następujących zasadach:</w:t>
      </w:r>
    </w:p>
    <w:p>
      <w:pPr>
        <w:ind w:left="595" w:hanging="255"/>
      </w:pPr>
      <w:r>
        <w:t xml:space="preserve">1) </w:t>
      </w:r>
      <w:r>
        <w:rPr>
          <w:b/>
        </w:rPr>
        <w:t>szerokiego wyboru zawodów</w:t>
      </w:r>
      <w:r>
        <w:t xml:space="preserve"> – w Rankingu uwzględnia się wyniki uzyskane w zawodach ujętych w kalendarzach SPWS, PZSz, EVF i FIE, z zastrzeżeniem odrębnych zasad dla kategorii V0, na zasadach określonych w § 5 ust. 1 lub zgłoszonych do kalendarza PZSz;</w:t>
      </w:r>
    </w:p>
    <w:p>
      <w:pPr>
        <w:ind w:left="595" w:hanging="255"/>
      </w:pPr>
      <w:r>
        <w:t xml:space="preserve">2) </w:t>
      </w:r>
      <w:r>
        <w:rPr>
          <w:b/>
        </w:rPr>
        <w:t>powołania do startów indywidualnych wyłącznie na podstawie Rankingu</w:t>
      </w:r>
      <w:r>
        <w:t xml:space="preserve"> – do startu indywidualnego powołuje się czterech najwyżej sklasyfikowanych zawodników kategorii V1–V4 w Rankingu właściwym dla danej broni, płci i kategorii wiekowej. Zawodnik z zerowym dorobkiem punktowym nie może zostać powołany do reprezentacji. Wyjątek stanowi powołanie uzupełniające, o którym mowa w § 4 ust. 5.</w:t>
      </w:r>
    </w:p>
    <w:p>
      <w:pPr>
        <w:pStyle w:val="Etykietarozdzialu"/>
        <w:pageBreakBefore/>
      </w:pPr>
      <w:r>
        <w:t>Rozdział 2</w:t>
      </w:r>
    </w:p>
    <w:p>
      <w:bookmarkStart w:id="239877509" w:name="_Toc239877509"/>
      <w:pPr>
        <w:pStyle w:val="Heading1"/>
        <w:jc w:val="center"/>
      </w:pPr>
      <w:r>
        <w:t>Ranking wyłaniania reprezentacji</w:t>
      </w:r>
      <w:bookmarkEnd w:id="239877509"/>
    </w:p>
    <w:p>
      <w:pPr>
        <w:pStyle w:val="Paragraf"/>
        <w:keepNext/>
      </w:pPr>
      <w:r>
        <w:t>§ 4</w:t>
      </w:r>
    </w:p>
    <w:p>
      <w:pPr>
        <w:pStyle w:val="Tytułparagrafu"/>
        <w:keepNext/>
      </w:pPr>
      <w:r>
        <w:t>Rola Rankingu</w:t>
      </w:r>
    </w:p>
    <w:p>
      <w:pPr>
        <w:keepLines/>
        <w:ind w:left="312" w:hanging="227"/>
      </w:pPr>
      <w:r>
        <w:t xml:space="preserve">1. </w:t>
      </w:r>
      <w:r>
        <w:t>Ranking w kategoriach V1–V4 stanowi podstawę kwalifikowania zawodników do startów indywidualnych oraz wyłonienia puli kandydatów do składu drużyny.</w:t>
      </w:r>
    </w:p>
    <w:p>
      <w:pPr>
        <w:ind w:left="312" w:hanging="227"/>
      </w:pPr>
      <w:r>
        <w:t xml:space="preserve">2. </w:t>
      </w:r>
      <w:r>
        <w:t>Ranking w kategoriach V1–V4 wyznacza pulę kandydatów do drużyny oraz zapewnia miejsce w jej składzie najwyżej sklasyfikowanemu zawodnikowi z każdej z dwóch kategorii wiekowych objętych daną kategorią drużynową. Pozostałych zawodników drużyny, a w przypadku Drużynowych Mistrzostw Europy także zawodnika rezerwowego, wybiera zespół pełniący funkcję selekcjonera, na zasadach określonych w rozdziale 4.</w:t>
      </w:r>
    </w:p>
    <w:p>
      <w:pPr>
        <w:ind w:left="312" w:hanging="227"/>
      </w:pPr>
      <w:r>
        <w:t xml:space="preserve">3. </w:t>
      </w:r>
      <w:r>
        <w:t>Zawodnik samodzielnie wybiera zawody, w których bierze udział. Warunkiem uwzględnienia go w Rankingu jest co najmniej jeden start w Pucharze Polski Weteranów w Szermierce albo Mistrzostwach Polski Weteranów w Szermierce.</w:t>
      </w:r>
    </w:p>
    <w:p>
      <w:pPr>
        <w:ind w:left="312" w:hanging="227"/>
      </w:pPr>
      <w:r>
        <w:t xml:space="preserve">4. </w:t>
      </w:r>
      <w:r>
        <w:t>Z zastrzeżeniem ust. 5 poniżej, do reprezentacji Polski na limitowane zawody międzynarodowe może zostać powołany wyłącznie zawodnik kategorii V1–V4, który wystartował w co najmniej jednych zawodach uwzględnianych w Rankingu i uzyskał w nim dorobek większy niż zero punktów. Pozycje kategorii V0 nie stanowią podstawy powołania do reprezentacji.</w:t>
      </w:r>
    </w:p>
    <w:p>
      <w:pPr>
        <w:ind w:left="312" w:hanging="227"/>
      </w:pPr>
      <w:r>
        <w:t xml:space="preserve">5. </w:t>
      </w:r>
      <w:r>
        <w:t>W zawodach innych niż Drużynowe Mistrzostwa Świata i Drużynowe Mistrzostwa Europy, w przypadku gdy nie jest możliwe skompletowanie drużyny z zawodników posiadających dodatni dorobek punktowy, dopuszcza się powołanie uzupełniające zawodnika bez punktów rankingowych, jeżeli łącznie:</w:t>
      </w:r>
    </w:p>
    <w:p>
      <w:pPr>
        <w:ind w:left="595" w:hanging="255"/>
      </w:pPr>
      <w:r>
        <w:t xml:space="preserve">1) </w:t>
      </w:r>
      <w:r>
        <w:t>powołanie jest niezbędne do wystawienia kompletnej drużyny zgodnej z przepisami zawodów;</w:t>
      </w:r>
    </w:p>
    <w:p>
      <w:pPr>
        <w:ind w:left="595" w:hanging="255"/>
      </w:pPr>
      <w:r>
        <w:t xml:space="preserve">2) </w:t>
      </w:r>
      <w:r>
        <w:t>możliwość startu zaoferowano wszystkim dostępnym zawodnikom posiadającym dodatni dorobek punktowy, spełniającym wymagania dotyczące broni, płci i kategorii wiekowej;</w:t>
      </w:r>
    </w:p>
    <w:p>
      <w:pPr>
        <w:ind w:left="595" w:hanging="255"/>
      </w:pPr>
      <w:r>
        <w:t xml:space="preserve">3) </w:t>
      </w:r>
      <w:r>
        <w:t>żaden z zawodników, o których mowa w pkt 2 powyżej, nie potwierdził gotowości do udziału;</w:t>
      </w:r>
    </w:p>
    <w:p>
      <w:pPr>
        <w:ind w:left="595" w:hanging="255"/>
      </w:pPr>
      <w:r>
        <w:t xml:space="preserve">4) </w:t>
      </w:r>
      <w:r>
        <w:t>powoływana osoba spełnia wszystkie formalne warunki udziału określone przez organizatora zawodów.</w:t>
      </w:r>
    </w:p>
    <w:p>
      <w:pPr>
        <w:pStyle w:val="Paragraf"/>
        <w:keepNext/>
      </w:pPr>
      <w:r>
        <w:t>§ 5</w:t>
      </w:r>
    </w:p>
    <w:p>
      <w:pPr>
        <w:pStyle w:val="Tytułparagrafu"/>
        <w:keepNext/>
      </w:pPr>
      <w:r>
        <w:t>Zawody uwzględniane w rankingu</w:t>
      </w:r>
    </w:p>
    <w:p>
      <w:pPr>
        <w:keepLines/>
        <w:ind w:left="312" w:hanging="227"/>
      </w:pPr>
      <w:r>
        <w:t xml:space="preserve">1. </w:t>
      </w:r>
      <w:r>
        <w:t>W sezonie 2026/2027 w Rankingu uwzględnia się wyniki uzyskane w następujących cyklach i zawodach, z zastrzeżeniem ust. 8 poniżej:</w:t>
      </w:r>
    </w:p>
    <w:p>
      <w:pPr>
        <w:ind w:left="595" w:hanging="255"/>
      </w:pPr>
      <w:r>
        <w:t xml:space="preserve">1) </w:t>
      </w:r>
      <w:r>
        <w:t>Pucharze Polski Weteranów w Szermierce oraz Mistrzostwach Polski Weteranów w Szermierce, organizowanych przez SPWS albo przez inny podmiot na zasadach określonych w ust. 2 poniżej;</w:t>
      </w:r>
    </w:p>
    <w:p>
      <w:pPr>
        <w:ind w:left="595" w:hanging="255"/>
      </w:pPr>
      <w:r>
        <w:t xml:space="preserve">2) </w:t>
      </w:r>
      <w:r>
        <w:t>Pucharze Polski Seniorów w Szermierce oraz Mistrzostwach Polski Seniorów w Szermierce, ujętych w oficjalnym kalendarzu PZSz;</w:t>
      </w:r>
    </w:p>
    <w:p>
      <w:pPr>
        <w:ind w:left="595" w:hanging="255"/>
      </w:pPr>
      <w:r>
        <w:t xml:space="preserve">3) </w:t>
      </w:r>
      <w:r>
        <w:t>Pucharze Europy Weteranów w Szermierce oraz Mistrzostwach Europy Weteranów w Szermierce, ujętych w oficjalnym kalendarzu EVF;</w:t>
      </w:r>
    </w:p>
    <w:p>
      <w:pPr>
        <w:ind w:left="595" w:hanging="255"/>
      </w:pPr>
      <w:r>
        <w:t xml:space="preserve">4) </w:t>
      </w:r>
      <w:r>
        <w:t>Pucharze Świata Weteranów w Szermierce oraz Mistrzostwach Świata Weteranów w Szermierce, ujętych w oficjalnym kalendarzu FIE.</w:t>
      </w:r>
    </w:p>
    <w:p>
      <w:pPr>
        <w:ind w:left="312" w:hanging="227"/>
      </w:pPr>
      <w:r>
        <w:t xml:space="preserve">2. </w:t>
      </w:r>
      <w:r>
        <w:t>Zawody organizowane przez podmiot inny niż SPWS mogą zostać zaliczone do cyklu Pucharu Polski Weteranów w Szermierce, jeżeli łącznie spełniają następujące warunki:</w:t>
      </w:r>
    </w:p>
    <w:p>
      <w:pPr>
        <w:ind w:left="595" w:hanging="255"/>
      </w:pPr>
      <w:r>
        <w:t xml:space="preserve">1) </w:t>
      </w:r>
      <w:r>
        <w:t>przed ich rozegraniem zostały zatwierdzone przez SPWS i ujęte w opublikowanym kalendarzu cyklu;</w:t>
      </w:r>
    </w:p>
    <w:p>
      <w:pPr>
        <w:ind w:left="595" w:hanging="255"/>
      </w:pPr>
      <w:r>
        <w:t xml:space="preserve">2) </w:t>
      </w:r>
      <w:r>
        <w:t>komunikat organizacyjny zawodów został opublikowany w ogólnodostępnym serwisie internetowym, bez konieczności logowania, najpóźniej 30 dni przed pierwszym dniem zawodów;</w:t>
      </w:r>
    </w:p>
    <w:p>
      <w:pPr>
        <w:ind w:left="595" w:hanging="255"/>
      </w:pPr>
      <w:r>
        <w:t xml:space="preserve">3) </w:t>
      </w:r>
      <w:r>
        <w:t>prawo zgłoszenia do udziału przysługuje wszystkim zawodnikom spełniającym kryterium wieku właściwe dla weteranów szermierki, niezależnie od obywatelstwa, miejsca zamieszkania, przynależności klubowej oraz państwa, w którym uprawiają szermierkę;</w:t>
      </w:r>
    </w:p>
    <w:p>
      <w:pPr>
        <w:ind w:left="595" w:hanging="255"/>
      </w:pPr>
      <w:r>
        <w:t xml:space="preserve">4) </w:t>
      </w:r>
      <w:r>
        <w:t>zawody są rozgrywane według formuły sportowej zgodnej z regulaminami lub przepisami zawodów stosowanymi przez SPWS, PZSz, EVF albo FIE, przy czym właściwa formuła musi zostać wskazana w komunikacie organizacyjnym;</w:t>
      </w:r>
    </w:p>
    <w:p>
      <w:pPr>
        <w:ind w:left="595" w:hanging="255"/>
      </w:pPr>
      <w:r>
        <w:t xml:space="preserve">5) </w:t>
      </w:r>
      <w:r>
        <w:t>zawody są rozgrywane w kategoriach wieku, broni i płci określonych w komunikacie organizacyjnym i zgodnych z wybraną formułą sportową;</w:t>
      </w:r>
    </w:p>
    <w:p>
      <w:pPr>
        <w:ind w:left="595" w:hanging="255"/>
      </w:pPr>
      <w:r>
        <w:t xml:space="preserve">6) </w:t>
      </w:r>
      <w:r>
        <w:t>po zakończeniu zawodów organizator publikuje w serwisie internetowym kompletne protokoły wszystkich rozegranych walk, obejmujące fazę grupową oraz eliminację bezpośrednią, wraz z klasyfikacją końcową i liczbą uczestników, zapewniając publiczny i nieodpłatny dostęp do tych materiałów;</w:t>
      </w:r>
    </w:p>
    <w:p>
      <w:pPr>
        <w:ind w:left="595" w:hanging="255"/>
      </w:pPr>
      <w:r>
        <w:t xml:space="preserve">7) </w:t>
      </w:r>
      <w:r>
        <w:t>protokoły i wyniki, o których mowa w pkt 6 powyżej, pozostają dostępne online przez co najmniej 36 miesięcy od dnia zakończenia zawodów;</w:t>
      </w:r>
    </w:p>
    <w:p>
      <w:pPr>
        <w:ind w:left="595" w:hanging="255"/>
      </w:pPr>
      <w:r>
        <w:t xml:space="preserve">8) </w:t>
      </w:r>
      <w:r>
        <w:t>od ćwierć finałów, walki eliminacji bezpośredniej są prowadzone przez licencjonowanych sędziów PZSz.</w:t>
      </w:r>
    </w:p>
    <w:p>
      <w:pPr>
        <w:ind w:left="312" w:hanging="227"/>
      </w:pPr>
      <w:r>
        <w:t xml:space="preserve">3. </w:t>
      </w:r>
      <w:r>
        <w:t>Łączna liczba punktów zawodnika w Rankingu jest sumą punktów przypisanych do ośmiu pozycji wynikowych:</w:t>
      </w:r>
    </w:p>
    <w:p>
      <w:pPr>
        <w:ind w:left="595" w:hanging="255"/>
      </w:pPr>
      <w:r>
        <w:t xml:space="preserve">1) </w:t>
      </w:r>
      <w:r>
        <w:t>trzech obowiązkowych pozycji krajowych;</w:t>
      </w:r>
    </w:p>
    <w:p>
      <w:pPr>
        <w:ind w:left="595" w:hanging="255"/>
      </w:pPr>
      <w:r>
        <w:t xml:space="preserve">2) </w:t>
      </w:r>
      <w:r>
        <w:t>pięciu pozycji otwartych.</w:t>
      </w:r>
    </w:p>
    <w:p>
      <w:pPr>
        <w:ind w:left="312" w:hanging="227"/>
      </w:pPr>
      <w:r>
        <w:t xml:space="preserve">4. </w:t>
      </w:r>
      <w:r>
        <w:t>Trzy obowiązkowe pozycje krajowe wypełnia się wynikami uzyskanymi w zawodach Pucharu Polski Weteranów w Szermierce oraz Mistrzostwach Polski Weteranów w Szermierce, według następujących zasad:</w:t>
      </w:r>
    </w:p>
    <w:p>
      <w:pPr>
        <w:ind w:left="595" w:hanging="255"/>
      </w:pPr>
      <w:r>
        <w:t xml:space="preserve">1) </w:t>
      </w:r>
      <w:r>
        <w:t>dwie pozycje wypełniają dwa najlepsze wyniki punktowe zawodnika uzyskane w PPW;</w:t>
      </w:r>
    </w:p>
    <w:p>
      <w:pPr>
        <w:ind w:left="595" w:hanging="255"/>
      </w:pPr>
      <w:r>
        <w:t xml:space="preserve">2) </w:t>
      </w:r>
      <w:r>
        <w:t>trzecią pozycję wypełnia wynik punktowy uzyskany w MPW;</w:t>
      </w:r>
    </w:p>
    <w:p>
      <w:pPr>
        <w:ind w:left="595" w:hanging="255"/>
      </w:pPr>
      <w:r>
        <w:t xml:space="preserve">3) </w:t>
      </w:r>
      <w:r>
        <w:t>jeżeli zawodnik uzyskał mniej niż dwa wyniki w PPW, za każdą niewypełnioną pozycję PPW przyjmuje się 0 punktów;</w:t>
      </w:r>
    </w:p>
    <w:p>
      <w:pPr>
        <w:ind w:left="595" w:hanging="255"/>
      </w:pPr>
      <w:r>
        <w:t xml:space="preserve">4) </w:t>
      </w:r>
      <w:r>
        <w:t>jeżeli zawodnik nie wystartował w MPW, za obowiązkową pozycję MPW przyjmuje się 0 punktów.</w:t>
      </w:r>
    </w:p>
    <w:p>
      <w:pPr>
        <w:ind w:left="312" w:hanging="227"/>
      </w:pPr>
      <w:r>
        <w:t xml:space="preserve">5. </w:t>
      </w:r>
      <w:r>
        <w:t>Na pięć pozycji otwartych składa się pięć najwyżej punktowanych spośród pozostałych wyników zawodnika uwzględnianych w Rankingu.</w:t>
      </w:r>
    </w:p>
    <w:p>
      <w:pPr>
        <w:ind w:left="312" w:hanging="227"/>
      </w:pPr>
      <w:r>
        <w:t xml:space="preserve">6. </w:t>
      </w:r>
      <w:r>
        <w:t>Najpierw wybiera się wyniki wypełniające trzy obowiązkowe pozycje krajowe, a następnie wyniki wypełniające pięć pozycji otwartych.</w:t>
      </w:r>
    </w:p>
    <w:p>
      <w:pPr>
        <w:ind w:left="312" w:hanging="227"/>
      </w:pPr>
      <w:r>
        <w:t xml:space="preserve">7. </w:t>
      </w:r>
      <w:r>
        <w:t>Żaden wynik nie może zostać policzony dwukrotnie.</w:t>
      </w:r>
    </w:p>
    <w:p>
      <w:pPr>
        <w:ind w:left="312" w:hanging="227"/>
      </w:pPr>
      <w:r>
        <w:t xml:space="preserve">8. </w:t>
      </w:r>
      <w:r>
        <w:t>W kategorii V0 w Rankingu uwzględnia się wyłącznie punkty z PPW, MPW, PPS i MPS; nie uwzględnia się punktów z zawodów EVF ani FIE. Kategorie V1–V4 prowadzi się na zasadach określonych w ust. 1–7.</w:t>
      </w:r>
    </w:p>
    <w:p>
      <w:pPr>
        <w:pStyle w:val="Paragraf"/>
        <w:keepNext/>
      </w:pPr>
      <w:r>
        <w:t>§ 6</w:t>
      </w:r>
    </w:p>
    <w:p>
      <w:pPr>
        <w:pStyle w:val="Tytułparagrafu"/>
        <w:keepNext/>
      </w:pPr>
      <w:r>
        <w:t>Zasady obliczania punktów</w:t>
      </w:r>
    </w:p>
    <w:p>
      <w:pPr>
        <w:keepLines/>
        <w:ind w:left="312" w:hanging="227"/>
      </w:pPr>
      <w:r>
        <w:t xml:space="preserve">1. </w:t>
      </w:r>
      <w:r>
        <w:t>Liczba punktów przyznawanych za wynik uzyskany w zawodach zależy od zajętego miejsca, liczby zawodników w stawce oraz współczynnika rangi określonego dla danego rodzaju zawodów.</w:t>
      </w:r>
    </w:p>
    <w:p>
      <w:pPr>
        <w:keepNext/>
        <w:ind w:left="312" w:hanging="227"/>
      </w:pPr>
      <w:r>
        <w:t xml:space="preserve">2. </w:t>
      </w:r>
      <w:r>
        <w:t>W sezonie 2026/2027 stosuje się następujące współczynniki rangi zawodów.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47"/>
        <w:gridCol w:w="6350"/>
        <w:gridCol w:w="1814"/>
      </w:tblGrid>
      <w:tr>
        <w:trPr>
          <w:tblHeader w:val="true"/>
          <w:cantSplit/>
        </w:trPr>
        <w:tc>
          <w:tcPr>
            <w:tcW w:type="dxa" w:w="1247"/>
            <w:vAlign w:val="center"/>
            <w:shd w:fill="173F73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8"/>
              </w:rPr>
              <w:t>Skrót</w:t>
            </w:r>
          </w:p>
        </w:tc>
        <w:tc>
          <w:tcPr>
            <w:tcW w:type="dxa" w:w="6350"/>
            <w:vAlign w:val="center"/>
            <w:shd w:fill="173F73"/>
          </w:tcPr>
          <w:p>
            <w:pPr>
              <w:keepNext/>
              <w:jc w:val="left"/>
            </w:pPr>
            <w:r>
              <w:rPr>
                <w:b/>
                <w:color w:val="FFFFFF"/>
                <w:sz w:val="18"/>
              </w:rPr>
              <w:t>Rodzaj zawodów</w:t>
            </w:r>
          </w:p>
        </w:tc>
        <w:tc>
          <w:tcPr>
            <w:tcW w:type="dxa" w:w="1814"/>
            <w:vAlign w:val="center"/>
            <w:shd w:fill="173F73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8"/>
              </w:rPr>
              <w:t>Współczynnik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/>
                <w:sz w:val="18"/>
              </w:rPr>
              <w:t>PPW</w:t>
            </w:r>
          </w:p>
        </w:tc>
        <w:tc>
          <w:tcPr>
            <w:tcW w:type="dxa" w:w="6350"/>
            <w:vAlign w:val="center"/>
          </w:tcPr>
          <w:p>
            <w:pPr>
              <w:keepNext/>
              <w:spacing w:after="0"/>
              <w:jc w:val="left"/>
            </w:pPr>
            <w:r>
              <w:rPr>
                <w:sz w:val="18"/>
              </w:rPr>
              <w:t>Puchar Polski Weteranów w szermierce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/>
                <w:sz w:val="18"/>
              </w:rPr>
              <w:t>1,0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EAF2FB"/>
          </w:tcPr>
          <w:p>
            <w:pPr>
              <w:keepNext/>
              <w:spacing w:after="0"/>
              <w:jc w:val="center"/>
            </w:pPr>
            <w:r>
              <w:rPr>
                <w:b/>
                <w:sz w:val="18"/>
              </w:rPr>
              <w:t>MPW</w:t>
            </w:r>
          </w:p>
        </w:tc>
        <w:tc>
          <w:tcPr>
            <w:tcW w:type="dxa" w:w="6350"/>
            <w:vAlign w:val="center"/>
            <w:shd w:fill="EAF2FB"/>
          </w:tcPr>
          <w:p>
            <w:pPr>
              <w:keepNext/>
              <w:spacing w:after="0"/>
              <w:jc w:val="left"/>
            </w:pPr>
            <w:r>
              <w:rPr>
                <w:sz w:val="18"/>
              </w:rPr>
              <w:t>Mistrzostwa Polski Weteranów w szermierce</w:t>
            </w:r>
          </w:p>
        </w:tc>
        <w:tc>
          <w:tcPr>
            <w:tcW w:type="dxa" w:w="1814"/>
            <w:vAlign w:val="center"/>
            <w:shd w:fill="EAF2FB"/>
          </w:tcPr>
          <w:p>
            <w:pPr>
              <w:keepNext/>
              <w:spacing w:after="0"/>
              <w:jc w:val="center"/>
            </w:pPr>
            <w:r>
              <w:rPr>
                <w:b/>
                <w:sz w:val="18"/>
              </w:rPr>
              <w:t>1,2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/>
                <w:sz w:val="18"/>
              </w:rPr>
              <w:t>PPS</w:t>
            </w:r>
          </w:p>
        </w:tc>
        <w:tc>
          <w:tcPr>
            <w:tcW w:type="dxa" w:w="6350"/>
            <w:vAlign w:val="center"/>
          </w:tcPr>
          <w:p>
            <w:pPr>
              <w:keepNext/>
              <w:spacing w:after="0"/>
              <w:jc w:val="left"/>
            </w:pPr>
            <w:r>
              <w:rPr>
                <w:sz w:val="18"/>
              </w:rPr>
              <w:t>Puchar Polski Seniorów w szermierce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/>
                <w:sz w:val="18"/>
              </w:rPr>
              <w:t>1,1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EAF2FB"/>
          </w:tcPr>
          <w:p>
            <w:pPr>
              <w:keepNext/>
              <w:spacing w:after="0"/>
              <w:jc w:val="center"/>
            </w:pPr>
            <w:r>
              <w:rPr>
                <w:b/>
                <w:sz w:val="18"/>
              </w:rPr>
              <w:t>MPS</w:t>
            </w:r>
          </w:p>
        </w:tc>
        <w:tc>
          <w:tcPr>
            <w:tcW w:type="dxa" w:w="6350"/>
            <w:vAlign w:val="center"/>
            <w:shd w:fill="EAF2FB"/>
          </w:tcPr>
          <w:p>
            <w:pPr>
              <w:keepNext/>
              <w:spacing w:after="0"/>
              <w:jc w:val="left"/>
            </w:pPr>
            <w:r>
              <w:rPr>
                <w:sz w:val="18"/>
              </w:rPr>
              <w:t>Mistrzostwa Polski Seniorów w szermierce</w:t>
            </w:r>
          </w:p>
        </w:tc>
        <w:tc>
          <w:tcPr>
            <w:tcW w:type="dxa" w:w="1814"/>
            <w:vAlign w:val="center"/>
            <w:shd w:fill="EAF2FB"/>
          </w:tcPr>
          <w:p>
            <w:pPr>
              <w:keepNext/>
              <w:spacing w:after="0"/>
              <w:jc w:val="center"/>
            </w:pPr>
            <w:r>
              <w:rPr>
                <w:b/>
                <w:sz w:val="18"/>
              </w:rPr>
              <w:t>1,3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/>
                <w:sz w:val="18"/>
              </w:rPr>
              <w:t>PEW</w:t>
            </w:r>
          </w:p>
        </w:tc>
        <w:tc>
          <w:tcPr>
            <w:tcW w:type="dxa" w:w="6350"/>
            <w:vAlign w:val="center"/>
          </w:tcPr>
          <w:p>
            <w:pPr>
              <w:keepNext/>
              <w:spacing w:after="0"/>
              <w:jc w:val="left"/>
            </w:pPr>
            <w:r>
              <w:rPr>
                <w:sz w:val="18"/>
              </w:rPr>
              <w:t>Puchar Europy Weteranów w szermierce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/>
                <w:sz w:val="18"/>
              </w:rPr>
              <w:t>1,1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EAF2FB"/>
          </w:tcPr>
          <w:p>
            <w:pPr>
              <w:keepNext/>
              <w:spacing w:after="0"/>
              <w:jc w:val="center"/>
            </w:pPr>
            <w:r>
              <w:rPr>
                <w:b/>
                <w:sz w:val="18"/>
              </w:rPr>
              <w:t>MEW</w:t>
            </w:r>
          </w:p>
        </w:tc>
        <w:tc>
          <w:tcPr>
            <w:tcW w:type="dxa" w:w="6350"/>
            <w:vAlign w:val="center"/>
            <w:shd w:fill="EAF2FB"/>
          </w:tcPr>
          <w:p>
            <w:pPr>
              <w:keepNext/>
              <w:spacing w:after="0"/>
              <w:jc w:val="left"/>
            </w:pPr>
            <w:r>
              <w:rPr>
                <w:sz w:val="18"/>
              </w:rPr>
              <w:t>Mistrzostwa Europy Weteranów w szermierce</w:t>
            </w:r>
          </w:p>
        </w:tc>
        <w:tc>
          <w:tcPr>
            <w:tcW w:type="dxa" w:w="1814"/>
            <w:vAlign w:val="center"/>
            <w:shd w:fill="EAF2FB"/>
          </w:tcPr>
          <w:p>
            <w:pPr>
              <w:keepNext/>
              <w:spacing w:after="0"/>
              <w:jc w:val="center"/>
            </w:pPr>
            <w:r>
              <w:rPr>
                <w:b/>
                <w:sz w:val="18"/>
              </w:rPr>
              <w:t>1,3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/>
                <w:sz w:val="18"/>
              </w:rPr>
              <w:t>PSW</w:t>
            </w:r>
          </w:p>
        </w:tc>
        <w:tc>
          <w:tcPr>
            <w:tcW w:type="dxa" w:w="6350"/>
            <w:vAlign w:val="center"/>
          </w:tcPr>
          <w:p>
            <w:pPr>
              <w:keepNext/>
              <w:spacing w:after="0"/>
              <w:jc w:val="left"/>
            </w:pPr>
            <w:r>
              <w:rPr>
                <w:sz w:val="18"/>
              </w:rPr>
              <w:t>Puchar Świata Weteranów w szermierce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/>
                <w:sz w:val="18"/>
              </w:rPr>
              <w:t>1,1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EAF2FB"/>
          </w:tcPr>
          <w:p>
            <w:pPr>
              <w:keepNext w:val="0"/>
              <w:spacing w:after="0"/>
              <w:jc w:val="center"/>
            </w:pPr>
            <w:r>
              <w:rPr>
                <w:b/>
                <w:sz w:val="18"/>
              </w:rPr>
              <w:t>MŚW</w:t>
            </w:r>
          </w:p>
        </w:tc>
        <w:tc>
          <w:tcPr>
            <w:tcW w:type="dxa" w:w="6350"/>
            <w:vAlign w:val="center"/>
            <w:shd w:fill="EAF2FB"/>
          </w:tcPr>
          <w:p>
            <w:pPr>
              <w:keepNext w:val="0"/>
              <w:spacing w:after="0"/>
              <w:jc w:val="left"/>
            </w:pPr>
            <w:r>
              <w:rPr>
                <w:sz w:val="18"/>
              </w:rPr>
              <w:t>Mistrzostwa Świata Weteranów w szermierce</w:t>
            </w:r>
          </w:p>
        </w:tc>
        <w:tc>
          <w:tcPr>
            <w:tcW w:type="dxa" w:w="1814"/>
            <w:vAlign w:val="center"/>
            <w:shd w:fill="EAF2FB"/>
          </w:tcPr>
          <w:p>
            <w:pPr>
              <w:keepNext w:val="0"/>
              <w:spacing w:after="0"/>
              <w:jc w:val="center"/>
            </w:pPr>
            <w:r>
              <w:rPr>
                <w:b/>
                <w:sz w:val="18"/>
              </w:rPr>
              <w:t>1,4</w:t>
            </w:r>
          </w:p>
        </w:tc>
      </w:tr>
    </w:tbl>
    <w:p>
      <w:pPr/>
    </w:p>
    <w:p>
      <w:pPr>
        <w:ind w:left="312" w:hanging="227"/>
      </w:pPr>
      <w:r>
        <w:t xml:space="preserve">3. </w:t>
      </w:r>
      <w:r>
        <w:t>Tabela punktacji dla stawki liczącej od 4 do 40 zawodników stanowi załącznik nr 1 do Regulaminu. Pełną tabelę punktacji dla stawki liczącej od 4 do 300 zawodników SPWS publikuje na swojej stronie internetowej.</w:t>
      </w:r>
    </w:p>
    <w:p>
      <w:pPr>
        <w:ind w:left="312" w:hanging="227"/>
      </w:pPr>
      <w:r>
        <w:t xml:space="preserve">4. </w:t>
      </w:r>
      <w:r>
        <w:t>SPWS zapewnia publiczny i nieodpłatny dostęp do kalkulatora punktów, umożliwiającego sprawdzenie liczby punktów przyznawanych za konkretny wynik uzyskany w zawodach.</w:t>
      </w:r>
    </w:p>
    <w:p>
      <w:pPr>
        <w:pStyle w:val="Paragraf"/>
        <w:keepNext/>
      </w:pPr>
      <w:r>
        <w:t>§ 7</w:t>
      </w:r>
    </w:p>
    <w:p>
      <w:pPr>
        <w:pStyle w:val="Tytułparagrafu"/>
        <w:keepNext/>
      </w:pPr>
      <w:r>
        <w:t>Publikacja rankingu</w:t>
      </w:r>
    </w:p>
    <w:p>
      <w:pPr>
        <w:keepLines/>
        <w:ind w:left="85"/>
      </w:pPr>
      <w:r>
        <w:t>Ranking oraz kalkulator punktów są publikowane na stronie internetowej.</w:t>
      </w:r>
    </w:p>
    <w:p>
      <w:pPr>
        <w:ind w:left="85"/>
      </w:pPr>
      <w:r>
        <w:t>Klasyfikacja Pucharu Polski Weteranów jest filtrowanym podzbiorem Rankingu, a nie odrębnym systemem rankingowym. Otrzymuje się ją przez zastosowanie w systemie online filtra obejmującego PPW i MPW; pokazuje ona sumę dwóch najlepszych pozycji PPW i obowiązkowej pozycji MPW.</w:t>
      </w:r>
    </w:p>
    <w:p>
      <w:pPr>
        <w:keepNext/>
        <w:spacing w:before="200"/>
      </w:pPr>
      <w:r>
        <w:rPr>
          <w:b/>
        </w:rPr>
        <w:t>Materiały pomocnicze — wersja nieoficjalna</w:t>
      </w:r>
    </w:p>
    <w:p>
      <w:pPr>
        <w:keepNext/>
      </w:pPr>
      <w:r>
        <w:t>Regulamin nie został jeszcze uchwalony. Poniższe odnośniki prowadzą do nieoficjalnych wersji roboczych materiałów pomocniczych. Po uchwaleniu Regulaminu zostaną zastąpione odnośnikami do odpowiednich stron w oficjalnym serwisie SPWS: weteraniszermierki.pl.</w:t>
      </w:r>
    </w:p>
    <w:p>
      <w:pPr>
        <w:keepNext/>
        <w:keepLines/>
      </w:pPr>
      <w:r>
        <w:rPr>
          <w:b/>
        </w:rPr>
        <w:t xml:space="preserve">Ranking: </w:t>
      </w:r>
      <w:hyperlink r:id="rId13">
        <w:r>
          <w:rPr>
            <w:rStyle w:val="Hyperlink"/>
            <w:sz w:val="18"/>
          </w:rPr>
          <w:t>https://fencer4life.github.io/spws-automated-ranklist/</w:t>
        </w:r>
      </w:hyperlink>
    </w:p>
    <w:p>
      <w:pPr>
        <w:keepNext/>
        <w:keepLines/>
      </w:pPr>
      <w:r>
        <w:rPr>
          <w:b/>
        </w:rPr>
        <w:t xml:space="preserve">Tabela punktacji: </w:t>
      </w:r>
      <w:hyperlink r:id="rId14">
        <w:r>
          <w:rPr>
            <w:rStyle w:val="Hyperlink"/>
            <w:sz w:val="18"/>
          </w:rPr>
          <w:t>https://fencer4life.github.io/spws-automated-ranklist/tabela-punktacji.html</w:t>
        </w:r>
      </w:hyperlink>
    </w:p>
    <w:p>
      <w:pPr>
        <w:keepNext w:val="0"/>
        <w:keepLines/>
      </w:pPr>
      <w:r>
        <w:rPr>
          <w:b/>
        </w:rPr>
        <w:t xml:space="preserve">Kalkulator punktów: </w:t>
      </w:r>
      <w:hyperlink r:id="rId15">
        <w:r>
          <w:rPr>
            <w:rStyle w:val="Hyperlink"/>
            <w:sz w:val="18"/>
          </w:rPr>
          <w:t>https://fencer4life.github.io/spws-automated-ranklist/kalkulator-punktow.html</w:t>
        </w:r>
      </w:hyperlink>
    </w:p>
    <w:p>
      <w:pPr>
        <w:pStyle w:val="Paragraf"/>
        <w:keepNext/>
      </w:pPr>
      <w:r>
        <w:t>§ 8</w:t>
      </w:r>
    </w:p>
    <w:p>
      <w:pPr>
        <w:pStyle w:val="Tytułparagrafu"/>
        <w:keepNext/>
      </w:pPr>
      <w:r>
        <w:t>Wyniki w połączonych kategoriach wiekowych</w:t>
      </w:r>
    </w:p>
    <w:p>
      <w:pPr>
        <w:keepLines/>
        <w:ind w:left="312" w:hanging="227"/>
      </w:pPr>
      <w:r>
        <w:t xml:space="preserve">1. </w:t>
      </w:r>
      <w:r>
        <w:t>W przypadku zawodów rozgrywanych w połączonych kategoriach wiekowych wyniki przypisuje się zgodnie z zajętym miejscem, bez dodatkowego rozdzielania kategorii w celu obliczenia punktów rankingowych.</w:t>
      </w:r>
    </w:p>
    <w:p>
      <w:pPr>
        <w:pStyle w:val="Paragraf"/>
        <w:keepNext/>
      </w:pPr>
      <w:r>
        <w:t>§ 9</w:t>
      </w:r>
    </w:p>
    <w:p>
      <w:pPr>
        <w:pStyle w:val="Tytułparagrafu"/>
        <w:keepNext/>
      </w:pPr>
      <w:r>
        <w:t>Zawodnicy uwzględniani w rankingu</w:t>
      </w:r>
    </w:p>
    <w:p>
      <w:pPr>
        <w:keepLines/>
        <w:ind w:left="312" w:hanging="227"/>
      </w:pPr>
      <w:r>
        <w:t xml:space="preserve">1. </w:t>
      </w:r>
      <w:r>
        <w:t>W Rankingu uwzględnia się wyłącznie weteranów szermierki, którzy co najmniej raz wystartowali w zawodach Pucharu Polski Weteranów w Szermierce albo Mistrzostwach Polski Weteranów w Szermierce.</w:t>
      </w:r>
    </w:p>
    <w:p>
      <w:pPr>
        <w:ind w:left="312" w:hanging="227"/>
      </w:pPr>
      <w:r>
        <w:t xml:space="preserve">2. </w:t>
      </w:r>
      <w:r>
        <w:t>Przy ustalaniu kolejności zawodników do powołania do reprezentacji Polski uwzględnia się wyłącznie zawodników posiadających polskie obywatelstwo albo kartę pobytu, zgodnie z przepisami FIE i EVF.</w:t>
      </w:r>
    </w:p>
    <w:p>
      <w:pPr>
        <w:ind w:left="312" w:hanging="227"/>
      </w:pPr>
      <w:r>
        <w:t xml:space="preserve">3. </w:t>
      </w:r>
      <w:r>
        <w:t>Punkty uzyskane w zawodach organizowanych przez EVF albo FIE uwzględnia się wyłącznie, jeżeli zawodnik wystąpił w tych zawodach jako reprezentant Polski.</w:t>
      </w:r>
    </w:p>
    <w:p>
      <w:pPr>
        <w:pStyle w:val="Etykietarozdzialu"/>
        <w:pageBreakBefore/>
      </w:pPr>
      <w:r>
        <w:t>Rozdział 3</w:t>
      </w:r>
    </w:p>
    <w:p>
      <w:bookmarkStart w:id="239877510" w:name="_Toc239877510"/>
      <w:pPr>
        <w:pStyle w:val="Heading1"/>
        <w:jc w:val="center"/>
      </w:pPr>
      <w:r>
        <w:t>Powołania do startów indywidualnych</w:t>
      </w:r>
      <w:bookmarkEnd w:id="239877510"/>
    </w:p>
    <w:p>
      <w:pPr>
        <w:pStyle w:val="Paragraf"/>
        <w:keepNext/>
      </w:pPr>
      <w:r>
        <w:t>§ 10</w:t>
      </w:r>
    </w:p>
    <w:p>
      <w:pPr>
        <w:pStyle w:val="Tytułparagrafu"/>
        <w:keepNext/>
      </w:pPr>
      <w:r>
        <w:t>Zasady powołań indywidualnych</w:t>
      </w:r>
    </w:p>
    <w:p>
      <w:pPr>
        <w:keepLines/>
        <w:ind w:left="85"/>
      </w:pPr>
      <w:r>
        <w:t>Do startu indywidualnego w limitowanych zawodach międzynarodowych powołuje się czterech najwyżej sklasyfikowanych zawodników kategorii V1–V4 w Rankingu właściwym dla danej broni, płci i kategorii wiekowej, z uwzględnieniem warunku dodatniego dorobku punktowego określonego w § 4 ust. 4.</w:t>
      </w:r>
    </w:p>
    <w:p>
      <w:pPr>
        <w:pStyle w:val="Paragraf"/>
        <w:keepNext/>
      </w:pPr>
      <w:r>
        <w:t>§ 11</w:t>
      </w:r>
    </w:p>
    <w:p>
      <w:pPr>
        <w:pStyle w:val="Tytułparagrafu"/>
        <w:keepNext/>
      </w:pPr>
      <w:r>
        <w:t>Rezygnacja i zastępstwo</w:t>
      </w:r>
    </w:p>
    <w:p>
      <w:pPr>
        <w:keepLines/>
        <w:ind w:left="85"/>
      </w:pPr>
      <w:r>
        <w:t>W przypadku rezygnacji zawodnika z udziału w zawodach indywidualnych jego miejsce przechodzi na kolejnego zawodnika zgodnie z aktualnym Rankingiem.</w:t>
      </w:r>
    </w:p>
    <w:p>
      <w:pPr>
        <w:pStyle w:val="Etykietarozdzialu"/>
        <w:pageBreakBefore/>
      </w:pPr>
      <w:r>
        <w:t>Rozdział 4</w:t>
      </w:r>
    </w:p>
    <w:p>
      <w:bookmarkStart w:id="239877511" w:name="_Toc239877511"/>
      <w:pPr>
        <w:pStyle w:val="Heading1"/>
        <w:jc w:val="center"/>
      </w:pPr>
      <w:r>
        <w:t>Dobór składu drużyny</w:t>
      </w:r>
      <w:bookmarkEnd w:id="239877511"/>
    </w:p>
    <w:p>
      <w:pPr>
        <w:pStyle w:val="Paragraf"/>
        <w:keepNext/>
      </w:pPr>
      <w:r>
        <w:t>§ 12</w:t>
      </w:r>
    </w:p>
    <w:p>
      <w:pPr>
        <w:pStyle w:val="Tytułparagrafu"/>
        <w:keepNext/>
      </w:pPr>
      <w:r>
        <w:t>Pula kandydatów do drużyny</w:t>
      </w:r>
    </w:p>
    <w:p>
      <w:pPr>
        <w:keepLines/>
        <w:ind w:left="312" w:hanging="227"/>
      </w:pPr>
      <w:r>
        <w:t xml:space="preserve">1. </w:t>
      </w:r>
      <w:r>
        <w:t>Ranking przyjęty dla danego cyklu powołań wyznacza pulę kandydatów do drużyny właściwą dla danej broni, płci i kategorii drużynowej. Na Mistrzostwa Świata pula obejmuje po czterech zawodników z każdej z dwóch kategorii wiekowych, a na Mistrzostwa Europy — po sześciu.</w:t>
      </w:r>
    </w:p>
    <w:p>
      <w:pPr>
        <w:ind w:left="312" w:hanging="227"/>
      </w:pPr>
      <w:r>
        <w:t xml:space="preserve">2. </w:t>
      </w:r>
      <w:r>
        <w:t>W przypadku rezygnacji zawodnika z udziału w puli kandydatów jego miejsce zajmuje kolejny zawodnik w Rankingu jego kategorii wiekowej.</w:t>
      </w:r>
    </w:p>
    <w:p>
      <w:pPr>
        <w:ind w:left="312" w:hanging="227"/>
      </w:pPr>
      <w:r>
        <w:t xml:space="preserve">3. </w:t>
      </w:r>
      <w:r>
        <w:t>Na Drużynowe Mistrzostwa Europy powołuje się także zawodnika rezerwowego, wybieranego wyłącznie spośród zawodników należących do puli kandydatów do drużyny.</w:t>
      </w:r>
    </w:p>
    <w:p>
      <w:pPr>
        <w:pStyle w:val="Paragraf"/>
        <w:keepNext/>
      </w:pPr>
      <w:r>
        <w:t>§ 13</w:t>
      </w:r>
    </w:p>
    <w:p>
      <w:pPr>
        <w:pStyle w:val="Tytułparagrafu"/>
        <w:keepNext/>
      </w:pPr>
      <w:r>
        <w:t>Kategorie wiekowe w drużynie</w:t>
      </w:r>
    </w:p>
    <w:p>
      <w:pPr>
        <w:keepLines/>
        <w:ind w:left="85"/>
      </w:pPr>
      <w:r>
        <w:t>Zawody drużynowe rozgrywane są w kategoriach Weteran, obejmującej kategorie V1 i V2, oraz Grand Weteran, obejmującej kategorie V3 i V4. Drużynę kompletuje się z udziałem zawodników obu właściwych kategorii wiekowych; co najmniej jeden zawodnik powinien należeć do kategorii wyższej, a preferowany jest udział dwóch takich zawodników.</w:t>
      </w:r>
    </w:p>
    <w:p>
      <w:pPr>
        <w:pStyle w:val="Paragraf"/>
        <w:keepNext/>
      </w:pPr>
      <w:r>
        <w:t>§ 14</w:t>
      </w:r>
    </w:p>
    <w:p>
      <w:pPr>
        <w:pStyle w:val="Tytułparagrafu"/>
        <w:keepNext/>
      </w:pPr>
      <w:r>
        <w:t>Drużynowe Mistrzostwa Świata</w:t>
      </w:r>
    </w:p>
    <w:p>
      <w:pPr>
        <w:keepLines/>
        <w:ind w:left="312" w:hanging="227"/>
      </w:pPr>
      <w:r>
        <w:t xml:space="preserve">1. </w:t>
      </w:r>
      <w:r>
        <w:t>Pulę kandydatów do drużyny tworzy ośmiu zawodników nominowanych do startu indywidualnego: po czterech zawodników z każdej z dwóch kategorii wiekowych objętych daną kategorią drużynową. Podstawą wyłonienia puli jest Ranking przyjęty dla danego cyklu powołań.</w:t>
      </w:r>
    </w:p>
    <w:p>
      <w:pPr>
        <w:ind w:left="312" w:hanging="227"/>
      </w:pPr>
      <w:r>
        <w:t xml:space="preserve">2. </w:t>
      </w:r>
      <w:r>
        <w:t>Najwyżej sklasyfikowany w tym Rankingu zawodnik młodszej kategorii wiekowej oraz najwyżej sklasyfikowany zawodnik starszej kategorii wiekowej spośród zawodników należących do puli mają zapewnione miejsca w drużynie. Wyniki turnieju indywidualnego Mistrzostw Świata nie zmieniają tego uprawnienia.</w:t>
      </w:r>
    </w:p>
    <w:p>
      <w:pPr>
        <w:ind w:left="312" w:hanging="227"/>
      </w:pPr>
      <w:r>
        <w:t xml:space="preserve">3. </w:t>
      </w:r>
      <w:r>
        <w:t>Funkcję selekcjonera drużyny pełni zespół złożony z tych dwóch zawodników.</w:t>
      </w:r>
    </w:p>
    <w:p>
      <w:pPr>
        <w:ind w:left="312" w:hanging="227"/>
      </w:pPr>
      <w:r>
        <w:t xml:space="preserve">4. </w:t>
      </w:r>
      <w:r>
        <w:t>Pełny skład pięcioosobowej drużyny ustala się na miejscu podczas Mistrzostw Świata, po zakończeniu turnieju indywidualnego, w dniu poprzedzającym turniej drużynowy. Zespół pełniący funkcję selekcjonera wybiera trzech zawodników spośród pozostałych sześciu zawodników z puli, obecnych na mistrzostwach. Nie wyznacza się zawodnika rezerwowego. Trzej niewybrani zawodnicy nie uczestniczą w turnieju drużynowym.</w:t>
      </w:r>
    </w:p>
    <w:p>
      <w:pPr>
        <w:ind w:left="312" w:hanging="227"/>
      </w:pPr>
      <w:r>
        <w:t xml:space="preserve">5. </w:t>
      </w:r>
      <w:r>
        <w:t>Zespół ustala skład w drodze porozumienia, kierując się celem wystawienia możliwie najsilniejszej drużyny. Przy wyborze uwzględnia wyniki turnieju indywidualnego Mistrzostw Świata, osiągnięcia kandydatów w startach indywidualnych i drużynowych oraz wymagania dotyczące kategorii wiekowych.</w:t>
      </w:r>
    </w:p>
    <w:p>
      <w:pPr>
        <w:ind w:left="312" w:hanging="227"/>
      </w:pPr>
      <w:r>
        <w:t xml:space="preserve">6. </w:t>
      </w:r>
      <w:r>
        <w:t>W przypadku braku porozumienia do zespołu pełniącego funkcję selekcjonera dołącza Prezes SPWS. Jeżeli Prezes SPWS nie może uczestniczyć w pracach zespołu, wyznacza inną osobę do udziału w tych pracach w swoim imieniu.</w:t>
      </w:r>
    </w:p>
    <w:p>
      <w:pPr>
        <w:pStyle w:val="Paragraf"/>
        <w:keepNext/>
      </w:pPr>
      <w:r>
        <w:t>§ 15</w:t>
      </w:r>
    </w:p>
    <w:p>
      <w:pPr>
        <w:pStyle w:val="Tytułparagrafu"/>
        <w:keepNext/>
      </w:pPr>
      <w:r>
        <w:t>Drużynowe Mistrzostwa Europy</w:t>
      </w:r>
    </w:p>
    <w:p>
      <w:pPr>
        <w:keepLines/>
        <w:ind w:left="312" w:hanging="227"/>
      </w:pPr>
      <w:r>
        <w:t xml:space="preserve">1. </w:t>
      </w:r>
      <w:r>
        <w:t>Pulę kandydatów do drużyny tworzy dwunastu zawodników: sześciu najwyżej sklasyfikowanych zawodników młodszej kategorii wiekowej oraz sześciu najwyżej sklasyfikowanych zawodników starszej kategorii wiekowej w Rankingu właściwym dla danej broni i płci, przyjętym dla danego cyklu powołań.</w:t>
      </w:r>
    </w:p>
    <w:p>
      <w:pPr>
        <w:ind w:left="312" w:hanging="227"/>
      </w:pPr>
      <w:r>
        <w:t xml:space="preserve">2. </w:t>
      </w:r>
      <w:r>
        <w:t>Najwyżej sklasyfikowani zawodnicy młodszej i starszej kategorii wiekowej spośród zawodników należących do puli kandydatów mają zapewnione miejsca w składzie drużyny — po jednym zawodniku z każdej kategorii. Funkcję selekcjonera drużyny pełni zespół złożony z tych dwóch zawodników.</w:t>
      </w:r>
    </w:p>
    <w:p>
      <w:pPr>
        <w:ind w:left="312" w:hanging="227"/>
      </w:pPr>
      <w:r>
        <w:t xml:space="preserve">3. </w:t>
      </w:r>
      <w:r>
        <w:t>Zespół wybiera trzech kolejnych zawodników do składu drużyny oraz jednego zawodnika rezerwowego wyłącznie spośród pozostałych dziesięciu zawodników z puli kandydatów.</w:t>
      </w:r>
    </w:p>
    <w:p>
      <w:pPr>
        <w:ind w:left="312" w:hanging="227"/>
      </w:pPr>
      <w:r>
        <w:t xml:space="preserve">4. </w:t>
      </w:r>
      <w:r>
        <w:t>Zespół ustala skład w drodze porozumienia, kierując się celem wystawienia możliwie najsilniejszej drużyny, osiągnięciami kandydatów w startach indywidualnych i drużynowych oraz wymaganiami dotyczącymi kategorii wiekowych. Miejsce w Rankingu nie przesądza o wyborze pozostałych zawodników do drużyny.</w:t>
      </w:r>
    </w:p>
    <w:p>
      <w:pPr>
        <w:ind w:left="312" w:hanging="227"/>
      </w:pPr>
      <w:r>
        <w:t xml:space="preserve">5. </w:t>
      </w:r>
      <w:r>
        <w:t>W przypadku braku porozumienia do zespołu pełniącego funkcję selekcjonera dołącza Prezes SPWS. Jeżeli Prezes SPWS nie może uczestniczyć w pracach zespołu, wyznacza inną osobę do udziału w tych pracach w swoim imieniu.</w:t>
      </w:r>
    </w:p>
    <w:p>
      <w:pPr>
        <w:ind w:left="312" w:hanging="227"/>
      </w:pPr>
      <w:r>
        <w:t xml:space="preserve">6. </w:t>
      </w:r>
      <w:r>
        <w:t>Proponowany skład pięcioosobowej drużyny wraz ze wskazaniem zawodnika rezerwowego przedstawia się PZSz do akceptacji.</w:t>
      </w:r>
    </w:p>
    <w:p>
      <w:pPr>
        <w:ind w:left="312" w:hanging="227"/>
      </w:pPr>
      <w:r>
        <w:t xml:space="preserve">7. </w:t>
      </w:r>
      <w:r>
        <w:t>W przypadku rezygnacji zawodnika z udziału w turnieju drużynowym jego miejsce zajmuje nominowany zawodnik rezerwowy, pod warunkiem zachowania wymagań dotyczących kategorii wiekowych drużyny.</w:t>
      </w:r>
    </w:p>
    <w:p>
      <w:pPr>
        <w:pStyle w:val="Paragraf"/>
        <w:keepNext/>
      </w:pPr>
      <w:r>
        <w:t>§ 16</w:t>
      </w:r>
    </w:p>
    <w:p>
      <w:pPr>
        <w:pStyle w:val="Tytułparagrafu"/>
        <w:keepNext/>
      </w:pPr>
      <w:r>
        <w:t>Powołanie uzupełniające</w:t>
      </w:r>
    </w:p>
    <w:p>
      <w:pPr>
        <w:keepLines/>
        <w:ind w:left="85"/>
      </w:pPr>
      <w:r>
        <w:t>Powołanie uzupełniające zawodnika bez dodatniego dorobku punktowego jest dopuszczalne wyłącznie na warunkach określonych w § 4 ust. 5. Powołania uzupełniającego nie stosuje się do Drużynowych Mistrzostw Świata ani Drużynowych Mistrzostw Europy; skład wybiera się wyłącznie z właściwej puli kandydatów.</w:t>
      </w:r>
    </w:p>
    <w:p>
      <w:pPr>
        <w:pStyle w:val="Etykietarozdzialu"/>
        <w:pageBreakBefore/>
      </w:pPr>
      <w:r>
        <w:t>Rozdział 5</w:t>
      </w:r>
    </w:p>
    <w:p>
      <w:bookmarkStart w:id="239877512" w:name="_Toc239877512"/>
      <w:pPr>
        <w:pStyle w:val="Heading1"/>
        <w:jc w:val="center"/>
      </w:pPr>
      <w:r>
        <w:t>Terminarz procesu powoływania</w:t>
      </w:r>
      <w:bookmarkEnd w:id="239877512"/>
    </w:p>
    <w:p>
      <w:pPr>
        <w:pStyle w:val="Paragraf"/>
        <w:keepNext/>
      </w:pPr>
      <w:r>
        <w:t>§ 17</w:t>
      </w:r>
    </w:p>
    <w:p>
      <w:pPr>
        <w:pStyle w:val="Tytułparagrafu"/>
        <w:keepNext/>
      </w:pPr>
      <w:r>
        <w:t>Terminy procesu</w:t>
      </w:r>
    </w:p>
    <w:p>
      <w:pPr>
        <w:keepLines/>
        <w:ind w:left="312" w:hanging="227"/>
      </w:pPr>
      <w:r>
        <w:t xml:space="preserve">1. </w:t>
      </w:r>
      <w:r>
        <w:t>Terminy procesu powoływania reprezentacji Polski liczy się w dniach kalendarzowych wstecz od pierwszego dnia zawodów, oznaczonego jako T. SPWS ogłasza na początku sezonu kalendarz procesu, w tym daty zamknięcia danych rankingowych, składania deklaracji gotowości, weryfikacji warunków i ogłoszenia nominacji.</w:t>
      </w:r>
    </w:p>
    <w:p>
      <w:pPr>
        <w:ind w:left="312" w:hanging="227"/>
      </w:pPr>
      <w:r>
        <w:t xml:space="preserve">2. </w:t>
      </w:r>
      <w:r>
        <w:t>Na 90 dni przed pierwszym dniem zawodów (T−90) SPWS otwiera proces powoływania, zamyka dane wynikowe wykorzystywane w tym cyklu, ogłasza zasady postępowania i wzywa zawodników do składania deklaracji gotowości. Wyniki uzyskane po tym dniu nie wpływają na kolejność kandydatów w tym cyklu, z zastrzeżeniem zasad ustalania ostatecznego składu drużyny na Mistrzostwa Świata.</w:t>
      </w:r>
    </w:p>
    <w:p>
      <w:pPr>
        <w:ind w:left="312" w:hanging="227"/>
      </w:pPr>
      <w:r>
        <w:t xml:space="preserve">3. </w:t>
      </w:r>
      <w:r>
        <w:t>Zawodnik składa deklarację gotowości od T−90 do T−75 włącznie.</w:t>
      </w:r>
    </w:p>
    <w:p>
      <w:pPr>
        <w:ind w:left="312" w:hanging="227"/>
      </w:pPr>
      <w:r>
        <w:t xml:space="preserve">4. </w:t>
      </w:r>
      <w:r>
        <w:t>Najpóźniej na 75 dni przed pierwszym dniem zawodów (T−75) SPWS udostępnia zawodnikom i ich trenerom projekty kart zawodników. Karta przedstawia wyniki przyjęte do oceny oraz podstawę proponowanej kolejności. Od T−75 do T−60 zawodnik może zgłaszać brakujące wyniki uzyskane nie później niż w T−90 oraz błędy w swoich danych.</w:t>
      </w:r>
    </w:p>
    <w:p>
      <w:pPr>
        <w:ind w:left="312" w:hanging="227"/>
      </w:pPr>
      <w:r>
        <w:t xml:space="preserve">5. </w:t>
      </w:r>
      <w:r>
        <w:t>Najpóźniej na 60 dni przed pierwszym dniem zawodów (T−60) SPWS przekazuje PZSz uszeregowaną propozycję kandydatów do reprezentacji Polski wraz z kartami, pisemnymi uzasadnieniami oraz propozycją obsadzenia każdej kategorii rozgrywanej w danych zawodach. Przed przekazaniem propozycji SPWS weryfikuje warunki uwzględnienia kandydatów i wprowadza zweryfikowane korekty danych.</w:t>
      </w:r>
    </w:p>
    <w:p>
      <w:pPr>
        <w:ind w:left="312" w:hanging="227"/>
      </w:pPr>
      <w:r>
        <w:t xml:space="preserve">6. </w:t>
      </w:r>
      <w:r>
        <w:t>Propozycja przekazywana PZSz w terminie T−60 wskazuje ośmioosobową pulę kandydatów do drużyny na Mistrzostwa Świata oraz dwóch zawodników mających zapewnione miejsca w jej składzie. Pozostałych trzech zawodników wybiera się na miejscu podczas mistrzostw, po zakończeniu turnieju indywidualnego, w dniu poprzedzającym turniej drużynowy. Nie wyznacza się zawodnika rezerwowego.</w:t>
      </w:r>
    </w:p>
    <w:p>
      <w:pPr>
        <w:ind w:left="312" w:hanging="227"/>
      </w:pPr>
      <w:r>
        <w:t xml:space="preserve">7. </w:t>
      </w:r>
      <w:r>
        <w:t>Propozycja przekazywana PZSz w terminie T−60 na Drużynowe Mistrzostwa Europy obejmuje skład pięcioosobowej drużyny wraz ze wskazaniem zawodnika rezerwowego.</w:t>
      </w:r>
    </w:p>
    <w:p>
      <w:pPr>
        <w:ind w:left="312" w:hanging="227"/>
      </w:pPr>
      <w:r>
        <w:t xml:space="preserve">8. </w:t>
      </w:r>
      <w:r>
        <w:t>SPWS odpowiada za zebranie i weryfikację wyników, przygotowanie kart zawodników, uszeregowanie kandydatów wraz z pisemnymi uzasadnieniami, rozpatrzenie reklamacji danych oraz przekazanie propozycji PZSz w terminie T−60.</w:t>
      </w:r>
    </w:p>
    <w:p>
      <w:pPr>
        <w:ind w:left="312" w:hanging="227"/>
      </w:pPr>
      <w:r>
        <w:t xml:space="preserve">9. </w:t>
      </w:r>
      <w:r>
        <w:t>PZSz dokonuje wyboru i nominacji zawodników oraz zgłoszenia imiennego. W przypadku odstępstwa od kolejności zaproponowanej przez SPWS PZSz podaje pisemnie przyczynę odstępstwa.</w:t>
      </w:r>
    </w:p>
    <w:p>
      <w:pPr>
        <w:ind w:left="312" w:hanging="227"/>
      </w:pPr>
      <w:r>
        <w:t xml:space="preserve">10. </w:t>
      </w:r>
      <w:r>
        <w:t>Reklamacja danych dotyczy błędów faktycznych, w szczególności pominięcia wyniku, błędnej pisowni nazwiska albo przypisania wyniku niewłaściwemu zawodnikowi. Korekta danych nie oznacza dopuszczenia wyników uzyskanych po T−90. Zweryfikowaną korektę wprowadza się do karty przed przekazaniem propozycji PZSz w T−60.</w:t>
      </w:r>
    </w:p>
    <w:p>
      <w:pPr>
        <w:ind w:left="312" w:hanging="227"/>
      </w:pPr>
      <w:r>
        <w:t xml:space="preserve">11. </w:t>
      </w:r>
      <w:r>
        <w:t>Po T−60 zawodnik może zgłosić zastrzeżenie do oceny lub uzasadnienia dotyczącego jego kandydatury. SPWS odpowiada pisemnie. Zgłoszenie zastrzeżenia nie wstrzymuje dalszego procesu powoływania.</w:t>
      </w:r>
    </w:p>
    <w:p>
      <w:pPr>
        <w:ind w:left="312" w:hanging="227"/>
      </w:pPr>
      <w:r>
        <w:t xml:space="preserve">12. </w:t>
      </w:r>
      <w:r>
        <w:t>Reklamacje, zastrzeżenia oraz odpowiedzi udostępnia się zainteresowanemu zawodnikowi i archiwizuje wraz z dokumentacją cyklu.</w:t>
      </w:r>
    </w:p>
    <w:p>
      <w:pPr>
        <w:ind w:left="312" w:hanging="227"/>
      </w:pPr>
      <w:r>
        <w:t xml:space="preserve">13. </w:t>
      </w:r>
      <w:r>
        <w:t>SPWS wykorzystuje oficjalne wyniki i protokoły zawodów uwzględnianych w Rankingu: PPW i MPW, zawodów PZSz, EVF oraz FIE. Każdy wynik ujęty w karcie zawodnika zawiera odnośnik do publicznego protokołu stanowiącego jego źródło.</w:t>
      </w:r>
    </w:p>
    <w:p>
      <w:pPr>
        <w:ind w:left="312" w:hanging="227"/>
      </w:pPr>
      <w:r>
        <w:t xml:space="preserve">14. </w:t>
      </w:r>
      <w:r>
        <w:t>SPWS archiwizuje stan danych z T−90, późniejsze korekty wraz z ich uzasadnieniem oraz ostateczną wersję propozycji przekazaną PZSz. Dokumentacja obejmuje karty zawodników, deklaracje gotowości, uzasadnienia, reklamacje, zastrzeżenia i odpowiedzi oraz pozwala odtworzyć podstawę przekazanej propozycji. Dokumentację ostatecznego wyboru drużyny na Mistrzostwa Świata uzupełnia się po zakończeniu rywalizacji indywidualnej.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  <w:cantSplit/>
        </w:trPr>
        <w:tc>
          <w:tcPr>
            <w:tcW w:type="dxa" w:w="2268"/>
            <w:vAlign w:val="center"/>
            <w:shd w:fill="173F73"/>
          </w:tcPr>
          <w:p>
            <w:pPr>
              <w:keepNext/>
              <w:spacing w:after="60"/>
              <w:jc w:val="center"/>
            </w:pPr>
            <w:r>
              <w:rPr>
                <w:b/>
                <w:color w:val="FFFFFF"/>
                <w:sz w:val="18"/>
              </w:rPr>
              <w:t>T−90</w:t>
            </w:r>
          </w:p>
        </w:tc>
        <w:tc>
          <w:tcPr>
            <w:tcW w:type="dxa" w:w="2268"/>
            <w:vAlign w:val="center"/>
            <w:shd w:fill="875600"/>
          </w:tcPr>
          <w:p>
            <w:pPr>
              <w:keepNext/>
              <w:spacing w:after="60"/>
              <w:jc w:val="center"/>
            </w:pPr>
            <w:r>
              <w:rPr>
                <w:b/>
                <w:color w:val="FFFFFF"/>
                <w:sz w:val="18"/>
              </w:rPr>
              <w:t>T−75</w:t>
            </w:r>
          </w:p>
        </w:tc>
        <w:tc>
          <w:tcPr>
            <w:tcW w:type="dxa" w:w="2268"/>
            <w:vAlign w:val="center"/>
            <w:shd w:fill="176342"/>
          </w:tcPr>
          <w:p>
            <w:pPr>
              <w:keepNext/>
              <w:spacing w:after="60"/>
              <w:jc w:val="center"/>
            </w:pPr>
            <w:r>
              <w:rPr>
                <w:b/>
                <w:color w:val="FFFFFF"/>
                <w:sz w:val="18"/>
              </w:rPr>
              <w:t>T−60</w:t>
            </w:r>
          </w:p>
        </w:tc>
        <w:tc>
          <w:tcPr>
            <w:tcW w:type="dxa" w:w="2268"/>
            <w:vAlign w:val="center"/>
            <w:shd w:fill="455468"/>
          </w:tcPr>
          <w:p>
            <w:pPr>
              <w:keepNext/>
              <w:spacing w:after="60"/>
              <w:jc w:val="center"/>
            </w:pPr>
            <w:r>
              <w:rPr>
                <w:b/>
                <w:color w:val="FFFFFF"/>
                <w:sz w:val="18"/>
              </w:rPr>
              <w:t>T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EAF2FB"/>
          </w:tcPr>
          <w:p>
            <w:pPr>
              <w:keepNext/>
              <w:spacing w:after="60"/>
              <w:jc w:val="center"/>
            </w:pPr>
            <w:r>
              <w:rPr>
                <w:b/>
                <w:sz w:val="18"/>
              </w:rPr>
              <w:t>Otwarcie procesu</w:t>
            </w:r>
          </w:p>
        </w:tc>
        <w:tc>
          <w:tcPr>
            <w:tcW w:type="dxa" w:w="2268"/>
            <w:vAlign w:val="center"/>
            <w:shd w:fill="EAF2FB"/>
          </w:tcPr>
          <w:p>
            <w:pPr>
              <w:keepNext/>
              <w:spacing w:after="60"/>
              <w:jc w:val="center"/>
            </w:pPr>
            <w:r>
              <w:rPr>
                <w:b/>
                <w:sz w:val="18"/>
              </w:rPr>
              <w:t>Karty zawodników</w:t>
            </w:r>
          </w:p>
        </w:tc>
        <w:tc>
          <w:tcPr>
            <w:tcW w:type="dxa" w:w="2268"/>
            <w:vAlign w:val="center"/>
            <w:shd w:fill="EAF2FB"/>
          </w:tcPr>
          <w:p>
            <w:pPr>
              <w:keepNext/>
              <w:spacing w:after="60"/>
              <w:jc w:val="center"/>
            </w:pPr>
            <w:r>
              <w:rPr>
                <w:b/>
                <w:sz w:val="18"/>
              </w:rPr>
              <w:t>Propozycja do PZSz</w:t>
            </w:r>
          </w:p>
        </w:tc>
        <w:tc>
          <w:tcPr>
            <w:tcW w:type="dxa" w:w="2268"/>
            <w:vAlign w:val="center"/>
            <w:shd w:fill="EAF2FB"/>
          </w:tcPr>
          <w:p>
            <w:pPr>
              <w:keepNext/>
              <w:spacing w:after="60"/>
              <w:jc w:val="center"/>
            </w:pPr>
            <w:r>
              <w:rPr>
                <w:b/>
                <w:sz w:val="18"/>
              </w:rPr>
              <w:t>Początek zawodów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EAF2FB"/>
          </w:tcPr>
          <w:p>
            <w:pPr>
              <w:keepNext w:val="0"/>
              <w:spacing w:after="60"/>
              <w:jc w:val="center"/>
            </w:pPr>
            <w:r>
              <w:rPr>
                <w:b w:val="0"/>
                <w:sz w:val="18"/>
              </w:rPr>
              <w:t>Zamknięcie danych i otwarcie deklaracji</w:t>
            </w:r>
          </w:p>
        </w:tc>
        <w:tc>
          <w:tcPr>
            <w:tcW w:type="dxa" w:w="2268"/>
            <w:vAlign w:val="center"/>
            <w:shd w:fill="EAF2FB"/>
          </w:tcPr>
          <w:p>
            <w:pPr>
              <w:keepNext w:val="0"/>
              <w:spacing w:after="60"/>
              <w:jc w:val="center"/>
            </w:pPr>
            <w:r>
              <w:rPr>
                <w:b w:val="0"/>
                <w:sz w:val="18"/>
              </w:rPr>
              <w:t>Koniec deklaracji; początek reklamacji</w:t>
            </w:r>
          </w:p>
        </w:tc>
        <w:tc>
          <w:tcPr>
            <w:tcW w:type="dxa" w:w="2268"/>
            <w:vAlign w:val="center"/>
            <w:shd w:fill="EAF2FB"/>
          </w:tcPr>
          <w:p>
            <w:pPr>
              <w:keepNext w:val="0"/>
              <w:spacing w:after="60"/>
              <w:jc w:val="center"/>
            </w:pPr>
            <w:r>
              <w:rPr>
                <w:b w:val="0"/>
                <w:sz w:val="18"/>
              </w:rPr>
              <w:t>MŚ: pula 8 i dwóch liderów. ME: drużyna 5 i rezerwowy. Karty i uzasadnienia.</w:t>
            </w:r>
          </w:p>
        </w:tc>
        <w:tc>
          <w:tcPr>
            <w:tcW w:type="dxa" w:w="2268"/>
            <w:vAlign w:val="center"/>
            <w:shd w:fill="EAF2FB"/>
          </w:tcPr>
          <w:p>
            <w:pPr>
              <w:keepNext w:val="0"/>
              <w:spacing w:after="60"/>
              <w:jc w:val="center"/>
            </w:pPr>
            <w:r>
              <w:rPr>
                <w:b w:val="0"/>
                <w:sz w:val="18"/>
              </w:rPr>
              <w:t>MŚ: po turnieju indywidualnym, dzień przed drużynowym — pełna piątka, bez rezerwowego.</w:t>
            </w:r>
          </w:p>
        </w:tc>
      </w:tr>
    </w:tbl>
    <w:p>
      <w:pPr/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  <w:cantSplit/>
        </w:trPr>
        <w:tc>
          <w:tcPr>
            <w:tcW w:type="dxa" w:w="3024"/>
            <w:vAlign w:val="center"/>
            <w:shd w:fill="173F73"/>
          </w:tcPr>
          <w:p>
            <w:pPr>
              <w:keepNext/>
              <w:spacing w:after="60"/>
            </w:pPr>
            <w:r>
              <w:rPr>
                <w:b/>
                <w:color w:val="FFFFFF"/>
                <w:sz w:val="18"/>
              </w:rPr>
              <w:t>Termin</w:t>
            </w:r>
          </w:p>
        </w:tc>
        <w:tc>
          <w:tcPr>
            <w:tcW w:type="dxa" w:w="3024"/>
            <w:vAlign w:val="center"/>
            <w:shd w:fill="173F73"/>
          </w:tcPr>
          <w:p>
            <w:pPr>
              <w:keepNext/>
              <w:spacing w:after="60"/>
            </w:pPr>
            <w:r>
              <w:rPr>
                <w:b/>
                <w:color w:val="FFFFFF"/>
                <w:sz w:val="18"/>
              </w:rPr>
              <w:t>Zdarzenie</w:t>
            </w:r>
          </w:p>
        </w:tc>
        <w:tc>
          <w:tcPr>
            <w:tcW w:type="dxa" w:w="3024"/>
            <w:vAlign w:val="center"/>
            <w:shd w:fill="173F73"/>
          </w:tcPr>
          <w:p>
            <w:pPr>
              <w:keepNext/>
              <w:spacing w:after="60"/>
            </w:pPr>
            <w:r>
              <w:rPr>
                <w:b/>
                <w:color w:val="FFFFFF"/>
                <w:sz w:val="18"/>
              </w:rPr>
              <w:t>Zakres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keepNext/>
              <w:spacing w:after="60"/>
            </w:pPr>
            <w:r>
              <w:rPr>
                <w:b w:val="0"/>
                <w:sz w:val="18"/>
              </w:rPr>
              <w:t>T−90</w:t>
            </w:r>
          </w:p>
        </w:tc>
        <w:tc>
          <w:tcPr>
            <w:tcW w:type="dxa" w:w="3024"/>
            <w:vAlign w:val="center"/>
          </w:tcPr>
          <w:p>
            <w:pPr>
              <w:keepNext/>
              <w:spacing w:after="60"/>
            </w:pPr>
            <w:r>
              <w:rPr>
                <w:b w:val="0"/>
                <w:sz w:val="18"/>
              </w:rPr>
              <w:t>Otwarcie procesu</w:t>
            </w:r>
          </w:p>
        </w:tc>
        <w:tc>
          <w:tcPr>
            <w:tcW w:type="dxa" w:w="3024"/>
            <w:vAlign w:val="center"/>
          </w:tcPr>
          <w:p>
            <w:pPr>
              <w:keepNext/>
              <w:spacing w:after="60"/>
            </w:pPr>
            <w:r>
              <w:rPr>
                <w:b w:val="0"/>
                <w:sz w:val="18"/>
              </w:rPr>
              <w:t>SPWS zamyka dane i wzywa do deklaracji. Późniejsze wyniki nie zmieniają kolejności kandydatów; wyjątek dotyczy wyboru drużyny na MŚ po rywalizacji indywidualnej.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EAF2FB"/>
          </w:tcPr>
          <w:p>
            <w:pPr>
              <w:keepNext/>
              <w:spacing w:after="60"/>
            </w:pPr>
            <w:r>
              <w:rPr>
                <w:b w:val="0"/>
                <w:sz w:val="18"/>
              </w:rPr>
              <w:t>T−90 → T−75</w:t>
            </w:r>
          </w:p>
        </w:tc>
        <w:tc>
          <w:tcPr>
            <w:tcW w:type="dxa" w:w="3024"/>
            <w:vAlign w:val="center"/>
            <w:shd w:fill="EAF2FB"/>
          </w:tcPr>
          <w:p>
            <w:pPr>
              <w:keepNext/>
              <w:spacing w:after="60"/>
            </w:pPr>
            <w:r>
              <w:rPr>
                <w:b w:val="0"/>
                <w:sz w:val="18"/>
              </w:rPr>
              <w:t>Deklaracje</w:t>
            </w:r>
          </w:p>
        </w:tc>
        <w:tc>
          <w:tcPr>
            <w:tcW w:type="dxa" w:w="3024"/>
            <w:vAlign w:val="center"/>
            <w:shd w:fill="EAF2FB"/>
          </w:tcPr>
          <w:p>
            <w:pPr>
              <w:keepNext/>
              <w:spacing w:after="60"/>
            </w:pPr>
            <w:r>
              <w:rPr>
                <w:b w:val="0"/>
                <w:sz w:val="18"/>
              </w:rPr>
              <w:t>Zawodnik deklaruje gotowość do T−75 włącznie.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keepNext/>
              <w:spacing w:after="60"/>
            </w:pPr>
            <w:r>
              <w:rPr>
                <w:b w:val="0"/>
                <w:sz w:val="18"/>
              </w:rPr>
              <w:t>T−75 → T−60</w:t>
            </w:r>
          </w:p>
        </w:tc>
        <w:tc>
          <w:tcPr>
            <w:tcW w:type="dxa" w:w="3024"/>
            <w:vAlign w:val="center"/>
          </w:tcPr>
          <w:p>
            <w:pPr>
              <w:keepNext/>
              <w:spacing w:after="60"/>
            </w:pPr>
            <w:r>
              <w:rPr>
                <w:b w:val="0"/>
                <w:sz w:val="18"/>
              </w:rPr>
              <w:t>Karty i reklamacje</w:t>
            </w:r>
          </w:p>
        </w:tc>
        <w:tc>
          <w:tcPr>
            <w:tcW w:type="dxa" w:w="3024"/>
            <w:vAlign w:val="center"/>
          </w:tcPr>
          <w:p>
            <w:pPr>
              <w:keepNext/>
              <w:spacing w:after="60"/>
            </w:pPr>
            <w:r>
              <w:rPr>
                <w:b w:val="0"/>
                <w:sz w:val="18"/>
              </w:rPr>
              <w:t>Karty są udostępnione najpóźniej w T−75. Zawodnik zgłasza błędy i brakujące wyniki sprzed zamknięcia danych. Zweryfikowane korekty wchodzą przed przekazaniem propozycji.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EAF2FB"/>
          </w:tcPr>
          <w:p>
            <w:pPr>
              <w:keepNext/>
              <w:spacing w:after="60"/>
            </w:pPr>
            <w:r>
              <w:rPr>
                <w:b w:val="0"/>
                <w:sz w:val="18"/>
              </w:rPr>
              <w:t>T−60</w:t>
            </w:r>
          </w:p>
        </w:tc>
        <w:tc>
          <w:tcPr>
            <w:tcW w:type="dxa" w:w="3024"/>
            <w:vAlign w:val="center"/>
            <w:shd w:fill="EAF2FB"/>
          </w:tcPr>
          <w:p>
            <w:pPr>
              <w:keepNext/>
              <w:spacing w:after="60"/>
            </w:pPr>
            <w:r>
              <w:rPr>
                <w:b w:val="0"/>
                <w:sz w:val="18"/>
              </w:rPr>
              <w:t>Propozycja do PZSz</w:t>
            </w:r>
          </w:p>
        </w:tc>
        <w:tc>
          <w:tcPr>
            <w:tcW w:type="dxa" w:w="3024"/>
            <w:vAlign w:val="center"/>
            <w:shd w:fill="EAF2FB"/>
          </w:tcPr>
          <w:p>
            <w:pPr>
              <w:keepNext/>
              <w:spacing w:after="60"/>
            </w:pPr>
            <w:r>
              <w:rPr>
                <w:b w:val="0"/>
                <w:sz w:val="18"/>
              </w:rPr>
              <w:t>MŚ: pula ośmiu kandydatów i dwóch liderów z zapewnionymi miejscami. ME: proponowana piątka i rezerwowy. Karty oraz uzasadnienia do PZSz.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keepNext/>
              <w:spacing w:after="60"/>
            </w:pPr>
            <w:r>
              <w:rPr>
                <w:b w:val="0"/>
                <w:sz w:val="18"/>
              </w:rPr>
              <w:t>Dzień przed turniejem drużynowym MŚ, po turnieju indywidualnym</w:t>
            </w:r>
          </w:p>
        </w:tc>
        <w:tc>
          <w:tcPr>
            <w:tcW w:type="dxa" w:w="3024"/>
            <w:vAlign w:val="center"/>
          </w:tcPr>
          <w:p>
            <w:pPr>
              <w:keepNext/>
              <w:spacing w:after="60"/>
            </w:pPr>
            <w:r>
              <w:rPr>
                <w:b w:val="0"/>
                <w:sz w:val="18"/>
              </w:rPr>
              <w:t>Pełny skład MŚ</w:t>
            </w:r>
          </w:p>
        </w:tc>
        <w:tc>
          <w:tcPr>
            <w:tcW w:type="dxa" w:w="3024"/>
            <w:vAlign w:val="center"/>
          </w:tcPr>
          <w:p>
            <w:pPr>
              <w:keepNext/>
              <w:spacing w:after="60"/>
            </w:pPr>
            <w:r>
              <w:rPr>
                <w:b w:val="0"/>
                <w:sz w:val="18"/>
              </w:rPr>
              <w:t>Wybór trzech zawodników z pozostałej szóstki obecnej na mistrzostwach. Drużyna pięcioosobowa, bez rezerwowego; trzej niewybrani nie uczestniczą w turnieju drużynowym.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EAF2FB"/>
          </w:tcPr>
          <w:p>
            <w:pPr>
              <w:keepNext w:val="0"/>
              <w:spacing w:after="60"/>
            </w:pPr>
            <w:r>
              <w:rPr>
                <w:b w:val="0"/>
                <w:sz w:val="18"/>
              </w:rPr>
              <w:t>Po T−60</w:t>
            </w:r>
          </w:p>
        </w:tc>
        <w:tc>
          <w:tcPr>
            <w:tcW w:type="dxa" w:w="3024"/>
            <w:vAlign w:val="center"/>
            <w:shd w:fill="EAF2FB"/>
          </w:tcPr>
          <w:p>
            <w:pPr>
              <w:keepNext w:val="0"/>
              <w:spacing w:after="60"/>
            </w:pPr>
            <w:r>
              <w:rPr>
                <w:b w:val="0"/>
                <w:sz w:val="18"/>
              </w:rPr>
              <w:t>Zastrzeżenia do oceny</w:t>
            </w:r>
          </w:p>
        </w:tc>
        <w:tc>
          <w:tcPr>
            <w:tcW w:type="dxa" w:w="3024"/>
            <w:vAlign w:val="center"/>
            <w:shd w:fill="EAF2FB"/>
          </w:tcPr>
          <w:p>
            <w:pPr>
              <w:keepNext w:val="0"/>
              <w:spacing w:after="60"/>
            </w:pPr>
            <w:r>
              <w:rPr>
                <w:b w:val="0"/>
                <w:sz w:val="18"/>
              </w:rPr>
              <w:t>SPWS odpowiada pisemnie; zastrzeżenie nie wstrzymuje dalszego procesu.</w:t>
            </w:r>
          </w:p>
        </w:tc>
      </w:tr>
    </w:tbl>
    <w:p>
      <w:pPr/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rPr>
          <w:tblHeader w:val="true"/>
          <w:cantSplit/>
        </w:trPr>
        <w:tc>
          <w:tcPr>
            <w:tcW w:type="dxa" w:w="4535"/>
            <w:vAlign w:val="center"/>
            <w:shd w:fill="173F73"/>
          </w:tcPr>
          <w:p>
            <w:pPr>
              <w:keepNext/>
              <w:spacing w:after="60"/>
            </w:pPr>
            <w:r>
              <w:rPr>
                <w:b/>
                <w:color w:val="FFFFFF"/>
                <w:sz w:val="18"/>
              </w:rPr>
              <w:t>Kto</w:t>
            </w:r>
          </w:p>
        </w:tc>
        <w:tc>
          <w:tcPr>
            <w:tcW w:type="dxa" w:w="4535"/>
            <w:vAlign w:val="center"/>
            <w:shd w:fill="173F73"/>
          </w:tcPr>
          <w:p>
            <w:pPr>
              <w:keepNext/>
              <w:spacing w:after="60"/>
            </w:pPr>
            <w:r>
              <w:rPr>
                <w:b/>
                <w:color w:val="FFFFFF"/>
                <w:sz w:val="18"/>
              </w:rPr>
              <w:t>Odpowiedzialność</w:t>
            </w:r>
          </w:p>
        </w:tc>
      </w:tr>
      <w:tr>
        <w:trPr>
          <w:cantSplit/>
        </w:trPr>
        <w:tc>
          <w:tcPr>
            <w:tcW w:type="dxa" w:w="4535"/>
            <w:vAlign w:val="center"/>
          </w:tcPr>
          <w:p>
            <w:pPr>
              <w:keepNext/>
              <w:spacing w:after="60"/>
            </w:pPr>
            <w:r>
              <w:rPr>
                <w:b w:val="0"/>
                <w:sz w:val="18"/>
              </w:rPr>
              <w:t>SPWS</w:t>
            </w:r>
          </w:p>
        </w:tc>
        <w:tc>
          <w:tcPr>
            <w:tcW w:type="dxa" w:w="4535"/>
            <w:vAlign w:val="center"/>
          </w:tcPr>
          <w:p>
            <w:pPr>
              <w:keepNext/>
              <w:spacing w:after="60"/>
            </w:pPr>
            <w:r>
              <w:rPr>
                <w:b w:val="0"/>
                <w:sz w:val="18"/>
              </w:rPr>
              <w:t>Wyniki, weryfikacja warunków, karty, kolejność kandydatów, uzasadnienia, reklamacje oraz propozycja do T−60.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EAF2FB"/>
          </w:tcPr>
          <w:p>
            <w:pPr>
              <w:keepNext/>
              <w:spacing w:after="60"/>
            </w:pPr>
            <w:r>
              <w:rPr>
                <w:b w:val="0"/>
                <w:sz w:val="18"/>
              </w:rPr>
              <w:t>PZSz</w:t>
            </w:r>
          </w:p>
        </w:tc>
        <w:tc>
          <w:tcPr>
            <w:tcW w:type="dxa" w:w="4535"/>
            <w:vAlign w:val="center"/>
            <w:shd w:fill="EAF2FB"/>
          </w:tcPr>
          <w:p>
            <w:pPr>
              <w:keepNext/>
              <w:spacing w:after="60"/>
            </w:pPr>
            <w:r>
              <w:rPr>
                <w:b w:val="0"/>
                <w:sz w:val="18"/>
              </w:rPr>
              <w:t>Wybór, nominacja i zgłoszenie imienne; pisemny powód odstępstwa od zaproponowanej kolejności.</w:t>
            </w:r>
          </w:p>
        </w:tc>
      </w:tr>
      <w:tr>
        <w:trPr>
          <w:cantSplit/>
        </w:trPr>
        <w:tc>
          <w:tcPr>
            <w:tcW w:type="dxa" w:w="4535"/>
            <w:vAlign w:val="center"/>
          </w:tcPr>
          <w:p>
            <w:pPr>
              <w:keepNext w:val="0"/>
              <w:spacing w:after="60"/>
            </w:pPr>
            <w:r>
              <w:rPr>
                <w:b w:val="0"/>
                <w:sz w:val="18"/>
              </w:rPr>
              <w:t>Zawodnik</w:t>
            </w:r>
          </w:p>
        </w:tc>
        <w:tc>
          <w:tcPr>
            <w:tcW w:type="dxa" w:w="4535"/>
            <w:vAlign w:val="center"/>
          </w:tcPr>
          <w:p>
            <w:pPr>
              <w:keepNext w:val="0"/>
              <w:spacing w:after="60"/>
            </w:pPr>
            <w:r>
              <w:rPr>
                <w:b w:val="0"/>
                <w:sz w:val="18"/>
              </w:rPr>
              <w:t>Deklaracja od T−90 do T−75 włącznie oraz zgłoszenie błędów w oknie reklamacji.</w:t>
            </w:r>
          </w:p>
        </w:tc>
      </w:tr>
    </w:tbl>
    <w:p>
      <w:pPr/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  <w:cantSplit/>
        </w:trPr>
        <w:tc>
          <w:tcPr>
            <w:tcW w:type="dxa" w:w="3024"/>
            <w:vAlign w:val="center"/>
            <w:shd w:fill="173F73"/>
          </w:tcPr>
          <w:p>
            <w:pPr>
              <w:keepNext/>
              <w:spacing w:after="60"/>
            </w:pPr>
            <w:r>
              <w:rPr>
                <w:b/>
                <w:color w:val="FFFFFF"/>
                <w:sz w:val="18"/>
              </w:rPr>
              <w:t>Źródło</w:t>
            </w:r>
          </w:p>
        </w:tc>
        <w:tc>
          <w:tcPr>
            <w:tcW w:type="dxa" w:w="3024"/>
            <w:vAlign w:val="center"/>
            <w:shd w:fill="173F73"/>
          </w:tcPr>
          <w:p>
            <w:pPr>
              <w:keepNext/>
              <w:spacing w:after="60"/>
            </w:pPr>
            <w:r>
              <w:rPr>
                <w:b/>
                <w:color w:val="FFFFFF"/>
                <w:sz w:val="18"/>
              </w:rPr>
              <w:t>Dane</w:t>
            </w:r>
          </w:p>
        </w:tc>
        <w:tc>
          <w:tcPr>
            <w:tcW w:type="dxa" w:w="3024"/>
            <w:vAlign w:val="center"/>
            <w:shd w:fill="173F73"/>
          </w:tcPr>
          <w:p>
            <w:pPr>
              <w:keepNext/>
              <w:spacing w:after="60"/>
            </w:pPr>
            <w:r>
              <w:rPr>
                <w:b/>
                <w:color w:val="FFFFFF"/>
                <w:sz w:val="18"/>
              </w:rPr>
              <w:t>Dokumentowanie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keepNext/>
              <w:spacing w:after="60"/>
            </w:pPr>
            <w:r>
              <w:rPr>
                <w:b w:val="0"/>
                <w:sz w:val="18"/>
              </w:rPr>
              <w:t>SPWS</w:t>
            </w:r>
          </w:p>
        </w:tc>
        <w:tc>
          <w:tcPr>
            <w:tcW w:type="dxa" w:w="3024"/>
            <w:vAlign w:val="center"/>
          </w:tcPr>
          <w:p>
            <w:pPr>
              <w:keepNext/>
              <w:spacing w:after="60"/>
            </w:pPr>
            <w:r>
              <w:rPr>
                <w:b w:val="0"/>
                <w:sz w:val="18"/>
              </w:rPr>
              <w:t>Wyniki PPW i MPW oraz ranking krajowy</w:t>
            </w:r>
          </w:p>
        </w:tc>
        <w:tc>
          <w:tcPr>
            <w:tcW w:type="dxa" w:w="3024"/>
            <w:vAlign w:val="center"/>
          </w:tcPr>
          <w:p>
            <w:pPr>
              <w:keepNext/>
              <w:spacing w:after="60"/>
            </w:pPr>
            <w:r>
              <w:rPr>
                <w:b w:val="0"/>
                <w:sz w:val="18"/>
              </w:rPr>
              <w:t>Odnośnik do protokołu źródłowego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EAF2FB"/>
          </w:tcPr>
          <w:p>
            <w:pPr>
              <w:keepNext/>
              <w:spacing w:after="60"/>
            </w:pPr>
            <w:r>
              <w:rPr>
                <w:b w:val="0"/>
                <w:sz w:val="18"/>
              </w:rPr>
              <w:t>PZSz / organizator</w:t>
            </w:r>
          </w:p>
        </w:tc>
        <w:tc>
          <w:tcPr>
            <w:tcW w:type="dxa" w:w="3024"/>
            <w:vAlign w:val="center"/>
            <w:shd w:fill="EAF2FB"/>
          </w:tcPr>
          <w:p>
            <w:pPr>
              <w:keepNext/>
              <w:spacing w:after="60"/>
            </w:pPr>
            <w:r>
              <w:rPr>
                <w:b w:val="0"/>
                <w:sz w:val="18"/>
              </w:rPr>
              <w:t>Wyniki zawodów PZSz uwzględnianych w rankingu</w:t>
            </w:r>
          </w:p>
        </w:tc>
        <w:tc>
          <w:tcPr>
            <w:tcW w:type="dxa" w:w="3024"/>
            <w:vAlign w:val="center"/>
            <w:shd w:fill="EAF2FB"/>
          </w:tcPr>
          <w:p>
            <w:pPr>
              <w:keepNext/>
              <w:spacing w:after="60"/>
            </w:pPr>
            <w:r>
              <w:rPr>
                <w:b w:val="0"/>
                <w:sz w:val="18"/>
              </w:rPr>
              <w:t>Odnośnik do protokołu źródłowego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keepNext/>
              <w:spacing w:after="60"/>
            </w:pPr>
            <w:r>
              <w:rPr>
                <w:b w:val="0"/>
                <w:sz w:val="18"/>
              </w:rPr>
              <w:t>EVF / organizator</w:t>
            </w:r>
          </w:p>
        </w:tc>
        <w:tc>
          <w:tcPr>
            <w:tcW w:type="dxa" w:w="3024"/>
            <w:vAlign w:val="center"/>
          </w:tcPr>
          <w:p>
            <w:pPr>
              <w:keepNext/>
              <w:spacing w:after="60"/>
            </w:pPr>
            <w:r>
              <w:rPr>
                <w:b w:val="0"/>
                <w:sz w:val="18"/>
              </w:rPr>
              <w:t>Wyniki zawodów EVF</w:t>
            </w:r>
          </w:p>
        </w:tc>
        <w:tc>
          <w:tcPr>
            <w:tcW w:type="dxa" w:w="3024"/>
            <w:vAlign w:val="center"/>
          </w:tcPr>
          <w:p>
            <w:pPr>
              <w:keepNext/>
              <w:spacing w:after="60"/>
            </w:pPr>
            <w:r>
              <w:rPr>
                <w:b w:val="0"/>
                <w:sz w:val="18"/>
              </w:rPr>
              <w:t>Odnośnik do protokołu źródłowego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EAF2FB"/>
          </w:tcPr>
          <w:p>
            <w:pPr>
              <w:keepNext w:val="0"/>
              <w:spacing w:after="60"/>
            </w:pPr>
            <w:r>
              <w:rPr>
                <w:b w:val="0"/>
                <w:sz w:val="18"/>
              </w:rPr>
              <w:t>FIE / organizator</w:t>
            </w:r>
          </w:p>
        </w:tc>
        <w:tc>
          <w:tcPr>
            <w:tcW w:type="dxa" w:w="3024"/>
            <w:vAlign w:val="center"/>
            <w:shd w:fill="EAF2FB"/>
          </w:tcPr>
          <w:p>
            <w:pPr>
              <w:keepNext w:val="0"/>
              <w:spacing w:after="60"/>
            </w:pPr>
            <w:r>
              <w:rPr>
                <w:b w:val="0"/>
                <w:sz w:val="18"/>
              </w:rPr>
              <w:t>Wyniki indywidualne i protokoły drużynowe; np. publikowane w FencingTimeLive</w:t>
            </w:r>
          </w:p>
        </w:tc>
        <w:tc>
          <w:tcPr>
            <w:tcW w:type="dxa" w:w="3024"/>
            <w:vAlign w:val="center"/>
            <w:shd w:fill="EAF2FB"/>
          </w:tcPr>
          <w:p>
            <w:pPr>
              <w:keepNext w:val="0"/>
              <w:spacing w:after="60"/>
            </w:pPr>
            <w:r>
              <w:rPr>
                <w:b w:val="0"/>
                <w:sz w:val="18"/>
              </w:rPr>
              <w:t>Odnośnik do protokołu źródłowego</w:t>
            </w:r>
          </w:p>
        </w:tc>
      </w:tr>
    </w:tbl>
    <w:p>
      <w:pPr/>
    </w:p>
    <w:p>
      <w:pPr>
        <w:pStyle w:val="Etykietarozdzialu"/>
        <w:pageBreakBefore/>
      </w:pPr>
      <w:r>
        <w:t>Rozdział 6</w:t>
      </w:r>
    </w:p>
    <w:p>
      <w:bookmarkStart w:id="239877513" w:name="_Toc239877513"/>
      <w:pPr>
        <w:pStyle w:val="Heading1"/>
        <w:jc w:val="center"/>
      </w:pPr>
      <w:r>
        <w:t>Ocena regulaminu i doskonalenie metody</w:t>
      </w:r>
      <w:bookmarkEnd w:id="239877513"/>
    </w:p>
    <w:p>
      <w:pPr>
        <w:pStyle w:val="Paragraf"/>
        <w:keepNext/>
      </w:pPr>
      <w:r>
        <w:t>§ 18</w:t>
      </w:r>
    </w:p>
    <w:p>
      <w:pPr>
        <w:pStyle w:val="Tytułparagrafu"/>
        <w:keepNext/>
      </w:pPr>
      <w:r>
        <w:t>Posezonowa ocena działania regulaminu</w:t>
      </w:r>
    </w:p>
    <w:p>
      <w:pPr>
        <w:keepLines/>
        <w:ind w:left="312" w:hanging="227"/>
      </w:pPr>
      <w:r>
        <w:t xml:space="preserve">1. </w:t>
      </w:r>
      <w:r>
        <w:t>Po zakończeniu każdego sezonu obowiązkowo przeprowadza się ocenę działania Regulaminu.</w:t>
      </w:r>
    </w:p>
    <w:p>
      <w:pPr>
        <w:ind w:left="312" w:hanging="227"/>
      </w:pPr>
      <w:r>
        <w:t xml:space="preserve">2. </w:t>
      </w:r>
      <w:r>
        <w:t>Ocenę przeprowadza Komisja Regulaminowa SPWS, zapraszając do udziału przedstawiciela PZSz oraz przedstawicieli podmiotów wskazanych przez PZSz.</w:t>
      </w:r>
    </w:p>
    <w:p>
      <w:pPr>
        <w:ind w:left="312" w:hanging="227"/>
      </w:pPr>
      <w:r>
        <w:t xml:space="preserve">3. </w:t>
      </w:r>
      <w:r>
        <w:t>Ocena obejmuje w szczególności terminowość procesu, spory interpretacyjne, zastosowane wyjątki, braki danych oraz zgodność nominacji z celem Regulaminu.</w:t>
      </w:r>
    </w:p>
    <w:p>
      <w:pPr>
        <w:ind w:left="312" w:hanging="227"/>
      </w:pPr>
      <w:r>
        <w:t xml:space="preserve">4. </w:t>
      </w:r>
      <w:r>
        <w:t>Na podstawie oceny Komisja wskazuje usprawnienia wymagające rozważenia przed kolejnym sezonem oraz zapisuje wnioski przy właściwych kartach decyzji.</w:t>
      </w:r>
    </w:p>
    <w:p>
      <w:pPr>
        <w:ind w:left="312" w:hanging="227"/>
      </w:pPr>
      <w:r>
        <w:t xml:space="preserve">5. </w:t>
      </w:r>
      <w:r>
        <w:t>SPWS publikuje podsumowanie oceny oraz propozycje zmian Regulaminu przed rozpoczęciem kolejnego sezonu.</w:t>
      </w:r>
    </w:p>
    <w:p>
      <w:pPr>
        <w:pStyle w:val="Etykietarozdzialu"/>
        <w:pageBreakBefore/>
      </w:pPr>
      <w:r>
        <w:t>Rozdział 7</w:t>
      </w:r>
    </w:p>
    <w:p>
      <w:bookmarkStart w:id="239877514" w:name="_Toc239877514"/>
      <w:pPr>
        <w:pStyle w:val="Heading1"/>
        <w:jc w:val="center"/>
      </w:pPr>
      <w:r>
        <w:t>Postanowienia końcowe</w:t>
      </w:r>
      <w:bookmarkEnd w:id="239877514"/>
    </w:p>
    <w:p>
      <w:pPr>
        <w:pStyle w:val="Paragraf"/>
        <w:keepNext/>
      </w:pPr>
      <w:r>
        <w:t>§ 19</w:t>
      </w:r>
    </w:p>
    <w:p>
      <w:pPr>
        <w:pStyle w:val="Tytułparagrafu"/>
        <w:keepNext/>
      </w:pPr>
      <w:r>
        <w:t>Wejście w życie</w:t>
      </w:r>
    </w:p>
    <w:p>
      <w:pPr>
        <w:keepLines/>
        <w:ind w:left="312" w:hanging="227"/>
      </w:pPr>
      <w:r>
        <w:t xml:space="preserve">1. </w:t>
      </w:r>
      <w:r>
        <w:t>Regulamin przyjmuje Zarząd SPWS w drodze uchwały. Regulamin wchodzi w życie w terminie określonym w tej uchwale.</w:t>
      </w:r>
    </w:p>
    <w:p>
      <w:pPr>
        <w:ind w:left="312" w:hanging="227"/>
      </w:pPr>
      <w:r>
        <w:t xml:space="preserve">2. </w:t>
      </w:r>
      <w:r>
        <w:t>Regulaminu nie stosuje się do Mistrzostw Świata Weteranów w Tbilisi w 2026 r.</w:t>
      </w:r>
    </w:p>
    <w:p>
      <w:pPr>
        <w:ind w:left="312" w:hanging="227"/>
      </w:pPr>
      <w:r>
        <w:t xml:space="preserve">3. </w:t>
      </w:r>
      <w:r>
        <w:t>SPWS publikuje zatwierdzony Regulamin wraz z załącznikami na swojej stronie internetowej.</w:t>
      </w:r>
    </w:p>
    <w:p>
      <w:r>
        <w:br w:type="page"/>
      </w:r>
    </w:p>
    <w:p>
      <w:pPr>
        <w:pStyle w:val="Etykietarozdzialu"/>
        <w:jc w:val="center"/>
      </w:pPr>
      <w:r>
        <w:t>ZAŁĄCZNIK NR 1</w:t>
      </w:r>
    </w:p>
    <w:p>
      <w:pPr>
        <w:pStyle w:val="Heading1"/>
        <w:jc w:val="center"/>
      </w:pPr>
      <w:r>
        <w:t>Tabela punktacji Pucharu Polski Weteranów w szermierce</w:t>
      </w:r>
    </w:p>
    <w:p>
      <w:pPr>
        <w:jc w:val="center"/>
      </w:pPr>
      <w:r>
        <w:rPr>
          <w:i/>
        </w:rPr>
        <w:t>Punkty rankingowe za miejsce zdobyte w stawce liczącej od 4 do 40 zawodników — sezon 2026/2027</w:t>
      </w:r>
    </w:p>
    <w:p>
      <w:pPr>
        <w:jc w:val="center"/>
      </w:pPr>
      <w:r>
        <w:rPr>
          <w:b/>
        </w:rPr>
        <w:t>Współczynnik rangi PPW: 1,0</w:t>
      </w:r>
    </w:p>
    <w:p>
      <w:pPr>
        <w:pStyle w:val="Heading2"/>
        <w:keepNext/>
      </w:pPr>
      <w:r>
        <w:t>Miejsca 1–10 · stawka 4–20 zawodników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</w:tblGrid>
      <w:tr>
        <w:trPr>
          <w:tblHeader w:val="true"/>
          <w:cantSplit/>
        </w:trPr>
        <w:tc>
          <w:tcPr>
            <w:tcW w:type="dxa" w:w="1701"/>
            <w:vAlign w:val="center"/>
            <w:shd w:fill="173F73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color w:val="FFFFFF"/>
                <w:sz w:val="15"/>
              </w:rPr>
              <w:t>Liczba zawodników w stawce</w:t>
            </w:r>
          </w:p>
        </w:tc>
        <w:tc>
          <w:tcPr>
            <w:tcW w:type="dxa" w:w="709"/>
            <w:vAlign w:val="center"/>
            <w:shd w:fill="173F73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color w:val="FFFFFF"/>
                <w:sz w:val="15"/>
              </w:rPr>
              <w:t>1</w:t>
            </w:r>
          </w:p>
        </w:tc>
        <w:tc>
          <w:tcPr>
            <w:tcW w:type="dxa" w:w="709"/>
            <w:vAlign w:val="center"/>
            <w:shd w:fill="173F73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color w:val="FFFFFF"/>
                <w:sz w:val="15"/>
              </w:rPr>
              <w:t>2</w:t>
            </w:r>
          </w:p>
        </w:tc>
        <w:tc>
          <w:tcPr>
            <w:tcW w:type="dxa" w:w="709"/>
            <w:vAlign w:val="center"/>
            <w:shd w:fill="173F73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color w:val="FFFFFF"/>
                <w:sz w:val="15"/>
              </w:rPr>
              <w:t>3</w:t>
            </w:r>
          </w:p>
        </w:tc>
        <w:tc>
          <w:tcPr>
            <w:tcW w:type="dxa" w:w="709"/>
            <w:vAlign w:val="center"/>
            <w:shd w:fill="173F73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color w:val="FFFFFF"/>
                <w:sz w:val="15"/>
              </w:rPr>
              <w:t>4</w:t>
            </w:r>
          </w:p>
        </w:tc>
        <w:tc>
          <w:tcPr>
            <w:tcW w:type="dxa" w:w="709"/>
            <w:vAlign w:val="center"/>
            <w:shd w:fill="173F73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color w:val="FFFFFF"/>
                <w:sz w:val="15"/>
              </w:rPr>
              <w:t>5</w:t>
            </w:r>
          </w:p>
        </w:tc>
        <w:tc>
          <w:tcPr>
            <w:tcW w:type="dxa" w:w="709"/>
            <w:vAlign w:val="center"/>
            <w:shd w:fill="173F73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color w:val="FFFFFF"/>
                <w:sz w:val="15"/>
              </w:rPr>
              <w:t>6</w:t>
            </w:r>
          </w:p>
        </w:tc>
        <w:tc>
          <w:tcPr>
            <w:tcW w:type="dxa" w:w="709"/>
            <w:vAlign w:val="center"/>
            <w:shd w:fill="173F73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color w:val="FFFFFF"/>
                <w:sz w:val="15"/>
              </w:rPr>
              <w:t>7</w:t>
            </w:r>
          </w:p>
        </w:tc>
        <w:tc>
          <w:tcPr>
            <w:tcW w:type="dxa" w:w="709"/>
            <w:vAlign w:val="center"/>
            <w:shd w:fill="173F73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color w:val="FFFFFF"/>
                <w:sz w:val="15"/>
              </w:rPr>
              <w:t>8</w:t>
            </w:r>
          </w:p>
        </w:tc>
        <w:tc>
          <w:tcPr>
            <w:tcW w:type="dxa" w:w="709"/>
            <w:vAlign w:val="center"/>
            <w:shd w:fill="173F73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color w:val="FFFFFF"/>
                <w:sz w:val="15"/>
              </w:rPr>
              <w:t>9</w:t>
            </w:r>
          </w:p>
        </w:tc>
        <w:tc>
          <w:tcPr>
            <w:tcW w:type="dxa" w:w="709"/>
            <w:vAlign w:val="center"/>
            <w:shd w:fill="173F73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color w:val="FFFFFF"/>
                <w:sz w:val="15"/>
              </w:rPr>
              <w:t>10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AF2FB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sz w:val="15"/>
              </w:rPr>
              <w:t>4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54,3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30,0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9,7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1,0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AF2FB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sz w:val="15"/>
              </w:rPr>
              <w:t>5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68,6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43,9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23,2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14,1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1,0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AF2FB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sz w:val="15"/>
              </w:rPr>
              <w:t>6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72,2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47,1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26,1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16,6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3,5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1,0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AF2FB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sz w:val="15"/>
              </w:rPr>
              <w:t>7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75,3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49,9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28,5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18,8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5,7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3,1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1,0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AF2FB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sz w:val="15"/>
              </w:rPr>
              <w:t>8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78,0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52,3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30,7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20,7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7,6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5,0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2,9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1,0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AF2FB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sz w:val="15"/>
              </w:rPr>
              <w:t>9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90,4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64,5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42,6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32,3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19,2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16,7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14,5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12,6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1,0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AF2FB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sz w:val="15"/>
              </w:rPr>
              <w:t>10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92,6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66,4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44,3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33,8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20,7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18,1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16,0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14,1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2,5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1,0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AF2FB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sz w:val="15"/>
              </w:rPr>
              <w:t>11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94,6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68,2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45,9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35,2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22,0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19,5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17,3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15,5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3,8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2,3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AF2FB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sz w:val="15"/>
              </w:rPr>
              <w:t>12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96,5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69,9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47,3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36,4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23,3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20,7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18,6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16,7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5,0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3,6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AF2FB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sz w:val="15"/>
              </w:rPr>
              <w:t>13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98,2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71,4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48,6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37,5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24,4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21,9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19,7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17,8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6,2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4,7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AF2FB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sz w:val="15"/>
              </w:rPr>
              <w:t>14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99,8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72,8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49,9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38,6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25,5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22,9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20,7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18,9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7,2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5,7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AF2FB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sz w:val="15"/>
              </w:rPr>
              <w:t>15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101,3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74,1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51,0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39,6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26,4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23,9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21,7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19,8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8,2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6,7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AF2FB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sz w:val="15"/>
              </w:rPr>
              <w:t>16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102,7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75,4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52,1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40,5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27,4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24,8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22,6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20,8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9,1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7,6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AF2FB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sz w:val="15"/>
              </w:rPr>
              <w:t>17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114,0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86,5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63,1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51,4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38,2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35,7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33,5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31,6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20,0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18,5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AF2FB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sz w:val="15"/>
              </w:rPr>
              <w:t>18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115,3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87,7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64,1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52,2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39,0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36,5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34,3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32,4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20,8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19,3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AF2FB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sz w:val="15"/>
              </w:rPr>
              <w:t>19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116,5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88,7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65,0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53,0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39,8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37,2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35,1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33,2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21,5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20,0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AF2FB"/>
          </w:tcPr>
          <w:p>
            <w:pPr>
              <w:keepNext w:val="0"/>
              <w:spacing w:before="0" w:after="0"/>
              <w:jc w:val="center"/>
            </w:pPr>
            <w:r>
              <w:rPr>
                <w:b/>
                <w:sz w:val="15"/>
              </w:rPr>
              <w:t>20</w:t>
            </w:r>
          </w:p>
        </w:tc>
        <w:tc>
          <w:tcPr>
            <w:tcW w:type="dxa" w:w="709"/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b w:val="0"/>
                <w:sz w:val="15"/>
              </w:rPr>
              <w:t>117,6</w:t>
            </w:r>
          </w:p>
        </w:tc>
        <w:tc>
          <w:tcPr>
            <w:tcW w:type="dxa" w:w="709"/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b w:val="0"/>
                <w:sz w:val="15"/>
              </w:rPr>
              <w:t>89,7</w:t>
            </w:r>
          </w:p>
        </w:tc>
        <w:tc>
          <w:tcPr>
            <w:tcW w:type="dxa" w:w="709"/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b w:val="0"/>
                <w:sz w:val="15"/>
              </w:rPr>
              <w:t>65,9</w:t>
            </w:r>
          </w:p>
        </w:tc>
        <w:tc>
          <w:tcPr>
            <w:tcW w:type="dxa" w:w="709"/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b w:val="0"/>
                <w:sz w:val="15"/>
              </w:rPr>
              <w:t>53,7</w:t>
            </w:r>
          </w:p>
        </w:tc>
        <w:tc>
          <w:tcPr>
            <w:tcW w:type="dxa" w:w="709"/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b w:val="0"/>
                <w:sz w:val="15"/>
              </w:rPr>
              <w:t>40,5</w:t>
            </w:r>
          </w:p>
        </w:tc>
        <w:tc>
          <w:tcPr>
            <w:tcW w:type="dxa" w:w="709"/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b w:val="0"/>
                <w:sz w:val="15"/>
              </w:rPr>
              <w:t>38,0</w:t>
            </w:r>
          </w:p>
        </w:tc>
        <w:tc>
          <w:tcPr>
            <w:tcW w:type="dxa" w:w="709"/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b w:val="0"/>
                <w:sz w:val="15"/>
              </w:rPr>
              <w:t>35,8</w:t>
            </w:r>
          </w:p>
        </w:tc>
        <w:tc>
          <w:tcPr>
            <w:tcW w:type="dxa" w:w="709"/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b w:val="0"/>
                <w:sz w:val="15"/>
              </w:rPr>
              <w:t>33,9</w:t>
            </w:r>
          </w:p>
        </w:tc>
        <w:tc>
          <w:tcPr>
            <w:tcW w:type="dxa" w:w="709"/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b w:val="0"/>
                <w:sz w:val="15"/>
              </w:rPr>
              <w:t>22,3</w:t>
            </w:r>
          </w:p>
        </w:tc>
        <w:tc>
          <w:tcPr>
            <w:tcW w:type="dxa" w:w="709"/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b w:val="0"/>
                <w:sz w:val="15"/>
              </w:rPr>
              <w:t>20,8</w:t>
            </w:r>
          </w:p>
        </w:tc>
      </w:tr>
    </w:tbl>
    <w:p>
      <w:pPr/>
    </w:p>
    <w:p>
      <w:pPr>
        <w:pStyle w:val="Heading2"/>
        <w:keepNext/>
      </w:pPr>
      <w:r>
        <w:t>Miejsca 1–10 · stawka 21–37 zawodników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</w:tblGrid>
      <w:tr>
        <w:trPr>
          <w:tblHeader w:val="true"/>
          <w:cantSplit/>
        </w:trPr>
        <w:tc>
          <w:tcPr>
            <w:tcW w:type="dxa" w:w="1701"/>
            <w:vAlign w:val="center"/>
            <w:shd w:fill="173F73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color w:val="FFFFFF"/>
                <w:sz w:val="15"/>
              </w:rPr>
              <w:t>Liczba zawodników w stawce</w:t>
            </w:r>
          </w:p>
        </w:tc>
        <w:tc>
          <w:tcPr>
            <w:tcW w:type="dxa" w:w="709"/>
            <w:vAlign w:val="center"/>
            <w:shd w:fill="173F73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color w:val="FFFFFF"/>
                <w:sz w:val="15"/>
              </w:rPr>
              <w:t>1</w:t>
            </w:r>
          </w:p>
        </w:tc>
        <w:tc>
          <w:tcPr>
            <w:tcW w:type="dxa" w:w="709"/>
            <w:vAlign w:val="center"/>
            <w:shd w:fill="173F73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color w:val="FFFFFF"/>
                <w:sz w:val="15"/>
              </w:rPr>
              <w:t>2</w:t>
            </w:r>
          </w:p>
        </w:tc>
        <w:tc>
          <w:tcPr>
            <w:tcW w:type="dxa" w:w="709"/>
            <w:vAlign w:val="center"/>
            <w:shd w:fill="173F73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color w:val="FFFFFF"/>
                <w:sz w:val="15"/>
              </w:rPr>
              <w:t>3</w:t>
            </w:r>
          </w:p>
        </w:tc>
        <w:tc>
          <w:tcPr>
            <w:tcW w:type="dxa" w:w="709"/>
            <w:vAlign w:val="center"/>
            <w:shd w:fill="173F73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color w:val="FFFFFF"/>
                <w:sz w:val="15"/>
              </w:rPr>
              <w:t>4</w:t>
            </w:r>
          </w:p>
        </w:tc>
        <w:tc>
          <w:tcPr>
            <w:tcW w:type="dxa" w:w="709"/>
            <w:vAlign w:val="center"/>
            <w:shd w:fill="173F73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color w:val="FFFFFF"/>
                <w:sz w:val="15"/>
              </w:rPr>
              <w:t>5</w:t>
            </w:r>
          </w:p>
        </w:tc>
        <w:tc>
          <w:tcPr>
            <w:tcW w:type="dxa" w:w="709"/>
            <w:vAlign w:val="center"/>
            <w:shd w:fill="173F73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color w:val="FFFFFF"/>
                <w:sz w:val="15"/>
              </w:rPr>
              <w:t>6</w:t>
            </w:r>
          </w:p>
        </w:tc>
        <w:tc>
          <w:tcPr>
            <w:tcW w:type="dxa" w:w="709"/>
            <w:vAlign w:val="center"/>
            <w:shd w:fill="173F73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color w:val="FFFFFF"/>
                <w:sz w:val="15"/>
              </w:rPr>
              <w:t>7</w:t>
            </w:r>
          </w:p>
        </w:tc>
        <w:tc>
          <w:tcPr>
            <w:tcW w:type="dxa" w:w="709"/>
            <w:vAlign w:val="center"/>
            <w:shd w:fill="173F73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color w:val="FFFFFF"/>
                <w:sz w:val="15"/>
              </w:rPr>
              <w:t>8</w:t>
            </w:r>
          </w:p>
        </w:tc>
        <w:tc>
          <w:tcPr>
            <w:tcW w:type="dxa" w:w="709"/>
            <w:vAlign w:val="center"/>
            <w:shd w:fill="173F73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color w:val="FFFFFF"/>
                <w:sz w:val="15"/>
              </w:rPr>
              <w:t>9</w:t>
            </w:r>
          </w:p>
        </w:tc>
        <w:tc>
          <w:tcPr>
            <w:tcW w:type="dxa" w:w="709"/>
            <w:vAlign w:val="center"/>
            <w:shd w:fill="173F73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color w:val="FFFFFF"/>
                <w:sz w:val="15"/>
              </w:rPr>
              <w:t>10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AF2FB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sz w:val="15"/>
              </w:rPr>
              <w:t>21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118,8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90,7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66,7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54,4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41,2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38,7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36,5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34,6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22,9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21,5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AF2FB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sz w:val="15"/>
              </w:rPr>
              <w:t>22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119,8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91,6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67,5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55,0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41,9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39,3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37,2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35,3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23,6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22,1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AF2FB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sz w:val="15"/>
              </w:rPr>
              <w:t>23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120,8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92,5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68,3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55,7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42,5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40,0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37,8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35,9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24,2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22,8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AF2FB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sz w:val="15"/>
              </w:rPr>
              <w:t>24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121,8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93,4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69,0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56,3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43,1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40,6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38,4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36,5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24,8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23,4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AF2FB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sz w:val="15"/>
              </w:rPr>
              <w:t>25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122,8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94,2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69,7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56,9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43,7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41,1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39,0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37,1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25,4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23,9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AF2FB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sz w:val="15"/>
              </w:rPr>
              <w:t>26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123,7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95,0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70,4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57,4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44,3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41,7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39,5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37,6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26,0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24,5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AF2FB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sz w:val="15"/>
              </w:rPr>
              <w:t>27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124,5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95,8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71,0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58,0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44,8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42,2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40,1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38,2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26,5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25,0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AF2FB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sz w:val="15"/>
              </w:rPr>
              <w:t>28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125,4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96,5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71,7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58,5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45,3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42,8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40,6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38,7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27,0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25,5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AF2FB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sz w:val="15"/>
              </w:rPr>
              <w:t>29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126,2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97,2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72,3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59,0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45,8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43,3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41,1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39,2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27,5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26,0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AF2FB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sz w:val="15"/>
              </w:rPr>
              <w:t>30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127,0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97,9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72,9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59,5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46,3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43,7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41,6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39,7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28,0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26,5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AF2FB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sz w:val="15"/>
              </w:rPr>
              <w:t>31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127,8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98,6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73,4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59,9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46,8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44,2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42,0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40,1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28,5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27,0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AF2FB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sz w:val="15"/>
              </w:rPr>
              <w:t>32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128,6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99,2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74,0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60,4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47,2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44,7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42,5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40,6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28,9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27,4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AF2FB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sz w:val="15"/>
              </w:rPr>
              <w:t>33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138,9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109,5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84,2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70,6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57,4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54,9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52,7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50,9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39,2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37,7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AF2FB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sz w:val="15"/>
              </w:rPr>
              <w:t>34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139,2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109,8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84,5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70,7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57,6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55,1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53,0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51,1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39,5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38,0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AF2FB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sz w:val="15"/>
              </w:rPr>
              <w:t>35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139,4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110,1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84,7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70,9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57,8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55,3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53,2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51,3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39,7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38,3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AF2FB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sz w:val="15"/>
              </w:rPr>
              <w:t>36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139,7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110,3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84,9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71,0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58,0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55,5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53,4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51,6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40,0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38,5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AF2FB"/>
          </w:tcPr>
          <w:p>
            <w:pPr>
              <w:keepNext w:val="0"/>
              <w:spacing w:before="0" w:after="0"/>
              <w:jc w:val="center"/>
            </w:pPr>
            <w:r>
              <w:rPr>
                <w:b/>
                <w:sz w:val="15"/>
              </w:rPr>
              <w:t>37</w:t>
            </w:r>
          </w:p>
        </w:tc>
        <w:tc>
          <w:tcPr>
            <w:tcW w:type="dxa" w:w="709"/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b w:val="0"/>
                <w:sz w:val="15"/>
              </w:rPr>
              <w:t>140,0</w:t>
            </w:r>
          </w:p>
        </w:tc>
        <w:tc>
          <w:tcPr>
            <w:tcW w:type="dxa" w:w="709"/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b w:val="0"/>
                <w:sz w:val="15"/>
              </w:rPr>
              <w:t>110,6</w:t>
            </w:r>
          </w:p>
        </w:tc>
        <w:tc>
          <w:tcPr>
            <w:tcW w:type="dxa" w:w="709"/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b w:val="0"/>
                <w:sz w:val="15"/>
              </w:rPr>
              <w:t>85,1</w:t>
            </w:r>
          </w:p>
        </w:tc>
        <w:tc>
          <w:tcPr>
            <w:tcW w:type="dxa" w:w="709"/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b w:val="0"/>
                <w:sz w:val="15"/>
              </w:rPr>
              <w:t>71,2</w:t>
            </w:r>
          </w:p>
        </w:tc>
        <w:tc>
          <w:tcPr>
            <w:tcW w:type="dxa" w:w="709"/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b w:val="0"/>
                <w:sz w:val="15"/>
              </w:rPr>
              <w:t>58,2</w:t>
            </w:r>
          </w:p>
        </w:tc>
        <w:tc>
          <w:tcPr>
            <w:tcW w:type="dxa" w:w="709"/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b w:val="0"/>
                <w:sz w:val="15"/>
              </w:rPr>
              <w:t>55,7</w:t>
            </w:r>
          </w:p>
        </w:tc>
        <w:tc>
          <w:tcPr>
            <w:tcW w:type="dxa" w:w="709"/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b w:val="0"/>
                <w:sz w:val="15"/>
              </w:rPr>
              <w:t>53,6</w:t>
            </w:r>
          </w:p>
        </w:tc>
        <w:tc>
          <w:tcPr>
            <w:tcW w:type="dxa" w:w="709"/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b w:val="0"/>
                <w:sz w:val="15"/>
              </w:rPr>
              <w:t>51,8</w:t>
            </w:r>
          </w:p>
        </w:tc>
        <w:tc>
          <w:tcPr>
            <w:tcW w:type="dxa" w:w="709"/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b w:val="0"/>
                <w:sz w:val="15"/>
              </w:rPr>
              <w:t>40,2</w:t>
            </w:r>
          </w:p>
        </w:tc>
        <w:tc>
          <w:tcPr>
            <w:tcW w:type="dxa" w:w="709"/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b w:val="0"/>
                <w:sz w:val="15"/>
              </w:rPr>
              <w:t>38,8</w:t>
            </w:r>
          </w:p>
        </w:tc>
      </w:tr>
    </w:tbl>
    <w:p>
      <w:pPr/>
    </w:p>
    <w:p>
      <w:pPr>
        <w:pStyle w:val="Heading2"/>
        <w:keepNext/>
      </w:pPr>
      <w:r>
        <w:t>Miejsca 1–10 · stawka 38–40 zawodników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</w:tblGrid>
      <w:tr>
        <w:trPr>
          <w:tblHeader w:val="true"/>
          <w:cantSplit/>
        </w:trPr>
        <w:tc>
          <w:tcPr>
            <w:tcW w:type="dxa" w:w="1701"/>
            <w:vAlign w:val="center"/>
            <w:shd w:fill="173F73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color w:val="FFFFFF"/>
                <w:sz w:val="15"/>
              </w:rPr>
              <w:t>Liczba zawodników w stawce</w:t>
            </w:r>
          </w:p>
        </w:tc>
        <w:tc>
          <w:tcPr>
            <w:tcW w:type="dxa" w:w="709"/>
            <w:vAlign w:val="center"/>
            <w:shd w:fill="173F73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color w:val="FFFFFF"/>
                <w:sz w:val="15"/>
              </w:rPr>
              <w:t>1</w:t>
            </w:r>
          </w:p>
        </w:tc>
        <w:tc>
          <w:tcPr>
            <w:tcW w:type="dxa" w:w="709"/>
            <w:vAlign w:val="center"/>
            <w:shd w:fill="173F73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color w:val="FFFFFF"/>
                <w:sz w:val="15"/>
              </w:rPr>
              <w:t>2</w:t>
            </w:r>
          </w:p>
        </w:tc>
        <w:tc>
          <w:tcPr>
            <w:tcW w:type="dxa" w:w="709"/>
            <w:vAlign w:val="center"/>
            <w:shd w:fill="173F73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color w:val="FFFFFF"/>
                <w:sz w:val="15"/>
              </w:rPr>
              <w:t>3</w:t>
            </w:r>
          </w:p>
        </w:tc>
        <w:tc>
          <w:tcPr>
            <w:tcW w:type="dxa" w:w="709"/>
            <w:vAlign w:val="center"/>
            <w:shd w:fill="173F73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color w:val="FFFFFF"/>
                <w:sz w:val="15"/>
              </w:rPr>
              <w:t>4</w:t>
            </w:r>
          </w:p>
        </w:tc>
        <w:tc>
          <w:tcPr>
            <w:tcW w:type="dxa" w:w="709"/>
            <w:vAlign w:val="center"/>
            <w:shd w:fill="173F73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color w:val="FFFFFF"/>
                <w:sz w:val="15"/>
              </w:rPr>
              <w:t>5</w:t>
            </w:r>
          </w:p>
        </w:tc>
        <w:tc>
          <w:tcPr>
            <w:tcW w:type="dxa" w:w="709"/>
            <w:vAlign w:val="center"/>
            <w:shd w:fill="173F73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color w:val="FFFFFF"/>
                <w:sz w:val="15"/>
              </w:rPr>
              <w:t>6</w:t>
            </w:r>
          </w:p>
        </w:tc>
        <w:tc>
          <w:tcPr>
            <w:tcW w:type="dxa" w:w="709"/>
            <w:vAlign w:val="center"/>
            <w:shd w:fill="173F73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color w:val="FFFFFF"/>
                <w:sz w:val="15"/>
              </w:rPr>
              <w:t>7</w:t>
            </w:r>
          </w:p>
        </w:tc>
        <w:tc>
          <w:tcPr>
            <w:tcW w:type="dxa" w:w="709"/>
            <w:vAlign w:val="center"/>
            <w:shd w:fill="173F73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color w:val="FFFFFF"/>
                <w:sz w:val="15"/>
              </w:rPr>
              <w:t>8</w:t>
            </w:r>
          </w:p>
        </w:tc>
        <w:tc>
          <w:tcPr>
            <w:tcW w:type="dxa" w:w="709"/>
            <w:vAlign w:val="center"/>
            <w:shd w:fill="173F73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color w:val="FFFFFF"/>
                <w:sz w:val="15"/>
              </w:rPr>
              <w:t>9</w:t>
            </w:r>
          </w:p>
        </w:tc>
        <w:tc>
          <w:tcPr>
            <w:tcW w:type="dxa" w:w="709"/>
            <w:vAlign w:val="center"/>
            <w:shd w:fill="173F73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color w:val="FFFFFF"/>
                <w:sz w:val="15"/>
              </w:rPr>
              <w:t>10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AF2FB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sz w:val="15"/>
              </w:rPr>
              <w:t>38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140,3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110,8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85,3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71,3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58,3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55,9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53,8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52,0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40,4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39,0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AF2FB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sz w:val="15"/>
              </w:rPr>
              <w:t>39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140,5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111,1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85,5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71,5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58,5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56,0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54,0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52,2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40,6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39,2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AF2FB"/>
          </w:tcPr>
          <w:p>
            <w:pPr>
              <w:keepNext w:val="0"/>
              <w:spacing w:before="0" w:after="0"/>
              <w:jc w:val="center"/>
            </w:pPr>
            <w:r>
              <w:rPr>
                <w:b/>
                <w:sz w:val="15"/>
              </w:rPr>
              <w:t>40</w:t>
            </w:r>
          </w:p>
        </w:tc>
        <w:tc>
          <w:tcPr>
            <w:tcW w:type="dxa" w:w="709"/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b w:val="0"/>
                <w:sz w:val="15"/>
              </w:rPr>
              <w:t>140,8</w:t>
            </w:r>
          </w:p>
        </w:tc>
        <w:tc>
          <w:tcPr>
            <w:tcW w:type="dxa" w:w="709"/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b w:val="0"/>
                <w:sz w:val="15"/>
              </w:rPr>
              <w:t>111,3</w:t>
            </w:r>
          </w:p>
        </w:tc>
        <w:tc>
          <w:tcPr>
            <w:tcW w:type="dxa" w:w="709"/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b w:val="0"/>
                <w:sz w:val="15"/>
              </w:rPr>
              <w:t>85,7</w:t>
            </w:r>
          </w:p>
        </w:tc>
        <w:tc>
          <w:tcPr>
            <w:tcW w:type="dxa" w:w="709"/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b w:val="0"/>
                <w:sz w:val="15"/>
              </w:rPr>
              <w:t>71,6</w:t>
            </w:r>
          </w:p>
        </w:tc>
        <w:tc>
          <w:tcPr>
            <w:tcW w:type="dxa" w:w="709"/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b w:val="0"/>
                <w:sz w:val="15"/>
              </w:rPr>
              <w:t>58,6</w:t>
            </w:r>
          </w:p>
        </w:tc>
        <w:tc>
          <w:tcPr>
            <w:tcW w:type="dxa" w:w="709"/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b w:val="0"/>
                <w:sz w:val="15"/>
              </w:rPr>
              <w:t>56,2</w:t>
            </w:r>
          </w:p>
        </w:tc>
        <w:tc>
          <w:tcPr>
            <w:tcW w:type="dxa" w:w="709"/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b w:val="0"/>
                <w:sz w:val="15"/>
              </w:rPr>
              <w:t>54,2</w:t>
            </w:r>
          </w:p>
        </w:tc>
        <w:tc>
          <w:tcPr>
            <w:tcW w:type="dxa" w:w="709"/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b w:val="0"/>
                <w:sz w:val="15"/>
              </w:rPr>
              <w:t>52,4</w:t>
            </w:r>
          </w:p>
        </w:tc>
        <w:tc>
          <w:tcPr>
            <w:tcW w:type="dxa" w:w="709"/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b w:val="0"/>
                <w:sz w:val="15"/>
              </w:rPr>
              <w:t>40,8</w:t>
            </w:r>
          </w:p>
        </w:tc>
        <w:tc>
          <w:tcPr>
            <w:tcW w:type="dxa" w:w="709"/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b w:val="0"/>
                <w:sz w:val="15"/>
              </w:rPr>
              <w:t>39,4</w:t>
            </w:r>
          </w:p>
        </w:tc>
      </w:tr>
    </w:tbl>
    <w:p>
      <w:pPr/>
    </w:p>
    <w:p>
      <w:pPr>
        <w:pStyle w:val="Heading2"/>
        <w:keepNext/>
      </w:pPr>
      <w:r>
        <w:t>Miejsca 11–20 · stawka 11–27 zawodników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</w:tblGrid>
      <w:tr>
        <w:trPr>
          <w:tblHeader w:val="true"/>
          <w:cantSplit/>
        </w:trPr>
        <w:tc>
          <w:tcPr>
            <w:tcW w:type="dxa" w:w="1701"/>
            <w:vAlign w:val="center"/>
            <w:shd w:fill="173F73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color w:val="FFFFFF"/>
                <w:sz w:val="15"/>
              </w:rPr>
              <w:t>Liczba zawodników w stawce</w:t>
            </w:r>
          </w:p>
        </w:tc>
        <w:tc>
          <w:tcPr>
            <w:tcW w:type="dxa" w:w="709"/>
            <w:vAlign w:val="center"/>
            <w:shd w:fill="173F73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color w:val="FFFFFF"/>
                <w:sz w:val="15"/>
              </w:rPr>
              <w:t>11</w:t>
            </w:r>
          </w:p>
        </w:tc>
        <w:tc>
          <w:tcPr>
            <w:tcW w:type="dxa" w:w="709"/>
            <w:vAlign w:val="center"/>
            <w:shd w:fill="173F73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color w:val="FFFFFF"/>
                <w:sz w:val="15"/>
              </w:rPr>
              <w:t>12</w:t>
            </w:r>
          </w:p>
        </w:tc>
        <w:tc>
          <w:tcPr>
            <w:tcW w:type="dxa" w:w="709"/>
            <w:vAlign w:val="center"/>
            <w:shd w:fill="173F73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color w:val="FFFFFF"/>
                <w:sz w:val="15"/>
              </w:rPr>
              <w:t>13</w:t>
            </w:r>
          </w:p>
        </w:tc>
        <w:tc>
          <w:tcPr>
            <w:tcW w:type="dxa" w:w="709"/>
            <w:vAlign w:val="center"/>
            <w:shd w:fill="173F73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color w:val="FFFFFF"/>
                <w:sz w:val="15"/>
              </w:rPr>
              <w:t>14</w:t>
            </w:r>
          </w:p>
        </w:tc>
        <w:tc>
          <w:tcPr>
            <w:tcW w:type="dxa" w:w="709"/>
            <w:vAlign w:val="center"/>
            <w:shd w:fill="173F73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color w:val="FFFFFF"/>
                <w:sz w:val="15"/>
              </w:rPr>
              <w:t>15</w:t>
            </w:r>
          </w:p>
        </w:tc>
        <w:tc>
          <w:tcPr>
            <w:tcW w:type="dxa" w:w="709"/>
            <w:vAlign w:val="center"/>
            <w:shd w:fill="173F73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color w:val="FFFFFF"/>
                <w:sz w:val="15"/>
              </w:rPr>
              <w:t>16</w:t>
            </w:r>
          </w:p>
        </w:tc>
        <w:tc>
          <w:tcPr>
            <w:tcW w:type="dxa" w:w="709"/>
            <w:vAlign w:val="center"/>
            <w:shd w:fill="173F73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color w:val="FFFFFF"/>
                <w:sz w:val="15"/>
              </w:rPr>
              <w:t>17</w:t>
            </w:r>
          </w:p>
        </w:tc>
        <w:tc>
          <w:tcPr>
            <w:tcW w:type="dxa" w:w="709"/>
            <w:vAlign w:val="center"/>
            <w:shd w:fill="173F73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color w:val="FFFFFF"/>
                <w:sz w:val="15"/>
              </w:rPr>
              <w:t>18</w:t>
            </w:r>
          </w:p>
        </w:tc>
        <w:tc>
          <w:tcPr>
            <w:tcW w:type="dxa" w:w="709"/>
            <w:vAlign w:val="center"/>
            <w:shd w:fill="173F73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color w:val="FFFFFF"/>
                <w:sz w:val="15"/>
              </w:rPr>
              <w:t>19</w:t>
            </w:r>
          </w:p>
        </w:tc>
        <w:tc>
          <w:tcPr>
            <w:tcW w:type="dxa" w:w="709"/>
            <w:vAlign w:val="center"/>
            <w:shd w:fill="173F73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color w:val="FFFFFF"/>
                <w:sz w:val="15"/>
              </w:rPr>
              <w:t>20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AF2FB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sz w:val="15"/>
              </w:rPr>
              <w:t>11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1,0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AF2FB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sz w:val="15"/>
              </w:rPr>
              <w:t>12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2,2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1,0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AF2FB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sz w:val="15"/>
              </w:rPr>
              <w:t>13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3,3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2,1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1,0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AF2FB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sz w:val="15"/>
              </w:rPr>
              <w:t>14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4,4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3,2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2,0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1,0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AF2FB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sz w:val="15"/>
              </w:rPr>
              <w:t>15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5,4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4,1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3,0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2,0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1,0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AF2FB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sz w:val="15"/>
              </w:rPr>
              <w:t>16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6,3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5,0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3,9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2,9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1,9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1,0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AF2FB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sz w:val="15"/>
              </w:rPr>
              <w:t>17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17,1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15,9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14,8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13,7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12,8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11,9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1,0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AF2FB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sz w:val="15"/>
              </w:rPr>
              <w:t>18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17,9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16,7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15,6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14,5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13,6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12,7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1,8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1,0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AF2FB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sz w:val="15"/>
              </w:rPr>
              <w:t>19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18,7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17,5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16,3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15,3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14,3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13,4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2,6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1,8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1,0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AF2FB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sz w:val="15"/>
              </w:rPr>
              <w:t>20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19,4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18,2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17,1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16,0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15,1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14,1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3,3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2,5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1,7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1,0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AF2FB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sz w:val="15"/>
              </w:rPr>
              <w:t>21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20,1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18,9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17,8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16,7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15,7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14,8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4,0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3,2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2,4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1,7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AF2FB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sz w:val="15"/>
              </w:rPr>
              <w:t>22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20,8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19,5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18,4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17,4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16,4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15,5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4,6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3,8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3,1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2,3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AF2FB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sz w:val="15"/>
              </w:rPr>
              <w:t>23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21,4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20,2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19,0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18,0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17,0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16,1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5,3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4,5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3,7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3,0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AF2FB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sz w:val="15"/>
              </w:rPr>
              <w:t>24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22,0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20,8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19,7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18,6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17,6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16,7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5,9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5,1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4,3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3,6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AF2FB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sz w:val="15"/>
              </w:rPr>
              <w:t>25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22,6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21,4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20,2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19,2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18,2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17,3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6,4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5,6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4,9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4,1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AF2FB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sz w:val="15"/>
              </w:rPr>
              <w:t>26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23,1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21,9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20,8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19,7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18,8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17,9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7,0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6,2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5,4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4,7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AF2FB"/>
          </w:tcPr>
          <w:p>
            <w:pPr>
              <w:keepNext w:val="0"/>
              <w:spacing w:before="0" w:after="0"/>
              <w:jc w:val="center"/>
            </w:pPr>
            <w:r>
              <w:rPr>
                <w:b/>
                <w:sz w:val="15"/>
              </w:rPr>
              <w:t>27</w:t>
            </w:r>
          </w:p>
        </w:tc>
        <w:tc>
          <w:tcPr>
            <w:tcW w:type="dxa" w:w="709"/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b w:val="0"/>
                <w:sz w:val="15"/>
              </w:rPr>
              <w:t>23,7</w:t>
            </w:r>
          </w:p>
        </w:tc>
        <w:tc>
          <w:tcPr>
            <w:tcW w:type="dxa" w:w="709"/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b w:val="0"/>
                <w:sz w:val="15"/>
              </w:rPr>
              <w:t>22,5</w:t>
            </w:r>
          </w:p>
        </w:tc>
        <w:tc>
          <w:tcPr>
            <w:tcW w:type="dxa" w:w="709"/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b w:val="0"/>
                <w:sz w:val="15"/>
              </w:rPr>
              <w:t>21,3</w:t>
            </w:r>
          </w:p>
        </w:tc>
        <w:tc>
          <w:tcPr>
            <w:tcW w:type="dxa" w:w="709"/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b w:val="0"/>
                <w:sz w:val="15"/>
              </w:rPr>
              <w:t>20,3</w:t>
            </w:r>
          </w:p>
        </w:tc>
        <w:tc>
          <w:tcPr>
            <w:tcW w:type="dxa" w:w="709"/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b w:val="0"/>
                <w:sz w:val="15"/>
              </w:rPr>
              <w:t>19,3</w:t>
            </w:r>
          </w:p>
        </w:tc>
        <w:tc>
          <w:tcPr>
            <w:tcW w:type="dxa" w:w="709"/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b w:val="0"/>
                <w:sz w:val="15"/>
              </w:rPr>
              <w:t>18,4</w:t>
            </w:r>
          </w:p>
        </w:tc>
        <w:tc>
          <w:tcPr>
            <w:tcW w:type="dxa" w:w="709"/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b w:val="0"/>
                <w:sz w:val="15"/>
              </w:rPr>
              <w:t>7,5</w:t>
            </w:r>
          </w:p>
        </w:tc>
        <w:tc>
          <w:tcPr>
            <w:tcW w:type="dxa" w:w="709"/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b w:val="0"/>
                <w:sz w:val="15"/>
              </w:rPr>
              <w:t>6,7</w:t>
            </w:r>
          </w:p>
        </w:tc>
        <w:tc>
          <w:tcPr>
            <w:tcW w:type="dxa" w:w="709"/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b w:val="0"/>
                <w:sz w:val="15"/>
              </w:rPr>
              <w:t>6,0</w:t>
            </w:r>
          </w:p>
        </w:tc>
        <w:tc>
          <w:tcPr>
            <w:tcW w:type="dxa" w:w="709"/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b w:val="0"/>
                <w:sz w:val="15"/>
              </w:rPr>
              <w:t>5,2</w:t>
            </w:r>
          </w:p>
        </w:tc>
      </w:tr>
    </w:tbl>
    <w:p>
      <w:pPr/>
    </w:p>
    <w:p>
      <w:pPr>
        <w:pStyle w:val="Heading2"/>
        <w:keepNext/>
      </w:pPr>
      <w:r>
        <w:t>Miejsca 11–20 · stawka 28–40 zawodników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</w:tblGrid>
      <w:tr>
        <w:trPr>
          <w:tblHeader w:val="true"/>
          <w:cantSplit/>
        </w:trPr>
        <w:tc>
          <w:tcPr>
            <w:tcW w:type="dxa" w:w="1701"/>
            <w:vAlign w:val="center"/>
            <w:shd w:fill="173F73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color w:val="FFFFFF"/>
                <w:sz w:val="15"/>
              </w:rPr>
              <w:t>Liczba zawodników w stawce</w:t>
            </w:r>
          </w:p>
        </w:tc>
        <w:tc>
          <w:tcPr>
            <w:tcW w:type="dxa" w:w="709"/>
            <w:vAlign w:val="center"/>
            <w:shd w:fill="173F73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color w:val="FFFFFF"/>
                <w:sz w:val="15"/>
              </w:rPr>
              <w:t>11</w:t>
            </w:r>
          </w:p>
        </w:tc>
        <w:tc>
          <w:tcPr>
            <w:tcW w:type="dxa" w:w="709"/>
            <w:vAlign w:val="center"/>
            <w:shd w:fill="173F73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color w:val="FFFFFF"/>
                <w:sz w:val="15"/>
              </w:rPr>
              <w:t>12</w:t>
            </w:r>
          </w:p>
        </w:tc>
        <w:tc>
          <w:tcPr>
            <w:tcW w:type="dxa" w:w="709"/>
            <w:vAlign w:val="center"/>
            <w:shd w:fill="173F73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color w:val="FFFFFF"/>
                <w:sz w:val="15"/>
              </w:rPr>
              <w:t>13</w:t>
            </w:r>
          </w:p>
        </w:tc>
        <w:tc>
          <w:tcPr>
            <w:tcW w:type="dxa" w:w="709"/>
            <w:vAlign w:val="center"/>
            <w:shd w:fill="173F73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color w:val="FFFFFF"/>
                <w:sz w:val="15"/>
              </w:rPr>
              <w:t>14</w:t>
            </w:r>
          </w:p>
        </w:tc>
        <w:tc>
          <w:tcPr>
            <w:tcW w:type="dxa" w:w="709"/>
            <w:vAlign w:val="center"/>
            <w:shd w:fill="173F73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color w:val="FFFFFF"/>
                <w:sz w:val="15"/>
              </w:rPr>
              <w:t>15</w:t>
            </w:r>
          </w:p>
        </w:tc>
        <w:tc>
          <w:tcPr>
            <w:tcW w:type="dxa" w:w="709"/>
            <w:vAlign w:val="center"/>
            <w:shd w:fill="173F73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color w:val="FFFFFF"/>
                <w:sz w:val="15"/>
              </w:rPr>
              <w:t>16</w:t>
            </w:r>
          </w:p>
        </w:tc>
        <w:tc>
          <w:tcPr>
            <w:tcW w:type="dxa" w:w="709"/>
            <w:vAlign w:val="center"/>
            <w:shd w:fill="173F73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color w:val="FFFFFF"/>
                <w:sz w:val="15"/>
              </w:rPr>
              <w:t>17</w:t>
            </w:r>
          </w:p>
        </w:tc>
        <w:tc>
          <w:tcPr>
            <w:tcW w:type="dxa" w:w="709"/>
            <w:vAlign w:val="center"/>
            <w:shd w:fill="173F73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color w:val="FFFFFF"/>
                <w:sz w:val="15"/>
              </w:rPr>
              <w:t>18</w:t>
            </w:r>
          </w:p>
        </w:tc>
        <w:tc>
          <w:tcPr>
            <w:tcW w:type="dxa" w:w="709"/>
            <w:vAlign w:val="center"/>
            <w:shd w:fill="173F73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color w:val="FFFFFF"/>
                <w:sz w:val="15"/>
              </w:rPr>
              <w:t>19</w:t>
            </w:r>
          </w:p>
        </w:tc>
        <w:tc>
          <w:tcPr>
            <w:tcW w:type="dxa" w:w="709"/>
            <w:vAlign w:val="center"/>
            <w:shd w:fill="173F73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color w:val="FFFFFF"/>
                <w:sz w:val="15"/>
              </w:rPr>
              <w:t>20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AF2FB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sz w:val="15"/>
              </w:rPr>
              <w:t>28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24,2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23,0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21,8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20,8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19,8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18,9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8,0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7,2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6,5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5,8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AF2FB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sz w:val="15"/>
              </w:rPr>
              <w:t>29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24,7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23,5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22,3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21,3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20,3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19,4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8,5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7,7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7,0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6,3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AF2FB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sz w:val="15"/>
              </w:rPr>
              <w:t>30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25,2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23,9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22,8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21,8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20,8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19,9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9,0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8,2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7,5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6,7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AF2FB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sz w:val="15"/>
              </w:rPr>
              <w:t>31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25,6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24,4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23,3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22,2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21,3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20,3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9,5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8,7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7,9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7,2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AF2FB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sz w:val="15"/>
              </w:rPr>
              <w:t>32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26,1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24,9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23,7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22,7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21,7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20,8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9,9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9,1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8,4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7,6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AF2FB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sz w:val="15"/>
              </w:rPr>
              <w:t>33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36,4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35,2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34,1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33,0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32,0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31,1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20,3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19,5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18,7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18,0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AF2FB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sz w:val="15"/>
              </w:rPr>
              <w:t>34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36,7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35,5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34,4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33,3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32,4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31,5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20,6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19,8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19,1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18,4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AF2FB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sz w:val="15"/>
              </w:rPr>
              <w:t>35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37,0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35,8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34,6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33,6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32,7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31,8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21,0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20,2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19,4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18,7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AF2FB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sz w:val="15"/>
              </w:rPr>
              <w:t>36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37,2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36,0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34,9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33,9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33,0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32,1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21,3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20,5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19,7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19,0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AF2FB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sz w:val="15"/>
              </w:rPr>
              <w:t>37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37,5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36,3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35,2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34,2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33,3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32,4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21,6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20,8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20,0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19,3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AF2FB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sz w:val="15"/>
              </w:rPr>
              <w:t>38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37,7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36,5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35,4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34,5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33,5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32,7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21,8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21,1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20,3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19,6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AF2FB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sz w:val="15"/>
              </w:rPr>
              <w:t>39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37,9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36,8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35,7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34,7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33,8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32,9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22,1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21,3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20,6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19,9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AF2FB"/>
          </w:tcPr>
          <w:p>
            <w:pPr>
              <w:keepNext w:val="0"/>
              <w:spacing w:before="0" w:after="0"/>
              <w:jc w:val="center"/>
            </w:pPr>
            <w:r>
              <w:rPr>
                <w:b/>
                <w:sz w:val="15"/>
              </w:rPr>
              <w:t>40</w:t>
            </w:r>
          </w:p>
        </w:tc>
        <w:tc>
          <w:tcPr>
            <w:tcW w:type="dxa" w:w="709"/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b w:val="0"/>
                <w:sz w:val="15"/>
              </w:rPr>
              <w:t>38,1</w:t>
            </w:r>
          </w:p>
        </w:tc>
        <w:tc>
          <w:tcPr>
            <w:tcW w:type="dxa" w:w="709"/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b w:val="0"/>
                <w:sz w:val="15"/>
              </w:rPr>
              <w:t>37,0</w:t>
            </w:r>
          </w:p>
        </w:tc>
        <w:tc>
          <w:tcPr>
            <w:tcW w:type="dxa" w:w="709"/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b w:val="0"/>
                <w:sz w:val="15"/>
              </w:rPr>
              <w:t>35,9</w:t>
            </w:r>
          </w:p>
        </w:tc>
        <w:tc>
          <w:tcPr>
            <w:tcW w:type="dxa" w:w="709"/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b w:val="0"/>
                <w:sz w:val="15"/>
              </w:rPr>
              <w:t>34,9</w:t>
            </w:r>
          </w:p>
        </w:tc>
        <w:tc>
          <w:tcPr>
            <w:tcW w:type="dxa" w:w="709"/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b w:val="0"/>
                <w:sz w:val="15"/>
              </w:rPr>
              <w:t>34,0</w:t>
            </w:r>
          </w:p>
        </w:tc>
        <w:tc>
          <w:tcPr>
            <w:tcW w:type="dxa" w:w="709"/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b w:val="0"/>
                <w:sz w:val="15"/>
              </w:rPr>
              <w:t>33,2</w:t>
            </w:r>
          </w:p>
        </w:tc>
        <w:tc>
          <w:tcPr>
            <w:tcW w:type="dxa" w:w="709"/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b w:val="0"/>
                <w:sz w:val="15"/>
              </w:rPr>
              <w:t>22,4</w:t>
            </w:r>
          </w:p>
        </w:tc>
        <w:tc>
          <w:tcPr>
            <w:tcW w:type="dxa" w:w="709"/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b w:val="0"/>
                <w:sz w:val="15"/>
              </w:rPr>
              <w:t>21,6</w:t>
            </w:r>
          </w:p>
        </w:tc>
        <w:tc>
          <w:tcPr>
            <w:tcW w:type="dxa" w:w="709"/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b w:val="0"/>
                <w:sz w:val="15"/>
              </w:rPr>
              <w:t>20,9</w:t>
            </w:r>
          </w:p>
        </w:tc>
        <w:tc>
          <w:tcPr>
            <w:tcW w:type="dxa" w:w="709"/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b w:val="0"/>
                <w:sz w:val="15"/>
              </w:rPr>
              <w:t>20,2</w:t>
            </w:r>
          </w:p>
        </w:tc>
      </w:tr>
    </w:tbl>
    <w:p>
      <w:pPr/>
    </w:p>
    <w:p>
      <w:pPr>
        <w:pStyle w:val="Heading2"/>
        <w:keepNext/>
      </w:pPr>
      <w:r>
        <w:t>Miejsca 21–30 · stawka 21–37 zawodników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</w:tblGrid>
      <w:tr>
        <w:trPr>
          <w:tblHeader w:val="true"/>
          <w:cantSplit/>
        </w:trPr>
        <w:tc>
          <w:tcPr>
            <w:tcW w:type="dxa" w:w="1701"/>
            <w:vAlign w:val="center"/>
            <w:shd w:fill="173F73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color w:val="FFFFFF"/>
                <w:sz w:val="15"/>
              </w:rPr>
              <w:t>Liczba zawodników w stawce</w:t>
            </w:r>
          </w:p>
        </w:tc>
        <w:tc>
          <w:tcPr>
            <w:tcW w:type="dxa" w:w="709"/>
            <w:vAlign w:val="center"/>
            <w:shd w:fill="173F73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color w:val="FFFFFF"/>
                <w:sz w:val="15"/>
              </w:rPr>
              <w:t>21</w:t>
            </w:r>
          </w:p>
        </w:tc>
        <w:tc>
          <w:tcPr>
            <w:tcW w:type="dxa" w:w="709"/>
            <w:vAlign w:val="center"/>
            <w:shd w:fill="173F73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color w:val="FFFFFF"/>
                <w:sz w:val="15"/>
              </w:rPr>
              <w:t>22</w:t>
            </w:r>
          </w:p>
        </w:tc>
        <w:tc>
          <w:tcPr>
            <w:tcW w:type="dxa" w:w="709"/>
            <w:vAlign w:val="center"/>
            <w:shd w:fill="173F73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color w:val="FFFFFF"/>
                <w:sz w:val="15"/>
              </w:rPr>
              <w:t>23</w:t>
            </w:r>
          </w:p>
        </w:tc>
        <w:tc>
          <w:tcPr>
            <w:tcW w:type="dxa" w:w="709"/>
            <w:vAlign w:val="center"/>
            <w:shd w:fill="173F73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color w:val="FFFFFF"/>
                <w:sz w:val="15"/>
              </w:rPr>
              <w:t>24</w:t>
            </w:r>
          </w:p>
        </w:tc>
        <w:tc>
          <w:tcPr>
            <w:tcW w:type="dxa" w:w="709"/>
            <w:vAlign w:val="center"/>
            <w:shd w:fill="173F73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color w:val="FFFFFF"/>
                <w:sz w:val="15"/>
              </w:rPr>
              <w:t>25</w:t>
            </w:r>
          </w:p>
        </w:tc>
        <w:tc>
          <w:tcPr>
            <w:tcW w:type="dxa" w:w="709"/>
            <w:vAlign w:val="center"/>
            <w:shd w:fill="173F73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color w:val="FFFFFF"/>
                <w:sz w:val="15"/>
              </w:rPr>
              <w:t>26</w:t>
            </w:r>
          </w:p>
        </w:tc>
        <w:tc>
          <w:tcPr>
            <w:tcW w:type="dxa" w:w="709"/>
            <w:vAlign w:val="center"/>
            <w:shd w:fill="173F73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color w:val="FFFFFF"/>
                <w:sz w:val="15"/>
              </w:rPr>
              <w:t>27</w:t>
            </w:r>
          </w:p>
        </w:tc>
        <w:tc>
          <w:tcPr>
            <w:tcW w:type="dxa" w:w="709"/>
            <w:vAlign w:val="center"/>
            <w:shd w:fill="173F73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color w:val="FFFFFF"/>
                <w:sz w:val="15"/>
              </w:rPr>
              <w:t>28</w:t>
            </w:r>
          </w:p>
        </w:tc>
        <w:tc>
          <w:tcPr>
            <w:tcW w:type="dxa" w:w="709"/>
            <w:vAlign w:val="center"/>
            <w:shd w:fill="173F73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color w:val="FFFFFF"/>
                <w:sz w:val="15"/>
              </w:rPr>
              <w:t>29</w:t>
            </w:r>
          </w:p>
        </w:tc>
        <w:tc>
          <w:tcPr>
            <w:tcW w:type="dxa" w:w="709"/>
            <w:vAlign w:val="center"/>
            <w:shd w:fill="173F73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color w:val="FFFFFF"/>
                <w:sz w:val="15"/>
              </w:rPr>
              <w:t>30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AF2FB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sz w:val="15"/>
              </w:rPr>
              <w:t>21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1,0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AF2FB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sz w:val="15"/>
              </w:rPr>
              <w:t>22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1,7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1,0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AF2FB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sz w:val="15"/>
              </w:rPr>
              <w:t>23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2,3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1,6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1,0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AF2FB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sz w:val="15"/>
              </w:rPr>
              <w:t>24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2,9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2,2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1,6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1,0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AF2FB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sz w:val="15"/>
              </w:rPr>
              <w:t>25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3,5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2,8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2,2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1,6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1,0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AF2FB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sz w:val="15"/>
              </w:rPr>
              <w:t>26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4,0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3,4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2,7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2,1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1,6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1,0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AF2FB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sz w:val="15"/>
              </w:rPr>
              <w:t>27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4,5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3,9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3,3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2,7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2,1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1,5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1,0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AF2FB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sz w:val="15"/>
              </w:rPr>
              <w:t>28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5,1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4,4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3,8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3,2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2,6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2,0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1,5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1,0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AF2FB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sz w:val="15"/>
              </w:rPr>
              <w:t>29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5,6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4,9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4,3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3,7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3,1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2,5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2,0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1,5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1,0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AF2FB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sz w:val="15"/>
              </w:rPr>
              <w:t>30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6,0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5,4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4,8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4,2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3,6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3,0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2,5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2,0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1,5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1,0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AF2FB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sz w:val="15"/>
              </w:rPr>
              <w:t>31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6,5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5,8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5,2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4,6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4,0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3,5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3,0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2,4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1,9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1,5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AF2FB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sz w:val="15"/>
              </w:rPr>
              <w:t>32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7,0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6,3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5,7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5,1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4,5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3,9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3,4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2,9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2,4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1,9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AF2FB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sz w:val="15"/>
              </w:rPr>
              <w:t>33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17,3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16,7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16,1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15,5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14,9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14,3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13,8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13,3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12,8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12,3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AF2FB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sz w:val="15"/>
              </w:rPr>
              <w:t>34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17,7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17,0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16,4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15,8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15,3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14,7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14,2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13,7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13,2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12,7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AF2FB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sz w:val="15"/>
              </w:rPr>
              <w:t>35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18,0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17,4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16,8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16,2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15,6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15,1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14,6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14,1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13,6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13,1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AF2FB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sz w:val="15"/>
              </w:rPr>
              <w:t>36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18,4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17,7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17,1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16,5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16,0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15,4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14,9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14,4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14,0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13,5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AF2FB"/>
          </w:tcPr>
          <w:p>
            <w:pPr>
              <w:keepNext w:val="0"/>
              <w:spacing w:before="0" w:after="0"/>
              <w:jc w:val="center"/>
            </w:pPr>
            <w:r>
              <w:rPr>
                <w:b/>
                <w:sz w:val="15"/>
              </w:rPr>
              <w:t>37</w:t>
            </w:r>
          </w:p>
        </w:tc>
        <w:tc>
          <w:tcPr>
            <w:tcW w:type="dxa" w:w="709"/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b w:val="0"/>
                <w:sz w:val="15"/>
              </w:rPr>
              <w:t>18,7</w:t>
            </w:r>
          </w:p>
        </w:tc>
        <w:tc>
          <w:tcPr>
            <w:tcW w:type="dxa" w:w="709"/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b w:val="0"/>
                <w:sz w:val="15"/>
              </w:rPr>
              <w:t>18,1</w:t>
            </w:r>
          </w:p>
        </w:tc>
        <w:tc>
          <w:tcPr>
            <w:tcW w:type="dxa" w:w="709"/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b w:val="0"/>
                <w:sz w:val="15"/>
              </w:rPr>
              <w:t>17,5</w:t>
            </w:r>
          </w:p>
        </w:tc>
        <w:tc>
          <w:tcPr>
            <w:tcW w:type="dxa" w:w="709"/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b w:val="0"/>
                <w:sz w:val="15"/>
              </w:rPr>
              <w:t>16,9</w:t>
            </w:r>
          </w:p>
        </w:tc>
        <w:tc>
          <w:tcPr>
            <w:tcW w:type="dxa" w:w="709"/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b w:val="0"/>
                <w:sz w:val="15"/>
              </w:rPr>
              <w:t>16,3</w:t>
            </w:r>
          </w:p>
        </w:tc>
        <w:tc>
          <w:tcPr>
            <w:tcW w:type="dxa" w:w="709"/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b w:val="0"/>
                <w:sz w:val="15"/>
              </w:rPr>
              <w:t>15,8</w:t>
            </w:r>
          </w:p>
        </w:tc>
        <w:tc>
          <w:tcPr>
            <w:tcW w:type="dxa" w:w="709"/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b w:val="0"/>
                <w:sz w:val="15"/>
              </w:rPr>
              <w:t>15,3</w:t>
            </w:r>
          </w:p>
        </w:tc>
        <w:tc>
          <w:tcPr>
            <w:tcW w:type="dxa" w:w="709"/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b w:val="0"/>
                <w:sz w:val="15"/>
              </w:rPr>
              <w:t>14,8</w:t>
            </w:r>
          </w:p>
        </w:tc>
        <w:tc>
          <w:tcPr>
            <w:tcW w:type="dxa" w:w="709"/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b w:val="0"/>
                <w:sz w:val="15"/>
              </w:rPr>
              <w:t>14,3</w:t>
            </w:r>
          </w:p>
        </w:tc>
        <w:tc>
          <w:tcPr>
            <w:tcW w:type="dxa" w:w="709"/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b w:val="0"/>
                <w:sz w:val="15"/>
              </w:rPr>
              <w:t>13,8</w:t>
            </w:r>
          </w:p>
        </w:tc>
      </w:tr>
    </w:tbl>
    <w:p>
      <w:pPr/>
    </w:p>
    <w:p>
      <w:pPr>
        <w:pStyle w:val="Heading2"/>
        <w:keepNext/>
      </w:pPr>
      <w:r>
        <w:t>Miejsca 21–30 · stawka 38–40 zawodników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</w:tblGrid>
      <w:tr>
        <w:trPr>
          <w:tblHeader w:val="true"/>
          <w:cantSplit/>
        </w:trPr>
        <w:tc>
          <w:tcPr>
            <w:tcW w:type="dxa" w:w="1701"/>
            <w:vAlign w:val="center"/>
            <w:shd w:fill="173F73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color w:val="FFFFFF"/>
                <w:sz w:val="15"/>
              </w:rPr>
              <w:t>Liczba zawodników w stawce</w:t>
            </w:r>
          </w:p>
        </w:tc>
        <w:tc>
          <w:tcPr>
            <w:tcW w:type="dxa" w:w="709"/>
            <w:vAlign w:val="center"/>
            <w:shd w:fill="173F73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color w:val="FFFFFF"/>
                <w:sz w:val="15"/>
              </w:rPr>
              <w:t>21</w:t>
            </w:r>
          </w:p>
        </w:tc>
        <w:tc>
          <w:tcPr>
            <w:tcW w:type="dxa" w:w="709"/>
            <w:vAlign w:val="center"/>
            <w:shd w:fill="173F73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color w:val="FFFFFF"/>
                <w:sz w:val="15"/>
              </w:rPr>
              <w:t>22</w:t>
            </w:r>
          </w:p>
        </w:tc>
        <w:tc>
          <w:tcPr>
            <w:tcW w:type="dxa" w:w="709"/>
            <w:vAlign w:val="center"/>
            <w:shd w:fill="173F73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color w:val="FFFFFF"/>
                <w:sz w:val="15"/>
              </w:rPr>
              <w:t>23</w:t>
            </w:r>
          </w:p>
        </w:tc>
        <w:tc>
          <w:tcPr>
            <w:tcW w:type="dxa" w:w="709"/>
            <w:vAlign w:val="center"/>
            <w:shd w:fill="173F73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color w:val="FFFFFF"/>
                <w:sz w:val="15"/>
              </w:rPr>
              <w:t>24</w:t>
            </w:r>
          </w:p>
        </w:tc>
        <w:tc>
          <w:tcPr>
            <w:tcW w:type="dxa" w:w="709"/>
            <w:vAlign w:val="center"/>
            <w:shd w:fill="173F73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color w:val="FFFFFF"/>
                <w:sz w:val="15"/>
              </w:rPr>
              <w:t>25</w:t>
            </w:r>
          </w:p>
        </w:tc>
        <w:tc>
          <w:tcPr>
            <w:tcW w:type="dxa" w:w="709"/>
            <w:vAlign w:val="center"/>
            <w:shd w:fill="173F73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color w:val="FFFFFF"/>
                <w:sz w:val="15"/>
              </w:rPr>
              <w:t>26</w:t>
            </w:r>
          </w:p>
        </w:tc>
        <w:tc>
          <w:tcPr>
            <w:tcW w:type="dxa" w:w="709"/>
            <w:vAlign w:val="center"/>
            <w:shd w:fill="173F73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color w:val="FFFFFF"/>
                <w:sz w:val="15"/>
              </w:rPr>
              <w:t>27</w:t>
            </w:r>
          </w:p>
        </w:tc>
        <w:tc>
          <w:tcPr>
            <w:tcW w:type="dxa" w:w="709"/>
            <w:vAlign w:val="center"/>
            <w:shd w:fill="173F73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color w:val="FFFFFF"/>
                <w:sz w:val="15"/>
              </w:rPr>
              <w:t>28</w:t>
            </w:r>
          </w:p>
        </w:tc>
        <w:tc>
          <w:tcPr>
            <w:tcW w:type="dxa" w:w="709"/>
            <w:vAlign w:val="center"/>
            <w:shd w:fill="173F73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color w:val="FFFFFF"/>
                <w:sz w:val="15"/>
              </w:rPr>
              <w:t>29</w:t>
            </w:r>
          </w:p>
        </w:tc>
        <w:tc>
          <w:tcPr>
            <w:tcW w:type="dxa" w:w="709"/>
            <w:vAlign w:val="center"/>
            <w:shd w:fill="173F73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color w:val="FFFFFF"/>
                <w:sz w:val="15"/>
              </w:rPr>
              <w:t>30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AF2FB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sz w:val="15"/>
              </w:rPr>
              <w:t>38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19,0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18,4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17,8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17,2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16,6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16,1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15,6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15,1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14,6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14,2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AF2FB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sz w:val="15"/>
              </w:rPr>
              <w:t>39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19,3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18,7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18,1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17,5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16,9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16,4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15,9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15,4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15,0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14,5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AF2FB"/>
          </w:tcPr>
          <w:p>
            <w:pPr>
              <w:keepNext w:val="0"/>
              <w:spacing w:before="0" w:after="0"/>
              <w:jc w:val="center"/>
            </w:pPr>
            <w:r>
              <w:rPr>
                <w:b/>
                <w:sz w:val="15"/>
              </w:rPr>
              <w:t>40</w:t>
            </w:r>
          </w:p>
        </w:tc>
        <w:tc>
          <w:tcPr>
            <w:tcW w:type="dxa" w:w="709"/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b w:val="0"/>
                <w:sz w:val="15"/>
              </w:rPr>
              <w:t>19,6</w:t>
            </w:r>
          </w:p>
        </w:tc>
        <w:tc>
          <w:tcPr>
            <w:tcW w:type="dxa" w:w="709"/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b w:val="0"/>
                <w:sz w:val="15"/>
              </w:rPr>
              <w:t>18,9</w:t>
            </w:r>
          </w:p>
        </w:tc>
        <w:tc>
          <w:tcPr>
            <w:tcW w:type="dxa" w:w="709"/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b w:val="0"/>
                <w:sz w:val="15"/>
              </w:rPr>
              <w:t>18,4</w:t>
            </w:r>
          </w:p>
        </w:tc>
        <w:tc>
          <w:tcPr>
            <w:tcW w:type="dxa" w:w="709"/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b w:val="0"/>
                <w:sz w:val="15"/>
              </w:rPr>
              <w:t>17,8</w:t>
            </w:r>
          </w:p>
        </w:tc>
        <w:tc>
          <w:tcPr>
            <w:tcW w:type="dxa" w:w="709"/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b w:val="0"/>
                <w:sz w:val="15"/>
              </w:rPr>
              <w:t>17,2</w:t>
            </w:r>
          </w:p>
        </w:tc>
        <w:tc>
          <w:tcPr>
            <w:tcW w:type="dxa" w:w="709"/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b w:val="0"/>
                <w:sz w:val="15"/>
              </w:rPr>
              <w:t>16,7</w:t>
            </w:r>
          </w:p>
        </w:tc>
        <w:tc>
          <w:tcPr>
            <w:tcW w:type="dxa" w:w="709"/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b w:val="0"/>
                <w:sz w:val="15"/>
              </w:rPr>
              <w:t>16,2</w:t>
            </w:r>
          </w:p>
        </w:tc>
        <w:tc>
          <w:tcPr>
            <w:tcW w:type="dxa" w:w="709"/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b w:val="0"/>
                <w:sz w:val="15"/>
              </w:rPr>
              <w:t>15,7</w:t>
            </w:r>
          </w:p>
        </w:tc>
        <w:tc>
          <w:tcPr>
            <w:tcW w:type="dxa" w:w="709"/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b w:val="0"/>
                <w:sz w:val="15"/>
              </w:rPr>
              <w:t>15,3</w:t>
            </w:r>
          </w:p>
        </w:tc>
        <w:tc>
          <w:tcPr>
            <w:tcW w:type="dxa" w:w="709"/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b w:val="0"/>
                <w:sz w:val="15"/>
              </w:rPr>
              <w:t>14,8</w:t>
            </w:r>
          </w:p>
        </w:tc>
      </w:tr>
    </w:tbl>
    <w:p>
      <w:pPr/>
    </w:p>
    <w:p>
      <w:pPr>
        <w:pStyle w:val="Heading2"/>
        <w:keepNext/>
      </w:pPr>
      <w:r>
        <w:t>Miejsca 31–40 · stawka 31–40 zawodników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</w:tblGrid>
      <w:tr>
        <w:trPr>
          <w:tblHeader w:val="true"/>
          <w:cantSplit/>
        </w:trPr>
        <w:tc>
          <w:tcPr>
            <w:tcW w:type="dxa" w:w="1701"/>
            <w:vAlign w:val="center"/>
            <w:shd w:fill="173F73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color w:val="FFFFFF"/>
                <w:sz w:val="15"/>
              </w:rPr>
              <w:t>Liczba zawodników w stawce</w:t>
            </w:r>
          </w:p>
        </w:tc>
        <w:tc>
          <w:tcPr>
            <w:tcW w:type="dxa" w:w="709"/>
            <w:vAlign w:val="center"/>
            <w:shd w:fill="173F73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color w:val="FFFFFF"/>
                <w:sz w:val="15"/>
              </w:rPr>
              <w:t>31</w:t>
            </w:r>
          </w:p>
        </w:tc>
        <w:tc>
          <w:tcPr>
            <w:tcW w:type="dxa" w:w="709"/>
            <w:vAlign w:val="center"/>
            <w:shd w:fill="173F73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color w:val="FFFFFF"/>
                <w:sz w:val="15"/>
              </w:rPr>
              <w:t>32</w:t>
            </w:r>
          </w:p>
        </w:tc>
        <w:tc>
          <w:tcPr>
            <w:tcW w:type="dxa" w:w="709"/>
            <w:vAlign w:val="center"/>
            <w:shd w:fill="173F73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color w:val="FFFFFF"/>
                <w:sz w:val="15"/>
              </w:rPr>
              <w:t>33</w:t>
            </w:r>
          </w:p>
        </w:tc>
        <w:tc>
          <w:tcPr>
            <w:tcW w:type="dxa" w:w="709"/>
            <w:vAlign w:val="center"/>
            <w:shd w:fill="173F73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color w:val="FFFFFF"/>
                <w:sz w:val="15"/>
              </w:rPr>
              <w:t>34</w:t>
            </w:r>
          </w:p>
        </w:tc>
        <w:tc>
          <w:tcPr>
            <w:tcW w:type="dxa" w:w="709"/>
            <w:vAlign w:val="center"/>
            <w:shd w:fill="173F73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color w:val="FFFFFF"/>
                <w:sz w:val="15"/>
              </w:rPr>
              <w:t>35</w:t>
            </w:r>
          </w:p>
        </w:tc>
        <w:tc>
          <w:tcPr>
            <w:tcW w:type="dxa" w:w="709"/>
            <w:vAlign w:val="center"/>
            <w:shd w:fill="173F73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color w:val="FFFFFF"/>
                <w:sz w:val="15"/>
              </w:rPr>
              <w:t>36</w:t>
            </w:r>
          </w:p>
        </w:tc>
        <w:tc>
          <w:tcPr>
            <w:tcW w:type="dxa" w:w="709"/>
            <w:vAlign w:val="center"/>
            <w:shd w:fill="173F73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color w:val="FFFFFF"/>
                <w:sz w:val="15"/>
              </w:rPr>
              <w:t>37</w:t>
            </w:r>
          </w:p>
        </w:tc>
        <w:tc>
          <w:tcPr>
            <w:tcW w:type="dxa" w:w="709"/>
            <w:vAlign w:val="center"/>
            <w:shd w:fill="173F73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color w:val="FFFFFF"/>
                <w:sz w:val="15"/>
              </w:rPr>
              <w:t>38</w:t>
            </w:r>
          </w:p>
        </w:tc>
        <w:tc>
          <w:tcPr>
            <w:tcW w:type="dxa" w:w="709"/>
            <w:vAlign w:val="center"/>
            <w:shd w:fill="173F73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color w:val="FFFFFF"/>
                <w:sz w:val="15"/>
              </w:rPr>
              <w:t>39</w:t>
            </w:r>
          </w:p>
        </w:tc>
        <w:tc>
          <w:tcPr>
            <w:tcW w:type="dxa" w:w="709"/>
            <w:vAlign w:val="center"/>
            <w:shd w:fill="173F73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color w:val="FFFFFF"/>
                <w:sz w:val="15"/>
              </w:rPr>
              <w:t>40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AF2FB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sz w:val="15"/>
              </w:rPr>
              <w:t>31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1,0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AF2FB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sz w:val="15"/>
              </w:rPr>
              <w:t>32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1,4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1,0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AF2FB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sz w:val="15"/>
              </w:rPr>
              <w:t>33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11,9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11,4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1,0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AF2FB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sz w:val="15"/>
              </w:rPr>
              <w:t>34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12,3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11,8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1,4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1,0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AF2FB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sz w:val="15"/>
              </w:rPr>
              <w:t>35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12,7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12,2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1,8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1,4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1,0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AF2FB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sz w:val="15"/>
              </w:rPr>
              <w:t>36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13,0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12,6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2,2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1,8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1,4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1,0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AF2FB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sz w:val="15"/>
              </w:rPr>
              <w:t>37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13,4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13,0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2,6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2,1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1,8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1,4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1,0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AF2FB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sz w:val="15"/>
              </w:rPr>
              <w:t>38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13,7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13,3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2,9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2,5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2,1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1,7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1,4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1,0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AF2FB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sz w:val="15"/>
              </w:rPr>
              <w:t>39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14,1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13,6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3,2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2,8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2,4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2,1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1,7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1,3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1,0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AF2FB"/>
          </w:tcPr>
          <w:p>
            <w:pPr>
              <w:keepNext w:val="0"/>
              <w:spacing w:before="0" w:after="0"/>
              <w:jc w:val="center"/>
            </w:pPr>
            <w:r>
              <w:rPr>
                <w:b/>
                <w:sz w:val="15"/>
              </w:rPr>
              <w:t>40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 w:val="0"/>
              <w:spacing w:before="0" w:after="0"/>
              <w:jc w:val="center"/>
            </w:pPr>
            <w:r>
              <w:rPr>
                <w:b w:val="0"/>
                <w:sz w:val="15"/>
              </w:rPr>
              <w:t>14,4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 w:val="0"/>
              <w:spacing w:before="0" w:after="0"/>
              <w:jc w:val="center"/>
            </w:pPr>
            <w:r>
              <w:rPr>
                <w:b w:val="0"/>
                <w:sz w:val="15"/>
              </w:rPr>
              <w:t>14,0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 w:val="0"/>
              <w:spacing w:before="0" w:after="0"/>
              <w:jc w:val="center"/>
            </w:pPr>
            <w:r>
              <w:rPr>
                <w:b w:val="0"/>
                <w:sz w:val="15"/>
              </w:rPr>
              <w:t>3,6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 w:val="0"/>
              <w:spacing w:before="0" w:after="0"/>
              <w:jc w:val="center"/>
            </w:pPr>
            <w:r>
              <w:rPr>
                <w:b w:val="0"/>
                <w:sz w:val="15"/>
              </w:rPr>
              <w:t>3,2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 w:val="0"/>
              <w:spacing w:before="0" w:after="0"/>
              <w:jc w:val="center"/>
            </w:pPr>
            <w:r>
              <w:rPr>
                <w:b w:val="0"/>
                <w:sz w:val="15"/>
              </w:rPr>
              <w:t>2,8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 w:val="0"/>
              <w:spacing w:before="0" w:after="0"/>
              <w:jc w:val="center"/>
            </w:pPr>
            <w:r>
              <w:rPr>
                <w:b w:val="0"/>
                <w:sz w:val="15"/>
              </w:rPr>
              <w:t>2,4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 w:val="0"/>
              <w:spacing w:before="0" w:after="0"/>
              <w:jc w:val="center"/>
            </w:pPr>
            <w:r>
              <w:rPr>
                <w:b w:val="0"/>
                <w:sz w:val="15"/>
              </w:rPr>
              <w:t>2,0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 w:val="0"/>
              <w:spacing w:before="0" w:after="0"/>
              <w:jc w:val="center"/>
            </w:pPr>
            <w:r>
              <w:rPr>
                <w:b w:val="0"/>
                <w:sz w:val="15"/>
              </w:rPr>
              <w:t>1,7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 w:val="0"/>
              <w:spacing w:before="0" w:after="0"/>
              <w:jc w:val="center"/>
            </w:pPr>
            <w:r>
              <w:rPr>
                <w:b w:val="0"/>
                <w:sz w:val="15"/>
              </w:rPr>
              <w:t>1,3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 w:val="0"/>
              <w:spacing w:before="0" w:after="0"/>
              <w:jc w:val="center"/>
            </w:pPr>
            <w:r>
              <w:rPr>
                <w:b w:val="0"/>
                <w:sz w:val="15"/>
              </w:rPr>
              <w:t>1,0</w:t>
            </w:r>
          </w:p>
        </w:tc>
      </w:tr>
    </w:tbl>
    <w:p>
      <w:pPr/>
    </w:p>
    <w:p>
      <w:pPr>
        <w:keepNext/>
        <w:spacing w:before="160"/>
      </w:pPr>
      <w:r>
        <w:t>Pełna tabela dla stawek liczących od 4 do 300 zawodników oraz kalkulator punktów są publikowane przez SPWS na stronie internetowej.</w:t>
      </w:r>
    </w:p>
    <w:p>
      <w:pPr>
        <w:keepLines/>
      </w:pPr>
      <w:r>
        <w:rPr>
          <w:b/>
        </w:rPr>
        <w:t xml:space="preserve">Pełna tabela punktacji — wersja nieoficjalna: </w:t>
      </w:r>
      <w:hyperlink r:id="rId14">
        <w:r>
          <w:rPr>
            <w:rStyle w:val="Hyperlink"/>
            <w:sz w:val="18"/>
          </w:rPr>
          <w:t>https://fencer4life.github.io/spws-automated-ranklist/tabela-punktacji.html</w:t>
        </w:r>
      </w:hyperlink>
    </w:p>
    <w:p>
      <w:r>
        <w:br w:type="page"/>
      </w:r>
    </w:p>
    <w:p>
      <w:bookmarkStart w:id="239877515" w:name="_Toc239877515"/>
      <w:pPr>
        <w:pStyle w:val="Heading1"/>
      </w:pPr>
      <w:r>
        <w:t>Historia wersji</w:t>
      </w:r>
      <w:bookmarkEnd w:id="239877515"/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DD4DE"/>
          <w:left w:val="single" w:sz="4" w:color="CDD4DE"/>
          <w:bottom w:val="single" w:sz="4" w:color="CDD4DE"/>
          <w:right w:val="single" w:sz="4" w:color="CDD4DE"/>
          <w:insideH w:val="single" w:sz="4" w:color="CDD4DE"/>
          <w:insideV w:val="single" w:sz="4" w:color="CDD4DE"/>
        </w:tblBorders>
      </w:tblPr>
      <w:tblGrid>
        <w:gridCol w:w="2268"/>
        <w:gridCol w:w="2268"/>
        <w:gridCol w:w="2268"/>
        <w:gridCol w:w="2268"/>
      </w:tblGrid>
      <w:tr>
        <w:trPr>
          <w:tblHeader w:val="true"/>
          <w:cantSplit/>
        </w:trPr>
        <w:tc>
          <w:tcPr>
            <w:tcW w:type="dxa" w:w="2268"/>
            <w:shd w:fill="174A84"/>
            <w:tcMar>
              <w:top w:w="110" w:type="dxa"/>
              <w:left w:w="130" w:type="dxa"/>
              <w:bottom w:w="110" w:type="dxa"/>
              <w:right w:w="13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Wersja</w:t>
            </w:r>
          </w:p>
        </w:tc>
        <w:tc>
          <w:tcPr>
            <w:tcW w:type="dxa" w:w="2268"/>
            <w:shd w:fill="174A84"/>
            <w:tcMar>
              <w:top w:w="110" w:type="dxa"/>
              <w:left w:w="130" w:type="dxa"/>
              <w:bottom w:w="110" w:type="dxa"/>
              <w:right w:w="13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Data</w:t>
            </w:r>
          </w:p>
        </w:tc>
        <w:tc>
          <w:tcPr>
            <w:tcW w:type="dxa" w:w="2268"/>
            <w:shd w:fill="174A84"/>
            <w:tcMar>
              <w:top w:w="110" w:type="dxa"/>
              <w:left w:w="130" w:type="dxa"/>
              <w:bottom w:w="110" w:type="dxa"/>
              <w:right w:w="13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Zakres zmian</w:t>
            </w:r>
          </w:p>
        </w:tc>
        <w:tc>
          <w:tcPr>
            <w:tcW w:type="dxa" w:w="2268"/>
            <w:shd w:fill="174A84"/>
            <w:tcMar>
              <w:top w:w="110" w:type="dxa"/>
              <w:left w:w="130" w:type="dxa"/>
              <w:bottom w:w="110" w:type="dxa"/>
              <w:right w:w="13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Status</w:t>
            </w:r>
          </w:p>
        </w:tc>
      </w:tr>
      <w:tr>
        <w:trPr>
          <w:cantSplit/>
        </w:trPr>
        <w:tc>
          <w:tcPr>
            <w:tcW w:type="dxa" w:w="2268"/>
            <w:tcMar>
              <w:top w:w="110" w:type="dxa"/>
              <w:left w:w="130" w:type="dxa"/>
              <w:bottom w:w="110" w:type="dxa"/>
              <w:right w:w="130" w:type="dxa"/>
            </w:tcMar>
          </w:tcPr>
          <w:p>
            <w:pPr>
              <w:keepNext w:val="0"/>
              <w:spacing w:after="0"/>
            </w:pPr>
            <w:r>
              <w:rPr>
                <w:rFonts w:ascii="Aptos" w:hAnsi="Aptos"/>
                <w:sz w:val="18"/>
              </w:rPr>
              <w:t>0.2</w:t>
            </w:r>
          </w:p>
        </w:tc>
        <w:tc>
          <w:tcPr>
            <w:tcW w:type="dxa" w:w="2268"/>
            <w:tcMar>
              <w:top w:w="110" w:type="dxa"/>
              <w:left w:w="130" w:type="dxa"/>
              <w:bottom w:w="110" w:type="dxa"/>
              <w:right w:w="130" w:type="dxa"/>
            </w:tcMar>
          </w:tcPr>
          <w:p>
            <w:pPr>
              <w:keepNext w:val="0"/>
              <w:spacing w:after="0"/>
            </w:pPr>
            <w:r>
              <w:rPr>
                <w:rFonts w:ascii="Aptos" w:hAnsi="Aptos"/>
                <w:sz w:val="18"/>
              </w:rPr>
              <w:t>2026-09-19</w:t>
            </w:r>
          </w:p>
        </w:tc>
        <w:tc>
          <w:tcPr>
            <w:tcW w:type="dxa" w:w="2268"/>
            <w:tcMar>
              <w:top w:w="110" w:type="dxa"/>
              <w:left w:w="130" w:type="dxa"/>
              <w:bottom w:w="110" w:type="dxa"/>
              <w:right w:w="130" w:type="dxa"/>
            </w:tcMar>
          </w:tcPr>
          <w:p>
            <w:pPr>
              <w:keepNext w:val="0"/>
              <w:spacing w:after="0"/>
            </w:pPr>
            <w:r>
              <w:rPr>
                <w:rFonts w:ascii="Aptos" w:hAnsi="Aptos"/>
                <w:sz w:val="18"/>
              </w:rPr>
              <w:t>Pełna struktura ZTP i jednorazowa migracja treści źródłowej</w:t>
            </w:r>
          </w:p>
        </w:tc>
        <w:tc>
          <w:tcPr>
            <w:tcW w:type="dxa" w:w="2268"/>
            <w:tcMar>
              <w:top w:w="110" w:type="dxa"/>
              <w:left w:w="130" w:type="dxa"/>
              <w:bottom w:w="110" w:type="dxa"/>
              <w:right w:w="130" w:type="dxa"/>
            </w:tcMar>
          </w:tcPr>
          <w:p>
            <w:pPr>
              <w:keepNext w:val="0"/>
              <w:spacing w:after="0"/>
            </w:pPr>
            <w:r>
              <w:rPr>
                <w:rFonts w:ascii="Aptos" w:hAnsi="Aptos"/>
                <w:sz w:val="18"/>
              </w:rPr>
              <w:t>projekt do konsultacji</w:t>
            </w:r>
          </w:p>
        </w:tc>
      </w:tr>
    </w:tbl>
    <w:p>
      <w:pPr/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247" w:right="1417" w:bottom="1134" w:left="1417" w:header="510" w:footer="51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color w:val="667386"/>
        <w:sz w:val="16"/>
      </w:rPr>
      <w:t xml:space="preserve">Projekt · wersja 0.1     |     Strona </w:t>
    </w:r>
    <w:r>
      <w:fldChar w:fldCharType="begin"/>
      <w:instrText xml:space="preserve">PAGE</w:instrText>
      <w:fldChar w:fldCharType="separate"/>
      <w:t>1</w:t>
      <w:fldChar w:fldCharType="end"/>
    </w:r>
    <w:r>
      <w:t xml:space="preserve"> z </w:t>
    </w:r>
    <w:r>
      <w:fldChar w:fldCharType="begin"/>
      <w:instrText xml:space="preserve">NUMPAGES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color w:val="667386"/>
        <w:sz w:val="16"/>
      </w:rPr>
      <w:t>Projekt regulaminu  ·  sezon 2026/2027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6" w:space="5" w:color="CDD4DE"/>
      </w:pBdr>
    </w:pPr>
    <w:r>
      <w:rPr>
        <w:rFonts w:ascii="Aptos" w:hAnsi="Aptos"/>
        <w:color w:val="667386"/>
        <w:sz w:val="16"/>
      </w:rPr>
      <w:t>Regulamin powoływania reprezentacji Polski weteranów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rPr>
        <w:rFonts w:hint="eastAsia"/>
      </w:rP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Aptos" w:hAnsi="Aptos"/>
      <w:color w:val="17213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60"/>
      <w:outlineLvl w:val="0"/>
    </w:pPr>
    <w:rPr>
      <w:rFonts w:asciiTheme="majorHAnsi" w:eastAsiaTheme="majorEastAsia" w:hAnsiTheme="majorHAnsi" w:cstheme="majorBidi"/>
      <w:b/>
      <w:bCs/>
      <w:color w:val="174A8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00" w:after="160"/>
      <w:outlineLvl w:val="1"/>
    </w:pPr>
    <w:rPr>
      <w:rFonts w:asciiTheme="majorHAnsi" w:eastAsiaTheme="majorEastAsia" w:hAnsiTheme="majorHAnsi" w:cstheme="majorBidi"/>
      <w:b/>
      <w:bCs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00" w:after="160"/>
      <w:outlineLvl w:val="2"/>
    </w:pPr>
    <w:rPr>
      <w:rFonts w:asciiTheme="majorHAnsi" w:eastAsiaTheme="majorEastAsia" w:hAnsiTheme="majorHAnsi" w:cstheme="majorBidi"/>
      <w:b/>
      <w:bCs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ozdzial">
    <w:name w:val="Rozdzial"/>
    <w:basedOn w:val="Heading1"/>
    <w:pPr>
      <w:keepNext/>
      <w:spacing w:before="0" w:after="400"/>
      <w:jc w:val="center"/>
      <w:pageBreakBefore/>
    </w:pPr>
    <w:rPr>
      <w:rFonts w:ascii="Georgia" w:hAnsi="Georgia"/>
      <w:b/>
      <w:color w:val="174A84"/>
      <w:sz w:val="40"/>
    </w:rPr>
  </w:style>
  <w:style w:type="paragraph" w:customStyle="1" w:styleId="Etykietarozdzialu">
    <w:name w:val="Etykieta rozdzialu"/>
    <w:pPr>
      <w:keepNext/>
      <w:spacing w:after="100"/>
      <w:jc w:val="center"/>
    </w:pPr>
    <w:rPr>
      <w:rFonts w:ascii="Aptos" w:hAnsi="Aptos"/>
      <w:b/>
      <w:color w:val="174A84"/>
      <w:sz w:val="18"/>
    </w:rPr>
  </w:style>
  <w:style w:type="paragraph" w:customStyle="1" w:styleId="Paragraf">
    <w:name w:val="Paragraf"/>
    <w:pPr>
      <w:keepNext/>
      <w:spacing w:before="300" w:after="160"/>
      <w:jc w:val="center"/>
    </w:pPr>
    <w:rPr>
      <w:rFonts w:ascii="Georgia" w:hAnsi="Georgia"/>
      <w:b/>
      <w:color w:val="172131"/>
      <w:sz w:val="26"/>
    </w:rPr>
  </w:style>
  <w:style w:type="paragraph" w:customStyle="1" w:styleId="Tekstroboczy">
    <w:name w:val="Tekst roboczy"/>
    <w:basedOn w:val="Normal"/>
    <w:rPr>
      <w:i/>
      <w:color w:val="667386"/>
    </w:rPr>
  </w:style>
  <w:style w:type="paragraph" w:styleId="TOC1">
    <w:name w:val="toc 1"/>
    <w:basedOn w:val="Normal"/>
    <w:next w:val="Normal"/>
    <w:autoRedefine/>
    <w:uiPriority w:val="39"/>
    <w:unhideWhenUsed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paragraph" w:customStyle="1" w:styleId="Tytułparagrafu">
    <w:name w:val="Tytuł paragrafu"/>
    <w:basedOn w:val="Heading3"/>
  </w:style>
  <w:style w:type="paragraph" w:customStyle="1" w:styleId="Etykietabrudnopisu">
    <w:name w:val="Etykieta brudnopisu"/>
    <w:basedOn w:val="Normal"/>
    <w:rPr>
      <w:b/>
      <w:color w:val="595959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yperlink" Target="https://fencer4life.github.io/spws-automated-ranklist/" TargetMode="External"/><Relationship Id="rId14" Type="http://schemas.openxmlformats.org/officeDocument/2006/relationships/hyperlink" Target="https://fencer4life.github.io/spws-automated-ranklist/tabela-punktacji.html" TargetMode="External"/><Relationship Id="rId15" Type="http://schemas.openxmlformats.org/officeDocument/2006/relationships/hyperlink" Target="https://fencer4life.github.io/spws-automated-ranklist/kalkulator-punktow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Regulamin powoływania Reprezentacji Polski Weteranów w szermierce</dc:title>
  <dc:subject>Projekt regulaminu w strukturze ZTP — sezon 2026/2027</dc:subject>
  <dc:creator>Komisja regulaminowa SPWS</dc:creator>
  <cp:keywords/>
  <dc:description>Projekt do konsultacji. Treść przyjęta redakcyjnie; wymaga przyjęcia przez Zarząd SPWS.</dc:description>
  <cp:lastModifiedBy>Komisja regulaminowa SPWS</cp:lastModifiedBy>
  <cp:revision>1</cp:revision>
  <dcterms:created xsi:type="dcterms:W3CDTF">2013-12-23T23:15:00Z</dcterms:created>
  <dcterms:modified xsi:type="dcterms:W3CDTF">2013-12-23T23:15:00Z</dcterms:modified>
  <cp:category/>
</cp:coreProperties>
</file>