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  <w:jc w:val="right"/>
      </w:pPr>
      <w:r>
        <w:rPr>
          <w:rFonts w:ascii="Aptos" w:hAnsi="Aptos"/>
          <w:b/>
          <w:color w:val="A03A2D"/>
          <w:bdr w:val="single" w:sz="14" w:space="4" w:color="A03A2D"/>
        </w:rPr>
        <w:t>PROJEKT</w:t>
      </w:r>
    </w:p>
    <w:p>
      <w:pPr>
        <w:spacing w:after="640"/>
      </w:pPr>
      <w:r>
        <w:rPr>
          <w:rFonts w:ascii="Aptos" w:hAnsi="Aptos"/>
          <w:color w:val="174A84"/>
          <w:sz w:val="34"/>
        </w:rPr>
        <w:t>━━━━</w:t>
      </w:r>
    </w:p>
    <w:p>
      <w:pPr>
        <w:pStyle w:val="Title"/>
      </w:pPr>
      <w:r>
        <w:t>Regulamin powoływania reprezentacji Polski weteranów w szermierce</w:t>
      </w:r>
    </w:p>
    <w:p>
      <w:pPr>
        <w:spacing w:after="1920"/>
      </w:pPr>
      <w:r>
        <w:rPr>
          <w:rFonts w:ascii="Aptos Display" w:hAnsi="Aptos Display"/>
          <w:b/>
          <w:color w:val="174A84"/>
          <w:sz w:val="34"/>
        </w:rPr>
        <w:t>w sezonie 2026/2027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948"/>
        <w:gridCol w:w="5669"/>
      </w:tblGrid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Wersja dokumentu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sz w:val="20"/>
              </w:rPr>
              <w:t>0.1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Status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sz w:val="20"/>
              </w:rPr>
              <w:t>projekt do konsultacji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Data projektu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20"/>
              </w:rPr>
              <w:t>[data]</w:t>
            </w:r>
          </w:p>
        </w:tc>
      </w:tr>
    </w:tbl>
    <w:p>
      <w:r>
        <w:br w:type="page"/>
      </w:r>
    </w:p>
    <w:p>
      <w:bookmarkStart w:id="239877506" w:name="_Toc239877506"/>
      <w:pPr>
        <w:pStyle w:val="Heading1"/>
        <w:spacing w:after="320"/>
      </w:pPr>
      <w:r>
        <w:t>Spis treści</w:t>
      </w:r>
      <w:bookmarkEnd w:id="239877506"/>
    </w:p>
    <w:p>
      <w:pPr>
        <w:pStyle w:val="TOC1"/>
        <w:tabs>
          <w:tab w:val="right" w:leader="dot" w:pos="9062"/>
        </w:tabs>
        <w:rPr>
          <w:noProof/>
        </w:rPr>
      </w:pPr>
      <w:r>
        <w:fldChar w:fldCharType="begin"/>
        <w:instrText xml:space="preserve">TOC \o "1-2" \h \z \u</w:instrText>
        <w:fldChar w:fldCharType="separate"/>
      </w:r>
      <w:hyperlink w:anchor="_Toc239877506" w:history="1">
        <w:r>
          <w:rPr>
            <w:rStyle w:val="Hyperlink"/>
            <w:noProof/>
          </w:rPr>
          <w:t>Spis treści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7" w:history="1">
        <w:r>
          <w:rPr>
            <w:rStyle w:val="Hyperlink"/>
            <w:noProof/>
          </w:rPr>
          <w:t>Konstrukcja regulaminu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8" w:history="1">
        <w:r>
          <w:rPr>
            <w:rStyle w:val="Hyperlink"/>
            <w:noProof/>
          </w:rPr>
          <w:t>Postanowienia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9" w:history="1">
        <w:r>
          <w:rPr>
            <w:rStyle w:val="Hyperlink"/>
            <w:noProof/>
          </w:rPr>
          <w:t>Ranking indywidualny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0" w:history="1">
        <w:r>
          <w:rPr>
            <w:rStyle w:val="Hyperlink"/>
            <w:noProof/>
          </w:rPr>
          <w:t>Powołania do startów indywidualnych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1" w:history="1">
        <w:r>
          <w:rPr>
            <w:rStyle w:val="Hyperlink"/>
            <w:noProof/>
          </w:rPr>
          <w:t>Dobór składu drużyny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2" w:history="1">
        <w:r>
          <w:rPr>
            <w:rStyle w:val="Hyperlink"/>
            <w:noProof/>
          </w:rPr>
          <w:t>Terminarz procesu powoływania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3" w:history="1">
        <w:r>
          <w:rPr>
            <w:rStyle w:val="Hyperlink"/>
            <w:noProof/>
          </w:rPr>
          <w:t>Ocena regulaminu i doskonalenie metody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4" w:history="1">
        <w:r>
          <w:rPr>
            <w:rStyle w:val="Hyperlink"/>
            <w:noProof/>
          </w:rPr>
          <w:t>Postanowienia końcowe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5" w:history="1">
        <w:r>
          <w:rPr>
            <w:rStyle w:val="Hyperlink"/>
            <w:noProof/>
          </w:rPr>
          <w:t>Historia wersji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062"/>
        </w:tabs>
        <w:rPr>
          <w:noProof/>
        </w:rPr>
      </w:pPr>
      <w:hyperlink w:anchor="_Toc239877516" w:history="1">
        <w:r>
          <w:rPr>
            <w:rStyle w:val="Hyperlink"/>
            <w:noProof/>
          </w:rPr>
          <w:t>Informacja o prototypie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spacing w:after="320"/>
      </w:pPr>
      <w:r>
        <w:fldChar w:fldCharType="end"/>
      </w:r>
    </w:p>
    <w:p>
      <w:pPr>
        <w:pStyle w:val="Tekstroboczy"/>
      </w:pPr>
      <w:r>
        <w:t>W Wordzie wybierz spis treści i polecenie „Aktualizuj tabelę”, jeżeli nie odświeży się automatycznie.</w:t>
      </w:r>
    </w:p>
    <w:p>
      <w:r>
        <w:br w:type="page"/>
      </w:r>
    </w:p>
    <w:p>
      <w:bookmarkStart w:id="239877507" w:name="_Toc239877507"/>
      <w:pPr>
        <w:pStyle w:val="Heading1"/>
      </w:pPr>
      <w:r>
        <w:t>Konstrukcja regulaminu</w:t>
      </w:r>
      <w:bookmarkEnd w:id="239877507"/>
    </w:p>
    <w:p>
      <w:r>
        <w:t>Treść dokumentu podzielono następująco: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1020"/>
        <w:gridCol w:w="2948"/>
        <w:gridCol w:w="5102"/>
      </w:tblGrid>
      <w:tr>
        <w:trPr>
          <w:tblHeader w:val="true"/>
          <w:cantSplit/>
        </w:trPr>
        <w:tc>
          <w:tcPr>
            <w:tcW w:type="dxa" w:w="1020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Rozdział</w:t>
            </w:r>
          </w:p>
        </w:tc>
        <w:tc>
          <w:tcPr>
            <w:tcW w:type="dxa" w:w="294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Tytuł</w:t>
            </w:r>
          </w:p>
        </w:tc>
        <w:tc>
          <w:tcPr>
            <w:tcW w:type="dxa" w:w="5102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1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Postanowienia ogólne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przedmiot, definicje i zasady wyłaniania reprezentacji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2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Ranking indywidualny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rola rankingu, zawody, punktacja i warunki ujęcia wyników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3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Powołania do startów indywidualnych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kolejność kandydatów, rezygnacje i zastępstwa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4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Dobór składu drużyny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pula kandydatów, wymogi kategorii i procedury wyboru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5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Terminarz procesu powoływania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terminy, deklaracje, odpowiedzialność, korekty danych i dokumentacja powołań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6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Ocena regulaminu i doskonalenie metody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ewaluacja sezonowa i przygotowanie zmian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color w:val="174A84"/>
                <w:sz w:val="18"/>
              </w:rPr>
              <w:t>7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sz w:val="18"/>
              </w:rPr>
              <w:t>Postanowienia końcowe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color w:val="667386"/>
                <w:sz w:val="18"/>
              </w:rPr>
              <w:t>wejście w życie i przepis przejściowy</w:t>
            </w:r>
          </w:p>
        </w:tc>
      </w:tr>
    </w:tbl>
    <w:p>
      <w:r>
        <w:br w:type="page"/>
      </w:r>
    </w:p>
    <w:p>
      <w:pPr>
        <w:pStyle w:val="Etykietarozdzialu"/>
        <w:pageBreakBefore/>
      </w:pPr>
      <w:r>
        <w:t>Rozdział 1</w:t>
      </w:r>
    </w:p>
    <w:p>
      <w:bookmarkStart w:id="239877508" w:name="_Toc239877508"/>
      <w:pPr>
        <w:pStyle w:val="Heading1"/>
        <w:jc w:val="center"/>
      </w:pPr>
      <w:r>
        <w:t>Postanowienia ogólne</w:t>
      </w:r>
      <w:bookmarkEnd w:id="239877508"/>
    </w:p>
    <w:p>
      <w:pPr>
        <w:pStyle w:val="Paragraf"/>
        <w:keepNext/>
      </w:pPr>
      <w:r>
        <w:t>§ 1</w:t>
      </w:r>
    </w:p>
    <w:p>
      <w:pPr>
        <w:pStyle w:val="Tytułparagrafu"/>
        <w:keepNext/>
      </w:pPr>
      <w:r>
        <w:t>Przedmiot regulaminu</w:t>
      </w:r>
    </w:p>
    <w:p>
      <w:pPr>
        <w:keepLines/>
        <w:ind w:left="85"/>
      </w:pPr>
      <w:r>
        <w:t>Regulamin określa zasady kwalifikowania i powoływania zawodników do reprezentacji Polski weteranów w szermierce na indywidualne i drużynowe zawody międzynarodowe rangi mistrzowskiej, w których liczba zawodników reprezentujących państwo podlega ograniczeniom określonym przez organizatora zawodów.</w:t>
      </w:r>
    </w:p>
    <w:p>
      <w:pPr>
        <w:pStyle w:val="Paragraf"/>
        <w:keepNext/>
        <w:ind w:left="85"/>
      </w:pPr>
      <w:r>
        <w:t>§ 2</w:t>
      </w:r>
    </w:p>
    <w:p>
      <w:pPr>
        <w:pStyle w:val="Tytułparagrafu"/>
        <w:keepNext/>
      </w:pPr>
      <w:r>
        <w:t>Definicje</w:t>
      </w:r>
    </w:p>
    <w:p>
      <w:pPr>
        <w:keepLines/>
        <w:ind w:left="85"/>
      </w:pPr>
      <w:r>
        <w:t>Ilekroć w Regulaminie jest mowa o:</w:t>
      </w:r>
    </w:p>
    <w:p>
      <w:pPr>
        <w:ind w:left="595" w:hanging="255"/>
      </w:pPr>
      <w:r>
        <w:t xml:space="preserve">1) </w:t>
      </w:r>
      <w:r>
        <w:rPr>
          <w:b/>
        </w:rPr>
        <w:t>SPWS</w:t>
      </w:r>
      <w:r>
        <w:t xml:space="preserve"> – należy przez to rozumieć Stowarzyszenie Polskich Weteranów Szermierki;</w:t>
      </w:r>
    </w:p>
    <w:p>
      <w:pPr>
        <w:ind w:left="595" w:hanging="255"/>
      </w:pPr>
      <w:r>
        <w:t xml:space="preserve">2) </w:t>
      </w:r>
      <w:r>
        <w:rPr>
          <w:b/>
        </w:rPr>
        <w:t>PZSz</w:t>
      </w:r>
      <w:r>
        <w:t xml:space="preserve"> – należy przez to rozumieć Polski Związek Szermierczy;</w:t>
      </w:r>
    </w:p>
    <w:p>
      <w:pPr>
        <w:ind w:left="595" w:hanging="255"/>
      </w:pPr>
      <w:r>
        <w:t xml:space="preserve">3) </w:t>
      </w:r>
      <w:r>
        <w:rPr>
          <w:b/>
        </w:rPr>
        <w:t>EVF</w:t>
      </w:r>
      <w:r>
        <w:t xml:space="preserve"> – należy przez to rozumieć European Veterans Fencing;</w:t>
      </w:r>
    </w:p>
    <w:p>
      <w:pPr>
        <w:ind w:left="595" w:hanging="255"/>
      </w:pPr>
      <w:r>
        <w:t xml:space="preserve">4) </w:t>
      </w:r>
      <w:r>
        <w:rPr>
          <w:b/>
        </w:rPr>
        <w:t>FIE</w:t>
      </w:r>
      <w:r>
        <w:t xml:space="preserve"> – należy przez to rozumieć Fédération Internationale d’Escrime (Międzynarodową Federację Szermierczą);</w:t>
      </w:r>
    </w:p>
    <w:p>
      <w:pPr>
        <w:ind w:left="595" w:hanging="255"/>
      </w:pPr>
      <w:r>
        <w:t xml:space="preserve">5) </w:t>
      </w:r>
      <w:r>
        <w:rPr>
          <w:b/>
        </w:rPr>
        <w:t>rankingu hybrydowym</w:t>
      </w:r>
      <w:r>
        <w:t xml:space="preserve"> – należy przez to rozumieć ranking indywidualny, w którym wyniki są aktualizowane z zastosowaniem aktualizacji krokowej albo wygaszania kalendarzowego, zależnie od organizatora i rodzaju zawodów;</w:t>
      </w:r>
    </w:p>
    <w:p>
      <w:pPr>
        <w:ind w:left="595" w:hanging="255"/>
      </w:pPr>
      <w:r>
        <w:t xml:space="preserve">6) </w:t>
      </w:r>
      <w:r>
        <w:rPr>
          <w:b/>
        </w:rPr>
        <w:t>aktualizacji krokowej</w:t>
      </w:r>
      <w:r>
        <w:t xml:space="preserve"> – należy przez to rozumieć sposób aktualizacji wyników zawodów organizowanych przez SPWS, PZSz lub FIE, zgodnie z którym punkty za zawody z poprzedniego sezonu pozostają w rankingu do czasu uwzględnienia punktów za odpowiadające im zawody w sezonie bieżącym, po czym poprzedni wynik przestaje być uwzględniany;</w:t>
      </w:r>
    </w:p>
    <w:p>
      <w:pPr>
        <w:ind w:left="595" w:hanging="255"/>
      </w:pPr>
      <w:r>
        <w:t xml:space="preserve">7) </w:t>
      </w:r>
      <w:r>
        <w:rPr>
          <w:b/>
        </w:rPr>
        <w:t>wygaszaniu kalendarzowym</w:t>
      </w:r>
      <w:r>
        <w:t xml:space="preserve"> – należy przez to rozumieć sposób uwzględniania wyników zawodów organizowanych przez EVF, zgodnie z którym uzyskane punkty pozostają w rankingu przez okres właściwy dla danego rodzaju zawodów, liczony od dnia zakończenia zawodów, niezależnie od tego, czy zawody mają odpowiednik w kolejnym sezonie, a po upływie tego okresu przestają być uwzględniane;</w:t>
      </w:r>
    </w:p>
    <w:p>
      <w:pPr>
        <w:ind w:left="595" w:hanging="255"/>
      </w:pPr>
      <w:r>
        <w:t xml:space="preserve">8) </w:t>
      </w:r>
      <w:r>
        <w:rPr>
          <w:b/>
        </w:rPr>
        <w:t>limitowanych zawodach międzynarodowych</w:t>
      </w:r>
      <w:r>
        <w:t xml:space="preserve"> – należy przez to rozumieć indywidualne lub drużynowe zawody międzynarodowe rangi mistrzowskiej, w których liczba zawodników reprezentujących dane państwo jest ograniczona przepisami organizatora zawodów;</w:t>
      </w:r>
    </w:p>
    <w:p>
      <w:pPr>
        <w:ind w:left="595" w:hanging="255"/>
      </w:pPr>
      <w:r>
        <w:t xml:space="preserve">9) </w:t>
      </w:r>
      <w:r>
        <w:rPr>
          <w:b/>
        </w:rPr>
        <w:t>powołaniu uzupełniającym</w:t>
      </w:r>
      <w:r>
        <w:t xml:space="preserve"> – należy przez to rozumieć wyjątkowe powołanie do startu drużynowego zawodnika nieposiadającego dodatniego dorobku punktowego, dokonywane wyłącznie w celu uzupełnienia braków uniemożliwiających wystawienie kompletnej i zgodnej z przepisami drużyny.</w:t>
      </w:r>
    </w:p>
    <w:p>
      <w:pPr>
        <w:pStyle w:val="Paragraf"/>
        <w:keepNext/>
        <w:ind w:left="85"/>
      </w:pPr>
      <w:r>
        <w:t>§ 3</w:t>
      </w:r>
    </w:p>
    <w:p>
      <w:pPr>
        <w:pStyle w:val="Tytułparagrafu"/>
        <w:keepNext/>
      </w:pPr>
      <w:r>
        <w:t>Cel i zasady wyłaniania reprezentacji</w:t>
      </w:r>
    </w:p>
    <w:p>
      <w:pPr>
        <w:keepLines/>
        <w:ind w:left="312" w:hanging="227"/>
      </w:pPr>
      <w:r>
        <w:t xml:space="preserve">1. </w:t>
      </w:r>
      <w:r>
        <w:t>Celem Regulaminu jest wyłonienie możliwie najsilniejszej reprezentacji Polski weteranów w szermierce. Równe traktowanie zawodników oraz przejrzystość zasad stanowią podstawę przyjętego procesu wyłaniania reprezentacji.</w:t>
      </w:r>
    </w:p>
    <w:p>
      <w:pPr>
        <w:ind w:left="312" w:hanging="227"/>
      </w:pPr>
      <w:r>
        <w:t xml:space="preserve">2. </w:t>
      </w:r>
      <w:r>
        <w:t>Proces wyłaniania reprezentacji opiera się na następujących zasadach:</w:t>
      </w:r>
    </w:p>
    <w:p>
      <w:pPr>
        <w:ind w:left="595" w:hanging="255"/>
      </w:pPr>
      <w:r>
        <w:t xml:space="preserve">1) </w:t>
      </w:r>
      <w:r>
        <w:rPr>
          <w:b/>
        </w:rPr>
        <w:t>szerokiego wyboru zawodów</w:t>
      </w:r>
      <w:r>
        <w:t xml:space="preserve"> – w rankingu indywidualnym uwzględnia się wyniki uzyskane w zawodach ujętych w kalendarzach SPWS, PZSz, EVF i FIE, na zasadach określonych w § 5 ust. 1;</w:t>
      </w:r>
    </w:p>
    <w:p>
      <w:pPr>
        <w:ind w:left="595" w:hanging="255"/>
      </w:pPr>
      <w:r>
        <w:t xml:space="preserve">2) </w:t>
      </w:r>
      <w:r>
        <w:rPr>
          <w:b/>
        </w:rPr>
        <w:t>powołania do startów indywidualnych wyłącznie na podstawie rankingu</w:t>
      </w:r>
      <w:r>
        <w:t xml:space="preserve"> – do startu indywidualnego powołuje się czterech najwyżej sklasyfikowanych zawodników w rankingu właściwym dla danej broni, płci i kategorii wiekowej. Zawodnik z zerowym dorobkiem punktowym nie może zostać powołany do reprezentacji. Wyjątek stanowi powołanie uzupełniające, o którym mowa w § 4 ust. 5.</w:t>
      </w:r>
    </w:p>
    <w:p>
      <w:pPr>
        <w:pStyle w:val="Etykietarozdzialu"/>
        <w:pageBreakBefore/>
      </w:pPr>
      <w:r>
        <w:t>Rozdział 2</w:t>
      </w:r>
    </w:p>
    <w:p>
      <w:bookmarkStart w:id="239877509" w:name="_Toc239877509"/>
      <w:pPr>
        <w:pStyle w:val="Heading1"/>
        <w:jc w:val="center"/>
      </w:pPr>
      <w:r>
        <w:t>Ranking indywidualny</w:t>
      </w:r>
      <w:bookmarkEnd w:id="239877509"/>
    </w:p>
    <w:p>
      <w:pPr>
        <w:pStyle w:val="Paragraf"/>
        <w:keepNext/>
      </w:pPr>
      <w:r>
        <w:t>§ 4</w:t>
      </w:r>
    </w:p>
    <w:p>
      <w:pPr>
        <w:pStyle w:val="Tytułparagrafu"/>
        <w:keepNext/>
      </w:pPr>
      <w:r>
        <w:t>Rola rankingu indywidualnego</w:t>
      </w:r>
    </w:p>
    <w:p>
      <w:pPr>
        <w:keepLines/>
        <w:ind w:left="312" w:hanging="227"/>
      </w:pPr>
      <w:r>
        <w:t xml:space="preserve">1. </w:t>
      </w:r>
      <w:r>
        <w:t>Ranking indywidualny stanowi podstawę kwalifikowania zawodników do startów indywidualnych oraz wyłonienia puli kandydatów do składu drużyny.</w:t>
      </w:r>
    </w:p>
    <w:p>
      <w:pPr>
        <w:ind w:left="312" w:hanging="227"/>
      </w:pPr>
      <w:r>
        <w:t xml:space="preserve">2. </w:t>
      </w:r>
      <w:r>
        <w:t>Ranking indywidualny wyznacza pulę kandydatów do drużyny oraz zapewnia miejsce w jej składzie najwyżej sklasyfikowanemu zawodnikowi z każdej z dwóch kategorii wiekowych objętych daną kategorią drużynową. Pozostałych zawodników drużyny, a w przypadku Drużynowych Mistrzostw Europy także zawodnika rezerwowego, wybiera zespół pełniący funkcję selekcjonera, na zasadach określonych w rozdziale 4.</w:t>
      </w:r>
    </w:p>
    <w:p>
      <w:pPr>
        <w:ind w:left="312" w:hanging="227"/>
      </w:pPr>
      <w:r>
        <w:t xml:space="preserve">3. </w:t>
      </w:r>
      <w:r>
        <w:t>Zawodnik samodzielnie wybiera zawody, w których bierze udział. Warunkiem uwzględnienia go w rankingu indywidualnym jest co najmniej jeden start w Pucharze Polski Weteranów w Szermierce albo Mistrzostwach Polski Weteranów w Szermierce.</w:t>
      </w:r>
    </w:p>
    <w:p>
      <w:pPr>
        <w:ind w:left="312" w:hanging="227"/>
      </w:pPr>
      <w:r>
        <w:t xml:space="preserve">4. </w:t>
      </w:r>
      <w:r>
        <w:t>Z zastrzeżeniem § 4 ust. 5, do reprezentacji Polski na limitowane zawody międzynarodowe może zostać powołany wyłącznie zawodnik, który wystartował w co najmniej jednych zawodach uwzględnianych w rankingu indywidualnym i uzyskał w nim dorobek większy niż zero punktów.</w:t>
      </w:r>
    </w:p>
    <w:p>
      <w:pPr>
        <w:ind w:left="312" w:hanging="227"/>
      </w:pPr>
      <w:r>
        <w:t xml:space="preserve">5. </w:t>
      </w:r>
      <w:r>
        <w:t>W zawodach innych niż Drużynowe Mistrzostwa Świata i Drużynowe Mistrzostwa Europy, w przypadku gdy nie jest możliwe skompletowanie drużyny z zawodników posiadających dodatni dorobek punktowy, dopuszcza się powołanie uzupełniające zawodnika bez punktów rankingowych, jeżeli łącznie:</w:t>
      </w:r>
    </w:p>
    <w:p>
      <w:pPr>
        <w:ind w:left="595" w:hanging="255"/>
      </w:pPr>
      <w:r>
        <w:t xml:space="preserve">1) </w:t>
      </w:r>
      <w:r>
        <w:t>powołanie jest niezbędne do wystawienia kompletnej drużyny zgodnej z przepisami zawodów;</w:t>
      </w:r>
    </w:p>
    <w:p>
      <w:pPr>
        <w:ind w:left="595" w:hanging="255"/>
      </w:pPr>
      <w:r>
        <w:t xml:space="preserve">2) </w:t>
      </w:r>
      <w:r>
        <w:t>możliwość startu zaoferowano wszystkim dostępnym zawodnikom posiadającym dodatni dorobek punktowy, spełniającym wymagania dotyczące broni, płci i kategorii wiekowej;</w:t>
      </w:r>
    </w:p>
    <w:p>
      <w:pPr>
        <w:ind w:left="595" w:hanging="255"/>
      </w:pPr>
      <w:r>
        <w:t xml:space="preserve">3) </w:t>
      </w:r>
      <w:r>
        <w:t>żaden z zawodników, o których mowa w § 4 ust. 5 pkt 2, nie potwierdził gotowości do udziału;</w:t>
      </w:r>
    </w:p>
    <w:p>
      <w:pPr>
        <w:ind w:left="595" w:hanging="255"/>
      </w:pPr>
      <w:r>
        <w:t xml:space="preserve">4) </w:t>
      </w:r>
      <w:r>
        <w:t>powoływana osoba spełnia wszystkie formalne warunki udziału określone przez organizatora zawodów.</w:t>
      </w:r>
    </w:p>
    <w:p>
      <w:pPr>
        <w:pStyle w:val="Paragraf"/>
        <w:keepNext/>
      </w:pPr>
      <w:r>
        <w:t>§ 5</w:t>
      </w:r>
    </w:p>
    <w:p>
      <w:pPr>
        <w:pStyle w:val="Tytułparagrafu"/>
        <w:keepNext/>
      </w:pPr>
      <w:r>
        <w:t>Zawody uwzględniane w rankingu</w:t>
      </w:r>
    </w:p>
    <w:p>
      <w:pPr>
        <w:keepLines/>
        <w:ind w:left="312" w:hanging="227"/>
      </w:pPr>
      <w:r>
        <w:t xml:space="preserve">1. </w:t>
      </w:r>
      <w:r>
        <w:t>W sezonie 2026/2027 w rankingu indywidualnym uwzględnia się wyniki uzyskane w następujących cyklach i zawodach:</w:t>
      </w:r>
    </w:p>
    <w:p>
      <w:pPr>
        <w:ind w:left="595" w:hanging="255"/>
      </w:pPr>
      <w:r>
        <w:t xml:space="preserve">1) </w:t>
      </w:r>
      <w:r>
        <w:t>Pucharze Polski Weteranów w Szermierce oraz Mistrzostwach Polski Weteranów w Szermierce, organizowanych przez SPWS albo przez inny podmiot na zasadach określonych w § 5 ust. 2;</w:t>
      </w:r>
    </w:p>
    <w:p>
      <w:pPr>
        <w:ind w:left="595" w:hanging="255"/>
      </w:pPr>
      <w:r>
        <w:t xml:space="preserve">2) </w:t>
      </w:r>
      <w:r>
        <w:t>Pucharze Polski Seniorów w Szermierce oraz Mistrzostwach Polski Seniorów w Szermierce, ujętych w oficjalnym kalendarzu PZSz;</w:t>
      </w:r>
    </w:p>
    <w:p>
      <w:pPr>
        <w:ind w:left="595" w:hanging="255"/>
      </w:pPr>
      <w:r>
        <w:t xml:space="preserve">3) </w:t>
      </w:r>
      <w:r>
        <w:t>Pucharze Europy Weteranów w Szermierce oraz Mistrzostwach Europy Weteranów w Szermierce, ujętych w oficjalnym kalendarzu EVF;</w:t>
      </w:r>
    </w:p>
    <w:p>
      <w:pPr>
        <w:ind w:left="595" w:hanging="255"/>
      </w:pPr>
      <w:r>
        <w:t xml:space="preserve">4) </w:t>
      </w:r>
      <w:r>
        <w:t>Pucharze Świata Weteranów w Szermierce – o ile zawody tego cyklu zostaną rozegrane – oraz Mistrzostwach Świata Weteranów w Szermierce, ujętych w oficjalnym kalendarzu FIE.</w:t>
      </w:r>
    </w:p>
    <w:p>
      <w:pPr>
        <w:ind w:left="312" w:hanging="227"/>
      </w:pPr>
      <w:r>
        <w:t xml:space="preserve">2. </w:t>
      </w:r>
      <w:r>
        <w:t>Zawody organizowane przez podmiot inny niż SPWS mogą zostać zaliczone do cyklu Pucharu Polski Weteranów w Szermierce, jeżeli łącznie spełniają następujące warunki:</w:t>
      </w:r>
    </w:p>
    <w:p>
      <w:pPr>
        <w:ind w:left="595" w:hanging="255"/>
      </w:pPr>
      <w:r>
        <w:t xml:space="preserve">1) </w:t>
      </w:r>
      <w:r>
        <w:t>przed ich rozegraniem zostały zatwierdzone przez SPWS i ujęte w opublikowanym kalendarzu cyklu;</w:t>
      </w:r>
    </w:p>
    <w:p>
      <w:pPr>
        <w:ind w:left="595" w:hanging="255"/>
      </w:pPr>
      <w:r>
        <w:t xml:space="preserve">2) </w:t>
      </w:r>
      <w:r>
        <w:t>komunikat organizacyjny zawodów został opublikowany w ogólnodostępnym serwisie internetowym, bez konieczności logowania, najpóźniej 30 dni przed pierwszym dniem zawodów;</w:t>
      </w:r>
    </w:p>
    <w:p>
      <w:pPr>
        <w:ind w:left="595" w:hanging="255"/>
      </w:pPr>
      <w:r>
        <w:t xml:space="preserve">3) </w:t>
      </w:r>
      <w:r>
        <w:t>prawo zgłoszenia do udziału przysługuje wszystkim zawodnikom spełniającym kryterium wieku właściwe dla weteranów szermierki, niezależnie od obywatelstwa, miejsca zamieszkania, przynależności klubowej oraz państwa, w którym uprawiają szermierkę;</w:t>
      </w:r>
    </w:p>
    <w:p>
      <w:pPr>
        <w:ind w:left="595" w:hanging="255"/>
      </w:pPr>
      <w:r>
        <w:t xml:space="preserve">4) </w:t>
      </w:r>
      <w:r>
        <w:t>zawody są rozgrywane według formuły sportowej zgodnej z regulaminami lub przepisami zawodów stosowanymi przez SPWS, PZSz, EVF albo FIE, przy czym właściwa formuła musi zostać wskazana w komunikacie organizacyjnym;</w:t>
      </w:r>
    </w:p>
    <w:p>
      <w:pPr>
        <w:ind w:left="595" w:hanging="255"/>
      </w:pPr>
      <w:r>
        <w:t xml:space="preserve">5) </w:t>
      </w:r>
      <w:r>
        <w:t>zawody są rozgrywane w kategoriach wieku, broni i płci określonych w komunikacie organizacyjnym i zgodnych z wybraną formułą sportową;</w:t>
      </w:r>
    </w:p>
    <w:p>
      <w:pPr>
        <w:ind w:left="595" w:hanging="255"/>
      </w:pPr>
      <w:r>
        <w:t xml:space="preserve">6) </w:t>
      </w:r>
      <w:r>
        <w:t>po zakończeniu zawodów organizator publikuje w serwisie internetowym kompletne protokoły wszystkich rozegranych walk, obejmujące fazę grupową oraz eliminację bezpośrednią, wraz z klasyfikacją końcową i liczbą uczestników, zapewniając publiczny i nieodpłatny dostęp do tych materiałów;</w:t>
      </w:r>
    </w:p>
    <w:p>
      <w:pPr>
        <w:ind w:left="595" w:hanging="255"/>
      </w:pPr>
      <w:r>
        <w:t xml:space="preserve">7) </w:t>
      </w:r>
      <w:r>
        <w:t>protokoły i wyniki, o których mowa w § 5 ust. 2 pkt 6, pozostają dostępne online przez co najmniej 36 miesięcy od dnia zakończenia zawodów.</w:t>
      </w:r>
    </w:p>
    <w:p>
      <w:pPr>
        <w:ind w:left="312" w:hanging="227"/>
      </w:pPr>
      <w:r>
        <w:t xml:space="preserve">3. </w:t>
      </w:r>
      <w:r>
        <w:t>Łączna liczba punktów zawodnika w rankingu indywidualnym jest sumą punktów przypisanych do ośmiu pozycji wynikowych:</w:t>
      </w:r>
    </w:p>
    <w:p>
      <w:pPr>
        <w:ind w:left="595" w:hanging="255"/>
      </w:pPr>
      <w:r>
        <w:t xml:space="preserve">1) </w:t>
      </w:r>
      <w:r>
        <w:t>trzech obowiązkowych pozycji krajowych;</w:t>
      </w:r>
    </w:p>
    <w:p>
      <w:pPr>
        <w:ind w:left="595" w:hanging="255"/>
      </w:pPr>
      <w:r>
        <w:t xml:space="preserve">2) </w:t>
      </w:r>
      <w:r>
        <w:t>pięciu pozycji otwartych.</w:t>
      </w:r>
    </w:p>
    <w:p>
      <w:pPr>
        <w:ind w:left="312" w:hanging="227"/>
      </w:pPr>
      <w:r>
        <w:t xml:space="preserve">4. </w:t>
      </w:r>
      <w:r>
        <w:t>Trzy obowiązkowe pozycje krajowe wypełnia się wynikami uzyskanymi w zawodach Pucharu Polski Weteranów w Szermierce oraz Mistrzostwach Polski Weteranów w Szermierce, według następujących zasad:</w:t>
      </w:r>
    </w:p>
    <w:p>
      <w:pPr>
        <w:ind w:left="595" w:hanging="255"/>
      </w:pPr>
      <w:r>
        <w:t xml:space="preserve">1) </w:t>
      </w:r>
      <w:r>
        <w:t>spośród wszystkich wyników uzyskanych przez zawodnika w tych zawodach wybiera się trzy wyniki, za które zawodnik otrzymał najwyższą liczbę punktów rankingowych;</w:t>
      </w:r>
    </w:p>
    <w:p>
      <w:pPr>
        <w:ind w:left="595" w:hanging="255"/>
      </w:pPr>
      <w:r>
        <w:t xml:space="preserve">2) </w:t>
      </w:r>
      <w:r>
        <w:t>jeżeli zawodnik uzyskał mniej niż trzy wyniki w Pucharze Polski Weteranów w Szermierce lub Mistrzostwach Polski Weteranów w Szermierce, za każdą niewypełnioną obowiązkową pozycję krajową przyjmuje się zero punktów rankingowych.</w:t>
      </w:r>
    </w:p>
    <w:p>
      <w:pPr>
        <w:ind w:left="312" w:hanging="227"/>
      </w:pPr>
      <w:r>
        <w:t xml:space="preserve">5. </w:t>
      </w:r>
      <w:r>
        <w:t>Na pięć pozycji otwartych składa się pięć najwyżej punktowanych spośród pozostałych wyników zawodnika uwzględnianych w rankingu.</w:t>
      </w:r>
    </w:p>
    <w:p>
      <w:pPr>
        <w:ind w:left="312" w:hanging="227"/>
      </w:pPr>
      <w:r>
        <w:t xml:space="preserve">6. </w:t>
      </w:r>
      <w:r>
        <w:t>Najpierw wybiera się wyniki wypełniające trzy obowiązkowe pozycje krajowe, a następnie wyniki wypełniające pięć pozycji otwartych.</w:t>
      </w:r>
    </w:p>
    <w:p>
      <w:pPr>
        <w:ind w:left="312" w:hanging="227"/>
      </w:pPr>
      <w:r>
        <w:t xml:space="preserve">7. </w:t>
      </w:r>
      <w:r>
        <w:t>Żaden wynik nie może zostać policzony dwukrotnie.</w:t>
      </w:r>
    </w:p>
    <w:p>
      <w:pPr>
        <w:pStyle w:val="Paragraf"/>
        <w:keepNext/>
      </w:pPr>
      <w:r>
        <w:t>§ 6</w:t>
      </w:r>
    </w:p>
    <w:p>
      <w:pPr>
        <w:pStyle w:val="Tytułparagrafu"/>
        <w:keepNext/>
      </w:pPr>
      <w:r>
        <w:t>Zasady obliczania punktów</w:t>
      </w:r>
    </w:p>
    <w:p>
      <w:pPr>
        <w:keepLines/>
        <w:ind w:left="312" w:hanging="227"/>
      </w:pPr>
      <w:r>
        <w:t xml:space="preserve">1. </w:t>
      </w:r>
      <w:r>
        <w:t>Liczba punktów przyznawanych za wynik uzyskany w zawodach zależy od zajętego miejsca, liczby zawodników w stawce oraz współczynnika rangi określonego dla danego rodzaju zawodów.</w:t>
      </w:r>
    </w:p>
    <w:p>
      <w:pPr>
        <w:keepNext/>
        <w:ind w:left="312" w:hanging="227"/>
      </w:pPr>
      <w:r>
        <w:t xml:space="preserve">2. </w:t>
      </w:r>
      <w:r>
        <w:t>W sezonie 2026/2027 stosuje się następujące współczynniki rangi zawodów.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6350"/>
        <w:gridCol w:w="1814"/>
      </w:tblGrid>
      <w:tr>
        <w:trPr>
          <w:tblHeader w:val="true"/>
          <w:cantSplit/>
        </w:trPr>
        <w:tc>
          <w:tcPr>
            <w:tcW w:type="dxa" w:w="1247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Skrót</w:t>
            </w:r>
          </w:p>
        </w:tc>
        <w:tc>
          <w:tcPr>
            <w:tcW w:type="dxa" w:w="6350"/>
            <w:vAlign w:val="center"/>
            <w:shd w:fill="173F73"/>
          </w:tcPr>
          <w:p>
            <w:pPr>
              <w:keepNext/>
              <w:jc w:val="left"/>
            </w:pPr>
            <w:r>
              <w:rPr>
                <w:b/>
                <w:color w:val="FFFFFF"/>
                <w:sz w:val="18"/>
              </w:rPr>
              <w:t>Rodzaj zawodów</w:t>
            </w:r>
          </w:p>
        </w:tc>
        <w:tc>
          <w:tcPr>
            <w:tcW w:type="dxa" w:w="1814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Współczynnik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1,0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PPS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Seniorów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MPS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Seniorów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PEW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Europy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MEW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Europy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PSW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Świata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MŚW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 w:val="0"/>
              <w:spacing w:after="0"/>
              <w:jc w:val="left"/>
            </w:pPr>
            <w:r>
              <w:rPr>
                <w:sz w:val="18"/>
              </w:rPr>
              <w:t>Mistrzostwa Świata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1,4</w:t>
            </w:r>
          </w:p>
        </w:tc>
      </w:tr>
    </w:tbl>
    <w:p>
      <w:pPr/>
    </w:p>
    <w:p>
      <w:pPr>
        <w:ind w:left="312" w:hanging="227"/>
      </w:pPr>
      <w:r>
        <w:t xml:space="preserve">3. </w:t>
      </w:r>
      <w:r>
        <w:t>Tabela punktacji dla stawki liczącej od 4 do 40 zawodników stanowi załącznik nr 1 do Regulaminu. Pełną tabelę punktacji dla stawki liczącej od 4 do 300 zawodników SPWS publikuje na swojej stronie internetowej.</w:t>
      </w:r>
    </w:p>
    <w:p>
      <w:pPr>
        <w:ind w:left="312" w:hanging="227"/>
      </w:pPr>
      <w:r>
        <w:t xml:space="preserve">4. </w:t>
      </w:r>
      <w:r>
        <w:t>SPWS zapewnia publiczny i nieodpłatny dostęp do kalkulatora punktów, umożliwiającego sprawdzenie liczby punktów przyznawanych za konkretny wynik uzyskany w zawodach.</w:t>
      </w:r>
    </w:p>
    <w:p>
      <w:pPr>
        <w:pStyle w:val="Paragraf"/>
        <w:keepNext/>
      </w:pPr>
      <w:r>
        <w:t>§ 7</w:t>
      </w:r>
    </w:p>
    <w:p>
      <w:pPr>
        <w:pStyle w:val="Tytułparagrafu"/>
        <w:keepNext/>
      </w:pPr>
      <w:r>
        <w:t>Publikacja rankingu</w:t>
      </w:r>
    </w:p>
    <w:p>
      <w:pPr>
        <w:keepLines/>
        <w:ind w:left="85"/>
      </w:pPr>
      <w:r>
        <w:t>Ranking indywidualny oraz kalkulator punktów są publikowane na stronie internetowej.</w:t>
      </w:r>
    </w:p>
    <w:p>
      <w:pPr>
        <w:pStyle w:val="Paragraf"/>
        <w:keepNext/>
      </w:pPr>
      <w:r>
        <w:t>§ 8</w:t>
      </w:r>
    </w:p>
    <w:p>
      <w:pPr>
        <w:pStyle w:val="Tytułparagrafu"/>
        <w:keepNext/>
      </w:pPr>
      <w:r>
        <w:t>Wyniki w połączonych kategoriach wiekowych</w:t>
      </w:r>
    </w:p>
    <w:p>
      <w:pPr>
        <w:keepLines/>
        <w:ind w:left="312" w:hanging="227"/>
      </w:pPr>
      <w:r>
        <w:t xml:space="preserve">1. </w:t>
      </w:r>
      <w:r>
        <w:t>W przypadku zawodów rozgrywanych w połączonych kategoriach wiekowych wyniki przypisuje się zgodnie z zajętym miejscem, bez dodatkowego rozdzielania kategorii w celu obliczenia punktów rankingowych.</w:t>
      </w:r>
    </w:p>
    <w:p>
      <w:pPr>
        <w:pStyle w:val="Paragraf"/>
        <w:keepNext/>
      </w:pPr>
      <w:r>
        <w:t>§ 9</w:t>
      </w:r>
    </w:p>
    <w:p>
      <w:pPr>
        <w:pStyle w:val="Tytułparagrafu"/>
        <w:keepNext/>
      </w:pPr>
      <w:r>
        <w:t>Zawodnicy uwzględniani w rankingu</w:t>
      </w:r>
    </w:p>
    <w:p>
      <w:pPr>
        <w:keepLines/>
        <w:ind w:left="312" w:hanging="227"/>
      </w:pPr>
      <w:r>
        <w:t xml:space="preserve">1. </w:t>
      </w:r>
      <w:r>
        <w:t>W rankingu indywidualnym uwzględnia się wyłącznie weteranów szermierki, którzy co najmniej raz wystartowali w zawodach Pucharu Polski Weteranów w Szermierce albo Mistrzostwach Polski Weteranów w Szermierce.</w:t>
      </w:r>
    </w:p>
    <w:p>
      <w:pPr>
        <w:ind w:left="312" w:hanging="227"/>
      </w:pPr>
      <w:r>
        <w:t xml:space="preserve">2. </w:t>
      </w:r>
      <w:r>
        <w:t>Przy ustalaniu kolejności zawodników do powołania do reprezentacji Polski uwzględnia się wyłącznie zawodników posiadających polskie obywatelstwo albo kartę pobytu.</w:t>
      </w:r>
    </w:p>
    <w:p>
      <w:pPr>
        <w:ind w:left="312" w:hanging="227"/>
      </w:pPr>
      <w:r>
        <w:t xml:space="preserve">3. </w:t>
      </w:r>
      <w:r>
        <w:t>Punkty uzyskane w zawodach organizowanych przez EVF albo FIE uwzględnia się wyłącznie, jeżeli zawodnik wystąpił w tych zawodach jako reprezentant Polski.</w:t>
      </w:r>
    </w:p>
    <w:p>
      <w:pPr>
        <w:pStyle w:val="Etykietarozdzialu"/>
        <w:pageBreakBefore/>
      </w:pPr>
      <w:r>
        <w:t>Rozdział 3</w:t>
      </w:r>
    </w:p>
    <w:p>
      <w:bookmarkStart w:id="239877510" w:name="_Toc239877510"/>
      <w:pPr>
        <w:pStyle w:val="Heading1"/>
        <w:jc w:val="center"/>
      </w:pPr>
      <w:r>
        <w:t>Powołania do startów indywidualnych</w:t>
      </w:r>
      <w:bookmarkEnd w:id="239877510"/>
    </w:p>
    <w:p>
      <w:pPr>
        <w:pStyle w:val="Paragraf"/>
        <w:keepNext/>
      </w:pPr>
      <w:r>
        <w:t>§ 10</w:t>
      </w:r>
    </w:p>
    <w:p>
      <w:pPr>
        <w:pStyle w:val="Tytułparagrafu"/>
        <w:keepNext/>
      </w:pPr>
      <w:r>
        <w:t>Zasady powołań indywidualnych</w:t>
      </w:r>
    </w:p>
    <w:p>
      <w:pPr>
        <w:keepLines/>
        <w:ind w:left="85"/>
      </w:pPr>
      <w:r>
        <w:t>Do startu indywidualnego w limitowanych zawodach międzynarodowych powołuje się czterech najwyżej sklasyfikowanych zawodników w rankingu właściwym dla danej broni, płci i kategorii wiekowej, z uwzględnieniem warunku dodatniego dorobku punktowego określonego w § 4 ust. 4.</w:t>
      </w:r>
    </w:p>
    <w:p>
      <w:pPr>
        <w:pStyle w:val="Paragraf"/>
        <w:keepNext/>
      </w:pPr>
      <w:r>
        <w:t>§ 11</w:t>
      </w:r>
    </w:p>
    <w:p>
      <w:pPr>
        <w:pStyle w:val="Tytułparagrafu"/>
        <w:keepNext/>
      </w:pPr>
      <w:r>
        <w:t>Rezygnacja i zastępstwo</w:t>
      </w:r>
    </w:p>
    <w:p>
      <w:pPr>
        <w:keepLines/>
        <w:ind w:left="85"/>
      </w:pPr>
      <w:r>
        <w:t>W przypadku rezygnacji zawodnika z udziału w zawodach indywidualnych jego miejsce przechodzi na kolejnego zawodnika zgodnie z aktualnym rankingiem indywidualnym.</w:t>
      </w:r>
    </w:p>
    <w:p>
      <w:pPr>
        <w:pStyle w:val="Etykietarozdzialu"/>
        <w:pageBreakBefore/>
      </w:pPr>
      <w:r>
        <w:t>Rozdział 4</w:t>
      </w:r>
    </w:p>
    <w:p>
      <w:bookmarkStart w:id="239877511" w:name="_Toc239877511"/>
      <w:pPr>
        <w:pStyle w:val="Heading1"/>
        <w:jc w:val="center"/>
      </w:pPr>
      <w:r>
        <w:t>Dobór składu drużyny</w:t>
      </w:r>
      <w:bookmarkEnd w:id="239877511"/>
    </w:p>
    <w:p>
      <w:pPr>
        <w:pStyle w:val="Paragraf"/>
        <w:keepNext/>
      </w:pPr>
      <w:r>
        <w:t>§ 12</w:t>
      </w:r>
    </w:p>
    <w:p>
      <w:pPr>
        <w:pStyle w:val="Tytułparagrafu"/>
        <w:keepNext/>
      </w:pPr>
      <w:r>
        <w:t>Pula kandydatów do drużyny</w:t>
      </w:r>
    </w:p>
    <w:p>
      <w:pPr>
        <w:keepLines/>
        <w:ind w:left="312" w:hanging="227"/>
      </w:pPr>
      <w:r>
        <w:t xml:space="preserve">1. </w:t>
      </w:r>
      <w:r>
        <w:t>Ranking indywidualny weteranów przyjęty dla danego cyklu powołań wyznacza pulę kandydatów do drużyny właściwą dla danej broni, płci i kategorii drużynowej. Na Mistrzostwa Świata pula obejmuje po czterech zawodników z każdej z dwóch kategorii wiekowych, a na Mistrzostwa Europy — po sześciu.</w:t>
      </w:r>
    </w:p>
    <w:p>
      <w:pPr>
        <w:ind w:left="312" w:hanging="227"/>
      </w:pPr>
      <w:r>
        <w:t xml:space="preserve">2. </w:t>
      </w:r>
      <w:r>
        <w:t>W przypadku rezygnacji zawodnika z udziału w puli kandydatów jego miejsce zajmuje kolejny zawodnik w rankingu indywidualnym jego kategorii wiekowej.</w:t>
      </w:r>
    </w:p>
    <w:p>
      <w:pPr>
        <w:ind w:left="312" w:hanging="227"/>
      </w:pPr>
      <w:r>
        <w:t xml:space="preserve">3. </w:t>
      </w:r>
      <w:r>
        <w:t>Skład drużyny, a na Drużynowe Mistrzostwa Europy także zawodnika rezerwowego, wybiera się wyłącznie spośród zawodników należących do właściwej puli.</w:t>
      </w:r>
    </w:p>
    <w:p>
      <w:pPr>
        <w:pStyle w:val="Paragraf"/>
        <w:keepNext/>
      </w:pPr>
      <w:r>
        <w:t>§ 13</w:t>
      </w:r>
    </w:p>
    <w:p>
      <w:pPr>
        <w:pStyle w:val="Tytułparagrafu"/>
        <w:keepNext/>
      </w:pPr>
      <w:r>
        <w:t>Kategorie wiekowe w drużynie</w:t>
      </w:r>
    </w:p>
    <w:p>
      <w:pPr>
        <w:keepLines/>
        <w:ind w:left="85"/>
      </w:pPr>
      <w:r>
        <w:t>W rozgrywkach drużynowych zawody są rozgrywane w kategoriach Weteran, obejmującej kategorie 1 i 2, oraz Grand Weteran, obejmującej kategorie 3 i 4. Drużynę kompletuje się z udziałem zawodników obu właściwych kategorii wiekowych; co najmniej jeden zawodnik powinien należeć do kategorii wyższej, a preferowany jest udział dwóch takich zawodników.</w:t>
      </w:r>
    </w:p>
    <w:p>
      <w:pPr>
        <w:pStyle w:val="Paragraf"/>
        <w:keepNext/>
      </w:pPr>
      <w:r>
        <w:t>§ 14</w:t>
      </w:r>
    </w:p>
    <w:p>
      <w:pPr>
        <w:pStyle w:val="Tytułparagrafu"/>
        <w:keepNext/>
      </w:pPr>
      <w:r>
        <w:t>Drużynowe Mistrzostwa Świata</w:t>
      </w:r>
    </w:p>
    <w:p>
      <w:pPr>
        <w:keepLines/>
        <w:ind w:left="312" w:hanging="227"/>
      </w:pPr>
      <w:r>
        <w:t xml:space="preserve">1. </w:t>
      </w:r>
      <w:r>
        <w:t>Pulę kandydatów do drużyny tworzy ośmiu zawodników nominowanych do startu indywidualnego: po czterech zawodników z każdej z dwóch kategorii wiekowych objętych daną kategorią drużynową. Podstawą wyłonienia puli jest ranking indywidualny weteranów przyjęty dla danego cyklu powołań.</w:t>
      </w:r>
    </w:p>
    <w:p>
      <w:pPr>
        <w:ind w:left="312" w:hanging="227"/>
      </w:pPr>
      <w:r>
        <w:t xml:space="preserve">2. </w:t>
      </w:r>
      <w:r>
        <w:t>Najwyżej sklasyfikowany w tym rankingu zawodnik młodszej kategorii wiekowej oraz najwyżej sklasyfikowany zawodnik starszej kategorii wiekowej spośród zawodników należących do puli mają zapewnione miejsca w drużynie. Wyniki turnieju indywidualnego Mistrzostw Świata nie zmieniają tego uprawnienia.</w:t>
      </w:r>
    </w:p>
    <w:p>
      <w:pPr>
        <w:ind w:left="312" w:hanging="227"/>
      </w:pPr>
      <w:r>
        <w:t xml:space="preserve">3. </w:t>
      </w:r>
      <w:r>
        <w:t>Funkcję selekcjonera drużyny pełni zespół złożony z tych dwóch zawodników.</w:t>
      </w:r>
    </w:p>
    <w:p>
      <w:pPr>
        <w:ind w:left="312" w:hanging="227"/>
      </w:pPr>
      <w:r>
        <w:t xml:space="preserve">4. </w:t>
      </w:r>
      <w:r>
        <w:t>Pełny skład pięcioosobowej drużyny ustala się na miejscu podczas Mistrzostw Świata, po zakończeniu turnieju indywidualnego, w dniu poprzedzającym turniej drużynowy. Zespół pełniący funkcję selekcjonera wybiera trzech zawodników spośród pozostałych sześciu zawodników z puli, obecnych na mistrzostwach. Nie wyznacza się zawodnika rezerwowego. Trzej niewybrani zawodnicy nie uczestniczą w turnieju drużynowym.</w:t>
      </w:r>
    </w:p>
    <w:p>
      <w:pPr>
        <w:ind w:left="312" w:hanging="227"/>
      </w:pPr>
      <w:r>
        <w:t xml:space="preserve">5. </w:t>
      </w:r>
      <w:r>
        <w:t>Zespół ustala skład w drodze porozumienia, kierując się celem wystawienia możliwie najsilniejszej drużyny. Przy wyborze uwzględnia wyniki turnieju indywidualnego Mistrzostw Świata, osiągnięcia kandydatów w startach indywidualnych i drużynowych oraz wymagania dotyczące kategorii wiekowych.</w:t>
      </w:r>
    </w:p>
    <w:p>
      <w:pPr>
        <w:ind w:left="312" w:hanging="227"/>
      </w:pPr>
      <w:r>
        <w:t xml:space="preserve">6. </w:t>
      </w:r>
      <w:r>
        <w:t>W przypadku braku porozumienia do zespołu pełniącego funkcję selekcjonera dołącza Prezes SPWS. Jeżeli Prezes SPWS nie może uczestniczyć w pracach zespołu, wyznacza inną osobę do udziału w tych pracach w swoim imieniu.</w:t>
      </w:r>
    </w:p>
    <w:p>
      <w:pPr>
        <w:ind w:left="312" w:hanging="227"/>
      </w:pPr>
      <w:r>
        <w:t xml:space="preserve">7. </w:t>
      </w:r>
      <w:r>
        <w:t>Proponowany skład pięcioosobowej drużyny przedstawia się PZSz do akceptacji.</w:t>
      </w:r>
    </w:p>
    <w:p>
      <w:pPr>
        <w:pStyle w:val="Paragraf"/>
        <w:keepNext/>
      </w:pPr>
      <w:r>
        <w:t>§ 15</w:t>
      </w:r>
    </w:p>
    <w:p>
      <w:pPr>
        <w:pStyle w:val="Tytułparagrafu"/>
        <w:keepNext/>
      </w:pPr>
      <w:r>
        <w:t>Drużynowe Mistrzostwa Europy</w:t>
      </w:r>
    </w:p>
    <w:p>
      <w:pPr>
        <w:keepLines/>
        <w:ind w:left="312" w:hanging="227"/>
      </w:pPr>
      <w:r>
        <w:t xml:space="preserve">1. </w:t>
      </w:r>
      <w:r>
        <w:t>Pulę kandydatów do drużyny tworzy dwunastu zawodników: sześciu najwyżej sklasyfikowanych zawodników młodszej kategorii wiekowej oraz sześciu najwyżej sklasyfikowanych zawodników starszej kategorii wiekowej w rankingu indywidualnym weteranów właściwym dla danej broni i płci, przyjętym dla danego cyklu powołań.</w:t>
      </w:r>
    </w:p>
    <w:p>
      <w:pPr>
        <w:ind w:left="312" w:hanging="227"/>
      </w:pPr>
      <w:r>
        <w:t xml:space="preserve">2. </w:t>
      </w:r>
      <w:r>
        <w:t>Najwyżej sklasyfikowani zawodnicy młodszej i starszej kategorii wiekowej spośród zawodników należących do puli kandydatów mają zapewnione miejsca w składzie drużyny — po jednym zawodniku z każdej kategorii. Funkcję selekcjonera drużyny pełni zespół złożony z tych dwóch zawodników.</w:t>
      </w:r>
    </w:p>
    <w:p>
      <w:pPr>
        <w:ind w:left="312" w:hanging="227"/>
      </w:pPr>
      <w:r>
        <w:t xml:space="preserve">3. </w:t>
      </w:r>
      <w:r>
        <w:t>Zespół wybiera trzech kolejnych zawodników do składu drużyny oraz jednego zawodnika rezerwowego wyłącznie spośród pozostałych dziesięciu zawodników z puli kandydatów.</w:t>
      </w:r>
    </w:p>
    <w:p>
      <w:pPr>
        <w:ind w:left="312" w:hanging="227"/>
      </w:pPr>
      <w:r>
        <w:t xml:space="preserve">4. </w:t>
      </w:r>
      <w:r>
        <w:t>Zespół ustala skład w drodze porozumienia, kierując się celem wystawienia możliwie najsilniejszej drużyny, osiągnięciami kandydatów w startach indywidualnych i drużynowych oraz wymaganiami dotyczącymi kategorii wiekowych. Miejsce w rankingu indywidualnym nie przesądza o wyborze pozostałych zawodników do drużyny.</w:t>
      </w:r>
    </w:p>
    <w:p>
      <w:pPr>
        <w:ind w:left="312" w:hanging="227"/>
      </w:pPr>
      <w:r>
        <w:t xml:space="preserve">5. </w:t>
      </w:r>
      <w:r>
        <w:t>W przypadku braku porozumienia do zespołu pełniącego funkcję selekcjonera dołącza Prezes SPWS. Jeżeli Prezes SPWS nie może uczestniczyć w pracach zespołu, wyznacza inną osobę do udziału w tych pracach w swoim imieniu.</w:t>
      </w:r>
    </w:p>
    <w:p>
      <w:pPr>
        <w:ind w:left="312" w:hanging="227"/>
      </w:pPr>
      <w:r>
        <w:t xml:space="preserve">6. </w:t>
      </w:r>
      <w:r>
        <w:t>Proponowany skład pięcioosobowej drużyny wraz ze wskazaniem zawodnika rezerwowego przedstawia się PZSz do akceptacji.</w:t>
      </w:r>
    </w:p>
    <w:p>
      <w:pPr>
        <w:ind w:left="312" w:hanging="227"/>
      </w:pPr>
      <w:r>
        <w:t xml:space="preserve">7. </w:t>
      </w:r>
      <w:r>
        <w:t>W przypadku rezygnacji zawodnika z udziału w turnieju drużynowym jego miejsce zajmuje nominowany zawodnik rezerwowy, pod warunkiem zachowania wymagań dotyczących kategorii wiekowych drużyny.</w:t>
      </w:r>
    </w:p>
    <w:p>
      <w:pPr>
        <w:pStyle w:val="Paragraf"/>
        <w:keepNext/>
      </w:pPr>
      <w:r>
        <w:t>§ 16</w:t>
      </w:r>
    </w:p>
    <w:p>
      <w:pPr>
        <w:pStyle w:val="Tytułparagrafu"/>
        <w:keepNext/>
      </w:pPr>
      <w:r>
        <w:t>Powołanie uzupełniające</w:t>
      </w:r>
    </w:p>
    <w:p>
      <w:pPr>
        <w:keepLines/>
        <w:ind w:left="85"/>
      </w:pPr>
      <w:r>
        <w:t>Powołanie uzupełniające zawodnika bez dodatniego dorobku punktowego jest dopuszczalne wyłącznie na warunkach określonych w § 4 ust. 5. Powołania uzupełniającego nie stosuje się do Drużynowych Mistrzostw Świata ani Drużynowych Mistrzostw Europy; skład wybiera się wyłącznie z właściwej puli kandydatów.</w:t>
      </w:r>
    </w:p>
    <w:p>
      <w:pPr>
        <w:pStyle w:val="Etykietarozdzialu"/>
        <w:pageBreakBefore/>
      </w:pPr>
      <w:r>
        <w:t>Rozdział 5</w:t>
      </w:r>
    </w:p>
    <w:p>
      <w:bookmarkStart w:id="239877512" w:name="_Toc239877512"/>
      <w:pPr>
        <w:pStyle w:val="Heading1"/>
        <w:jc w:val="center"/>
      </w:pPr>
      <w:r>
        <w:t>Terminarz procesu powoływania</w:t>
      </w:r>
      <w:bookmarkEnd w:id="239877512"/>
    </w:p>
    <w:p>
      <w:pPr>
        <w:pStyle w:val="Paragraf"/>
        <w:keepNext/>
      </w:pPr>
      <w:r>
        <w:t>§ 17</w:t>
      </w:r>
    </w:p>
    <w:p>
      <w:pPr>
        <w:pStyle w:val="Tytułparagrafu"/>
        <w:keepNext/>
      </w:pPr>
      <w:r>
        <w:t>Terminy procesu</w:t>
      </w:r>
    </w:p>
    <w:p>
      <w:pPr>
        <w:keepLines/>
        <w:ind w:left="312" w:hanging="227"/>
      </w:pPr>
      <w:r>
        <w:t xml:space="preserve">1. </w:t>
      </w:r>
      <w:r>
        <w:t>Terminy procesu powoływania reprezentacji Polski liczy się w dniach kalendarzowych wstecz od pierwszego dnia zawodów, oznaczonego jako T. SPWS ogłasza na początku sezonu kalendarz procesu, w tym daty zamknięcia danych rankingowych, składania deklaracji gotowości, weryfikacji warunków i ogłoszenia nominacji.</w:t>
      </w:r>
    </w:p>
    <w:p>
      <w:pPr>
        <w:ind w:left="312" w:hanging="227"/>
      </w:pPr>
      <w:r>
        <w:t xml:space="preserve">2. </w:t>
      </w:r>
      <w:r>
        <w:t>Na 90 dni przed pierwszym dniem zawodów (T−90) SPWS otwiera proces powoływania, zamyka dane wynikowe wykorzystywane w tym cyklu, ogłasza zasady postępowania i wzywa zawodników do składania deklaracji gotowości. Wyniki uzyskane po tym dniu nie wpływają na kolejność kandydatów w tym cyklu, z zastrzeżeniem zasad ustalania ostatecznego składu drużyny na Mistrzostwa Świata.</w:t>
      </w:r>
    </w:p>
    <w:p>
      <w:pPr>
        <w:ind w:left="312" w:hanging="227"/>
      </w:pPr>
      <w:r>
        <w:t xml:space="preserve">3. </w:t>
      </w:r>
      <w:r>
        <w:t>Zawodnik składa deklarację gotowości od T−90 do T−75 włącznie.</w:t>
      </w:r>
    </w:p>
    <w:p>
      <w:pPr>
        <w:ind w:left="312" w:hanging="227"/>
      </w:pPr>
      <w:r>
        <w:t xml:space="preserve">4. </w:t>
      </w:r>
      <w:r>
        <w:t>Najpóźniej na 75 dni przed pierwszym dniem zawodów (T−75) SPWS udostępnia zawodnikom i ich trenerom projekty kart zawodników. Karta przedstawia wyniki przyjęte do oceny oraz podstawę proponowanej kolejności. Od T−75 do T−60 zawodnik może zgłaszać brakujące wyniki uzyskane nie później niż w T−90 oraz błędy w swoich danych.</w:t>
      </w:r>
    </w:p>
    <w:p>
      <w:pPr>
        <w:ind w:left="312" w:hanging="227"/>
      </w:pPr>
      <w:r>
        <w:t xml:space="preserve">5. </w:t>
      </w:r>
      <w:r>
        <w:t>Najpóźniej na 60 dni przed pierwszym dniem zawodów (T−60) SPWS przekazuje PZSz uszeregowaną propozycję kandydatów do reprezentacji Polski wraz z kartami, pisemnymi uzasadnieniami oraz propozycją obsadzenia każdej kategorii rozgrywanej w danych zawodach. Przed przekazaniem propozycji SPWS weryfikuje warunki uwzględnienia kandydatów i wprowadza zweryfikowane korekty danych.</w:t>
      </w:r>
    </w:p>
    <w:p>
      <w:pPr>
        <w:ind w:left="312" w:hanging="227"/>
      </w:pPr>
      <w:r>
        <w:t xml:space="preserve">6. </w:t>
      </w:r>
      <w:r>
        <w:t>Propozycja przekazywana PZSz w terminie T−60 wskazuje ośmioosobową pulę kandydatów do drużyny na Mistrzostwa Świata oraz dwóch zawodników mających zapewnione miejsca w jej składzie. Pozostałych trzech zawodników wybiera się na miejscu podczas mistrzostw, po zakończeniu turnieju indywidualnego, w dniu poprzedzającym turniej drużynowy. Nie wyznacza się zawodnika rezerwowego.</w:t>
      </w:r>
    </w:p>
    <w:p>
      <w:pPr>
        <w:ind w:left="312" w:hanging="227"/>
      </w:pPr>
      <w:r>
        <w:t xml:space="preserve">7. </w:t>
      </w:r>
      <w:r>
        <w:t>Propozycja przekazywana PZSz w terminie T−60 na Drużynowe Mistrzostwa Europy obejmuje skład pięcioosobowej drużyny wraz ze wskazaniem zawodnika rezerwowego.</w:t>
      </w:r>
    </w:p>
    <w:p>
      <w:pPr>
        <w:ind w:left="312" w:hanging="227"/>
      </w:pPr>
      <w:r>
        <w:t xml:space="preserve">8. </w:t>
      </w:r>
      <w:r>
        <w:t>SPWS odpowiada za zebranie i weryfikację wyników, przygotowanie kart zawodników, uszeregowanie kandydatów wraz z pisemnymi uzasadnieniami, rozpatrzenie reklamacji danych oraz przekazanie propozycji PZSz w terminie T−60.</w:t>
      </w:r>
    </w:p>
    <w:p>
      <w:pPr>
        <w:ind w:left="312" w:hanging="227"/>
      </w:pPr>
      <w:r>
        <w:t xml:space="preserve">9. </w:t>
      </w:r>
      <w:r>
        <w:t>PZSz dokonuje wyboru i nominacji zawodników oraz zgłoszenia imiennego. W przypadku odstępstwa od kolejności zaproponowanej przez SPWS PZSz podaje pisemnie przyczynę odstępstwa.</w:t>
      </w:r>
    </w:p>
    <w:p>
      <w:pPr>
        <w:ind w:left="312" w:hanging="227"/>
      </w:pPr>
      <w:r>
        <w:t xml:space="preserve">10. </w:t>
      </w:r>
      <w:r>
        <w:t>Reklamacja danych dotyczy błędów faktycznych, w szczególności pominięcia wyniku, błędnej pisowni nazwiska albo przypisania wyniku niewłaściwemu zawodnikowi. Korekta danych nie oznacza dopuszczenia wyników uzyskanych po T−90. Zweryfikowaną korektę wprowadza się do karty przed przekazaniem propozycji PZSz w T−60.</w:t>
      </w:r>
    </w:p>
    <w:p>
      <w:pPr>
        <w:ind w:left="312" w:hanging="227"/>
      </w:pPr>
      <w:r>
        <w:t xml:space="preserve">11. </w:t>
      </w:r>
      <w:r>
        <w:t>Po T−60 zawodnik może zgłosić zastrzeżenie do oceny lub uzasadnienia dotyczącego jego kandydatury. SPWS odpowiada pisemnie. Zgłoszenie zastrzeżenia nie wstrzymuje dalszego procesu powoływania.</w:t>
      </w:r>
    </w:p>
    <w:p>
      <w:pPr>
        <w:ind w:left="312" w:hanging="227"/>
      </w:pPr>
      <w:r>
        <w:t xml:space="preserve">12. </w:t>
      </w:r>
      <w:r>
        <w:t>Reklamacje, zastrzeżenia oraz odpowiedzi udostępnia się zainteresowanemu zawodnikowi i archiwizuje wraz z dokumentacją cyklu.</w:t>
      </w:r>
    </w:p>
    <w:p>
      <w:pPr>
        <w:ind w:left="312" w:hanging="227"/>
      </w:pPr>
      <w:r>
        <w:t xml:space="preserve">13. </w:t>
      </w:r>
      <w:r>
        <w:t>SPWS wykorzystuje oficjalne wyniki i protokoły zawodów uwzględnianych w rankingu: PPW i MPW, zawodów PZSz, EVF oraz FIE. Każdy wynik ujęty w karcie zawodnika zawiera odnośnik do publicznego protokołu stanowiącego jego źródło.</w:t>
      </w:r>
    </w:p>
    <w:p>
      <w:pPr>
        <w:ind w:left="312" w:hanging="227"/>
      </w:pPr>
      <w:r>
        <w:t xml:space="preserve">14. </w:t>
      </w:r>
      <w:r>
        <w:t>SPWS archiwizuje stan danych z T−90, późniejsze korekty wraz z ich uzasadnieniem oraz ostateczną wersję propozycji przekazaną PZSz. Dokumentacja obejmuje karty zawodników, deklaracje gotowości, uzasadnienia, reklamacje, zastrzeżenia i odpowiedzi oraz pozwala odtworzyć podstawę przekazanej propozycji. Dokumentację ostatecznego wyboru drużyny na Mistrzostwa Świata uzupełnia się po zakończeniu rywalizacji indywidualnej.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vAlign w:val="center"/>
            <w:shd w:fill="173F73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T−90</w:t>
            </w:r>
          </w:p>
        </w:tc>
        <w:tc>
          <w:tcPr>
            <w:tcW w:type="dxa" w:w="2268"/>
            <w:vAlign w:val="center"/>
            <w:shd w:fill="875600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T−75</w:t>
            </w:r>
          </w:p>
        </w:tc>
        <w:tc>
          <w:tcPr>
            <w:tcW w:type="dxa" w:w="2268"/>
            <w:vAlign w:val="center"/>
            <w:shd w:fill="176342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T−60</w:t>
            </w:r>
          </w:p>
        </w:tc>
        <w:tc>
          <w:tcPr>
            <w:tcW w:type="dxa" w:w="2268"/>
            <w:vAlign w:val="center"/>
            <w:shd w:fill="455468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Otwarcie procesu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Karty zawodników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Propozycja do PZSz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Początek zawodów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Zamknięcie danych i otwarcie deklaracji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Koniec deklaracji; początek reklamacji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MŚ: pula 8 i dwóch liderów. ME: drużyna 5 i rezerwowy. Karty i uzasadnienia.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MŚ: po turnieju indywidualnym, dzień przed drużynowym — pełna piątka, bez rezerwowego.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Termin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Zdarzenie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Otwarcie procesu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 zamyka dane i wzywa do deklaracji. Późniejsze wyniki nie zmieniają kolejności kandydatów; wyjątek dotyczy wyboru drużyny na MŚ po rywalizacji indywidualnej.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 → T−75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Deklaracje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Zawodnik deklaruje gotowość do T−75 włącznie.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T−75 → T−60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i reklamacje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są udostępnione najpóźniej w T−75. Zawodnik zgłasza błędy i brakujące wyniki sprzed zamknięcia danych. Zweryfikowane korekty wchodzą przed przekazaniem propozycji.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Propozycja do PZSz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MŚ: pula ośmiu kandydatów i dwóch liderów z zapewnionymi miejscami. ME: proponowana piątka i rezerwowy. Karty oraz uzasadnienia do PZSz.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Dzień przed turniejem drużynowym MŚ, po turnieju indywidualnym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Pełny skład MŚ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 trzech zawodników z pozostałej szóstki obecnej na mistrzostwach. Drużyna pięcioosobowa, bez rezerwowego; trzej niewybrani nie uczestniczą w turnieju drużynowym.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Po 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Zastrzeżenia do oceny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SPWS odpowiada pisemnie; zastrzeżenie nie wstrzymuje dalszego procesu.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Kto</w:t>
            </w:r>
          </w:p>
        </w:tc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Odpowiedzialność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Wyniki, weryfikacja warunków, karty, kolejność kandydatów, uzasadnienia, reklamacje oraz propozycja do T−60.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</w:t>
            </w:r>
          </w:p>
        </w:tc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Wybór, nominacja i zgłoszenie imienne; pisemny powód odstępstwa od zaproponowanej kolejności.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Zawodnik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Deklaracja od T−90 do T−75 włącznie oraz zgłoszenie błędów w oknie reklamacji.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Źródło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Dane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Dokumentowanie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PPW i MPW oraz ranking krajowy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PZSz uwzględnianych w rankingu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EVF / organizator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EVF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FIE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Wyniki indywidualne i protokoły drużynowe; np. publikowane w FencingTimeLive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</w:tbl>
    <w:p>
      <w:pPr/>
    </w:p>
    <w:p>
      <w:pPr>
        <w:pStyle w:val="Etykietarozdzialu"/>
        <w:pageBreakBefore/>
      </w:pPr>
      <w:r>
        <w:t>Rozdział 6</w:t>
      </w:r>
    </w:p>
    <w:p>
      <w:bookmarkStart w:id="239877513" w:name="_Toc239877513"/>
      <w:pPr>
        <w:pStyle w:val="Heading1"/>
        <w:jc w:val="center"/>
      </w:pPr>
      <w:r>
        <w:t>Ocena regulaminu i doskonalenie metody</w:t>
      </w:r>
      <w:bookmarkEnd w:id="239877513"/>
    </w:p>
    <w:p>
      <w:pPr>
        <w:pStyle w:val="Paragraf"/>
        <w:keepNext/>
      </w:pPr>
      <w:r>
        <w:t>§ 18</w:t>
      </w:r>
    </w:p>
    <w:p>
      <w:pPr>
        <w:pStyle w:val="Tytułparagrafu"/>
        <w:keepNext/>
      </w:pPr>
      <w:r>
        <w:t>Posezonowa ocena działania regulaminu</w:t>
      </w:r>
    </w:p>
    <w:p>
      <w:pPr>
        <w:keepLines/>
        <w:ind w:left="312" w:hanging="227"/>
      </w:pPr>
      <w:r>
        <w:t xml:space="preserve">1. </w:t>
      </w:r>
      <w:r>
        <w:t>Po zakończeniu każdego sezonu obowiązkowo przeprowadza się ocenę działania Regulaminu.</w:t>
      </w:r>
    </w:p>
    <w:p>
      <w:pPr>
        <w:ind w:left="312" w:hanging="227"/>
      </w:pPr>
      <w:r>
        <w:t xml:space="preserve">2. </w:t>
      </w:r>
      <w:r>
        <w:t>Ocenę przeprowadza Komisja Regulaminowa SPWS, zapraszając do udziału przedstawiciela PZSz oraz przedstawicieli podmiotów wskazanych przez PZSz.</w:t>
      </w:r>
    </w:p>
    <w:p>
      <w:pPr>
        <w:ind w:left="312" w:hanging="227"/>
      </w:pPr>
      <w:r>
        <w:t xml:space="preserve">3. </w:t>
      </w:r>
      <w:r>
        <w:t>Ocena obejmuje w szczególności terminowość procesu, spory interpretacyjne, zastosowane wyjątki, braki danych oraz zgodność nominacji z celem Regulaminu.</w:t>
      </w:r>
    </w:p>
    <w:p>
      <w:pPr>
        <w:ind w:left="312" w:hanging="227"/>
      </w:pPr>
      <w:r>
        <w:t xml:space="preserve">4. </w:t>
      </w:r>
      <w:r>
        <w:t>Na podstawie oceny Komisja wskazuje usprawnienia wymagające rozważenia przed kolejnym sezonem oraz zapisuje wnioski przy właściwych kartach decyzji.</w:t>
      </w:r>
    </w:p>
    <w:p>
      <w:pPr>
        <w:ind w:left="312" w:hanging="227"/>
      </w:pPr>
      <w:r>
        <w:t xml:space="preserve">5. </w:t>
      </w:r>
      <w:r>
        <w:t>SPWS publikuje podsumowanie oceny oraz propozycje zmian Regulaminu przed rozpoczęciem kolejnego sezonu.</w:t>
      </w:r>
    </w:p>
    <w:p>
      <w:pPr>
        <w:pStyle w:val="Etykietarozdzialu"/>
        <w:pageBreakBefore/>
      </w:pPr>
      <w:r>
        <w:t>Rozdział 7</w:t>
      </w:r>
    </w:p>
    <w:p>
      <w:bookmarkStart w:id="239877514" w:name="_Toc239877514"/>
      <w:pPr>
        <w:pStyle w:val="Heading1"/>
        <w:jc w:val="center"/>
      </w:pPr>
      <w:r>
        <w:t>Postanowienia końcowe</w:t>
      </w:r>
      <w:bookmarkEnd w:id="239877514"/>
    </w:p>
    <w:p>
      <w:pPr>
        <w:pStyle w:val="Paragraf"/>
        <w:keepNext/>
      </w:pPr>
      <w:r>
        <w:t>§ 19</w:t>
      </w:r>
    </w:p>
    <w:p>
      <w:pPr>
        <w:pStyle w:val="Tytułparagrafu"/>
        <w:keepNext/>
      </w:pPr>
      <w:r>
        <w:t>Wejście w życie</w:t>
      </w:r>
    </w:p>
    <w:p>
      <w:pPr>
        <w:keepLines/>
        <w:ind w:left="312" w:hanging="227"/>
      </w:pPr>
      <w:r>
        <w:t xml:space="preserve">1. </w:t>
      </w:r>
      <w:r>
        <w:t>Regulamin wchodzi w życie w terminie określonym w uchwale zatwierdzającej go przez właściwy organ PZSz.</w:t>
      </w:r>
    </w:p>
    <w:p>
      <w:pPr>
        <w:ind w:left="312" w:hanging="227"/>
      </w:pPr>
      <w:r>
        <w:t xml:space="preserve">2. </w:t>
      </w:r>
      <w:r>
        <w:t>Regulaminu nie stosuje się do Mistrzostw Świata Weteranów w Tbilisi w 2026 r.</w:t>
      </w:r>
    </w:p>
    <w:p>
      <w:pPr>
        <w:ind w:left="312" w:hanging="227"/>
      </w:pPr>
      <w:r>
        <w:t xml:space="preserve">3. </w:t>
      </w:r>
      <w:r>
        <w:t>SPWS publikuje zatwierdzony Regulamin wraz z załącznikami na swojej stronie internetowej.</w:t>
      </w:r>
    </w:p>
    <w:p>
      <w:r>
        <w:br w:type="page"/>
      </w:r>
    </w:p>
    <w:p>
      <w:pPr>
        <w:pStyle w:val="Etykietarozdzialu"/>
        <w:jc w:val="center"/>
      </w:pPr>
      <w:r>
        <w:t>ZAŁĄCZNIK NR 1</w:t>
      </w:r>
    </w:p>
    <w:p>
      <w:pPr>
        <w:pStyle w:val="Heading1"/>
        <w:jc w:val="center"/>
      </w:pPr>
      <w:r>
        <w:t>Tabela punktacji Pucharu Polski Weteranów w szermierce</w:t>
      </w:r>
    </w:p>
    <w:p>
      <w:pPr>
        <w:jc w:val="center"/>
      </w:pPr>
      <w:r>
        <w:rPr>
          <w:i/>
        </w:rPr>
        <w:t>Punkty rankingowe za miejsce zdobyte w stawce liczącej od 4 do 40 zawodników — sezon 2026/2027</w:t>
      </w:r>
    </w:p>
    <w:p>
      <w:pPr>
        <w:jc w:val="center"/>
      </w:pPr>
      <w:r>
        <w:rPr>
          <w:b/>
        </w:rPr>
        <w:t>Współczynnik rangi PPW: 1,0</w:t>
      </w:r>
    </w:p>
    <w:p>
      <w:pPr>
        <w:pStyle w:val="Heading2"/>
        <w:keepNext/>
      </w:pPr>
      <w:r>
        <w:t>Miejsca 1–10 · stawka 4–20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117,6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89,7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</w:tr>
    </w:tbl>
    <w:p>
      <w:pPr/>
    </w:p>
    <w:p>
      <w:pPr>
        <w:pStyle w:val="Heading2"/>
        <w:keepNext/>
      </w:pPr>
      <w:r>
        <w:t>Miejsca 1–10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118,8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110,6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51,8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38,8</w:t>
            </w:r>
          </w:p>
        </w:tc>
      </w:tr>
    </w:tbl>
    <w:p>
      <w:pPr/>
    </w:p>
    <w:p>
      <w:pPr>
        <w:pStyle w:val="Heading2"/>
        <w:keepNext/>
      </w:pPr>
      <w:r>
        <w:t>Miejsca 1–10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54,2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39,4</w:t>
            </w:r>
          </w:p>
        </w:tc>
      </w:tr>
    </w:tbl>
    <w:p>
      <w:pPr/>
    </w:p>
    <w:p>
      <w:pPr>
        <w:pStyle w:val="Heading2"/>
        <w:keepNext/>
      </w:pPr>
      <w:r>
        <w:t>Miejsca 11–20 · stawka 11–27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</w:tr>
    </w:tbl>
    <w:p>
      <w:pPr/>
    </w:p>
    <w:p>
      <w:pPr>
        <w:pStyle w:val="Heading2"/>
        <w:keepNext/>
      </w:pPr>
      <w:r>
        <w:t>Miejsca 11–20 · stawka 28–40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</w:tr>
    </w:tbl>
    <w:p>
      <w:pPr/>
    </w:p>
    <w:p>
      <w:pPr>
        <w:pStyle w:val="Heading2"/>
        <w:keepNext/>
      </w:pPr>
      <w:r>
        <w:t>Miejsca 21–30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</w:tr>
    </w:tbl>
    <w:p>
      <w:pPr/>
    </w:p>
    <w:p>
      <w:pPr>
        <w:pStyle w:val="Heading2"/>
        <w:keepNext/>
      </w:pPr>
      <w:r>
        <w:t>Miejsca 21–30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</w:tr>
    </w:tbl>
    <w:p>
      <w:pPr/>
    </w:p>
    <w:p>
      <w:pPr>
        <w:pStyle w:val="Heading2"/>
        <w:keepNext/>
      </w:pPr>
      <w:r>
        <w:t>Miejsca 31–40 · stawka 31–40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</w:tbl>
    <w:p>
      <w:pPr/>
    </w:p>
    <w:p>
      <w:pPr>
        <w:spacing w:before="160"/>
      </w:pPr>
      <w:r>
        <w:t>Pełna tabela dla stawek liczących od 4 do 300 zawodników oraz kalkulator punktów są publikowane przez SPWS na stronie internetowej.</w:t>
      </w:r>
    </w:p>
    <w:p>
      <w:r>
        <w:br w:type="page"/>
      </w:r>
    </w:p>
    <w:p>
      <w:bookmarkStart w:id="239877515" w:name="_Toc239877515"/>
      <w:pPr>
        <w:pStyle w:val="Heading1"/>
      </w:pPr>
      <w:r>
        <w:t>Historia wersji</w:t>
      </w:r>
      <w:bookmarkEnd w:id="2398775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Wersja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zmian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0.2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2026-09-19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Pełna struktura ZTP i jednorazowa migracja treści źródłowej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projekt do konsultacji</w:t>
            </w:r>
          </w:p>
        </w:tc>
      </w:tr>
    </w:tbl>
    <w:p>
      <w:pPr/>
    </w:p>
    <w:p>
      <w:bookmarkStart w:id="239877516" w:name="_Toc239877516"/>
      <w:pPr>
        <w:pStyle w:val="Heading2"/>
      </w:pPr>
      <w:r>
        <w:t>Informacja o prototypie</w:t>
      </w:r>
      <w:bookmarkEnd w:id="239877516"/>
    </w:p>
    <w:p>
      <w:pPr>
        <w:pStyle w:val="Tekstroboczy"/>
      </w:pPr>
      <w:r>
        <w:t>Dokument jest projektem. Przyjęcie treści podczas prac redakcyjnych nie zastępuje formalnego zatwierdzenia przez właściwy organ PZSz.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247" w:right="1417" w:bottom="1134" w:left="1417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 xml:space="preserve">Projekt · wersja 0.1     |     Strona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z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>Projekt regulaminu  ·  sezon 2026/2027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5" w:color="CDD4DE"/>
      </w:pBdr>
    </w:pPr>
    <w:r>
      <w:rPr>
        <w:rFonts w:ascii="Aptos" w:hAnsi="Aptos"/>
        <w:color w:val="667386"/>
        <w:sz w:val="16"/>
      </w:rPr>
      <w:t>Regulamin powoływania reprezentacji Polski weteranów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7213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bCs/>
      <w:color w:val="174A8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6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l">
    <w:name w:val="Rozdzial"/>
    <w:basedOn w:val="Heading1"/>
    <w:pPr>
      <w:keepNext/>
      <w:spacing w:before="0" w:after="400"/>
      <w:jc w:val="center"/>
      <w:pageBreakBefore/>
    </w:pPr>
    <w:rPr>
      <w:rFonts w:ascii="Georgia" w:hAnsi="Georgia"/>
      <w:b/>
      <w:color w:val="174A84"/>
      <w:sz w:val="40"/>
    </w:rPr>
  </w:style>
  <w:style w:type="paragraph" w:customStyle="1" w:styleId="Etykietarozdzialu">
    <w:name w:val="Etykieta rozdzialu"/>
    <w:pPr>
      <w:keepNext/>
      <w:spacing w:after="100"/>
      <w:jc w:val="center"/>
    </w:pPr>
    <w:rPr>
      <w:rFonts w:ascii="Aptos" w:hAnsi="Aptos"/>
      <w:b/>
      <w:color w:val="174A84"/>
      <w:sz w:val="18"/>
    </w:rPr>
  </w:style>
  <w:style w:type="paragraph" w:customStyle="1" w:styleId="Paragraf">
    <w:name w:val="Paragraf"/>
    <w:pPr>
      <w:keepNext/>
      <w:spacing w:before="300" w:after="160"/>
      <w:jc w:val="center"/>
    </w:pPr>
    <w:rPr>
      <w:rFonts w:ascii="Georgia" w:hAnsi="Georgia"/>
      <w:b/>
      <w:color w:val="172131"/>
      <w:sz w:val="26"/>
    </w:rPr>
  </w:style>
  <w:style w:type="paragraph" w:customStyle="1" w:styleId="Tekstroboczy">
    <w:name w:val="Tekst roboczy"/>
    <w:basedOn w:val="Normal"/>
    <w:rPr>
      <w:i/>
      <w:color w:val="66738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customStyle="1" w:styleId="Tytułparagrafu">
    <w:name w:val="Tytuł paragrafu"/>
    <w:basedOn w:val="Heading3"/>
  </w:style>
  <w:style w:type="paragraph" w:customStyle="1" w:styleId="Etykietabrudnopisu">
    <w:name w:val="Etykieta brudnopisu"/>
    <w:basedOn w:val="Normal"/>
    <w:rPr>
      <w:b/>
      <w:color w:val="595959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powoływania reprezentacji Polski weteranów w szermierce</dc:title>
  <dc:subject>Projekt regulaminu w strukturze ZTP — sezon 2026/2027</dc:subject>
  <dc:creator>Komisja regulaminowa SPWS</dc:creator>
  <cp:keywords/>
  <dc:description>Projekt do konsultacji. Treść przyjęta redakcyjnie; wymaga formalnego zatwierdzenia PZSz.</dc:description>
  <cp:lastModifiedBy>Komisja regulaminowa SPWS</cp:lastModifiedBy>
  <cp:revision>1</cp:revision>
  <dcterms:created xsi:type="dcterms:W3CDTF">2013-12-23T23:15:00Z</dcterms:created>
  <dcterms:modified xsi:type="dcterms:W3CDTF">2013-12-23T23:15:00Z</dcterms:modified>
  <cp:category/>
</cp:coreProperties>
</file>