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062"/>
        </w:tabs>
        <w:rPr>
          <w:noProof/>
        </w:rPr>
      </w:pPr>
      <w:hyperlink w:anchor="_Toc239877516" w:history="1">
        <w:r>
          <w:rPr>
            <w:rStyle w:val="Hyperlink"/>
            <w:noProof/>
          </w:rPr>
          <w:t>Informacja o prototypie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pPr>
        <w:pStyle w:val="Tekstroboczy"/>
      </w:pPr>
      <w:r>
        <w:t>W Wordzie wybierz spis treści i polecenie „Aktualizuj tabelę”, jeżeli nie odświeży się automatycznie.</w:t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Poniższy układ odzwierciedla strukturę dokumentu. Treść normatywna zostanie dodana po zatwierdzeniu kolejnych decyzji.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3024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roboczy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cel, zakres, organy i podstawowe definicje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wyniki, punktacja, klasyfikacja i publikacja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uprawnienia, kolejność i rezygnacje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IV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kryteria, role i odpowiedzialność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V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zamknięcie danych, konsultacje i ogłoszenie nominacji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VI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zasady zmian</w:t>
            </w:r>
          </w:p>
        </w:tc>
      </w:tr>
      <w:tr>
        <w:trPr>
          <w:cantSplit/>
        </w:trPr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VII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302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życie, przepisy przejściowe i załączniki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I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</w:pPr>
      <w:r>
        <w:t>§ 1. Przedmiot regulaminu</w:t>
      </w:r>
    </w:p>
    <w:p>
      <w:pPr>
        <w:ind w:left="85"/>
      </w:pPr>
      <w:r>
        <w:t>1. 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pageBreakBefore/>
        <w:ind w:left="85"/>
      </w:pPr>
      <w:r>
        <w:t>§ 2. Definicje</w:t>
      </w:r>
    </w:p>
    <w:p>
      <w:pPr/>
      <w:r>
        <w:t>Ilekroć w Regulaminie jest mowa o:</w:t>
      </w:r>
    </w:p>
    <w:p>
      <w:pPr/>
      <w:r>
        <w:t xml:space="preserve">1.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/>
      <w:r>
        <w:t xml:space="preserve">2. </w:t>
      </w:r>
      <w:r>
        <w:rPr>
          <w:b/>
        </w:rPr>
        <w:t>PZSz</w:t>
      </w:r>
      <w:r>
        <w:t xml:space="preserve"> – należy przez to rozumieć Polski Związek Szermierczy;</w:t>
      </w:r>
    </w:p>
    <w:p>
      <w:pPr/>
      <w:r>
        <w:t xml:space="preserve">3. </w:t>
      </w:r>
      <w:r>
        <w:rPr>
          <w:b/>
        </w:rPr>
        <w:t>EVF</w:t>
      </w:r>
      <w:r>
        <w:t xml:space="preserve"> – należy przez to rozumieć European Veterans Fencing;</w:t>
      </w:r>
    </w:p>
    <w:p>
      <w:pPr/>
      <w:r>
        <w:t xml:space="preserve">4.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/>
      <w:r>
        <w:t xml:space="preserve">5.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/>
      <w:r>
        <w:t xml:space="preserve">6.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/>
      <w:r>
        <w:t xml:space="preserve">7.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/>
      <w:r>
        <w:t xml:space="preserve">8.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/>
      <w:r>
        <w:t xml:space="preserve">9.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drużyny.</w:t>
      </w:r>
    </w:p>
    <w:p>
      <w:pPr>
        <w:pStyle w:val="Paragraf"/>
        <w:pageBreakBefore/>
        <w:ind w:left="85"/>
      </w:pPr>
      <w:r>
        <w:t>§ 3. Cel i zasady wyłaniania reprezentacji</w:t>
      </w:r>
    </w:p>
    <w:p>
      <w:pPr/>
      <w:r>
        <w:t>1. 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/>
      <w:r>
        <w:t>2. Proces wyłaniania reprezentacji opiera się na następujących zasadach:</w:t>
      </w:r>
    </w:p>
    <w:p>
      <w:pPr>
        <w:ind w:left="369" w:hanging="227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5;</w:t>
      </w:r>
    </w:p>
    <w:p>
      <w:pPr>
        <w:ind w:left="369" w:hanging="227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II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</w:pPr>
      <w:r>
        <w:t>§ 4. Rola rankingu indywidualnego</w:t>
      </w:r>
    </w:p>
    <w:p>
      <w:pPr>
        <w:ind w:left="85"/>
      </w:pPr>
      <w:r>
        <w:t>1. Ranking indywidualny stanowi podstawę kwalifikowania zawodników do startów indywidualnych oraz wyłonienia puli kandydatów do składu drużyny.</w:t>
      </w:r>
    </w:p>
    <w:p>
      <w:pPr/>
      <w:r>
        <w:t>2. Miejsce w rankingu indywidualnym nie stanowi samoistnej podstawy powołania do składu drużyny. Skład drużyny ustala się zgodnie z zasadami określonymi w rozdziale IV.</w:t>
      </w:r>
    </w:p>
    <w:p>
      <w:pPr/>
      <w:r>
        <w:t>3. Zawodnik samodzielnie decyduje, w których zawodach wymienionych w § 5 bierze udział. Udział w określonych zawodach lub cyklu zawodów nie stanowi warunku powołania do reprezentacji.</w:t>
      </w:r>
    </w:p>
    <w:p>
      <w:pPr/>
      <w:r>
        <w:t>4. Z zastrzeżeniem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/>
      <w:r>
        <w:t>5.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369" w:hanging="227"/>
      </w:pPr>
      <w:r>
        <w:t>1) powołanie jest niezbędne do wystawienia kompletnej drużyny zgodnej z przepisami zawodów;</w:t>
      </w:r>
    </w:p>
    <w:p>
      <w:pPr>
        <w:ind w:left="369" w:hanging="227"/>
      </w:pPr>
      <w:r>
        <w:t>2) możliwość startu zaoferowano wszystkim dostępnym zawodnikom posiadającym dodatni dorobek punktowy, spełniającym wymagania dotyczące broni, płci i kategorii wiekowej;</w:t>
      </w:r>
    </w:p>
    <w:p>
      <w:pPr>
        <w:ind w:left="369" w:hanging="227"/>
      </w:pPr>
      <w:r>
        <w:t>3) żaden z zawodników, o których mowa w pkt 2, nie potwierdził gotowości do udziału;</w:t>
      </w:r>
    </w:p>
    <w:p>
      <w:pPr>
        <w:ind w:left="369" w:hanging="227"/>
      </w:pPr>
      <w:r>
        <w:t>4) powoływana osoba spełnia wszystkie formalne warunki udziału określone przez organizatora zawodów;</w:t>
      </w:r>
    </w:p>
    <w:p>
      <w:pPr>
        <w:ind w:left="369" w:hanging="227"/>
      </w:pPr>
      <w:r>
        <w:t>5) powołanie nie pozbawia miejsca zawodnika posiadającego dodatni dorobek punktowy i gotowego do udziału;</w:t>
      </w:r>
    </w:p>
    <w:p>
      <w:pPr>
        <w:ind w:left="369" w:hanging="227"/>
      </w:pPr>
      <w:r>
        <w:t>6) przyczyny powołania zostaną wskazane w pisemnym uzasadnieniu nominacji.</w:t>
      </w:r>
    </w:p>
    <w:p>
      <w:pPr>
        <w:pStyle w:val="Paragraf"/>
        <w:pageBreakBefore/>
      </w:pPr>
      <w:r>
        <w:t>§ 5. Zawody uwzględniane w rankingu</w:t>
      </w:r>
    </w:p>
    <w:p>
      <w:pPr>
        <w:ind w:left="85"/>
      </w:pPr>
      <w:r>
        <w:t>1. W sezonie 2026/2027 w rankingu indywidualnym uwzględnia się wyniki uzyskane w następujących cyklach i zawodach:</w:t>
      </w:r>
    </w:p>
    <w:p>
      <w:pPr>
        <w:ind w:left="369" w:hanging="227"/>
      </w:pPr>
      <w:r>
        <w:t>1) Pucharze Polski Weteranów w Szermierce oraz Mistrzostwach Polski Weteranów w Szermierce, organizowanych przez SPWS albo przez inny podmiot na zasadach określonych w ust. 2;</w:t>
      </w:r>
    </w:p>
    <w:p>
      <w:pPr>
        <w:ind w:left="369" w:hanging="227"/>
      </w:pPr>
      <w:r>
        <w:t>2) Pucharze Polski Seniorów w Szermierce oraz Mistrzostwach Polski Seniorów w Szermierce, ujętych w oficjalnym kalendarzu Polskiego Związku Szermierczego;</w:t>
      </w:r>
    </w:p>
    <w:p>
      <w:pPr>
        <w:ind w:left="369" w:hanging="227"/>
      </w:pPr>
      <w:r>
        <w:t>3) Pucharze Europy Weteranów w Szermierce oraz Mistrzostwach Europy Weteranów w Szermierce, ujętych w oficjalnym kalendarzu European Veterans Fencing;</w:t>
      </w:r>
    </w:p>
    <w:p>
      <w:pPr>
        <w:ind w:left="369" w:hanging="227"/>
      </w:pPr>
      <w:r>
        <w:t>4) Pucharze Świata Weteranów w Szermierce – o ile zawody tego cyklu zostaną rozegrane – oraz Mistrzostwach Świata Weteranów w Szermierce, ujętych w oficjalnym kalendarzu Międzynarodowej Federacji Szermierczej.</w:t>
      </w:r>
    </w:p>
    <w:p>
      <w:pPr/>
      <w:r>
        <w:t>2. Zawody organizowane przez podmiot inny niż SPWS mogą zostać zaliczone do cyklu Pucharu Polski Weteranów w Szermierce, jeżeli łącznie spełniają następujące warunki:</w:t>
      </w:r>
    </w:p>
    <w:p>
      <w:pPr>
        <w:ind w:left="369" w:hanging="227"/>
      </w:pPr>
      <w:r>
        <w:t>1) przed ich rozegraniem zostały zatwierdzone przez SPWS i ujęte w opublikowanym kalendarzu cyklu;</w:t>
      </w:r>
    </w:p>
    <w:p>
      <w:pPr>
        <w:ind w:left="369" w:hanging="227"/>
      </w:pPr>
      <w:r>
        <w:t>2) komunikat organizacyjny zawodów został opublikowany w ogólnodostępnym serwisie internetowym, bez konieczności logowania, najpóźniej 30 dni przed pierwszym dniem zawodów;</w:t>
      </w:r>
    </w:p>
    <w:p>
      <w:pPr>
        <w:ind w:left="369" w:hanging="227"/>
      </w:pPr>
      <w:r>
        <w:t>3) prawo zgłoszenia do udziału przysługuje wszystkim zawodnikom spełniającym kryterium wieku właściwe dla weteranów szermierki, niezależnie od obywatelstwa, miejsca zamieszkania, przynależności klubowej oraz państwa, w którym uprawiają szermierkę, pod warunkiem spełnienia jednakowych dla wszystkich uczestników wymagań określonych w komunikacie organizacyjnym;</w:t>
      </w:r>
    </w:p>
    <w:p>
      <w:pPr>
        <w:ind w:left="369" w:hanging="227"/>
      </w:pPr>
      <w:r>
        <w:t>4) 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369" w:hanging="227"/>
      </w:pPr>
      <w:r>
        <w:t>5) zawody są rozgrywane w kategoriach wieku, broni i płci określonych w komunikacie organizacyjnym i zgodnych z wybraną formułą sportową;</w:t>
      </w:r>
    </w:p>
    <w:p>
      <w:pPr>
        <w:ind w:left="369" w:hanging="227"/>
      </w:pPr>
      <w:r>
        <w:t>6) 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369" w:hanging="227"/>
      </w:pPr>
      <w:r>
        <w:t>7) protokoły i wyniki, o których mowa w pkt 6, pozostają dostępne online przez co najmniej 36 miesięcy od dnia zakończenia zawodów;</w:t>
      </w:r>
    </w:p>
    <w:p>
      <w:pPr>
        <w:ind w:left="369" w:hanging="227"/>
      </w:pPr>
      <w:r>
        <w:t>8) opublikowane wyniki zawierają dane niezbędne do ich zweryfikowania oraz obliczenia punktów rankingowych.</w:t>
      </w:r>
    </w:p>
    <w:p>
      <w:pPr/>
      <w:r>
        <w:t>3. Spośród wyników uzyskanych w zawodach, o których mowa w ust. 1 pkt 1, w rankingu uwzględnia się trzy wyniki, za które zawodnik uzyskał najwyższą liczbę punktów rankingowych.</w:t>
      </w:r>
    </w:p>
    <w:p>
      <w:pPr>
        <w:pStyle w:val="Paragraf"/>
        <w:pageBreakBefore/>
      </w:pPr>
      <w:r>
        <w:t>§ 6. Zasady obliczania punktów</w:t>
      </w:r>
    </w:p>
    <w:p>
      <w:pPr/>
      <w:r>
        <w:t>1. Liczba punktów przyznawanych za wynik uzyskany w zawodach zależy od zajętego miejsca, liczby zawodników w stawce oraz współczynnika rangi określonego dla danego rodzaju zawodów.</w:t>
      </w:r>
    </w:p>
    <w:p>
      <w:pPr>
        <w:keepNext/>
      </w:pPr>
      <w:r>
        <w:t>2. W sezonie 2026/2027 stosuje się następujące współczynniki rangi zawodów: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  <w:r>
        <w:t>3. Tabela punktacji dla stawki liczącej od 4 do 40 zawodników stanowi załącznik nr 1 do Regulaminu. Pełną tabelę punktacji dla stawki liczącej od 4 do 300 zawodników SPWS publikuje na swojej stronie internetowej.</w:t>
      </w:r>
    </w:p>
    <w:p>
      <w:pPr/>
      <w:r>
        <w:t>4. SPWS zapewnia publiczny i nieodpłatny dostęp do kalkulatora punktów, umożliwiającego sprawdzenie liczby punktów przyznawanych za konkretny wynik uzyskany w zawodach.</w:t>
      </w:r>
    </w:p>
    <w:p>
      <w:r>
        <w:br w:type="page"/>
      </w:r>
    </w:p>
    <w:p>
      <w:pPr>
        <w:pStyle w:val="Etykietarozdzialu"/>
        <w:pageBreakBefore/>
      </w:pPr>
      <w:r>
        <w:t>ROZDZIAŁ III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</w:pPr>
      <w:r>
        <w:t>§ 7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[Zasady kwalifikacji i ustalania kolejności kandydatów.]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[Rezygnacja, zastępstwo i sytuacje szczególne.]</w:t>
      </w:r>
    </w:p>
    <w:p>
      <w:r>
        <w:br w:type="page"/>
      </w:r>
    </w:p>
    <w:p>
      <w:pPr>
        <w:pStyle w:val="Etykietarozdzialu"/>
        <w:pageBreakBefore/>
      </w:pPr>
      <w:r>
        <w:t>ROZDZIAŁ IV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</w:pPr>
      <w:r>
        <w:t>§ 8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[Pula kandydatów do drużyny.]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[Wymogi kategorii wiekowych i dostępności.]</w:t>
      </w:r>
    </w:p>
    <w:p>
      <w:pPr>
        <w:pStyle w:val="Paragraf"/>
        <w:pageBreakBefore/>
      </w:pPr>
      <w:r>
        <w:t>§ 9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[Kryteria wyboru składu, role i odpowiedzialność za decyzję.]</w:t>
      </w:r>
    </w:p>
    <w:p>
      <w:r>
        <w:br w:type="page"/>
      </w:r>
    </w:p>
    <w:p>
      <w:pPr>
        <w:pStyle w:val="Etykietarozdzialu"/>
        <w:pageBreakBefore/>
      </w:pPr>
      <w:r>
        <w:t>ROZDZIAŁ V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</w:pPr>
      <w:r>
        <w:t>§ 10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[Daty graniczne procesu.]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[Deklaracje, weryfikacja danych i ogłoszenie decyzji.]</w:t>
      </w:r>
    </w:p>
    <w:p>
      <w:r>
        <w:br w:type="page"/>
      </w:r>
    </w:p>
    <w:p>
      <w:pPr>
        <w:pStyle w:val="Etykietarozdzialu"/>
        <w:pageBreakBefore/>
      </w:pPr>
      <w:r>
        <w:t>ROZDZIAŁ VI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</w:pPr>
      <w:r>
        <w:t>§ 11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[Zakres i termin oceny posezonowej.]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[Zasady przygotowania zmian na kolejny sezon.]</w:t>
      </w:r>
    </w:p>
    <w:p>
      <w:r>
        <w:br w:type="page"/>
      </w:r>
    </w:p>
    <w:p>
      <w:pPr>
        <w:pStyle w:val="Etykietarozdzialu"/>
        <w:pageBreakBefore/>
      </w:pPr>
      <w:r>
        <w:t>ROZDZIAŁ VII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</w:pPr>
      <w:r>
        <w:t>§ 12</w:t>
      </w:r>
    </w:p>
    <w:p>
      <w:pPr>
        <w:pStyle w:val="Tekstroboczy"/>
        <w:ind w:left="85"/>
      </w:pPr>
      <w:r>
        <w:rPr>
          <w:b/>
        </w:rPr>
        <w:t xml:space="preserve">1. </w:t>
      </w:r>
      <w:r>
        <w:t>[Przepisy przejściowe.]</w:t>
      </w:r>
    </w:p>
    <w:p>
      <w:pPr>
        <w:pStyle w:val="Tekstroboczy"/>
        <w:ind w:left="85"/>
      </w:pPr>
      <w:r>
        <w:rPr>
          <w:b/>
        </w:rPr>
        <w:t xml:space="preserve">2. </w:t>
      </w:r>
      <w:r>
        <w:t>[Wejście regulaminu w życie.]</w:t>
      </w:r>
    </w:p>
    <w:p>
      <w:r>
        <w:br w:type="page"/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0.1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[data]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Pierwszy prototyp struktury i formatowania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bookmarkStart w:id="239877516" w:name="_Toc239877516"/>
      <w:pPr>
        <w:pStyle w:val="Heading2"/>
      </w:pPr>
      <w:r>
        <w:t>Informacja o prototypie</w:t>
      </w:r>
      <w:bookmarkEnd w:id="239877516"/>
    </w:p>
    <w:p>
      <w:pPr>
        <w:pStyle w:val="Tekstroboczy"/>
      </w:pPr>
      <w:r>
        <w:t>Dokument służy wyłącznie do oceny struktury i formatowania. Tekst w nawiasach kwadratowych nie stanowi projektu postanowień regulaminu.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Prototyp struktury i formatowania — sezon 2026/2027</dc:subject>
  <dc:creator>Komisja regulaminowa SPWS</dc:creator>
  <cp:keywords/>
  <dc:description>Projekt do konsultacji. Zatwierdzono i wprowadzono § 1–§ 6 oraz załącznik nr 1. Cel Regulaminu w § 3 ust. 1 podlega zmianie wyłącznie po akceptacji autora projektu.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