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Układ odzwierciedla strukturę ZTP. Treść ciemnoszara i jawnie oznaczona jest brudnopisem wymagającym decyzji.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roboczy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deklaracje i ogłoszenie nominacji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wyniki z Pucharu Polski Weteranów w Szermierce oraz Mistrzostw Polski Weteranów w Szermierce porównuje się łącznie, wyłącznie na podstawie liczby uzyskanych punktów rankingowych;</w:t>
      </w:r>
    </w:p>
    <w:p>
      <w:pPr>
        <w:ind w:left="595" w:hanging="255"/>
      </w:pPr>
      <w:r>
        <w:t xml:space="preserve">3) </w:t>
      </w:r>
      <w:r>
        <w:t>uwzględnienie wyniku z Mistrzostw Polski Weteranów w Szermierce nie jest obowiązkowe;</w:t>
      </w:r>
    </w:p>
    <w:p>
      <w:pPr>
        <w:ind w:left="595" w:hanging="255"/>
      </w:pPr>
      <w:r>
        <w:t xml:space="preserve">4)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Pięć pozycji otwartych wypełnia się pięcioma najwyżej punktowanymi wynikami zawodnika, które nie zostały uwzględnione jako obowiązkowe pozycje krajowe. Przy wyborze wyników do pozycji otwartych uwzględnia się:</w:t>
      </w:r>
    </w:p>
    <w:p>
      <w:pPr>
        <w:ind w:left="595" w:hanging="255"/>
      </w:pPr>
      <w:r>
        <w:t xml:space="preserve">1) </w:t>
      </w:r>
      <w:r>
        <w:t>pozostałe wyniki uzyskane w Pucharze Polski Weteranów w Szermierce oraz Mistrzostwach Polski Weteranów w Szermierce;</w:t>
      </w:r>
    </w:p>
    <w:p>
      <w:pPr>
        <w:ind w:left="595" w:hanging="255"/>
      </w:pPr>
      <w:r>
        <w:t xml:space="preserve">2) </w:t>
      </w:r>
      <w:r>
        <w:t>wyniki uzyskane w Pucharach Polski Seniorów w Szermierce oraz Mistrzostwach Polski Seniorów w Szermierce;</w:t>
      </w:r>
    </w:p>
    <w:p>
      <w:pPr>
        <w:ind w:left="595" w:hanging="255"/>
      </w:pPr>
      <w:r>
        <w:t xml:space="preserve">3) </w:t>
      </w:r>
      <w:r>
        <w:t>wyniki uzyskane w Pucharach Europy Weteranów w Szermierce oraz Mistrzostwach Europy Weteranów w Szermierce;</w:t>
      </w:r>
    </w:p>
    <w:p>
      <w:pPr>
        <w:ind w:left="595" w:hanging="255"/>
      </w:pPr>
      <w:r>
        <w:t xml:space="preserve">4) </w:t>
      </w:r>
      <w:r>
        <w:t>wyniki uzyskane w Pucharach Świata Weteranów w Szermierce, jeżeli zawody tego cyklu zostaną rozegrane, oraz Mistrzostwach Świata Weteranów w Szermierce.</w:t>
      </w:r>
    </w:p>
    <w:p>
      <w:pPr>
        <w:ind w:left="312" w:hanging="227"/>
      </w:pPr>
      <w:r>
        <w:t xml:space="preserve">6. </w:t>
      </w:r>
      <w:r>
        <w:t>Jeżeli po wybraniu trzech obowiązkowych pozycji krajowych zawodnik ma mniej niż pięć pozostałych wyników podlegających uwzględnieniu w pozycjach otwartych, za każdą niewypełnioną pozycję otwartą przyjmuje się zero punktów rankingowych.</w:t>
      </w:r>
    </w:p>
    <w:p>
      <w:pPr>
        <w:ind w:left="312" w:hanging="227"/>
      </w:pPr>
      <w:r>
        <w:t xml:space="preserve">7.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8.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rankingu uwzględnia się zawodników posiadających polskie obywatelstwo albo kartę pobytu. Warunkiem zaliczenia punktów z zawodów organizowanych przez EVF albo FIE jest start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85"/>
      </w:pPr>
      <w:r>
        <w:t>Ranking indywidualny wyznacza pulę kandydatów do składu drużyny, lecz miejsce w rankingu nie stanowi samoistnej podstawy powołania do składu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Przy ustalaniu składu reprezentacji uwzględnia się czterech najwyżej sklasyfikowanych zawodników z młodszej kategorii wiekowej i czterech najwyżej sklasyfikowanych zawodników ze starszej kategorii wiekowej. W przypadku rezygnacji zawodnika jego miejsce zajmuje kolejny zawodnik w jego kategorii wiekowej.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Ostateczny skład drużyny ustalają wspólnie najwyżej sklasyfikowany zawodnik młodszej kategorii wiekowej oraz najwyżej sklasyfikowany zawodnik starszej kategorii wiekowej. Dwóch zawodników wybiera się spośród pozostałych osób z puli na podstawie analizy osiągnięć w startach indywidualnych i drużynowych. Piąty zawodnik albo rezerwowy może zostać wybrany spoza tej puli.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W przypadku braku porozumienia decyzję podejmuje Zarząd SPWS.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Skompletowaną drużynę przedstawia się Zarządowi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pStyle w:val="Etykietabrudnopisu"/>
        <w:keepNext/>
      </w:pPr>
      <w:r>
        <w:t>MIEJSCE DO UZUPEŁNIENIA — WYMAGA DECYZJI</w:t>
      </w:r>
    </w:p>
    <w:p>
      <w:pPr>
        <w:keepLines/>
        <w:ind w:left="85"/>
      </w:pPr>
      <w:r>
        <w:rPr>
          <w:color w:val="595959"/>
        </w:rPr>
        <w:t>Terminy zamknięcia danych rankingowych, składania deklaracji, weryfikacji warunków oraz ogłoszenia nominacji wymagają odrębnej decyzji.</w:t>
      </w:r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