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Układ odzwierciedla strukturę ZTP. Treść ciemnoszara i jawnie oznaczona jest brudnopisem wymagającym decyzji.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roboczy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deklaracje i ogłoszenie nominacji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pageBreakBefore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pageBreakBefore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pageBreakBefore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zawodów;</w:t>
      </w:r>
    </w:p>
    <w:p>
      <w:pPr>
        <w:ind w:left="595" w:hanging="255"/>
      </w:pPr>
      <w:r>
        <w:t xml:space="preserve">8) </w:t>
      </w:r>
      <w:r>
        <w:t>opublikowane wyniki zawierają dane niezbędne do ich zweryfikowania oraz obliczenia punktów rankingowych.</w:t>
      </w:r>
    </w:p>
    <w:p>
      <w:pPr>
        <w:ind w:left="312" w:hanging="227"/>
      </w:pPr>
      <w:r>
        <w:t xml:space="preserve">3. </w:t>
      </w:r>
      <w:r>
        <w:t>Spośród wyników uzyskanych w zawodach, o których mowa w § 5 ust. 1 pkt 1, w rankingu uwzględnia się trzy wyniki, za które zawodnik uzyskał najwyższą liczbę punktów rankingowych.</w:t>
      </w:r>
    </w:p>
    <w:p>
      <w:pPr>
        <w:pStyle w:val="Paragraf"/>
        <w:pageBreakBefore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pageBreakBefore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85"/>
      </w:pPr>
      <w:r>
        <w:rPr>
          <w:color w:val="595959"/>
        </w:rPr>
        <w:t>Ranking indywidualny oraz kalkulator punktów są publikowane na stronie internetowej.</w:t>
      </w:r>
    </w:p>
    <w:p>
      <w:pPr>
        <w:pStyle w:val="Paragraf"/>
        <w:pageBreakBefore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85"/>
      </w:pPr>
      <w:r>
        <w:rPr>
          <w:color w:val="595959"/>
        </w:rP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pageBreakBefore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85"/>
      </w:pPr>
      <w:r>
        <w:rPr>
          <w:color w:val="595959"/>
        </w:rPr>
        <w:t>W rankingu uwzględnia się zawodników posiadających polskie obywatelstwo albo kartę pobytu. Warunkiem zaliczenia punktów z zawodów organizowanych przez EVF albo FIE jest start jako reprezentant Polski.</w:t>
      </w:r>
    </w:p>
    <w:p>
      <w:r>
        <w:br w:type="page"/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pageBreakBefore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r>
        <w:br w:type="page"/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ind w:left="85"/>
      </w:pPr>
      <w:r>
        <w:t>Ranking indywidualny wyznacza pulę kandydatów do składu drużyny, lecz miejsce w rankingu nie stanowi samoistnej podstawy powołania do składu drużyny.</w:t>
      </w:r>
    </w:p>
    <w:p>
      <w:pPr>
        <w:pStyle w:val="Paragraf"/>
        <w:pageBreakBefore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pageBreakBefore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Przy ustalaniu składu reprezentacji uwzględnia się czterech najwyżej sklasyfikowanych zawodników z młodszej kategorii wiekowej i czterech najwyżej sklasyfikowanych zawodników ze starszej kategorii wiekowej. W przypadku rezygnacji zawodnika jego miejsce zajmuje kolejny zawodnik w jego kategorii wiekowej.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Ostateczny skład drużyny ustalają wspólnie najwyżej sklasyfikowany zawodnik młodszej kategorii wiekowej oraz najwyżej sklasyfikowany zawodnik starszej kategorii wiekowej. Dwóch zawodników wybiera się spośród pozostałych osób z puli na podstawie analizy osiągnięć w startach indywidualnych i drużynowych. Piąty zawodnik albo rezerwowy może zostać wybrany spoza tej puli.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W przypadku braku porozumienia decyzję podejmuje Zarząd SPWS.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Skompletowaną drużynę przedstawia się Zarządowi PZSz do akceptacji.</w:t>
      </w:r>
    </w:p>
    <w:p>
      <w:pPr>
        <w:pStyle w:val="Paragraf"/>
        <w:pageBreakBefore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pageBreakBefore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ind w:left="85"/>
      </w:pPr>
      <w:r>
        <w:t>Powołanie uzupełniające zawodnika bez dodatniego dorobku punktowego jest dopuszczalne wyłącznie na warunkach określonych w § 4 ust. 5.</w:t>
      </w:r>
    </w:p>
    <w:p>
      <w:r>
        <w:br w:type="page"/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pStyle w:val="Etykietabrudnopisu"/>
        <w:keepNext/>
      </w:pPr>
      <w:r>
        <w:t>MIEJSCE DO UZUPEŁNIENIA — WYMAGA DECYZJI</w:t>
      </w:r>
    </w:p>
    <w:p>
      <w:pPr>
        <w:ind w:left="85"/>
      </w:pPr>
      <w:r>
        <w:rPr>
          <w:color w:val="595959"/>
        </w:rPr>
        <w:t>Terminy zamknięcia danych rankingowych, składania deklaracji, weryfikacji warunków oraz ogłoszenia nominacji wymagają odrębnej decyzji.</w:t>
      </w:r>
    </w:p>
    <w:p>
      <w:r>
        <w:br w:type="page"/>
      </w:r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r>
        <w:br w:type="page"/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