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EB59" w14:textId="469BDE31" w:rsidR="00D31833" w:rsidRDefault="00D31833">
      <w:pPr>
        <w:rPr>
          <w:rFonts w:ascii="Arial" w:hAnsi="Arial" w:cs="Arial"/>
          <w:b/>
          <w:bCs/>
          <w:i/>
          <w:i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1833">
        <w:rPr>
          <w:rFonts w:ascii="Arial" w:hAnsi="Arial" w:cs="Arial"/>
          <w:b/>
          <w:bCs/>
          <w:i/>
          <w:i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HealthConnect_Week5_Analysis</w:t>
      </w:r>
    </w:p>
    <w:p w14:paraId="35029511" w14:textId="77777777" w:rsidR="00D31833" w:rsidRPr="00D31833" w:rsidRDefault="00D31833" w:rsidP="00D31833">
      <w:pPr>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31833">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AnalystLab</w:t>
      </w:r>
      <w:proofErr w:type="spellEnd"/>
      <w:r w:rsidRPr="00D31833">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Africa | Data Analytics Track</w:t>
      </w:r>
    </w:p>
    <w:p w14:paraId="2B19A55D" w14:textId="50CCE0FE" w:rsidR="00D31833" w:rsidRDefault="00D31833" w:rsidP="00D31833">
      <w:pPr>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1833">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Ofentse Lebethe</w:t>
      </w:r>
      <w:r w:rsidRPr="00D31833">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859A4C" w14:textId="77777777" w:rsidR="00D31833" w:rsidRDefault="00D31833" w:rsidP="00D31833">
      <w:pPr>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5BAE6B" w14:textId="6D2AE214" w:rsidR="00D31833" w:rsidRPr="00D31833" w:rsidRDefault="00D31833" w:rsidP="00D31833">
      <w:pPr>
        <w:pStyle w:val="ListParagraph"/>
        <w:numPr>
          <w:ilvl w:val="0"/>
          <w:numId w:val="1"/>
        </w:numPr>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1833">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of Week 4 Foundation</w:t>
      </w:r>
    </w:p>
    <w:p w14:paraId="19B2E39C" w14:textId="77777777" w:rsidR="00D31833" w:rsidRDefault="00D31833" w:rsidP="00D31833">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1833">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Week 4, the Data Analytics track focused on understanding the </w:t>
      </w:r>
      <w:proofErr w:type="spellStart"/>
      <w:r w:rsidRPr="00D31833">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HealthConnect</w:t>
      </w:r>
      <w:proofErr w:type="spellEnd"/>
      <w:r w:rsidRPr="00D31833">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appointment dataset and preparing the foundation for analysis. A full data quality assessment was conducted (missing values, duplicates, and category validity checks), three business questions were defined relating to booking lead time, previous no-show history, and appointment type/time slot, and four corresponding KPIs were proposed and justified.</w:t>
      </w:r>
    </w:p>
    <w:p w14:paraId="753FA653" w14:textId="4F94C769" w:rsidR="00D31833" w:rsidRPr="00D31833" w:rsidRDefault="00D31833" w:rsidP="00D31833">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1833">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resources used were HealthConnect_Appointment_Data.csv and HealthConnect_Data_Dictionary.xlsx. The main assumption carried forward was that </w:t>
      </w:r>
      <w:proofErr w:type="spellStart"/>
      <w:r w:rsidRPr="00D31833">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reminder_channel</w:t>
      </w:r>
      <w:proofErr w:type="spellEnd"/>
      <w:r w:rsidRPr="00D31833">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values of "None" indicate no reminder was sent rather than missing data. The main limitation identified was missing values in </w:t>
      </w:r>
      <w:proofErr w:type="spellStart"/>
      <w:r w:rsidRPr="00D31833">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distance_to_clinic_km</w:t>
      </w:r>
      <w:proofErr w:type="spellEnd"/>
      <w:r w:rsidRPr="00D31833">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D31833">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waiting_time_minutes</w:t>
      </w:r>
      <w:proofErr w:type="spellEnd"/>
      <w:r w:rsidRPr="00D31833">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(90 and 60 records respectively).</w:t>
      </w:r>
    </w:p>
    <w:p w14:paraId="34D8686D" w14:textId="1EBF0EFC" w:rsidR="00D31833" w:rsidRPr="00D31833" w:rsidRDefault="00D31833" w:rsidP="00D31833">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1833">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proposed focus for Week 5 was to calculate the four proposed KPIs, visualise them, and begin exploring relationships between variables to identify the strongest predictors of no-shows. This is the work carried out below.</w:t>
      </w:r>
    </w:p>
    <w:p w14:paraId="4F968246" w14:textId="77777777" w:rsidR="00D31833" w:rsidRDefault="00D31833" w:rsidP="00D31833">
      <w:pPr>
        <w:pStyle w:val="ListParagraph"/>
        <w:numPr>
          <w:ilvl w:val="0"/>
          <w:numId w:val="1"/>
        </w:numPr>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1833">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Preparation</w:t>
      </w:r>
    </w:p>
    <w:p w14:paraId="3480068B" w14:textId="1B339C5D" w:rsidR="00704B02" w:rsidRPr="00704B02" w:rsidRDefault="00704B02" w:rsidP="00704B02">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4B02">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Week 5 analysis was conducted using Power BI Desktop, in line with the Data Analytics track's specified toolset (SQL, Python, Power BI, Tableau). The </w:t>
      </w:r>
      <w:proofErr w:type="spellStart"/>
      <w:r w:rsidRPr="00704B02">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lead_time_bracket</w:t>
      </w:r>
      <w:proofErr w:type="spellEnd"/>
      <w:r w:rsidRPr="00704B02">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 was created using a DAX calculated column, and the No-Show Rate KPI was calculated using a DAX measure (DIVIDE of No-Show count over total appointment count), applied consistently across all three KPI visualisations.</w:t>
      </w:r>
    </w:p>
    <w:p w14:paraId="54FD049E" w14:textId="7530D2C6" w:rsidR="00D31833" w:rsidRDefault="00D31833" w:rsidP="00D31833">
      <w:pPr>
        <w:pStyle w:val="ListParagraph"/>
        <w:numPr>
          <w:ilvl w:val="0"/>
          <w:numId w:val="1"/>
        </w:numPr>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w:t>
      </w:r>
    </w:p>
    <w:p w14:paraId="2B4EE7CF" w14:textId="3B480538" w:rsidR="00D31833" w:rsidRPr="00D31833" w:rsidRDefault="00D31833" w:rsidP="00D31833">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1833">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analysis focused on investigating appointment attendance and no-show patterns across three dimensions identified in Week 4: booking lead time, previous no-show history, and appointment type.</w:t>
      </w:r>
    </w:p>
    <w:p w14:paraId="15776BC0" w14:textId="77777777" w:rsidR="00D31833" w:rsidRPr="00444B11" w:rsidRDefault="00D31833"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PivotTables were used to cross-tabulate </w:t>
      </w:r>
      <w:proofErr w:type="spellStart"/>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appointment_outcome</w:t>
      </w:r>
      <w:proofErr w:type="spellEnd"/>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(Attended, Cancelled, No-Show) against each variable of interest, allowing no-show rates to be calculated as a proportion of total appointments within each category. Across the full dataset, No-Shows (2,423) substantially outnumbered Cancellations (263), indicating that most missed </w:t>
      </w: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appointments are not flagged in advance, which limits the clinic's ability to reallocate that appointment slot.</w:t>
      </w:r>
    </w:p>
    <w:p w14:paraId="7C8AC778" w14:textId="77777777" w:rsidR="00D31833" w:rsidRPr="00444B11" w:rsidRDefault="00D31833"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three relationships explored were:</w:t>
      </w:r>
    </w:p>
    <w:p w14:paraId="7313461E" w14:textId="1B59643B" w:rsidR="00D31833"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D31833"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Previous no-show history vs. appointment outcome</w:t>
      </w:r>
    </w:p>
    <w:p w14:paraId="4575F318" w14:textId="77777777" w:rsidR="00D31833" w:rsidRPr="00444B11" w:rsidRDefault="00D31833"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Booking lead time (grouped into brackets) vs. appointment outcome</w:t>
      </w:r>
    </w:p>
    <w:p w14:paraId="58FBC5D8" w14:textId="77777777" w:rsidR="00D31833" w:rsidRPr="00444B11" w:rsidRDefault="00D31833"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Appointment type vs. appointment outcome</w:t>
      </w:r>
    </w:p>
    <w:p w14:paraId="14DA7D45" w14:textId="6D44A738" w:rsidR="00D31833" w:rsidRPr="00444B11" w:rsidRDefault="00D31833"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Each of these is presented as a calculated KPI with visualisation in the following </w:t>
      </w:r>
      <w:proofErr w:type="spellStart"/>
      <w:proofErr w:type="gramStart"/>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section.Exploratory</w:t>
      </w:r>
      <w:proofErr w:type="spellEnd"/>
      <w:proofErr w:type="gramEnd"/>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Analysis</w:t>
      </w:r>
    </w:p>
    <w:p w14:paraId="792A8FB8" w14:textId="7EFB907D" w:rsidR="005A7FA1" w:rsidRPr="00444B11" w:rsidRDefault="00444B11" w:rsidP="00444B11">
      <w:pPr>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444B11">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KPI Development</w:t>
      </w:r>
    </w:p>
    <w:p w14:paraId="378DD68A"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KPI 1: No-Show Rate by Booking Lead Time</w:t>
      </w:r>
    </w:p>
    <w:p w14:paraId="6C24BCE6"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 The percentage of appointments resulting in a no-show, grouped into three booking lead time brackets (0–7 days, 8–30 days, 31+ days).</w:t>
      </w:r>
    </w:p>
    <w:p w14:paraId="586FB7B1"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it matters: Understanding whether last-minute or far-in-advance bookings carry higher risk can inform how the clinic manages confirmations and reminders based on how far ahead an appointment was booked.</w:t>
      </w:r>
    </w:p>
    <w:p w14:paraId="50E6F01E"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question: Does booking lead time affect no-show rates?</w:t>
      </w:r>
    </w:p>
    <w:p w14:paraId="4696A18A"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Calculation:</w:t>
      </w:r>
    </w:p>
    <w:p w14:paraId="1BC00187"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- 0–7 days: 27.81%</w:t>
      </w:r>
    </w:p>
    <w:p w14:paraId="30075C14"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- 8–30 days: 40.21%</w:t>
      </w:r>
    </w:p>
    <w:p w14:paraId="25644269"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- 31+ days: 75.81%</w:t>
      </w:r>
    </w:p>
    <w:p w14:paraId="12547324"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Interpretation: No-show rate rises sharply with booking lead time. Patients who book 31 or more days in advance are nearly three times more likely to miss their appointment than those who book within a week. This is the strongest single predictor identified in this analysis.</w:t>
      </w:r>
    </w:p>
    <w:p w14:paraId="4CD1DA02"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A565D4"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KPI 2: No-Show Rate by Previous No-Show Count</w:t>
      </w:r>
    </w:p>
    <w:p w14:paraId="42E85A5E"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 The percentage of appointments resulting in a no-show, grouped by the number of previous no-shows recorded for that patient (0 through 5).</w:t>
      </w:r>
    </w:p>
    <w:p w14:paraId="66DFB252"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it matters: If a patient's own history predicts future behaviour, high-risk patients could be proactively flagged for additional reminders or support.</w:t>
      </w:r>
    </w:p>
    <w:p w14:paraId="2EC8DC64"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question: Does a patient's previous no-show history predict future no-shows?</w:t>
      </w:r>
    </w:p>
    <w:p w14:paraId="6ABBB1AE"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Calculation:</w:t>
      </w:r>
    </w:p>
    <w:p w14:paraId="3D9C59BF"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- 0 previous no-shows: 43.51%</w:t>
      </w:r>
    </w:p>
    <w:p w14:paraId="322BBFB1"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 53.49%</w:t>
      </w:r>
    </w:p>
    <w:p w14:paraId="5365B1D5"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59.36%</w:t>
      </w:r>
    </w:p>
    <w:p w14:paraId="7F640B9F"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 67.95%</w:t>
      </w:r>
    </w:p>
    <w:p w14:paraId="3C1ECB66"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 66.67%</w:t>
      </w:r>
    </w:p>
    <w:p w14:paraId="046DCC9E"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- 5: 100.00%</w:t>
      </w:r>
    </w:p>
    <w:p w14:paraId="034F8499"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Interpretation: No-show rate increases consistently as previous no-show count rises, reaching 100% at 5 previous no-shows. This confirms previous no-show history is a strong, reliable predictor and a natural candidate for a patient risk flag.</w:t>
      </w:r>
    </w:p>
    <w:p w14:paraId="07E3937E"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KPI 3: No-Show Rate by Appointment Type</w:t>
      </w:r>
    </w:p>
    <w:p w14:paraId="09A080E1"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 The percentage of appointments resulting in a no-show, grouped by appointment type (Diagnostic Test, Follow-up, General Consultation, Specialist Consultation).</w:t>
      </w:r>
    </w:p>
    <w:p w14:paraId="6D7CF82D"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it matters: If certain appointment types carry meaningfully higher risk, staffing and reminder intensity could be adjusted by appointment type.</w:t>
      </w:r>
    </w:p>
    <w:p w14:paraId="6E49B847"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question: Do appointment type or time slot affect no-show rates?</w:t>
      </w:r>
    </w:p>
    <w:p w14:paraId="1D2F6538"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Calculation:</w:t>
      </w:r>
    </w:p>
    <w:p w14:paraId="3E4ADEB3"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Diagnostic Test: 49.75%</w:t>
      </w:r>
    </w:p>
    <w:p w14:paraId="594E4C32"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Follow-up: 51.23%</w:t>
      </w:r>
    </w:p>
    <w:p w14:paraId="2BCE0BD5"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General Consultation: 46.64%</w:t>
      </w:r>
    </w:p>
    <w:p w14:paraId="1AA8B2E9" w14:textId="77777777" w:rsidR="00444B11" w:rsidRP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Specialist Consultation: 47.44%</w:t>
      </w:r>
    </w:p>
    <w:p w14:paraId="2424094C" w14:textId="54E467E4" w:rsid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Interpretation: No-show rates are relatively similar across all four appointment types (a range of under 5 percentage points), suggesting appointment type has limited influence on no-show behaviour compared to booking lead time and previous no-show history.</w:t>
      </w:r>
    </w:p>
    <w:p w14:paraId="614FB655" w14:textId="77777777" w:rsidR="00444B11" w:rsidRDefault="00444B11" w:rsidP="00444B11">
      <w:pPr>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63030B" w14:textId="4878842E" w:rsidR="00444B11" w:rsidRDefault="00444B11" w:rsidP="00444B11">
      <w:pPr>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5.Visualisations</w:t>
      </w:r>
    </w:p>
    <w:p w14:paraId="4F2C74A8" w14:textId="09F4B055" w:rsidR="00444B11" w:rsidRDefault="00444B11"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B11">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three KPIs above are presented visually below</w:t>
      </w:r>
      <w:r w:rsidR="00704B02" w:rsidRPr="00704B02">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B1D6C46" wp14:editId="02CF602C">
            <wp:extent cx="2981741" cy="2934109"/>
            <wp:effectExtent l="0" t="0" r="9525" b="0"/>
            <wp:docPr id="172956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60346" name=""/>
                    <pic:cNvPicPr/>
                  </pic:nvPicPr>
                  <pic:blipFill>
                    <a:blip r:embed="rId5"/>
                    <a:stretch>
                      <a:fillRect/>
                    </a:stretch>
                  </pic:blipFill>
                  <pic:spPr>
                    <a:xfrm>
                      <a:off x="0" y="0"/>
                      <a:ext cx="2981741" cy="2934109"/>
                    </a:xfrm>
                    <a:prstGeom prst="rect">
                      <a:avLst/>
                    </a:prstGeom>
                  </pic:spPr>
                </pic:pic>
              </a:graphicData>
            </a:graphic>
          </wp:inline>
        </w:drawing>
      </w:r>
    </w:p>
    <w:p w14:paraId="390BFA1F" w14:textId="162CF73E" w:rsidR="00444B11" w:rsidRDefault="00704B02"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i/>
          <w:iCs/>
          <w:noProof/>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08AB4EF" wp14:editId="7C962BF8">
            <wp:extent cx="4593221" cy="2381250"/>
            <wp:effectExtent l="0" t="0" r="0" b="0"/>
            <wp:docPr id="13100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99263" cy="2384383"/>
                    </a:xfrm>
                    <a:prstGeom prst="rect">
                      <a:avLst/>
                    </a:prstGeom>
                    <a:noFill/>
                  </pic:spPr>
                </pic:pic>
              </a:graphicData>
            </a:graphic>
          </wp:inline>
        </w:drawing>
      </w:r>
    </w:p>
    <w:p w14:paraId="6FF027F4" w14:textId="15E75E68" w:rsidR="00550C8D" w:rsidRDefault="00704B02" w:rsidP="00444B11">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i/>
          <w:iCs/>
          <w:noProof/>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CFE662C" wp14:editId="0DF83C27">
            <wp:extent cx="4094930" cy="1781175"/>
            <wp:effectExtent l="0" t="0" r="1270" b="0"/>
            <wp:docPr id="1341965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00195" cy="1783465"/>
                    </a:xfrm>
                    <a:prstGeom prst="rect">
                      <a:avLst/>
                    </a:prstGeom>
                    <a:noFill/>
                  </pic:spPr>
                </pic:pic>
              </a:graphicData>
            </a:graphic>
          </wp:inline>
        </w:drawing>
      </w:r>
    </w:p>
    <w:p w14:paraId="0CFA006A" w14:textId="1EB7D768" w:rsidR="00550C8D" w:rsidRDefault="00550C8D" w:rsidP="00444B11">
      <w:pPr>
        <w:rPr>
          <w:rFonts w:ascii="Arial" w:hAnsi="Arial" w:cs="Arial"/>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Key Business Insights</w:t>
      </w:r>
    </w:p>
    <w:p w14:paraId="1605F58A" w14:textId="77777777" w:rsidR="00550C8D" w:rsidRP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Booking lead time is the strongest predictor of no-shows. Patients who book 31 or more days in advance no-show at nearly three times the rate of those who book within a week </w:t>
      </w: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(75.81% vs. 27.81%). This suggests the clinic should implement stronger, more frequent reminder cadences specifically for appointments booked far in advance.</w:t>
      </w:r>
    </w:p>
    <w:p w14:paraId="682FD5B6" w14:textId="77777777" w:rsidR="00550C8D" w:rsidRP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 patient's own history is highly predictive of future behaviour. No-show rate climbs steadily and consistently with prior no-show count, reaching 100% for patients with 5 previous no-shows. This makes previous no-show count a strong candidate for a "high-risk patient" flag within a scheduling or reminder system.</w:t>
      </w:r>
    </w:p>
    <w:p w14:paraId="7747BC00" w14:textId="77777777" w:rsidR="00550C8D" w:rsidRP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Appointment type has minimal influence on no-show behaviour. All four appointment types fall within a narrow 44.64%–51.23% range, indicating that no-show behaviour is driven far more by timing and patient history than by the type of appointment booked.</w:t>
      </w:r>
    </w:p>
    <w:p w14:paraId="3AD2DC55" w14:textId="77777777" w:rsidR="00550C8D" w:rsidRP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Combined risk factors are likely to compound. A patient with both a high previous no-show count and a long booking lead time may represent a particularly high-risk case. This relationship was not tested directly in Week 5 and is recommended for multi-variable analysis in Week 6.</w:t>
      </w:r>
    </w:p>
    <w:p w14:paraId="63A04660" w14:textId="3EA74A8B" w:rsid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No-shows substantially outnumber cancellations across the dataset (2,423 no-shows vs. 263 cancellations out of 5,000 appointments). This indicates that most missed appointments are not flagged or cancelled in advance, limiting the clinic's ability to reallocate that slot to another patient. Encouraging easier or more visible cancellation options could help recover some of this lost capacity.</w:t>
      </w:r>
    </w:p>
    <w:p w14:paraId="6FABD3DD" w14:textId="77777777" w:rsid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6ED077" w14:textId="4EB6B959" w:rsidR="00550C8D" w:rsidRDefault="00550C8D" w:rsidP="00550C8D">
      <w:pPr>
        <w:rPr>
          <w:rFonts w:ascii="Arial" w:hAnsi="Arial" w:cs="Arial"/>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Business Recommendations</w:t>
      </w:r>
    </w:p>
    <w:p w14:paraId="591D6920" w14:textId="77777777" w:rsidR="00550C8D" w:rsidRP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Based on the insights above, the following practical recommendations are proposed for </w:t>
      </w:r>
      <w:proofErr w:type="spellStart"/>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HealthConnect</w:t>
      </w:r>
      <w:proofErr w:type="spellEnd"/>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Clinic:</w:t>
      </w:r>
    </w:p>
    <w:p w14:paraId="168AB2EB" w14:textId="77777777" w:rsidR="00550C8D" w:rsidRP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Introduce escalating reminder intensity based on booking lead time. Appointments booked 31+ days in advance should receive additional reminder touchpoints (e.g., an early reminder shortly after booking, in addition to the standard pre-appointment reminder) given their substantially higher no-show risk.</w:t>
      </w:r>
    </w:p>
    <w:p w14:paraId="02CE6A66" w14:textId="77777777" w:rsidR="00550C8D" w:rsidRP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Implement a patient risk flag based on previous no-show count. Patients with 2 or more previous no-shows could be automatically flagged for extra confirmation steps, such as a phone call confirmation or a waitlist backup patient for that slot.</w:t>
      </w:r>
    </w:p>
    <w:p w14:paraId="600BBD69" w14:textId="77777777" w:rsid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Improve visibility and ease of the cancellation process. Since no-shows vastly outnumber cancellations, patients who know in advance they cannot attend may not be cancelling because the process is inconvenient. Simplifying cancellation (e.g., a one-tap cancel link in</w:t>
      </w:r>
    </w:p>
    <w:p w14:paraId="4A2F3745" w14:textId="7944D0D0" w:rsidR="00550C8D" w:rsidRP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reminder messages) could convert some no-shows into cancellations, allowing slots to be reallocated.</w:t>
      </w:r>
    </w:p>
    <w:p w14:paraId="6286D452" w14:textId="07E4CF65" w:rsid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Prioritise booking lead time and no-show history over appointment type when designing interventions, since appointment type showed limited predictive value in this analysis.</w:t>
      </w:r>
    </w:p>
    <w:p w14:paraId="4DF6A73B" w14:textId="0C622CCC" w:rsidR="00550C8D" w:rsidRDefault="00550C8D" w:rsidP="00550C8D">
      <w:pPr>
        <w:rPr>
          <w:rFonts w:ascii="Arial" w:hAnsi="Arial" w:cs="Arial"/>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8.Limitations</w:t>
      </w:r>
    </w:p>
    <w:p w14:paraId="049ECFD3" w14:textId="77777777" w:rsidR="00550C8D" w:rsidRP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dataset does not include reasons for no-shows or cancellations, so this analysis identifies patterns but not underlying causes.</w:t>
      </w:r>
    </w:p>
    <w:p w14:paraId="5B97813B" w14:textId="77777777" w:rsidR="00550C8D" w:rsidRP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KPI 1 relies on manually chosen lead time brackets (0–7, 8–30, 31+ days); different bracket boundaries could reveal a different pattern and should be tested for sensitivity in future analysis.</w:t>
      </w:r>
    </w:p>
    <w:p w14:paraId="5E459B62" w14:textId="77777777" w:rsidR="00550C8D" w:rsidRP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analysis considered each variable independently. Interaction effects between variables (e.g., previous no-shows combined with booking lead time) were not tested and may reveal stronger or different patterns.</w:t>
      </w:r>
    </w:p>
    <w:p w14:paraId="2F66EE79" w14:textId="77777777" w:rsidR="00550C8D" w:rsidRP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Missing values in </w:t>
      </w:r>
      <w:proofErr w:type="spellStart"/>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distance_to_clinic_km</w:t>
      </w:r>
      <w:proofErr w:type="spellEnd"/>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waiting_time_minutes</w:t>
      </w:r>
      <w:proofErr w:type="spellEnd"/>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were not addressed this week, as these variables were not used in the current KPIs; they will need to be handled if used in Week 6 analysis.</w:t>
      </w:r>
    </w:p>
    <w:p w14:paraId="0B6A4520" w14:textId="1AD752B4" w:rsid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a fictional, anonymised dataset, findings may not generalise directly to a real clinical setting.</w:t>
      </w:r>
    </w:p>
    <w:p w14:paraId="41EDDD5B" w14:textId="77E55A85" w:rsidR="00550C8D" w:rsidRDefault="00550C8D" w:rsidP="00550C8D">
      <w:pPr>
        <w:rPr>
          <w:rFonts w:ascii="Arial" w:hAnsi="Arial" w:cs="Arial"/>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9.Cross-Track Collaboration</w:t>
      </w:r>
    </w:p>
    <w:p w14:paraId="757883E2" w14:textId="77777777" w:rsidR="00550C8D" w:rsidRP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interacted with: Data Science</w:t>
      </w:r>
    </w:p>
    <w:p w14:paraId="600A52DC" w14:textId="0EC445DC" w:rsidR="00550C8D" w:rsidRP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Information/output exchanged: The KPI results and business insights developed in this Week 5 Data Analytics submission particularly the strong relationship between previous no-show count, booking lead time, and no-show outcome provide a validated starting point for the Data Science track's proposed no-show prediction model. These two variables (</w:t>
      </w:r>
      <w:proofErr w:type="spellStart"/>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previous_no_shows</w:t>
      </w:r>
      <w:proofErr w:type="spellEnd"/>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booking_lead_days</w:t>
      </w:r>
      <w:proofErr w:type="spellEnd"/>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its derived </w:t>
      </w:r>
      <w:proofErr w:type="spellStart"/>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lead_time_bracket</w:t>
      </w:r>
      <w:proofErr w:type="spellEnd"/>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are strong candidate features, since they show the clearest relationship with the target variable (</w:t>
      </w:r>
      <w:proofErr w:type="spellStart"/>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appointment_outcome</w:t>
      </w:r>
      <w:proofErr w:type="spellEnd"/>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any variables tested this week.</w:t>
      </w:r>
    </w:p>
    <w:p w14:paraId="7E0EA746" w14:textId="77777777" w:rsidR="00550C8D" w:rsidRP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the interaction is relevant: Data Science's Week 5 task involves feature engineering and baseline model development for predicting no-shows. Sharing which variables show the strongest observed relationship with no-show outcomes helps prioritise feature selection and avoid duplicating exploratory work already completed by the Data Analytics track.</w:t>
      </w:r>
    </w:p>
    <w:p w14:paraId="1546107D" w14:textId="521ECB26" w:rsidR="00550C8D" w:rsidRDefault="00550C8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changed or improved as a result: This exchange means the Data Science track can treat </w:t>
      </w:r>
      <w:proofErr w:type="spellStart"/>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previous_no_shows</w:t>
      </w:r>
      <w:proofErr w:type="spellEnd"/>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lead_time_bracket</w:t>
      </w:r>
      <w:proofErr w:type="spellEnd"/>
      <w:r w:rsidRPr="00550C8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high-priority candidate features for baseline modelling, rather than testing all available variables with equal priority.</w:t>
      </w:r>
    </w:p>
    <w:p w14:paraId="2B69390E" w14:textId="77777777" w:rsidR="00A8159D" w:rsidRDefault="00A8159D" w:rsidP="00550C8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F29B26" w14:textId="411DF052" w:rsidR="00A8159D" w:rsidRDefault="00A8159D" w:rsidP="00550C8D">
      <w:pPr>
        <w:rPr>
          <w:rFonts w:ascii="Arial" w:hAnsi="Arial" w:cs="Arial"/>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59D">
        <w:rPr>
          <w:rFonts w:ascii="Arial" w:hAnsi="Arial" w:cs="Arial"/>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5 Project Summary</w:t>
      </w:r>
    </w:p>
    <w:p w14:paraId="28D93646" w14:textId="77777777" w:rsidR="00A8159D" w:rsidRDefault="00A8159D" w:rsidP="00A8159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59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Planned for Week 5: Calculate the four KPIs proposed in Week 4, visualise them, and identify meaningful business insights and predictors of no-shows.</w:t>
      </w:r>
    </w:p>
    <w:p w14:paraId="77F37953" w14:textId="00E69470" w:rsidR="00A8159D" w:rsidRPr="00A8159D" w:rsidRDefault="00A8159D" w:rsidP="00A8159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59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What was completed: Three of the four proposed KPIs were calculated and visualised using PivotTables and charts in Excel (no-show rate by previous no-show count, by booking lead time bracket, and by appointment type). Five business insights and four practical recommendations were developed based on these results. A cross-track collaboration point with the Data Science track was also documented.</w:t>
      </w:r>
    </w:p>
    <w:p w14:paraId="6D57DE52" w14:textId="77777777" w:rsidR="00A8159D" w:rsidRPr="00A8159D" w:rsidRDefault="00A8159D" w:rsidP="00A8159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59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findings: Booking lead time and previous no-show history are both strong predictors of no-shows, with no-show rates ranging from 27.81% to 75.81% by lead time and from 43.51% to 100.00% by previous no-show count. Appointment type showed comparatively little influence on no-show behaviour.</w:t>
      </w:r>
    </w:p>
    <w:p w14:paraId="0D1EEBFD" w14:textId="77777777" w:rsidR="00A8159D" w:rsidRPr="00A8159D" w:rsidRDefault="00A8159D" w:rsidP="00A8159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59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Major challenges encountered: Formula entry in Excel required adjusting for the system's use of semicolons rather than commas as argument separators, and chart creation initially plotted both label and value columns as data series, requiring correction via Select Data.</w:t>
      </w:r>
    </w:p>
    <w:p w14:paraId="77ABBB73" w14:textId="77777777" w:rsidR="00A8159D" w:rsidRPr="00A8159D" w:rsidRDefault="00A8159D" w:rsidP="00A8159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59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decisions made: Booking lead time was grouped into three brackets (0–7, 8–30, 31+ days) rather than analysed as a continuous variable, to make the KPI easier to interpret and present. The fourth proposed KPI (no-show rate by appointment time slot) was not calculated this week due to time constraints and is proposed as a priority for Week 6.</w:t>
      </w:r>
    </w:p>
    <w:p w14:paraId="3544F766" w14:textId="77777777" w:rsidR="00A8159D" w:rsidRPr="00A8159D" w:rsidRDefault="00A8159D" w:rsidP="00A8159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59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 to Week 4 approach: None of the core approach changed; all three business questions and their associated KPIs were carried forward as planned.</w:t>
      </w:r>
    </w:p>
    <w:p w14:paraId="2550EA42" w14:textId="77777777" w:rsidR="00A8159D" w:rsidRPr="00A8159D" w:rsidRDefault="00A8159D" w:rsidP="00A8159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59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Cross-track collaboration completed: Documented a dependency with the Data Science track, sharing which variables (</w:t>
      </w:r>
      <w:proofErr w:type="spellStart"/>
      <w:r w:rsidRPr="00A8159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previous_no_shows</w:t>
      </w:r>
      <w:proofErr w:type="spellEnd"/>
      <w:r w:rsidRPr="00A8159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8159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lead_time_bracket</w:t>
      </w:r>
      <w:proofErr w:type="spellEnd"/>
      <w:r w:rsidRPr="00A8159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showed the strongest relationship with no-show outcomes as candidate features for their baseline model.</w:t>
      </w:r>
    </w:p>
    <w:p w14:paraId="6D5CD96C" w14:textId="77777777" w:rsidR="00A8159D" w:rsidRPr="00A8159D" w:rsidRDefault="00A8159D" w:rsidP="00A8159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59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Remaining work: Calculate the fourth KPI (no-show rate by appointment time slot</w:t>
      </w:r>
      <w:proofErr w:type="gramStart"/>
      <w:r w:rsidRPr="00A8159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w:t>
      </w:r>
      <w:proofErr w:type="gramEnd"/>
      <w:r w:rsidRPr="00A8159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begin testing combined/multi-variable relationships (e.g., previous no-shows combined with booking lead time) as flagged in the limitations section.</w:t>
      </w:r>
    </w:p>
    <w:p w14:paraId="77FD75E2" w14:textId="163B22FF" w:rsidR="00A8159D" w:rsidRPr="00A8159D" w:rsidRDefault="00A8159D" w:rsidP="00A8159D">
      <w:pPr>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59D">
        <w:rPr>
          <w:rFonts w:ascii="Arial" w:hAnsi="Arial" w:cs="Arial"/>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focus for Week 6: Multi-variable analysis of the strongest predictors identified this week, and calculation of the remaining KPI on appointment time slot.</w:t>
      </w:r>
    </w:p>
    <w:sectPr w:rsidR="00A8159D" w:rsidRPr="00A81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3486F"/>
    <w:multiLevelType w:val="hybridMultilevel"/>
    <w:tmpl w:val="D4E01986"/>
    <w:lvl w:ilvl="0" w:tplc="1C09000F">
      <w:start w:val="1"/>
      <w:numFmt w:val="decimal"/>
      <w:lvlText w:val="%1."/>
      <w:lvlJc w:val="left"/>
      <w:pPr>
        <w:ind w:left="1494"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58603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833"/>
    <w:rsid w:val="00444B11"/>
    <w:rsid w:val="00550C8D"/>
    <w:rsid w:val="005A7FA1"/>
    <w:rsid w:val="006314AD"/>
    <w:rsid w:val="00704B02"/>
    <w:rsid w:val="00A8159D"/>
    <w:rsid w:val="00D31833"/>
    <w:rsid w:val="00E346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A3BA3"/>
  <w15:chartTrackingRefBased/>
  <w15:docId w15:val="{B7BFA887-2370-4D16-9F7B-714C3E902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8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8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8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8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8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833"/>
    <w:rPr>
      <w:rFonts w:eastAsiaTheme="majorEastAsia" w:cstheme="majorBidi"/>
      <w:color w:val="272727" w:themeColor="text1" w:themeTint="D8"/>
    </w:rPr>
  </w:style>
  <w:style w:type="paragraph" w:styleId="Title">
    <w:name w:val="Title"/>
    <w:basedOn w:val="Normal"/>
    <w:next w:val="Normal"/>
    <w:link w:val="TitleChar"/>
    <w:uiPriority w:val="10"/>
    <w:qFormat/>
    <w:rsid w:val="00D31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833"/>
    <w:pPr>
      <w:spacing w:before="160"/>
      <w:jc w:val="center"/>
    </w:pPr>
    <w:rPr>
      <w:i/>
      <w:iCs/>
      <w:color w:val="404040" w:themeColor="text1" w:themeTint="BF"/>
    </w:rPr>
  </w:style>
  <w:style w:type="character" w:customStyle="1" w:styleId="QuoteChar">
    <w:name w:val="Quote Char"/>
    <w:basedOn w:val="DefaultParagraphFont"/>
    <w:link w:val="Quote"/>
    <w:uiPriority w:val="29"/>
    <w:rsid w:val="00D31833"/>
    <w:rPr>
      <w:i/>
      <w:iCs/>
      <w:color w:val="404040" w:themeColor="text1" w:themeTint="BF"/>
    </w:rPr>
  </w:style>
  <w:style w:type="paragraph" w:styleId="ListParagraph">
    <w:name w:val="List Paragraph"/>
    <w:basedOn w:val="Normal"/>
    <w:uiPriority w:val="34"/>
    <w:qFormat/>
    <w:rsid w:val="00D31833"/>
    <w:pPr>
      <w:ind w:left="720"/>
      <w:contextualSpacing/>
    </w:pPr>
  </w:style>
  <w:style w:type="character" w:styleId="IntenseEmphasis">
    <w:name w:val="Intense Emphasis"/>
    <w:basedOn w:val="DefaultParagraphFont"/>
    <w:uiPriority w:val="21"/>
    <w:qFormat/>
    <w:rsid w:val="00D31833"/>
    <w:rPr>
      <w:i/>
      <w:iCs/>
      <w:color w:val="0F4761" w:themeColor="accent1" w:themeShade="BF"/>
    </w:rPr>
  </w:style>
  <w:style w:type="paragraph" w:styleId="IntenseQuote">
    <w:name w:val="Intense Quote"/>
    <w:basedOn w:val="Normal"/>
    <w:next w:val="Normal"/>
    <w:link w:val="IntenseQuoteChar"/>
    <w:uiPriority w:val="30"/>
    <w:qFormat/>
    <w:rsid w:val="00D31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833"/>
    <w:rPr>
      <w:i/>
      <w:iCs/>
      <w:color w:val="0F4761" w:themeColor="accent1" w:themeShade="BF"/>
    </w:rPr>
  </w:style>
  <w:style w:type="character" w:styleId="IntenseReference">
    <w:name w:val="Intense Reference"/>
    <w:basedOn w:val="DefaultParagraphFont"/>
    <w:uiPriority w:val="32"/>
    <w:qFormat/>
    <w:rsid w:val="00D318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1839</Words>
  <Characters>10485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Fency Lebethe</dc:creator>
  <cp:keywords/>
  <dc:description/>
  <cp:lastModifiedBy>Fency Lebethe</cp:lastModifiedBy>
  <cp:revision>2</cp:revision>
  <dcterms:created xsi:type="dcterms:W3CDTF">2026-09-02T19:35:00Z</dcterms:created>
  <dcterms:modified xsi:type="dcterms:W3CDTF">2026-09-05T15:10:00Z</dcterms:modified>
</cp:coreProperties>
</file>