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5A12" w14:textId="77777777" w:rsidR="00682FA8" w:rsidRPr="00682FA8" w:rsidRDefault="00682FA8" w:rsidP="00682FA8">
      <w:pPr>
        <w:rPr>
          <w:rFonts w:ascii="Arial" w:hAnsi="Arial" w:cs="Arial"/>
          <w:i/>
          <w:iCs/>
          <w:sz w:val="28"/>
          <w:szCs w:val="28"/>
        </w:rPr>
      </w:pPr>
      <w:proofErr w:type="spellStart"/>
      <w:r w:rsidRPr="00682FA8">
        <w:rPr>
          <w:rFonts w:ascii="Arial" w:hAnsi="Arial" w:cs="Arial"/>
          <w:i/>
          <w:iCs/>
          <w:sz w:val="28"/>
          <w:szCs w:val="28"/>
        </w:rPr>
        <w:t>HealthConnect</w:t>
      </w:r>
      <w:proofErr w:type="spellEnd"/>
      <w:r w:rsidRPr="00682FA8">
        <w:rPr>
          <w:rFonts w:ascii="Arial" w:hAnsi="Arial" w:cs="Arial"/>
          <w:i/>
          <w:iCs/>
          <w:sz w:val="28"/>
          <w:szCs w:val="28"/>
        </w:rPr>
        <w:t xml:space="preserve"> Clinic – Week 6 Analysis</w:t>
      </w:r>
    </w:p>
    <w:p w14:paraId="09D11FD0" w14:textId="77777777" w:rsidR="00682FA8" w:rsidRPr="00682FA8" w:rsidRDefault="00682FA8" w:rsidP="00682FA8">
      <w:pPr>
        <w:rPr>
          <w:rFonts w:ascii="Arial" w:hAnsi="Arial" w:cs="Arial"/>
          <w:i/>
          <w:iCs/>
          <w:sz w:val="28"/>
          <w:szCs w:val="28"/>
        </w:rPr>
      </w:pPr>
      <w:proofErr w:type="spellStart"/>
      <w:r w:rsidRPr="00682FA8">
        <w:rPr>
          <w:rFonts w:ascii="Arial" w:hAnsi="Arial" w:cs="Arial"/>
          <w:i/>
          <w:iCs/>
          <w:sz w:val="28"/>
          <w:szCs w:val="28"/>
        </w:rPr>
        <w:t>AnalystLab</w:t>
      </w:r>
      <w:proofErr w:type="spellEnd"/>
      <w:r w:rsidRPr="00682FA8">
        <w:rPr>
          <w:rFonts w:ascii="Arial" w:hAnsi="Arial" w:cs="Arial"/>
          <w:i/>
          <w:iCs/>
          <w:sz w:val="28"/>
          <w:szCs w:val="28"/>
        </w:rPr>
        <w:t xml:space="preserve"> Africa | Data Analytics Track</w:t>
      </w:r>
    </w:p>
    <w:p w14:paraId="36BE15AD" w14:textId="71F92DD7" w:rsidR="00682FA8" w:rsidRPr="00682FA8" w:rsidRDefault="00682FA8" w:rsidP="00682FA8">
      <w:pPr>
        <w:rPr>
          <w:rFonts w:ascii="Arial" w:hAnsi="Arial" w:cs="Arial"/>
          <w:i/>
          <w:iCs/>
          <w:sz w:val="28"/>
          <w:szCs w:val="28"/>
        </w:rPr>
      </w:pPr>
      <w:r w:rsidRPr="00682FA8">
        <w:rPr>
          <w:rFonts w:ascii="Arial" w:hAnsi="Arial" w:cs="Arial"/>
          <w:i/>
          <w:iCs/>
          <w:sz w:val="28"/>
          <w:szCs w:val="28"/>
        </w:rPr>
        <w:t>[</w:t>
      </w:r>
      <w:r>
        <w:rPr>
          <w:rFonts w:ascii="Arial" w:hAnsi="Arial" w:cs="Arial"/>
          <w:i/>
          <w:iCs/>
          <w:sz w:val="28"/>
          <w:szCs w:val="28"/>
        </w:rPr>
        <w:t>Ofentse Lebethe</w:t>
      </w:r>
      <w:r w:rsidRPr="00682FA8">
        <w:rPr>
          <w:rFonts w:ascii="Arial" w:hAnsi="Arial" w:cs="Arial"/>
          <w:i/>
          <w:iCs/>
          <w:sz w:val="28"/>
          <w:szCs w:val="28"/>
        </w:rPr>
        <w:t>]</w:t>
      </w:r>
    </w:p>
    <w:p w14:paraId="355260A5" w14:textId="77777777" w:rsidR="00682FA8" w:rsidRPr="00682FA8" w:rsidRDefault="00682FA8" w:rsidP="00682FA8">
      <w:pPr>
        <w:rPr>
          <w:rFonts w:ascii="Arial" w:hAnsi="Arial" w:cs="Arial"/>
          <w:i/>
          <w:iCs/>
          <w:sz w:val="28"/>
          <w:szCs w:val="28"/>
        </w:rPr>
      </w:pPr>
    </w:p>
    <w:p w14:paraId="345268C4" w14:textId="77777777" w:rsidR="00682FA8" w:rsidRPr="00682FA8" w:rsidRDefault="00682FA8" w:rsidP="00682FA8">
      <w:pPr>
        <w:rPr>
          <w:rFonts w:ascii="Arial" w:hAnsi="Arial" w:cs="Arial"/>
          <w:i/>
          <w:iCs/>
          <w:sz w:val="28"/>
          <w:szCs w:val="28"/>
        </w:rPr>
      </w:pPr>
      <w:r w:rsidRPr="00682FA8">
        <w:rPr>
          <w:rFonts w:ascii="Arial" w:hAnsi="Arial" w:cs="Arial"/>
          <w:i/>
          <w:iCs/>
          <w:sz w:val="28"/>
          <w:szCs w:val="28"/>
        </w:rPr>
        <w:t>1. Week 5 → Week 6 Transition</w:t>
      </w:r>
    </w:p>
    <w:p w14:paraId="41D54EFA" w14:textId="5D14FEDA" w:rsidR="00682FA8" w:rsidRPr="00682FA8" w:rsidRDefault="00682FA8" w:rsidP="00682FA8">
      <w:pPr>
        <w:rPr>
          <w:rFonts w:ascii="Arial" w:hAnsi="Arial" w:cs="Arial"/>
          <w:i/>
          <w:iCs/>
          <w:sz w:val="28"/>
          <w:szCs w:val="28"/>
        </w:rPr>
      </w:pPr>
      <w:r w:rsidRPr="00682FA8">
        <w:rPr>
          <w:rFonts w:ascii="Arial" w:hAnsi="Arial" w:cs="Arial"/>
          <w:i/>
          <w:iCs/>
          <w:sz w:val="28"/>
          <w:szCs w:val="28"/>
        </w:rPr>
        <w:t>Main Week 5 output: Three KPIs were calculated and visualised in Power BI no-show rate by booking lead time, by previous no-show count, and by appointment type along with five business insights and four recommendations.</w:t>
      </w:r>
    </w:p>
    <w:p w14:paraId="52DEA1BC" w14:textId="77777777" w:rsidR="00682FA8" w:rsidRPr="00682FA8" w:rsidRDefault="00682FA8" w:rsidP="00682FA8">
      <w:pPr>
        <w:rPr>
          <w:rFonts w:ascii="Arial" w:hAnsi="Arial" w:cs="Arial"/>
          <w:i/>
          <w:iCs/>
          <w:sz w:val="28"/>
          <w:szCs w:val="28"/>
        </w:rPr>
      </w:pPr>
      <w:r w:rsidRPr="00682FA8">
        <w:rPr>
          <w:rFonts w:ascii="Arial" w:hAnsi="Arial" w:cs="Arial"/>
          <w:i/>
          <w:iCs/>
          <w:sz w:val="28"/>
          <w:szCs w:val="28"/>
        </w:rPr>
        <w:t>Most important result: Booking lead time and previous no-show count were identified as strong, independent predictors of no-shows (75.81% vs. 27.81% by lead time; 43.51% to 100% by no-show history), while appointment type showed little predictive value.</w:t>
      </w:r>
    </w:p>
    <w:p w14:paraId="1FF08013" w14:textId="56A9C3A9" w:rsidR="00682FA8" w:rsidRPr="00682FA8" w:rsidRDefault="00682FA8" w:rsidP="00682FA8">
      <w:pPr>
        <w:rPr>
          <w:rFonts w:ascii="Arial" w:hAnsi="Arial" w:cs="Arial"/>
          <w:i/>
          <w:iCs/>
          <w:sz w:val="28"/>
          <w:szCs w:val="28"/>
        </w:rPr>
      </w:pPr>
      <w:r w:rsidRPr="00682FA8">
        <w:rPr>
          <w:rFonts w:ascii="Arial" w:hAnsi="Arial" w:cs="Arial"/>
          <w:i/>
          <w:iCs/>
          <w:sz w:val="28"/>
          <w:szCs w:val="28"/>
        </w:rPr>
        <w:t>Main limitation discovered: Week 5 analysis treated each variable independently. It did not test whether these two strongest predictors combine or compound and did not segment findings across patient demographics.</w:t>
      </w:r>
    </w:p>
    <w:p w14:paraId="62C660EC" w14:textId="00FCF6CD" w:rsidR="00682FA8" w:rsidRPr="00682FA8" w:rsidRDefault="00682FA8" w:rsidP="00682FA8">
      <w:pPr>
        <w:rPr>
          <w:rFonts w:ascii="Arial" w:hAnsi="Arial" w:cs="Arial"/>
          <w:i/>
          <w:iCs/>
          <w:sz w:val="28"/>
          <w:szCs w:val="28"/>
        </w:rPr>
      </w:pPr>
      <w:r w:rsidRPr="00682FA8">
        <w:rPr>
          <w:rFonts w:ascii="Arial" w:hAnsi="Arial" w:cs="Arial"/>
          <w:i/>
          <w:iCs/>
          <w:sz w:val="28"/>
          <w:szCs w:val="28"/>
        </w:rPr>
        <w:t>Relevant track for Week 6: Project Management findings and key variables were shared to inform their integration documentation and risk register.</w:t>
      </w:r>
    </w:p>
    <w:p w14:paraId="777C1E71" w14:textId="4A9F83F7" w:rsidR="00682FA8" w:rsidRDefault="00682FA8" w:rsidP="00682FA8">
      <w:pPr>
        <w:rPr>
          <w:rFonts w:ascii="Arial" w:hAnsi="Arial" w:cs="Arial"/>
          <w:i/>
          <w:iCs/>
          <w:sz w:val="28"/>
          <w:szCs w:val="28"/>
        </w:rPr>
      </w:pPr>
      <w:r w:rsidRPr="00682FA8">
        <w:rPr>
          <w:rFonts w:ascii="Arial" w:hAnsi="Arial" w:cs="Arial"/>
          <w:i/>
          <w:iCs/>
          <w:sz w:val="28"/>
          <w:szCs w:val="28"/>
        </w:rPr>
        <w:t>Week 6 focus: Validate whether booking lead time and previous no-show history compound when combined, and whether the patterns hold consistently across patient segments (age group, gender).</w:t>
      </w:r>
    </w:p>
    <w:p w14:paraId="7EF98FC7" w14:textId="77777777" w:rsidR="00C64C9F" w:rsidRDefault="00C64C9F" w:rsidP="00682FA8">
      <w:pPr>
        <w:rPr>
          <w:rFonts w:ascii="Arial" w:hAnsi="Arial" w:cs="Arial"/>
          <w:i/>
          <w:iCs/>
          <w:sz w:val="28"/>
          <w:szCs w:val="28"/>
        </w:rPr>
      </w:pPr>
    </w:p>
    <w:p w14:paraId="295B01FE" w14:textId="77777777" w:rsidR="00C64C9F" w:rsidRPr="00C64C9F" w:rsidRDefault="00C64C9F" w:rsidP="00C64C9F">
      <w:pPr>
        <w:rPr>
          <w:rFonts w:ascii="Arial" w:hAnsi="Arial" w:cs="Arial"/>
          <w:i/>
          <w:iCs/>
          <w:sz w:val="28"/>
          <w:szCs w:val="28"/>
        </w:rPr>
      </w:pPr>
      <w:r w:rsidRPr="00C64C9F">
        <w:rPr>
          <w:rFonts w:ascii="Arial" w:hAnsi="Arial" w:cs="Arial"/>
          <w:i/>
          <w:iCs/>
          <w:sz w:val="28"/>
          <w:szCs w:val="28"/>
        </w:rPr>
        <w:t>2. Advanced Analysis: Combined Risk Factors</w:t>
      </w:r>
    </w:p>
    <w:p w14:paraId="236823AC" w14:textId="77777777" w:rsidR="00C64C9F" w:rsidRPr="00C64C9F" w:rsidRDefault="00C64C9F" w:rsidP="00C64C9F">
      <w:pPr>
        <w:rPr>
          <w:rFonts w:ascii="Arial" w:hAnsi="Arial" w:cs="Arial"/>
          <w:i/>
          <w:iCs/>
          <w:sz w:val="28"/>
          <w:szCs w:val="28"/>
        </w:rPr>
      </w:pPr>
    </w:p>
    <w:p w14:paraId="6D2D5260" w14:textId="77777777" w:rsidR="00C64C9F" w:rsidRPr="00C64C9F" w:rsidRDefault="00C64C9F" w:rsidP="00C64C9F">
      <w:pPr>
        <w:rPr>
          <w:rFonts w:ascii="Arial" w:hAnsi="Arial" w:cs="Arial"/>
          <w:i/>
          <w:iCs/>
          <w:sz w:val="28"/>
          <w:szCs w:val="28"/>
        </w:rPr>
      </w:pPr>
      <w:r w:rsidRPr="00C64C9F">
        <w:rPr>
          <w:rFonts w:ascii="Arial" w:hAnsi="Arial" w:cs="Arial"/>
          <w:i/>
          <w:iCs/>
          <w:sz w:val="28"/>
          <w:szCs w:val="28"/>
        </w:rPr>
        <w:t xml:space="preserve">Week 5 identified booking lead time and previous no-show count as the two strongest, independent predictors of no-shows. Week 6 investigated whether these two factors compound when combined, using a cross-tabulation of </w:t>
      </w:r>
      <w:proofErr w:type="spellStart"/>
      <w:r w:rsidRPr="00C64C9F">
        <w:rPr>
          <w:rFonts w:ascii="Arial" w:hAnsi="Arial" w:cs="Arial"/>
          <w:i/>
          <w:iCs/>
          <w:sz w:val="28"/>
          <w:szCs w:val="28"/>
        </w:rPr>
        <w:t>lead_time_bracket</w:t>
      </w:r>
      <w:proofErr w:type="spellEnd"/>
      <w:r w:rsidRPr="00C64C9F">
        <w:rPr>
          <w:rFonts w:ascii="Arial" w:hAnsi="Arial" w:cs="Arial"/>
          <w:i/>
          <w:iCs/>
          <w:sz w:val="28"/>
          <w:szCs w:val="28"/>
        </w:rPr>
        <w:t xml:space="preserve"> and a derived </w:t>
      </w:r>
      <w:proofErr w:type="spellStart"/>
      <w:r w:rsidRPr="00C64C9F">
        <w:rPr>
          <w:rFonts w:ascii="Arial" w:hAnsi="Arial" w:cs="Arial"/>
          <w:i/>
          <w:iCs/>
          <w:sz w:val="28"/>
          <w:szCs w:val="28"/>
        </w:rPr>
        <w:t>no_show_history_risk</w:t>
      </w:r>
      <w:proofErr w:type="spellEnd"/>
      <w:r w:rsidRPr="00C64C9F">
        <w:rPr>
          <w:rFonts w:ascii="Arial" w:hAnsi="Arial" w:cs="Arial"/>
          <w:i/>
          <w:iCs/>
          <w:sz w:val="28"/>
          <w:szCs w:val="28"/>
        </w:rPr>
        <w:t xml:space="preserve"> variable (High: 2+ previous no-shows, Low: 0-1 previous no-shows).</w:t>
      </w:r>
    </w:p>
    <w:p w14:paraId="7EBE255B" w14:textId="77777777" w:rsidR="00C64C9F" w:rsidRPr="00C64C9F" w:rsidRDefault="00C64C9F" w:rsidP="00C64C9F">
      <w:pPr>
        <w:rPr>
          <w:rFonts w:ascii="Arial" w:hAnsi="Arial" w:cs="Arial"/>
          <w:i/>
          <w:iCs/>
          <w:sz w:val="28"/>
          <w:szCs w:val="28"/>
        </w:rPr>
      </w:pPr>
    </w:p>
    <w:p w14:paraId="5FAC1742" w14:textId="77777777" w:rsidR="00C64C9F" w:rsidRPr="00C64C9F" w:rsidRDefault="00C64C9F" w:rsidP="00C64C9F">
      <w:pPr>
        <w:rPr>
          <w:rFonts w:ascii="Arial" w:hAnsi="Arial" w:cs="Arial"/>
          <w:i/>
          <w:iCs/>
          <w:sz w:val="28"/>
          <w:szCs w:val="28"/>
        </w:rPr>
      </w:pPr>
      <w:r w:rsidRPr="00C64C9F">
        <w:rPr>
          <w:rFonts w:ascii="Arial" w:hAnsi="Arial" w:cs="Arial"/>
          <w:i/>
          <w:iCs/>
          <w:sz w:val="28"/>
          <w:szCs w:val="28"/>
        </w:rPr>
        <w:t>Results:</w:t>
      </w:r>
    </w:p>
    <w:p w14:paraId="68051AE9" w14:textId="77777777" w:rsidR="00C64C9F" w:rsidRPr="00C64C9F" w:rsidRDefault="00C64C9F" w:rsidP="00C64C9F">
      <w:pPr>
        <w:rPr>
          <w:rFonts w:ascii="Arial" w:hAnsi="Arial" w:cs="Arial"/>
          <w:i/>
          <w:iCs/>
          <w:sz w:val="28"/>
          <w:szCs w:val="28"/>
        </w:rPr>
      </w:pPr>
    </w:p>
    <w:p w14:paraId="26E657FA" w14:textId="77777777" w:rsidR="00C64C9F" w:rsidRPr="00C64C9F" w:rsidRDefault="00C64C9F" w:rsidP="00C64C9F">
      <w:pPr>
        <w:rPr>
          <w:rFonts w:ascii="Arial" w:hAnsi="Arial" w:cs="Arial"/>
          <w:i/>
          <w:iCs/>
          <w:sz w:val="28"/>
          <w:szCs w:val="28"/>
        </w:rPr>
      </w:pPr>
      <w:r w:rsidRPr="00C64C9F">
        <w:rPr>
          <w:rFonts w:ascii="Arial" w:hAnsi="Arial" w:cs="Arial"/>
          <w:i/>
          <w:iCs/>
          <w:sz w:val="28"/>
          <w:szCs w:val="28"/>
        </w:rPr>
        <w:t>| Lead Time | No-Show History | No-Show Rate |</w:t>
      </w:r>
    </w:p>
    <w:p w14:paraId="7645C55B" w14:textId="1ACE1C0D" w:rsidR="00C64C9F" w:rsidRPr="00C64C9F" w:rsidRDefault="00C64C9F" w:rsidP="00C64C9F">
      <w:pPr>
        <w:rPr>
          <w:rFonts w:ascii="Arial" w:hAnsi="Arial" w:cs="Arial"/>
          <w:i/>
          <w:iCs/>
          <w:sz w:val="28"/>
          <w:szCs w:val="28"/>
        </w:rPr>
      </w:pPr>
      <w:r w:rsidRPr="00C64C9F">
        <w:rPr>
          <w:rFonts w:ascii="Arial" w:hAnsi="Arial" w:cs="Arial"/>
          <w:i/>
          <w:iCs/>
          <w:sz w:val="28"/>
          <w:szCs w:val="28"/>
        </w:rPr>
        <w:t>| 31+ days | High (2+) |73% |</w:t>
      </w:r>
    </w:p>
    <w:p w14:paraId="6DB136A8" w14:textId="77777777" w:rsidR="00C64C9F" w:rsidRPr="00C64C9F" w:rsidRDefault="00C64C9F" w:rsidP="00C64C9F">
      <w:pPr>
        <w:rPr>
          <w:rFonts w:ascii="Arial" w:hAnsi="Arial" w:cs="Arial"/>
          <w:i/>
          <w:iCs/>
          <w:sz w:val="28"/>
          <w:szCs w:val="28"/>
        </w:rPr>
      </w:pPr>
      <w:r w:rsidRPr="00C64C9F">
        <w:rPr>
          <w:rFonts w:ascii="Arial" w:hAnsi="Arial" w:cs="Arial"/>
          <w:i/>
          <w:iCs/>
          <w:sz w:val="28"/>
          <w:szCs w:val="28"/>
        </w:rPr>
        <w:t>| 31+ days | Low (0-1) | 59% |</w:t>
      </w:r>
    </w:p>
    <w:p w14:paraId="428ABBF3" w14:textId="77777777" w:rsidR="00C64C9F" w:rsidRPr="00C64C9F" w:rsidRDefault="00C64C9F" w:rsidP="00C64C9F">
      <w:pPr>
        <w:rPr>
          <w:rFonts w:ascii="Arial" w:hAnsi="Arial" w:cs="Arial"/>
          <w:i/>
          <w:iCs/>
          <w:sz w:val="28"/>
          <w:szCs w:val="28"/>
        </w:rPr>
      </w:pPr>
      <w:r w:rsidRPr="00C64C9F">
        <w:rPr>
          <w:rFonts w:ascii="Arial" w:hAnsi="Arial" w:cs="Arial"/>
          <w:i/>
          <w:iCs/>
          <w:sz w:val="28"/>
          <w:szCs w:val="28"/>
        </w:rPr>
        <w:t>| 8-30 days | High (2+) | 55% |</w:t>
      </w:r>
    </w:p>
    <w:p w14:paraId="5F5928ED" w14:textId="77777777" w:rsidR="00C64C9F" w:rsidRPr="00C64C9F" w:rsidRDefault="00C64C9F" w:rsidP="00C64C9F">
      <w:pPr>
        <w:rPr>
          <w:rFonts w:ascii="Arial" w:hAnsi="Arial" w:cs="Arial"/>
          <w:i/>
          <w:iCs/>
          <w:sz w:val="28"/>
          <w:szCs w:val="28"/>
        </w:rPr>
      </w:pPr>
      <w:r w:rsidRPr="00C64C9F">
        <w:rPr>
          <w:rFonts w:ascii="Arial" w:hAnsi="Arial" w:cs="Arial"/>
          <w:i/>
          <w:iCs/>
          <w:sz w:val="28"/>
          <w:szCs w:val="28"/>
        </w:rPr>
        <w:t>| 8-30 days | Low (0-1) | 38% |</w:t>
      </w:r>
    </w:p>
    <w:p w14:paraId="7A83E928" w14:textId="77777777" w:rsidR="00C64C9F" w:rsidRPr="00C64C9F" w:rsidRDefault="00C64C9F" w:rsidP="00C64C9F">
      <w:pPr>
        <w:rPr>
          <w:rFonts w:ascii="Arial" w:hAnsi="Arial" w:cs="Arial"/>
          <w:i/>
          <w:iCs/>
          <w:sz w:val="28"/>
          <w:szCs w:val="28"/>
        </w:rPr>
      </w:pPr>
      <w:r w:rsidRPr="00C64C9F">
        <w:rPr>
          <w:rFonts w:ascii="Arial" w:hAnsi="Arial" w:cs="Arial"/>
          <w:i/>
          <w:iCs/>
          <w:sz w:val="28"/>
          <w:szCs w:val="28"/>
        </w:rPr>
        <w:t>| 0-7 days | High (2+) | 44% |</w:t>
      </w:r>
    </w:p>
    <w:p w14:paraId="3194944D" w14:textId="77777777" w:rsidR="00C64C9F" w:rsidRPr="00C64C9F" w:rsidRDefault="00C64C9F" w:rsidP="00C64C9F">
      <w:pPr>
        <w:rPr>
          <w:rFonts w:ascii="Arial" w:hAnsi="Arial" w:cs="Arial"/>
          <w:i/>
          <w:iCs/>
          <w:sz w:val="28"/>
          <w:szCs w:val="28"/>
        </w:rPr>
      </w:pPr>
      <w:r w:rsidRPr="00C64C9F">
        <w:rPr>
          <w:rFonts w:ascii="Arial" w:hAnsi="Arial" w:cs="Arial"/>
          <w:i/>
          <w:iCs/>
          <w:sz w:val="28"/>
          <w:szCs w:val="28"/>
        </w:rPr>
        <w:t>| 0-7 days | Low (0-1) | 26% |</w:t>
      </w:r>
    </w:p>
    <w:p w14:paraId="2C0A0FB0" w14:textId="77777777" w:rsidR="00C64C9F" w:rsidRPr="00C64C9F" w:rsidRDefault="00C64C9F" w:rsidP="00C64C9F">
      <w:pPr>
        <w:rPr>
          <w:rFonts w:ascii="Arial" w:hAnsi="Arial" w:cs="Arial"/>
          <w:i/>
          <w:iCs/>
          <w:sz w:val="28"/>
          <w:szCs w:val="28"/>
        </w:rPr>
      </w:pPr>
    </w:p>
    <w:p w14:paraId="190891E1" w14:textId="288FAC59" w:rsidR="00C64C9F" w:rsidRPr="00C64C9F" w:rsidRDefault="00C64C9F" w:rsidP="00C64C9F">
      <w:pPr>
        <w:rPr>
          <w:rFonts w:ascii="Arial" w:hAnsi="Arial" w:cs="Arial"/>
          <w:i/>
          <w:iCs/>
          <w:sz w:val="28"/>
          <w:szCs w:val="28"/>
        </w:rPr>
      </w:pPr>
      <w:r w:rsidRPr="00C64C9F">
        <w:rPr>
          <w:rFonts w:ascii="Arial" w:hAnsi="Arial" w:cs="Arial"/>
          <w:i/>
          <w:iCs/>
          <w:sz w:val="28"/>
          <w:szCs w:val="28"/>
        </w:rPr>
        <w:t>Interpretation: The two risk factors compound rather than acting independently. Within every lead-time bracket, patients with a high previous no-show count show a consistently higher no-show rate than those with a low history a gap of roughly 14 to 18 percentage points at every level. The overall range spans from a best case of 26% (short lead time, clean history) to a worst case of 73% (long lead time, high no-show history) a difference of 47 percentage points, and nearly 3x higher risk.</w:t>
      </w:r>
    </w:p>
    <w:p w14:paraId="73EEA705" w14:textId="0BEDA160" w:rsidR="00C64C9F" w:rsidRDefault="00C64C9F" w:rsidP="00C64C9F">
      <w:pPr>
        <w:rPr>
          <w:rFonts w:ascii="Arial" w:hAnsi="Arial" w:cs="Arial"/>
          <w:i/>
          <w:iCs/>
          <w:sz w:val="28"/>
          <w:szCs w:val="28"/>
        </w:rPr>
      </w:pPr>
      <w:r w:rsidRPr="00C64C9F">
        <w:rPr>
          <w:rFonts w:ascii="Arial" w:hAnsi="Arial" w:cs="Arial"/>
          <w:i/>
          <w:iCs/>
          <w:sz w:val="28"/>
          <w:szCs w:val="28"/>
        </w:rPr>
        <w:t xml:space="preserve">This validates and strengthens the Week 5 findings: rather than treating lead time and no-show history as separate considerations, </w:t>
      </w:r>
      <w:proofErr w:type="spellStart"/>
      <w:r w:rsidRPr="00C64C9F">
        <w:rPr>
          <w:rFonts w:ascii="Arial" w:hAnsi="Arial" w:cs="Arial"/>
          <w:i/>
          <w:iCs/>
          <w:sz w:val="28"/>
          <w:szCs w:val="28"/>
        </w:rPr>
        <w:t>HealthConnect</w:t>
      </w:r>
      <w:proofErr w:type="spellEnd"/>
      <w:r w:rsidRPr="00C64C9F">
        <w:rPr>
          <w:rFonts w:ascii="Arial" w:hAnsi="Arial" w:cs="Arial"/>
          <w:i/>
          <w:iCs/>
          <w:sz w:val="28"/>
          <w:szCs w:val="28"/>
        </w:rPr>
        <w:t xml:space="preserve"> Clinic should treat patients who show both risk factors together as a distinct, highest-priority group for intervention.</w:t>
      </w:r>
    </w:p>
    <w:p w14:paraId="52F0C5E2" w14:textId="77777777" w:rsidR="005B7D84" w:rsidRDefault="005B7D84" w:rsidP="00C64C9F">
      <w:pPr>
        <w:rPr>
          <w:rFonts w:ascii="Arial" w:hAnsi="Arial" w:cs="Arial"/>
          <w:i/>
          <w:iCs/>
          <w:sz w:val="28"/>
          <w:szCs w:val="28"/>
        </w:rPr>
      </w:pPr>
    </w:p>
    <w:p w14:paraId="4EF3352D" w14:textId="79E456B9" w:rsidR="005B7D84" w:rsidRDefault="005B7D84" w:rsidP="00C64C9F">
      <w:pPr>
        <w:rPr>
          <w:rFonts w:ascii="Arial" w:hAnsi="Arial" w:cs="Arial"/>
          <w:i/>
          <w:iCs/>
          <w:sz w:val="28"/>
          <w:szCs w:val="28"/>
        </w:rPr>
      </w:pPr>
      <w:r>
        <w:rPr>
          <w:rFonts w:ascii="Arial" w:hAnsi="Arial" w:cs="Arial"/>
          <w:i/>
          <w:iCs/>
          <w:sz w:val="28"/>
          <w:szCs w:val="28"/>
        </w:rPr>
        <w:t>3</w:t>
      </w:r>
      <w:r w:rsidRPr="005B7D84">
        <w:rPr>
          <w:rFonts w:ascii="Arial" w:hAnsi="Arial" w:cs="Arial"/>
          <w:i/>
          <w:iCs/>
          <w:sz w:val="28"/>
          <w:szCs w:val="28"/>
        </w:rPr>
        <w:t>. Refined KPIs and Business Recommendations</w:t>
      </w:r>
    </w:p>
    <w:p w14:paraId="046BD5C1" w14:textId="77777777" w:rsidR="005B7D84" w:rsidRPr="005B7D84" w:rsidRDefault="005B7D84" w:rsidP="005B7D84">
      <w:pPr>
        <w:rPr>
          <w:rFonts w:ascii="Arial" w:hAnsi="Arial" w:cs="Arial"/>
          <w:i/>
          <w:iCs/>
          <w:sz w:val="28"/>
          <w:szCs w:val="28"/>
        </w:rPr>
      </w:pPr>
      <w:r w:rsidRPr="005B7D84">
        <w:rPr>
          <w:rFonts w:ascii="Arial" w:hAnsi="Arial" w:cs="Arial"/>
          <w:i/>
          <w:iCs/>
          <w:sz w:val="28"/>
          <w:szCs w:val="28"/>
        </w:rPr>
        <w:t>The Week 5 KPIs (no-show rate by booking lead time, by previous no-show count, and by appointment type) were validated and remain accurate. The Week 6 combined analysis refines these into a single, more actionable KPI:</w:t>
      </w:r>
    </w:p>
    <w:p w14:paraId="37F3F487" w14:textId="77777777" w:rsidR="005B7D84" w:rsidRPr="005B7D84" w:rsidRDefault="005B7D84" w:rsidP="005B7D84">
      <w:pPr>
        <w:rPr>
          <w:rFonts w:ascii="Arial" w:hAnsi="Arial" w:cs="Arial"/>
          <w:i/>
          <w:iCs/>
          <w:sz w:val="28"/>
          <w:szCs w:val="28"/>
        </w:rPr>
      </w:pPr>
    </w:p>
    <w:p w14:paraId="24F8A75A" w14:textId="77777777" w:rsidR="005B7D84" w:rsidRPr="005B7D84" w:rsidRDefault="005B7D84" w:rsidP="005B7D84">
      <w:pPr>
        <w:rPr>
          <w:rFonts w:ascii="Arial" w:hAnsi="Arial" w:cs="Arial"/>
          <w:i/>
          <w:iCs/>
          <w:sz w:val="28"/>
          <w:szCs w:val="28"/>
        </w:rPr>
      </w:pPr>
      <w:r w:rsidRPr="005B7D84">
        <w:rPr>
          <w:rFonts w:ascii="Arial" w:hAnsi="Arial" w:cs="Arial"/>
          <w:i/>
          <w:iCs/>
          <w:sz w:val="28"/>
          <w:szCs w:val="28"/>
        </w:rPr>
        <w:lastRenderedPageBreak/>
        <w:t>Refined KPI: No-show rate by combined risk segment (lead time bracket × previous no-show history), rather than each factor considered separately. This combined view provides a clearer basis for prioritising interventions than either factor alone.</w:t>
      </w:r>
    </w:p>
    <w:p w14:paraId="7238E608" w14:textId="77777777" w:rsidR="005B7D84" w:rsidRPr="005B7D84" w:rsidRDefault="005B7D84" w:rsidP="005B7D84">
      <w:pPr>
        <w:rPr>
          <w:rFonts w:ascii="Arial" w:hAnsi="Arial" w:cs="Arial"/>
          <w:i/>
          <w:iCs/>
          <w:sz w:val="28"/>
          <w:szCs w:val="28"/>
        </w:rPr>
      </w:pPr>
    </w:p>
    <w:p w14:paraId="0BDDC5E8" w14:textId="77777777" w:rsidR="005B7D84" w:rsidRPr="005B7D84" w:rsidRDefault="005B7D84" w:rsidP="005B7D84">
      <w:pPr>
        <w:rPr>
          <w:rFonts w:ascii="Arial" w:hAnsi="Arial" w:cs="Arial"/>
          <w:i/>
          <w:iCs/>
          <w:sz w:val="28"/>
          <w:szCs w:val="28"/>
        </w:rPr>
      </w:pPr>
      <w:r w:rsidRPr="005B7D84">
        <w:rPr>
          <w:rFonts w:ascii="Arial" w:hAnsi="Arial" w:cs="Arial"/>
          <w:i/>
          <w:iCs/>
          <w:sz w:val="28"/>
          <w:szCs w:val="28"/>
        </w:rPr>
        <w:t>Revised Business Recommendations:</w:t>
      </w:r>
    </w:p>
    <w:p w14:paraId="100430BC" w14:textId="31ACB4A7" w:rsidR="005B7D84" w:rsidRPr="005B7D84" w:rsidRDefault="005B7D84" w:rsidP="005B7D84">
      <w:pPr>
        <w:rPr>
          <w:rFonts w:ascii="Arial" w:hAnsi="Arial" w:cs="Arial"/>
          <w:i/>
          <w:iCs/>
          <w:sz w:val="28"/>
          <w:szCs w:val="28"/>
        </w:rPr>
      </w:pPr>
      <w:r w:rsidRPr="005B7D84">
        <w:rPr>
          <w:rFonts w:ascii="Arial" w:hAnsi="Arial" w:cs="Arial"/>
          <w:i/>
          <w:iCs/>
          <w:sz w:val="28"/>
          <w:szCs w:val="28"/>
        </w:rPr>
        <w:t>1. Introduce a combined risk score rather than two separate flags. Patients with both a long booking lead time (31+ days) and a high previous no-show count (2+) represent the clinic's highest-risk group (73% no-show rate) and should receive the most intensive intervention for example, a confirmation phone call in addition to standard reminders.</w:t>
      </w:r>
    </w:p>
    <w:p w14:paraId="06136261" w14:textId="77777777" w:rsidR="005B7D84" w:rsidRPr="005B7D84" w:rsidRDefault="005B7D84" w:rsidP="005B7D84">
      <w:pPr>
        <w:rPr>
          <w:rFonts w:ascii="Arial" w:hAnsi="Arial" w:cs="Arial"/>
          <w:i/>
          <w:iCs/>
          <w:sz w:val="28"/>
          <w:szCs w:val="28"/>
        </w:rPr>
      </w:pPr>
      <w:r w:rsidRPr="005B7D84">
        <w:rPr>
          <w:rFonts w:ascii="Arial" w:hAnsi="Arial" w:cs="Arial"/>
          <w:i/>
          <w:iCs/>
          <w:sz w:val="28"/>
          <w:szCs w:val="28"/>
        </w:rPr>
        <w:t>2. Reserve lighter-touch reminders for the lowest-risk group. Patients booking within 7 days with no significant no-show history (26% no-show rate) require only standard reminder messaging, allowing the clinic to focus limited administrative resources on higher-risk segments.</w:t>
      </w:r>
    </w:p>
    <w:p w14:paraId="3283F0C6" w14:textId="401AF4B8" w:rsidR="005B7D84" w:rsidRPr="005B7D84" w:rsidRDefault="005B7D84" w:rsidP="005B7D84">
      <w:pPr>
        <w:rPr>
          <w:rFonts w:ascii="Arial" w:hAnsi="Arial" w:cs="Arial"/>
          <w:i/>
          <w:iCs/>
          <w:sz w:val="28"/>
          <w:szCs w:val="28"/>
        </w:rPr>
      </w:pPr>
      <w:r w:rsidRPr="005B7D84">
        <w:rPr>
          <w:rFonts w:ascii="Arial" w:hAnsi="Arial" w:cs="Arial"/>
          <w:i/>
          <w:iCs/>
          <w:sz w:val="28"/>
          <w:szCs w:val="28"/>
        </w:rPr>
        <w:t>3. Treat the middle segments (8–30-day lead time, or a single risk factor present) with a moderate reminder approach for example, an additional SMS reminder rather than a phone call, balancing effort against risk level.</w:t>
      </w:r>
    </w:p>
    <w:p w14:paraId="7756DB20" w14:textId="6875F704" w:rsidR="005B7D84" w:rsidRDefault="005B7D84" w:rsidP="005B7D84">
      <w:pPr>
        <w:rPr>
          <w:rFonts w:ascii="Arial" w:hAnsi="Arial" w:cs="Arial"/>
          <w:i/>
          <w:iCs/>
          <w:sz w:val="28"/>
          <w:szCs w:val="28"/>
        </w:rPr>
      </w:pPr>
      <w:r w:rsidRPr="005B7D84">
        <w:rPr>
          <w:rFonts w:ascii="Arial" w:hAnsi="Arial" w:cs="Arial"/>
          <w:i/>
          <w:iCs/>
          <w:sz w:val="28"/>
          <w:szCs w:val="28"/>
        </w:rPr>
        <w:t>4. Appointment type remains a lower priority for intervention design, as it showed limited independent or combined predictive value relative to lead time and no-show history.</w:t>
      </w:r>
    </w:p>
    <w:p w14:paraId="4CDC270F" w14:textId="77777777" w:rsidR="005D3F14" w:rsidRDefault="005D3F14" w:rsidP="00DF72BC">
      <w:pPr>
        <w:rPr>
          <w:rFonts w:ascii="Arial" w:hAnsi="Arial" w:cs="Arial"/>
          <w:i/>
          <w:iCs/>
          <w:sz w:val="28"/>
          <w:szCs w:val="28"/>
        </w:rPr>
      </w:pPr>
    </w:p>
    <w:p w14:paraId="27180642" w14:textId="189B0702" w:rsidR="005D3F14" w:rsidRDefault="005D3F14" w:rsidP="00DF72BC">
      <w:pPr>
        <w:rPr>
          <w:rFonts w:ascii="Arial" w:hAnsi="Arial" w:cs="Arial"/>
          <w:i/>
          <w:iCs/>
          <w:sz w:val="28"/>
          <w:szCs w:val="28"/>
        </w:rPr>
      </w:pPr>
      <w:r>
        <w:rPr>
          <w:rFonts w:ascii="Arial" w:hAnsi="Arial" w:cs="Arial"/>
          <w:i/>
          <w:iCs/>
          <w:sz w:val="28"/>
          <w:szCs w:val="28"/>
        </w:rPr>
        <w:t>4.Cross Track Integration</w:t>
      </w:r>
    </w:p>
    <w:p w14:paraId="3E9D3C47" w14:textId="52D83E55" w:rsidR="00DF72BC" w:rsidRPr="00DF72BC" w:rsidRDefault="00DF72BC" w:rsidP="00DF72BC">
      <w:pPr>
        <w:rPr>
          <w:rFonts w:ascii="Arial" w:hAnsi="Arial" w:cs="Arial"/>
          <w:i/>
          <w:iCs/>
          <w:sz w:val="28"/>
          <w:szCs w:val="28"/>
        </w:rPr>
      </w:pPr>
      <w:r w:rsidRPr="00DF72BC">
        <w:rPr>
          <w:rFonts w:ascii="Arial" w:hAnsi="Arial" w:cs="Arial"/>
          <w:i/>
          <w:iCs/>
          <w:sz w:val="28"/>
          <w:szCs w:val="28"/>
        </w:rPr>
        <w:t>Track collaborated with: Project Management</w:t>
      </w:r>
    </w:p>
    <w:p w14:paraId="721E1BF8" w14:textId="77777777" w:rsidR="00DF72BC" w:rsidRPr="00DF72BC" w:rsidRDefault="00DF72BC" w:rsidP="00DF72BC">
      <w:pPr>
        <w:rPr>
          <w:rFonts w:ascii="Arial" w:hAnsi="Arial" w:cs="Arial"/>
          <w:i/>
          <w:iCs/>
          <w:sz w:val="28"/>
          <w:szCs w:val="28"/>
        </w:rPr>
      </w:pPr>
      <w:r w:rsidRPr="00DF72BC">
        <w:rPr>
          <w:rFonts w:ascii="Arial" w:hAnsi="Arial" w:cs="Arial"/>
          <w:i/>
          <w:iCs/>
          <w:sz w:val="28"/>
          <w:szCs w:val="28"/>
        </w:rPr>
        <w:t>Project dependency: The Project Management track required Data Analytics findings to inform their Week 6 integration documentation, including the project risk register and Week 7 testing coordination plan.</w:t>
      </w:r>
    </w:p>
    <w:p w14:paraId="6564FE45" w14:textId="77777777" w:rsidR="00DF72BC" w:rsidRPr="00DF72BC" w:rsidRDefault="00DF72BC" w:rsidP="00DF72BC">
      <w:pPr>
        <w:rPr>
          <w:rFonts w:ascii="Arial" w:hAnsi="Arial" w:cs="Arial"/>
          <w:i/>
          <w:iCs/>
          <w:sz w:val="28"/>
          <w:szCs w:val="28"/>
        </w:rPr>
      </w:pPr>
      <w:r w:rsidRPr="00DF72BC">
        <w:rPr>
          <w:rFonts w:ascii="Arial" w:hAnsi="Arial" w:cs="Arial"/>
          <w:i/>
          <w:iCs/>
          <w:sz w:val="28"/>
          <w:szCs w:val="28"/>
        </w:rPr>
        <w:t xml:space="preserve">Information/output received: A specific request outlining what the Project Management track needed: current analysis/output on appointment attendance and no-shows, key findings and relevant patterns, important </w:t>
      </w:r>
      <w:r w:rsidRPr="00DF72BC">
        <w:rPr>
          <w:rFonts w:ascii="Arial" w:hAnsi="Arial" w:cs="Arial"/>
          <w:i/>
          <w:iCs/>
          <w:sz w:val="28"/>
          <w:szCs w:val="28"/>
        </w:rPr>
        <w:lastRenderedPageBreak/>
        <w:t>variables for downstream use, data limitations, dependencies, and considerations for Week 7 testing.</w:t>
      </w:r>
    </w:p>
    <w:p w14:paraId="15A6A4C1" w14:textId="77777777" w:rsidR="00DF72BC" w:rsidRPr="00DF72BC" w:rsidRDefault="00DF72BC" w:rsidP="00DF72BC">
      <w:pPr>
        <w:rPr>
          <w:rFonts w:ascii="Arial" w:hAnsi="Arial" w:cs="Arial"/>
          <w:i/>
          <w:iCs/>
          <w:sz w:val="28"/>
          <w:szCs w:val="28"/>
        </w:rPr>
      </w:pPr>
      <w:r w:rsidRPr="00DF72BC">
        <w:rPr>
          <w:rFonts w:ascii="Arial" w:hAnsi="Arial" w:cs="Arial"/>
          <w:i/>
          <w:iCs/>
          <w:sz w:val="28"/>
          <w:szCs w:val="28"/>
        </w:rPr>
        <w:t>Information/output provided: A structured summary was provided covering: the three Week 5 KPI results and their business implications; the two strongest predictive variables (</w:t>
      </w:r>
      <w:proofErr w:type="spellStart"/>
      <w:r w:rsidRPr="00DF72BC">
        <w:rPr>
          <w:rFonts w:ascii="Arial" w:hAnsi="Arial" w:cs="Arial"/>
          <w:i/>
          <w:iCs/>
          <w:sz w:val="28"/>
          <w:szCs w:val="28"/>
        </w:rPr>
        <w:t>previous_no_shows</w:t>
      </w:r>
      <w:proofErr w:type="spellEnd"/>
      <w:r w:rsidRPr="00DF72BC">
        <w:rPr>
          <w:rFonts w:ascii="Arial" w:hAnsi="Arial" w:cs="Arial"/>
          <w:i/>
          <w:iCs/>
          <w:sz w:val="28"/>
          <w:szCs w:val="28"/>
        </w:rPr>
        <w:t xml:space="preserve"> and </w:t>
      </w:r>
      <w:proofErr w:type="spellStart"/>
      <w:r w:rsidRPr="00DF72BC">
        <w:rPr>
          <w:rFonts w:ascii="Arial" w:hAnsi="Arial" w:cs="Arial"/>
          <w:i/>
          <w:iCs/>
          <w:sz w:val="28"/>
          <w:szCs w:val="28"/>
        </w:rPr>
        <w:t>lead_time_bracket</w:t>
      </w:r>
      <w:proofErr w:type="spellEnd"/>
      <w:r w:rsidRPr="00DF72BC">
        <w:rPr>
          <w:rFonts w:ascii="Arial" w:hAnsi="Arial" w:cs="Arial"/>
          <w:i/>
          <w:iCs/>
          <w:sz w:val="28"/>
          <w:szCs w:val="28"/>
        </w:rPr>
        <w:t>/</w:t>
      </w:r>
      <w:proofErr w:type="spellStart"/>
      <w:r w:rsidRPr="00DF72BC">
        <w:rPr>
          <w:rFonts w:ascii="Arial" w:hAnsi="Arial" w:cs="Arial"/>
          <w:i/>
          <w:iCs/>
          <w:sz w:val="28"/>
          <w:szCs w:val="28"/>
        </w:rPr>
        <w:t>booking_lead_days</w:t>
      </w:r>
      <w:proofErr w:type="spellEnd"/>
      <w:r w:rsidRPr="00DF72BC">
        <w:rPr>
          <w:rFonts w:ascii="Arial" w:hAnsi="Arial" w:cs="Arial"/>
          <w:i/>
          <w:iCs/>
          <w:sz w:val="28"/>
          <w:szCs w:val="28"/>
        </w:rPr>
        <w:t xml:space="preserve">) recommended as priority variables for downstream modelling and risk tracking; known data limitations (missing values in </w:t>
      </w:r>
      <w:proofErr w:type="spellStart"/>
      <w:r w:rsidRPr="00DF72BC">
        <w:rPr>
          <w:rFonts w:ascii="Arial" w:hAnsi="Arial" w:cs="Arial"/>
          <w:i/>
          <w:iCs/>
          <w:sz w:val="28"/>
          <w:szCs w:val="28"/>
        </w:rPr>
        <w:t>distance_to_clinic_km</w:t>
      </w:r>
      <w:proofErr w:type="spellEnd"/>
      <w:r w:rsidRPr="00DF72BC">
        <w:rPr>
          <w:rFonts w:ascii="Arial" w:hAnsi="Arial" w:cs="Arial"/>
          <w:i/>
          <w:iCs/>
          <w:sz w:val="28"/>
          <w:szCs w:val="28"/>
        </w:rPr>
        <w:t xml:space="preserve"> and </w:t>
      </w:r>
      <w:proofErr w:type="spellStart"/>
      <w:r w:rsidRPr="00DF72BC">
        <w:rPr>
          <w:rFonts w:ascii="Arial" w:hAnsi="Arial" w:cs="Arial"/>
          <w:i/>
          <w:iCs/>
          <w:sz w:val="28"/>
          <w:szCs w:val="28"/>
        </w:rPr>
        <w:t>waiting_time_minutes</w:t>
      </w:r>
      <w:proofErr w:type="spellEnd"/>
      <w:r w:rsidRPr="00DF72BC">
        <w:rPr>
          <w:rFonts w:ascii="Arial" w:hAnsi="Arial" w:cs="Arial"/>
          <w:i/>
          <w:iCs/>
          <w:sz w:val="28"/>
          <w:szCs w:val="28"/>
        </w:rPr>
        <w:t>; no recorded reason for no-shows); confirmation of no blocking dependencies on other tracks; and a recommendation that Week 7 testing validate whether the identified patterns hold consistently across patient segments. The Week 5 analysis document and Power BI file were shared directly.</w:t>
      </w:r>
    </w:p>
    <w:p w14:paraId="08850804" w14:textId="77777777" w:rsidR="00DF72BC" w:rsidRPr="00DF72BC" w:rsidRDefault="00DF72BC" w:rsidP="00DF72BC">
      <w:pPr>
        <w:rPr>
          <w:rFonts w:ascii="Arial" w:hAnsi="Arial" w:cs="Arial"/>
          <w:i/>
          <w:iCs/>
          <w:sz w:val="28"/>
          <w:szCs w:val="28"/>
        </w:rPr>
      </w:pPr>
      <w:r w:rsidRPr="00DF72BC">
        <w:rPr>
          <w:rFonts w:ascii="Arial" w:hAnsi="Arial" w:cs="Arial"/>
          <w:i/>
          <w:iCs/>
          <w:sz w:val="28"/>
          <w:szCs w:val="28"/>
        </w:rPr>
        <w:t>Integration activity completed: The Week 6 combined risk analysis (Section 2 above) was developed partly in response to this exchange, since validating whether findings "hold consistently" (as flagged to the PM track) required testing whether the two strongest variables interact rather than only examining them independently.</w:t>
      </w:r>
    </w:p>
    <w:p w14:paraId="703CF4A5" w14:textId="4F0BC882" w:rsidR="00DF72BC" w:rsidRDefault="0059301A" w:rsidP="00DF72BC">
      <w:pPr>
        <w:rPr>
          <w:rFonts w:ascii="Arial" w:hAnsi="Arial" w:cs="Arial"/>
          <w:i/>
          <w:iCs/>
          <w:sz w:val="28"/>
          <w:szCs w:val="28"/>
        </w:rPr>
      </w:pPr>
      <w:r w:rsidRPr="0059301A">
        <w:rPr>
          <w:rFonts w:ascii="Arial" w:hAnsi="Arial" w:cs="Arial"/>
          <w:i/>
          <w:iCs/>
          <w:sz w:val="28"/>
          <w:szCs w:val="28"/>
        </w:rPr>
        <w:t xml:space="preserve">What changed as a result: The Project Management intern confirmed the Week 5 analysis is now being used as documented evidence for PM integration and coordination, specifically: the booking lead time and previous no-show history findings were recorded as important analytical inputs for the wider </w:t>
      </w:r>
      <w:proofErr w:type="spellStart"/>
      <w:r w:rsidRPr="0059301A">
        <w:rPr>
          <w:rFonts w:ascii="Arial" w:hAnsi="Arial" w:cs="Arial"/>
          <w:i/>
          <w:iCs/>
          <w:sz w:val="28"/>
          <w:szCs w:val="28"/>
        </w:rPr>
        <w:t>HealthConnect</w:t>
      </w:r>
      <w:proofErr w:type="spellEnd"/>
      <w:r w:rsidRPr="0059301A">
        <w:rPr>
          <w:rFonts w:ascii="Arial" w:hAnsi="Arial" w:cs="Arial"/>
          <w:i/>
          <w:iCs/>
          <w:sz w:val="28"/>
          <w:szCs w:val="28"/>
        </w:rPr>
        <w:t xml:space="preserve"> solution; the finding that appointment type has limited influence is being factored into project priority documentation; the data limitations identified (missing distance-to-clinic and waiting-time records) were captured as risks to consider during later testing; and the remaining Week 6/7 work identified (the fourth KPI, and multi-variable/combined-factor analysis) was carried forward as an item for the Week 7 testing and refinement stage. The PM track's integration/dependency records and project coordination plan were updated to reflect this Data Analytics contribution to the overall </w:t>
      </w:r>
      <w:proofErr w:type="spellStart"/>
      <w:r w:rsidRPr="0059301A">
        <w:rPr>
          <w:rFonts w:ascii="Arial" w:hAnsi="Arial" w:cs="Arial"/>
          <w:i/>
          <w:iCs/>
          <w:sz w:val="28"/>
          <w:szCs w:val="28"/>
        </w:rPr>
        <w:t>HealthConnect</w:t>
      </w:r>
      <w:proofErr w:type="spellEnd"/>
      <w:r w:rsidRPr="0059301A">
        <w:rPr>
          <w:rFonts w:ascii="Arial" w:hAnsi="Arial" w:cs="Arial"/>
          <w:i/>
          <w:iCs/>
          <w:sz w:val="28"/>
          <w:szCs w:val="28"/>
        </w:rPr>
        <w:t xml:space="preserve"> objective.</w:t>
      </w:r>
    </w:p>
    <w:p w14:paraId="3C3ECE93" w14:textId="05F42E65" w:rsidR="009143AE" w:rsidRDefault="009143AE" w:rsidP="00DF72BC">
      <w:pPr>
        <w:rPr>
          <w:rFonts w:ascii="Arial" w:hAnsi="Arial" w:cs="Arial"/>
          <w:i/>
          <w:iCs/>
          <w:sz w:val="28"/>
          <w:szCs w:val="28"/>
        </w:rPr>
      </w:pPr>
      <w:r w:rsidRPr="009143AE">
        <w:rPr>
          <w:rFonts w:ascii="Arial" w:hAnsi="Arial" w:cs="Arial"/>
          <w:i/>
          <w:iCs/>
          <w:sz w:val="28"/>
          <w:szCs w:val="28"/>
        </w:rPr>
        <w:t>Evidence: Written exchange with the Project Management intern (message log); this Week 6 report; HealthConnect_Week5_Analysis.docx and .</w:t>
      </w:r>
      <w:proofErr w:type="spellStart"/>
      <w:r w:rsidRPr="009143AE">
        <w:rPr>
          <w:rFonts w:ascii="Arial" w:hAnsi="Arial" w:cs="Arial"/>
          <w:i/>
          <w:iCs/>
          <w:sz w:val="28"/>
          <w:szCs w:val="28"/>
        </w:rPr>
        <w:t>pbix</w:t>
      </w:r>
      <w:proofErr w:type="spellEnd"/>
      <w:r w:rsidRPr="009143AE">
        <w:rPr>
          <w:rFonts w:ascii="Arial" w:hAnsi="Arial" w:cs="Arial"/>
          <w:i/>
          <w:iCs/>
          <w:sz w:val="28"/>
          <w:szCs w:val="28"/>
        </w:rPr>
        <w:t xml:space="preserve"> files shared as </w:t>
      </w:r>
      <w:r w:rsidRPr="009143AE">
        <w:rPr>
          <w:rFonts w:ascii="Arial" w:hAnsi="Arial" w:cs="Arial"/>
          <w:i/>
          <w:iCs/>
          <w:sz w:val="28"/>
          <w:szCs w:val="28"/>
        </w:rPr>
        <w:lastRenderedPageBreak/>
        <w:t xml:space="preserve">supporting evidence. The Project Management </w:t>
      </w:r>
      <w:proofErr w:type="gramStart"/>
      <w:r w:rsidRPr="009143AE">
        <w:rPr>
          <w:rFonts w:ascii="Arial" w:hAnsi="Arial" w:cs="Arial"/>
          <w:i/>
          <w:iCs/>
          <w:sz w:val="28"/>
          <w:szCs w:val="28"/>
        </w:rPr>
        <w:t>track's</w:t>
      </w:r>
      <w:proofErr w:type="gramEnd"/>
      <w:r w:rsidRPr="009143AE">
        <w:rPr>
          <w:rFonts w:ascii="Arial" w:hAnsi="Arial" w:cs="Arial"/>
          <w:i/>
          <w:iCs/>
          <w:sz w:val="28"/>
          <w:szCs w:val="28"/>
        </w:rPr>
        <w:t xml:space="preserve"> Week 6 documentation formally records this integration in multiple places: Integration Register entry DINT-006 (status: "Active - Informed"), Cross-Track Coordination entry CTR-001 (status: "Completed"), Decision Log entry DEC-006, Integration Issue Log entry ISS-003 (status: "Resolved - Analytics Integration Completed"), and the Updated Risk Register (R011, R012), all citing HealthConnect_Week5_Analysis.pdf as supporting evidence.</w:t>
      </w:r>
      <w:r w:rsidR="00953016">
        <w:rPr>
          <w:rFonts w:ascii="Arial" w:hAnsi="Arial" w:cs="Arial"/>
          <w:i/>
          <w:iCs/>
          <w:sz w:val="28"/>
          <w:szCs w:val="28"/>
        </w:rPr>
        <w:t xml:space="preserve"> </w:t>
      </w:r>
    </w:p>
    <w:p w14:paraId="5B96744D" w14:textId="225B4357" w:rsidR="00953016" w:rsidRDefault="00953016" w:rsidP="00DF72BC">
      <w:pPr>
        <w:rPr>
          <w:rFonts w:ascii="Arial" w:hAnsi="Arial" w:cs="Arial"/>
          <w:i/>
          <w:iCs/>
          <w:sz w:val="28"/>
          <w:szCs w:val="28"/>
        </w:rPr>
      </w:pPr>
      <w:r w:rsidRPr="00953016">
        <w:rPr>
          <w:rFonts w:ascii="Arial" w:hAnsi="Arial" w:cs="Arial"/>
          <w:i/>
          <w:iCs/>
          <w:sz w:val="28"/>
          <w:szCs w:val="28"/>
        </w:rPr>
        <w:t>5. Assumptions, Limitations, Risks &amp; Dependencies</w:t>
      </w:r>
    </w:p>
    <w:p w14:paraId="39D342EE" w14:textId="77777777" w:rsidR="00336012" w:rsidRDefault="00862813" w:rsidP="00862813">
      <w:pPr>
        <w:rPr>
          <w:rFonts w:ascii="Arial" w:hAnsi="Arial" w:cs="Arial"/>
          <w:i/>
          <w:iCs/>
          <w:sz w:val="28"/>
          <w:szCs w:val="28"/>
        </w:rPr>
      </w:pPr>
      <w:r w:rsidRPr="00862813">
        <w:rPr>
          <w:rFonts w:ascii="Arial" w:hAnsi="Arial" w:cs="Arial"/>
          <w:i/>
          <w:iCs/>
          <w:sz w:val="28"/>
          <w:szCs w:val="28"/>
        </w:rPr>
        <w:t xml:space="preserve">Resolved: The Week 5 limitation that </w:t>
      </w:r>
      <w:r w:rsidR="00336012" w:rsidRPr="00862813">
        <w:rPr>
          <w:rFonts w:ascii="Arial" w:hAnsi="Arial" w:cs="Arial"/>
          <w:i/>
          <w:iCs/>
          <w:sz w:val="28"/>
          <w:szCs w:val="28"/>
        </w:rPr>
        <w:t>led</w:t>
      </w:r>
      <w:r w:rsidRPr="00862813">
        <w:rPr>
          <w:rFonts w:ascii="Arial" w:hAnsi="Arial" w:cs="Arial"/>
          <w:i/>
          <w:iCs/>
          <w:sz w:val="28"/>
          <w:szCs w:val="28"/>
        </w:rPr>
        <w:t xml:space="preserve"> time and previous no-show history were only examined independently has been resolved through the Week 6 combined risk analysis, which confirmed the two factors compound.</w:t>
      </w:r>
    </w:p>
    <w:p w14:paraId="7AD95C92" w14:textId="55264FE1" w:rsidR="00862813" w:rsidRPr="00862813" w:rsidRDefault="00862813" w:rsidP="00862813">
      <w:pPr>
        <w:rPr>
          <w:rFonts w:ascii="Arial" w:hAnsi="Arial" w:cs="Arial"/>
          <w:i/>
          <w:iCs/>
          <w:sz w:val="28"/>
          <w:szCs w:val="28"/>
        </w:rPr>
      </w:pPr>
      <w:r w:rsidRPr="00862813">
        <w:rPr>
          <w:rFonts w:ascii="Arial" w:hAnsi="Arial" w:cs="Arial"/>
          <w:i/>
          <w:iCs/>
          <w:sz w:val="28"/>
          <w:szCs w:val="28"/>
        </w:rPr>
        <w:t>Remaining unresolved: The fourth proposed KPI (no-show rate by appointment time slot) has not yet been calculated. Patient demographic segments (age group, gender) have not yet been tested against the combined risk finding.</w:t>
      </w:r>
    </w:p>
    <w:p w14:paraId="375542E8" w14:textId="77777777" w:rsidR="00862813" w:rsidRPr="00862813" w:rsidRDefault="00862813" w:rsidP="00862813">
      <w:pPr>
        <w:rPr>
          <w:rFonts w:ascii="Arial" w:hAnsi="Arial" w:cs="Arial"/>
          <w:i/>
          <w:iCs/>
          <w:sz w:val="28"/>
          <w:szCs w:val="28"/>
        </w:rPr>
      </w:pPr>
      <w:r w:rsidRPr="00862813">
        <w:rPr>
          <w:rFonts w:ascii="Arial" w:hAnsi="Arial" w:cs="Arial"/>
          <w:i/>
          <w:iCs/>
          <w:sz w:val="28"/>
          <w:szCs w:val="28"/>
        </w:rPr>
        <w:t>New issue discovered: The combined risk analysis used a simplified two-level grouping for previous no-show history (High: 2+, Low: 0-1). A more granular breakdown (as used in the original Week 5 KPI) may reveal a steeper or different compounding pattern and should be tested in Week 7.</w:t>
      </w:r>
    </w:p>
    <w:p w14:paraId="2E03F45E" w14:textId="79179771" w:rsidR="00862813" w:rsidRPr="00862813" w:rsidRDefault="00862813" w:rsidP="00862813">
      <w:pPr>
        <w:rPr>
          <w:rFonts w:ascii="Arial" w:hAnsi="Arial" w:cs="Arial"/>
          <w:i/>
          <w:iCs/>
          <w:sz w:val="28"/>
          <w:szCs w:val="28"/>
        </w:rPr>
      </w:pPr>
      <w:r w:rsidRPr="00862813">
        <w:rPr>
          <w:rFonts w:ascii="Arial" w:hAnsi="Arial" w:cs="Arial"/>
          <w:i/>
          <w:iCs/>
          <w:sz w:val="28"/>
          <w:szCs w:val="28"/>
        </w:rPr>
        <w:t xml:space="preserve">New cross-track dependency: The Project Management </w:t>
      </w:r>
      <w:r w:rsidR="00336012" w:rsidRPr="00862813">
        <w:rPr>
          <w:rFonts w:ascii="Arial" w:hAnsi="Arial" w:cs="Arial"/>
          <w:i/>
          <w:iCs/>
          <w:sz w:val="28"/>
          <w:szCs w:val="28"/>
        </w:rPr>
        <w:t>Track’s</w:t>
      </w:r>
      <w:r w:rsidRPr="00862813">
        <w:rPr>
          <w:rFonts w:ascii="Arial" w:hAnsi="Arial" w:cs="Arial"/>
          <w:i/>
          <w:iCs/>
          <w:sz w:val="28"/>
          <w:szCs w:val="28"/>
        </w:rPr>
        <w:t xml:space="preserve"> Week 6 documentation now depends on these Data Analytics findings for its integration and risk records (see Section 4). Any future revision to these findings should be communicated back to the PM track to keep their records accurate.</w:t>
      </w:r>
    </w:p>
    <w:p w14:paraId="08D443B1" w14:textId="77777777" w:rsidR="00862813" w:rsidRPr="00862813" w:rsidRDefault="00862813" w:rsidP="00862813">
      <w:pPr>
        <w:rPr>
          <w:rFonts w:ascii="Arial" w:hAnsi="Arial" w:cs="Arial"/>
          <w:i/>
          <w:iCs/>
          <w:sz w:val="28"/>
          <w:szCs w:val="28"/>
        </w:rPr>
      </w:pPr>
      <w:r w:rsidRPr="00862813">
        <w:rPr>
          <w:rFonts w:ascii="Arial" w:hAnsi="Arial" w:cs="Arial"/>
          <w:i/>
          <w:iCs/>
          <w:sz w:val="28"/>
          <w:szCs w:val="28"/>
        </w:rPr>
        <w:t xml:space="preserve">Technical limitations: Missing values in </w:t>
      </w:r>
      <w:proofErr w:type="spellStart"/>
      <w:r w:rsidRPr="00862813">
        <w:rPr>
          <w:rFonts w:ascii="Arial" w:hAnsi="Arial" w:cs="Arial"/>
          <w:i/>
          <w:iCs/>
          <w:sz w:val="28"/>
          <w:szCs w:val="28"/>
        </w:rPr>
        <w:t>distance_to_clinic_km</w:t>
      </w:r>
      <w:proofErr w:type="spellEnd"/>
      <w:r w:rsidRPr="00862813">
        <w:rPr>
          <w:rFonts w:ascii="Arial" w:hAnsi="Arial" w:cs="Arial"/>
          <w:i/>
          <w:iCs/>
          <w:sz w:val="28"/>
          <w:szCs w:val="28"/>
        </w:rPr>
        <w:t xml:space="preserve"> and </w:t>
      </w:r>
      <w:proofErr w:type="spellStart"/>
      <w:r w:rsidRPr="00862813">
        <w:rPr>
          <w:rFonts w:ascii="Arial" w:hAnsi="Arial" w:cs="Arial"/>
          <w:i/>
          <w:iCs/>
          <w:sz w:val="28"/>
          <w:szCs w:val="28"/>
        </w:rPr>
        <w:t>waiting_time_minutes</w:t>
      </w:r>
      <w:proofErr w:type="spellEnd"/>
      <w:r w:rsidRPr="00862813">
        <w:rPr>
          <w:rFonts w:ascii="Arial" w:hAnsi="Arial" w:cs="Arial"/>
          <w:i/>
          <w:iCs/>
          <w:sz w:val="28"/>
          <w:szCs w:val="28"/>
        </w:rPr>
        <w:t xml:space="preserve"> remain unaddressed, as they were not required for the KPIs calculated to date.</w:t>
      </w:r>
    </w:p>
    <w:p w14:paraId="6ECE93A1" w14:textId="77777777" w:rsidR="00862813" w:rsidRPr="00862813" w:rsidRDefault="00862813" w:rsidP="00862813">
      <w:pPr>
        <w:rPr>
          <w:rFonts w:ascii="Arial" w:hAnsi="Arial" w:cs="Arial"/>
          <w:i/>
          <w:iCs/>
          <w:sz w:val="28"/>
          <w:szCs w:val="28"/>
        </w:rPr>
      </w:pPr>
      <w:r w:rsidRPr="00862813">
        <w:rPr>
          <w:rFonts w:ascii="Arial" w:hAnsi="Arial" w:cs="Arial"/>
          <w:i/>
          <w:iCs/>
          <w:sz w:val="28"/>
          <w:szCs w:val="28"/>
        </w:rPr>
        <w:t>Data limitations: The dataset still does not capture reasons for no-shows or cancellations, limiting explanatory (as opposed to predictive) power.</w:t>
      </w:r>
    </w:p>
    <w:p w14:paraId="06028CCA" w14:textId="77777777" w:rsidR="00862813" w:rsidRPr="00862813" w:rsidRDefault="00862813" w:rsidP="00862813">
      <w:pPr>
        <w:rPr>
          <w:rFonts w:ascii="Arial" w:hAnsi="Arial" w:cs="Arial"/>
          <w:i/>
          <w:iCs/>
          <w:sz w:val="28"/>
          <w:szCs w:val="28"/>
        </w:rPr>
      </w:pPr>
    </w:p>
    <w:p w14:paraId="2ADFDA41" w14:textId="77777777" w:rsidR="00862813" w:rsidRPr="00862813" w:rsidRDefault="00862813" w:rsidP="00862813">
      <w:pPr>
        <w:rPr>
          <w:rFonts w:ascii="Arial" w:hAnsi="Arial" w:cs="Arial"/>
          <w:i/>
          <w:iCs/>
          <w:sz w:val="28"/>
          <w:szCs w:val="28"/>
        </w:rPr>
      </w:pPr>
      <w:r w:rsidRPr="00862813">
        <w:rPr>
          <w:rFonts w:ascii="Arial" w:hAnsi="Arial" w:cs="Arial"/>
          <w:i/>
          <w:iCs/>
          <w:sz w:val="28"/>
          <w:szCs w:val="28"/>
        </w:rPr>
        <w:lastRenderedPageBreak/>
        <w:t>Potential impact: If the compounding pattern does not hold consistently across patient segments, the "combined risk score" recommendation in Section 3 may need to be refined by segment rather than applied uniformly.</w:t>
      </w:r>
    </w:p>
    <w:p w14:paraId="0E01A07F" w14:textId="11108366" w:rsidR="009143AE" w:rsidRDefault="00862813" w:rsidP="00862813">
      <w:pPr>
        <w:rPr>
          <w:rFonts w:ascii="Arial" w:hAnsi="Arial" w:cs="Arial"/>
          <w:i/>
          <w:iCs/>
          <w:sz w:val="28"/>
          <w:szCs w:val="28"/>
        </w:rPr>
      </w:pPr>
      <w:r w:rsidRPr="00862813">
        <w:rPr>
          <w:rFonts w:ascii="Arial" w:hAnsi="Arial" w:cs="Arial"/>
          <w:i/>
          <w:iCs/>
          <w:sz w:val="28"/>
          <w:szCs w:val="28"/>
        </w:rPr>
        <w:t xml:space="preserve">Recommended mitigation: Test the combined risk finding across age group and gender segments in Week </w:t>
      </w:r>
      <w:proofErr w:type="gramStart"/>
      <w:r w:rsidRPr="00862813">
        <w:rPr>
          <w:rFonts w:ascii="Arial" w:hAnsi="Arial" w:cs="Arial"/>
          <w:i/>
          <w:iCs/>
          <w:sz w:val="28"/>
          <w:szCs w:val="28"/>
        </w:rPr>
        <w:t>7, and</w:t>
      </w:r>
      <w:proofErr w:type="gramEnd"/>
      <w:r w:rsidRPr="00862813">
        <w:rPr>
          <w:rFonts w:ascii="Arial" w:hAnsi="Arial" w:cs="Arial"/>
          <w:i/>
          <w:iCs/>
          <w:sz w:val="28"/>
          <w:szCs w:val="28"/>
        </w:rPr>
        <w:t xml:space="preserve"> calculate the remaining appointment-</w:t>
      </w:r>
      <w:r w:rsidR="00BA73FC" w:rsidRPr="00862813">
        <w:rPr>
          <w:rFonts w:ascii="Arial" w:hAnsi="Arial" w:cs="Arial"/>
          <w:i/>
          <w:iCs/>
          <w:sz w:val="28"/>
          <w:szCs w:val="28"/>
        </w:rPr>
        <w:t>timeslot</w:t>
      </w:r>
      <w:r w:rsidRPr="00862813">
        <w:rPr>
          <w:rFonts w:ascii="Arial" w:hAnsi="Arial" w:cs="Arial"/>
          <w:i/>
          <w:iCs/>
          <w:sz w:val="28"/>
          <w:szCs w:val="28"/>
        </w:rPr>
        <w:t xml:space="preserve"> KPI to complete the full Week 5 KPI set before final validation.</w:t>
      </w:r>
    </w:p>
    <w:p w14:paraId="7D013246" w14:textId="77777777" w:rsidR="00BA73FC" w:rsidRDefault="00BA73FC" w:rsidP="00862813">
      <w:pPr>
        <w:rPr>
          <w:rFonts w:ascii="Arial" w:hAnsi="Arial" w:cs="Arial"/>
          <w:i/>
          <w:iCs/>
          <w:sz w:val="28"/>
          <w:szCs w:val="28"/>
        </w:rPr>
      </w:pPr>
    </w:p>
    <w:p w14:paraId="44A5A891" w14:textId="70C6C7AB" w:rsidR="00BA73FC" w:rsidRDefault="00BA73FC" w:rsidP="00862813">
      <w:pPr>
        <w:rPr>
          <w:rFonts w:ascii="Arial" w:hAnsi="Arial" w:cs="Arial"/>
          <w:b/>
          <w:i/>
          <w:iCs/>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BA73FC">
        <w:rPr>
          <w:rFonts w:ascii="Arial" w:hAnsi="Arial" w:cs="Arial"/>
          <w:b/>
          <w:i/>
          <w:iCs/>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Week 6 Project Summary</w:t>
      </w:r>
    </w:p>
    <w:p w14:paraId="23E67496" w14:textId="7E1FA88F" w:rsidR="00164374" w:rsidRPr="00164374" w:rsidRDefault="00164374" w:rsidP="00164374">
      <w:pPr>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Planned: Deepen and validate the strongest Week 5 findings rather than repeat the EDA, complete a meaningful cross-track integration activity, and prepare for Week 7 testing.</w:t>
      </w:r>
      <w:r w:rsidR="00545D9A">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Completed: A combined risk analysis was conducted, testing whether booking lead time and previous no-show history compound when considered together. A cross-track integration activity with the Project Management track was completed and verified.</w:t>
      </w:r>
      <w:r w:rsidR="00545D9A">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 from Week 5: Week 5 treated lead time and previous no-show history as independent predictors. Week 6 confirmed these factors compound, refining the recommendation from two separate risk flags into a single combined risk score.</w:t>
      </w:r>
    </w:p>
    <w:p w14:paraId="129DA1D7" w14:textId="77777777" w:rsidR="00164374" w:rsidRPr="00164374" w:rsidRDefault="00164374" w:rsidP="00164374">
      <w:pPr>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Integrated: Findings were shared with the Project Management track and formally incorporated into their integration register, decision log, issue log, and risk register (see Section 4 for specific record references).</w:t>
      </w:r>
    </w:p>
    <w:p w14:paraId="45B9E27A" w14:textId="77777777" w:rsidR="00164374" w:rsidRPr="00164374" w:rsidRDefault="00164374" w:rsidP="00164374">
      <w:pPr>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Track(s) collaborated with: Project Management.</w:t>
      </w:r>
    </w:p>
    <w:p w14:paraId="2D3DA270" w14:textId="77777777" w:rsidR="00164374" w:rsidRPr="00164374" w:rsidRDefault="00164374" w:rsidP="00164374">
      <w:pPr>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was exchanged: Data Analytics provided Week 5 findings, priority variables, data limitations, and Week 7 testing considerations. Project Management provided integration context and confirmed how the findings were used in their coordination records.</w:t>
      </w:r>
    </w:p>
    <w:p w14:paraId="6ED4C06A" w14:textId="13DC8045" w:rsidR="00BA73FC" w:rsidRPr="00164374" w:rsidRDefault="00164374" w:rsidP="00164374">
      <w:pPr>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changed as a result: The Project Management track's risk register, dependency register, and Week 7 testing plan now formally reference booking lead time and previous no-show history as validated analytical </w:t>
      </w:r>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inputs</w:t>
      </w:r>
      <w:r w:rsidR="00545D9A">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 findings: No-show rate ranges from 26% (short lead time, low prior no-show history) to 73% (long lead time, high prior no-show history) nearly 3x higher risk when both factors are present, confirming they compound rather than act </w:t>
      </w:r>
      <w:proofErr w:type="spellStart"/>
      <w:proofErr w:type="gramStart"/>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independently.Major</w:t>
      </w:r>
      <w:proofErr w:type="spellEnd"/>
      <w:proofErr w:type="gramEnd"/>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challenges: Deciding on an appropriate way to simplify previous no-show history into two groups (High/Low) for the combined visual, without losing the granularity of the original 0–5 scale.</w:t>
      </w:r>
      <w:r w:rsidR="00545D9A">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Important decisions: Chose to build directly on the existing Week 5 Power BI file rather than starting a new one, to demonstrate clear progression rather than a </w:t>
      </w:r>
      <w:r w:rsidR="00545D9A"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rebuild. Remaining</w:t>
      </w:r>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issues: The fourth KPI (appointment time slot) has not yet been calculated. Patient demographic segments have not yet been tested against the combined risk </w:t>
      </w:r>
      <w:proofErr w:type="spellStart"/>
      <w:proofErr w:type="gramStart"/>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finding.Contribution</w:t>
      </w:r>
      <w:proofErr w:type="spellEnd"/>
      <w:proofErr w:type="gramEnd"/>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overall </w:t>
      </w:r>
      <w:proofErr w:type="spellStart"/>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HealthConnect</w:t>
      </w:r>
      <w:proofErr w:type="spellEnd"/>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 This week's work moved the Data Analytics track's output from a set of individual findings into a validated, actionable risk model, and formally connected that output into the Project Management track's project-wide integration and risk documentation.</w:t>
      </w:r>
      <w:r>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Proposed focus for Week 7: Calculate the remaining appointment-</w:t>
      </w:r>
      <w:proofErr w:type="gramStart"/>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time-slot</w:t>
      </w:r>
      <w:proofErr w:type="gramEnd"/>
      <w:r w:rsidRPr="00164374">
        <w:rPr>
          <w:rFonts w:ascii="Arial" w:hAnsi="Arial" w:cs="Arial"/>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KPI, test the combined risk finding across patient demographic segments, and support end-to-end validation of findings ahead of the project's testing and refinement stage.</w:t>
      </w:r>
    </w:p>
    <w:sectPr w:rsidR="00BA73FC" w:rsidRPr="00164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FA8"/>
    <w:rsid w:val="000A28F9"/>
    <w:rsid w:val="00164374"/>
    <w:rsid w:val="00336012"/>
    <w:rsid w:val="003E449E"/>
    <w:rsid w:val="00545D9A"/>
    <w:rsid w:val="0059301A"/>
    <w:rsid w:val="005B7D84"/>
    <w:rsid w:val="005D3F14"/>
    <w:rsid w:val="00682FA8"/>
    <w:rsid w:val="00772341"/>
    <w:rsid w:val="00862813"/>
    <w:rsid w:val="009143AE"/>
    <w:rsid w:val="00953016"/>
    <w:rsid w:val="00BA73FC"/>
    <w:rsid w:val="00BF1D66"/>
    <w:rsid w:val="00C64C9F"/>
    <w:rsid w:val="00DF72B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C42D9"/>
  <w15:chartTrackingRefBased/>
  <w15:docId w15:val="{2E8AB407-5D75-4319-BCCD-AF74C2B95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F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F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F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F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F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F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F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F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FA8"/>
    <w:rPr>
      <w:rFonts w:eastAsiaTheme="majorEastAsia" w:cstheme="majorBidi"/>
      <w:color w:val="272727" w:themeColor="text1" w:themeTint="D8"/>
    </w:rPr>
  </w:style>
  <w:style w:type="paragraph" w:styleId="Title">
    <w:name w:val="Title"/>
    <w:basedOn w:val="Normal"/>
    <w:next w:val="Normal"/>
    <w:link w:val="TitleChar"/>
    <w:uiPriority w:val="10"/>
    <w:qFormat/>
    <w:rsid w:val="00682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FA8"/>
    <w:pPr>
      <w:spacing w:before="160"/>
      <w:jc w:val="center"/>
    </w:pPr>
    <w:rPr>
      <w:i/>
      <w:iCs/>
      <w:color w:val="404040" w:themeColor="text1" w:themeTint="BF"/>
    </w:rPr>
  </w:style>
  <w:style w:type="character" w:customStyle="1" w:styleId="QuoteChar">
    <w:name w:val="Quote Char"/>
    <w:basedOn w:val="DefaultParagraphFont"/>
    <w:link w:val="Quote"/>
    <w:uiPriority w:val="29"/>
    <w:rsid w:val="00682FA8"/>
    <w:rPr>
      <w:i/>
      <w:iCs/>
      <w:color w:val="404040" w:themeColor="text1" w:themeTint="BF"/>
    </w:rPr>
  </w:style>
  <w:style w:type="paragraph" w:styleId="ListParagraph">
    <w:name w:val="List Paragraph"/>
    <w:basedOn w:val="Normal"/>
    <w:uiPriority w:val="34"/>
    <w:qFormat/>
    <w:rsid w:val="00682FA8"/>
    <w:pPr>
      <w:ind w:left="720"/>
      <w:contextualSpacing/>
    </w:pPr>
  </w:style>
  <w:style w:type="character" w:styleId="IntenseEmphasis">
    <w:name w:val="Intense Emphasis"/>
    <w:basedOn w:val="DefaultParagraphFont"/>
    <w:uiPriority w:val="21"/>
    <w:qFormat/>
    <w:rsid w:val="00682FA8"/>
    <w:rPr>
      <w:i/>
      <w:iCs/>
      <w:color w:val="0F4761" w:themeColor="accent1" w:themeShade="BF"/>
    </w:rPr>
  </w:style>
  <w:style w:type="paragraph" w:styleId="IntenseQuote">
    <w:name w:val="Intense Quote"/>
    <w:basedOn w:val="Normal"/>
    <w:next w:val="Normal"/>
    <w:link w:val="IntenseQuoteChar"/>
    <w:uiPriority w:val="30"/>
    <w:qFormat/>
    <w:rsid w:val="00682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FA8"/>
    <w:rPr>
      <w:i/>
      <w:iCs/>
      <w:color w:val="0F4761" w:themeColor="accent1" w:themeShade="BF"/>
    </w:rPr>
  </w:style>
  <w:style w:type="character" w:styleId="IntenseReference">
    <w:name w:val="Intense Reference"/>
    <w:basedOn w:val="DefaultParagraphFont"/>
    <w:uiPriority w:val="32"/>
    <w:qFormat/>
    <w:rsid w:val="00682F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3ffbf09-11cb-4a28-b139-376abb20a0e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402298A23B9B4897BDA6F168F50F40" ma:contentTypeVersion="5" ma:contentTypeDescription="Create a new document." ma:contentTypeScope="" ma:versionID="b4e1b28058d0bc82dfd3be8e751aaf4e">
  <xsd:schema xmlns:xsd="http://www.w3.org/2001/XMLSchema" xmlns:xs="http://www.w3.org/2001/XMLSchema" xmlns:p="http://schemas.microsoft.com/office/2006/metadata/properties" xmlns:ns3="93ffbf09-11cb-4a28-b139-376abb20a0ea" targetNamespace="http://schemas.microsoft.com/office/2006/metadata/properties" ma:root="true" ma:fieldsID="0f7f3a2b52e34417f442da43c23ee965" ns3:_="">
    <xsd:import namespace="93ffbf09-11cb-4a28-b139-376abb20a0e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ffbf09-11cb-4a28-b139-376abb20a0e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645002-559F-410D-AF72-4D617817D1AF}">
  <ds:schemaRefs>
    <ds:schemaRef ds:uri="http://schemas.microsoft.com/office/2006/metadata/properties"/>
    <ds:schemaRef ds:uri="http://schemas.microsoft.com/office/infopath/2007/PartnerControls"/>
    <ds:schemaRef ds:uri="93ffbf09-11cb-4a28-b139-376abb20a0ea"/>
  </ds:schemaRefs>
</ds:datastoreItem>
</file>

<file path=customXml/itemProps2.xml><?xml version="1.0" encoding="utf-8"?>
<ds:datastoreItem xmlns:ds="http://schemas.openxmlformats.org/officeDocument/2006/customXml" ds:itemID="{A0254297-1419-4823-8DFF-705F1DDFE6C7}">
  <ds:schemaRefs>
    <ds:schemaRef ds:uri="http://schemas.microsoft.com/sharepoint/v3/contenttype/forms"/>
  </ds:schemaRefs>
</ds:datastoreItem>
</file>

<file path=customXml/itemProps3.xml><?xml version="1.0" encoding="utf-8"?>
<ds:datastoreItem xmlns:ds="http://schemas.openxmlformats.org/officeDocument/2006/customXml" ds:itemID="{DA5CDD14-4363-41C7-90A2-EECF1932A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ffbf09-11cb-4a28-b139-376abb20a0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14d86f1-83ba-4b13-a702-b5c0231b9337}" enabled="0" method="" siteId="{b14d86f1-83ba-4b13-a702-b5c0231b9337}" removed="1"/>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1768</Words>
  <Characters>10084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Fency Lebethe</dc:creator>
  <cp:keywords/>
  <dc:description/>
  <cp:lastModifiedBy>Fency Lebethe</cp:lastModifiedBy>
  <cp:revision>2</cp:revision>
  <dcterms:created xsi:type="dcterms:W3CDTF">2026-09-11T21:25:00Z</dcterms:created>
  <dcterms:modified xsi:type="dcterms:W3CDTF">2026-09-11T21:25:00Z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0x01010082402298A23B9B4897BDA6F168F50F40</vt:lpwstr>
  </property>
</Properties>
</file>