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683C">
      <w:pPr>
        <w:spacing w:line="360" w:lineRule="auto"/>
        <w:jc w:val="center"/>
        <w:rPr>
          <w:rFonts w:hint="eastAsia"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编程作业3</w:t>
      </w:r>
      <w:r>
        <w:rPr>
          <w:rFonts w:ascii="微软雅黑" w:hAnsi="微软雅黑" w:eastAsia="微软雅黑"/>
          <w:b/>
          <w:sz w:val="44"/>
          <w:szCs w:val="44"/>
        </w:rPr>
        <w:t xml:space="preserve"> </w:t>
      </w:r>
      <w:r>
        <w:rPr>
          <w:rFonts w:hint="eastAsia" w:ascii="微软雅黑" w:hAnsi="微软雅黑" w:eastAsia="微软雅黑"/>
          <w:b/>
          <w:sz w:val="44"/>
          <w:szCs w:val="44"/>
        </w:rPr>
        <w:t>光栅化渲染</w:t>
      </w:r>
      <w:r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  <w:t>着色</w:t>
      </w:r>
      <w:r>
        <w:rPr>
          <w:rFonts w:hint="eastAsia" w:ascii="微软雅黑" w:hAnsi="微软雅黑" w:eastAsia="微软雅黑"/>
          <w:b/>
          <w:sz w:val="44"/>
          <w:szCs w:val="44"/>
        </w:rPr>
        <w:t>3D场景</w:t>
      </w:r>
    </w:p>
    <w:p w14:paraId="7EF13781">
      <w:pPr>
        <w:spacing w:line="360" w:lineRule="auto"/>
        <w:jc w:val="center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</w:rPr>
        <w:t xml:space="preserve">姓名 </w:t>
      </w:r>
      <w:r>
        <w:rPr>
          <w:rFonts w:hint="eastAsia" w:ascii="微软雅黑" w:hAnsi="微软雅黑" w:eastAsia="微软雅黑"/>
          <w:lang w:val="en-US" w:eastAsia="zh-CN"/>
        </w:rPr>
        <w:t>胡阳，冯朝航，黄嘉鑫，李俊熠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学号 2023141461174</w:t>
      </w:r>
      <w:r>
        <w:rPr>
          <w:rFonts w:hint="eastAsia" w:ascii="微软雅黑" w:hAnsi="微软雅黑" w:eastAsia="微软雅黑"/>
          <w:lang w:eastAsia="zh-CN"/>
        </w:rPr>
        <w:t>，202314146117</w:t>
      </w:r>
      <w:r>
        <w:rPr>
          <w:rFonts w:hint="eastAsia" w:ascii="微软雅黑" w:hAnsi="微软雅黑" w:eastAsia="微软雅黑"/>
          <w:lang w:val="en-US" w:eastAsia="zh-CN"/>
        </w:rPr>
        <w:t>6，</w:t>
      </w:r>
      <w:r>
        <w:rPr>
          <w:rFonts w:hint="eastAsia" w:ascii="微软雅黑" w:hAnsi="微软雅黑" w:eastAsia="微软雅黑"/>
        </w:rPr>
        <w:t>2023141461175</w:t>
      </w:r>
      <w:r>
        <w:rPr>
          <w:rFonts w:hint="eastAsia" w:ascii="微软雅黑" w:hAnsi="微软雅黑" w:eastAsia="微软雅黑"/>
          <w:lang w:eastAsia="zh-CN"/>
        </w:rPr>
        <w:t>，</w:t>
      </w:r>
      <w:r>
        <w:rPr>
          <w:rFonts w:hint="eastAsia" w:ascii="微软雅黑" w:hAnsi="微软雅黑" w:eastAsia="微软雅黑"/>
          <w:lang w:val="en-US" w:eastAsia="zh-CN"/>
        </w:rPr>
        <w:t>2023141461171</w:t>
      </w:r>
      <w:bookmarkStart w:id="0" w:name="_GoBack"/>
      <w:bookmarkEnd w:id="0"/>
    </w:p>
    <w:p w14:paraId="3F009CE3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1 思路</w:t>
      </w:r>
    </w:p>
    <w:p w14:paraId="1E3D8823">
      <w:pPr>
        <w:bidi w:val="0"/>
      </w:pPr>
      <w:r>
        <w:rPr>
          <w:rFonts w:hint="default"/>
          <w:lang w:val="en-US" w:eastAsia="zh-CN"/>
        </w:rPr>
        <w:t>本次实验基于 WebGL 框架实现光栅化渲染着色 3D 场景，核心围绕 “几何体绘制 - 纹理映射 - 光照计算 - 阴影生成 - 交互控制” 的流程展开，严格遵循实验要求完成功能开发：</w:t>
      </w:r>
    </w:p>
    <w:p w14:paraId="2B0E5BF0">
      <w:pPr>
        <w:bidi w:val="0"/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环境初始化：基于老师提供的框架，初始化 WebGL 上下文、着色器程序（顶点着色器、片段着色器、深度着色器等），开启深度缓存以保证 3D 场景的深度排序正确性。</w:t>
      </w:r>
    </w:p>
    <w:p w14:paraId="157D7D12">
      <w:pPr>
        <w:bidi w:val="0"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几何体与纹理实现：补全</w:t>
      </w:r>
      <w:r>
        <w:t>configTexture.js</w:t>
      </w:r>
      <w:r>
        <w:rPr>
          <w:rFonts w:hint="default"/>
        </w:rPr>
        <w:t>中的configureTexture函数（TODO1），创建 2D 纹理对象并加载图片，通过纹理参数设置（重复模式、过滤方式）实现物体表面细节表现；同时利用Models.js中的colorCube和plane函数生成立方体、平面等多个几何体，定义顶点坐标、法向量和纹理坐标数据。</w:t>
      </w:r>
    </w:p>
    <w:p w14:paraId="7E0155FB">
      <w:pPr>
        <w:bidi w:val="0"/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光照效果实现：在/shader/box.frag中补全 Phong 模型计算（TODO2），基于 Phong Shading 方法，在片段着色器中逐像素计算环境光（ambient）、漫反射（diffuse）和镜面反射（specular），结合材质参数和光源属性得到最终光照颜色。</w:t>
      </w:r>
    </w:p>
    <w:p w14:paraId="4940F4C8">
      <w:pPr>
        <w:bidi w:val="0"/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阴影效果实现：在/shader/box.frag中添加阴影计算（TODO3），采用 ShadowMap 技术，先通过深度着色器渲染光源视角下的深度纹理，再在片段着色器中采样深度纹理，对比当前片段的深度值与采样值，判断是否处于阴影中（返回 1 为阴影，0 为非阴影）。</w:t>
      </w:r>
    </w:p>
    <w:p w14:paraId="54869B60">
      <w:pPr>
        <w:bidi w:val="0"/>
      </w:pPr>
      <w:r>
        <w:rPr>
          <w:rFonts w:hint="eastAsia"/>
          <w:lang w:val="en-US" w:eastAsia="zh-CN"/>
        </w:rPr>
        <w:t>5.</w:t>
      </w:r>
      <w:r>
        <w:rPr>
          <w:rFonts w:hint="default"/>
        </w:rPr>
        <w:t>交互与渲染循环：实现光源（点光源 / 平行光切换、位置旋转缩放）和观察者（相机旋转、平移、缩放）的交互控制，通过render函数构建渲染循环，完成场景的实时更新与绘制。</w:t>
      </w:r>
    </w:p>
    <w:p w14:paraId="158F752D">
      <w:pPr>
        <w:ind w:firstLine="630" w:firstLineChars="300"/>
        <w:rPr>
          <w:rFonts w:hint="eastAsia" w:ascii="微软雅黑" w:hAnsi="微软雅黑" w:eastAsia="微软雅黑"/>
          <w:color w:val="FF0000"/>
        </w:rPr>
      </w:pPr>
    </w:p>
    <w:p w14:paraId="3B8F087A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2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重点难点</w:t>
      </w:r>
    </w:p>
    <w:p w14:paraId="2F0F74B4">
      <w:pPr>
        <w:bidi w:val="0"/>
      </w:pPr>
      <w:r>
        <w:rPr>
          <w:rFonts w:hint="default"/>
        </w:rPr>
        <w:t>2.1 重点内容</w:t>
      </w:r>
    </w:p>
    <w:p w14:paraId="7F055F49">
      <w:pPr>
        <w:bidi w:val="0"/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Phong 模型的精准计算：需严格遵循 Phong 光照公式，正确处理法向量、光照方向、视角方向的归一化，确保环境光、漫反射、镜面反射的权重分配合理，让物体光照过渡自然。</w:t>
      </w:r>
    </w:p>
    <w:p w14:paraId="54EF9E1C">
      <w:pPr>
        <w:bidi w:val="0"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ShadowMap 的完整流程：包括深度纹理的生成、光源空间矩阵的计算、纹理采样时的坐标转换，这是实现阴影效果的核心，直接影响阴影的准确性。</w:t>
      </w:r>
    </w:p>
    <w:p w14:paraId="18C4D686">
      <w:pPr>
        <w:bidi w:val="0"/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纹理与着色器的绑定：确保纹理对象创建、参数设置、采样器绑定的流程正确，让纹理能准确映射到几何体表面，呈现细节纹理效果。</w:t>
      </w:r>
    </w:p>
    <w:p w14:paraId="5C9BF927">
      <w:pPr>
        <w:bidi w:val="0"/>
        <w:rPr>
          <w:rFonts w:hint="default"/>
        </w:rPr>
      </w:pPr>
      <w:r>
        <w:rPr>
          <w:rFonts w:hint="default"/>
        </w:rPr>
        <w:t>2.2 难点与解决方法</w:t>
      </w:r>
    </w:p>
    <w:p w14:paraId="71F52401">
      <w:pPr>
        <w:bidi w:val="0"/>
      </w:pPr>
    </w:p>
    <w:p w14:paraId="78477653">
      <w:pPr>
        <w:bidi w:val="0"/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纹理加载与映射异常</w:t>
      </w:r>
    </w:p>
    <w:p w14:paraId="09E2E49B">
      <w:pPr>
        <w:bidi w:val="0"/>
      </w:pPr>
      <w:r>
        <w:rPr>
          <w:rFonts w:hint="default"/>
        </w:rPr>
        <w:t>难点：纹理图片加载异步导致纹理绑定失败，或纹理坐标与几何体顶点不匹配，出现纹理拉伸、错位。</w:t>
      </w:r>
    </w:p>
    <w:p w14:paraId="1D4828BF">
      <w:pPr>
        <w:bidi w:val="0"/>
      </w:pPr>
      <w:r>
        <w:rPr>
          <w:rFonts w:hint="default"/>
        </w:rPr>
        <w:t>解决：在纹理加载完成后再进行渲染初始化，通过</w:t>
      </w:r>
      <w:r>
        <w:t>image.onload</w:t>
      </w:r>
      <w:r>
        <w:rPr>
          <w:rFonts w:hint="default"/>
        </w:rPr>
        <w:t>回调确保纹理数据就绪；核对texCoordsArray中纹理坐标与顶点的对应关系，确保每个顶点的纹理坐标正确映射到纹理图片的对应区域。</w:t>
      </w:r>
    </w:p>
    <w:p w14:paraId="7685C999">
      <w:pPr>
        <w:bidi w:val="0"/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Phong 光照计算失真</w:t>
      </w:r>
    </w:p>
    <w:p w14:paraId="5153D57A">
      <w:pPr>
        <w:bidi w:val="0"/>
      </w:pPr>
      <w:r>
        <w:rPr>
          <w:rFonts w:hint="default"/>
        </w:rPr>
        <w:t>难点：法向量在模型变换中未正确更新，或光照方向、视角方向计算错误，导致漫反射过暗、镜面反射位置偏移。</w:t>
      </w:r>
    </w:p>
    <w:p w14:paraId="623ED737">
      <w:pPr>
        <w:bidi w:val="0"/>
      </w:pPr>
      <w:r>
        <w:rPr>
          <w:rFonts w:hint="default"/>
        </w:rPr>
        <w:t>解决：使用法向量矩阵（normalMatrix）对法向量进行变换，确保法向量方向正确；在片段着色器中重新计算顶点到光源、顶点到观察者的向量并归一化，严格按照公式计算漫反射系数（dot (法向量，光照方向)）和镜面反射系数（dot (反射方向，视角方向)）。</w:t>
      </w:r>
    </w:p>
    <w:p w14:paraId="2FFECC9E">
      <w:pPr>
        <w:bidi w:val="0"/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ShadowMap 阴影采样错误</w:t>
      </w:r>
    </w:p>
    <w:p w14:paraId="3804A8D0">
      <w:pPr>
        <w:bidi w:val="0"/>
      </w:pPr>
      <w:r>
        <w:rPr>
          <w:rFonts w:hint="default"/>
        </w:rPr>
        <w:t>难点：光源空间矩阵传递错误，或深度纹理采样时坐标转换不当，导致阴影错位、无阴影效果。</w:t>
      </w:r>
    </w:p>
    <w:p w14:paraId="152EE747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解决：正确计算lightSpaceMatrix（投影矩阵 × 视图矩阵），并传递给片段着色器；将片段坐标从裁剪空间转换到纹理空间，处理纹理采样的精度问题，通过clamp函数限制采样范围，避免越界采样。</w:t>
      </w:r>
    </w:p>
    <w:p w14:paraId="2FB52141">
      <w:pPr>
        <w:bidi w:val="0"/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WebGL 着色器程序链接失败</w:t>
      </w:r>
    </w:p>
    <w:p w14:paraId="55A4F58B">
      <w:pPr>
        <w:bidi w:val="0"/>
      </w:pPr>
      <w:r>
        <w:rPr>
          <w:rFonts w:hint="default"/>
        </w:rPr>
        <w:t>难点：着色器语法错误（如版本声明缺失、变量类型不匹配）导致程序链接失败，无报错提示难以定位。</w:t>
      </w:r>
    </w:p>
    <w:p w14:paraId="0A0E0AFD">
      <w:pPr>
        <w:bidi w:val="0"/>
      </w:pPr>
      <w:r>
        <w:rPr>
          <w:rFonts w:hint="default"/>
        </w:rPr>
        <w:t>解决：在initShaders.js中添加详细的编译日志输出，检查着色器代码中#version 300 es声明、变量声明与使用的一致性，确保 uniform 变量、attribute 变量的类型和名称与 JavaScript 代码中一致。</w:t>
      </w:r>
    </w:p>
    <w:p w14:paraId="6A4185F1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3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心得</w:t>
      </w:r>
    </w:p>
    <w:p w14:paraId="43040678">
      <w:pPr>
        <w:bidi w:val="0"/>
      </w:pPr>
      <w:r>
        <w:rPr>
          <w:rFonts w:hint="default"/>
          <w:lang w:val="en-US" w:eastAsia="zh-CN"/>
        </w:rPr>
        <w:t>通过本次实验，我深入理解了光栅化渲染的核心流程，掌握了 WebGL 编程的关键技术，收获颇丰：</w:t>
      </w:r>
    </w:p>
    <w:p w14:paraId="3C6A8F38">
      <w:pPr>
        <w:bidi w:val="0"/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技术层面：熟练掌握了 Phong 模型和 ShadowMap 的原理与实现，理解了纹理映射、光照计算、阴影生成在 3D 渲染中的作用机制；学会了 WebGL 中着色器程序的编写、uniform/attribute 变量的传递、纹理和缓冲对象的管理，以及交互控制的实现方法。</w:t>
      </w:r>
    </w:p>
    <w:p w14:paraId="7151A041">
      <w:pPr>
        <w:bidi w:val="0"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问题解决能力：在调试纹理映射、光照失真、阴影错位等问题的过程中，学会了通过日志输出、分步验证的方式定位问题，例如通过打印法向量、光照方向的数值验证计算正确性，通过单独渲染深度纹理检查 ShadowMap 生成是否正常。</w:t>
      </w:r>
    </w:p>
    <w:p w14:paraId="3D2818A4">
      <w:pPr>
        <w:bidi w:val="0"/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工程思维：体会到 3D 渲染是一个多模块协同的过程，从几何体建模、纹理加载，到光照和阴影计算，再到交互控制，每个环节都需要严格遵循技术规范，任何一个细节的疏忽都会导致整体效果异常，培养了严谨的编程习惯。</w:t>
      </w:r>
    </w:p>
    <w:p w14:paraId="53444F25">
      <w:pPr>
        <w:bidi w:val="0"/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知识拓展：深入理解了计算机图形学的核心概念，如 MVP 矩阵变换、法向量归一化、深度缓存、纹理采样等，为后续学习更复杂的渲染技术（如 PBR、全局光照）奠定了坚实基础。</w:t>
      </w:r>
    </w:p>
    <w:p w14:paraId="3FDD0E6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本次实验不仅完成了既定的功能要求，更让我体会到理论与实践结合的重要性，只有将图形学理论转化为具体的代码实现，才能真正理解其底层逻辑，同时也提升了自己的编程能力和问题解决能力。</w:t>
      </w:r>
    </w:p>
    <w:p w14:paraId="4B345357">
      <w:pPr>
        <w:ind w:firstLine="420"/>
        <w:rPr>
          <w:rFonts w:hint="eastAsia" w:ascii="微软雅黑" w:hAnsi="微软雅黑" w:eastAsia="微软雅黑"/>
          <w:u w:val="single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EE118">
    <w:pPr>
      <w:pStyle w:val="4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A7026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  <w:rsid w:val="6C7A2AFA"/>
    <w:rsid w:val="7328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character" w:customStyle="1" w:styleId="11">
    <w:name w:val="页眉 字符"/>
    <w:basedOn w:val="6"/>
    <w:link w:val="4"/>
    <w:uiPriority w:val="99"/>
    <w:rPr>
      <w:sz w:val="18"/>
      <w:szCs w:val="18"/>
    </w:rPr>
  </w:style>
  <w:style w:type="character" w:customStyle="1" w:styleId="12">
    <w:name w:val="页脚 字符"/>
    <w:basedOn w:val="6"/>
    <w:link w:val="3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3</Pages>
  <Words>1829</Words>
  <Characters>2238</Characters>
  <Lines>1</Lines>
  <Paragraphs>1</Paragraphs>
  <TotalTime>0</TotalTime>
  <ScaleCrop>false</ScaleCrop>
  <LinksUpToDate>false</LinksUpToDate>
  <CharactersWithSpaces>2315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2020-09-01T07:16:00Z</dcterms:created>
  <dc:creator>690051933@qq.com</dc:creator>
  <cp:lastModifiedBy>残风</cp:lastModifiedBy>
  <dcterms:modified xsi:type="dcterms:W3CDTF">2025-11-22T10:24:49Z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eyJoZGlkIjoiYTQ4Nzc2ZjhlMDgwMDc1ODFlYzc2Y2ZmYTY3NGM4M2EiLCJ1c2VySWQiOiIxNDg4MjA2MTgwIn0=</vt:lpwstr>
  </property>
  <property fmtid="{D5CDD505-2E9C-101B-9397-08002B2CF9AE}" pid="3" name="KSOProductBuildVer">
    <vt:lpwstr>2052-12.1.0.23542</vt:lpwstr>
  </property>
  <property fmtid="{D5CDD505-2E9C-101B-9397-08002B2CF9AE}" pid="4" name="ICV">
    <vt:lpwstr>17BBE95508534E298B3F5BD5F6681EC9_13</vt:lpwstr>
  </property>
</Properties>
</file>