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sz w:val="20"/>
          <w:szCs w:val="20"/>
          <w:rtl w:val="0"/>
        </w:rPr>
      </w:pPr>
      <w:bookmarkStart w:id="0" w:name="_fro9gjjtgach" w:colFirst="0" w:colLast="0"/>
      <w:bookmarkEnd w:id="0"/>
      <w:r>
        <w:rPr>
          <w:rFonts w:hint="eastAsia" w:ascii="Arial" w:hAnsi="Arial" w:cs="Arial" w:eastAsiaTheme="minorEastAsia"/>
          <w:sz w:val="20"/>
          <w:szCs w:val="20"/>
          <w:lang w:eastAsia="zh-CN"/>
        </w:rPr>
        <w:drawing>
          <wp:anchor distT="0" distB="0" distL="114300" distR="114300" simplePos="0" relativeHeight="251660288" behindDoc="0" locked="0" layoutInCell="1" allowOverlap="1">
            <wp:simplePos x="0" y="0"/>
            <wp:positionH relativeFrom="column">
              <wp:posOffset>3302635</wp:posOffset>
            </wp:positionH>
            <wp:positionV relativeFrom="paragraph">
              <wp:posOffset>80645</wp:posOffset>
            </wp:positionV>
            <wp:extent cx="2173605" cy="561975"/>
            <wp:effectExtent l="0" t="0" r="17145" b="9525"/>
            <wp:wrapSquare wrapText="bothSides"/>
            <wp:docPr id="13" name="图片 13" descr="logoUn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logoUniv"/>
                    <pic:cNvPicPr>
                      <a:picLocks noChangeAspect="1"/>
                    </pic:cNvPicPr>
                  </pic:nvPicPr>
                  <pic:blipFill>
                    <a:blip r:embed="rId4"/>
                    <a:stretch>
                      <a:fillRect/>
                    </a:stretch>
                  </pic:blipFill>
                  <pic:spPr>
                    <a:xfrm>
                      <a:off x="0" y="0"/>
                      <a:ext cx="2173605" cy="561975"/>
                    </a:xfrm>
                    <a:prstGeom prst="rect">
                      <a:avLst/>
                    </a:prstGeom>
                  </pic:spPr>
                </pic:pic>
              </a:graphicData>
            </a:graphic>
          </wp:anchor>
        </w:drawing>
      </w:r>
      <w:r>
        <w:rPr>
          <w:lang w:eastAsia="fr-FR"/>
        </w:rPr>
        <w:drawing>
          <wp:anchor distT="0" distB="0" distL="114300" distR="114300" simplePos="0" relativeHeight="251659264" behindDoc="0" locked="0" layoutInCell="1" allowOverlap="1">
            <wp:simplePos x="0" y="0"/>
            <wp:positionH relativeFrom="column">
              <wp:posOffset>-43180</wp:posOffset>
            </wp:positionH>
            <wp:positionV relativeFrom="paragraph">
              <wp:posOffset>39370</wp:posOffset>
            </wp:positionV>
            <wp:extent cx="2294890" cy="685800"/>
            <wp:effectExtent l="0" t="0" r="10160" b="0"/>
            <wp:wrapNone/>
            <wp:docPr id="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94890" cy="685800"/>
                    </a:xfrm>
                    <a:prstGeom prst="rect">
                      <a:avLst/>
                    </a:prstGeom>
                  </pic:spPr>
                </pic:pic>
              </a:graphicData>
            </a:graphic>
          </wp:anchor>
        </w:drawing>
      </w:r>
    </w:p>
    <w:p>
      <w:pPr>
        <w:spacing w:line="240" w:lineRule="auto"/>
        <w:rPr>
          <w:sz w:val="20"/>
          <w:szCs w:val="20"/>
          <w:rtl w:val="0"/>
        </w:rPr>
      </w:pPr>
    </w:p>
    <w:p>
      <w:pPr>
        <w:spacing w:line="240" w:lineRule="auto"/>
        <w:jc w:val="right"/>
        <w:rPr>
          <w:sz w:val="20"/>
          <w:szCs w:val="20"/>
          <w:rtl w:val="0"/>
        </w:rPr>
      </w:pPr>
    </w:p>
    <w:p>
      <w:pPr>
        <w:spacing w:line="240" w:lineRule="auto"/>
        <w:rPr>
          <w:sz w:val="20"/>
          <w:szCs w:val="20"/>
          <w:rtl w:val="0"/>
        </w:rPr>
      </w:pPr>
    </w:p>
    <w:p>
      <w:pPr>
        <w:spacing w:line="240" w:lineRule="auto"/>
        <w:rPr>
          <w:sz w:val="20"/>
          <w:szCs w:val="20"/>
          <w:rtl w:val="0"/>
        </w:rPr>
      </w:pPr>
    </w:p>
    <w:p>
      <w:pPr>
        <w:spacing w:line="240" w:lineRule="auto"/>
        <w:rPr>
          <w:sz w:val="20"/>
          <w:szCs w:val="20"/>
          <w:rtl w:val="0"/>
        </w:rPr>
      </w:pPr>
    </w:p>
    <w:p>
      <w:pPr>
        <w:spacing w:line="240" w:lineRule="auto"/>
        <w:rPr>
          <w:rFonts w:hint="default" w:ascii="Arial" w:hAnsi="Arial" w:cs="Arial"/>
          <w:sz w:val="20"/>
          <w:szCs w:val="20"/>
        </w:rPr>
      </w:pPr>
      <w:r>
        <w:rPr>
          <w:rFonts w:hint="default" w:ascii="Arial" w:hAnsi="Arial" w:cs="Arial"/>
          <w:sz w:val="20"/>
          <w:szCs w:val="20"/>
          <w:rtl w:val="0"/>
        </w:rPr>
        <w:t>LE POLYTECHNIQUE DE L’UNIVERSITE FRANÇOIS RABELAIS DE TOURS</w:t>
      </w:r>
    </w:p>
    <w:p>
      <w:pPr>
        <w:spacing w:line="240" w:lineRule="auto"/>
        <w:rPr>
          <w:rFonts w:hint="eastAsia" w:ascii="Arial" w:hAnsi="Arial" w:cs="Arial" w:eastAsiaTheme="minorEastAsia"/>
          <w:sz w:val="20"/>
          <w:szCs w:val="20"/>
          <w:lang w:eastAsia="zh-CN"/>
        </w:rPr>
      </w:pPr>
      <w:r>
        <w:rPr>
          <w:rFonts w:hint="default" w:ascii="Arial" w:hAnsi="Arial" w:cs="Arial"/>
          <w:sz w:val="20"/>
          <w:szCs w:val="20"/>
          <w:rtl w:val="0"/>
        </w:rPr>
        <w:t>Spécialité Informatique</w:t>
      </w:r>
    </w:p>
    <w:p>
      <w:pPr>
        <w:spacing w:line="240" w:lineRule="auto"/>
        <w:rPr>
          <w:rFonts w:hint="default" w:ascii="Arial" w:hAnsi="Arial" w:cs="Arial"/>
          <w:sz w:val="20"/>
          <w:szCs w:val="20"/>
        </w:rPr>
      </w:pPr>
      <w:r>
        <w:rPr>
          <w:rFonts w:hint="default" w:ascii="Arial" w:hAnsi="Arial" w:cs="Arial"/>
          <w:sz w:val="20"/>
          <w:szCs w:val="20"/>
          <w:rtl w:val="0"/>
        </w:rPr>
        <w:t>64 avenue Jean Portalis,</w:t>
      </w:r>
    </w:p>
    <w:p>
      <w:pPr>
        <w:spacing w:line="240" w:lineRule="auto"/>
        <w:rPr>
          <w:rFonts w:hint="default" w:ascii="Arial" w:hAnsi="Arial" w:cs="Arial"/>
          <w:sz w:val="20"/>
          <w:szCs w:val="20"/>
        </w:rPr>
      </w:pPr>
      <w:r>
        <w:rPr>
          <w:rFonts w:hint="default" w:ascii="Arial" w:hAnsi="Arial" w:cs="Arial"/>
          <w:sz w:val="20"/>
          <w:szCs w:val="20"/>
          <w:rtl w:val="0"/>
        </w:rPr>
        <w:t>37200 TOURS, FRANCE</w:t>
      </w:r>
    </w:p>
    <w:p>
      <w:pPr>
        <w:spacing w:line="240" w:lineRule="auto"/>
        <w:rPr>
          <w:rFonts w:hint="default" w:ascii="Arial" w:hAnsi="Arial" w:cs="Arial"/>
          <w:sz w:val="20"/>
          <w:szCs w:val="20"/>
        </w:rPr>
      </w:pPr>
      <w:r>
        <w:rPr>
          <w:rFonts w:hint="default" w:ascii="Arial" w:hAnsi="Arial" w:cs="Arial"/>
          <w:sz w:val="20"/>
          <w:szCs w:val="20"/>
          <w:rtl w:val="0"/>
        </w:rPr>
        <w:t>Tél +33 (0)2 47 36 14 14</w:t>
      </w:r>
    </w:p>
    <w:p>
      <w:pPr>
        <w:spacing w:line="240" w:lineRule="auto"/>
        <w:rPr>
          <w:rFonts w:hint="default" w:ascii="Arial" w:hAnsi="Arial" w:cs="Arial"/>
          <w:sz w:val="20"/>
          <w:szCs w:val="20"/>
        </w:rPr>
      </w:pPr>
      <w:r>
        <w:rPr>
          <w:rFonts w:hint="default" w:ascii="Arial" w:hAnsi="Arial" w:cs="Arial"/>
          <w:sz w:val="20"/>
          <w:szCs w:val="20"/>
        </w:rPr>
        <w:fldChar w:fldCharType="begin"/>
      </w:r>
      <w:r>
        <w:rPr>
          <w:rFonts w:hint="default" w:ascii="Arial" w:hAnsi="Arial" w:cs="Arial"/>
          <w:sz w:val="20"/>
          <w:szCs w:val="20"/>
        </w:rPr>
        <w:instrText xml:space="preserve"> HYPERLINK "http://www.polytech.univ-tours.fr/" \h </w:instrText>
      </w:r>
      <w:r>
        <w:rPr>
          <w:rFonts w:hint="default" w:ascii="Arial" w:hAnsi="Arial" w:cs="Arial"/>
          <w:sz w:val="20"/>
          <w:szCs w:val="20"/>
        </w:rPr>
        <w:fldChar w:fldCharType="separate"/>
      </w:r>
      <w:r>
        <w:rPr>
          <w:rFonts w:hint="default" w:ascii="Arial" w:hAnsi="Arial" w:cs="Arial"/>
          <w:color w:val="1155CC"/>
          <w:sz w:val="20"/>
          <w:szCs w:val="20"/>
          <w:u w:val="single"/>
          <w:rtl w:val="0"/>
        </w:rPr>
        <w:t>www.polytech.univ-tours.fr</w:t>
      </w:r>
      <w:r>
        <w:rPr>
          <w:rFonts w:hint="default" w:ascii="Arial" w:hAnsi="Arial" w:cs="Arial"/>
          <w:color w:val="1155CC"/>
          <w:sz w:val="20"/>
          <w:szCs w:val="20"/>
          <w:u w:val="single"/>
          <w:rtl w:val="0"/>
        </w:rPr>
        <w:fldChar w:fldCharType="end"/>
      </w:r>
    </w:p>
    <w:p>
      <w:pPr>
        <w:pStyle w:val="7"/>
        <w:keepNext w:val="0"/>
        <w:keepLines w:val="0"/>
        <w:widowControl/>
        <w:suppressLineNumbers w:val="0"/>
        <w:bidi w:val="0"/>
        <w:spacing w:before="0" w:beforeAutospacing="0" w:after="0" w:afterAutospacing="0" w:line="21" w:lineRule="atLeast"/>
        <w:jc w:val="center"/>
        <w:rPr>
          <w:rFonts w:ascii="Arial" w:hAnsi="Arial" w:cs="Arial"/>
          <w:i w:val="0"/>
          <w:color w:val="000000"/>
          <w:sz w:val="60"/>
          <w:szCs w:val="60"/>
          <w:u w:val="none"/>
          <w:vertAlign w:val="baseline"/>
        </w:rPr>
      </w:pPr>
    </w:p>
    <w:p>
      <w:pPr>
        <w:pStyle w:val="7"/>
        <w:keepNext w:val="0"/>
        <w:keepLines w:val="0"/>
        <w:widowControl/>
        <w:suppressLineNumbers w:val="0"/>
        <w:bidi w:val="0"/>
        <w:spacing w:before="0" w:beforeAutospacing="0" w:after="0" w:afterAutospacing="0" w:line="21" w:lineRule="atLeast"/>
        <w:jc w:val="center"/>
        <w:rPr>
          <w:rFonts w:ascii="Arial" w:hAnsi="Arial" w:cs="Arial"/>
          <w:i w:val="0"/>
          <w:color w:val="000000"/>
          <w:sz w:val="60"/>
          <w:szCs w:val="60"/>
          <w:u w:val="none"/>
          <w:vertAlign w:val="baseline"/>
        </w:rPr>
      </w:pPr>
    </w:p>
    <w:p>
      <w:pPr>
        <w:pStyle w:val="7"/>
        <w:keepNext w:val="0"/>
        <w:keepLines w:val="0"/>
        <w:widowControl/>
        <w:suppressLineNumbers w:val="0"/>
        <w:bidi w:val="0"/>
        <w:spacing w:before="0" w:beforeAutospacing="0" w:after="0" w:afterAutospacing="0" w:line="21" w:lineRule="atLeast"/>
        <w:jc w:val="center"/>
        <w:rPr>
          <w:rFonts w:hint="eastAsia" w:ascii="Arial" w:hAnsi="Arial" w:cs="Arial" w:eastAsiaTheme="minorEastAsia"/>
          <w:i w:val="0"/>
          <w:color w:val="000000"/>
          <w:sz w:val="60"/>
          <w:szCs w:val="60"/>
          <w:u w:val="none"/>
          <w:vertAlign w:val="baseline"/>
          <w:lang w:eastAsia="zh-CN"/>
        </w:rPr>
      </w:pPr>
      <w:r>
        <w:rPr>
          <w:rFonts w:ascii="Arial" w:hAnsi="Arial" w:cs="Arial"/>
          <w:i w:val="0"/>
          <w:color w:val="000000"/>
          <w:sz w:val="60"/>
          <w:szCs w:val="60"/>
          <w:u w:val="none"/>
          <w:vertAlign w:val="baseline"/>
        </w:rPr>
        <w:t>Rapport - TP</w:t>
      </w:r>
      <w:r>
        <w:rPr>
          <w:rFonts w:hint="eastAsia" w:ascii="Arial" w:hAnsi="Arial" w:cs="Arial"/>
          <w:i w:val="0"/>
          <w:color w:val="000000"/>
          <w:sz w:val="60"/>
          <w:szCs w:val="60"/>
          <w:u w:val="none"/>
          <w:vertAlign w:val="baseline"/>
          <w:lang w:val="en-US" w:eastAsia="zh-CN"/>
        </w:rPr>
        <w:t>2</w:t>
      </w:r>
    </w:p>
    <w:p>
      <w:pPr>
        <w:keepNext w:val="0"/>
        <w:keepLines w:val="0"/>
        <w:widowControl/>
        <w:suppressLineNumbers w:val="0"/>
        <w:spacing w:after="240" w:afterAutospacing="0"/>
        <w:jc w:val="left"/>
        <w:rPr>
          <w:rFonts w:ascii="宋体" w:hAnsi="宋体" w:eastAsia="宋体" w:cs="宋体"/>
          <w:b w:val="0"/>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b w:val="0"/>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b w:val="0"/>
          <w:kern w:val="0"/>
          <w:sz w:val="24"/>
          <w:szCs w:val="24"/>
          <w:lang w:val="en-US" w:eastAsia="zh-CN" w:bidi="ar"/>
        </w:rPr>
      </w:pPr>
    </w:p>
    <w:p>
      <w:pPr>
        <w:keepNext w:val="0"/>
        <w:keepLines w:val="0"/>
        <w:widowControl/>
        <w:suppressLineNumbers w:val="0"/>
        <w:spacing w:after="240" w:afterAutospacing="0"/>
        <w:jc w:val="left"/>
      </w:pPr>
      <w:r>
        <w:rPr>
          <w:rFonts w:ascii="宋体" w:hAnsi="宋体" w:eastAsia="宋体" w:cs="宋体"/>
          <w:b w:val="0"/>
          <w:kern w:val="0"/>
          <w:sz w:val="24"/>
          <w:szCs w:val="24"/>
          <w:lang w:val="en-US" w:eastAsia="zh-CN" w:bidi="ar"/>
        </w:rPr>
        <w:br w:type="textWrapping"/>
      </w:r>
    </w:p>
    <w:p>
      <w:pPr>
        <w:pStyle w:val="7"/>
        <w:keepNext w:val="0"/>
        <w:keepLines w:val="0"/>
        <w:widowControl/>
        <w:suppressLineNumbers w:val="0"/>
        <w:bidi w:val="0"/>
        <w:spacing w:before="0" w:beforeAutospacing="0" w:after="0" w:afterAutospacing="0" w:line="21" w:lineRule="atLeast"/>
        <w:jc w:val="right"/>
      </w:pPr>
      <w:r>
        <w:rPr>
          <w:rFonts w:hint="default" w:ascii="Calibri" w:hAnsi="Calibri" w:cs="Calibri"/>
          <w:i w:val="0"/>
          <w:color w:val="000000"/>
          <w:sz w:val="28"/>
          <w:szCs w:val="28"/>
          <w:u w:val="none"/>
          <w:vertAlign w:val="baseline"/>
        </w:rPr>
        <w:t>FENG Jiaming 21707371</w:t>
      </w:r>
    </w:p>
    <w:p>
      <w:pPr>
        <w:pStyle w:val="7"/>
        <w:keepNext w:val="0"/>
        <w:keepLines w:val="0"/>
        <w:widowControl/>
        <w:suppressLineNumbers w:val="0"/>
        <w:bidi w:val="0"/>
        <w:spacing w:before="0" w:beforeAutospacing="0" w:after="0" w:afterAutospacing="0" w:line="21" w:lineRule="atLeast"/>
        <w:jc w:val="right"/>
      </w:pPr>
      <w:r>
        <w:rPr>
          <w:rFonts w:hint="default" w:ascii="Calibri" w:hAnsi="Calibri" w:cs="Calibri"/>
          <w:i w:val="0"/>
          <w:color w:val="000000"/>
          <w:sz w:val="28"/>
          <w:szCs w:val="28"/>
          <w:u w:val="none"/>
          <w:vertAlign w:val="baseline"/>
        </w:rPr>
        <w:t>SONG Miyuan 21707400</w:t>
      </w:r>
    </w:p>
    <w:p>
      <w:pPr>
        <w:pStyle w:val="3"/>
        <w:keepNext w:val="0"/>
        <w:keepLines w:val="0"/>
        <w:widowControl/>
        <w:suppressLineNumbers w:val="0"/>
        <w:shd w:val="clear" w:fill="FFFFFF"/>
        <w:spacing w:before="0" w:beforeAutospacing="0" w:after="225" w:afterAutospacing="0" w:line="450" w:lineRule="atLeast"/>
        <w:ind w:left="0" w:right="0" w:firstLine="0"/>
        <w:rPr>
          <w:rFonts w:ascii="宋体" w:hAnsi="宋体" w:eastAsia="宋体" w:cs="宋体"/>
          <w:b w:val="0"/>
          <w:kern w:val="0"/>
          <w:szCs w:val="24"/>
          <w:lang w:val="en-US" w:eastAsia="zh-CN" w:bidi="ar"/>
        </w:rPr>
      </w:pPr>
      <w:r>
        <w:rPr>
          <w:rFonts w:ascii="宋体" w:hAnsi="宋体" w:eastAsia="宋体" w:cs="宋体"/>
          <w:b w:val="0"/>
          <w:kern w:val="0"/>
          <w:szCs w:val="24"/>
          <w:lang w:val="en-US" w:eastAsia="zh-CN" w:bidi="ar"/>
        </w:rPr>
        <w:br w:type="textWrapping"/>
      </w:r>
      <w:r>
        <w:rPr>
          <w:rFonts w:ascii="宋体" w:hAnsi="宋体" w:eastAsia="宋体" w:cs="宋体"/>
          <w:b w:val="0"/>
          <w:kern w:val="0"/>
          <w:szCs w:val="24"/>
          <w:lang w:val="en-US" w:eastAsia="zh-CN" w:bidi="ar"/>
        </w:rPr>
        <w:br w:type="textWrapping"/>
      </w:r>
      <w:r>
        <w:rPr>
          <w:rFonts w:ascii="宋体" w:hAnsi="宋体" w:eastAsia="宋体" w:cs="宋体"/>
          <w:b w:val="0"/>
          <w:kern w:val="0"/>
          <w:szCs w:val="24"/>
          <w:lang w:val="en-US" w:eastAsia="zh-CN" w:bidi="ar"/>
        </w:rPr>
        <w:br w:type="textWrapping"/>
      </w:r>
      <w:r>
        <w:rPr>
          <w:rFonts w:ascii="宋体" w:hAnsi="宋体" w:eastAsia="宋体" w:cs="宋体"/>
          <w:b w:val="0"/>
          <w:kern w:val="0"/>
          <w:szCs w:val="24"/>
          <w:lang w:val="en-US" w:eastAsia="zh-CN" w:bidi="ar"/>
        </w:rPr>
        <w:br w:type="textWrapping"/>
      </w:r>
    </w:p>
    <w:p/>
    <w:p>
      <w:pPr>
        <w:pStyle w:val="4"/>
        <w:numPr>
          <w:numId w:val="0"/>
        </w:numPr>
        <w:bidi w:val="0"/>
        <w:rPr>
          <w:rFonts w:hint="default"/>
          <w:lang w:val="en-US" w:eastAsia="zh-CN"/>
        </w:rPr>
      </w:pPr>
      <w:r>
        <w:rPr>
          <w:rFonts w:hint="default"/>
          <w:lang w:val="en-US" w:eastAsia="zh-CN"/>
        </w:rPr>
        <w:t>Sklearn</w:t>
      </w:r>
    </w:p>
    <w:p>
      <w:pPr>
        <w:bidi w:val="0"/>
        <w:rPr>
          <w:rFonts w:hint="eastAsia"/>
          <w:lang w:val="en-US" w:eastAsia="zh-CN"/>
        </w:rPr>
      </w:pPr>
      <w:r>
        <w:rPr>
          <w:rFonts w:hint="eastAsia"/>
          <w:lang w:val="en-US" w:eastAsia="zh-CN"/>
        </w:rPr>
        <w:t>Scikit-learn (sklearn) est un module tiers couramment utilisé dans le machine learning. Il encapsule les méthodes d'apprentissage automatique couramment utilisées, y compris la régression, la réduction de dimension, la classification et le clustering. Méthode. Lorsque nous sommes confrontés à un problème d'apprentissage automatique, nous pouvons choisir la méthode correspondante selon la figure suivante. Sklearn présente les caractéristiques suivantes:</w:t>
      </w:r>
    </w:p>
    <w:p>
      <w:pPr>
        <w:bidi w:val="0"/>
        <w:rPr>
          <w:rFonts w:hint="eastAsia"/>
          <w:lang w:val="en-US" w:eastAsia="zh-CN"/>
        </w:rPr>
      </w:pPr>
    </w:p>
    <w:p>
      <w:pPr>
        <w:bidi w:val="0"/>
        <w:rPr>
          <w:rFonts w:hint="default"/>
          <w:lang w:val="en-US" w:eastAsia="zh-CN"/>
        </w:rPr>
      </w:pPr>
      <w:r>
        <w:rPr>
          <w:rFonts w:hint="eastAsia"/>
          <w:lang w:val="en-US" w:eastAsia="zh-CN"/>
        </w:rPr>
        <w:t>Des outils simples et efficaces d'exploration de données et d'analyse de données permettent à chacun de réutiliser NumPy, Scipy et MatPlotLib dans des environnements complexes.</w:t>
      </w:r>
    </w:p>
    <w:p>
      <w:pPr>
        <w:bidi w:val="0"/>
        <w:rPr>
          <w:rFonts w:hint="eastAsia"/>
          <w:lang w:val="en-US" w:eastAsia="zh-CN"/>
        </w:rPr>
      </w:pPr>
    </w:p>
    <w:p>
      <w:pPr>
        <w:pStyle w:val="4"/>
        <w:numPr>
          <w:numId w:val="0"/>
        </w:numPr>
        <w:bidi w:val="0"/>
        <w:rPr>
          <w:rFonts w:hint="eastAsia"/>
          <w:lang w:val="en-US" w:eastAsia="zh-CN"/>
        </w:rPr>
      </w:pPr>
      <w:r>
        <w:rPr>
          <w:rFonts w:hint="eastAsia"/>
          <w:lang w:val="en-US" w:eastAsia="zh-CN"/>
        </w:rPr>
        <w:t>Pytorch</w:t>
      </w:r>
    </w:p>
    <w:p>
      <w:pPr>
        <w:bidi w:val="0"/>
        <w:rPr>
          <w:rFonts w:hint="default"/>
          <w:lang w:val="en-US" w:eastAsia="zh-CN"/>
        </w:rPr>
      </w:pPr>
      <w:r>
        <w:rPr>
          <w:rFonts w:hint="default"/>
          <w:lang w:val="en-US" w:eastAsia="zh-CN"/>
        </w:rPr>
        <w:t>PyTorch est un package Python basé sur la bibliothèque Torch, conçu pour accélérer les applications d'apprentissage en profondeur.</w:t>
      </w:r>
    </w:p>
    <w:p>
      <w:pPr>
        <w:bidi w:val="0"/>
        <w:rPr>
          <w:rFonts w:hint="default"/>
          <w:lang w:val="en-US" w:eastAsia="zh-CN"/>
        </w:rPr>
      </w:pPr>
    </w:p>
    <w:p>
      <w:pPr>
        <w:bidi w:val="0"/>
        <w:rPr>
          <w:rFonts w:hint="default"/>
          <w:lang w:val="en-US" w:eastAsia="zh-CN"/>
        </w:rPr>
      </w:pPr>
      <w:r>
        <w:rPr>
          <w:rFonts w:hint="default"/>
          <w:lang w:val="en-US" w:eastAsia="zh-CN"/>
        </w:rPr>
        <w:t>PyTorch fournit une méthode abstraite similaire à NumPy pour caractériser les tenseurs (ou tableaux multidimensionnels, les scalaires sont des tenseurs d'ordre zéro, les vecteurs sont des tenseurs du premier ordre et les matrices sont des tenseurs du second ordre). Il peut utiliser des GPU pour accélérer la formation. La torche peut remplacer Numpy dans les réseaux de neurones.</w:t>
      </w:r>
    </w:p>
    <w:p>
      <w:pPr>
        <w:bidi w:val="0"/>
        <w:rPr>
          <w:rFonts w:hint="default"/>
          <w:lang w:val="en-US" w:eastAsia="zh-CN"/>
        </w:rPr>
      </w:pPr>
    </w:p>
    <w:p>
      <w:pPr>
        <w:bidi w:val="0"/>
        <w:rPr>
          <w:rFonts w:hint="default"/>
          <w:lang w:val="en-US" w:eastAsia="zh-CN"/>
        </w:rPr>
      </w:pPr>
      <w:r>
        <w:rPr>
          <w:rFonts w:hint="default"/>
          <w:lang w:val="en-US" w:eastAsia="zh-CN"/>
        </w:rPr>
        <w:t xml:space="preserve">Lorsque vous utilisez pytorch pour créer des réseaux de neurones, il existe deux packages les plus couramment utilisés: </w:t>
      </w:r>
      <w:r>
        <w:rPr>
          <w:rFonts w:hint="default"/>
          <w:b/>
          <w:bCs/>
          <w:lang w:val="en-US" w:eastAsia="zh-CN"/>
        </w:rPr>
        <w:t>torch.nn</w:t>
      </w:r>
      <w:r>
        <w:rPr>
          <w:rFonts w:hint="default"/>
          <w:lang w:val="en-US" w:eastAsia="zh-CN"/>
        </w:rPr>
        <w:t xml:space="preserve"> et </w:t>
      </w:r>
      <w:r>
        <w:rPr>
          <w:rFonts w:hint="default"/>
          <w:b/>
          <w:bCs/>
          <w:lang w:val="en-US" w:eastAsia="zh-CN"/>
        </w:rPr>
        <w:t>torch.optim</w:t>
      </w:r>
      <w:r>
        <w:rPr>
          <w:rFonts w:hint="default"/>
          <w:lang w:val="en-US" w:eastAsia="zh-CN"/>
        </w:rPr>
        <w:t xml:space="preserve">. Le package </w:t>
      </w:r>
      <w:r>
        <w:rPr>
          <w:rFonts w:hint="default"/>
          <w:b w:val="0"/>
          <w:bCs w:val="0"/>
          <w:lang w:val="en-US" w:eastAsia="zh-CN"/>
        </w:rPr>
        <w:t>torch.nn</w:t>
      </w:r>
      <w:r>
        <w:rPr>
          <w:rFonts w:hint="default"/>
          <w:lang w:val="en-US" w:eastAsia="zh-CN"/>
        </w:rPr>
        <w:t xml:space="preserve"> contient principalement des modules pour la construction de différentes couches, telles que la convolution bidimensionnelle entièrement connectée, la mise en commun, etc.; le package torch.nn contient également une série de fonctions de perte utiles. Ces fonctions sont également Indispensable lors de l'entraînement de réseaux de neurones, tels que CrossEntropyLoss, MSELoss, etc.</w:t>
      </w:r>
    </w:p>
    <w:p>
      <w:pPr>
        <w:bidi w:val="0"/>
        <w:rPr>
          <w:rFonts w:hint="default"/>
          <w:lang w:val="en-US" w:eastAsia="zh-CN"/>
        </w:rPr>
      </w:pPr>
    </w:p>
    <w:p>
      <w:pPr>
        <w:bidi w:val="0"/>
        <w:rPr>
          <w:rFonts w:hint="default"/>
          <w:lang w:val="en-US" w:eastAsia="zh-CN"/>
        </w:rPr>
      </w:pPr>
      <w:r>
        <w:rPr>
          <w:rFonts w:hint="default"/>
          <w:lang w:val="en-US" w:eastAsia="zh-CN"/>
        </w:rPr>
        <w:t>Le package torch.optim contient principalement des algorithmes d'optimisation utilisés pour mettre à jour des paramètres, tels que SGD, AdaGrad, RMSProp, Adam, etc.</w:t>
      </w:r>
    </w:p>
    <w:p>
      <w:pPr>
        <w:bidi w:val="0"/>
        <w:rPr>
          <w:rFonts w:hint="default"/>
          <w:lang w:val="en-US" w:eastAsia="zh-CN"/>
        </w:rPr>
      </w:pPr>
    </w:p>
    <w:p>
      <w:pPr>
        <w:bidi w:val="0"/>
        <w:rPr>
          <w:rFonts w:hint="default"/>
          <w:lang w:val="en-US" w:eastAsia="zh-CN"/>
        </w:rPr>
      </w:pPr>
      <w:r>
        <w:rPr>
          <w:rFonts w:hint="default"/>
          <w:lang w:val="en-US" w:eastAsia="zh-CN"/>
        </w:rPr>
        <w:t xml:space="preserve">Il existe deux méthodes couramment utilisées pour définir le réseau à l'aide du package torch.nn. L'une consiste à hériter de la classe </w:t>
      </w:r>
      <w:r>
        <w:rPr>
          <w:rFonts w:hint="default"/>
          <w:b/>
          <w:bCs/>
          <w:lang w:val="en-US" w:eastAsia="zh-CN"/>
        </w:rPr>
        <w:t>nn.Module</w:t>
      </w:r>
      <w:r>
        <w:rPr>
          <w:rFonts w:hint="default"/>
          <w:lang w:val="en-US" w:eastAsia="zh-CN"/>
        </w:rPr>
        <w:t xml:space="preserve">. Cette méthode peut personnaliser la structure du réseau. Surtout lorsqu'il est nécessaire d'implémenter des paramètres partagés, nous pouvons simplement La fonction directe utilise à plusieurs reprises la même couche définie dans la fonction __init__; l'autre est définie à l'aide de </w:t>
      </w:r>
      <w:r>
        <w:rPr>
          <w:rFonts w:hint="default"/>
          <w:b/>
          <w:bCs/>
          <w:lang w:val="en-US" w:eastAsia="zh-CN"/>
        </w:rPr>
        <w:t>torch.nn.Sequential</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pStyle w:val="6"/>
        <w:keepNext w:val="0"/>
        <w:keepLines w:val="0"/>
        <w:widowControl/>
        <w:numPr>
          <w:ilvl w:val="0"/>
          <w:numId w:val="4"/>
        </w:numPr>
        <w:suppressLineNumbers w:val="0"/>
        <w:shd w:val="clear" w:fill="FFFFFF"/>
        <w:rPr>
          <w:rFonts w:hint="default" w:ascii="Consolas" w:hAnsi="Consolas" w:eastAsia="Consolas" w:cs="Consolas"/>
          <w:b/>
          <w:color w:val="008080"/>
          <w:sz w:val="19"/>
          <w:szCs w:val="19"/>
          <w:shd w:val="clear" w:fill="FFFFFF"/>
        </w:rPr>
      </w:pPr>
      <w:r>
        <w:rPr>
          <w:rFonts w:hint="default" w:ascii="Consolas" w:hAnsi="Consolas" w:eastAsia="Consolas" w:cs="Consolas"/>
          <w:b/>
          <w:color w:val="008080"/>
          <w:sz w:val="19"/>
          <w:szCs w:val="19"/>
          <w:shd w:val="clear" w:fill="FFFFFF"/>
        </w:rPr>
        <w:t>Visualizer l'évolution de la loss, tracez la courbe de perte.</w:t>
      </w:r>
    </w:p>
    <w:p>
      <w:pPr>
        <w:bidi w:val="0"/>
        <w:rPr>
          <w:rFonts w:hint="eastAsia" w:eastAsiaTheme="minorEastAsia"/>
          <w:lang w:eastAsia="zh-CN"/>
        </w:rPr>
      </w:pPr>
      <w:r>
        <w:rPr>
          <w:rFonts w:hint="default"/>
        </w:rPr>
        <w:t>1000 itérations de changements de pertes moyennes sont indiquées ci-dessous</w:t>
      </w:r>
      <w:r>
        <w:rPr>
          <w:rFonts w:hint="eastAsia"/>
          <w:lang w:eastAsia="zh-CN"/>
        </w:rPr>
        <w:t>：</w:t>
      </w:r>
    </w:p>
    <w:p>
      <w:r>
        <w:drawing>
          <wp:inline distT="0" distB="0" distL="114300" distR="114300">
            <wp:extent cx="5274310" cy="3976370"/>
            <wp:effectExtent l="0" t="0" r="2540"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5274310" cy="3976370"/>
                    </a:xfrm>
                    <a:prstGeom prst="rect">
                      <a:avLst/>
                    </a:prstGeom>
                    <a:noFill/>
                    <a:ln>
                      <a:noFill/>
                    </a:ln>
                  </pic:spPr>
                </pic:pic>
              </a:graphicData>
            </a:graphic>
          </wp:inline>
        </w:drawing>
      </w:r>
    </w:p>
    <w:p/>
    <w:p>
      <w:pPr>
        <w:pStyle w:val="6"/>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b/>
          <w:color w:val="008080"/>
          <w:sz w:val="19"/>
          <w:szCs w:val="19"/>
          <w:shd w:val="clear" w:fill="FFFFFF"/>
        </w:rPr>
        <w:t xml:space="preserve">2.Calculer la précision du modèle sur la base d'apprentissage.    </w:t>
      </w:r>
    </w:p>
    <w:p/>
    <w:p>
      <w:pPr>
        <w:bidi w:val="0"/>
        <w:rPr>
          <w:rFonts w:hint="default"/>
        </w:rPr>
      </w:pPr>
      <w:r>
        <w:rPr>
          <w:rFonts w:hint="default"/>
        </w:rPr>
        <w:t xml:space="preserve">La classification est une tâche relativement courante dans </w:t>
      </w:r>
      <w:r>
        <w:rPr>
          <w:rFonts w:hint="eastAsia"/>
          <w:lang w:val="en-US" w:eastAsia="zh-CN"/>
        </w:rPr>
        <w:t>le machine learning</w:t>
      </w:r>
      <w:r>
        <w:rPr>
          <w:rFonts w:hint="default"/>
        </w:rPr>
        <w:t xml:space="preserve">. Pour les indicateurs d'évaluation communs aux tâches de classification, il y a </w:t>
      </w:r>
      <w:r>
        <w:rPr>
          <w:rFonts w:hint="default"/>
          <w:b/>
          <w:bCs/>
        </w:rPr>
        <w:t xml:space="preserve">l’accuracy </w:t>
      </w:r>
      <w:r>
        <w:rPr>
          <w:rFonts w:hint="default"/>
        </w:rPr>
        <w:t xml:space="preserve">et la </w:t>
      </w:r>
      <w:r>
        <w:rPr>
          <w:rFonts w:hint="default"/>
          <w:b/>
          <w:bCs/>
        </w:rPr>
        <w:t>précision</w:t>
      </w:r>
      <w:r>
        <w:rPr>
          <w:rFonts w:hint="default"/>
        </w:rPr>
        <w:t>.</w:t>
      </w:r>
    </w:p>
    <w:p>
      <w:pPr>
        <w:bidi w:val="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390900" cy="2543175"/>
            <wp:effectExtent l="0" t="0" r="0" b="9525"/>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7"/>
                    <a:stretch>
                      <a:fillRect/>
                    </a:stretch>
                  </pic:blipFill>
                  <pic:spPr>
                    <a:xfrm>
                      <a:off x="0" y="0"/>
                      <a:ext cx="3390900" cy="254317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4486275" cy="1166495"/>
            <wp:effectExtent l="0" t="0" r="9525" b="14605"/>
            <wp:docPr id="1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6"/>
                    <pic:cNvPicPr>
                      <a:picLocks noChangeAspect="1"/>
                    </pic:cNvPicPr>
                  </pic:nvPicPr>
                  <pic:blipFill>
                    <a:blip r:embed="rId8"/>
                    <a:stretch>
                      <a:fillRect/>
                    </a:stretch>
                  </pic:blipFill>
                  <pic:spPr>
                    <a:xfrm>
                      <a:off x="0" y="0"/>
                      <a:ext cx="4486275" cy="1166495"/>
                    </a:xfrm>
                    <a:prstGeom prst="rect">
                      <a:avLst/>
                    </a:prstGeom>
                    <a:noFill/>
                    <a:ln w="9525">
                      <a:noFill/>
                    </a:ln>
                  </pic:spPr>
                </pic:pic>
              </a:graphicData>
            </a:graphic>
          </wp:inline>
        </w:drawing>
      </w:r>
    </w:p>
    <w:p>
      <w:pPr>
        <w:bidi w:val="0"/>
        <w:rPr>
          <w:rFonts w:hint="eastAsia" w:eastAsiaTheme="minorEastAsia"/>
          <w:lang w:eastAsia="zh-CN"/>
        </w:rPr>
      </w:pPr>
      <w:r>
        <w:rPr>
          <w:rFonts w:hint="default"/>
        </w:rPr>
        <w:t>Comme le montre la figure ci-dessus, pour comprendre chaque indice d'évaluation, vous devez d'abord connaître la matrice de confusion. P dans la matrice de confusion est positif, et N est négatif</w:t>
      </w:r>
      <w:r>
        <w:rPr>
          <w:rFonts w:hint="eastAsia"/>
          <w:lang w:val="en-US" w:eastAsia="zh-CN"/>
        </w:rPr>
        <w:t>.</w:t>
      </w:r>
    </w:p>
    <w:p>
      <w:pPr>
        <w:bidi w:val="0"/>
        <w:rPr>
          <w:rFonts w:hint="default"/>
        </w:rPr>
      </w:pPr>
    </w:p>
    <w:p>
      <w:pPr>
        <w:bidi w:val="0"/>
        <w:rPr>
          <w:rFonts w:hint="default"/>
        </w:rPr>
      </w:pPr>
      <w:r>
        <w:rPr>
          <w:rFonts w:hint="default"/>
        </w:rPr>
        <w:t>Dans le tableau, FP indique le nombre d'échantillons qui sont réellement négatifs mais qui devraient être positifs, TN indique le nombre d'échantillons qui sont réellement négatifs et qui devraient être négatifs, TP indique le nombre d'échantillons qui sont réellement positifs et qui devraient être positifs, et FN indique que le nombre est réellement positif mais est prévu pour être positif. Le nombre d'échantillons devrait être négatif.</w:t>
      </w:r>
    </w:p>
    <w:p>
      <w:pPr>
        <w:bidi w:val="0"/>
        <w:rPr>
          <w:rFonts w:hint="default"/>
        </w:rPr>
      </w:pPr>
    </w:p>
    <w:p>
      <w:pPr>
        <w:bidi w:val="0"/>
        <w:rPr>
          <w:rFonts w:hint="default"/>
        </w:rPr>
      </w:pPr>
      <w:r>
        <w:rPr>
          <w:rFonts w:hint="default"/>
        </w:rPr>
        <w:t>De plus, TP + FP représente le nombre de tous les échantillons qui devraient être positifs. De même, FN + TN est le nombre de tous les échantillons qui devraient être négatifs, TP + FN est le nombre d'échantillons qui sont réellement positifs et FP + TN est le nombre d'échantillons qui sont réellement négatifs.</w:t>
      </w:r>
    </w:p>
    <w:p>
      <w:pPr>
        <w:bidi w:val="0"/>
        <w:rPr>
          <w:rFonts w:hint="default"/>
        </w:rPr>
      </w:pPr>
    </w:p>
    <w:p>
      <w:pPr>
        <w:pStyle w:val="4"/>
        <w:numPr>
          <w:numId w:val="0"/>
        </w:numPr>
        <w:bidi w:val="0"/>
        <w:rPr>
          <w:rFonts w:hint="default"/>
          <w:lang w:val="en-US" w:eastAsia="zh-CN"/>
        </w:rPr>
      </w:pPr>
      <w:r>
        <w:rPr>
          <w:rFonts w:hint="eastAsia"/>
          <w:lang w:val="en-US" w:eastAsia="zh-CN"/>
        </w:rPr>
        <w:t>L</w:t>
      </w:r>
      <w:r>
        <w:rPr>
          <w:rFonts w:hint="default"/>
          <w:lang w:val="en-US" w:eastAsia="zh-CN"/>
        </w:rPr>
        <w:t>’</w:t>
      </w:r>
      <w:r>
        <w:rPr>
          <w:rFonts w:hint="eastAsia"/>
          <w:lang w:val="en-US" w:eastAsia="zh-CN"/>
        </w:rPr>
        <w:t>accuracy</w:t>
      </w:r>
    </w:p>
    <w:p>
      <w:pPr>
        <w:bidi w:val="0"/>
      </w:pPr>
      <w:r>
        <w:rPr>
          <w:rFonts w:hint="default"/>
        </w:rPr>
        <w:t>Le taux de accuracy</w:t>
      </w:r>
      <w:r>
        <w:rPr>
          <w:rFonts w:hint="eastAsia"/>
          <w:lang w:val="en-US" w:eastAsia="zh-CN"/>
        </w:rPr>
        <w:t xml:space="preserve"> </w:t>
      </w:r>
      <w:r>
        <w:rPr>
          <w:rFonts w:hint="default"/>
        </w:rPr>
        <w:t>est la proportion d'échantillons correctement classés par rapport au nombre total d'échantillons, c'est-à-dire</w:t>
      </w:r>
      <w:r>
        <w:rPr>
          <w:rFonts w:hint="eastAsia"/>
          <w:lang w:val="en-US" w:eastAsia="zh-CN"/>
        </w:rPr>
        <w:t>:</w:t>
      </w:r>
      <w:r>
        <w:drawing>
          <wp:inline distT="0" distB="0" distL="114300" distR="114300">
            <wp:extent cx="1753870" cy="545465"/>
            <wp:effectExtent l="0" t="0" r="17780" b="698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9"/>
                    <a:stretch>
                      <a:fillRect/>
                    </a:stretch>
                  </pic:blipFill>
                  <pic:spPr>
                    <a:xfrm>
                      <a:off x="0" y="0"/>
                      <a:ext cx="1753870" cy="545465"/>
                    </a:xfrm>
                    <a:prstGeom prst="rect">
                      <a:avLst/>
                    </a:prstGeom>
                    <a:noFill/>
                    <a:ln>
                      <a:noFill/>
                    </a:ln>
                  </pic:spPr>
                </pic:pic>
              </a:graphicData>
            </a:graphic>
          </wp:inline>
        </w:drawing>
      </w:r>
    </w:p>
    <w:p>
      <w:pPr>
        <w:bidi w:val="0"/>
      </w:pPr>
    </w:p>
    <w:p>
      <w:pPr>
        <w:bidi w:val="0"/>
      </w:pPr>
      <w:r>
        <w:rPr>
          <w:rFonts w:hint="eastAsia"/>
          <w:lang w:val="en-US" w:eastAsia="zh-CN"/>
        </w:rPr>
        <w:t>En combinant la matrice de confusion ci-dessus, la formule peut également être écrite comme ceci:</w:t>
      </w:r>
      <w:r>
        <w:drawing>
          <wp:inline distT="0" distB="0" distL="114300" distR="114300">
            <wp:extent cx="3401060" cy="601345"/>
            <wp:effectExtent l="0" t="0" r="8890" b="825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0"/>
                    <a:stretch>
                      <a:fillRect/>
                    </a:stretch>
                  </pic:blipFill>
                  <pic:spPr>
                    <a:xfrm>
                      <a:off x="0" y="0"/>
                      <a:ext cx="3401060" cy="601345"/>
                    </a:xfrm>
                    <a:prstGeom prst="rect">
                      <a:avLst/>
                    </a:prstGeom>
                    <a:noFill/>
                    <a:ln>
                      <a:noFill/>
                    </a:ln>
                  </pic:spPr>
                </pic:pic>
              </a:graphicData>
            </a:graphic>
          </wp:inline>
        </w:drawing>
      </w:r>
    </w:p>
    <w:p>
      <w:pPr>
        <w:bidi w:val="0"/>
      </w:pPr>
    </w:p>
    <w:p>
      <w:pPr>
        <w:bidi w:val="0"/>
        <w:rPr>
          <w:rFonts w:hint="eastAsia"/>
          <w:lang w:val="en-US" w:eastAsia="zh-CN"/>
        </w:rPr>
      </w:pPr>
      <w:r>
        <w:rPr>
          <w:rFonts w:hint="eastAsia"/>
          <w:lang w:val="en-US" w:eastAsia="zh-CN"/>
        </w:rPr>
        <w:t>L</w:t>
      </w:r>
      <w:r>
        <w:rPr>
          <w:rFonts w:hint="default"/>
          <w:lang w:val="en-US" w:eastAsia="zh-CN"/>
        </w:rPr>
        <w:t>’</w:t>
      </w:r>
      <w:r>
        <w:rPr>
          <w:rFonts w:hint="default"/>
        </w:rPr>
        <w:t>accuracy</w:t>
      </w:r>
      <w:r>
        <w:rPr>
          <w:rFonts w:hint="eastAsia"/>
          <w:lang w:val="en-US" w:eastAsia="zh-CN"/>
        </w:rPr>
        <w:t xml:space="preserve"> est l'indice d'évaluation le plus simple et le plus intuitif des problèmes de classification, mais elle présente des défauts évidents. Par exemple, si 99% des échantillons sont des échantillons positifs, le classificateur n'a besoin que de prédire positivement tout le temps pour obtenir une accuracy de 99%, mais ses performances réelles sont très faibles. En d'autres termes, lorsque la proportion d'échantillons dans différentes catégories est très inégale, la catégorie avec une grande proportion devient souvent le facteur le plus important affectant l</w:t>
      </w:r>
      <w:r>
        <w:rPr>
          <w:rFonts w:hint="default"/>
          <w:lang w:val="en-US" w:eastAsia="zh-CN"/>
        </w:rPr>
        <w:t>’</w:t>
      </w:r>
      <w:r>
        <w:rPr>
          <w:rFonts w:hint="default"/>
        </w:rPr>
        <w:t>accuracy</w:t>
      </w:r>
      <w:r>
        <w:rPr>
          <w:rFonts w:hint="eastAsia"/>
          <w:lang w:val="en-US" w:eastAsia="zh-CN"/>
        </w:rPr>
        <w:t xml:space="preserve"> .</w:t>
      </w:r>
    </w:p>
    <w:p>
      <w:pPr>
        <w:bidi w:val="0"/>
        <w:rPr>
          <w:rFonts w:hint="default"/>
        </w:rPr>
      </w:pPr>
    </w:p>
    <w:p>
      <w:pPr>
        <w:pStyle w:val="4"/>
        <w:numPr>
          <w:numId w:val="0"/>
        </w:numPr>
        <w:bidi w:val="0"/>
        <w:rPr>
          <w:rFonts w:hint="default"/>
        </w:rPr>
      </w:pPr>
      <w:r>
        <w:rPr>
          <w:rFonts w:hint="default"/>
        </w:rPr>
        <w:t>La précision</w:t>
      </w:r>
    </w:p>
    <w:p>
      <w:pPr>
        <w:bidi w:val="0"/>
        <w:rPr>
          <w:rFonts w:hint="default"/>
        </w:rPr>
      </w:pPr>
      <w:r>
        <w:rPr>
          <w:rFonts w:hint="default"/>
        </w:rPr>
        <w:t>La précision fait référence à la proportion d'échantillons qui sont réellement positifs parmi les échantillons que le modèle prévoit comme positifs. La formule de calcul est:</w:t>
      </w:r>
    </w:p>
    <w:p>
      <w:pPr>
        <w:bidi w:val="0"/>
      </w:pPr>
      <w:r>
        <w:drawing>
          <wp:inline distT="0" distB="0" distL="114300" distR="114300">
            <wp:extent cx="2571750" cy="762000"/>
            <wp:effectExtent l="0" t="0" r="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1"/>
                    <a:stretch>
                      <a:fillRect/>
                    </a:stretch>
                  </pic:blipFill>
                  <pic:spPr>
                    <a:xfrm>
                      <a:off x="0" y="0"/>
                      <a:ext cx="2571750" cy="762000"/>
                    </a:xfrm>
                    <a:prstGeom prst="rect">
                      <a:avLst/>
                    </a:prstGeom>
                    <a:noFill/>
                    <a:ln>
                      <a:noFill/>
                    </a:ln>
                  </pic:spPr>
                </pic:pic>
              </a:graphicData>
            </a:graphic>
          </wp:inline>
        </w:drawing>
      </w:r>
    </w:p>
    <w:p>
      <w:pPr>
        <w:bidi w:val="0"/>
      </w:pPr>
    </w:p>
    <w:p>
      <w:pPr>
        <w:bidi w:val="0"/>
        <w:rPr>
          <w:rFonts w:hint="default"/>
          <w:lang w:val="en-US" w:eastAsia="zh-CN"/>
        </w:rPr>
      </w:pPr>
      <w:r>
        <w:rPr>
          <w:rFonts w:hint="eastAsia"/>
          <w:lang w:val="en-US" w:eastAsia="zh-CN"/>
        </w:rPr>
        <w:t>Dans cette partie, nous utilisons les deux fonctions suivantes pour calculer la précision.</w:t>
      </w:r>
    </w:p>
    <w:p>
      <w:pPr>
        <w:bidi w:val="0"/>
      </w:pPr>
      <w:r>
        <w:drawing>
          <wp:inline distT="0" distB="0" distL="114300" distR="114300">
            <wp:extent cx="4962525" cy="419100"/>
            <wp:effectExtent l="0" t="0" r="9525"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2"/>
                    <a:stretch>
                      <a:fillRect/>
                    </a:stretch>
                  </pic:blipFill>
                  <pic:spPr>
                    <a:xfrm>
                      <a:off x="0" y="0"/>
                      <a:ext cx="4962525" cy="419100"/>
                    </a:xfrm>
                    <a:prstGeom prst="rect">
                      <a:avLst/>
                    </a:prstGeom>
                    <a:noFill/>
                    <a:ln>
                      <a:noFill/>
                    </a:ln>
                  </pic:spPr>
                </pic:pic>
              </a:graphicData>
            </a:graphic>
          </wp:inline>
        </w:drawing>
      </w:r>
    </w:p>
    <w:p>
      <w:pPr>
        <w:bidi w:val="0"/>
      </w:pPr>
      <w:r>
        <w:rPr>
          <w:rFonts w:hint="eastAsia"/>
        </w:rPr>
        <w:t>Le résultat est montré dans la figure</w:t>
      </w:r>
    </w:p>
    <w:p>
      <w:pPr>
        <w:bidi w:val="0"/>
      </w:pPr>
      <w:r>
        <w:drawing>
          <wp:inline distT="0" distB="0" distL="114300" distR="114300">
            <wp:extent cx="4660265" cy="3573780"/>
            <wp:effectExtent l="0" t="0" r="6985" b="762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3"/>
                    <a:stretch>
                      <a:fillRect/>
                    </a:stretch>
                  </pic:blipFill>
                  <pic:spPr>
                    <a:xfrm>
                      <a:off x="0" y="0"/>
                      <a:ext cx="4660265" cy="3573780"/>
                    </a:xfrm>
                    <a:prstGeom prst="rect">
                      <a:avLst/>
                    </a:prstGeom>
                    <a:noFill/>
                    <a:ln>
                      <a:noFill/>
                    </a:ln>
                  </pic:spPr>
                </pic:pic>
              </a:graphicData>
            </a:graphic>
          </wp:inline>
        </w:drawing>
      </w:r>
    </w:p>
    <w:p>
      <w:pPr>
        <w:pStyle w:val="6"/>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b/>
          <w:color w:val="008080"/>
          <w:sz w:val="19"/>
          <w:szCs w:val="19"/>
          <w:shd w:val="clear" w:fill="FFFFFF"/>
        </w:rPr>
        <w:t>3.Créer une base de validation et une base de test</w:t>
      </w:r>
    </w:p>
    <w:p>
      <w:pPr>
        <w:bidi w:val="0"/>
        <w:rPr>
          <w:rFonts w:hint="default"/>
          <w:lang w:val="en-US"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KaTe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5E0BA1"/>
    <w:multiLevelType w:val="multilevel"/>
    <w:tmpl w:val="B25E0BA1"/>
    <w:lvl w:ilvl="0" w:tentative="0">
      <w:start w:val="1"/>
      <w:numFmt w:val="decimal"/>
      <w:lvlText w:val="%1."/>
      <w:lvlJc w:val="left"/>
      <w:pPr>
        <w:ind w:left="425" w:hanging="425"/>
      </w:pPr>
      <w:rPr>
        <w:rFonts w:hint="default"/>
      </w:rPr>
    </w:lvl>
    <w:lvl w:ilvl="1" w:tentative="0">
      <w:start w:val="1"/>
      <w:numFmt w:val="decimal"/>
      <w:pStyle w:val="4"/>
      <w:lvlText w:val="%1.%2."/>
      <w:lvlJc w:val="left"/>
      <w:pPr>
        <w:ind w:left="850" w:hanging="453"/>
      </w:pPr>
      <w:rPr>
        <w:rFonts w:hint="default" w:ascii="宋体" w:hAnsi="宋体" w:eastAsia="宋体" w:cs="宋体"/>
      </w:rPr>
    </w:lvl>
    <w:lvl w:ilvl="2" w:tentative="0">
      <w:start w:val="1"/>
      <w:numFmt w:val="decimal"/>
      <w:pStyle w:val="5"/>
      <w:lvlText w:val="%1.%2.%3."/>
      <w:lvlJc w:val="left"/>
      <w:pPr>
        <w:ind w:left="1508" w:hanging="708"/>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
    <w:nsid w:val="C17AE6CF"/>
    <w:multiLevelType w:val="singleLevel"/>
    <w:tmpl w:val="C17AE6CF"/>
    <w:lvl w:ilvl="0" w:tentative="0">
      <w:start w:val="1"/>
      <w:numFmt w:val="decimal"/>
      <w:lvlText w:val="%1."/>
      <w:lvlJc w:val="left"/>
      <w:pPr>
        <w:tabs>
          <w:tab w:val="left" w:pos="312"/>
        </w:tabs>
      </w:pPr>
    </w:lvl>
  </w:abstractNum>
  <w:abstractNum w:abstractNumId="2">
    <w:nsid w:val="29C74C9D"/>
    <w:multiLevelType w:val="multilevel"/>
    <w:tmpl w:val="29C74C9D"/>
    <w:lvl w:ilvl="0" w:tentative="0">
      <w:start w:val="1"/>
      <w:numFmt w:val="none"/>
      <w:pStyle w:val="2"/>
      <w:lvlText w:val=""/>
      <w:lvlJc w:val="left"/>
      <w:pPr>
        <w:ind w:left="425" w:hanging="425"/>
      </w:pPr>
      <w:rPr>
        <w:rFonts w:hint="default" w:ascii="宋体" w:hAnsi="宋体" w:eastAsia="宋体" w:cs="宋体"/>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3">
    <w:nsid w:val="3FDA1B21"/>
    <w:multiLevelType w:val="multilevel"/>
    <w:tmpl w:val="3FDA1B21"/>
    <w:lvl w:ilvl="0" w:tentative="0">
      <w:start w:val="1"/>
      <w:numFmt w:val="decimal"/>
      <w:pStyle w:val="10"/>
      <w:lvlText w:val="%1."/>
      <w:lvlJc w:val="left"/>
      <w:pPr>
        <w:ind w:left="425" w:hanging="425"/>
      </w:pPr>
      <w:rPr>
        <w:rFonts w:hint="default"/>
      </w:rPr>
    </w:lvl>
    <w:lvl w:ilvl="1" w:tentative="0">
      <w:start w:val="1"/>
      <w:numFmt w:val="decimal"/>
      <w:lvlText w:val="%2."/>
      <w:lvlJc w:val="left"/>
      <w:pPr>
        <w:ind w:left="850" w:hanging="453"/>
      </w:pPr>
      <w:rPr>
        <w:rFonts w:hint="default" w:ascii="宋体" w:hAnsi="宋体" w:eastAsia="宋体" w:cs="宋体"/>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C33D8C"/>
    <w:rsid w:val="11E00E6E"/>
    <w:rsid w:val="18AF5819"/>
    <w:rsid w:val="1E753A52"/>
    <w:rsid w:val="2F9F1C2E"/>
    <w:rsid w:val="32FF44F3"/>
    <w:rsid w:val="37BE2D68"/>
    <w:rsid w:val="41DB4209"/>
    <w:rsid w:val="588739E9"/>
    <w:rsid w:val="5D6E57F7"/>
    <w:rsid w:val="5E2E023F"/>
    <w:rsid w:val="69BB7915"/>
    <w:rsid w:val="7BF1299F"/>
    <w:rsid w:val="7D153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rFonts w:ascii="Times New Roman" w:hAnsi="Times New Roman"/>
      <w:b/>
      <w:kern w:val="44"/>
      <w:sz w:val="44"/>
      <w:szCs w:val="22"/>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color w:val="auto"/>
      <w:kern w:val="0"/>
      <w:sz w:val="36"/>
      <w:szCs w:val="36"/>
      <w:lang w:val="en-US" w:eastAsia="zh-CN" w:bidi="ar"/>
    </w:rPr>
  </w:style>
  <w:style w:type="paragraph" w:styleId="4">
    <w:name w:val="heading 3"/>
    <w:basedOn w:val="1"/>
    <w:next w:val="1"/>
    <w:unhideWhenUsed/>
    <w:qFormat/>
    <w:uiPriority w:val="0"/>
    <w:pPr>
      <w:numPr>
        <w:ilvl w:val="1"/>
        <w:numId w:val="2"/>
      </w:numPr>
      <w:tabs>
        <w:tab w:val="left" w:pos="399"/>
      </w:tabs>
      <w:spacing w:before="50" w:beforeLines="50" w:after="50" w:afterLines="50"/>
      <w:ind w:left="850" w:hanging="453"/>
      <w:contextualSpacing w:val="0"/>
      <w:outlineLvl w:val="2"/>
    </w:pPr>
    <w:rPr>
      <w:rFonts w:asciiTheme="minorAscii" w:hAnsiTheme="minorAscii"/>
      <w:b/>
      <w:sz w:val="22"/>
      <w:szCs w:val="22"/>
    </w:rPr>
  </w:style>
  <w:style w:type="paragraph" w:styleId="5">
    <w:name w:val="heading 4"/>
    <w:basedOn w:val="1"/>
    <w:next w:val="1"/>
    <w:semiHidden/>
    <w:unhideWhenUsed/>
    <w:qFormat/>
    <w:uiPriority w:val="0"/>
    <w:pPr>
      <w:numPr>
        <w:ilvl w:val="2"/>
        <w:numId w:val="2"/>
      </w:numPr>
      <w:ind w:left="1508" w:hanging="708"/>
      <w:contextualSpacing w:val="0"/>
      <w:outlineLvl w:val="3"/>
    </w:pPr>
    <w:rPr>
      <w:rFonts w:asciiTheme="minorAscii" w:hAnsiTheme="minorAscii"/>
      <w:b/>
      <w:sz w:val="22"/>
      <w:szCs w:val="22"/>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10">
    <w:name w:val="样式1"/>
    <w:basedOn w:val="1"/>
    <w:uiPriority w:val="0"/>
    <w:pPr>
      <w:numPr>
        <w:ilvl w:val="0"/>
        <w:numId w:val="3"/>
      </w:numPr>
    </w:pPr>
    <w:rPr>
      <w:rFonts w:ascii="Times New Roman" w:hAnsi="Times New Roman"/>
      <w:color w:val="auto"/>
      <w:kern w:val="0"/>
      <w:sz w:val="22"/>
      <w:szCs w:val="22"/>
      <w:lang w:val="fr-FR" w:bidi="hi-I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MSI-PC</dc:creator>
  <cp:lastModifiedBy>Windshear</cp:lastModifiedBy>
  <dcterms:modified xsi:type="dcterms:W3CDTF">2020-02-03T06:40:33Z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