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F4E79"/>
          </w:tcPr>
          <w:p>
            <w:r/>
          </w:p>
        </w:tc>
      </w:tr>
    </w:tbl>
    <w:p/>
    <w:p>
      <w:pPr>
        <w:pStyle w:val="Title"/>
        <w:jc w:val="left"/>
      </w:pPr>
      <w:r>
        <w:rPr>
          <w:rFonts w:ascii="Noto Sans CJK SC" w:hAnsi="Noto Sans CJK SC" w:eastAsia="Noto Sans CJK SC"/>
          <w:b/>
          <w:color w:val="1F4E79"/>
          <w:sz w:val="48"/>
        </w:rPr>
        <w:t>概要设计文档</w:t>
      </w:r>
    </w:p>
    <w:p>
      <w:pPr>
        <w:pStyle w:val="Subtitle"/>
        <w:jc w:val="left"/>
      </w:pPr>
      <w:r>
        <w:rPr>
          <w:rFonts w:ascii="Noto Sans CJK SC" w:hAnsi="Noto Sans CJK SC" w:eastAsia="Noto Sans CJK SC"/>
          <w:color w:val="646464"/>
          <w:sz w:val="22"/>
        </w:rPr>
        <w:t>项目：高交互度、可学习的 NPC 社会型在线 RPG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814"/>
            <w:shd w:fill="EEF4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文档版本</w:t>
            </w:r>
          </w:p>
        </w:tc>
        <w:tc>
          <w:tcPr>
            <w:tcW w:type="dxa" w:w="669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V1.0</w:t>
            </w:r>
          </w:p>
        </w:tc>
      </w:tr>
      <w:tr>
        <w:tc>
          <w:tcPr>
            <w:tcW w:type="dxa" w:w="1814"/>
            <w:shd w:fill="EEF4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文档日期</w:t>
            </w:r>
          </w:p>
        </w:tc>
        <w:tc>
          <w:tcPr>
            <w:tcW w:type="dxa" w:w="669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2026-04-14</w:t>
            </w:r>
          </w:p>
        </w:tc>
      </w:tr>
      <w:tr>
        <w:tc>
          <w:tcPr>
            <w:tcW w:type="dxa" w:w="1814"/>
            <w:shd w:fill="EEF4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文档用途</w:t>
            </w:r>
          </w:p>
        </w:tc>
        <w:tc>
          <w:tcPr>
            <w:tcW w:type="dxa" w:w="669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系统方案评审 / 原型开发输入</w:t>
            </w:r>
          </w:p>
        </w:tc>
      </w:tr>
      <w:tr>
        <w:tc>
          <w:tcPr>
            <w:tcW w:type="dxa" w:w="1814"/>
            <w:shd w:fill="EEF4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适用对象</w:t>
            </w:r>
          </w:p>
        </w:tc>
        <w:tc>
          <w:tcPr>
            <w:tcW w:type="dxa" w:w="6690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1"/>
              </w:rPr>
              <w:t>服务端、客户端、AI/工具、策划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7F9FC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1"/>
              </w:rPr>
              <w:t>本文档基于前述设计讨论整理，重点反映当前阶段的产品边界与工程取舍，用于立项沟通、原型范围收束与后续详细设计输入。</w:t>
            </w:r>
          </w:p>
        </w:tc>
      </w:tr>
    </w:tbl>
    <w:p>
      <w:r>
        <w:br w:type="page"/>
      </w:r>
    </w:p>
    <w:p>
      <w:pPr>
        <w:pStyle w:val="Heading1"/>
      </w:pPr>
      <w:r>
        <w:t>1. 设计概述</w:t>
      </w:r>
    </w:p>
    <w:p>
      <w:pPr/>
      <w:r>
        <w:rPr>
          <w:rFonts w:ascii="Noto Sans CJK SC" w:hAnsi="Noto Sans CJK SC" w:eastAsia="Noto Sans CJK SC"/>
          <w:b/>
          <w:sz w:val="21"/>
        </w:rPr>
        <w:t>设计目标：</w:t>
      </w:r>
      <w:r>
        <w:rPr>
          <w:rFonts w:ascii="Noto Sans CJK SC" w:hAnsi="Noto Sans CJK SC" w:eastAsia="Noto Sans CJK SC"/>
          <w:sz w:val="21"/>
        </w:rPr>
        <w:t>在工程可控的前提下，实现一个可学习、可解释、分层模拟的 NPC 社会系统，并作为在线 RPG 的世界行为底层。</w:t>
      </w:r>
    </w:p>
    <w:p>
      <w:pPr/>
      <w:r>
        <w:rPr>
          <w:rFonts w:ascii="Noto Sans CJK SC" w:hAnsi="Noto Sans CJK SC" w:eastAsia="Noto Sans CJK SC"/>
          <w:b/>
          <w:sz w:val="21"/>
        </w:rPr>
        <w:t>设计边界：</w:t>
      </w:r>
      <w:r>
        <w:rPr>
          <w:rFonts w:ascii="Noto Sans CJK SC" w:hAnsi="Noto Sans CJK SC" w:eastAsia="Noto Sans CJK SC"/>
          <w:sz w:val="21"/>
        </w:rPr>
        <w:t>概要设计聚焦系统模块、关键流程、核心数据对象与非功能约束，不展开到具体算法权重、服务部署拓扑和详细接口定义。</w:t>
      </w:r>
    </w:p>
    <w:p>
      <w:pPr/>
      <w:r>
        <w:rPr>
          <w:rFonts w:ascii="Noto Sans CJK SC" w:hAnsi="Noto Sans CJK SC" w:eastAsia="Noto Sans CJK SC"/>
          <w:b/>
          <w:sz w:val="21"/>
        </w:rPr>
        <w:t>关键取舍：</w:t>
      </w:r>
      <w:r>
        <w:rPr>
          <w:rFonts w:ascii="Noto Sans CJK SC" w:hAnsi="Noto Sans CJK SC" w:eastAsia="Noto Sans CJK SC"/>
          <w:sz w:val="21"/>
        </w:rPr>
        <w:t>LLM 负责低频主观倾向生成；规则系统负责中频决策；行为树/状态机负责高频执行；繁衍系统不纳入 MVP 核心。</w:t>
      </w:r>
    </w:p>
    <w:p>
      <w:pPr>
        <w:pStyle w:val="Heading1"/>
      </w:pPr>
      <w:r>
        <w:t>2. 总体架构思路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B"/>
            <w:tcBorders>
              <w:top w:val="single" w:sz="10" w:space="0" w:color="D9E2F3"/>
              <w:left w:val="single" w:sz="10" w:space="0" w:color="D9E2F3"/>
              <w:bottom w:val="single" w:sz="10" w:space="0" w:color="D9E2F3"/>
              <w:right w:val="single" w:sz="10" w:space="0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核心分层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低频心智层：生成目标排序、情绪偏置、风险偏好和中断意愿。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中频决策层：从候选行为中进行规则化评分与选择。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高频执行层：移动、战斗、采集、对话与技能执行。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B"/>
            <w:tcBorders>
              <w:top w:val="single" w:sz="10" w:space="0" w:color="D9E2F3"/>
              <w:left w:val="single" w:sz="10" w:space="0" w:color="D9E2F3"/>
              <w:bottom w:val="single" w:sz="10" w:space="0" w:color="D9E2F3"/>
              <w:right w:val="single" w:sz="10" w:space="0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主循环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环境/消息/事务队列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→ 感知摘要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→ 心智层生成主观倾向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→ 候选行为评分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→ 执行层落地行为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→ 世界事件结果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→ 记忆/关系/技能更新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→ 可解释输出与后续调度</w:t>
            </w:r>
          </w:p>
        </w:tc>
      </w:tr>
    </w:tbl>
    <w:p/>
    <w:p>
      <w:r>
        <w:br w:type="page"/>
      </w:r>
    </w:p>
    <w:p>
      <w:pPr>
        <w:pStyle w:val="Heading1"/>
      </w:pPr>
      <w:r>
        <w:t>3. 模拟分层设计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204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层级</w:t>
            </w:r>
          </w:p>
        </w:tc>
        <w:tc>
          <w:tcPr>
            <w:tcW w:type="dxa" w:w="226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适用对象</w:t>
            </w:r>
          </w:p>
        </w:tc>
        <w:tc>
          <w:tcPr>
            <w:tcW w:type="dxa" w:w="119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更新频率</w:t>
            </w:r>
          </w:p>
        </w:tc>
        <w:tc>
          <w:tcPr>
            <w:tcW w:type="dxa" w:w="170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思考策略</w:t>
            </w:r>
          </w:p>
        </w:tc>
        <w:tc>
          <w:tcPr>
            <w:tcW w:type="dxa" w:w="130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目标</w:t>
            </w:r>
          </w:p>
        </w:tc>
      </w:tr>
      <w:tr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L0：玩家视野内核心 NPC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当前与玩家互动、战斗中、任务关键、局部事件核心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高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事件触发 + 低频补偿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细粒度行为与可解释输出</w:t>
            </w:r>
          </w:p>
        </w:tc>
      </w:tr>
      <w:tr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L1：玩家所在区域普通活跃 NPC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同区域活动、可能被观察到、与当前事件有关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中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规则常驻，必要时触发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看起来持续活着</w:t>
            </w:r>
          </w:p>
        </w:tc>
      </w:tr>
      <w:tr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L2：远区域持续模拟 NPC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不在视野，但需保留世界连续性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低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摘要推进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保留结果，不逐过程模拟</w:t>
            </w:r>
          </w:p>
        </w:tc>
      </w:tr>
      <w:tr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L3：背景 NPC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无关键身份、无当前关联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极低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仅在唤醒时</w:t>
            </w:r>
          </w:p>
        </w:tc>
        <w:tc>
          <w:tcPr>
            <w:tcW w:type="dxa" w:w="192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节省预算，保留最小状态</w:t>
            </w:r>
          </w:p>
        </w:tc>
      </w:tr>
    </w:tbl>
    <w:p/>
    <w:p>
      <w:pPr>
        <w:pStyle w:val="Heading1"/>
      </w:pPr>
      <w:r>
        <w:t>4. 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79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编号</w:t>
            </w:r>
          </w:p>
        </w:tc>
        <w:tc>
          <w:tcPr>
            <w:tcW w:type="dxa" w:w="192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模块</w:t>
            </w:r>
          </w:p>
        </w:tc>
        <w:tc>
          <w:tcPr>
            <w:tcW w:type="dxa" w:w="5669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职责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M1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NPC 状态服务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维护属性、性格、生理、关系、技能、当前事务、年龄阶段等基础状态。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M2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感知与摘要服务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将周边环境、消息队列、事务队列、近期事件压缩为心智输入摘要。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M3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心智/倾向服务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在触发条件满足时生成目标排序、态度变化、风险偏好与中断意愿。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M4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行为决策服务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基于候选行为与评分器选择当前行为，约束必须满足规则与世界合法性。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M5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执行服务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负责移动、对话、采集、战斗、交互动画、技能施放等高频执行。</w:t>
            </w:r>
          </w:p>
        </w:tc>
      </w:tr>
    </w:tbl>
    <w:p/>
    <w:p>
      <w:pPr>
        <w:pStyle w:val="Heading2"/>
      </w:pPr>
      <w:r>
        <w:t>4.1 模块划分（续）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79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编号</w:t>
            </w:r>
          </w:p>
        </w:tc>
        <w:tc>
          <w:tcPr>
            <w:tcW w:type="dxa" w:w="192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模块</w:t>
            </w:r>
          </w:p>
        </w:tc>
        <w:tc>
          <w:tcPr>
            <w:tcW w:type="dxa" w:w="5669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职责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M6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学习与成长服务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消费事件结果，更新经验、关系、观察学习和关键事件记忆。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M7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任务/委托服务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生成设计者任务触发与 NPC 自发委托，处理可见性与失效。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M8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解释与观测服务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记录行为理由、近期关键记忆、目标变更与学习结果，供玩家 UI 与调试使用。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M9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模拟调度器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根据预算公式决定哪些 NPC 进入哪一层模拟，分配更新时间片与智能预算。</w:t>
            </w:r>
          </w:p>
        </w:tc>
      </w:tr>
    </w:tbl>
    <w:p/>
    <w:p>
      <w:r>
        <w:br w:type="page"/>
      </w:r>
    </w:p>
    <w:p>
      <w:pPr>
        <w:pStyle w:val="Heading1"/>
      </w:pPr>
      <w:r>
        <w:t>5. 核心数据对象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对象</w:t>
            </w:r>
          </w:p>
        </w:tc>
        <w:tc>
          <w:tcPr>
            <w:tcW w:type="dxa" w:w="170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更新特性</w:t>
            </w:r>
          </w:p>
        </w:tc>
        <w:tc>
          <w:tcPr>
            <w:tcW w:type="dxa" w:w="4876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关键字段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NPCProfile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静态/低频更新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NPCID、身份标签、阵营、初始属性、成长模板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NPCState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高频更新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体力、饥饿、位置、当前事务、情绪、目标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NPCRelation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中频更新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对象ID、好感、信任、敌意、从属、最近互动时间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NPCMemory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中频更新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事件ID、类型、重要度、时间戳、主观评价、影响衰减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NPCSkillProgress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中频更新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技能类型、熟练度、学习来源、最近提升原因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WorldEvent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系统事件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事件类型、区域、参与方、结果摘要、影响范围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QuestOrder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任务/委托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发布者、条件、目标、报酬、状态、失效原因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DecisionTrace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可观测日志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输入摘要、候选行为、评分结果、最终选择、解释文本</w:t>
            </w:r>
          </w:p>
        </w:tc>
      </w:tr>
    </w:tbl>
    <w:p/>
    <w:p>
      <w:r>
        <w:br w:type="page"/>
      </w:r>
    </w:p>
    <w:p>
      <w:pPr>
        <w:pStyle w:val="Heading1"/>
      </w:pPr>
      <w:r>
        <w:t>6. 关键触发器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68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编号</w:t>
            </w:r>
          </w:p>
        </w:tc>
        <w:tc>
          <w:tcPr>
            <w:tcW w:type="dxa" w:w="181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触发条件</w:t>
            </w:r>
          </w:p>
        </w:tc>
        <w:tc>
          <w:tcPr>
            <w:tcW w:type="dxa" w:w="283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示例</w:t>
            </w:r>
          </w:p>
        </w:tc>
        <w:tc>
          <w:tcPr>
            <w:tcW w:type="dxa" w:w="306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系统动作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T1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重大事件发生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遭遇战、受伤、被帮助、被背叛、目标完成/失败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触发心智更新与学习处理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T2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关系显著变化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好感/信任/敌意跨阈值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重新评估互动与委托倾向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T3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目标失效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资源耗尽、路径不可达、对象离开、风险突变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重新生成目标排序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T4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定时补偿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长时间未思考但仍处于高优先级层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补一次低频主观倾向更新</w:t>
            </w:r>
          </w:p>
        </w:tc>
      </w:tr>
    </w:tbl>
    <w:p/>
    <w:p>
      <w:r>
        <w:br w:type="page"/>
      </w:r>
    </w:p>
    <w:p>
      <w:pPr>
        <w:pStyle w:val="Heading1"/>
      </w:pPr>
      <w:r>
        <w:t>7. 学习系统设计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7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学习类型</w:t>
            </w:r>
          </w:p>
        </w:tc>
        <w:tc>
          <w:tcPr>
            <w:tcW w:type="dxa" w:w="289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定义</w:t>
            </w:r>
          </w:p>
        </w:tc>
        <w:tc>
          <w:tcPr>
            <w:tcW w:type="dxa" w:w="402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示例结果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经验学习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重复执行行为后熟练度上升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更会采集、更会交易、更会判断战斗风险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关系学习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基于与特定对象的互动更新看法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更信任玩家、更厌恶某派系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观察学习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从他人行为和世界结果中吸收偏好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模仿护卫战术、学会避开危险区域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关键事件学习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重大事件引发大幅参数偏移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被背叛后信任阈值上升、重伤后变得谨慎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B"/>
            <w:tcBorders>
              <w:top w:val="single" w:sz="10" w:space="0" w:color="D9E2F3"/>
              <w:left w:val="single" w:sz="10" w:space="0" w:color="D9E2F3"/>
              <w:bottom w:val="single" w:sz="10" w:space="0" w:color="D9E2F3"/>
              <w:right w:val="single" w:sz="10" w:space="0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设计要求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学习结果必须可回显到行为或关系上，避免只改后台参数而玩家无感。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学习应支持衰减与固化两种趋势：轻微经验可衰减，重大经历可长期保留。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学习速度与上限应受属性、年龄阶段、技能类别和事件强度共同影响。</w:t>
            </w:r>
          </w:p>
        </w:tc>
      </w:tr>
    </w:tbl>
    <w:p/>
    <w:p>
      <w:pPr>
        <w:pStyle w:val="Heading1"/>
      </w:pPr>
      <w:r>
        <w:t>8. 可解释层设计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26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字段</w:t>
            </w:r>
          </w:p>
        </w:tc>
        <w:tc>
          <w:tcPr>
            <w:tcW w:type="dxa" w:w="5669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当前主要目标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例如“获取食物”“避免高风险战斗”“修复与玩家关系”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当前态度/情绪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如紧张、友好、戒备、愤怒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近期关键记忆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最近 2~3 条高权重事件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对玩家判断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可信、可合作、需防备、值得依赖等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当前行为理由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当前动作选择的可读解释</w:t>
            </w:r>
          </w:p>
        </w:tc>
      </w:tr>
      <w:tr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最近一次显著变化原因</w:t>
            </w:r>
          </w:p>
        </w:tc>
        <w:tc>
          <w:tcPr>
            <w:tcW w:type="dxa" w:w="481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例如“连续受伤导致风险偏好下降”</w:t>
            </w:r>
          </w:p>
        </w:tc>
      </w:tr>
    </w:tbl>
    <w:p/>
    <w:p>
      <w:r>
        <w:br w:type="page"/>
      </w:r>
    </w:p>
    <w:p>
      <w:pPr>
        <w:pStyle w:val="Heading1"/>
      </w:pPr>
      <w:r>
        <w:t>9. 任务与委托设计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设计者任务：由策划人工配置触发条件，用于承载主线、支线与固定叙事内容。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NPC 自发委托：由 NPC 当前状态、资源缺口、关系状态或近期事件自动生成，用于提升世界活性。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委托需要具备生成原因、可见条件、持续时间、失败/撤销原因四类基础元数据。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当 NPC 状态变化导致需求消失时，委托应自动失效并给出可解释原因。</w:t>
      </w:r>
    </w:p>
    <w:p>
      <w:r>
        <w:br w:type="page"/>
      </w:r>
    </w:p>
    <w:p>
      <w:pPr>
        <w:pStyle w:val="Heading1"/>
      </w:pPr>
      <w:r>
        <w:t>10. 关键接口与服务协作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680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编号</w:t>
            </w:r>
          </w:p>
        </w:tc>
        <w:tc>
          <w:tcPr>
            <w:tcW w:type="dxa" w:w="243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接口</w:t>
            </w:r>
          </w:p>
        </w:tc>
        <w:tc>
          <w:tcPr>
            <w:tcW w:type="dxa" w:w="192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调用方向</w:t>
            </w:r>
          </w:p>
        </w:tc>
        <w:tc>
          <w:tcPr>
            <w:tcW w:type="dxa" w:w="2891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说明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I1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GetPerceptionSummary(npcId)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状态服务 → 心智服务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返回环境、消息、事务、近期事件摘要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I2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GenerateIntent(summary)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心智服务 → 行为决策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返回目标排序、情绪、风险偏置、中断意愿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I3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ScoreActions(npcId, intent)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行为决策 → 执行服务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返回候选行为评分与最终行为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I4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ApplyOutcome(event)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执行服务 → 学习服务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将行为结果转化为经验、关系与记忆更新</w:t>
            </w:r>
          </w:p>
        </w:tc>
      </w:tr>
      <w:tr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sz w:val="20"/>
              </w:rPr>
              <w:t>I5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ExplainDecision(npcId)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解释服务 → UI/调试</w:t>
            </w:r>
          </w:p>
        </w:tc>
        <w:tc>
          <w:tcPr>
            <w:tcW w:type="dxa" w:w="2408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返回当前目标、近期记忆、行为理由与变化原因</w:t>
            </w:r>
          </w:p>
        </w:tc>
      </w:tr>
    </w:tbl>
    <w:p/>
    <w:p>
      <w:pPr>
        <w:pStyle w:val="Heading1"/>
      </w:pPr>
      <w:r>
        <w:t>11. 性能与可观测性设计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模拟调度器应维护统一预算公式，例如：优先级 = 玩家距离权重 + 事件相关权重 + 身份重要度 + 冲突强度 + 最近未更新时间。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远场与背景层优先采用摘要结算，而不是逐秒模拟完整过程。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每次关键决策需写入 DecisionTrace，用于回放、调试和运营分析。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日志至少应覆盖：输入摘要、触发器、意图输出、候选行为评分、最终行为、结果事件、学习变化。</w:t>
      </w:r>
    </w:p>
    <w:p>
      <w:r>
        <w:br w:type="page"/>
      </w:r>
    </w:p>
    <w:p>
      <w:pPr>
        <w:pStyle w:val="Heading1"/>
      </w:pPr>
      <w:r>
        <w:t>12. MVP 实施建议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304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阶段</w:t>
            </w:r>
          </w:p>
        </w:tc>
        <w:tc>
          <w:tcPr>
            <w:tcW w:type="dxa" w:w="2268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目标</w:t>
            </w:r>
          </w:p>
        </w:tc>
        <w:tc>
          <w:tcPr>
            <w:tcW w:type="dxa" w:w="4365"/>
            <w:shd w:fill="DCE6F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产出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阶段 1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单区域基础原型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完成 NPC 状态、关系、记忆、调度器、基础行为与解释面板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阶段 2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学习闭环验证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接入经验学习、关系学习、观察学习、关键事件学习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阶段 3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任务与战斗接入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将委托、基础战斗倾向、探索检定接入世界循环</w:t>
            </w:r>
          </w:p>
        </w:tc>
      </w:tr>
      <w:tr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阶段 4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性能与稳定性</w:t>
            </w:r>
          </w:p>
        </w:tc>
        <w:tc>
          <w:tcPr>
            <w:tcW w:type="dxa" w:w="3211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Noto Sans CJK SC" w:hAnsi="Noto Sans CJK SC" w:eastAsia="Noto Sans CJK SC"/>
                <w:sz w:val="20"/>
              </w:rPr>
              <w:t>验证 10~30 NPC 的分层模拟、日志可追溯与成本可控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EF4FB"/>
            <w:tcBorders>
              <w:top w:val="single" w:sz="10" w:space="0" w:color="D9E2F3"/>
              <w:left w:val="single" w:sz="10" w:space="0" w:color="D9E2F3"/>
              <w:bottom w:val="single" w:sz="10" w:space="0" w:color="D9E2F3"/>
              <w:right w:val="single" w:sz="10" w:space="0" w:color="D9E2F3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  <w:jc w:val="left"/>
            </w:pPr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原型建议规模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单区域、10~30 个 NPC、有限怪物与资源点、少量设计者任务。</w:t>
            </w:r>
          </w:p>
          <w:p>
            <w:pPr>
              <w:spacing w:after="40"/>
              <w:ind w:left="198" w:hanging="198"/>
            </w:pPr>
            <w:r>
              <w:rPr>
                <w:rFonts w:ascii="Noto Sans CJK SC" w:hAnsi="Noto Sans CJK SC" w:eastAsia="Noto Sans CJK SC"/>
                <w:b/>
                <w:sz w:val="20"/>
              </w:rPr>
              <w:t xml:space="preserve">• </w:t>
            </w:r>
            <w:r>
              <w:rPr>
                <w:rFonts w:ascii="Noto Sans CJK SC" w:hAnsi="Noto Sans CJK SC" w:eastAsia="Noto Sans CJK SC"/>
                <w:sz w:val="20"/>
              </w:rPr>
              <w:t>先验证玩家是否能稳定观察到 NPC 的记忆、学习和关系变化，再扩展多人和更大世界。</w:t>
            </w:r>
          </w:p>
        </w:tc>
      </w:tr>
    </w:tbl>
    <w:p/>
    <w:p>
      <w:pPr>
        <w:pStyle w:val="Heading1"/>
      </w:pPr>
      <w:r>
        <w:t>13. 保留扩展点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未来可扩展繁衍/家族/派系演化，但不应影响当前分层模拟架构。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未来可扩展更复杂的技能树、交易系统、社交职业与区域经济。</w:t>
      </w:r>
    </w:p>
    <w:p>
      <w:pPr>
        <w:spacing w:after="60"/>
        <w:ind w:left="340" w:hanging="227"/>
      </w:pPr>
      <w:r>
        <w:rPr>
          <w:rFonts w:ascii="Noto Sans CJK SC" w:hAnsi="Noto Sans CJK SC" w:eastAsia="Noto Sans CJK SC"/>
          <w:b/>
          <w:sz w:val="21"/>
        </w:rPr>
        <w:t xml:space="preserve">• </w:t>
      </w:r>
      <w:r>
        <w:rPr>
          <w:rFonts w:ascii="Noto Sans CJK SC" w:hAnsi="Noto Sans CJK SC" w:eastAsia="Noto Sans CJK SC"/>
          <w:sz w:val="21"/>
        </w:rPr>
        <w:t>未来可引入更多解释渠道，如对话内嵌解释、委托说明、观察日志与 NPC 社会情报系统。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46464"/>
        <w:sz w:val="17"/>
      </w:rPr>
      <w:t xml:space="preserve">概要设计文档  ·  </w:t>
    </w:r>
    <w:fldSimple w:instr="PAGE">
      <w:r>
        <w:rPr>
          <w:sz w:val="17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Noto Sans CJK SC" w:hAnsi="Noto Sans CJK SC" w:eastAsia="Noto Sans CJK SC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46464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