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1F4E79"/>
          </w:tcPr>
          <w:p>
            <w:r/>
          </w:p>
        </w:tc>
      </w:tr>
    </w:tbl>
    <w:p/>
    <w:p>
      <w:pPr>
        <w:pStyle w:val="Title"/>
        <w:jc w:val="left"/>
      </w:pPr>
      <w:r>
        <w:rPr>
          <w:rFonts w:ascii="Noto Sans CJK SC" w:hAnsi="Noto Sans CJK SC" w:eastAsia="Noto Sans CJK SC"/>
          <w:b/>
          <w:color w:val="1F4E79"/>
          <w:sz w:val="48"/>
        </w:rPr>
        <w:t>需求分析文档</w:t>
      </w:r>
    </w:p>
    <w:p>
      <w:pPr>
        <w:pStyle w:val="Subtitle"/>
        <w:jc w:val="left"/>
      </w:pPr>
      <w:r>
        <w:rPr>
          <w:rFonts w:ascii="Noto Sans CJK SC" w:hAnsi="Noto Sans CJK SC" w:eastAsia="Noto Sans CJK SC"/>
          <w:color w:val="646464"/>
          <w:sz w:val="22"/>
        </w:rPr>
        <w:t>项目：高交互度、可学习的 NPC 社会型在线 RPG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814"/>
            <w:shd w:fill="EEF4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文档版本</w:t>
            </w:r>
          </w:p>
        </w:tc>
        <w:tc>
          <w:tcPr>
            <w:tcW w:type="dxa" w:w="669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1"/>
              </w:rPr>
              <w:t>V1.0</w:t>
            </w:r>
          </w:p>
        </w:tc>
      </w:tr>
      <w:tr>
        <w:tc>
          <w:tcPr>
            <w:tcW w:type="dxa" w:w="1814"/>
            <w:shd w:fill="EEF4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文档日期</w:t>
            </w:r>
          </w:p>
        </w:tc>
        <w:tc>
          <w:tcPr>
            <w:tcW w:type="dxa" w:w="669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1"/>
              </w:rPr>
              <w:t>2026-04-14</w:t>
            </w:r>
          </w:p>
        </w:tc>
      </w:tr>
      <w:tr>
        <w:tc>
          <w:tcPr>
            <w:tcW w:type="dxa" w:w="1814"/>
            <w:shd w:fill="EEF4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文档用途</w:t>
            </w:r>
          </w:p>
        </w:tc>
        <w:tc>
          <w:tcPr>
            <w:tcW w:type="dxa" w:w="669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1"/>
              </w:rPr>
              <w:t>立项沟通 / 范围收束 / 原型输入</w:t>
            </w:r>
          </w:p>
        </w:tc>
      </w:tr>
      <w:tr>
        <w:tc>
          <w:tcPr>
            <w:tcW w:type="dxa" w:w="1814"/>
            <w:shd w:fill="EEF4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适用对象</w:t>
            </w:r>
          </w:p>
        </w:tc>
        <w:tc>
          <w:tcPr>
            <w:tcW w:type="dxa" w:w="669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1"/>
              </w:rPr>
              <w:t>产品、策划、技术、美术与项目管理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7F9FC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1"/>
              </w:rPr>
              <w:t>本文档基于前述设计讨论整理，重点反映当前阶段的产品边界与工程取舍，用于立项沟通、原型范围收束与后续详细设计输入。</w:t>
            </w:r>
          </w:p>
        </w:tc>
      </w:tr>
    </w:tbl>
    <w:p>
      <w:r>
        <w:br w:type="page"/>
      </w:r>
    </w:p>
    <w:p>
      <w:pPr>
        <w:pStyle w:val="Heading1"/>
      </w:pPr>
      <w:r>
        <w:t>1. 文档目的与范围</w:t>
      </w:r>
    </w:p>
    <w:p>
      <w:pPr/>
      <w:r>
        <w:rPr>
          <w:rFonts w:ascii="Noto Sans CJK SC" w:hAnsi="Noto Sans CJK SC" w:eastAsia="Noto Sans CJK SC"/>
          <w:b/>
          <w:sz w:val="21"/>
        </w:rPr>
        <w:t>目的：</w:t>
      </w:r>
      <w:r>
        <w:rPr>
          <w:rFonts w:ascii="Noto Sans CJK SC" w:hAnsi="Noto Sans CJK SC" w:eastAsia="Noto Sans CJK SC"/>
          <w:sz w:val="21"/>
        </w:rPr>
        <w:t>将前述关于“高交互度、可学习、可解释的 NPC 社会型在线 RPG”讨论沉淀为正式需求输入，统一产品目标、范围边界、MVP 验证重点与验收口径。</w:t>
      </w:r>
    </w:p>
    <w:p>
      <w:pPr/>
      <w:r>
        <w:rPr>
          <w:rFonts w:ascii="Noto Sans CJK SC" w:hAnsi="Noto Sans CJK SC" w:eastAsia="Noto Sans CJK SC"/>
          <w:b/>
          <w:sz w:val="21"/>
        </w:rPr>
        <w:t>适用阶段：</w:t>
      </w:r>
      <w:r>
        <w:rPr>
          <w:rFonts w:ascii="Noto Sans CJK SC" w:hAnsi="Noto Sans CJK SC" w:eastAsia="Noto Sans CJK SC"/>
          <w:sz w:val="21"/>
        </w:rPr>
        <w:t>用于立项、原型设计、技术评估与后续详细设计。</w:t>
      </w:r>
    </w:p>
    <w:p>
      <w:pPr/>
      <w:r>
        <w:rPr>
          <w:rFonts w:ascii="Noto Sans CJK SC" w:hAnsi="Noto Sans CJK SC" w:eastAsia="Noto Sans CJK SC"/>
          <w:b/>
          <w:sz w:val="21"/>
        </w:rPr>
        <w:t>文档边界：</w:t>
      </w:r>
      <w:r>
        <w:rPr>
          <w:rFonts w:ascii="Noto Sans CJK SC" w:hAnsi="Noto Sans CJK SC" w:eastAsia="Noto Sans CJK SC"/>
          <w:sz w:val="21"/>
        </w:rPr>
        <w:t>本文聚焦需求层面的“为什么做、做什么、优先做什么”，不展开到详细接口协议、数据库表级字段和算法实现细节。</w:t>
      </w:r>
    </w:p>
    <w:p>
      <w:pPr>
        <w:pStyle w:val="Heading1"/>
      </w:pPr>
      <w:r>
        <w:t>2. 项目背景与产品定位</w:t>
      </w:r>
    </w:p>
    <w:p>
      <w:pPr/>
      <w:r>
        <w:rPr>
          <w:rFonts w:ascii="Noto Sans CJK SC" w:hAnsi="Noto Sans CJK SC" w:eastAsia="Noto Sans CJK SC"/>
          <w:b/>
          <w:sz w:val="21"/>
        </w:rPr>
        <w:t>背景：</w:t>
      </w:r>
      <w:r>
        <w:rPr>
          <w:rFonts w:ascii="Noto Sans CJK SC" w:hAnsi="Noto Sans CJK SC" w:eastAsia="Noto Sans CJK SC"/>
          <w:sz w:val="21"/>
        </w:rPr>
        <w:t>目标产品并非传统“脚本化任务 NPC”在线 RPG，而是希望构建一个会记住经历、会受环境影响、能持续学习并对玩家产生长期回应的 NPC 社会系统。</w:t>
      </w:r>
    </w:p>
    <w:p>
      <w:pPr/>
      <w:r>
        <w:rPr>
          <w:rFonts w:ascii="Noto Sans CJK SC" w:hAnsi="Noto Sans CJK SC" w:eastAsia="Noto Sans CJK SC"/>
          <w:b/>
          <w:sz w:val="21"/>
        </w:rPr>
        <w:t>产品定位：</w:t>
      </w:r>
      <w:r>
        <w:rPr>
          <w:rFonts w:ascii="Noto Sans CJK SC" w:hAnsi="Noto Sans CJK SC" w:eastAsia="Noto Sans CJK SC"/>
          <w:sz w:val="21"/>
        </w:rPr>
        <w:t>一款在线开放世界 RPG / 社交游戏。其核心差异化不在于 NPC 说得多像真人，而在于 NPC 会基于状态、记忆、关系与环境做出可解释变化。</w:t>
      </w:r>
    </w:p>
    <w:p>
      <w:pPr/>
      <w:r>
        <w:rPr>
          <w:rFonts w:ascii="Noto Sans CJK SC" w:hAnsi="Noto Sans CJK SC" w:eastAsia="Noto Sans CJK SC"/>
          <w:b/>
          <w:sz w:val="21"/>
        </w:rPr>
        <w:t>设计重心：</w:t>
      </w:r>
      <w:r>
        <w:rPr>
          <w:rFonts w:ascii="Noto Sans CJK SC" w:hAnsi="Noto Sans CJK SC" w:eastAsia="Noto Sans CJK SC"/>
          <w:sz w:val="21"/>
        </w:rPr>
        <w:t>从“自我衍化文明模拟”收束到“分层模拟 + 可见学习 + 可解释行为”的 RPG 友好方案，避免把计算预算消耗在玩家难以感知的代际演化上。</w:t>
      </w:r>
    </w:p>
    <w:p>
      <w:pPr>
        <w:pStyle w:val="Heading1"/>
      </w:pPr>
      <w:r>
        <w:t>3. 核心目标与设计原则</w:t>
      </w:r>
    </w:p>
    <w:p>
      <w:pPr/>
      <w:r>
        <w:rPr>
          <w:rFonts w:ascii="Noto Sans CJK SC" w:hAnsi="Noto Sans CJK SC" w:eastAsia="Noto Sans CJK SC"/>
          <w:b/>
          <w:sz w:val="21"/>
        </w:rPr>
        <w:t>核心目标：</w:t>
      </w:r>
      <w:r>
        <w:rPr>
          <w:rFonts w:ascii="Noto Sans CJK SC" w:hAnsi="Noto Sans CJK SC" w:eastAsia="Noto Sans CJK SC"/>
          <w:sz w:val="21"/>
        </w:rPr>
        <w:t>在保证工程可控与成本可控的前提下，提供一个高交互、高自由度、持续变化的 NPC 世界，使玩家感受到“世界会记住我，也会因为我而改变”。</w:t>
      </w:r>
    </w:p>
    <w:p>
      <w:pPr/>
      <w:r>
        <w:rPr>
          <w:rFonts w:ascii="Noto Sans CJK SC" w:hAnsi="Noto Sans CJK SC" w:eastAsia="Noto Sans CJK SC"/>
          <w:b/>
          <w:sz w:val="21"/>
        </w:rPr>
        <w:t>原则 1：思考与执行分层：</w:t>
      </w:r>
      <w:r>
        <w:rPr>
          <w:rFonts w:ascii="Noto Sans CJK SC" w:hAnsi="Noto Sans CJK SC" w:eastAsia="Noto Sans CJK SC"/>
          <w:sz w:val="21"/>
        </w:rPr>
        <w:t>大模型输出主观倾向、目标排序与中断意愿；具体动作、战斗执行与物理结果由规则系统和数值系统负责。</w:t>
      </w:r>
    </w:p>
    <w:p>
      <w:pPr/>
      <w:r>
        <w:rPr>
          <w:rFonts w:ascii="Noto Sans CJK SC" w:hAnsi="Noto Sans CJK SC" w:eastAsia="Noto Sans CJK SC"/>
          <w:b/>
          <w:sz w:val="21"/>
        </w:rPr>
        <w:t>原则 2：优先玩家可感知变化：</w:t>
      </w:r>
      <w:r>
        <w:rPr>
          <w:rFonts w:ascii="Noto Sans CJK SC" w:hAnsi="Noto Sans CJK SC" w:eastAsia="Noto Sans CJK SC"/>
          <w:sz w:val="21"/>
        </w:rPr>
        <w:t>优先实现 NPC 的学习、关系变化、委托变化、战斗风格变化等短周期反馈；弱化纯后台的长周期代际演化。</w:t>
      </w:r>
    </w:p>
    <w:p>
      <w:pPr/>
      <w:r>
        <w:rPr>
          <w:rFonts w:ascii="Noto Sans CJK SC" w:hAnsi="Noto Sans CJK SC" w:eastAsia="Noto Sans CJK SC"/>
          <w:b/>
          <w:sz w:val="21"/>
        </w:rPr>
        <w:t>原则 3：按重要度分层模拟：</w:t>
      </w:r>
      <w:r>
        <w:rPr>
          <w:rFonts w:ascii="Noto Sans CJK SC" w:hAnsi="Noto Sans CJK SC" w:eastAsia="Noto Sans CJK SC"/>
          <w:sz w:val="21"/>
        </w:rPr>
        <w:t>NPC 的智能预算由玩家距离、事件相关性、身份重要度与冲突强度共同决定，避免全世界常驻高成本思考。</w:t>
      </w:r>
    </w:p>
    <w:p>
      <w:pPr/>
      <w:r>
        <w:rPr>
          <w:rFonts w:ascii="Noto Sans CJK SC" w:hAnsi="Noto Sans CJK SC" w:eastAsia="Noto Sans CJK SC"/>
          <w:b/>
          <w:sz w:val="21"/>
        </w:rPr>
        <w:t>原则 4：行为必须可解释：</w:t>
      </w:r>
      <w:r>
        <w:rPr>
          <w:rFonts w:ascii="Noto Sans CJK SC" w:hAnsi="Noto Sans CJK SC" w:eastAsia="Noto Sans CJK SC"/>
          <w:sz w:val="21"/>
        </w:rPr>
        <w:t>NPC 的关键行为需要能追溯到近期记忆、关系变化、情绪状态或当前目标，以便向玩家展示并便于运营调试。</w:t>
      </w:r>
    </w:p>
    <w:p>
      <w:pPr>
        <w:pStyle w:val="Heading1"/>
      </w:pPr>
      <w:r>
        <w:t>4. 核心用户价值与使用场景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EF4FB"/>
            <w:tcBorders>
              <w:top w:val="single" w:sz="10" w:space="0" w:color="D9E2F3"/>
              <w:left w:val="single" w:sz="10" w:space="0" w:color="D9E2F3"/>
              <w:bottom w:val="single" w:sz="10" w:space="0" w:color="D9E2F3"/>
              <w:right w:val="single" w:sz="10" w:space="0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80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玩家可感知的核心价值</w:t>
            </w:r>
          </w:p>
          <w:p>
            <w:pPr>
              <w:spacing w:after="40"/>
              <w:ind w:left="198" w:hanging="198"/>
            </w:pPr>
            <w:r>
              <w:rPr>
                <w:rFonts w:ascii="Noto Sans CJK SC" w:hAnsi="Noto Sans CJK SC" w:eastAsia="Noto Sans CJK SC"/>
                <w:b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/>
                <w:sz w:val="20"/>
              </w:rPr>
              <w:t>NPC 会因为经历、关系与环境变化而改变，不再只是固定脚本角色。</w:t>
            </w:r>
          </w:p>
          <w:p>
            <w:pPr>
              <w:spacing w:after="40"/>
              <w:ind w:left="198" w:hanging="198"/>
            </w:pPr>
            <w:r>
              <w:rPr>
                <w:rFonts w:ascii="Noto Sans CJK SC" w:hAnsi="Noto Sans CJK SC" w:eastAsia="Noto Sans CJK SC"/>
                <w:b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/>
                <w:sz w:val="20"/>
              </w:rPr>
              <w:t>玩家的帮助、伤害、交易、并肩作战等行为会留下可追溯影响。</w:t>
            </w:r>
          </w:p>
          <w:p>
            <w:pPr>
              <w:spacing w:after="40"/>
              <w:ind w:left="198" w:hanging="198"/>
            </w:pPr>
            <w:r>
              <w:rPr>
                <w:rFonts w:ascii="Noto Sans CJK SC" w:hAnsi="Noto Sans CJK SC" w:eastAsia="Noto Sans CJK SC"/>
                <w:b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/>
                <w:sz w:val="20"/>
              </w:rPr>
              <w:t>世界中的委托、合作与冲突不是纯配置触发，而会从 NPC 状态中自然生长。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247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编号</w:t>
            </w:r>
          </w:p>
        </w:tc>
        <w:tc>
          <w:tcPr>
            <w:tcW w:type="dxa" w:w="7257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场景描述</w:t>
            </w:r>
          </w:p>
        </w:tc>
      </w:tr>
      <w:tr>
        <w:tc>
          <w:tcPr>
            <w:tcW w:type="dxa" w:w="48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S1</w:t>
            </w:r>
          </w:p>
        </w:tc>
        <w:tc>
          <w:tcPr>
            <w:tcW w:type="dxa" w:w="48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玩家帮助受伤村民后，村民对玩家的信任上升，未来更愿意提供折扣、情报或委托。</w:t>
            </w:r>
          </w:p>
        </w:tc>
      </w:tr>
      <w:tr>
        <w:tc>
          <w:tcPr>
            <w:tcW w:type="dxa" w:w="48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S2</w:t>
            </w:r>
          </w:p>
        </w:tc>
        <w:tc>
          <w:tcPr>
            <w:tcW w:type="dxa" w:w="48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同一护卫多次参与战斗后，学会更稳妥的开战判断，并在战斗中优先攻击暴露弱点目标。</w:t>
            </w:r>
          </w:p>
        </w:tc>
      </w:tr>
      <w:tr>
        <w:tc>
          <w:tcPr>
            <w:tcW w:type="dxa" w:w="48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S3</w:t>
            </w:r>
          </w:p>
        </w:tc>
        <w:tc>
          <w:tcPr>
            <w:tcW w:type="dxa" w:w="48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猎人在近期多次遭遇高风险怪物后，风险偏好下降，减少远行，改为发布采集委托。</w:t>
            </w:r>
          </w:p>
        </w:tc>
      </w:tr>
      <w:tr>
        <w:tc>
          <w:tcPr>
            <w:tcW w:type="dxa" w:w="48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S4</w:t>
            </w:r>
          </w:p>
        </w:tc>
        <w:tc>
          <w:tcPr>
            <w:tcW w:type="dxa" w:w="48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商人观察到周边 NPC 的讨价还价模式后，提升自身交涉行为倾向，而不是仅依赖静态配置。</w:t>
            </w:r>
          </w:p>
        </w:tc>
      </w:tr>
    </w:tbl>
    <w:p/>
    <w:p>
      <w:pPr>
        <w:pStyle w:val="Heading1"/>
      </w:pPr>
      <w:r>
        <w:t>5. 需求范围与 MVP 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814"/>
            <w:shd w:fill="EEF4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纳入 MVP</w:t>
            </w:r>
          </w:p>
        </w:tc>
        <w:tc>
          <w:tcPr>
            <w:tcW w:type="dxa" w:w="669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1"/>
              </w:rPr>
              <w:t>NPC 属性/人格；事件记忆；关系变化；学习系统；分层调度；委托系统；基础战斗倾向；基础探索检定；行为解释面板</w:t>
            </w:r>
          </w:p>
        </w:tc>
      </w:tr>
      <w:tr>
        <w:tc>
          <w:tcPr>
            <w:tcW w:type="dxa" w:w="1814"/>
            <w:shd w:fill="EEF4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暂缓</w:t>
            </w:r>
          </w:p>
        </w:tc>
        <w:tc>
          <w:tcPr>
            <w:tcW w:type="dxa" w:w="669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1"/>
              </w:rPr>
              <w:t>代际繁衍；复杂家族系统；完整文明自演化；海量区域持续模拟；深度经济系统；复杂多派系政治系统</w:t>
            </w:r>
          </w:p>
        </w:tc>
      </w:tr>
      <w:tr>
        <w:tc>
          <w:tcPr>
            <w:tcW w:type="dxa" w:w="1814"/>
            <w:shd w:fill="EEF4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验证重点</w:t>
            </w:r>
          </w:p>
        </w:tc>
        <w:tc>
          <w:tcPr>
            <w:tcW w:type="dxa" w:w="669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1"/>
              </w:rPr>
              <w:t>玩家能否在 10 分钟到 1 小时内明显感知 NPC 对经历、关系和环境的变化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EF4FB"/>
            <w:tcBorders>
              <w:top w:val="single" w:sz="10" w:space="0" w:color="D9E2F3"/>
              <w:left w:val="single" w:sz="10" w:space="0" w:color="D9E2F3"/>
              <w:bottom w:val="single" w:sz="10" w:space="0" w:color="D9E2F3"/>
              <w:right w:val="single" w:sz="10" w:space="0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80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MVP 成功标准</w:t>
            </w:r>
          </w:p>
          <w:p>
            <w:pPr>
              <w:spacing w:after="40"/>
              <w:ind w:left="198" w:hanging="198"/>
            </w:pPr>
            <w:r>
              <w:rPr>
                <w:rFonts w:ascii="Noto Sans CJK SC" w:hAnsi="Noto Sans CJK SC" w:eastAsia="Noto Sans CJK SC"/>
                <w:b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/>
                <w:sz w:val="20"/>
              </w:rPr>
              <w:t>先证明“玩家能看见 NPC 变化”，再扩展到更大世界、更复杂系统。</w:t>
            </w:r>
          </w:p>
          <w:p>
            <w:pPr>
              <w:spacing w:after="40"/>
              <w:ind w:left="198" w:hanging="198"/>
            </w:pPr>
            <w:r>
              <w:rPr>
                <w:rFonts w:ascii="Noto Sans CJK SC" w:hAnsi="Noto Sans CJK SC" w:eastAsia="Noto Sans CJK SC"/>
                <w:b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/>
                <w:sz w:val="20"/>
              </w:rPr>
              <w:t>优先完成短周期反馈闭环：事件 → 记忆 → 倾向变化 → 行为变化 → 玩家观察到变化。</w:t>
            </w:r>
          </w:p>
        </w:tc>
      </w:tr>
    </w:tbl>
    <w:p/>
    <w:p>
      <w:r>
        <w:br w:type="page"/>
      </w:r>
    </w:p>
    <w:p>
      <w:pPr>
        <w:pStyle w:val="Heading1"/>
      </w:pPr>
      <w:r>
        <w:t>6. 功能性需求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907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编号</w:t>
            </w:r>
          </w:p>
        </w:tc>
        <w:tc>
          <w:tcPr>
            <w:tcW w:type="dxa" w:w="1814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功能项</w:t>
            </w:r>
          </w:p>
        </w:tc>
        <w:tc>
          <w:tcPr>
            <w:tcW w:type="dxa" w:w="5783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需求说明</w:t>
            </w:r>
          </w:p>
        </w:tc>
      </w:tr>
      <w:tr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F1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NPC 状态建模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系统需维护 NPC 的基础属性、性格参数、年龄阶段、生理状态、社会关系、近期记忆、技能熟练度与当前事务。</w:t>
            </w:r>
          </w:p>
        </w:tc>
      </w:tr>
      <w:tr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F2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分层模拟调度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系统需根据玩家视野、所在区域、远区域与背景层对 NPC 采用不同刷新频率、思考频率与状态推进方式。</w:t>
            </w:r>
          </w:p>
        </w:tc>
      </w:tr>
      <w:tr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F3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主观倾向生成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在关键事件、关系突变、目标失效或定时低频更新时，由大模型或等价智能模块生成目标排序、情绪偏置、行动倾向与中断意愿。</w:t>
            </w:r>
          </w:p>
        </w:tc>
      </w:tr>
      <w:tr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F4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规则化行为决策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系统需基于候选行为集合与评分机制，从移动、对话、采集、狩猎、委托、回避、求助等动作中选取可执行行为。</w:t>
            </w:r>
          </w:p>
        </w:tc>
      </w:tr>
      <w:tr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F5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学习与记忆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NPC 需要支持经验学习、关系学习、观察学习和关键事件学习，并将结果反映到参数、偏好、技能或信任结构上。</w:t>
            </w:r>
          </w:p>
        </w:tc>
      </w:tr>
      <w:tr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F6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交互与社交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NPC 需能与玩家及其他 NPC 建立好感、信任、敌意、从属等关系；关系变化应影响对话、合作、委托和冲突倾向。</w:t>
            </w:r>
          </w:p>
        </w:tc>
      </w:tr>
    </w:tbl>
    <w:p/>
    <w:p>
      <w:r>
        <w:br w:type="page"/>
      </w:r>
    </w:p>
    <w:p>
      <w:pPr>
        <w:pStyle w:val="Heading2"/>
      </w:pPr>
      <w:r>
        <w:t>6.1 功能性需求（续）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907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编号</w:t>
            </w:r>
          </w:p>
        </w:tc>
        <w:tc>
          <w:tcPr>
            <w:tcW w:type="dxa" w:w="1814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功能项</w:t>
            </w:r>
          </w:p>
        </w:tc>
        <w:tc>
          <w:tcPr>
            <w:tcW w:type="dxa" w:w="5783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需求说明</w:t>
            </w:r>
          </w:p>
        </w:tc>
      </w:tr>
      <w:tr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F7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委托与任务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设计者定义的任务需保留；同时系统需支持由 NPC 状态与世界状态驱动的自发委托，以提升世界活性。</w:t>
            </w:r>
          </w:p>
        </w:tc>
      </w:tr>
      <w:tr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F8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战斗倾向与辅助决策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战斗执行仍采用传统数值/技能系统；NPC 在战前与战斗中需能基于风险收益、弱点暴露、性格和关系对战斗策略做辅助判断。</w:t>
            </w:r>
          </w:p>
        </w:tc>
      </w:tr>
      <w:tr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F9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野外探索与检定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NPC 在探索中遇到资源、可互动事件或风险点时，应通过规则检定与条件触发机制获取资源或触发事件，而非纯凭空生成。</w:t>
            </w:r>
          </w:p>
        </w:tc>
      </w:tr>
      <w:tr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F10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行为解释与回显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面向玩家与调试面板，系统需能输出 NPC 当前目标、近期关键记忆、对玩家判断、行为理由和最近一次显著变化原因。</w:t>
            </w:r>
          </w:p>
        </w:tc>
      </w:tr>
    </w:tbl>
    <w:p/>
    <w:p>
      <w:r>
        <w:br w:type="page"/>
      </w:r>
    </w:p>
    <w:p>
      <w:pPr>
        <w:pStyle w:val="Heading1"/>
      </w:pPr>
      <w:r>
        <w:t>7. 非功能性需求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907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编号</w:t>
            </w:r>
          </w:p>
        </w:tc>
        <w:tc>
          <w:tcPr>
            <w:tcW w:type="dxa" w:w="1587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类别</w:t>
            </w:r>
          </w:p>
        </w:tc>
        <w:tc>
          <w:tcPr>
            <w:tcW w:type="dxa" w:w="6009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要求</w:t>
            </w:r>
          </w:p>
        </w:tc>
      </w:tr>
      <w:tr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NF1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性能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同屏与近场 NPC 行为表现应稳定流畅；远场与背景层优先采用摘要推进，避免逐帧深度模拟。</w:t>
            </w:r>
          </w:p>
        </w:tc>
      </w:tr>
      <w:tr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NF2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成本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LLM 调用必须事件驱动与预算受控，严禁将模型用于高频路径移动、逐帧战斗控制等高成本环节。</w:t>
            </w:r>
          </w:p>
        </w:tc>
      </w:tr>
      <w:tr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NF3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一致性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相同输入下的倾向生成与规则决策应尽量稳定，避免 NPC 行为在短时间内无因反复横跳。</w:t>
            </w:r>
          </w:p>
        </w:tc>
      </w:tr>
      <w:tr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NF4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可观测性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系统需记录关键决策输入、倾向输出、行为选择结果和学习变化，用于复盘、调参与问题定位。</w:t>
            </w:r>
          </w:p>
        </w:tc>
      </w:tr>
      <w:tr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NF5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可扩展性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MVP 阶段可先支持少量区域与有限 NPC 数量，但架构需预留多区域、多事件类型和多技能类别的扩展接口。</w:t>
            </w:r>
          </w:p>
        </w:tc>
      </w:tr>
    </w:tbl>
    <w:p/>
    <w:p>
      <w:pPr>
        <w:pStyle w:val="Heading1"/>
      </w:pPr>
      <w:r>
        <w:t>8. 约束与假设</w:t>
      </w:r>
    </w:p>
    <w:p>
      <w:pPr>
        <w:spacing w:after="60"/>
        <w:ind w:left="340" w:hanging="227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在线 RPG 的可玩性优先于纯社会模拟的自洽性；真实感服务于玩法，而不是反过来。</w:t>
      </w:r>
    </w:p>
    <w:p>
      <w:pPr>
        <w:spacing w:after="60"/>
        <w:ind w:left="340" w:hanging="227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LLM 仅用于低频、高价值、难以规则穷举的主观倾向生成，不承担高频执行控制。</w:t>
      </w:r>
    </w:p>
    <w:p>
      <w:pPr>
        <w:spacing w:after="60"/>
        <w:ind w:left="340" w:hanging="227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繁衍与代际演化不是当前阶段的核心需求，相关设计仅保留为未来扩展方向。</w:t>
      </w:r>
    </w:p>
    <w:p>
      <w:pPr>
        <w:spacing w:after="60"/>
        <w:ind w:left="340" w:hanging="227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所有关键行为必须支持解释与日志追踪，以便面向玩家提示与内部调试。</w:t>
      </w:r>
    </w:p>
    <w:p>
      <w:r>
        <w:br w:type="page"/>
      </w:r>
    </w:p>
    <w:p>
      <w:pPr>
        <w:pStyle w:val="Heading1"/>
      </w:pPr>
      <w:r>
        <w:t>9. 主要风险与应对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737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编号</w:t>
            </w:r>
          </w:p>
        </w:tc>
        <w:tc>
          <w:tcPr>
            <w:tcW w:type="dxa" w:w="1701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风险</w:t>
            </w:r>
          </w:p>
        </w:tc>
        <w:tc>
          <w:tcPr>
            <w:tcW w:type="dxa" w:w="3402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影响说明</w:t>
            </w:r>
          </w:p>
        </w:tc>
        <w:tc>
          <w:tcPr>
            <w:tcW w:type="dxa" w:w="2665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应对策略</w:t>
            </w:r>
          </w:p>
        </w:tc>
      </w:tr>
      <w:tr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R1</w:t>
            </w:r>
          </w:p>
        </w:tc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系统复杂度膨胀</w:t>
            </w:r>
          </w:p>
        </w:tc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同时做“全量开放世界 + 在线多人 + LLM 思考 + 社会模拟”会极大提高交付风险。</w:t>
            </w:r>
          </w:p>
        </w:tc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以 MVP 收束范围，优先验证学习、记忆与可解释性闭环。</w:t>
            </w:r>
          </w:p>
        </w:tc>
      </w:tr>
      <w:tr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R2</w:t>
            </w:r>
          </w:p>
        </w:tc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玩家无法理解 NPC 变化</w:t>
            </w:r>
          </w:p>
        </w:tc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若没有行为解释层，变化会被误解为随机。</w:t>
            </w:r>
          </w:p>
        </w:tc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提供近期记忆、当前目标、关系判断与变化原因的展示。</w:t>
            </w:r>
          </w:p>
        </w:tc>
      </w:tr>
      <w:tr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R3</w:t>
            </w:r>
          </w:p>
        </w:tc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LLM 成本与延迟过高</w:t>
            </w:r>
          </w:p>
        </w:tc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近场 NPC 数量上升后，调用频率可能失控。</w:t>
            </w:r>
          </w:p>
        </w:tc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采用分层模拟、预算优先级公式、事件触发式思考。</w:t>
            </w:r>
          </w:p>
        </w:tc>
      </w:tr>
      <w:tr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R4</w:t>
            </w:r>
          </w:p>
        </w:tc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玩法价值弱于模拟价值</w:t>
            </w:r>
          </w:p>
        </w:tc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后台变化很多，但玩家短时间内感知不到。</w:t>
            </w:r>
          </w:p>
        </w:tc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优先做短周期、强反馈、可观察的学习变化。</w:t>
            </w:r>
          </w:p>
        </w:tc>
      </w:tr>
    </w:tbl>
    <w:p/>
    <w:p>
      <w:pPr>
        <w:pStyle w:val="Heading1"/>
      </w:pPr>
      <w:r>
        <w:t>10. 验收口径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907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编号</w:t>
            </w:r>
          </w:p>
        </w:tc>
        <w:tc>
          <w:tcPr>
            <w:tcW w:type="dxa" w:w="7597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验收要求</w:t>
            </w:r>
          </w:p>
        </w:tc>
      </w:tr>
      <w:tr>
        <w:tc>
          <w:tcPr>
            <w:tcW w:type="dxa" w:w="48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A1</w:t>
            </w:r>
          </w:p>
        </w:tc>
        <w:tc>
          <w:tcPr>
            <w:tcW w:type="dxa" w:w="48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在单区域原型中，至少 10 个 NPC 能通过分层调度稳定运行。</w:t>
            </w:r>
          </w:p>
        </w:tc>
      </w:tr>
      <w:tr>
        <w:tc>
          <w:tcPr>
            <w:tcW w:type="dxa" w:w="48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A2</w:t>
            </w:r>
          </w:p>
        </w:tc>
        <w:tc>
          <w:tcPr>
            <w:tcW w:type="dxa" w:w="48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玩家能通过至少 3 类明确反馈观察到 NPC 学习或关系变化。</w:t>
            </w:r>
          </w:p>
        </w:tc>
      </w:tr>
      <w:tr>
        <w:tc>
          <w:tcPr>
            <w:tcW w:type="dxa" w:w="48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A3</w:t>
            </w:r>
          </w:p>
        </w:tc>
        <w:tc>
          <w:tcPr>
            <w:tcW w:type="dxa" w:w="48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关键 NPC 行为可在调试面板中追溯到目标、记忆与关系原因。</w:t>
            </w:r>
          </w:p>
        </w:tc>
      </w:tr>
      <w:tr>
        <w:tc>
          <w:tcPr>
            <w:tcW w:type="dxa" w:w="48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A4</w:t>
            </w:r>
          </w:p>
        </w:tc>
        <w:tc>
          <w:tcPr>
            <w:tcW w:type="dxa" w:w="48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基础委托系统可以根据 NPC 状态变化自动生成或撤销委托。</w:t>
            </w:r>
          </w:p>
        </w:tc>
      </w:tr>
      <w:tr>
        <w:tc>
          <w:tcPr>
            <w:tcW w:type="dxa" w:w="48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A5</w:t>
            </w:r>
          </w:p>
        </w:tc>
        <w:tc>
          <w:tcPr>
            <w:tcW w:type="dxa" w:w="48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战斗与探索模块能消费 NPC 倾向输出，但不依赖 LLM 逐帧控制。</w:t>
            </w:r>
          </w:p>
        </w:tc>
      </w:tr>
    </w:tbl>
    <w:p/>
    <w:p>
      <w:pPr>
        <w:pStyle w:val="Heading1"/>
      </w:pPr>
      <w:r>
        <w:t>11. 后续细化建议</w:t>
      </w:r>
    </w:p>
    <w:p>
      <w:pPr>
        <w:spacing w:after="60"/>
        <w:ind w:left="340" w:hanging="227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将各类学习机制进一步量化为可调参数，例如学习增量、衰减速度、触发阈值与上限。</w:t>
      </w:r>
    </w:p>
    <w:p>
      <w:pPr>
        <w:spacing w:after="60"/>
        <w:ind w:left="340" w:hanging="227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为委托系统设计统一的发布、刷新、撤销与失效原因模型，减少后续内容制作成本。</w:t>
      </w:r>
    </w:p>
    <w:p>
      <w:pPr>
        <w:spacing w:after="60"/>
        <w:ind w:left="340" w:hanging="227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提前建设解释面板与决策日志，否则系统越复杂，后期越难调试和验证。</w:t>
      </w:r>
    </w:p>
    <w:p>
      <w:pPr>
        <w:spacing w:after="60"/>
        <w:ind w:left="340" w:hanging="227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在原型期就用 10 分钟、1 小时、10 小时三档玩家感知测试来筛掉低价值机制。</w:t>
      </w:r>
    </w:p>
    <w:sectPr w:rsidR="00FC693F" w:rsidRPr="0006063C" w:rsidSect="00034616">
      <w:footerReference w:type="default" r:id="rId9"/>
      <w:pgSz w:w="12240" w:h="15840"/>
      <w:pgMar w:top="1247" w:right="1247" w:bottom="1134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SC" w:hAnsi="Noto Sans CJK SC" w:eastAsia="Noto Sans CJK SC"/>
        <w:color w:val="646464"/>
        <w:sz w:val="17"/>
      </w:rPr>
      <w:t xml:space="preserve">需求分析文档  ·  </w:t>
    </w:r>
    <w:fldSimple w:instr="PAGE">
      <w:r>
        <w:rPr>
          <w:sz w:val="17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Noto Sans CJK SC" w:hAnsi="Noto Sans CJK SC" w:eastAsia="Noto Sans CJK SC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646464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