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0F2F" w14:textId="77777777" w:rsidR="003E4B9E" w:rsidRDefault="003E4B9E" w:rsidP="003E4B9E">
      <w:pPr>
        <w:pStyle w:val="2"/>
        <w:numPr>
          <w:ilvl w:val="0"/>
          <w:numId w:val="1"/>
        </w:numPr>
      </w:pPr>
      <w:r>
        <w:rPr>
          <w:rFonts w:hint="eastAsia"/>
        </w:rPr>
        <w:t>初审信息</w:t>
      </w:r>
    </w:p>
    <w:tbl>
      <w:tblPr>
        <w:tblW w:w="4998" w:type="pct"/>
        <w:tblCellMar>
          <w:left w:w="0" w:type="dxa"/>
          <w:right w:w="0" w:type="dxa"/>
        </w:tblCellMar>
        <w:tblLook w:val="04A0" w:firstRow="1" w:lastRow="0" w:firstColumn="1" w:lastColumn="0" w:noHBand="0" w:noVBand="1"/>
      </w:tblPr>
      <w:tblGrid>
        <w:gridCol w:w="476"/>
        <w:gridCol w:w="5485"/>
        <w:gridCol w:w="1639"/>
        <w:gridCol w:w="693"/>
      </w:tblGrid>
      <w:tr w:rsidR="003E4B9E" w14:paraId="7F0A2E1E" w14:textId="77777777" w:rsidTr="00AC5818">
        <w:trPr>
          <w:trHeight w:val="384"/>
        </w:trPr>
        <w:tc>
          <w:tcPr>
            <w:tcW w:w="4582"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0493EE4" w14:textId="77777777" w:rsidR="003E4B9E" w:rsidRDefault="003E4B9E" w:rsidP="00AC5818">
            <w:pPr>
              <w:widowControl/>
              <w:jc w:val="center"/>
              <w:textAlignment w:val="center"/>
              <w:rPr>
                <w:rFonts w:asciiTheme="minorEastAsia" w:hAnsiTheme="minorEastAsia" w:cstheme="minorEastAsia"/>
                <w:b/>
                <w:bCs/>
                <w:color w:val="000000"/>
              </w:rPr>
            </w:pPr>
            <w:r>
              <w:rPr>
                <w:rFonts w:asciiTheme="minorEastAsia" w:hAnsiTheme="minorEastAsia" w:cstheme="minorEastAsia" w:hint="eastAsia"/>
                <w:b/>
                <w:bCs/>
                <w:color w:val="000000"/>
                <w:kern w:val="0"/>
                <w:lang w:bidi="ar"/>
              </w:rPr>
              <w:t>评分指标</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4FE68E1" w14:textId="77777777" w:rsidR="003E4B9E" w:rsidRDefault="003E4B9E" w:rsidP="00AC5818">
            <w:pPr>
              <w:widowControl/>
              <w:jc w:val="center"/>
              <w:textAlignment w:val="center"/>
              <w:rPr>
                <w:rFonts w:asciiTheme="minorEastAsia" w:hAnsiTheme="minorEastAsia" w:cstheme="minorEastAsia"/>
                <w:b/>
                <w:bCs/>
                <w:color w:val="000000"/>
              </w:rPr>
            </w:pPr>
            <w:r>
              <w:rPr>
                <w:rFonts w:asciiTheme="minorEastAsia" w:hAnsiTheme="minorEastAsia" w:cstheme="minorEastAsia" w:hint="eastAsia"/>
                <w:b/>
                <w:bCs/>
                <w:color w:val="000000"/>
                <w:kern w:val="0"/>
                <w:lang w:bidi="ar"/>
              </w:rPr>
              <w:t>评分</w:t>
            </w:r>
          </w:p>
        </w:tc>
      </w:tr>
      <w:tr w:rsidR="003E4B9E" w14:paraId="4CB44E42" w14:textId="77777777" w:rsidTr="00AC5818">
        <w:trPr>
          <w:trHeight w:val="384"/>
        </w:trPr>
        <w:tc>
          <w:tcPr>
            <w:tcW w:w="4582"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4982DD0" w14:textId="77777777" w:rsidR="003E4B9E" w:rsidRDefault="003E4B9E"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促进发展(20分)</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D226CCA" w14:textId="52875DA4" w:rsidR="003E4B9E" w:rsidRDefault="00DB68CC" w:rsidP="00AC5818">
            <w:pPr>
              <w:widowControl/>
              <w:jc w:val="center"/>
              <w:textAlignment w:val="center"/>
              <w:rPr>
                <w:rFonts w:asciiTheme="minorEastAsia" w:hAnsiTheme="minorEastAsia" w:cstheme="minorEastAsia" w:hint="eastAsia"/>
                <w:color w:val="000000"/>
              </w:rPr>
            </w:pPr>
            <w:r>
              <w:rPr>
                <w:rFonts w:asciiTheme="minorEastAsia" w:hAnsiTheme="minorEastAsia" w:cstheme="minorEastAsia" w:hint="eastAsia"/>
                <w:color w:val="000000"/>
              </w:rPr>
              <w:t>{</w:t>
            </w:r>
            <w:r>
              <w:rPr>
                <w:rFonts w:asciiTheme="minorEastAsia" w:hAnsiTheme="minorEastAsia" w:cstheme="minorEastAsia"/>
                <w:color w:val="000000"/>
              </w:rPr>
              <w:t>{c}}</w:t>
            </w:r>
          </w:p>
        </w:tc>
      </w:tr>
      <w:tr w:rsidR="003E4B9E" w14:paraId="31352C66" w14:textId="77777777" w:rsidTr="00AC5818">
        <w:trPr>
          <w:trHeight w:val="384"/>
        </w:trPr>
        <w:tc>
          <w:tcPr>
            <w:tcW w:w="287"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3C2B21C1"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发展规模</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DBAB28B"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网上零售额同比增速。（2分）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E6058A2"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w:t>
            </w:r>
          </w:p>
        </w:tc>
      </w:tr>
      <w:tr w:rsidR="003E4B9E" w14:paraId="7F79F03E"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FF50DF5"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7256617"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网上零售额同比增速超过社会零售总额同比增速。（2分）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0CA6462"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w:t>
            </w:r>
          </w:p>
        </w:tc>
      </w:tr>
      <w:tr w:rsidR="003E4B9E" w14:paraId="27842276" w14:textId="77777777" w:rsidTr="00AC5818">
        <w:trPr>
          <w:trHeight w:val="540"/>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04028944"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058AA3A"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网络交易经营者数量占市场主体比重。（2分）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4875993"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w:t>
            </w:r>
          </w:p>
        </w:tc>
      </w:tr>
      <w:tr w:rsidR="003E4B9E" w14:paraId="75F96FE6"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32ADC57"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E53B66A"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新增规模以上网络交易经营者数量。（2分）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C8A0549"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7045EA70"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7D46B519"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C9E8BAD"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快递业务同比增速。（2分）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9612E9D"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5C74A3A6" w14:textId="77777777" w:rsidTr="00AC5818">
        <w:trPr>
          <w:trHeight w:val="384"/>
        </w:trPr>
        <w:tc>
          <w:tcPr>
            <w:tcW w:w="287"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453FCDBD"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发展质量</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BC499A9"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网络市场消费贡献度。（2分）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047C59C"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02001B5B"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01B6F712"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3310E48"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网络市场就业贡献度。（2分）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BFDC875"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68303A01"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926266F"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79D48E5"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网络市场税收贡献度。(2分)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8023821"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7C84DFFF"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D2E2769"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EAAA1F7"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存续时间2年以上的网络交易经营者占比。（2分）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3144AC2"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3B36B4B1"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0922C94"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2C4F5D1"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有特色网络市场产业。（2分）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9173AC6"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714008B7" w14:textId="77777777" w:rsidTr="00AC5818">
        <w:trPr>
          <w:trHeight w:val="420"/>
        </w:trPr>
        <w:tc>
          <w:tcPr>
            <w:tcW w:w="4582"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CBEC052" w14:textId="77777777" w:rsidR="003E4B9E" w:rsidRDefault="003E4B9E"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规范监督(25分)</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CE4D158"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20</w:t>
            </w:r>
          </w:p>
        </w:tc>
      </w:tr>
      <w:tr w:rsidR="003E4B9E" w14:paraId="2042322F" w14:textId="77777777" w:rsidTr="00AC5818">
        <w:trPr>
          <w:trHeight w:val="384"/>
        </w:trPr>
        <w:tc>
          <w:tcPr>
            <w:tcW w:w="287"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409B361D"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规范执法</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D77C417"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健全规范网络执法办案制度机制。（3分）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6AA59C2"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4E69484A"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268BEC39"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0F2148E"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严厉查处涉网违法案件。（3分）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20B8139"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69ADDD34"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38071DE5"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41299F6"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依法依规依程序办理涉网违法案件。（2分）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8A91595"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0</w:t>
            </w:r>
          </w:p>
        </w:tc>
      </w:tr>
      <w:tr w:rsidR="003E4B9E" w14:paraId="5BDFE746"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4E0BF931"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C63BCD2"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运用国家网络交易监管平台，提升涉网案件办理的精准性、有效性。（2分）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94F8CF8"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1C25BBFC" w14:textId="77777777" w:rsidTr="00AC5818">
        <w:trPr>
          <w:trHeight w:val="384"/>
        </w:trPr>
        <w:tc>
          <w:tcPr>
            <w:tcW w:w="287"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37B858D3"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完善监管</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6345BD0"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强化智慧监管。（3分）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1B30724"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397219DE"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6EA96618"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3BEA5B8"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发挥信用监管的基础作用。（3分）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3E87F8C"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4AB47D4D" w14:textId="77777777" w:rsidTr="00AC5818">
        <w:trPr>
          <w:trHeight w:val="768"/>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695724CD"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F2BAD6E"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建立健全协同监管。（3分）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9A93072"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327A94BC"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0937BE6E"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A913211"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完善事前事中事后监管。（3分）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F3A812D"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0</w:t>
            </w:r>
          </w:p>
        </w:tc>
      </w:tr>
      <w:tr w:rsidR="003E4B9E" w14:paraId="3FF6793C"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23A8ADAA"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91B2389"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构建社会共治格局。（3分）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12EEAE7"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00ECFB20" w14:textId="77777777" w:rsidTr="00AC5818">
        <w:trPr>
          <w:trHeight w:val="384"/>
        </w:trPr>
        <w:tc>
          <w:tcPr>
            <w:tcW w:w="4582"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D95BA0D" w14:textId="77777777" w:rsidR="003E4B9E" w:rsidRDefault="003E4B9E"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优化服务(20分)</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40F7AF6"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18</w:t>
            </w:r>
          </w:p>
        </w:tc>
      </w:tr>
      <w:tr w:rsidR="003E4B9E" w14:paraId="1D4838C9" w14:textId="77777777" w:rsidTr="00AC5818">
        <w:trPr>
          <w:trHeight w:val="384"/>
        </w:trPr>
        <w:tc>
          <w:tcPr>
            <w:tcW w:w="287"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E6AA03E"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服务网络经营</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B92250A"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便利网络市场准入，优化平台经济、数字经济发展环境。（3分）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30A3F705"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29BAEE89"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76B732CF"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D252D73"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支持品牌建设、质量提升，促进高质量发展。（2分）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64D9787"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0E66EF91"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035DC51B"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F5F4D4A"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提升公共服务水平，激发网络经营者创业创新活力。（3分）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624D75D"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740C2931" w14:textId="77777777" w:rsidTr="00AC5818">
        <w:trPr>
          <w:trHeight w:val="384"/>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E014CEB"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2F09289"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强化信息基础设施建设，提升网络交易经营者数字化竞争力。（3分）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2327054"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0E429B89" w14:textId="77777777" w:rsidTr="00AC5818">
        <w:trPr>
          <w:trHeight w:val="768"/>
        </w:trPr>
        <w:tc>
          <w:tcPr>
            <w:tcW w:w="287"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1954579"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服务网络消费</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696F26C"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积极开展网络消费教育引导，发布消费提示警示，提高消费者维权能力和意识。（2分）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7DEED4F"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246CD1CD" w14:textId="77777777" w:rsidTr="00AC5818">
        <w:trPr>
          <w:trHeight w:val="768"/>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2C559436"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A23B35B"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畅通消费者投诉渠道，及时受理和依法处理网络消费投诉。（2分）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6A49ECB"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0</w:t>
            </w:r>
          </w:p>
        </w:tc>
      </w:tr>
      <w:tr w:rsidR="003E4B9E" w14:paraId="1B8F1C8D" w14:textId="77777777" w:rsidTr="00AC5818">
        <w:trPr>
          <w:trHeight w:val="768"/>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7DB96948"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D08D7C1"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建立健全消费纠纷多元化解机制，源头化解网络消费纠纷。（2分）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749F6D4"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2C70B794" w14:textId="77777777" w:rsidTr="00AC5818">
        <w:trPr>
          <w:trHeight w:val="768"/>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C471886"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E84BB93"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鼓励和支持落实产品质量主体责任，源头提高和全程把控产品质量。（3分）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351CC9A6"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44193AD8" w14:textId="77777777" w:rsidTr="00AC5818">
        <w:trPr>
          <w:trHeight w:val="399"/>
        </w:trPr>
        <w:tc>
          <w:tcPr>
            <w:tcW w:w="4582"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B3F6D2C" w14:textId="77777777" w:rsidR="003E4B9E" w:rsidRDefault="003E4B9E"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探索创新(20分)</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B4C2AF8"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20</w:t>
            </w:r>
          </w:p>
        </w:tc>
      </w:tr>
      <w:tr w:rsidR="003E4B9E" w14:paraId="2C7D0D36" w14:textId="77777777" w:rsidTr="00AC5818">
        <w:trPr>
          <w:trHeight w:val="768"/>
        </w:trPr>
        <w:tc>
          <w:tcPr>
            <w:tcW w:w="287"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6F346A4"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lastRenderedPageBreak/>
              <w:t>创新工作</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DE9B0B6"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围绕食品、药品、特种设备和工业产品质量安全等重点领域强化网络市场监管的创新性实践。（3分）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92CF342"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40538DA8" w14:textId="77777777" w:rsidTr="00AC5818">
        <w:trPr>
          <w:trHeight w:val="768"/>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470891D"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C48F5B9"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强化平台经济、数字经济发展规律研究，创新开展网络市场监管实践。（3分）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607B265"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0908AD3A" w14:textId="77777777" w:rsidTr="00AC5818">
        <w:trPr>
          <w:trHeight w:val="768"/>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606E2C03"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D9B61F4"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强化平台经济、数字经济发展规律研究，创新开展网络市场服务实践。（3分）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D09B8F0"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3BF73B14" w14:textId="77777777" w:rsidTr="00AC5818">
        <w:trPr>
          <w:trHeight w:val="768"/>
        </w:trPr>
        <w:tc>
          <w:tcPr>
            <w:tcW w:w="287"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2CEA3BF9"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10B9840"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促进平台经济、数字经济发展的创新实践。（3分）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24DC8C18"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5BDC3E81" w14:textId="77777777" w:rsidTr="00AC5818">
        <w:trPr>
          <w:trHeight w:val="768"/>
        </w:trPr>
        <w:tc>
          <w:tcPr>
            <w:tcW w:w="287" w:type="pct"/>
            <w:vMerge w:val="restar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6A23740"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创新效果</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82E4294"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创新工作得到上级政府或者部门的认可。（3分）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1BD07AC"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313970EC" w14:textId="77777777" w:rsidTr="00AC5818">
        <w:trPr>
          <w:trHeight w:val="384"/>
        </w:trPr>
        <w:tc>
          <w:tcPr>
            <w:tcW w:w="287"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B56BFB8"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A05BC0D"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创新工作被国家级和省级媒体宣传报道。（3分）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90C2022"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71D0D7DD" w14:textId="77777777" w:rsidTr="00AC5818">
        <w:trPr>
          <w:trHeight w:val="384"/>
        </w:trPr>
        <w:tc>
          <w:tcPr>
            <w:tcW w:w="287"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3ADECE6"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265DAE4"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创新工作形成制度化、标准化成果。（2分）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88B4487"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6A1C2062" w14:textId="77777777" w:rsidTr="00AC5818">
        <w:trPr>
          <w:trHeight w:val="532"/>
        </w:trPr>
        <w:tc>
          <w:tcPr>
            <w:tcW w:w="4582"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3F63DE8" w14:textId="77777777" w:rsidR="003E4B9E" w:rsidRDefault="003E4B9E"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综合保障(15分)</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8B1DA9A"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15</w:t>
            </w:r>
          </w:p>
        </w:tc>
      </w:tr>
      <w:tr w:rsidR="003E4B9E" w14:paraId="7CBADBBE" w14:textId="77777777" w:rsidTr="00AC5818">
        <w:trPr>
          <w:trHeight w:val="768"/>
        </w:trPr>
        <w:tc>
          <w:tcPr>
            <w:tcW w:w="287" w:type="pct"/>
            <w:vMerge w:val="restar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41332A8"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组织机制保障</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F8B35D0" w14:textId="77777777" w:rsidR="003E4B9E" w:rsidRDefault="003E4B9E" w:rsidP="00AC5818">
            <w:pPr>
              <w:widowControl/>
              <w:spacing w:line="240" w:lineRule="auto"/>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加强领导，高位推动网络市场监管与服务工作。（2分）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A9C6427"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67E15BFF" w14:textId="77777777" w:rsidTr="00AC5818">
        <w:trPr>
          <w:trHeight w:val="768"/>
        </w:trPr>
        <w:tc>
          <w:tcPr>
            <w:tcW w:w="287"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78D1557"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A787442" w14:textId="77777777" w:rsidR="003E4B9E" w:rsidRDefault="003E4B9E" w:rsidP="00AC5818">
            <w:pPr>
              <w:widowControl/>
              <w:spacing w:line="240" w:lineRule="auto"/>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加强组织建设，完善网络市场监管与服务机构保障。（3分）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2A10F706"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E4B9E" w14:paraId="4AEC7604" w14:textId="77777777" w:rsidTr="00AC5818">
        <w:trPr>
          <w:trHeight w:val="768"/>
        </w:trPr>
        <w:tc>
          <w:tcPr>
            <w:tcW w:w="287"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B933607"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98C9610" w14:textId="77777777" w:rsidR="003E4B9E" w:rsidRDefault="003E4B9E" w:rsidP="00AC5818">
            <w:pPr>
              <w:widowControl/>
              <w:spacing w:line="240" w:lineRule="auto"/>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建立工作机制，有力有序推进网络市场监管与服务工作。（2分）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165D6C0"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7C299A23" w14:textId="77777777" w:rsidTr="00AC5818">
        <w:trPr>
          <w:trHeight w:val="384"/>
        </w:trPr>
        <w:tc>
          <w:tcPr>
            <w:tcW w:w="287" w:type="pct"/>
            <w:vMerge w:val="restar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C78515D"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工作基</w:t>
            </w:r>
            <w:r>
              <w:rPr>
                <w:rFonts w:asciiTheme="minorEastAsia" w:hAnsiTheme="minorEastAsia" w:cstheme="minorEastAsia" w:hint="eastAsia"/>
                <w:color w:val="000000"/>
                <w:kern w:val="0"/>
                <w:lang w:bidi="ar"/>
              </w:rPr>
              <w:lastRenderedPageBreak/>
              <w:t>础保障</w:t>
            </w: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ED65BC9" w14:textId="77777777" w:rsidR="003E4B9E" w:rsidRDefault="003E4B9E"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lastRenderedPageBreak/>
              <w:t>加强队伍建设和人才培训，建立高素质专业化网络市场与监管服务队伍。（2分）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08C29B9"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0B215748" w14:textId="77777777" w:rsidTr="00AC5818">
        <w:trPr>
          <w:trHeight w:val="768"/>
        </w:trPr>
        <w:tc>
          <w:tcPr>
            <w:tcW w:w="287"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30B1B30"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C1EDE9F" w14:textId="77777777" w:rsidR="003E4B9E" w:rsidRDefault="003E4B9E" w:rsidP="00AC5818">
            <w:pPr>
              <w:widowControl/>
              <w:spacing w:line="240" w:lineRule="auto"/>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加大投入，完善网络市场监管与服务财政和物资保障。（2分）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74F5FF8"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79C69222" w14:textId="77777777" w:rsidTr="00AC5818">
        <w:trPr>
          <w:trHeight w:val="768"/>
        </w:trPr>
        <w:tc>
          <w:tcPr>
            <w:tcW w:w="287"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91E22C0"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427DF11" w14:textId="77777777" w:rsidR="003E4B9E" w:rsidRDefault="003E4B9E" w:rsidP="00AC5818">
            <w:pPr>
              <w:widowControl/>
              <w:spacing w:line="240" w:lineRule="auto"/>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强化信息基础支撑，完善网络市场监管与服务信息化保障。（2分）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8A5554E"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7CD91B67" w14:textId="77777777" w:rsidTr="00AC5818">
        <w:trPr>
          <w:trHeight w:val="384"/>
        </w:trPr>
        <w:tc>
          <w:tcPr>
            <w:tcW w:w="287"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1E12BD8" w14:textId="77777777" w:rsidR="003E4B9E" w:rsidRDefault="003E4B9E" w:rsidP="00AC5818">
            <w:pPr>
              <w:jc w:val="center"/>
              <w:rPr>
                <w:rFonts w:asciiTheme="minorEastAsia" w:hAnsiTheme="minorEastAsia" w:cstheme="minorEastAsia"/>
                <w:color w:val="000000"/>
              </w:rPr>
            </w:pPr>
          </w:p>
        </w:tc>
        <w:tc>
          <w:tcPr>
            <w:tcW w:w="4295" w:type="pct"/>
            <w:gridSpan w:val="2"/>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65BE34C" w14:textId="77777777" w:rsidR="003E4B9E" w:rsidRDefault="003E4B9E" w:rsidP="00AC5818">
            <w:pPr>
              <w:widowControl/>
              <w:spacing w:line="240" w:lineRule="auto"/>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强化普法、宣传，营造良好社会氛围。（2分）</w:t>
            </w:r>
          </w:p>
        </w:tc>
        <w:tc>
          <w:tcPr>
            <w:tcW w:w="417"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E2BAEAE" w14:textId="77777777" w:rsidR="003E4B9E" w:rsidRDefault="003E4B9E"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E4B9E" w14:paraId="22D67A3C" w14:textId="77777777" w:rsidTr="00AC5818">
        <w:trPr>
          <w:trHeight w:val="384"/>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FFD4896" w14:textId="77777777" w:rsidR="003E4B9E" w:rsidRDefault="003E4B9E" w:rsidP="00AC5818">
            <w:pPr>
              <w:widowControl/>
              <w:tabs>
                <w:tab w:val="left" w:pos="437"/>
              </w:tabs>
              <w:jc w:val="left"/>
              <w:textAlignment w:val="center"/>
              <w:rPr>
                <w:rFonts w:asciiTheme="minorEastAsia" w:hAnsiTheme="minorEastAsia" w:cstheme="minorEastAsia"/>
                <w:color w:val="000000"/>
                <w:kern w:val="0"/>
                <w:lang w:bidi="ar"/>
              </w:rPr>
            </w:pPr>
            <w:r>
              <w:t>总分</w:t>
            </w:r>
            <w:r>
              <w:rPr>
                <w:rFonts w:hint="eastAsia"/>
              </w:rPr>
              <w:t>：90</w:t>
            </w:r>
            <w:r>
              <w:t>分(</w:t>
            </w:r>
            <w:r>
              <w:rPr>
                <w:sz w:val="18"/>
                <w:szCs w:val="18"/>
              </w:rPr>
              <w:t>其中促进发展</w:t>
            </w:r>
            <w:r>
              <w:rPr>
                <w:rFonts w:hint="eastAsia"/>
                <w:sz w:val="18"/>
                <w:szCs w:val="18"/>
              </w:rPr>
              <w:t>17</w:t>
            </w:r>
            <w:r>
              <w:rPr>
                <w:sz w:val="18"/>
                <w:szCs w:val="18"/>
              </w:rPr>
              <w:t>分，规范监督</w:t>
            </w:r>
            <w:r>
              <w:rPr>
                <w:rFonts w:hint="eastAsia"/>
                <w:sz w:val="18"/>
                <w:szCs w:val="18"/>
              </w:rPr>
              <w:t>25</w:t>
            </w:r>
            <w:r>
              <w:rPr>
                <w:sz w:val="18"/>
                <w:szCs w:val="18"/>
              </w:rPr>
              <w:t>分，优化服务</w:t>
            </w:r>
            <w:r>
              <w:rPr>
                <w:rFonts w:hint="eastAsia"/>
                <w:sz w:val="18"/>
                <w:szCs w:val="18"/>
              </w:rPr>
              <w:t>18</w:t>
            </w:r>
            <w:r>
              <w:rPr>
                <w:sz w:val="18"/>
                <w:szCs w:val="18"/>
              </w:rPr>
              <w:t>分，探索创新</w:t>
            </w:r>
            <w:r>
              <w:rPr>
                <w:rFonts w:hint="eastAsia"/>
                <w:sz w:val="18"/>
                <w:szCs w:val="18"/>
              </w:rPr>
              <w:t>2</w:t>
            </w:r>
            <w:r>
              <w:rPr>
                <w:sz w:val="18"/>
                <w:szCs w:val="18"/>
              </w:rPr>
              <w:t>0分，综合保障</w:t>
            </w:r>
            <w:r>
              <w:rPr>
                <w:rFonts w:hint="eastAsia"/>
                <w:sz w:val="18"/>
                <w:szCs w:val="18"/>
              </w:rPr>
              <w:t>15</w:t>
            </w:r>
            <w:r>
              <w:rPr>
                <w:sz w:val="18"/>
                <w:szCs w:val="18"/>
              </w:rPr>
              <w:t>分</w:t>
            </w:r>
            <w:r>
              <w:t>)</w:t>
            </w:r>
          </w:p>
        </w:tc>
      </w:tr>
      <w:tr w:rsidR="003E4B9E" w14:paraId="66BE57AC" w14:textId="77777777" w:rsidTr="00AC5818">
        <w:trPr>
          <w:trHeight w:val="384"/>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91C1E2D" w14:textId="77777777" w:rsidR="003E4B9E" w:rsidRDefault="003E4B9E" w:rsidP="00AC5818">
            <w:pPr>
              <w:widowControl/>
              <w:ind w:firstLineChars="100" w:firstLine="240"/>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初审结果：通过</w:t>
            </w:r>
          </w:p>
        </w:tc>
      </w:tr>
      <w:tr w:rsidR="003E4B9E" w14:paraId="2A3A8B8B" w14:textId="77777777" w:rsidTr="00AC5818">
        <w:trPr>
          <w:trHeight w:val="1410"/>
        </w:trPr>
        <w:tc>
          <w:tcPr>
            <w:tcW w:w="5000" w:type="pct"/>
            <w:gridSpan w:val="4"/>
            <w:tcBorders>
              <w:top w:val="single" w:sz="4" w:space="0" w:color="000000"/>
              <w:left w:val="single" w:sz="4" w:space="0" w:color="000000"/>
              <w:bottom w:val="nil"/>
              <w:right w:val="single" w:sz="4" w:space="0" w:color="000000"/>
            </w:tcBorders>
            <w:shd w:val="clear" w:color="auto" w:fill="FFFFFF"/>
            <w:tcMar>
              <w:top w:w="12" w:type="dxa"/>
              <w:left w:w="12" w:type="dxa"/>
              <w:right w:w="12" w:type="dxa"/>
            </w:tcMar>
            <w:vAlign w:val="center"/>
          </w:tcPr>
          <w:p w14:paraId="2F364B96" w14:textId="77777777" w:rsidR="003E4B9E" w:rsidRDefault="003E4B9E" w:rsidP="00AC5818">
            <w:pPr>
              <w:widowControl/>
              <w:tabs>
                <w:tab w:val="left" w:pos="437"/>
              </w:tabs>
              <w:ind w:firstLineChars="100" w:firstLine="240"/>
              <w:jc w:val="lef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初审意见：</w:t>
            </w:r>
          </w:p>
          <w:p w14:paraId="50FE74C2" w14:textId="77777777" w:rsidR="003E4B9E" w:rsidRDefault="003E4B9E" w:rsidP="00AC5818">
            <w:pPr>
              <w:widowControl/>
              <w:tabs>
                <w:tab w:val="left" w:pos="437"/>
              </w:tabs>
              <w:ind w:firstLineChars="300" w:firstLine="720"/>
              <w:jc w:val="lef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各项指标完成良好，通过。</w:t>
            </w:r>
          </w:p>
          <w:p w14:paraId="4CD22A51" w14:textId="77777777" w:rsidR="003E4B9E" w:rsidRDefault="003E4B9E" w:rsidP="00AC5818">
            <w:pPr>
              <w:widowControl/>
              <w:tabs>
                <w:tab w:val="left" w:pos="437"/>
              </w:tabs>
              <w:ind w:firstLineChars="300" w:firstLine="720"/>
              <w:jc w:val="left"/>
              <w:textAlignment w:val="center"/>
              <w:rPr>
                <w:rFonts w:asciiTheme="minorEastAsia" w:hAnsiTheme="minorEastAsia" w:cstheme="minorEastAsia"/>
                <w:color w:val="000000"/>
                <w:kern w:val="0"/>
                <w:lang w:bidi="ar"/>
              </w:rPr>
            </w:pPr>
          </w:p>
          <w:p w14:paraId="35AE3839" w14:textId="77777777" w:rsidR="003E4B9E" w:rsidRDefault="003E4B9E" w:rsidP="00AC5818">
            <w:pPr>
              <w:widowControl/>
              <w:tabs>
                <w:tab w:val="left" w:pos="437"/>
              </w:tabs>
              <w:ind w:firstLineChars="200" w:firstLine="480"/>
              <w:jc w:val="left"/>
              <w:textAlignment w:val="center"/>
              <w:rPr>
                <w:rFonts w:asciiTheme="minorEastAsia" w:hAnsiTheme="minorEastAsia" w:cstheme="minorEastAsia"/>
                <w:color w:val="000000"/>
                <w:kern w:val="0"/>
                <w:lang w:bidi="ar"/>
              </w:rPr>
            </w:pPr>
          </w:p>
          <w:p w14:paraId="77AFB187" w14:textId="77777777" w:rsidR="003E4B9E" w:rsidRDefault="003E4B9E" w:rsidP="00AC5818">
            <w:pPr>
              <w:widowControl/>
              <w:tabs>
                <w:tab w:val="left" w:pos="437"/>
              </w:tabs>
              <w:jc w:val="left"/>
              <w:textAlignment w:val="center"/>
              <w:rPr>
                <w:rFonts w:asciiTheme="minorEastAsia" w:hAnsiTheme="minorEastAsia" w:cstheme="minorEastAsia"/>
                <w:color w:val="000000"/>
                <w:kern w:val="0"/>
                <w:lang w:bidi="ar"/>
              </w:rPr>
            </w:pPr>
          </w:p>
        </w:tc>
      </w:tr>
      <w:tr w:rsidR="003E4B9E" w14:paraId="23144FA5" w14:textId="77777777" w:rsidTr="00AC5818">
        <w:trPr>
          <w:trHeight w:val="384"/>
        </w:trPr>
        <w:tc>
          <w:tcPr>
            <w:tcW w:w="3594" w:type="pct"/>
            <w:gridSpan w:val="2"/>
            <w:tcBorders>
              <w:top w:val="nil"/>
              <w:left w:val="single" w:sz="4" w:space="0" w:color="auto"/>
              <w:bottom w:val="nil"/>
              <w:right w:val="nil"/>
            </w:tcBorders>
            <w:shd w:val="clear" w:color="auto" w:fill="FFFFFF"/>
            <w:tcMar>
              <w:top w:w="12" w:type="dxa"/>
              <w:left w:w="12" w:type="dxa"/>
              <w:right w:w="12" w:type="dxa"/>
            </w:tcMar>
            <w:vAlign w:val="center"/>
          </w:tcPr>
          <w:p w14:paraId="230824F2" w14:textId="77777777" w:rsidR="003E4B9E" w:rsidRDefault="003E4B9E" w:rsidP="00AC5818">
            <w:pPr>
              <w:widowControl/>
              <w:tabs>
                <w:tab w:val="left" w:pos="437"/>
              </w:tabs>
              <w:jc w:val="righ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审批部门：</w:t>
            </w:r>
          </w:p>
        </w:tc>
        <w:tc>
          <w:tcPr>
            <w:tcW w:w="1405" w:type="pct"/>
            <w:gridSpan w:val="2"/>
            <w:tcBorders>
              <w:top w:val="nil"/>
              <w:left w:val="nil"/>
              <w:bottom w:val="nil"/>
              <w:right w:val="single" w:sz="4" w:space="0" w:color="auto"/>
            </w:tcBorders>
            <w:shd w:val="clear" w:color="auto" w:fill="FFFFFF"/>
            <w:tcMar>
              <w:top w:w="12" w:type="dxa"/>
              <w:left w:w="12" w:type="dxa"/>
              <w:right w:w="12" w:type="dxa"/>
            </w:tcMar>
            <w:vAlign w:val="bottom"/>
          </w:tcPr>
          <w:p w14:paraId="0A7E1C67" w14:textId="77777777" w:rsidR="003E4B9E" w:rsidRDefault="003E4B9E" w:rsidP="00AC5818">
            <w:pPr>
              <w:widowControl/>
              <w:tabs>
                <w:tab w:val="left" w:pos="437"/>
              </w:tabs>
              <w:jc w:val="lef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河南省网监</w:t>
            </w:r>
          </w:p>
        </w:tc>
      </w:tr>
      <w:tr w:rsidR="003E4B9E" w14:paraId="46EFD01A" w14:textId="77777777" w:rsidTr="00AC5818">
        <w:trPr>
          <w:trHeight w:val="384"/>
        </w:trPr>
        <w:tc>
          <w:tcPr>
            <w:tcW w:w="3594" w:type="pct"/>
            <w:gridSpan w:val="2"/>
            <w:tcBorders>
              <w:top w:val="nil"/>
              <w:left w:val="single" w:sz="4" w:space="0" w:color="auto"/>
              <w:bottom w:val="nil"/>
              <w:right w:val="nil"/>
            </w:tcBorders>
            <w:shd w:val="clear" w:color="auto" w:fill="FFFFFF"/>
            <w:tcMar>
              <w:top w:w="12" w:type="dxa"/>
              <w:left w:w="12" w:type="dxa"/>
              <w:right w:w="12" w:type="dxa"/>
            </w:tcMar>
            <w:vAlign w:val="center"/>
          </w:tcPr>
          <w:p w14:paraId="5D403792" w14:textId="77777777" w:rsidR="003E4B9E" w:rsidRDefault="003E4B9E" w:rsidP="00AC5818">
            <w:pPr>
              <w:widowControl/>
              <w:tabs>
                <w:tab w:val="left" w:pos="437"/>
              </w:tabs>
              <w:jc w:val="righ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审批人员：</w:t>
            </w:r>
          </w:p>
        </w:tc>
        <w:tc>
          <w:tcPr>
            <w:tcW w:w="1405" w:type="pct"/>
            <w:gridSpan w:val="2"/>
            <w:tcBorders>
              <w:top w:val="nil"/>
              <w:left w:val="nil"/>
              <w:bottom w:val="nil"/>
              <w:right w:val="single" w:sz="4" w:space="0" w:color="auto"/>
            </w:tcBorders>
            <w:shd w:val="clear" w:color="auto" w:fill="FFFFFF"/>
            <w:tcMar>
              <w:top w:w="12" w:type="dxa"/>
              <w:left w:w="12" w:type="dxa"/>
              <w:right w:w="12" w:type="dxa"/>
            </w:tcMar>
            <w:vAlign w:val="bottom"/>
          </w:tcPr>
          <w:p w14:paraId="03A0B296" w14:textId="77777777" w:rsidR="003E4B9E" w:rsidRDefault="003E4B9E" w:rsidP="00AC5818">
            <w:pPr>
              <w:widowControl/>
              <w:tabs>
                <w:tab w:val="left" w:pos="437"/>
              </w:tabs>
              <w:jc w:val="lef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何楠</w:t>
            </w:r>
          </w:p>
        </w:tc>
      </w:tr>
      <w:tr w:rsidR="003E4B9E" w14:paraId="60B14E27" w14:textId="77777777" w:rsidTr="00AC5818">
        <w:trPr>
          <w:trHeight w:val="384"/>
        </w:trPr>
        <w:tc>
          <w:tcPr>
            <w:tcW w:w="3594" w:type="pct"/>
            <w:gridSpan w:val="2"/>
            <w:tcBorders>
              <w:top w:val="nil"/>
              <w:left w:val="single" w:sz="4" w:space="0" w:color="auto"/>
              <w:bottom w:val="single" w:sz="4" w:space="0" w:color="auto"/>
              <w:right w:val="nil"/>
            </w:tcBorders>
            <w:shd w:val="clear" w:color="auto" w:fill="FFFFFF"/>
            <w:tcMar>
              <w:top w:w="12" w:type="dxa"/>
              <w:left w:w="12" w:type="dxa"/>
              <w:right w:w="12" w:type="dxa"/>
            </w:tcMar>
            <w:vAlign w:val="center"/>
          </w:tcPr>
          <w:p w14:paraId="790F4457" w14:textId="77777777" w:rsidR="003E4B9E" w:rsidRDefault="003E4B9E" w:rsidP="00AC5818">
            <w:pPr>
              <w:widowControl/>
              <w:tabs>
                <w:tab w:val="left" w:pos="437"/>
              </w:tabs>
              <w:jc w:val="righ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审批日期：</w:t>
            </w:r>
          </w:p>
        </w:tc>
        <w:tc>
          <w:tcPr>
            <w:tcW w:w="1405" w:type="pct"/>
            <w:gridSpan w:val="2"/>
            <w:tcBorders>
              <w:top w:val="nil"/>
              <w:left w:val="nil"/>
              <w:bottom w:val="single" w:sz="4" w:space="0" w:color="auto"/>
              <w:right w:val="single" w:sz="4" w:space="0" w:color="auto"/>
            </w:tcBorders>
            <w:shd w:val="clear" w:color="auto" w:fill="FFFFFF"/>
            <w:tcMar>
              <w:top w:w="12" w:type="dxa"/>
              <w:left w:w="12" w:type="dxa"/>
              <w:right w:w="12" w:type="dxa"/>
            </w:tcMar>
            <w:vAlign w:val="bottom"/>
          </w:tcPr>
          <w:p w14:paraId="59BDC812" w14:textId="77777777" w:rsidR="003E4B9E" w:rsidRDefault="003E4B9E" w:rsidP="00AC5818">
            <w:pPr>
              <w:widowControl/>
              <w:tabs>
                <w:tab w:val="left" w:pos="437"/>
              </w:tabs>
              <w:jc w:val="lef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2022年04月01日</w:t>
            </w:r>
          </w:p>
        </w:tc>
      </w:tr>
    </w:tbl>
    <w:p w14:paraId="0D10126D" w14:textId="77777777" w:rsidR="003E4B9E" w:rsidRDefault="003E4B9E" w:rsidP="003E4B9E"/>
    <w:p w14:paraId="3C9F946C" w14:textId="77777777" w:rsidR="003E4B9E" w:rsidRDefault="003E4B9E" w:rsidP="003E4B9E"/>
    <w:p w14:paraId="228A3B85" w14:textId="77777777" w:rsidR="003E4B9E" w:rsidRDefault="003E4B9E"/>
    <w:sectPr w:rsidR="003E4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C5E47D"/>
    <w:multiLevelType w:val="singleLevel"/>
    <w:tmpl w:val="AAC5E47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9E"/>
    <w:rsid w:val="003E4B9E"/>
    <w:rsid w:val="00DB6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C3D042"/>
  <w15:chartTrackingRefBased/>
  <w15:docId w15:val="{CEE8E0CF-8F5B-D54A-88DE-1DCAB81F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B9E"/>
    <w:pPr>
      <w:widowControl w:val="0"/>
      <w:spacing w:line="360" w:lineRule="auto"/>
      <w:jc w:val="both"/>
    </w:pPr>
    <w:rPr>
      <w:sz w:val="24"/>
    </w:rPr>
  </w:style>
  <w:style w:type="paragraph" w:styleId="2">
    <w:name w:val="heading 2"/>
    <w:basedOn w:val="a"/>
    <w:next w:val="a"/>
    <w:link w:val="20"/>
    <w:unhideWhenUsed/>
    <w:qFormat/>
    <w:rsid w:val="003E4B9E"/>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3E4B9E"/>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yadong</dc:creator>
  <cp:keywords/>
  <dc:description/>
  <cp:lastModifiedBy>feng yadong</cp:lastModifiedBy>
  <cp:revision>2</cp:revision>
  <dcterms:created xsi:type="dcterms:W3CDTF">2022-04-07T09:28:00Z</dcterms:created>
  <dcterms:modified xsi:type="dcterms:W3CDTF">2022-04-13T01:42:00Z</dcterms:modified>
</cp:coreProperties>
</file>