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3BDD" w14:textId="3D6052D9" w:rsidR="006E01FC" w:rsidRDefault="006E01FC" w:rsidP="0032233B">
      <w:pPr>
        <w:pStyle w:val="2"/>
        <w:rPr>
          <w:b w:val="0"/>
          <w:bCs/>
        </w:rPr>
      </w:pPr>
    </w:p>
    <w:p w14:paraId="33571CC2" w14:textId="2FF714B8" w:rsidR="006E01FC" w:rsidRDefault="006E01FC" w:rsidP="006E01FC"/>
    <w:p w14:paraId="34E2B34E" w14:textId="780596B7" w:rsidR="006E01FC" w:rsidRDefault="006E01FC" w:rsidP="006E01FC"/>
    <w:p w14:paraId="1845BEBF" w14:textId="6AE85BFD" w:rsidR="006E01FC" w:rsidRPr="006E01FC" w:rsidRDefault="006E01FC" w:rsidP="006E01FC">
      <w:pPr>
        <w:rPr>
          <w:rFonts w:hint="eastAsia"/>
        </w:rPr>
      </w:pPr>
      <w:r>
        <w:rPr>
          <w:rFonts w:hint="eastAsia"/>
        </w:rPr>
        <w:t>{</w:t>
      </w:r>
      <w:proofErr w:type="gramStart"/>
      <w:r>
        <w:t>{?list</w:t>
      </w:r>
      <w:proofErr w:type="gramEnd"/>
      <w:r>
        <w:t>}}</w:t>
      </w:r>
    </w:p>
    <w:p w14:paraId="16DCC905" w14:textId="51CD9FD3" w:rsidR="0032233B" w:rsidRDefault="0032233B" w:rsidP="0032233B">
      <w:pPr>
        <w:pStyle w:val="2"/>
      </w:pPr>
      <w:r>
        <w:rPr>
          <w:rFonts w:hint="eastAsia"/>
        </w:rPr>
        <w:t>3</w:t>
      </w:r>
      <w:r>
        <w:rPr>
          <w:rFonts w:hint="eastAsia"/>
        </w:rPr>
        <w:t>、专家评审（周舟舟）</w:t>
      </w:r>
    </w:p>
    <w:tbl>
      <w:tblPr>
        <w:tblW w:w="4998" w:type="pct"/>
        <w:tblCellMar>
          <w:left w:w="0" w:type="dxa"/>
          <w:right w:w="0" w:type="dxa"/>
        </w:tblCellMar>
        <w:tblLook w:val="04A0" w:firstRow="1" w:lastRow="0" w:firstColumn="1" w:lastColumn="0" w:noHBand="0" w:noVBand="1"/>
      </w:tblPr>
      <w:tblGrid>
        <w:gridCol w:w="472"/>
        <w:gridCol w:w="5213"/>
        <w:gridCol w:w="269"/>
        <w:gridCol w:w="1639"/>
        <w:gridCol w:w="700"/>
      </w:tblGrid>
      <w:tr w:rsidR="0032233B" w14:paraId="764DB12E" w14:textId="77777777" w:rsidTr="00AC5818">
        <w:trPr>
          <w:trHeight w:val="384"/>
        </w:trPr>
        <w:tc>
          <w:tcPr>
            <w:tcW w:w="4578"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3790E47" w14:textId="77777777" w:rsidR="0032233B" w:rsidRDefault="0032233B" w:rsidP="00AC5818">
            <w:pPr>
              <w:widowControl/>
              <w:jc w:val="center"/>
              <w:textAlignment w:val="center"/>
              <w:rPr>
                <w:rFonts w:asciiTheme="minorEastAsia" w:hAnsiTheme="minorEastAsia" w:cstheme="minorEastAsia"/>
                <w:b/>
                <w:bCs/>
                <w:color w:val="000000"/>
              </w:rPr>
            </w:pPr>
            <w:r>
              <w:rPr>
                <w:rFonts w:asciiTheme="minorEastAsia" w:hAnsiTheme="minorEastAsia" w:cstheme="minorEastAsia" w:hint="eastAsia"/>
                <w:b/>
                <w:bCs/>
                <w:color w:val="000000"/>
                <w:kern w:val="0"/>
                <w:lang w:bidi="ar"/>
              </w:rPr>
              <w:t>评分指标</w:t>
            </w:r>
          </w:p>
        </w:tc>
        <w:tc>
          <w:tcPr>
            <w:tcW w:w="421"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62576DC" w14:textId="77777777" w:rsidR="0032233B" w:rsidRDefault="0032233B" w:rsidP="00AC5818">
            <w:pPr>
              <w:widowControl/>
              <w:jc w:val="center"/>
              <w:textAlignment w:val="center"/>
              <w:rPr>
                <w:rFonts w:asciiTheme="minorEastAsia" w:hAnsiTheme="minorEastAsia" w:cstheme="minorEastAsia"/>
                <w:b/>
                <w:bCs/>
                <w:color w:val="000000"/>
              </w:rPr>
            </w:pPr>
            <w:r>
              <w:rPr>
                <w:rFonts w:asciiTheme="minorEastAsia" w:hAnsiTheme="minorEastAsia" w:cstheme="minorEastAsia" w:hint="eastAsia"/>
                <w:b/>
                <w:bCs/>
                <w:color w:val="000000"/>
                <w:kern w:val="0"/>
                <w:lang w:bidi="ar"/>
              </w:rPr>
              <w:t>评分</w:t>
            </w:r>
          </w:p>
        </w:tc>
      </w:tr>
      <w:tr w:rsidR="0032233B" w14:paraId="1767D623" w14:textId="77777777" w:rsidTr="00AC5818">
        <w:trPr>
          <w:trHeight w:val="384"/>
        </w:trPr>
        <w:tc>
          <w:tcPr>
            <w:tcW w:w="4578"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D933B0F" w14:textId="77777777" w:rsidR="0032233B" w:rsidRDefault="0032233B"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促进发展(20分)</w:t>
            </w:r>
          </w:p>
        </w:tc>
        <w:tc>
          <w:tcPr>
            <w:tcW w:w="421"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44D5FFA" w14:textId="1C5060CD" w:rsidR="0032233B" w:rsidRDefault="00290105" w:rsidP="00AC5818">
            <w:pPr>
              <w:widowControl/>
              <w:jc w:val="center"/>
              <w:textAlignment w:val="center"/>
              <w:rPr>
                <w:rFonts w:asciiTheme="minorEastAsia" w:hAnsiTheme="minorEastAsia" w:cstheme="minorEastAsia"/>
                <w:color w:val="000000"/>
              </w:rPr>
            </w:pPr>
            <w:r>
              <w:rPr>
                <w:rFonts w:asciiTheme="minorEastAsia" w:hAnsiTheme="minorEastAsia" w:cstheme="minorEastAsia"/>
                <w:color w:val="000000"/>
                <w:kern w:val="0"/>
                <w:lang w:bidi="ar"/>
              </w:rPr>
              <w:t>{{a}}</w:t>
            </w:r>
          </w:p>
        </w:tc>
      </w:tr>
      <w:tr w:rsidR="0032233B" w14:paraId="7E9CDDD8" w14:textId="77777777" w:rsidTr="00AC5818">
        <w:trPr>
          <w:trHeight w:val="384"/>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58EA7CD"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发展规模</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CC827F5"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网上零售额同比增速。（2分）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35B1BC98" w14:textId="1AF60431" w:rsidR="0032233B" w:rsidRDefault="00290105"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rPr>
              <w:t>{</w:t>
            </w:r>
            <w:r>
              <w:rPr>
                <w:rFonts w:asciiTheme="minorEastAsia" w:hAnsiTheme="minorEastAsia" w:cstheme="minorEastAsia"/>
                <w:color w:val="000000"/>
              </w:rPr>
              <w:t>{b}}</w:t>
            </w:r>
          </w:p>
        </w:tc>
      </w:tr>
      <w:tr w:rsidR="0032233B" w14:paraId="5FEE82ED"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62F7A45F"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169C8EC"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网上零售额同比增速超过社会零售总额同比增速。（2分）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24DDB9A"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w:t>
            </w:r>
          </w:p>
        </w:tc>
      </w:tr>
      <w:tr w:rsidR="0032233B" w14:paraId="5B620A0D" w14:textId="77777777" w:rsidTr="00AC5818">
        <w:trPr>
          <w:trHeight w:val="540"/>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C21B216"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3B9D6BA"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网络交易经营者数量占市场主体比重。（2分）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B6F6427"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w:t>
            </w:r>
          </w:p>
        </w:tc>
      </w:tr>
      <w:tr w:rsidR="0032233B" w14:paraId="02F37243"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B28856A"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C93148A"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新增规模以上网络交易经营者数量。（2分）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187D496"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1ACB7D44"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07319E1"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AB4A6A7"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快递业务同比增速。（2分）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F6A4450"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276A8922" w14:textId="77777777" w:rsidTr="00AC5818">
        <w:trPr>
          <w:trHeight w:val="384"/>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B916921"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发展质量</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47ADF24"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网络市场消费贡献度。（2分）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8CF6535"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7683A87E"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D1B9FE3"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7D1ACB1"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网络市场就业贡献度。（2分）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1DAEB59"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1DC5FA70"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3E3F105"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AA22169"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网络市场税收贡献度。(2分)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8E895C1"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02ACC3D8"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4F254EB0"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5489206"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存续时间2年以上的网络交易经营者占比。（2分）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C16D316"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3AFEBF9C"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8E1E892"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DA3FE3C"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有特色网络市场产业。（2分）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75D226F"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305BED64" w14:textId="77777777" w:rsidTr="00AC5818">
        <w:trPr>
          <w:trHeight w:val="420"/>
        </w:trPr>
        <w:tc>
          <w:tcPr>
            <w:tcW w:w="4578"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A09A1DB" w14:textId="77777777" w:rsidR="0032233B" w:rsidRDefault="0032233B"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规范监督(25分)</w:t>
            </w:r>
          </w:p>
        </w:tc>
        <w:tc>
          <w:tcPr>
            <w:tcW w:w="421"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E9334C3"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20</w:t>
            </w:r>
          </w:p>
        </w:tc>
      </w:tr>
      <w:tr w:rsidR="0032233B" w14:paraId="628062FF" w14:textId="77777777" w:rsidTr="00AC5818">
        <w:trPr>
          <w:trHeight w:val="384"/>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1AED2EB"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规范</w:t>
            </w:r>
            <w:r>
              <w:rPr>
                <w:rFonts w:asciiTheme="minorEastAsia" w:hAnsiTheme="minorEastAsia" w:cstheme="minorEastAsia" w:hint="eastAsia"/>
                <w:color w:val="000000"/>
                <w:kern w:val="0"/>
                <w:lang w:bidi="ar"/>
              </w:rPr>
              <w:lastRenderedPageBreak/>
              <w:t>执法</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ADE670D"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lastRenderedPageBreak/>
              <w:t>健全规范网络执法办案制度机制。（3分）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12423DC"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5F9D71EF"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7262B3B1"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F94778C"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严厉查处涉网违法案件。（3分）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DBB2595"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265F4267"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628CF7E"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6ACDD4E"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依法依规依程序办理涉网违法案件。（2分）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40B2CC95"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0</w:t>
            </w:r>
          </w:p>
        </w:tc>
      </w:tr>
      <w:tr w:rsidR="0032233B" w14:paraId="286D81E6"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2F832DD4"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681F1A2"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运用国家网络交易监管平台，提升涉网案件办理的精准性、有效性。（2分）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21FC8F7"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18F2DFD1" w14:textId="77777777" w:rsidTr="00AC5818">
        <w:trPr>
          <w:trHeight w:val="384"/>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C1D2A0D"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完善监管</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5E2F1DD"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强化智慧监管。（3分）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E658D83"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3E31998F"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388106E7"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8F2ABAD"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发挥信用监管的基础作用。（3分）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0B0EAEF"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23642465"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0FDCC869"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401263C"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建立健全协同监管。（3分）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B248737"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4D88E4E4"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3D5013F"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D9D9D76"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完善事前事中事后监管。（3分）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2AE8DF6"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0</w:t>
            </w:r>
          </w:p>
        </w:tc>
      </w:tr>
      <w:tr w:rsidR="0032233B" w14:paraId="3606B440"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7C1E675"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4B2D200"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构建社会共治格局。（3分）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B2F0604"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498D3D5D" w14:textId="77777777" w:rsidTr="00AC5818">
        <w:trPr>
          <w:trHeight w:val="384"/>
        </w:trPr>
        <w:tc>
          <w:tcPr>
            <w:tcW w:w="4578"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A3DCB33" w14:textId="77777777" w:rsidR="0032233B" w:rsidRDefault="0032233B"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优化服务(20分)</w:t>
            </w:r>
          </w:p>
        </w:tc>
        <w:tc>
          <w:tcPr>
            <w:tcW w:w="421"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FA93619"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18</w:t>
            </w:r>
          </w:p>
        </w:tc>
      </w:tr>
      <w:tr w:rsidR="0032233B" w14:paraId="2E8BC362" w14:textId="77777777" w:rsidTr="00AC5818">
        <w:trPr>
          <w:trHeight w:val="384"/>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4A78025C"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服务网络经营</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8FF5AA3"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便利网络市场准入，优化平台经济、数字经济发展环境。（3分）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7450989"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066F75F5"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42D34EC2"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F813F3E"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支持品牌建设、质量提升，促进高质量发展。（2分）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C641466"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2F1C4BA4"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7D0CF6DE"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5678BB2"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提升公共服务水平，激发网络经营者创业创新活力。（3分）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0671EFB"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31E95CDC" w14:textId="77777777" w:rsidTr="00AC5818">
        <w:trPr>
          <w:trHeight w:val="384"/>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6B8E9EDA"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9710DF3"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强化信息基础设施建设，提升网络交易经营者数字化竞争力。（3分）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1310DC0"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42AA5702" w14:textId="77777777" w:rsidTr="00AC5818">
        <w:trPr>
          <w:trHeight w:val="768"/>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609C4327"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服务网络消费</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5C92A33"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积极开展网络消费教育引导，发布消费提示警示，提高消费者维权能力和意识。（2分）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164CA1B"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36B90DDE"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BD8C278"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5A927CB"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畅通消费者投诉渠道，及时受理和依法处理网络消费投诉。（2分）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25688B69"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0</w:t>
            </w:r>
          </w:p>
        </w:tc>
      </w:tr>
      <w:tr w:rsidR="0032233B" w14:paraId="0CB5A81F"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7455C580"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986C71F"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建立健全消费纠纷多元化解机制，源头化解网络消费纠纷。（2分）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291C168"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5814D600"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2FFF71F9"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5C42696"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鼓励和支持落实产品质量主体责任，源头提高和全程把控产品质量。（3分）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1092D20"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5236CAA5" w14:textId="77777777" w:rsidTr="00AC5818">
        <w:trPr>
          <w:trHeight w:val="399"/>
        </w:trPr>
        <w:tc>
          <w:tcPr>
            <w:tcW w:w="4578"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262B2BE" w14:textId="77777777" w:rsidR="0032233B" w:rsidRDefault="0032233B"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探索创新(20分)</w:t>
            </w:r>
          </w:p>
        </w:tc>
        <w:tc>
          <w:tcPr>
            <w:tcW w:w="421"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F6FE1D1"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20</w:t>
            </w:r>
          </w:p>
        </w:tc>
      </w:tr>
      <w:tr w:rsidR="0032233B" w14:paraId="48BD0061" w14:textId="77777777" w:rsidTr="00AC5818">
        <w:trPr>
          <w:trHeight w:val="768"/>
        </w:trPr>
        <w:tc>
          <w:tcPr>
            <w:tcW w:w="285" w:type="pct"/>
            <w:vMerge w:val="restart"/>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B08ECDE"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073BAB8"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围绕食品、药品、特种设备和工业产品质量安全等重点领域强化网络市场监管的创新性实践。（3分）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32CEF5EB"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5D3BACF6"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5C45212"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78D454C"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强化平台经济、数字经济发展规律研究，创新开展网络市场监管实践。（3分）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1A83665"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700574C7"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55674556"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5DBEAA0"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强化平台经济、数字经济发展规律研究，创新开展网络市场服务实践。（3分）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0C4FC08"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23B3DE4C" w14:textId="77777777" w:rsidTr="00AC5818">
        <w:trPr>
          <w:trHeight w:val="768"/>
        </w:trPr>
        <w:tc>
          <w:tcPr>
            <w:tcW w:w="285" w:type="pct"/>
            <w:vMerge/>
            <w:tcBorders>
              <w:top w:val="single" w:sz="4" w:space="0" w:color="000000"/>
              <w:left w:val="single" w:sz="4" w:space="0" w:color="000000"/>
              <w:bottom w:val="single" w:sz="4" w:space="0" w:color="000000"/>
              <w:right w:val="nil"/>
            </w:tcBorders>
            <w:shd w:val="clear" w:color="auto" w:fill="FFFFFF"/>
            <w:tcMar>
              <w:top w:w="12" w:type="dxa"/>
              <w:left w:w="12" w:type="dxa"/>
              <w:right w:w="12" w:type="dxa"/>
            </w:tcMar>
            <w:vAlign w:val="center"/>
          </w:tcPr>
          <w:p w14:paraId="1C5DE723"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978F278"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促进平台经济、数字经济发展的创新实践。（3分）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FFACDBF"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1DD29E0C" w14:textId="77777777" w:rsidTr="00AC5818">
        <w:trPr>
          <w:trHeight w:val="768"/>
        </w:trPr>
        <w:tc>
          <w:tcPr>
            <w:tcW w:w="285" w:type="pct"/>
            <w:vMerge w:val="restar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663CF25"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创新效果</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E0E877E"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创新工作得到上级政府或者部门的认可。（3分）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0E70F0CD"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2F7BF36B" w14:textId="77777777" w:rsidTr="00AC5818">
        <w:trPr>
          <w:trHeight w:val="384"/>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4060754"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653FA9A"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创新工作被国家级和省级媒体宣传报道。（3分）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3EC1E506"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31B80297" w14:textId="77777777" w:rsidTr="00AC5818">
        <w:trPr>
          <w:trHeight w:val="384"/>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1361A5A"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39DB74D"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创新工作形成制度化、标准化成果。（2分）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48DDF2F"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2FF11B6E" w14:textId="77777777" w:rsidTr="00AC5818">
        <w:trPr>
          <w:trHeight w:val="532"/>
        </w:trPr>
        <w:tc>
          <w:tcPr>
            <w:tcW w:w="4578" w:type="pct"/>
            <w:gridSpan w:val="4"/>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B481FA3" w14:textId="77777777" w:rsidR="0032233B" w:rsidRDefault="0032233B" w:rsidP="00AC5818">
            <w:pPr>
              <w:widowControl/>
              <w:ind w:firstLineChars="100" w:firstLine="240"/>
              <w:jc w:val="left"/>
              <w:textAlignment w:val="center"/>
              <w:rPr>
                <w:rFonts w:asciiTheme="minorEastAsia" w:hAnsiTheme="minorEastAsia" w:cstheme="minorEastAsia"/>
                <w:b/>
                <w:color w:val="000000"/>
              </w:rPr>
            </w:pPr>
            <w:r>
              <w:rPr>
                <w:rFonts w:asciiTheme="minorEastAsia" w:hAnsiTheme="minorEastAsia" w:cstheme="minorEastAsia" w:hint="eastAsia"/>
                <w:b/>
                <w:color w:val="000000"/>
                <w:kern w:val="0"/>
                <w:lang w:bidi="ar"/>
              </w:rPr>
              <w:t>综合保障(15分)</w:t>
            </w:r>
          </w:p>
        </w:tc>
        <w:tc>
          <w:tcPr>
            <w:tcW w:w="421" w:type="pc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8F2A6AE"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15</w:t>
            </w:r>
          </w:p>
        </w:tc>
      </w:tr>
      <w:tr w:rsidR="0032233B" w14:paraId="0604B999" w14:textId="77777777" w:rsidTr="00AC5818">
        <w:trPr>
          <w:trHeight w:val="768"/>
        </w:trPr>
        <w:tc>
          <w:tcPr>
            <w:tcW w:w="285" w:type="pct"/>
            <w:vMerge w:val="restar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FB629F8"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组织机制保障</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A74F539"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加强领导，高位推动网络市场监管与服务工作。（2分）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3F0554A"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0FF8F0DD" w14:textId="77777777" w:rsidTr="00AC5818">
        <w:trPr>
          <w:trHeight w:val="768"/>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E50E185"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7FE89B55"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加强组织建设，完善网络市场监管与服务机构保障。（3分）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199BFB00"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3</w:t>
            </w:r>
          </w:p>
        </w:tc>
      </w:tr>
      <w:tr w:rsidR="0032233B" w14:paraId="4285D126" w14:textId="77777777" w:rsidTr="00AC5818">
        <w:trPr>
          <w:trHeight w:val="957"/>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5C3D1B29"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F47DBAC"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建立工作机制，有力有序推进网络市场监管与服务工作。（2分）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2C31EE9"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440ACC89" w14:textId="77777777" w:rsidTr="00AC5818">
        <w:trPr>
          <w:trHeight w:val="384"/>
        </w:trPr>
        <w:tc>
          <w:tcPr>
            <w:tcW w:w="285" w:type="pct"/>
            <w:vMerge w:val="restart"/>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2B56610"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lastRenderedPageBreak/>
              <w:t>工作基础保障</w:t>
            </w: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241943B0"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加强队伍建设和人才培训，建立高素质专业化网络市场与监管服务队伍。（2分）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78468289"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3B6438C1" w14:textId="77777777" w:rsidTr="00AC5818">
        <w:trPr>
          <w:trHeight w:val="768"/>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D558CE4"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60B00F7"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加大投入，完善网络市场监管与服务财政和物资保障。（2分）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6F30BA33"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659991BB" w14:textId="77777777" w:rsidTr="00AC5818">
        <w:trPr>
          <w:trHeight w:val="768"/>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0EE21244"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11E37F7E"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强化信息基础支撑，完善网络市场监管与服务信息化保障。（2分）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F9EAE82"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2A2D8E6B" w14:textId="77777777" w:rsidTr="00AC5818">
        <w:trPr>
          <w:trHeight w:val="384"/>
        </w:trPr>
        <w:tc>
          <w:tcPr>
            <w:tcW w:w="285" w:type="pct"/>
            <w:vMerge/>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4F78B156" w14:textId="77777777" w:rsidR="0032233B" w:rsidRDefault="0032233B" w:rsidP="00AC5818">
            <w:pPr>
              <w:jc w:val="center"/>
              <w:rPr>
                <w:rFonts w:asciiTheme="minorEastAsia" w:hAnsiTheme="minorEastAsia" w:cstheme="minorEastAsia"/>
                <w:color w:val="000000"/>
              </w:rPr>
            </w:pPr>
          </w:p>
        </w:tc>
        <w:tc>
          <w:tcPr>
            <w:tcW w:w="4293" w:type="pct"/>
            <w:gridSpan w:val="3"/>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4381A7D" w14:textId="77777777" w:rsidR="0032233B" w:rsidRDefault="0032233B" w:rsidP="00AC5818">
            <w:pPr>
              <w:widowControl/>
              <w:ind w:leftChars="100" w:left="240"/>
              <w:jc w:val="left"/>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强化普法、宣传，营造良好社会氛围。（2分）</w:t>
            </w:r>
          </w:p>
        </w:tc>
        <w:tc>
          <w:tcPr>
            <w:tcW w:w="421" w:type="pct"/>
            <w:tcBorders>
              <w:top w:val="single" w:sz="4" w:space="0" w:color="000000"/>
              <w:left w:val="nil"/>
              <w:bottom w:val="single" w:sz="4" w:space="0" w:color="000000"/>
              <w:right w:val="single" w:sz="4" w:space="0" w:color="000000"/>
            </w:tcBorders>
            <w:shd w:val="clear" w:color="auto" w:fill="FFFFFF"/>
            <w:tcMar>
              <w:top w:w="12" w:type="dxa"/>
              <w:left w:w="12" w:type="dxa"/>
              <w:right w:w="12" w:type="dxa"/>
            </w:tcMar>
            <w:vAlign w:val="center"/>
          </w:tcPr>
          <w:p w14:paraId="575D1CFA" w14:textId="77777777" w:rsidR="0032233B" w:rsidRDefault="0032233B" w:rsidP="00AC5818">
            <w:pPr>
              <w:widowControl/>
              <w:jc w:val="center"/>
              <w:textAlignment w:val="center"/>
              <w:rPr>
                <w:rFonts w:asciiTheme="minorEastAsia" w:hAnsiTheme="minorEastAsia" w:cstheme="minorEastAsia"/>
                <w:color w:val="000000"/>
              </w:rPr>
            </w:pPr>
            <w:r>
              <w:rPr>
                <w:rFonts w:asciiTheme="minorEastAsia" w:hAnsiTheme="minorEastAsia" w:cstheme="minorEastAsia" w:hint="eastAsia"/>
                <w:color w:val="000000"/>
                <w:kern w:val="0"/>
                <w:lang w:bidi="ar"/>
              </w:rPr>
              <w:t>2</w:t>
            </w:r>
          </w:p>
        </w:tc>
      </w:tr>
      <w:tr w:rsidR="0032233B" w14:paraId="6EDB3AA6" w14:textId="77777777" w:rsidTr="00AC5818">
        <w:trPr>
          <w:trHeight w:val="611"/>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30BD726B" w14:textId="77777777" w:rsidR="0032233B" w:rsidRDefault="0032233B" w:rsidP="00AC5818">
            <w:pPr>
              <w:widowControl/>
              <w:tabs>
                <w:tab w:val="left" w:pos="437"/>
              </w:tabs>
              <w:ind w:firstLineChars="100" w:firstLine="240"/>
              <w:jc w:val="left"/>
              <w:textAlignment w:val="center"/>
              <w:rPr>
                <w:rFonts w:asciiTheme="minorEastAsia" w:hAnsiTheme="minorEastAsia" w:cstheme="minorEastAsia"/>
                <w:color w:val="000000"/>
                <w:kern w:val="0"/>
                <w:lang w:bidi="ar"/>
              </w:rPr>
            </w:pPr>
            <w:r>
              <w:t>总分</w:t>
            </w:r>
            <w:r>
              <w:rPr>
                <w:rFonts w:hint="eastAsia"/>
              </w:rPr>
              <w:t>：90</w:t>
            </w:r>
            <w:r>
              <w:t>分(</w:t>
            </w:r>
            <w:r>
              <w:rPr>
                <w:sz w:val="18"/>
                <w:szCs w:val="18"/>
              </w:rPr>
              <w:t>促进发展</w:t>
            </w:r>
            <w:r>
              <w:rPr>
                <w:rFonts w:hint="eastAsia"/>
                <w:sz w:val="18"/>
                <w:szCs w:val="18"/>
              </w:rPr>
              <w:t>17</w:t>
            </w:r>
            <w:r>
              <w:rPr>
                <w:sz w:val="18"/>
                <w:szCs w:val="18"/>
              </w:rPr>
              <w:t>分，规范监督</w:t>
            </w:r>
            <w:r>
              <w:rPr>
                <w:rFonts w:hint="eastAsia"/>
                <w:sz w:val="18"/>
                <w:szCs w:val="18"/>
              </w:rPr>
              <w:t>25</w:t>
            </w:r>
            <w:r>
              <w:rPr>
                <w:sz w:val="18"/>
                <w:szCs w:val="18"/>
              </w:rPr>
              <w:t>分，优化服务</w:t>
            </w:r>
            <w:r>
              <w:rPr>
                <w:rFonts w:hint="eastAsia"/>
                <w:sz w:val="18"/>
                <w:szCs w:val="18"/>
              </w:rPr>
              <w:t>18</w:t>
            </w:r>
            <w:r>
              <w:rPr>
                <w:sz w:val="18"/>
                <w:szCs w:val="18"/>
              </w:rPr>
              <w:t>分，探索创新</w:t>
            </w:r>
            <w:r>
              <w:rPr>
                <w:rFonts w:hint="eastAsia"/>
                <w:sz w:val="18"/>
                <w:szCs w:val="18"/>
              </w:rPr>
              <w:t>2</w:t>
            </w:r>
            <w:r>
              <w:rPr>
                <w:sz w:val="18"/>
                <w:szCs w:val="18"/>
              </w:rPr>
              <w:t>0分，综合保障</w:t>
            </w:r>
            <w:r>
              <w:rPr>
                <w:rFonts w:hint="eastAsia"/>
                <w:sz w:val="18"/>
                <w:szCs w:val="18"/>
              </w:rPr>
              <w:t>15</w:t>
            </w:r>
            <w:r>
              <w:rPr>
                <w:sz w:val="18"/>
                <w:szCs w:val="18"/>
              </w:rPr>
              <w:t>分</w:t>
            </w:r>
            <w:r>
              <w:t>)</w:t>
            </w:r>
          </w:p>
        </w:tc>
      </w:tr>
      <w:tr w:rsidR="0032233B" w14:paraId="41267633" w14:textId="77777777" w:rsidTr="00AC5818">
        <w:trPr>
          <w:trHeight w:val="592"/>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right w:w="12" w:type="dxa"/>
            </w:tcMar>
            <w:vAlign w:val="center"/>
          </w:tcPr>
          <w:p w14:paraId="6B65F2F4" w14:textId="77777777" w:rsidR="0032233B" w:rsidRDefault="0032233B" w:rsidP="00AC5818">
            <w:pPr>
              <w:widowControl/>
              <w:ind w:firstLineChars="100" w:firstLine="240"/>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评估结果：评估通过</w:t>
            </w:r>
          </w:p>
        </w:tc>
      </w:tr>
      <w:tr w:rsidR="0032233B" w14:paraId="44DEF225" w14:textId="77777777" w:rsidTr="00AC5818">
        <w:trPr>
          <w:trHeight w:val="1410"/>
        </w:trPr>
        <w:tc>
          <w:tcPr>
            <w:tcW w:w="5000" w:type="pct"/>
            <w:gridSpan w:val="5"/>
            <w:tcBorders>
              <w:top w:val="single" w:sz="4" w:space="0" w:color="000000"/>
              <w:left w:val="single" w:sz="4" w:space="0" w:color="000000"/>
              <w:bottom w:val="nil"/>
              <w:right w:val="single" w:sz="4" w:space="0" w:color="000000"/>
            </w:tcBorders>
            <w:shd w:val="clear" w:color="auto" w:fill="FFFFFF"/>
            <w:tcMar>
              <w:top w:w="12" w:type="dxa"/>
              <w:left w:w="12" w:type="dxa"/>
              <w:right w:w="12" w:type="dxa"/>
            </w:tcMar>
            <w:vAlign w:val="center"/>
          </w:tcPr>
          <w:p w14:paraId="7B914A3B" w14:textId="77777777" w:rsidR="0032233B" w:rsidRDefault="0032233B" w:rsidP="00AC5818">
            <w:pPr>
              <w:widowControl/>
              <w:tabs>
                <w:tab w:val="left" w:pos="437"/>
              </w:tabs>
              <w:ind w:firstLineChars="100" w:firstLine="240"/>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评估意见：</w:t>
            </w:r>
          </w:p>
          <w:p w14:paraId="0FD9B31F" w14:textId="77777777" w:rsidR="0032233B" w:rsidRDefault="0032233B" w:rsidP="00AC5818">
            <w:pPr>
              <w:widowControl/>
              <w:tabs>
                <w:tab w:val="left" w:pos="437"/>
              </w:tabs>
              <w:ind w:firstLineChars="300" w:firstLine="720"/>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各项指标完成良好，通过。</w:t>
            </w:r>
          </w:p>
          <w:p w14:paraId="2DB95F24" w14:textId="77777777" w:rsidR="0032233B" w:rsidRDefault="0032233B" w:rsidP="00AC5818">
            <w:pPr>
              <w:widowControl/>
              <w:tabs>
                <w:tab w:val="left" w:pos="437"/>
              </w:tabs>
              <w:ind w:firstLineChars="300" w:firstLine="720"/>
              <w:jc w:val="left"/>
              <w:textAlignment w:val="center"/>
              <w:rPr>
                <w:rFonts w:asciiTheme="minorEastAsia" w:hAnsiTheme="minorEastAsia" w:cstheme="minorEastAsia"/>
                <w:color w:val="000000"/>
                <w:kern w:val="0"/>
                <w:lang w:bidi="ar"/>
              </w:rPr>
            </w:pPr>
          </w:p>
          <w:p w14:paraId="3B83A85E" w14:textId="77777777" w:rsidR="0032233B" w:rsidRDefault="0032233B" w:rsidP="00AC5818">
            <w:pPr>
              <w:widowControl/>
              <w:tabs>
                <w:tab w:val="left" w:pos="437"/>
              </w:tabs>
              <w:jc w:val="left"/>
              <w:textAlignment w:val="center"/>
              <w:rPr>
                <w:rFonts w:asciiTheme="minorEastAsia" w:hAnsiTheme="minorEastAsia" w:cstheme="minorEastAsia"/>
                <w:color w:val="000000"/>
                <w:kern w:val="0"/>
                <w:lang w:bidi="ar"/>
              </w:rPr>
            </w:pPr>
          </w:p>
        </w:tc>
      </w:tr>
      <w:tr w:rsidR="0032233B" w14:paraId="208C4BBA" w14:textId="77777777" w:rsidTr="00AC5818">
        <w:trPr>
          <w:trHeight w:val="384"/>
        </w:trPr>
        <w:tc>
          <w:tcPr>
            <w:tcW w:w="3428" w:type="pct"/>
            <w:gridSpan w:val="2"/>
            <w:tcBorders>
              <w:top w:val="nil"/>
              <w:left w:val="single" w:sz="4" w:space="0" w:color="auto"/>
              <w:bottom w:val="nil"/>
              <w:right w:val="nil"/>
            </w:tcBorders>
            <w:shd w:val="clear" w:color="auto" w:fill="FFFFFF"/>
            <w:tcMar>
              <w:top w:w="12" w:type="dxa"/>
              <w:left w:w="12" w:type="dxa"/>
              <w:right w:w="12" w:type="dxa"/>
            </w:tcMar>
            <w:vAlign w:val="center"/>
          </w:tcPr>
          <w:p w14:paraId="37FC40AC" w14:textId="77777777" w:rsidR="0032233B" w:rsidRDefault="0032233B" w:rsidP="00AC5818">
            <w:pPr>
              <w:widowControl/>
              <w:tabs>
                <w:tab w:val="left" w:pos="437"/>
              </w:tabs>
              <w:jc w:val="right"/>
              <w:textAlignment w:val="center"/>
              <w:rPr>
                <w:rFonts w:asciiTheme="minorEastAsia" w:hAnsiTheme="minorEastAsia" w:cstheme="minorEastAsia"/>
                <w:color w:val="000000"/>
                <w:kern w:val="0"/>
                <w:lang w:bidi="ar"/>
              </w:rPr>
            </w:pPr>
          </w:p>
        </w:tc>
        <w:tc>
          <w:tcPr>
            <w:tcW w:w="1571" w:type="pct"/>
            <w:gridSpan w:val="3"/>
            <w:tcBorders>
              <w:top w:val="nil"/>
              <w:left w:val="nil"/>
              <w:bottom w:val="nil"/>
              <w:right w:val="single" w:sz="4" w:space="0" w:color="auto"/>
            </w:tcBorders>
            <w:shd w:val="clear" w:color="auto" w:fill="FFFFFF"/>
            <w:tcMar>
              <w:top w:w="12" w:type="dxa"/>
              <w:left w:w="12" w:type="dxa"/>
              <w:right w:w="12" w:type="dxa"/>
            </w:tcMar>
            <w:vAlign w:val="center"/>
          </w:tcPr>
          <w:p w14:paraId="6349C80B" w14:textId="77777777" w:rsidR="0032233B" w:rsidRDefault="0032233B" w:rsidP="00AC5818">
            <w:pPr>
              <w:widowControl/>
              <w:tabs>
                <w:tab w:val="left" w:pos="203"/>
                <w:tab w:val="left" w:pos="437"/>
              </w:tabs>
              <w:jc w:val="left"/>
              <w:textAlignment w:val="center"/>
              <w:rPr>
                <w:rFonts w:asciiTheme="minorEastAsia" w:hAnsiTheme="minorEastAsia" w:cstheme="minorEastAsia"/>
                <w:color w:val="000000"/>
                <w:kern w:val="0"/>
                <w:lang w:bidi="ar"/>
              </w:rPr>
            </w:pPr>
            <w:r>
              <w:rPr>
                <w:noProof/>
              </w:rPr>
              <w:drawing>
                <wp:anchor distT="0" distB="0" distL="114300" distR="114300" simplePos="0" relativeHeight="251659264" behindDoc="1" locked="0" layoutInCell="1" allowOverlap="1" wp14:anchorId="1E5EFF65" wp14:editId="3D78939E">
                  <wp:simplePos x="0" y="0"/>
                  <wp:positionH relativeFrom="column">
                    <wp:posOffset>245745</wp:posOffset>
                  </wp:positionH>
                  <wp:positionV relativeFrom="paragraph">
                    <wp:posOffset>-635</wp:posOffset>
                  </wp:positionV>
                  <wp:extent cx="1173480" cy="373380"/>
                  <wp:effectExtent l="0" t="0" r="0" b="7620"/>
                  <wp:wrapTight wrapText="bothSides">
                    <wp:wrapPolygon edited="0">
                      <wp:start x="0" y="0"/>
                      <wp:lineTo x="0" y="21159"/>
                      <wp:lineTo x="21319" y="21159"/>
                      <wp:lineTo x="21319"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173480" cy="373380"/>
                          </a:xfrm>
                          <a:prstGeom prst="rect">
                            <a:avLst/>
                          </a:prstGeom>
                          <a:noFill/>
                          <a:ln>
                            <a:noFill/>
                          </a:ln>
                        </pic:spPr>
                      </pic:pic>
                    </a:graphicData>
                  </a:graphic>
                </wp:anchor>
              </w:drawing>
            </w:r>
          </w:p>
        </w:tc>
      </w:tr>
      <w:tr w:rsidR="0032233B" w14:paraId="013543E9" w14:textId="77777777" w:rsidTr="00AC5818">
        <w:trPr>
          <w:trHeight w:val="384"/>
        </w:trPr>
        <w:tc>
          <w:tcPr>
            <w:tcW w:w="3590" w:type="pct"/>
            <w:gridSpan w:val="3"/>
            <w:tcBorders>
              <w:top w:val="nil"/>
              <w:left w:val="single" w:sz="4" w:space="0" w:color="auto"/>
              <w:bottom w:val="nil"/>
              <w:right w:val="nil"/>
            </w:tcBorders>
            <w:shd w:val="clear" w:color="auto" w:fill="FFFFFF"/>
            <w:tcMar>
              <w:top w:w="12" w:type="dxa"/>
              <w:left w:w="12" w:type="dxa"/>
              <w:right w:w="12" w:type="dxa"/>
            </w:tcMar>
            <w:vAlign w:val="center"/>
          </w:tcPr>
          <w:p w14:paraId="4141F078" w14:textId="77777777" w:rsidR="0032233B" w:rsidRDefault="0032233B" w:rsidP="00AC5818">
            <w:pPr>
              <w:widowControl/>
              <w:tabs>
                <w:tab w:val="left" w:pos="437"/>
              </w:tabs>
              <w:jc w:val="righ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评估人员：</w:t>
            </w:r>
          </w:p>
        </w:tc>
        <w:tc>
          <w:tcPr>
            <w:tcW w:w="1409" w:type="pct"/>
            <w:gridSpan w:val="2"/>
            <w:tcBorders>
              <w:top w:val="nil"/>
              <w:left w:val="nil"/>
              <w:bottom w:val="nil"/>
              <w:right w:val="single" w:sz="4" w:space="0" w:color="auto"/>
            </w:tcBorders>
            <w:shd w:val="clear" w:color="auto" w:fill="FFFFFF"/>
            <w:tcMar>
              <w:top w:w="12" w:type="dxa"/>
              <w:left w:w="12" w:type="dxa"/>
              <w:right w:w="12" w:type="dxa"/>
            </w:tcMar>
            <w:vAlign w:val="bottom"/>
          </w:tcPr>
          <w:p w14:paraId="19B2F387" w14:textId="77777777" w:rsidR="0032233B" w:rsidRDefault="0032233B" w:rsidP="00AC5818">
            <w:pPr>
              <w:widowControl/>
              <w:tabs>
                <w:tab w:val="left" w:pos="203"/>
                <w:tab w:val="left" w:pos="437"/>
              </w:tabs>
              <w:jc w:val="lef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周舟舟</w:t>
            </w:r>
            <w:r>
              <w:rPr>
                <w:rFonts w:asciiTheme="minorEastAsia" w:hAnsiTheme="minorEastAsia" w:cstheme="minorEastAsia" w:hint="eastAsia"/>
                <w:color w:val="000000"/>
                <w:kern w:val="0"/>
                <w:lang w:bidi="ar"/>
              </w:rPr>
              <w:tab/>
            </w:r>
          </w:p>
        </w:tc>
      </w:tr>
      <w:tr w:rsidR="0032233B" w14:paraId="3FE261BE" w14:textId="77777777" w:rsidTr="00AC5818">
        <w:trPr>
          <w:trHeight w:val="384"/>
        </w:trPr>
        <w:tc>
          <w:tcPr>
            <w:tcW w:w="3590" w:type="pct"/>
            <w:gridSpan w:val="3"/>
            <w:tcBorders>
              <w:top w:val="nil"/>
              <w:left w:val="single" w:sz="4" w:space="0" w:color="auto"/>
              <w:bottom w:val="single" w:sz="4" w:space="0" w:color="auto"/>
              <w:right w:val="nil"/>
            </w:tcBorders>
            <w:shd w:val="clear" w:color="auto" w:fill="FFFFFF"/>
            <w:tcMar>
              <w:top w:w="12" w:type="dxa"/>
              <w:left w:w="12" w:type="dxa"/>
              <w:right w:w="12" w:type="dxa"/>
            </w:tcMar>
            <w:vAlign w:val="center"/>
          </w:tcPr>
          <w:p w14:paraId="737AE828" w14:textId="77777777" w:rsidR="0032233B" w:rsidRDefault="0032233B" w:rsidP="00AC5818">
            <w:pPr>
              <w:widowControl/>
              <w:tabs>
                <w:tab w:val="left" w:pos="437"/>
              </w:tabs>
              <w:jc w:val="right"/>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评估日期：</w:t>
            </w:r>
          </w:p>
        </w:tc>
        <w:tc>
          <w:tcPr>
            <w:tcW w:w="1409" w:type="pct"/>
            <w:gridSpan w:val="2"/>
            <w:tcBorders>
              <w:top w:val="nil"/>
              <w:left w:val="nil"/>
              <w:bottom w:val="single" w:sz="4" w:space="0" w:color="auto"/>
              <w:right w:val="single" w:sz="4" w:space="0" w:color="auto"/>
            </w:tcBorders>
            <w:shd w:val="clear" w:color="auto" w:fill="FFFFFF"/>
            <w:tcMar>
              <w:top w:w="12" w:type="dxa"/>
              <w:left w:w="12" w:type="dxa"/>
              <w:right w:w="12" w:type="dxa"/>
            </w:tcMar>
            <w:vAlign w:val="center"/>
          </w:tcPr>
          <w:p w14:paraId="4D292E4F" w14:textId="77777777" w:rsidR="0032233B" w:rsidRDefault="0032233B" w:rsidP="00AC5818">
            <w:pPr>
              <w:widowControl/>
              <w:tabs>
                <w:tab w:val="left" w:pos="437"/>
              </w:tabs>
              <w:textAlignment w:val="center"/>
              <w:rPr>
                <w:rFonts w:asciiTheme="minorEastAsia" w:hAnsiTheme="minorEastAsia" w:cstheme="minorEastAsia"/>
                <w:color w:val="000000"/>
                <w:kern w:val="0"/>
                <w:lang w:bidi="ar"/>
              </w:rPr>
            </w:pPr>
            <w:r>
              <w:rPr>
                <w:rFonts w:asciiTheme="minorEastAsia" w:hAnsiTheme="minorEastAsia" w:cstheme="minorEastAsia" w:hint="eastAsia"/>
                <w:color w:val="000000"/>
                <w:kern w:val="0"/>
                <w:lang w:bidi="ar"/>
              </w:rPr>
              <w:t>2020年04月01日</w:t>
            </w:r>
          </w:p>
        </w:tc>
      </w:tr>
    </w:tbl>
    <w:p w14:paraId="6ACC9614" w14:textId="77777777" w:rsidR="0032233B" w:rsidRDefault="0032233B" w:rsidP="0032233B"/>
    <w:p w14:paraId="45A67839" w14:textId="77777777" w:rsidR="0032233B" w:rsidRDefault="0032233B" w:rsidP="0032233B"/>
    <w:p w14:paraId="7FFFFF2C" w14:textId="1C5A5749" w:rsidR="006E01FC" w:rsidRPr="006E01FC" w:rsidRDefault="006E01FC" w:rsidP="006E01FC">
      <w:pPr>
        <w:rPr>
          <w:rFonts w:hint="eastAsia"/>
        </w:rPr>
      </w:pPr>
      <w:r>
        <w:rPr>
          <w:rFonts w:hint="eastAsia"/>
        </w:rPr>
        <w:t>{</w:t>
      </w:r>
      <w:r>
        <w:t>{</w:t>
      </w:r>
      <w:r>
        <w:t>/</w:t>
      </w:r>
      <w:r>
        <w:t>list}}</w:t>
      </w:r>
    </w:p>
    <w:p w14:paraId="39F25F99" w14:textId="4173513A" w:rsidR="0032233B" w:rsidRDefault="0032233B"/>
    <w:sectPr w:rsidR="00322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3B"/>
    <w:rsid w:val="00290105"/>
    <w:rsid w:val="0032233B"/>
    <w:rsid w:val="006E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B546"/>
  <w15:chartTrackingRefBased/>
  <w15:docId w15:val="{3ED59B3A-FB3A-BC45-810E-1B80B3FF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33B"/>
    <w:pPr>
      <w:widowControl w:val="0"/>
      <w:spacing w:line="360" w:lineRule="auto"/>
      <w:jc w:val="both"/>
    </w:pPr>
    <w:rPr>
      <w:sz w:val="24"/>
    </w:rPr>
  </w:style>
  <w:style w:type="paragraph" w:styleId="2">
    <w:name w:val="heading 2"/>
    <w:basedOn w:val="a"/>
    <w:next w:val="a"/>
    <w:link w:val="20"/>
    <w:unhideWhenUsed/>
    <w:qFormat/>
    <w:rsid w:val="0032233B"/>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32233B"/>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yadong</dc:creator>
  <cp:keywords/>
  <dc:description/>
  <cp:lastModifiedBy>feng yadong</cp:lastModifiedBy>
  <cp:revision>3</cp:revision>
  <dcterms:created xsi:type="dcterms:W3CDTF">2022-04-07T09:29:00Z</dcterms:created>
  <dcterms:modified xsi:type="dcterms:W3CDTF">2022-04-13T03:07:00Z</dcterms:modified>
</cp:coreProperties>
</file>