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74B325">
      <w:pPr>
        <w:pStyle w:val="2"/>
        <w:bidi w:val="0"/>
        <w:jc w:val="center"/>
        <w:rPr>
          <w:rFonts w:hint="eastAsia"/>
        </w:rPr>
      </w:pPr>
    </w:p>
    <w:p w14:paraId="167A8D21">
      <w:pPr>
        <w:pStyle w:val="2"/>
        <w:bidi w:val="0"/>
        <w:jc w:val="center"/>
        <w:rPr>
          <w:rFonts w:hint="eastAsia"/>
        </w:rPr>
      </w:pPr>
    </w:p>
    <w:p w14:paraId="74100C83">
      <w:pPr>
        <w:pStyle w:val="2"/>
        <w:bidi w:val="0"/>
        <w:jc w:val="center"/>
        <w:rPr>
          <w:rFonts w:hint="eastAsia"/>
        </w:rPr>
      </w:pPr>
      <w:r>
        <w:rPr>
          <w:rFonts w:hint="eastAsia"/>
          <w:lang w:val="en-US" w:eastAsia="zh-CN"/>
        </w:rPr>
        <w:t>关于</w:t>
      </w:r>
      <w:r>
        <w:rPr>
          <w:rFonts w:hint="eastAsia"/>
        </w:rPr>
        <w:t>软件铅封需求说明书</w:t>
      </w:r>
    </w:p>
    <w:p w14:paraId="1496FF44">
      <w:pPr>
        <w:rPr>
          <w:rFonts w:hint="eastAsia"/>
        </w:rPr>
      </w:pPr>
    </w:p>
    <w:p w14:paraId="341239AC">
      <w:pPr>
        <w:rPr>
          <w:rFonts w:hint="eastAsia"/>
        </w:rPr>
      </w:pPr>
    </w:p>
    <w:p w14:paraId="362F11D8">
      <w:pPr>
        <w:rPr>
          <w:rFonts w:hint="eastAsia"/>
        </w:rPr>
      </w:pPr>
    </w:p>
    <w:p w14:paraId="5FB57077">
      <w:pPr>
        <w:rPr>
          <w:rFonts w:hint="eastAsia"/>
        </w:rPr>
      </w:pPr>
    </w:p>
    <w:p w14:paraId="22127BBE">
      <w:pPr>
        <w:rPr>
          <w:rFonts w:hint="eastAsia"/>
        </w:rPr>
      </w:pPr>
    </w:p>
    <w:p w14:paraId="0900816F">
      <w:pPr>
        <w:rPr>
          <w:rFonts w:hint="eastAsia"/>
        </w:rPr>
      </w:pPr>
    </w:p>
    <w:p w14:paraId="1737881D">
      <w:pPr>
        <w:rPr>
          <w:rFonts w:hint="eastAsia"/>
        </w:rPr>
      </w:pPr>
    </w:p>
    <w:p w14:paraId="20F91158">
      <w:pPr>
        <w:rPr>
          <w:rFonts w:hint="eastAsia"/>
        </w:rPr>
      </w:pPr>
    </w:p>
    <w:p w14:paraId="1854CDA5">
      <w:pPr>
        <w:rPr>
          <w:rFonts w:hint="eastAsia"/>
        </w:rPr>
      </w:pPr>
    </w:p>
    <w:p w14:paraId="38AE8513">
      <w:pPr>
        <w:rPr>
          <w:rFonts w:hint="eastAsia"/>
        </w:rPr>
      </w:pPr>
    </w:p>
    <w:p w14:paraId="0A6D8148">
      <w:pPr>
        <w:rPr>
          <w:rFonts w:hint="eastAsia"/>
        </w:rPr>
      </w:pPr>
    </w:p>
    <w:p w14:paraId="0D8BBFD2">
      <w:pPr>
        <w:rPr>
          <w:rFonts w:hint="eastAsia"/>
        </w:rPr>
      </w:pPr>
    </w:p>
    <w:p w14:paraId="401A946C">
      <w:pPr>
        <w:rPr>
          <w:rFonts w:hint="eastAsia"/>
        </w:rPr>
      </w:pPr>
    </w:p>
    <w:p w14:paraId="2C59A564">
      <w:pPr>
        <w:rPr>
          <w:rFonts w:hint="eastAsia"/>
        </w:rPr>
      </w:pPr>
    </w:p>
    <w:p w14:paraId="4184140D">
      <w:pPr>
        <w:rPr>
          <w:rFonts w:hint="eastAsia"/>
        </w:rPr>
      </w:pPr>
    </w:p>
    <w:p w14:paraId="50112817">
      <w:pPr>
        <w:rPr>
          <w:rFonts w:hint="eastAsia"/>
        </w:rPr>
      </w:pPr>
    </w:p>
    <w:p w14:paraId="079B151E">
      <w:pPr>
        <w:rPr>
          <w:rFonts w:hint="eastAsia"/>
        </w:rPr>
      </w:pPr>
    </w:p>
    <w:p w14:paraId="7C37672C">
      <w:pPr>
        <w:rPr>
          <w:rFonts w:hint="eastAsia"/>
        </w:rPr>
      </w:pPr>
    </w:p>
    <w:p w14:paraId="21E2D890">
      <w:pPr>
        <w:rPr>
          <w:rFonts w:hint="eastAsia"/>
        </w:rPr>
      </w:pPr>
    </w:p>
    <w:p w14:paraId="705F93FC">
      <w:pPr>
        <w:rPr>
          <w:rFonts w:hint="eastAsia"/>
        </w:rPr>
      </w:pPr>
    </w:p>
    <w:p w14:paraId="255DF21E">
      <w:pPr>
        <w:rPr>
          <w:rFonts w:hint="eastAsia"/>
        </w:rPr>
      </w:pPr>
    </w:p>
    <w:p w14:paraId="79616EE6">
      <w:pPr>
        <w:rPr>
          <w:rFonts w:hint="eastAsia"/>
        </w:rPr>
      </w:pPr>
    </w:p>
    <w:p w14:paraId="61BECD41">
      <w:pPr>
        <w:rPr>
          <w:rFonts w:hint="eastAsia"/>
        </w:rPr>
      </w:pPr>
    </w:p>
    <w:p w14:paraId="3888DB43">
      <w:pPr>
        <w:ind w:left="5040" w:leftChars="0" w:firstLine="420" w:firstLineChars="0"/>
        <w:rPr>
          <w:b/>
        </w:rPr>
      </w:pPr>
    </w:p>
    <w:p w14:paraId="1F49FFBB">
      <w:pPr>
        <w:ind w:left="5040" w:leftChars="0" w:firstLine="420" w:firstLineChars="0"/>
        <w:rPr>
          <w:b/>
        </w:rPr>
      </w:pPr>
    </w:p>
    <w:p w14:paraId="0BB65BC6">
      <w:pPr>
        <w:ind w:left="5040" w:leftChars="0" w:firstLine="420" w:firstLineChars="0"/>
        <w:rPr>
          <w:b/>
        </w:rPr>
      </w:pPr>
    </w:p>
    <w:p w14:paraId="5A45D477">
      <w:pPr>
        <w:ind w:left="5040" w:leftChars="0" w:firstLine="420" w:firstLineChars="0"/>
        <w:rPr>
          <w:b/>
        </w:rPr>
      </w:pPr>
    </w:p>
    <w:p w14:paraId="52452C6A">
      <w:pPr>
        <w:ind w:left="5040" w:leftChars="0" w:firstLine="420" w:firstLineChars="0"/>
        <w:rPr>
          <w:rFonts w:hint="default" w:eastAsiaTheme="minorEastAsia"/>
          <w:lang w:val="en-US" w:eastAsia="zh-CN"/>
        </w:rPr>
      </w:pPr>
      <w:r>
        <w:rPr>
          <w:b/>
        </w:rPr>
        <w:t>版本</w:t>
      </w:r>
      <w:r>
        <w:rPr>
          <w:rFonts w:hint="eastAsia"/>
          <w:b/>
          <w:lang w:eastAsia="zh-CN"/>
        </w:rPr>
        <w:t>：</w:t>
      </w:r>
      <w:r>
        <w:rPr>
          <w:rFonts w:hint="eastAsia"/>
          <w:b/>
          <w:lang w:val="en-US" w:eastAsia="zh-CN"/>
        </w:rPr>
        <w:t xml:space="preserve"> 1.00</w:t>
      </w:r>
    </w:p>
    <w:p w14:paraId="55619C63">
      <w:pPr>
        <w:widowControl w:val="0"/>
        <w:ind w:left="5040" w:leftChars="0" w:firstLine="420" w:firstLineChars="0"/>
        <w:jc w:val="both"/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</w:pPr>
      <w:r>
        <w:rPr>
          <w:rFonts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发布日期：2026-01-06</w:t>
      </w:r>
    </w:p>
    <w:p w14:paraId="1F73ADD7">
      <w:pPr>
        <w:rPr>
          <w:rFonts w:hint="eastAsia"/>
        </w:rPr>
      </w:pPr>
      <w:r>
        <w:rPr>
          <w:rFonts w:hint="eastAsia"/>
        </w:rPr>
        <w:br w:type="page"/>
      </w:r>
    </w:p>
    <w:p w14:paraId="680CD76A">
      <w:pPr>
        <w:pStyle w:val="3"/>
        <w:bidi w:val="0"/>
        <w:rPr>
          <w:rFonts w:hint="eastAsia"/>
        </w:rPr>
      </w:pPr>
      <w:r>
        <w:rPr>
          <w:rFonts w:hint="eastAsia"/>
        </w:rPr>
        <w:t>1. 引言</w:t>
      </w:r>
    </w:p>
    <w:p w14:paraId="0843AEC3">
      <w:pPr>
        <w:pStyle w:val="4"/>
        <w:bidi w:val="0"/>
        <w:rPr>
          <w:rFonts w:hint="eastAsia"/>
        </w:rPr>
      </w:pPr>
      <w:r>
        <w:rPr>
          <w:rFonts w:hint="eastAsia"/>
        </w:rPr>
        <w:t>1.1 目的</w:t>
      </w:r>
    </w:p>
    <w:p w14:paraId="6916660B">
      <w:pPr>
        <w:rPr>
          <w:rFonts w:hint="eastAsia"/>
        </w:rPr>
      </w:pPr>
      <w:r>
        <w:rPr>
          <w:rFonts w:hint="eastAsia"/>
        </w:rPr>
        <w:t>本文档旨在定义软铅封功能的详细需求，作为T-Connect高级配置功能的子模块，实现对终端设备软件状态的管控，防止用户非法篡改。</w:t>
      </w:r>
    </w:p>
    <w:p w14:paraId="198D1065">
      <w:pPr>
        <w:rPr>
          <w:rFonts w:hint="eastAsia"/>
        </w:rPr>
      </w:pPr>
    </w:p>
    <w:p w14:paraId="79790C73">
      <w:pPr>
        <w:pStyle w:val="4"/>
        <w:bidi w:val="0"/>
        <w:rPr>
          <w:rFonts w:hint="eastAsia"/>
        </w:rPr>
      </w:pPr>
      <w:r>
        <w:rPr>
          <w:rFonts w:hint="eastAsia"/>
        </w:rPr>
        <w:t>1.2 范围</w:t>
      </w:r>
    </w:p>
    <w:p w14:paraId="514120C7">
      <w:pPr>
        <w:rPr>
          <w:rFonts w:hint="eastAsia"/>
        </w:rPr>
      </w:pPr>
      <w:r>
        <w:rPr>
          <w:rFonts w:hint="eastAsia"/>
        </w:rPr>
        <w:t>本需求适用于</w:t>
      </w:r>
      <w:r>
        <w:rPr>
          <w:rFonts w:hint="eastAsia"/>
          <w:lang w:val="en-US" w:eastAsia="zh-CN"/>
        </w:rPr>
        <w:t>对接</w:t>
      </w:r>
      <w:r>
        <w:rPr>
          <w:rFonts w:hint="eastAsia"/>
        </w:rPr>
        <w:t>T-Connect系统的设备，涵盖软铅封的施加、验证、解锁、状态展示与操作日志记录等核心功能。</w:t>
      </w:r>
    </w:p>
    <w:p w14:paraId="5FCCA360">
      <w:pPr>
        <w:rPr>
          <w:rFonts w:hint="eastAsia"/>
        </w:rPr>
      </w:pPr>
    </w:p>
    <w:p w14:paraId="5BA212AA">
      <w:pPr>
        <w:pStyle w:val="4"/>
        <w:bidi w:val="0"/>
        <w:rPr>
          <w:rFonts w:hint="eastAsia"/>
        </w:rPr>
      </w:pPr>
      <w:r>
        <w:rPr>
          <w:rFonts w:hint="eastAsia"/>
        </w:rPr>
        <w:t>1.3 目标用户</w:t>
      </w:r>
    </w:p>
    <w:p w14:paraId="1B31D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购买T-Connect高级配置的用户。</w:t>
      </w:r>
    </w:p>
    <w:p w14:paraId="415E923B">
      <w:pPr>
        <w:pStyle w:val="3"/>
        <w:bidi w:val="0"/>
        <w:rPr>
          <w:rFonts w:hint="eastAsia"/>
          <w:b/>
        </w:rPr>
      </w:pPr>
      <w:r>
        <w:rPr>
          <w:rFonts w:hint="eastAsia"/>
          <w:b/>
        </w:rPr>
        <w:t>2. 功能概述</w:t>
      </w:r>
    </w:p>
    <w:p w14:paraId="7E6ED458">
      <w:pPr>
        <w:rPr>
          <w:rFonts w:hint="eastAsia"/>
        </w:rPr>
      </w:pPr>
      <w:r>
        <w:rPr>
          <w:rFonts w:hint="eastAsia"/>
        </w:rPr>
        <w:t>软铅封是T-Connect高级配置中的一项增值功能，按年授权收费，用于保护设备关键配置不被非法修改。</w:t>
      </w:r>
    </w:p>
    <w:p w14:paraId="3F62F46D">
      <w:pPr>
        <w:rPr>
          <w:rFonts w:hint="eastAsia"/>
        </w:rPr>
      </w:pPr>
      <w:r>
        <w:rPr>
          <w:rFonts w:hint="eastAsia"/>
        </w:rPr>
        <w:t>主要功能包括：</w:t>
      </w:r>
    </w:p>
    <w:p w14:paraId="260AA490">
      <w:pPr>
        <w:rPr>
          <w:rFonts w:hint="eastAsia"/>
        </w:rPr>
      </w:pPr>
      <w:r>
        <w:rPr>
          <w:rFonts w:hint="eastAsia"/>
        </w:rPr>
        <w:t>- 铅封状态展示与验证</w:t>
      </w:r>
    </w:p>
    <w:p w14:paraId="12CBF903">
      <w:pPr>
        <w:rPr>
          <w:rFonts w:hint="eastAsia"/>
        </w:rPr>
      </w:pPr>
      <w:r>
        <w:rPr>
          <w:rFonts w:hint="eastAsia"/>
        </w:rPr>
        <w:t>- 施加与解锁铅封</w:t>
      </w:r>
    </w:p>
    <w:p w14:paraId="123B21A5">
      <w:pPr>
        <w:rPr>
          <w:rFonts w:hint="eastAsia"/>
        </w:rPr>
      </w:pPr>
      <w:r>
        <w:rPr>
          <w:rFonts w:hint="eastAsia"/>
        </w:rPr>
        <w:t>- 操作日志记录</w:t>
      </w:r>
    </w:p>
    <w:p w14:paraId="4D2CBA13">
      <w:pPr>
        <w:rPr>
          <w:rFonts w:hint="eastAsia"/>
        </w:rPr>
      </w:pPr>
      <w:r>
        <w:rPr>
          <w:rFonts w:hint="eastAsia"/>
        </w:rPr>
        <w:t>- 与其他功能（如标定）的联动控制</w:t>
      </w:r>
    </w:p>
    <w:p w14:paraId="61C567BD">
      <w:pPr>
        <w:pStyle w:val="3"/>
        <w:bidi w:val="0"/>
        <w:rPr>
          <w:rFonts w:hint="eastAsia"/>
          <w:b/>
        </w:rPr>
      </w:pPr>
      <w:r>
        <w:rPr>
          <w:rFonts w:hint="eastAsia"/>
          <w:b/>
        </w:rPr>
        <w:t>3. 详细需求</w:t>
      </w:r>
    </w:p>
    <w:p w14:paraId="3C4E41F9">
      <w:pPr>
        <w:pStyle w:val="4"/>
        <w:bidi w:val="0"/>
        <w:rPr>
          <w:rFonts w:hint="eastAsia"/>
          <w:b/>
        </w:rPr>
      </w:pPr>
      <w:r>
        <w:rPr>
          <w:rFonts w:hint="eastAsia"/>
          <w:b/>
        </w:rPr>
        <w:t>3.1 界面与状态展示</w:t>
      </w:r>
    </w:p>
    <w:p w14:paraId="2D2A60E7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进入路径：</w:t>
      </w:r>
      <w:r>
        <w:rPr>
          <w:rFonts w:hint="eastAsia"/>
        </w:rPr>
        <w:t>在T-Connect高级配置模块中提供“软铅封”入口</w:t>
      </w:r>
      <w:r>
        <w:rPr>
          <w:rFonts w:hint="eastAsia"/>
          <w:lang w:eastAsia="zh-CN"/>
        </w:rPr>
        <w:t>；</w:t>
      </w:r>
    </w:p>
    <w:p w14:paraId="707BAA68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默认状态：</w:t>
      </w:r>
      <w:r>
        <w:rPr>
          <w:rFonts w:hint="eastAsia"/>
        </w:rPr>
        <w:t>进入铅封界面时，软铅封与硬铅封状态均显示为 “待验证”</w:t>
      </w:r>
      <w:r>
        <w:rPr>
          <w:rFonts w:hint="eastAsia"/>
          <w:lang w:eastAsia="zh-CN"/>
        </w:rPr>
        <w:t>；</w:t>
      </w:r>
    </w:p>
    <w:p w14:paraId="07761D32">
      <w:pPr>
        <w:numPr>
          <w:ilvl w:val="0"/>
          <w:numId w:val="1"/>
        </w:numPr>
        <w:ind w:left="42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状态类型</w:t>
      </w:r>
    </w:p>
    <w:p w14:paraId="6858CB21">
      <w:pPr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 已铅封：设备已施加铅封，处于锁定状态。</w:t>
      </w:r>
    </w:p>
    <w:p w14:paraId="45B9E4E9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未铅封：设备未施加铅封，可</w:t>
      </w:r>
      <w:r>
        <w:rPr>
          <w:rFonts w:hint="eastAsia"/>
          <w:lang w:val="en-US" w:eastAsia="zh-CN"/>
        </w:rPr>
        <w:t>对设备施加铅封</w:t>
      </w:r>
      <w:r>
        <w:rPr>
          <w:rFonts w:hint="eastAsia"/>
        </w:rPr>
        <w:t>。</w:t>
      </w:r>
    </w:p>
    <w:p w14:paraId="416D80C3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待验</w:t>
      </w:r>
      <w:r>
        <w:rPr>
          <w:rFonts w:hint="eastAsia"/>
          <w:lang w:val="en-US" w:eastAsia="zh-CN"/>
        </w:rPr>
        <w:t>证</w:t>
      </w:r>
      <w:r>
        <w:rPr>
          <w:rFonts w:hint="eastAsia"/>
        </w:rPr>
        <w:t>：铅封状态尚未确认，需用户主动验证。</w:t>
      </w:r>
    </w:p>
    <w:p w14:paraId="3E65F2B3">
      <w:pPr>
        <w:rPr>
          <w:rFonts w:hint="eastAsia"/>
        </w:rPr>
      </w:pPr>
    </w:p>
    <w:p w14:paraId="0B746047">
      <w:pPr>
        <w:pStyle w:val="4"/>
        <w:bidi w:val="0"/>
        <w:rPr>
          <w:rFonts w:hint="eastAsia"/>
          <w:b/>
        </w:rPr>
      </w:pPr>
      <w:r>
        <w:rPr>
          <w:rFonts w:hint="eastAsia"/>
          <w:b/>
        </w:rPr>
        <w:t>3.2 铅封状态验证</w:t>
      </w:r>
    </w:p>
    <w:p w14:paraId="2B5BEE98">
      <w:pPr>
        <w:rPr>
          <w:rFonts w:hint="eastAsia"/>
        </w:rPr>
      </w:pPr>
      <w:r>
        <w:rPr>
          <w:rFonts w:hint="eastAsia"/>
        </w:rPr>
        <w:t>用户点击 “检验铅封</w:t>
      </w:r>
      <w:r>
        <w:rPr>
          <w:rFonts w:hint="eastAsia"/>
          <w:lang w:eastAsia="zh-CN"/>
        </w:rPr>
        <w:t>”</w:t>
      </w:r>
      <w:r>
        <w:rPr>
          <w:rFonts w:hint="eastAsia"/>
        </w:rPr>
        <w:t xml:space="preserve"> 按钮后，系统应自动获取当前软硬铅封状态，并更新界面显示。</w:t>
      </w:r>
    </w:p>
    <w:p w14:paraId="1B1E24EB">
      <w:pPr>
        <w:rPr>
          <w:rFonts w:hint="eastAsia"/>
        </w:rPr>
      </w:pPr>
      <w:r>
        <w:rPr>
          <w:rFonts w:hint="eastAsia"/>
        </w:rPr>
        <w:t>- 状态更新后，界面应清晰显示：</w:t>
      </w:r>
    </w:p>
    <w:p w14:paraId="30D3C1F0">
      <w:pPr>
        <w:rPr>
          <w:rFonts w:hint="eastAsia"/>
        </w:rPr>
      </w:pPr>
      <w:r>
        <w:rPr>
          <w:rFonts w:hint="eastAsia"/>
        </w:rPr>
        <w:t xml:space="preserve">  - 软铅封状态</w:t>
      </w:r>
    </w:p>
    <w:p w14:paraId="3136BB5D">
      <w:pPr>
        <w:rPr>
          <w:rFonts w:hint="eastAsia"/>
        </w:rPr>
      </w:pPr>
      <w:r>
        <w:rPr>
          <w:rFonts w:hint="eastAsia"/>
        </w:rPr>
        <w:t xml:space="preserve">  - 硬铅封状态</w:t>
      </w:r>
    </w:p>
    <w:p w14:paraId="1D6CD3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如图：</w:t>
      </w:r>
    </w:p>
    <w:p w14:paraId="16794430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3265170"/>
            <wp:effectExtent l="0" t="0" r="635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6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1615D">
      <w:pPr>
        <w:rPr>
          <w:rFonts w:hint="eastAsia"/>
        </w:rPr>
      </w:pPr>
    </w:p>
    <w:p w14:paraId="75DD9477">
      <w:pPr>
        <w:pStyle w:val="4"/>
        <w:bidi w:val="0"/>
        <w:rPr>
          <w:rFonts w:hint="eastAsia"/>
          <w:b/>
        </w:rPr>
      </w:pPr>
      <w:r>
        <w:rPr>
          <w:rFonts w:hint="eastAsia"/>
          <w:b/>
        </w:rPr>
        <w:t>3.3 施加铅封</w:t>
      </w:r>
    </w:p>
    <w:p w14:paraId="1EBB489F">
      <w:pPr>
        <w:rPr>
          <w:rFonts w:hint="eastAsia"/>
        </w:rPr>
      </w:pPr>
      <w:r>
        <w:rPr>
          <w:rFonts w:hint="eastAsia"/>
        </w:rPr>
        <w:t>用户点击 “施加铅封”** 按钮：</w:t>
      </w:r>
    </w:p>
    <w:p w14:paraId="111CC6EF">
      <w:pPr>
        <w:rPr>
          <w:rFonts w:hint="eastAsia"/>
        </w:rPr>
      </w:pPr>
      <w:r>
        <w:rPr>
          <w:rFonts w:hint="eastAsia"/>
        </w:rPr>
        <w:t xml:space="preserve">  - 成功时，弹出提示：“施加成功”。</w:t>
      </w:r>
    </w:p>
    <w:p w14:paraId="08299DA0">
      <w:pPr>
        <w:rPr>
          <w:rFonts w:hint="eastAsia"/>
        </w:rPr>
      </w:pPr>
      <w:r>
        <w:rPr>
          <w:rFonts w:hint="eastAsia"/>
        </w:rPr>
        <w:t xml:space="preserve">  - 失败时，弹出提示：“施加失败”，并记录失败原因。</w:t>
      </w:r>
    </w:p>
    <w:p w14:paraId="365DDEC4">
      <w:pPr>
        <w:ind w:firstLine="210" w:firstLineChars="100"/>
        <w:rPr>
          <w:rFonts w:hint="eastAsia"/>
        </w:rPr>
      </w:pPr>
      <w:r>
        <w:rPr>
          <w:rFonts w:hint="eastAsia"/>
        </w:rPr>
        <w:t>- 施加成功后，铅封状态更新为 “已铅封”。</w:t>
      </w:r>
    </w:p>
    <w:p w14:paraId="457183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弹框如图：</w:t>
      </w:r>
    </w:p>
    <w:p w14:paraId="1BA6D7F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258060" cy="1719580"/>
            <wp:effectExtent l="0" t="0" r="8890" b="139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58060" cy="171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24550">
      <w:pPr>
        <w:rPr>
          <w:rFonts w:hint="eastAsia"/>
        </w:rPr>
      </w:pPr>
    </w:p>
    <w:p w14:paraId="5F1E7E92">
      <w:pPr>
        <w:pStyle w:val="4"/>
        <w:bidi w:val="0"/>
        <w:rPr>
          <w:rFonts w:hint="eastAsia"/>
          <w:b/>
        </w:rPr>
      </w:pPr>
      <w:r>
        <w:rPr>
          <w:rFonts w:hint="eastAsia"/>
          <w:b/>
        </w:rPr>
        <w:t>3.4 解锁铅封</w:t>
      </w:r>
    </w:p>
    <w:p w14:paraId="522BF332">
      <w:pPr>
        <w:rPr>
          <w:rFonts w:hint="eastAsia"/>
        </w:rPr>
      </w:pPr>
      <w:r>
        <w:rPr>
          <w:rFonts w:hint="eastAsia"/>
        </w:rPr>
        <w:t>用户点击“解锁铅封”** 按钮：</w:t>
      </w:r>
    </w:p>
    <w:p w14:paraId="39070402">
      <w:pPr>
        <w:rPr>
          <w:rFonts w:hint="eastAsia"/>
        </w:rPr>
      </w:pPr>
      <w:r>
        <w:rPr>
          <w:rFonts w:hint="eastAsia"/>
        </w:rPr>
        <w:t xml:space="preserve">  - 成功时，弹出提示：“解锁成功”。</w:t>
      </w:r>
    </w:p>
    <w:p w14:paraId="35A9EB1D">
      <w:pPr>
        <w:rPr>
          <w:rFonts w:hint="eastAsia"/>
        </w:rPr>
      </w:pPr>
      <w:r>
        <w:rPr>
          <w:rFonts w:hint="eastAsia"/>
        </w:rPr>
        <w:t xml:space="preserve">  - 失败时，弹出提示：“解锁失败，您可使用万能钥匙代码解锁”，并提供 “使用钥匙解锁” 按钮引导用户通过授权码解锁。</w:t>
      </w:r>
    </w:p>
    <w:p w14:paraId="149D2099">
      <w:pPr>
        <w:rPr>
          <w:rFonts w:hint="eastAsia"/>
        </w:rPr>
      </w:pPr>
      <w:r>
        <w:rPr>
          <w:rFonts w:hint="eastAsia"/>
        </w:rPr>
        <w:t>- 解锁成功后，铅封状态更新为 “未铅封”。</w:t>
      </w:r>
    </w:p>
    <w:p w14:paraId="318FF2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解锁成功弹框如图：</w:t>
      </w:r>
    </w:p>
    <w:p w14:paraId="18B3F9D3">
      <w:pPr>
        <w:rPr>
          <w:rFonts w:hint="eastAsia"/>
          <w:lang w:val="en-US" w:eastAsia="zh-CN"/>
        </w:rPr>
      </w:pPr>
    </w:p>
    <w:p w14:paraId="5E4269E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486660" cy="1809115"/>
            <wp:effectExtent l="0" t="0" r="889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660" cy="180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1FF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失败弹框如下图：</w:t>
      </w:r>
    </w:p>
    <w:p w14:paraId="4E1AEBBD">
      <w:pPr>
        <w:rPr>
          <w:rFonts w:hint="eastAsia"/>
          <w:lang w:val="en-US" w:eastAsia="zh-CN"/>
        </w:rPr>
      </w:pPr>
    </w:p>
    <w:p w14:paraId="56391FE3">
      <w:r>
        <w:drawing>
          <wp:inline distT="0" distB="0" distL="114300" distR="114300">
            <wp:extent cx="2338070" cy="1736090"/>
            <wp:effectExtent l="0" t="0" r="5080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8070" cy="173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A4149"/>
    <w:p w14:paraId="26BDE9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万能钥匙弹框如图：</w:t>
      </w:r>
    </w:p>
    <w:p w14:paraId="0F0C0B9B">
      <w:pPr>
        <w:rPr>
          <w:rFonts w:hint="eastAsia"/>
          <w:lang w:val="en-US" w:eastAsia="zh-CN"/>
        </w:rPr>
      </w:pPr>
    </w:p>
    <w:p w14:paraId="46CBCDD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507615" cy="1891030"/>
            <wp:effectExtent l="0" t="0" r="6985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07615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A27A7">
      <w:pPr>
        <w:rPr>
          <w:rFonts w:hint="eastAsia"/>
        </w:rPr>
      </w:pPr>
    </w:p>
    <w:p w14:paraId="1CF357E7">
      <w:pPr>
        <w:pStyle w:val="4"/>
        <w:bidi w:val="0"/>
        <w:rPr>
          <w:rFonts w:hint="eastAsia"/>
          <w:b/>
        </w:rPr>
      </w:pPr>
      <w:r>
        <w:rPr>
          <w:rFonts w:hint="eastAsia"/>
          <w:b/>
        </w:rPr>
        <w:t>3.5 操作日志记录</w:t>
      </w:r>
    </w:p>
    <w:p w14:paraId="6431BADC">
      <w:pPr>
        <w:rPr>
          <w:rFonts w:hint="eastAsia"/>
        </w:rPr>
      </w:pPr>
      <w:r>
        <w:rPr>
          <w:rFonts w:hint="eastAsia"/>
        </w:rPr>
        <w:t>- 系统自动记录以下操作事件：</w:t>
      </w:r>
    </w:p>
    <w:p w14:paraId="4F50DDC7">
      <w:pPr>
        <w:rPr>
          <w:rFonts w:hint="eastAsia"/>
        </w:rPr>
      </w:pPr>
      <w:r>
        <w:rPr>
          <w:rFonts w:hint="eastAsia"/>
        </w:rPr>
        <w:t xml:space="preserve">  - 施加铅封（成功/失败）</w:t>
      </w:r>
    </w:p>
    <w:p w14:paraId="3C5A18C1">
      <w:pPr>
        <w:rPr>
          <w:rFonts w:hint="eastAsia"/>
        </w:rPr>
      </w:pPr>
      <w:r>
        <w:rPr>
          <w:rFonts w:hint="eastAsia"/>
        </w:rPr>
        <w:t xml:space="preserve">  - 解锁铅封（成功/失败）</w:t>
      </w:r>
    </w:p>
    <w:p w14:paraId="32DC480C">
      <w:pPr>
        <w:rPr>
          <w:rFonts w:hint="eastAsia"/>
        </w:rPr>
      </w:pPr>
      <w:r>
        <w:rPr>
          <w:rFonts w:hint="eastAsia"/>
        </w:rPr>
        <w:t xml:space="preserve">  - 验证铅封状态</w:t>
      </w:r>
    </w:p>
    <w:p w14:paraId="0A3DCFBA">
      <w:pPr>
        <w:rPr>
          <w:rFonts w:hint="eastAsia"/>
        </w:rPr>
      </w:pPr>
      <w:r>
        <w:rPr>
          <w:rFonts w:hint="eastAsia"/>
        </w:rPr>
        <w:t>- 日志内容至少包括：操作用户、操作时间、操作类型。</w:t>
      </w:r>
    </w:p>
    <w:p w14:paraId="1C8942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日志记录如下图：</w:t>
      </w:r>
    </w:p>
    <w:p w14:paraId="17D59093">
      <w:pPr>
        <w:rPr>
          <w:rFonts w:hint="eastAsia"/>
          <w:lang w:val="en-US" w:eastAsia="zh-CN"/>
        </w:rPr>
      </w:pPr>
    </w:p>
    <w:p w14:paraId="7FC1458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1135" cy="1872615"/>
            <wp:effectExtent l="0" t="0" r="5715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7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C889A">
      <w:pPr>
        <w:rPr>
          <w:rFonts w:hint="eastAsia"/>
        </w:rPr>
      </w:pPr>
    </w:p>
    <w:p w14:paraId="3EB88A37">
      <w:pPr>
        <w:pStyle w:val="4"/>
        <w:bidi w:val="0"/>
        <w:rPr>
          <w:rFonts w:hint="eastAsia"/>
          <w:b/>
        </w:rPr>
      </w:pPr>
      <w:r>
        <w:rPr>
          <w:rFonts w:hint="eastAsia"/>
          <w:b/>
        </w:rPr>
        <w:t>3.6 与其他功能的联动</w:t>
      </w:r>
    </w:p>
    <w:p w14:paraId="40A31505">
      <w:pPr>
        <w:rPr>
          <w:rFonts w:hint="eastAsia"/>
        </w:rPr>
      </w:pPr>
      <w:r>
        <w:rPr>
          <w:rFonts w:hint="eastAsia"/>
        </w:rPr>
        <w:t>-当设备处于 “已铅封”状态时：</w:t>
      </w:r>
    </w:p>
    <w:p w14:paraId="3C951F70">
      <w:pPr>
        <w:rPr>
          <w:rFonts w:hint="eastAsia"/>
        </w:rPr>
      </w:pPr>
      <w:r>
        <w:rPr>
          <w:rFonts w:hint="eastAsia"/>
        </w:rPr>
        <w:t xml:space="preserve"> 若用户尝试进入 “标定”功能界面，系统应弹出提示：“当前设备存在铅封，无法进行标定操作”。</w:t>
      </w:r>
    </w:p>
    <w:p w14:paraId="4E0B06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如下图所示：</w:t>
      </w:r>
    </w:p>
    <w:p w14:paraId="00786B8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295015" cy="2051050"/>
            <wp:effectExtent l="0" t="0" r="63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5015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BF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8392DCE">
      <w:pPr>
        <w:rPr>
          <w:rFonts w:hint="eastAsia"/>
          <w:lang w:val="en-US" w:eastAsia="zh-CN"/>
        </w:rPr>
      </w:pPr>
    </w:p>
    <w:p w14:paraId="5F90DC42">
      <w:pPr>
        <w:rPr>
          <w:rFonts w:hint="eastAsia"/>
          <w:lang w:val="en-US" w:eastAsia="zh-CN"/>
        </w:rPr>
      </w:pPr>
    </w:p>
    <w:p w14:paraId="657A6C87">
      <w:pPr>
        <w:pStyle w:val="3"/>
        <w:bidi w:val="0"/>
        <w:rPr>
          <w:rFonts w:hint="eastAsia"/>
          <w:b/>
        </w:rPr>
      </w:pPr>
      <w:r>
        <w:rPr>
          <w:rFonts w:hint="eastAsia"/>
          <w:b/>
        </w:rPr>
        <w:t xml:space="preserve"> 7. 附录</w:t>
      </w:r>
    </w:p>
    <w:p w14:paraId="1BD3D320">
      <w:pPr>
        <w:rPr>
          <w:rFonts w:hint="eastAsia"/>
        </w:rPr>
      </w:pPr>
    </w:p>
    <w:p w14:paraId="725E03DA">
      <w:pPr>
        <w:rPr>
          <w:rFonts w:hint="eastAsia"/>
        </w:rPr>
      </w:pPr>
      <w:r>
        <w:rPr>
          <w:rFonts w:hint="eastAsia"/>
        </w:rPr>
        <w:t>术语解释：</w:t>
      </w:r>
    </w:p>
    <w:p w14:paraId="7D804D18">
      <w:pPr>
        <w:rPr>
          <w:rFonts w:hint="eastAsia"/>
        </w:rPr>
      </w:pPr>
      <w:r>
        <w:rPr>
          <w:rFonts w:hint="eastAsia"/>
        </w:rPr>
        <w:t xml:space="preserve">  - 软铅封：通过软件逻辑实现的配置锁定机制。</w:t>
      </w:r>
    </w:p>
    <w:p w14:paraId="77BFB71E">
      <w:pPr>
        <w:rPr>
          <w:rFonts w:hint="eastAsia"/>
        </w:rPr>
      </w:pPr>
      <w:r>
        <w:rPr>
          <w:rFonts w:hint="eastAsia"/>
        </w:rPr>
        <w:t xml:space="preserve">  - 硬铅封：物理或硬件层面的防篡改机制。</w:t>
      </w:r>
    </w:p>
    <w:p w14:paraId="5B4D0980">
      <w:pPr>
        <w:rPr>
          <w:rFonts w:hint="eastAsia"/>
        </w:rPr>
      </w:pPr>
      <w:r>
        <w:rPr>
          <w:rFonts w:hint="eastAsia"/>
        </w:rPr>
        <w:t xml:space="preserve">  - 万能钥匙代码：由</w:t>
      </w:r>
      <w:r>
        <w:rPr>
          <w:rFonts w:hint="eastAsia"/>
          <w:lang w:val="en-US" w:eastAsia="zh-CN"/>
        </w:rPr>
        <w:t>TCMP</w:t>
      </w:r>
      <w:r>
        <w:rPr>
          <w:rFonts w:hint="eastAsia"/>
        </w:rPr>
        <w:t>系统提供的授权解锁码，通常由</w:t>
      </w:r>
      <w:r>
        <w:rPr>
          <w:rFonts w:hint="eastAsia"/>
          <w:lang w:val="en-US" w:eastAsia="zh-CN"/>
        </w:rPr>
        <w:t>T-Scale</w:t>
      </w:r>
      <w:r>
        <w:rPr>
          <w:rFonts w:hint="eastAsia"/>
        </w:rPr>
        <w:t>管理员</w:t>
      </w:r>
      <w:r>
        <w:rPr>
          <w:rFonts w:hint="eastAsia"/>
          <w:lang w:val="en-US" w:eastAsia="zh-CN"/>
        </w:rPr>
        <w:t>提供</w:t>
      </w:r>
      <w:r>
        <w:rPr>
          <w:rFonts w:hint="eastAsia"/>
        </w:rPr>
        <w:t>。</w:t>
      </w:r>
    </w:p>
    <w:p w14:paraId="1703F1B1"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 xml:space="preserve">  </w:t>
      </w:r>
      <w:bookmarkStart w:id="0" w:name="_GoBack"/>
      <w:bookmarkEnd w:id="0"/>
    </w:p>
    <w:p w14:paraId="4E7E4873">
      <w:pPr>
        <w:pStyle w:val="3"/>
        <w:bidi w:val="0"/>
        <w:rPr>
          <w:rFonts w:hint="eastAsia"/>
          <w:b/>
        </w:rPr>
      </w:pPr>
      <w:r>
        <w:rPr>
          <w:rFonts w:hint="eastAsia"/>
          <w:b/>
        </w:rPr>
        <w:t>修订记录</w:t>
      </w:r>
    </w:p>
    <w:p w14:paraId="58F7FFFF">
      <w:pPr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11B19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43E09C96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版本</w:t>
            </w:r>
          </w:p>
        </w:tc>
        <w:tc>
          <w:tcPr>
            <w:tcW w:w="2130" w:type="dxa"/>
          </w:tcPr>
          <w:p w14:paraId="082C64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2131" w:type="dxa"/>
          </w:tcPr>
          <w:p w14:paraId="4D4F804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修订内容</w:t>
            </w:r>
          </w:p>
        </w:tc>
        <w:tc>
          <w:tcPr>
            <w:tcW w:w="2131" w:type="dxa"/>
          </w:tcPr>
          <w:p w14:paraId="663364DE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修订人</w:t>
            </w:r>
          </w:p>
        </w:tc>
      </w:tr>
      <w:tr w14:paraId="00139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3AE88B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1.00</w:t>
            </w:r>
          </w:p>
        </w:tc>
        <w:tc>
          <w:tcPr>
            <w:tcW w:w="2130" w:type="dxa"/>
          </w:tcPr>
          <w:p w14:paraId="6EA6FC4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20260106</w:t>
            </w:r>
          </w:p>
        </w:tc>
        <w:tc>
          <w:tcPr>
            <w:tcW w:w="2131" w:type="dxa"/>
          </w:tcPr>
          <w:p w14:paraId="212987B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初始版本</w:t>
            </w:r>
          </w:p>
        </w:tc>
        <w:tc>
          <w:tcPr>
            <w:tcW w:w="2131" w:type="dxa"/>
          </w:tcPr>
          <w:p w14:paraId="4FF87C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冯利芳</w:t>
            </w:r>
          </w:p>
        </w:tc>
      </w:tr>
      <w:tr w14:paraId="0E3895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D8A3C9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76D72EA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A0761C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38A48E0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826F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CC9891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34E632A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17BF9D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C88CC6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78B7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D260BE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</w:tcPr>
          <w:p w14:paraId="29DD728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7B17C60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 w14:paraId="447E70C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49C0AE3A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936828D"/>
    <w:multiLevelType w:val="singleLevel"/>
    <w:tmpl w:val="4936828D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CC2C27"/>
    <w:rsid w:val="6EBC1B35"/>
    <w:rsid w:val="773E0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1529</Words>
  <Characters>1830</Characters>
  <Lines>0</Lines>
  <Paragraphs>0</Paragraphs>
  <TotalTime>22</TotalTime>
  <ScaleCrop>false</ScaleCrop>
  <LinksUpToDate>false</LinksUpToDate>
  <CharactersWithSpaces>2077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2026-01-16T06:48:14Z</dcterms:created>
  <dc:creator>Jayce</dc:creator>
  <cp:lastModifiedBy>月*影</cp:lastModifiedBy>
  <dcterms:modified xsi:type="dcterms:W3CDTF">2026-01-16T07:15:50Z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eyJoZGlkIjoiOGQ4YmExZjYwYzZjMjk4YTNmNGZlMzRiNjZkYTRmZTUiLCJ1c2VySWQiOiIxMzQ2NTc5Mzk2In0=</vt:lpwstr>
  </property>
  <property fmtid="{D5CDD505-2E9C-101B-9397-08002B2CF9AE}" pid="4" name="ICV">
    <vt:lpwstr>B9365D03C53A4AF1823E6E8CDB4B7D59_12</vt:lpwstr>
  </property>
</Properties>
</file>